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E2409" w14:textId="77777777" w:rsidR="00225232" w:rsidRDefault="001F390B">
      <w:r>
        <w:rPr>
          <w:noProof/>
        </w:rPr>
        <mc:AlternateContent>
          <mc:Choice Requires="wps">
            <w:drawing>
              <wp:anchor distT="0" distB="0" distL="114300" distR="114300" simplePos="0" relativeHeight="251657728" behindDoc="0" locked="0" layoutInCell="1" allowOverlap="1" wp14:anchorId="601A3564" wp14:editId="687F3489">
                <wp:simplePos x="0" y="0"/>
                <wp:positionH relativeFrom="column">
                  <wp:posOffset>-724535</wp:posOffset>
                </wp:positionH>
                <wp:positionV relativeFrom="paragraph">
                  <wp:posOffset>-730885</wp:posOffset>
                </wp:positionV>
                <wp:extent cx="6057900" cy="2590800"/>
                <wp:effectExtent l="5080" t="8255" r="4445" b="127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057900" cy="2590800"/>
                        </a:xfrm>
                        <a:custGeom>
                          <a:avLst/>
                          <a:gdLst>
                            <a:gd name="T0" fmla="*/ 0 w 3816"/>
                            <a:gd name="T1" fmla="*/ 1632 h 1632"/>
                            <a:gd name="T2" fmla="*/ 3816 w 3816"/>
                            <a:gd name="T3" fmla="*/ 0 h 1632"/>
                            <a:gd name="T4" fmla="*/ 3816 w 3816"/>
                            <a:gd name="T5" fmla="*/ 496 h 1632"/>
                            <a:gd name="T6" fmla="*/ 0 w 3816"/>
                            <a:gd name="T7" fmla="*/ 1632 h 1632"/>
                          </a:gdLst>
                          <a:ahLst/>
                          <a:cxnLst>
                            <a:cxn ang="0">
                              <a:pos x="T0" y="T1"/>
                            </a:cxn>
                            <a:cxn ang="0">
                              <a:pos x="T2" y="T3"/>
                            </a:cxn>
                            <a:cxn ang="0">
                              <a:pos x="T4" y="T5"/>
                            </a:cxn>
                            <a:cxn ang="0">
                              <a:pos x="T6" y="T7"/>
                            </a:cxn>
                          </a:cxnLst>
                          <a:rect l="0" t="0" r="r" b="b"/>
                          <a:pathLst>
                            <a:path w="3816" h="1632">
                              <a:moveTo>
                                <a:pt x="0" y="1632"/>
                              </a:moveTo>
                              <a:lnTo>
                                <a:pt x="3816" y="0"/>
                              </a:lnTo>
                              <a:lnTo>
                                <a:pt x="3816" y="496"/>
                              </a:lnTo>
                              <a:lnTo>
                                <a:pt x="0" y="1632"/>
                              </a:lnTo>
                              <a:close/>
                            </a:path>
                          </a:pathLst>
                        </a:custGeom>
                        <a:solidFill>
                          <a:srgbClr val="FFD200"/>
                        </a:solidFill>
                        <a:ln>
                          <a:noFill/>
                        </a:ln>
                        <a:extLst>
                          <a:ext uri="{91240B29-F687-4F45-9708-019B960494DF}">
                            <a14:hiddenLine xmlns:a14="http://schemas.microsoft.com/office/drawing/2010/main" w="9525">
                              <a:solidFill>
                                <a:srgbClr val="64646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74D7E" id="Freeform 6" o:spid="_x0000_s1026" style="position:absolute;left:0;text-align:left;margin-left:-57.05pt;margin-top:-57.55pt;width:477pt;height:20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6,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" path="m,1632l3816,r,496l,1632xe" fillcolor="#ffd200" stroked="f" strokecolor="#646464">
                <v:path arrowok="t" o:connecttype="custom" o:connectlocs="0,2590800;6057900,0;6057900,787400;0,2590800" o:connectangles="0,0,0,0"/>
              </v:shape>
            </w:pict>
          </mc:Fallback>
        </mc:AlternateContent>
      </w:r>
    </w:p>
    <w:p w14:paraId="43093A98" w14:textId="77777777" w:rsidR="00B40178" w:rsidRDefault="00B40178"/>
    <w:p w14:paraId="5419C471" w14:textId="77777777" w:rsidR="00B40178" w:rsidRDefault="00B40178"/>
    <w:p w14:paraId="7B91FA1D" w14:textId="77777777" w:rsidR="00B40178" w:rsidRDefault="001F390B">
      <w:r>
        <w:rPr>
          <w:noProof/>
        </w:rPr>
        <mc:AlternateContent>
          <mc:Choice Requires="wps">
            <w:drawing>
              <wp:anchor distT="0" distB="0" distL="114300" distR="114300" simplePos="0" relativeHeight="251658752" behindDoc="0" locked="0" layoutInCell="1" allowOverlap="1" wp14:anchorId="730F6B98" wp14:editId="319FA1C7">
                <wp:simplePos x="0" y="0"/>
                <wp:positionH relativeFrom="column">
                  <wp:posOffset>5126990</wp:posOffset>
                </wp:positionH>
                <wp:positionV relativeFrom="paragraph">
                  <wp:posOffset>322580</wp:posOffset>
                </wp:positionV>
                <wp:extent cx="1859915" cy="1510030"/>
                <wp:effectExtent l="2540" t="17145" r="1143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4228" flipH="1">
                          <a:off x="0" y="0"/>
                          <a:ext cx="1859915" cy="1510030"/>
                        </a:xfrm>
                        <a:prstGeom prst="triangle">
                          <a:avLst>
                            <a:gd name="adj" fmla="val 60227"/>
                          </a:avLst>
                        </a:prstGeom>
                        <a:blipFill dpi="0" rotWithShape="0">
                          <a:blip r:embed="rId9"/>
                          <a:srcRect/>
                          <a:stretch>
                            <a:fillRect r="-26747"/>
                          </a:stretch>
                        </a:blipFill>
                        <a:ln>
                          <a:noFill/>
                        </a:ln>
                        <a:extLst>
                          <a:ext uri="{91240B29-F687-4F45-9708-019B960494DF}">
                            <a14:hiddenLine xmlns:a14="http://schemas.microsoft.com/office/drawing/2010/main" w="9525">
                              <a:solidFill>
                                <a:srgbClr val="646464"/>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D056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6" type="#_x0000_t5" style="position:absolute;left:0;text-align:left;margin-left:403.7pt;margin-top:25.4pt;width:146.45pt;height:118.9pt;rotation:5937313fd;flip:x;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" adj="13009" stroked="f" strokecolor="#646464">
                <v:fill r:id="rId10" o:title="" recolor="t" type="frame"/>
              </v:shape>
            </w:pict>
          </mc:Fallback>
        </mc:AlternateContent>
      </w:r>
    </w:p>
    <w:p w14:paraId="2A352D49" w14:textId="77777777" w:rsidR="00B40178" w:rsidRDefault="00B40178"/>
    <w:p w14:paraId="55172202" w14:textId="77777777" w:rsidR="00B40178" w:rsidRDefault="00B40178"/>
    <w:p w14:paraId="7380946B" w14:textId="77777777" w:rsidR="00B40178" w:rsidRDefault="00B40178"/>
    <w:p w14:paraId="26CACA14" w14:textId="77777777" w:rsidR="00B40178" w:rsidRDefault="00B40178"/>
    <w:p w14:paraId="4CB728D2" w14:textId="77777777" w:rsidR="00B40178" w:rsidRDefault="00B40178"/>
    <w:p w14:paraId="29A5EC0A" w14:textId="77777777" w:rsidR="00B40178" w:rsidRDefault="00B40178" w:rsidP="00E127B2">
      <w:pPr>
        <w:tabs>
          <w:tab w:val="left" w:pos="8553"/>
        </w:tabs>
      </w:pPr>
    </w:p>
    <w:p w14:paraId="5D5CF6C0" w14:textId="77777777" w:rsidR="00B40178" w:rsidRDefault="00B40178"/>
    <w:p w14:paraId="527309A7" w14:textId="77777777" w:rsidR="00B40178" w:rsidRDefault="00B40178">
      <w:pPr>
        <w:rPr>
          <w:rtl/>
        </w:rPr>
      </w:pPr>
    </w:p>
    <w:p w14:paraId="224626B5" w14:textId="77777777" w:rsidR="00AB7D68" w:rsidRPr="00DC3448" w:rsidRDefault="00AB7D68" w:rsidP="00DC3448">
      <w:pPr>
        <w:rPr>
          <w:i/>
          <w:rtl/>
        </w:rPr>
      </w:pPr>
    </w:p>
    <w:p w14:paraId="7847BBD3" w14:textId="77777777" w:rsidR="00AB7D68" w:rsidRDefault="00AB7D68">
      <w:pPr>
        <w:rPr>
          <w:rtl/>
        </w:rPr>
      </w:pPr>
    </w:p>
    <w:p w14:paraId="72FD9831" w14:textId="77777777" w:rsidR="00AB7D68" w:rsidRDefault="00AB7D68">
      <w:pPr>
        <w:pStyle w:val="a7"/>
        <w:tabs>
          <w:tab w:val="left" w:pos="567"/>
        </w:tabs>
        <w:rPr>
          <w:rtl/>
        </w:rPr>
      </w:pPr>
    </w:p>
    <w:p w14:paraId="05C48A76" w14:textId="77777777" w:rsidR="00AB7D68" w:rsidRDefault="00AB7D68">
      <w:pPr>
        <w:rPr>
          <w:rtl/>
        </w:rPr>
      </w:pPr>
    </w:p>
    <w:p w14:paraId="600091AE" w14:textId="77777777" w:rsidR="00AB7D68" w:rsidRDefault="00AB7D68">
      <w:pPr>
        <w:rPr>
          <w:rtl/>
        </w:rPr>
      </w:pPr>
    </w:p>
    <w:p w14:paraId="10E19EA0" w14:textId="77777777" w:rsidR="00AB7D68" w:rsidRDefault="00AB7D68">
      <w:pPr>
        <w:rPr>
          <w:rtl/>
        </w:rPr>
      </w:pPr>
    </w:p>
    <w:p w14:paraId="3A8F0E82" w14:textId="77777777" w:rsidR="00AB7D68" w:rsidRDefault="00AB7D68"/>
    <w:p w14:paraId="1D2C556A" w14:textId="77777777" w:rsidR="00B40178" w:rsidRDefault="00B40178">
      <w:pPr>
        <w:rPr>
          <w:rtl/>
        </w:rPr>
      </w:pPr>
    </w:p>
    <w:p w14:paraId="48D58239" w14:textId="77777777" w:rsidR="00AB7D68" w:rsidRDefault="00AB7D68" w:rsidP="00561FD8">
      <w:pPr>
        <w:rPr>
          <w:rtl/>
        </w:rPr>
      </w:pPr>
    </w:p>
    <w:p w14:paraId="41F19FD2" w14:textId="77777777" w:rsidR="00AB7D68" w:rsidRDefault="00AB7D68">
      <w:pPr>
        <w:jc w:val="center"/>
        <w:rPr>
          <w:b/>
          <w:bCs/>
          <w:szCs w:val="48"/>
          <w:rtl/>
        </w:rPr>
      </w:pPr>
    </w:p>
    <w:p w14:paraId="6D8D1055" w14:textId="77777777" w:rsidR="00AB7D68" w:rsidRDefault="001F390B">
      <w:pPr>
        <w:jc w:val="center"/>
        <w:rPr>
          <w:b/>
          <w:bCs/>
          <w:szCs w:val="48"/>
          <w:rtl/>
        </w:rPr>
      </w:pPr>
      <w:r>
        <w:rPr>
          <w:noProof/>
          <w:rtl/>
        </w:rPr>
        <mc:AlternateContent>
          <mc:Choice Requires="wps">
            <w:drawing>
              <wp:anchor distT="0" distB="0" distL="114300" distR="114300" simplePos="0" relativeHeight="251655680" behindDoc="0" locked="0" layoutInCell="1" allowOverlap="1" wp14:anchorId="540E1700" wp14:editId="3B952E52">
                <wp:simplePos x="0" y="0"/>
                <wp:positionH relativeFrom="page">
                  <wp:posOffset>666750</wp:posOffset>
                </wp:positionH>
                <wp:positionV relativeFrom="paragraph">
                  <wp:posOffset>232410</wp:posOffset>
                </wp:positionV>
                <wp:extent cx="6363335" cy="1179830"/>
                <wp:effectExtent l="19050" t="13970" r="66040" b="444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335" cy="1179830"/>
                        </a:xfrm>
                        <a:prstGeom prst="rect">
                          <a:avLst/>
                        </a:prstGeom>
                        <a:solidFill>
                          <a:srgbClr val="F2F2F2"/>
                        </a:solidFill>
                        <a:ln w="25400">
                          <a:solidFill>
                            <a:srgbClr val="000000"/>
                          </a:solidFill>
                          <a:miter lim="800000"/>
                          <a:headEnd/>
                          <a:tailEnd/>
                        </a:ln>
                        <a:effectLst>
                          <a:outerShdw dist="57238" dir="2021404" algn="ctr" rotWithShape="0">
                            <a:srgbClr val="000000"/>
                          </a:outerShdw>
                        </a:effectLst>
                      </wps:spPr>
                      <wps:txbx>
                        <w:txbxContent>
                          <w:p w14:paraId="5901E337" w14:textId="77777777" w:rsidR="001521F8" w:rsidRDefault="001521F8"/>
                          <w:p w14:paraId="38769796" w14:textId="2B952D3C" w:rsidR="001521F8" w:rsidRDefault="001521F8" w:rsidP="00E33734">
                            <w:pPr>
                              <w:jc w:val="center"/>
                              <w:rPr>
                                <w:rFonts w:cs="Tahoma"/>
                                <w:b/>
                                <w:bCs/>
                                <w:sz w:val="54"/>
                                <w:szCs w:val="58"/>
                                <w:rtl/>
                              </w:rPr>
                            </w:pPr>
                            <w:r>
                              <w:rPr>
                                <w:rFonts w:cs="Tahoma"/>
                                <w:b/>
                                <w:bCs/>
                                <w:sz w:val="54"/>
                                <w:szCs w:val="58"/>
                                <w:rtl/>
                              </w:rPr>
                              <w:t xml:space="preserve">דוחות כספיים ביניים </w:t>
                            </w:r>
                            <w:r>
                              <w:rPr>
                                <w:rFonts w:cs="Tahoma" w:hint="cs"/>
                                <w:b/>
                                <w:bCs/>
                                <w:sz w:val="54"/>
                                <w:szCs w:val="58"/>
                                <w:rtl/>
                              </w:rPr>
                              <w:t xml:space="preserve">מאוחדים </w:t>
                            </w:r>
                            <w:r>
                              <w:rPr>
                                <w:rFonts w:cs="Tahoma"/>
                                <w:b/>
                                <w:bCs/>
                                <w:sz w:val="54"/>
                                <w:szCs w:val="58"/>
                                <w:rtl/>
                              </w:rPr>
                              <w:t>לדוגמא</w:t>
                            </w:r>
                            <w:r>
                              <w:rPr>
                                <w:rFonts w:cs="Tahoma"/>
                                <w:b/>
                                <w:bCs/>
                                <w:sz w:val="54"/>
                                <w:szCs w:val="58"/>
                              </w:rPr>
                              <w:t xml:space="preserve"> </w:t>
                            </w:r>
                            <w:r>
                              <w:rPr>
                                <w:rFonts w:ascii="Tahoma" w:hAnsi="Tahoma" w:cs="Tahoma"/>
                                <w:b/>
                                <w:bCs/>
                                <w:sz w:val="56"/>
                                <w:szCs w:val="60"/>
                              </w:rPr>
                              <w:t>IFRS</w:t>
                            </w:r>
                            <w:r>
                              <w:rPr>
                                <w:rFonts w:cs="Tahoma" w:hint="cs"/>
                                <w:b/>
                                <w:bCs/>
                                <w:sz w:val="54"/>
                                <w:szCs w:val="58"/>
                              </w:rPr>
                              <w:t xml:space="preserve"> </w:t>
                            </w:r>
                            <w:r>
                              <w:rPr>
                                <w:rFonts w:cs="Tahoma" w:hint="cs"/>
                                <w:b/>
                                <w:bCs/>
                                <w:sz w:val="54"/>
                                <w:szCs w:val="58"/>
                                <w:rtl/>
                              </w:rPr>
                              <w:t>לשנת 2019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1700" id="Rectangle 2" o:spid="_x0000_s1026" style="position:absolute;left:0;text-align:left;margin-left:52.5pt;margin-top:18.3pt;width:501.05pt;height:9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" fillcolor="#f2f2f2" strokeweight="2pt">
                <v:shadow on="t" color="black" offset="3.75pt,2.5pt"/>
                <v:textbox inset="1pt,1pt,1pt,1pt">
                  <w:txbxContent>
                    <w:p w14:paraId="5901E337" w14:textId="77777777" w:rsidR="001521F8" w:rsidRDefault="001521F8"/>
                    <w:p w14:paraId="38769796" w14:textId="2B952D3C" w:rsidR="001521F8" w:rsidRDefault="001521F8" w:rsidP="00E33734">
                      <w:pPr>
                        <w:jc w:val="center"/>
                        <w:rPr>
                          <w:rFonts w:cs="Tahoma"/>
                          <w:b/>
                          <w:bCs/>
                          <w:sz w:val="54"/>
                          <w:szCs w:val="58"/>
                          <w:rtl/>
                        </w:rPr>
                      </w:pPr>
                      <w:r>
                        <w:rPr>
                          <w:rFonts w:cs="Tahoma"/>
                          <w:b/>
                          <w:bCs/>
                          <w:sz w:val="54"/>
                          <w:szCs w:val="58"/>
                          <w:rtl/>
                        </w:rPr>
                        <w:t xml:space="preserve">דוחות כספיים ביניים </w:t>
                      </w:r>
                      <w:r>
                        <w:rPr>
                          <w:rFonts w:cs="Tahoma" w:hint="cs"/>
                          <w:b/>
                          <w:bCs/>
                          <w:sz w:val="54"/>
                          <w:szCs w:val="58"/>
                          <w:rtl/>
                        </w:rPr>
                        <w:t xml:space="preserve">מאוחדים </w:t>
                      </w:r>
                      <w:r>
                        <w:rPr>
                          <w:rFonts w:cs="Tahoma"/>
                          <w:b/>
                          <w:bCs/>
                          <w:sz w:val="54"/>
                          <w:szCs w:val="58"/>
                          <w:rtl/>
                        </w:rPr>
                        <w:t>לדוגמא</w:t>
                      </w:r>
                      <w:r>
                        <w:rPr>
                          <w:rFonts w:cs="Tahoma"/>
                          <w:b/>
                          <w:bCs/>
                          <w:sz w:val="54"/>
                          <w:szCs w:val="58"/>
                        </w:rPr>
                        <w:t xml:space="preserve"> </w:t>
                      </w:r>
                      <w:r>
                        <w:rPr>
                          <w:rFonts w:ascii="Tahoma" w:hAnsi="Tahoma" w:cs="Tahoma"/>
                          <w:b/>
                          <w:bCs/>
                          <w:sz w:val="56"/>
                          <w:szCs w:val="60"/>
                        </w:rPr>
                        <w:t>IFRS</w:t>
                      </w:r>
                      <w:r>
                        <w:rPr>
                          <w:rFonts w:cs="Tahoma" w:hint="cs"/>
                          <w:b/>
                          <w:bCs/>
                          <w:sz w:val="54"/>
                          <w:szCs w:val="58"/>
                        </w:rPr>
                        <w:t xml:space="preserve"> </w:t>
                      </w:r>
                      <w:r>
                        <w:rPr>
                          <w:rFonts w:cs="Tahoma" w:hint="cs"/>
                          <w:b/>
                          <w:bCs/>
                          <w:sz w:val="54"/>
                          <w:szCs w:val="58"/>
                          <w:rtl/>
                        </w:rPr>
                        <w:t>לשנת 2019</w:t>
                      </w:r>
                    </w:p>
                  </w:txbxContent>
                </v:textbox>
                <w10:wrap anchorx="page"/>
              </v:rect>
            </w:pict>
          </mc:Fallback>
        </mc:AlternateContent>
      </w:r>
    </w:p>
    <w:p w14:paraId="57B86CF0" w14:textId="77777777" w:rsidR="00AB7D68" w:rsidRDefault="00AB7D68">
      <w:pPr>
        <w:rPr>
          <w:b/>
          <w:bCs/>
          <w:rtl/>
        </w:rPr>
      </w:pPr>
    </w:p>
    <w:p w14:paraId="593807EE" w14:textId="77777777" w:rsidR="00AB7D68" w:rsidRDefault="00AB7D68">
      <w:pPr>
        <w:rPr>
          <w:b/>
          <w:bCs/>
          <w:rtl/>
        </w:rPr>
      </w:pPr>
    </w:p>
    <w:p w14:paraId="55952002" w14:textId="77777777" w:rsidR="00AB7D68" w:rsidRDefault="00AB7D68">
      <w:pPr>
        <w:rPr>
          <w:b/>
          <w:bCs/>
          <w:rtl/>
        </w:rPr>
      </w:pPr>
    </w:p>
    <w:p w14:paraId="54F9D1CE" w14:textId="77777777" w:rsidR="00AB7D68" w:rsidRDefault="00AB7D68">
      <w:pPr>
        <w:rPr>
          <w:b/>
          <w:bCs/>
          <w:rtl/>
        </w:rPr>
      </w:pPr>
    </w:p>
    <w:p w14:paraId="0EF2A6F4" w14:textId="77777777" w:rsidR="00AB7D68" w:rsidRDefault="00AB7D68">
      <w:pPr>
        <w:rPr>
          <w:b/>
          <w:bCs/>
          <w:rtl/>
        </w:rPr>
      </w:pPr>
    </w:p>
    <w:p w14:paraId="0DFB8D53" w14:textId="77777777" w:rsidR="00AB7D68" w:rsidRDefault="00AB7D68">
      <w:pPr>
        <w:rPr>
          <w:b/>
          <w:bCs/>
          <w:rtl/>
        </w:rPr>
      </w:pPr>
    </w:p>
    <w:p w14:paraId="066962DA" w14:textId="77777777" w:rsidR="00AB7D68" w:rsidRDefault="00AB7D68">
      <w:pPr>
        <w:rPr>
          <w:b/>
          <w:bCs/>
        </w:rPr>
      </w:pPr>
    </w:p>
    <w:p w14:paraId="1401F36E" w14:textId="77777777" w:rsidR="00AB7D68" w:rsidRDefault="00AB7D68">
      <w:pPr>
        <w:rPr>
          <w:b/>
          <w:bCs/>
        </w:rPr>
      </w:pPr>
    </w:p>
    <w:p w14:paraId="29E47936" w14:textId="77777777" w:rsidR="00AB7D68" w:rsidRDefault="00AB7D68">
      <w:pPr>
        <w:rPr>
          <w:b/>
          <w:bCs/>
          <w:rtl/>
        </w:rPr>
      </w:pPr>
    </w:p>
    <w:p w14:paraId="3D0AD393" w14:textId="77777777" w:rsidR="00194D09" w:rsidRDefault="00194D09">
      <w:pPr>
        <w:rPr>
          <w:b/>
          <w:bCs/>
          <w:rtl/>
        </w:rPr>
      </w:pPr>
    </w:p>
    <w:p w14:paraId="636388C4" w14:textId="77777777" w:rsidR="008D22FA" w:rsidRDefault="008D22FA">
      <w:pPr>
        <w:rPr>
          <w:rFonts w:hint="cs"/>
          <w:b/>
          <w:bCs/>
        </w:rPr>
      </w:pPr>
    </w:p>
    <w:p w14:paraId="7C82A349" w14:textId="77777777" w:rsidR="008D22FA" w:rsidRDefault="008D22FA">
      <w:pPr>
        <w:rPr>
          <w:b/>
          <w:bCs/>
        </w:rPr>
      </w:pPr>
    </w:p>
    <w:p w14:paraId="3ABF30CA" w14:textId="77777777" w:rsidR="008D22FA" w:rsidRDefault="008D22FA">
      <w:pPr>
        <w:rPr>
          <w:b/>
          <w:bCs/>
        </w:rPr>
      </w:pPr>
    </w:p>
    <w:p w14:paraId="53BF863B" w14:textId="77777777" w:rsidR="008D22FA" w:rsidRDefault="008D22FA">
      <w:pPr>
        <w:rPr>
          <w:b/>
          <w:bCs/>
        </w:rPr>
      </w:pPr>
    </w:p>
    <w:p w14:paraId="758D5EE5" w14:textId="77777777" w:rsidR="008D22FA" w:rsidRDefault="008D22FA">
      <w:pPr>
        <w:rPr>
          <w:b/>
          <w:bCs/>
        </w:rPr>
      </w:pPr>
    </w:p>
    <w:p w14:paraId="4B7E72BF" w14:textId="77777777" w:rsidR="008D22FA" w:rsidRDefault="008D22FA">
      <w:pPr>
        <w:rPr>
          <w:b/>
          <w:bCs/>
        </w:rPr>
      </w:pPr>
    </w:p>
    <w:p w14:paraId="4D04F775" w14:textId="77777777" w:rsidR="008D22FA" w:rsidRDefault="00CE15A7" w:rsidP="00CE15A7">
      <w:pPr>
        <w:jc w:val="center"/>
        <w:rPr>
          <w:b/>
          <w:bCs/>
        </w:rPr>
      </w:pPr>
      <w:r w:rsidRPr="00AA1373">
        <w:rPr>
          <w:sz w:val="24"/>
          <w:szCs w:val="20"/>
          <w:rtl/>
        </w:rPr>
        <w:fldChar w:fldCharType="begin"/>
      </w:r>
      <w:r w:rsidRPr="00AA1373">
        <w:rPr>
          <w:sz w:val="24"/>
          <w:szCs w:val="20"/>
          <w:rtl/>
        </w:rPr>
        <w:instrText xml:space="preserve"> </w:instrText>
      </w:r>
      <w:r w:rsidRPr="00AA1373">
        <w:rPr>
          <w:rFonts w:hint="cs"/>
          <w:sz w:val="24"/>
          <w:szCs w:val="20"/>
        </w:rPr>
        <w:instrText>FILENAME \p \* MERGEFORMAT</w:instrText>
      </w:r>
      <w:r w:rsidRPr="00AA1373">
        <w:rPr>
          <w:sz w:val="24"/>
          <w:szCs w:val="20"/>
          <w:rtl/>
        </w:rPr>
        <w:instrText xml:space="preserve"> </w:instrText>
      </w:r>
      <w:r w:rsidRPr="00AA1373">
        <w:rPr>
          <w:sz w:val="24"/>
          <w:szCs w:val="20"/>
          <w:rtl/>
        </w:rPr>
        <w:fldChar w:fldCharType="separate"/>
      </w:r>
      <w:r w:rsidR="00BA0DC0">
        <w:rPr>
          <w:noProof/>
          <w:sz w:val="24"/>
          <w:szCs w:val="20"/>
        </w:rPr>
        <w:t>F:\</w:t>
      </w:r>
      <w:r w:rsidR="00BA0DC0" w:rsidRPr="00BA0DC0">
        <w:rPr>
          <w:noProof/>
          <w:szCs w:val="16"/>
        </w:rPr>
        <w:t>W2000\w2000\FORMATS\EXAMPLE COMPANY\H\IFRS\2019\INTERIM-9-2019-IAS.docx</w:t>
      </w:r>
      <w:r w:rsidRPr="00AA1373">
        <w:rPr>
          <w:sz w:val="24"/>
          <w:szCs w:val="20"/>
          <w:rtl/>
        </w:rPr>
        <w:fldChar w:fldCharType="end"/>
      </w:r>
    </w:p>
    <w:p w14:paraId="529616D3" w14:textId="77777777" w:rsidR="008D22FA" w:rsidRDefault="008D22FA">
      <w:pPr>
        <w:rPr>
          <w:b/>
          <w:bCs/>
        </w:rPr>
      </w:pPr>
    </w:p>
    <w:p w14:paraId="62F675E4" w14:textId="77777777" w:rsidR="008D22FA" w:rsidRDefault="008D22FA">
      <w:pPr>
        <w:rPr>
          <w:b/>
          <w:bCs/>
        </w:rPr>
      </w:pPr>
    </w:p>
    <w:p w14:paraId="2415927B" w14:textId="77777777" w:rsidR="00AB7D68" w:rsidRDefault="00AB7D68">
      <w:pPr>
        <w:rPr>
          <w:b/>
          <w:bCs/>
          <w:rtl/>
        </w:rPr>
      </w:pPr>
    </w:p>
    <w:p w14:paraId="6AA14CAD" w14:textId="77777777" w:rsidR="00AB7D68" w:rsidRDefault="00AB7D68">
      <w:pPr>
        <w:overflowPunct/>
        <w:autoSpaceDE/>
        <w:autoSpaceDN/>
        <w:adjustRightInd/>
        <w:jc w:val="left"/>
        <w:rPr>
          <w:b/>
          <w:bCs/>
          <w:sz w:val="14"/>
          <w:szCs w:val="2"/>
        </w:rPr>
        <w:sectPr w:rsidR="00AB7D68" w:rsidSect="00BA7D9A">
          <w:footerReference w:type="even" r:id="rId11"/>
          <w:footerReference w:type="default" r:id="rId12"/>
          <w:footnotePr>
            <w:numRestart w:val="eachPage"/>
          </w:footnotePr>
          <w:endnotePr>
            <w:numFmt w:val="lowerLetter"/>
          </w:endnotePr>
          <w:pgSz w:w="11907" w:h="16840" w:code="9"/>
          <w:pgMar w:top="1134" w:right="1134" w:bottom="1134" w:left="1134" w:header="567" w:footer="567" w:gutter="0"/>
          <w:cols w:space="708"/>
          <w:titlePg/>
          <w:bidi/>
          <w:rtlGutter/>
          <w:docGrid w:linePitch="360"/>
        </w:sectPr>
      </w:pPr>
    </w:p>
    <w:tbl>
      <w:tblPr>
        <w:tblStyle w:val="af6"/>
        <w:bidiVisual/>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5B6F8E" w:rsidRPr="005B6F8E" w14:paraId="3BDC9C66" w14:textId="77777777" w:rsidTr="00496778">
        <w:tc>
          <w:tcPr>
            <w:tcW w:w="2268" w:type="dxa"/>
            <w:tcMar>
              <w:left w:w="0" w:type="dxa"/>
              <w:right w:w="0" w:type="dxa"/>
            </w:tcMar>
          </w:tcPr>
          <w:p w14:paraId="49077A70" w14:textId="77777777" w:rsidR="005B6F8E" w:rsidRPr="005B6F8E" w:rsidRDefault="005B6F8E" w:rsidP="005B6F8E">
            <w:pPr>
              <w:ind w:left="57"/>
              <w:rPr>
                <w:rFonts w:asciiTheme="minorBidi" w:hAnsiTheme="minorBidi" w:cstheme="minorBidi"/>
                <w:b/>
                <w:bCs/>
                <w:i/>
                <w:color w:val="666666"/>
                <w:sz w:val="16"/>
                <w:szCs w:val="16"/>
              </w:rPr>
            </w:pPr>
            <w:r w:rsidRPr="005B6F8E">
              <w:rPr>
                <w:b/>
                <w:bCs/>
                <w:i/>
                <w:noProof/>
              </w:rPr>
              <w:lastRenderedPageBreak/>
              <w:drawing>
                <wp:anchor distT="0" distB="0" distL="114300" distR="114300" simplePos="0" relativeHeight="251660800" behindDoc="0" locked="1" layoutInCell="1" allowOverlap="1" wp14:anchorId="651ED907" wp14:editId="6B78C831">
                  <wp:simplePos x="0" y="0"/>
                  <wp:positionH relativeFrom="page">
                    <wp:posOffset>-4648200</wp:posOffset>
                  </wp:positionH>
                  <wp:positionV relativeFrom="page">
                    <wp:posOffset>-511175</wp:posOffset>
                  </wp:positionV>
                  <wp:extent cx="895350" cy="1028700"/>
                  <wp:effectExtent l="0" t="0" r="0" b="0"/>
                  <wp:wrapNone/>
                  <wp:docPr id="2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1028700"/>
                          </a:xfrm>
                          <a:prstGeom prst="rect">
                            <a:avLst/>
                          </a:prstGeom>
                          <a:noFill/>
                          <a:ln>
                            <a:noFill/>
                          </a:ln>
                          <a:effectLst/>
                          <a:extLst/>
                        </pic:spPr>
                      </pic:pic>
                    </a:graphicData>
                  </a:graphic>
                </wp:anchor>
              </w:drawing>
            </w:r>
            <w:r w:rsidRPr="005B6F8E">
              <w:rPr>
                <w:rFonts w:asciiTheme="minorBidi" w:hAnsiTheme="minorBidi" w:cstheme="minorBidi" w:hint="cs"/>
                <w:b/>
                <w:bCs/>
                <w:i/>
                <w:color w:val="666666"/>
                <w:sz w:val="16"/>
                <w:szCs w:val="16"/>
                <w:rtl/>
              </w:rPr>
              <w:t>קוסט פורר גבאי את קסירר</w:t>
            </w:r>
          </w:p>
          <w:p w14:paraId="3EF1029D" w14:textId="77777777" w:rsidR="005B6F8E" w:rsidRPr="005B6F8E" w:rsidRDefault="005B6F8E" w:rsidP="005B6F8E">
            <w:pPr>
              <w:pStyle w:val="EYBusinessaddress"/>
              <w:suppressAutoHyphens w:val="0"/>
              <w:bidi/>
              <w:ind w:left="57"/>
              <w:rPr>
                <w:rFonts w:asciiTheme="minorBidi" w:hAnsiTheme="minorBidi" w:cstheme="minorBidi"/>
                <w:b/>
                <w:i/>
                <w:sz w:val="16"/>
                <w:szCs w:val="16"/>
              </w:rPr>
            </w:pPr>
            <w:r w:rsidRPr="005B6F8E">
              <w:rPr>
                <w:rFonts w:asciiTheme="minorBidi" w:hAnsiTheme="minorBidi" w:cstheme="minorBidi" w:hint="cs"/>
                <w:i/>
                <w:sz w:val="16"/>
                <w:szCs w:val="16"/>
                <w:rtl/>
                <w:lang w:bidi="he-IL"/>
              </w:rPr>
              <w:t>דרך מנחם בגין 144א',</w:t>
            </w:r>
            <w:r w:rsidRPr="005B6F8E">
              <w:rPr>
                <w:rFonts w:asciiTheme="minorBidi" w:hAnsiTheme="minorBidi" w:cstheme="minorBidi"/>
                <w:i/>
                <w:sz w:val="16"/>
                <w:szCs w:val="16"/>
                <w:rtl/>
              </w:rPr>
              <w:br/>
            </w:r>
            <w:r w:rsidRPr="005B6F8E">
              <w:rPr>
                <w:rFonts w:asciiTheme="minorBidi" w:hAnsiTheme="minorBidi" w:cstheme="minorBidi"/>
                <w:i/>
                <w:sz w:val="16"/>
                <w:szCs w:val="16"/>
                <w:rtl/>
                <w:lang w:bidi="he-IL"/>
              </w:rPr>
              <w:t>תל</w:t>
            </w:r>
            <w:r w:rsidRPr="005B6F8E">
              <w:rPr>
                <w:rFonts w:asciiTheme="minorBidi" w:hAnsiTheme="minorBidi" w:cstheme="minorBidi"/>
                <w:i/>
                <w:sz w:val="16"/>
                <w:szCs w:val="16"/>
                <w:rtl/>
              </w:rPr>
              <w:t>-</w:t>
            </w:r>
            <w:r w:rsidRPr="005B6F8E">
              <w:rPr>
                <w:rFonts w:asciiTheme="minorBidi" w:hAnsiTheme="minorBidi" w:cstheme="minorBidi"/>
                <w:i/>
                <w:sz w:val="16"/>
                <w:szCs w:val="16"/>
                <w:rtl/>
                <w:lang w:bidi="he-IL"/>
              </w:rPr>
              <w:t xml:space="preserve">אביב </w:t>
            </w:r>
            <w:r w:rsidRPr="005B6F8E">
              <w:rPr>
                <w:rFonts w:asciiTheme="minorBidi" w:hAnsiTheme="minorBidi" w:cstheme="minorBidi" w:hint="cs"/>
                <w:i/>
                <w:sz w:val="16"/>
                <w:szCs w:val="16"/>
                <w:rtl/>
                <w:lang w:bidi="he-IL"/>
              </w:rPr>
              <w:t>6492102</w:t>
            </w:r>
            <w:r w:rsidRPr="005B6F8E">
              <w:rPr>
                <w:rFonts w:asciiTheme="minorBidi" w:hAnsiTheme="minorBidi" w:cstheme="minorBidi"/>
                <w:i/>
                <w:sz w:val="16"/>
                <w:szCs w:val="16"/>
                <w:rtl/>
              </w:rPr>
              <w:t xml:space="preserve"> </w:t>
            </w:r>
          </w:p>
          <w:p w14:paraId="3EFE1867" w14:textId="77777777" w:rsidR="005B6F8E" w:rsidRPr="005B6F8E" w:rsidRDefault="005B6F8E" w:rsidP="005B6F8E">
            <w:pPr>
              <w:pStyle w:val="EYBusinessaddress"/>
              <w:suppressAutoHyphens w:val="0"/>
              <w:bidi/>
              <w:ind w:left="57"/>
              <w:rPr>
                <w:rFonts w:asciiTheme="minorBidi" w:hAnsiTheme="minorBidi" w:cstheme="minorBidi"/>
                <w:b/>
                <w:i/>
                <w:sz w:val="16"/>
                <w:szCs w:val="16"/>
              </w:rPr>
            </w:pPr>
          </w:p>
        </w:tc>
        <w:tc>
          <w:tcPr>
            <w:tcW w:w="2268" w:type="dxa"/>
            <w:tcMar>
              <w:left w:w="0" w:type="dxa"/>
              <w:right w:w="0" w:type="dxa"/>
            </w:tcMar>
          </w:tcPr>
          <w:p w14:paraId="34FAF951" w14:textId="77777777" w:rsidR="005B6F8E" w:rsidRPr="005B6F8E" w:rsidRDefault="005B6F8E" w:rsidP="005B6F8E">
            <w:pPr>
              <w:ind w:left="57"/>
              <w:rPr>
                <w:rFonts w:asciiTheme="minorBidi" w:hAnsiTheme="minorBidi" w:cstheme="minorBidi"/>
                <w:bCs/>
                <w:i/>
                <w:color w:val="808080"/>
                <w:sz w:val="16"/>
                <w:szCs w:val="16"/>
                <w:rtl/>
              </w:rPr>
            </w:pPr>
            <w:r w:rsidRPr="005B6F8E">
              <w:rPr>
                <w:rFonts w:asciiTheme="minorBidi" w:hAnsiTheme="minorBidi" w:cstheme="minorBidi"/>
                <w:i/>
                <w:color w:val="808080"/>
                <w:sz w:val="16"/>
                <w:szCs w:val="16"/>
                <w:rtl/>
              </w:rPr>
              <w:t xml:space="preserve">טל.   </w:t>
            </w:r>
            <w:r w:rsidRPr="005B6F8E">
              <w:rPr>
                <w:rFonts w:asciiTheme="minorBidi" w:hAnsiTheme="minorBidi" w:cstheme="minorBidi"/>
                <w:i/>
                <w:color w:val="808080"/>
                <w:sz w:val="16"/>
                <w:szCs w:val="16"/>
              </w:rPr>
              <w:t>972-3-6232525</w:t>
            </w:r>
            <w:r w:rsidRPr="005B6F8E">
              <w:rPr>
                <w:rFonts w:asciiTheme="minorBidi" w:hAnsiTheme="minorBidi" w:cstheme="minorBidi"/>
                <w:i/>
                <w:color w:val="808080"/>
                <w:sz w:val="16"/>
                <w:szCs w:val="16"/>
                <w:rtl/>
              </w:rPr>
              <w:t>+</w:t>
            </w:r>
          </w:p>
          <w:p w14:paraId="1B3B605C" w14:textId="77777777" w:rsidR="005B6F8E" w:rsidRPr="005B6F8E" w:rsidRDefault="005B6F8E" w:rsidP="005B6F8E">
            <w:pPr>
              <w:ind w:left="57"/>
              <w:rPr>
                <w:rFonts w:asciiTheme="minorBidi" w:hAnsiTheme="minorBidi" w:cstheme="minorBidi"/>
                <w:bCs/>
                <w:i/>
                <w:color w:val="808080"/>
                <w:sz w:val="16"/>
                <w:szCs w:val="16"/>
                <w:rtl/>
              </w:rPr>
            </w:pPr>
            <w:r w:rsidRPr="005B6F8E">
              <w:rPr>
                <w:rFonts w:asciiTheme="minorBidi" w:hAnsiTheme="minorBidi" w:cstheme="minorBidi"/>
                <w:i/>
                <w:color w:val="808080"/>
                <w:sz w:val="16"/>
                <w:szCs w:val="16"/>
                <w:rtl/>
              </w:rPr>
              <w:t xml:space="preserve">פקס  </w:t>
            </w:r>
            <w:r w:rsidRPr="005B6F8E">
              <w:rPr>
                <w:rFonts w:asciiTheme="minorBidi" w:hAnsiTheme="minorBidi" w:cstheme="minorBidi"/>
                <w:i/>
                <w:color w:val="808080"/>
                <w:sz w:val="16"/>
                <w:szCs w:val="16"/>
              </w:rPr>
              <w:t>+972-3-5622555</w:t>
            </w:r>
          </w:p>
          <w:p w14:paraId="4FEC6B48" w14:textId="77777777" w:rsidR="005B6F8E" w:rsidRPr="005B6F8E" w:rsidRDefault="005B6F8E" w:rsidP="005B6F8E">
            <w:pPr>
              <w:pStyle w:val="EYBusinessaddress"/>
              <w:suppressAutoHyphens w:val="0"/>
              <w:bidi/>
              <w:ind w:left="57"/>
              <w:rPr>
                <w:rFonts w:asciiTheme="minorBidi" w:hAnsiTheme="minorBidi" w:cstheme="minorBidi"/>
                <w:bCs/>
                <w:i/>
                <w:sz w:val="16"/>
                <w:szCs w:val="16"/>
              </w:rPr>
            </w:pPr>
            <w:r w:rsidRPr="005B6F8E">
              <w:rPr>
                <w:rFonts w:asciiTheme="minorBidi" w:hAnsiTheme="minorBidi" w:cstheme="minorBidi"/>
                <w:i/>
                <w:sz w:val="16"/>
                <w:szCs w:val="16"/>
              </w:rPr>
              <w:t>ey.com</w:t>
            </w:r>
          </w:p>
        </w:tc>
      </w:tr>
    </w:tbl>
    <w:p w14:paraId="1968B678" w14:textId="77777777" w:rsidR="00FE4134" w:rsidRDefault="00FE4134" w:rsidP="005B6F8E">
      <w:pPr>
        <w:ind w:left="8505" w:hanging="142"/>
        <w:rPr>
          <w:sz w:val="24"/>
          <w:rtl/>
        </w:rPr>
      </w:pPr>
    </w:p>
    <w:p w14:paraId="612CE306" w14:textId="4583CCD8" w:rsidR="00A84C7C" w:rsidRDefault="004C3DF2" w:rsidP="00350DDD">
      <w:pPr>
        <w:ind w:left="8505" w:hanging="142"/>
        <w:rPr>
          <w:sz w:val="24"/>
          <w:rtl/>
        </w:rPr>
      </w:pPr>
      <w:r>
        <w:rPr>
          <w:rFonts w:hint="cs"/>
          <w:sz w:val="24"/>
          <w:rtl/>
        </w:rPr>
        <w:t xml:space="preserve">אפריל </w:t>
      </w:r>
      <w:r w:rsidR="00350DDD">
        <w:rPr>
          <w:rFonts w:hint="cs"/>
          <w:sz w:val="24"/>
          <w:rtl/>
        </w:rPr>
        <w:t>2019</w:t>
      </w:r>
    </w:p>
    <w:p w14:paraId="466D0BF9" w14:textId="2FE74662" w:rsidR="00F24C98" w:rsidRDefault="009525D6" w:rsidP="000A2650">
      <w:pPr>
        <w:jc w:val="center"/>
        <w:rPr>
          <w:highlight w:val="yellow"/>
          <w:rtl/>
        </w:rPr>
      </w:pPr>
      <w:r>
        <w:rPr>
          <w:rFonts w:hint="eastAsia"/>
          <w:b/>
          <w:bCs/>
          <w:sz w:val="28"/>
          <w:szCs w:val="28"/>
          <w:u w:val="single"/>
          <w:rtl/>
        </w:rPr>
        <w:t>דוחות</w:t>
      </w:r>
      <w:r>
        <w:rPr>
          <w:b/>
          <w:bCs/>
          <w:sz w:val="28"/>
          <w:szCs w:val="28"/>
          <w:u w:val="single"/>
          <w:rtl/>
        </w:rPr>
        <w:t xml:space="preserve"> כספיים ביניים </w:t>
      </w:r>
      <w:r>
        <w:rPr>
          <w:rFonts w:hint="eastAsia"/>
          <w:b/>
          <w:bCs/>
          <w:sz w:val="28"/>
          <w:szCs w:val="28"/>
          <w:u w:val="single"/>
          <w:rtl/>
        </w:rPr>
        <w:t>מאוחדים</w:t>
      </w:r>
      <w:r>
        <w:rPr>
          <w:b/>
          <w:bCs/>
          <w:sz w:val="28"/>
          <w:szCs w:val="28"/>
          <w:u w:val="single"/>
          <w:rtl/>
        </w:rPr>
        <w:t xml:space="preserve"> </w:t>
      </w:r>
      <w:r>
        <w:rPr>
          <w:rFonts w:hint="eastAsia"/>
          <w:b/>
          <w:bCs/>
          <w:sz w:val="28"/>
          <w:szCs w:val="28"/>
          <w:u w:val="single"/>
          <w:rtl/>
        </w:rPr>
        <w:t>לדוגמא</w:t>
      </w:r>
      <w:r>
        <w:rPr>
          <w:b/>
          <w:bCs/>
          <w:sz w:val="28"/>
          <w:szCs w:val="28"/>
          <w:u w:val="single"/>
          <w:rtl/>
        </w:rPr>
        <w:t xml:space="preserve"> </w:t>
      </w:r>
      <w:r>
        <w:rPr>
          <w:b/>
          <w:bCs/>
          <w:sz w:val="22"/>
          <w:szCs w:val="22"/>
          <w:u w:val="single"/>
        </w:rPr>
        <w:t>IFRS</w:t>
      </w:r>
      <w:r>
        <w:rPr>
          <w:b/>
          <w:bCs/>
          <w:sz w:val="22"/>
          <w:szCs w:val="22"/>
          <w:u w:val="single"/>
          <w:rtl/>
        </w:rPr>
        <w:t xml:space="preserve"> </w:t>
      </w:r>
      <w:r>
        <w:rPr>
          <w:b/>
          <w:bCs/>
          <w:sz w:val="28"/>
          <w:szCs w:val="28"/>
          <w:u w:val="single"/>
          <w:rtl/>
        </w:rPr>
        <w:t xml:space="preserve">לשנת </w:t>
      </w:r>
      <w:r w:rsidR="000A2650">
        <w:rPr>
          <w:rFonts w:hint="cs"/>
          <w:b/>
          <w:bCs/>
          <w:sz w:val="28"/>
          <w:szCs w:val="28"/>
          <w:u w:val="single"/>
          <w:rtl/>
        </w:rPr>
        <w:t>2019</w:t>
      </w:r>
    </w:p>
    <w:p w14:paraId="6071185C" w14:textId="77777777" w:rsidR="001D307E" w:rsidRDefault="001D307E" w:rsidP="009C5FD1">
      <w:pPr>
        <w:spacing w:line="240" w:lineRule="auto"/>
        <w:ind w:left="153"/>
        <w:rPr>
          <w:rtl/>
        </w:rPr>
      </w:pPr>
    </w:p>
    <w:p w14:paraId="6DC07782" w14:textId="176DD2E8" w:rsidR="008D22FA" w:rsidRPr="00350DDD" w:rsidRDefault="009525D6" w:rsidP="00E21527">
      <w:pPr>
        <w:spacing w:line="240" w:lineRule="auto"/>
        <w:rPr>
          <w:rtl/>
        </w:rPr>
      </w:pPr>
      <w:r w:rsidRPr="00350DDD">
        <w:rPr>
          <w:rFonts w:hint="eastAsia"/>
          <w:rtl/>
        </w:rPr>
        <w:t>להלן</w:t>
      </w:r>
      <w:r w:rsidRPr="00350DDD">
        <w:rPr>
          <w:rtl/>
        </w:rPr>
        <w:t xml:space="preserve"> דוחות כספיים ביניים </w:t>
      </w:r>
      <w:r w:rsidRPr="00350DDD">
        <w:rPr>
          <w:rFonts w:hint="eastAsia"/>
          <w:rtl/>
        </w:rPr>
        <w:t>מאוחדים</w:t>
      </w:r>
      <w:r w:rsidRPr="00350DDD">
        <w:rPr>
          <w:rtl/>
        </w:rPr>
        <w:t xml:space="preserve"> </w:t>
      </w:r>
      <w:r w:rsidRPr="00350DDD">
        <w:rPr>
          <w:rFonts w:hint="eastAsia"/>
          <w:rtl/>
        </w:rPr>
        <w:t>לדוגמא</w:t>
      </w:r>
      <w:r w:rsidRPr="00350DDD">
        <w:rPr>
          <w:rtl/>
        </w:rPr>
        <w:t xml:space="preserve"> </w:t>
      </w:r>
      <w:r w:rsidRPr="00350DDD">
        <w:rPr>
          <w:szCs w:val="22"/>
        </w:rPr>
        <w:t>IFRS</w:t>
      </w:r>
      <w:r w:rsidRPr="00350DDD">
        <w:rPr>
          <w:szCs w:val="22"/>
          <w:rtl/>
        </w:rPr>
        <w:t xml:space="preserve"> </w:t>
      </w:r>
      <w:r w:rsidRPr="00350DDD">
        <w:rPr>
          <w:rFonts w:hint="eastAsia"/>
          <w:rtl/>
        </w:rPr>
        <w:t>לשנת</w:t>
      </w:r>
      <w:r w:rsidRPr="00350DDD">
        <w:rPr>
          <w:rtl/>
        </w:rPr>
        <w:t xml:space="preserve"> </w:t>
      </w:r>
      <w:r w:rsidR="004A4A6B" w:rsidRPr="00350DDD">
        <w:rPr>
          <w:rFonts w:hint="cs"/>
          <w:rtl/>
        </w:rPr>
        <w:t>201</w:t>
      </w:r>
      <w:r w:rsidR="00E21527" w:rsidRPr="00350DDD">
        <w:rPr>
          <w:rFonts w:hint="cs"/>
          <w:rtl/>
        </w:rPr>
        <w:t>9</w:t>
      </w:r>
      <w:r w:rsidRPr="00350DDD">
        <w:rPr>
          <w:rtl/>
        </w:rPr>
        <w:t xml:space="preserve"> </w:t>
      </w:r>
      <w:r w:rsidRPr="00350DDD">
        <w:rPr>
          <w:rFonts w:hint="eastAsia"/>
          <w:rtl/>
        </w:rPr>
        <w:t>הערוכים</w:t>
      </w:r>
      <w:r w:rsidRPr="00350DDD">
        <w:rPr>
          <w:rtl/>
        </w:rPr>
        <w:t xml:space="preserve"> בהתאם לתקן </w:t>
      </w:r>
      <w:r w:rsidR="0000603D" w:rsidRPr="00350DDD">
        <w:rPr>
          <w:rFonts w:hint="cs"/>
          <w:rtl/>
        </w:rPr>
        <w:t xml:space="preserve">חשבונאות </w:t>
      </w:r>
      <w:r w:rsidRPr="00350DDD">
        <w:rPr>
          <w:rtl/>
        </w:rPr>
        <w:t xml:space="preserve">בינלאומי </w:t>
      </w:r>
      <w:r w:rsidRPr="00350DDD">
        <w:rPr>
          <w:szCs w:val="22"/>
        </w:rPr>
        <w:t>IAS</w:t>
      </w:r>
      <w:r w:rsidR="00BA362B" w:rsidRPr="00350DDD">
        <w:rPr>
          <w:szCs w:val="22"/>
        </w:rPr>
        <w:t> </w:t>
      </w:r>
      <w:r w:rsidRPr="00350DDD">
        <w:rPr>
          <w:szCs w:val="22"/>
        </w:rPr>
        <w:t>34</w:t>
      </w:r>
      <w:r w:rsidRPr="00350DDD">
        <w:rPr>
          <w:rtl/>
        </w:rPr>
        <w:t xml:space="preserve"> </w:t>
      </w:r>
      <w:r w:rsidRPr="00350DDD">
        <w:rPr>
          <w:rFonts w:hint="eastAsia"/>
          <w:i/>
          <w:iCs/>
          <w:rtl/>
        </w:rPr>
        <w:t>דיווח</w:t>
      </w:r>
      <w:r w:rsidRPr="00350DDD">
        <w:rPr>
          <w:i/>
          <w:iCs/>
          <w:rtl/>
        </w:rPr>
        <w:t xml:space="preserve"> </w:t>
      </w:r>
      <w:r w:rsidRPr="00350DDD">
        <w:rPr>
          <w:rFonts w:hint="eastAsia"/>
          <w:i/>
          <w:iCs/>
          <w:rtl/>
        </w:rPr>
        <w:t>כספי</w:t>
      </w:r>
      <w:r w:rsidRPr="00350DDD">
        <w:rPr>
          <w:i/>
          <w:iCs/>
          <w:rtl/>
        </w:rPr>
        <w:t xml:space="preserve"> </w:t>
      </w:r>
      <w:r w:rsidRPr="00350DDD">
        <w:rPr>
          <w:rFonts w:hint="eastAsia"/>
          <w:i/>
          <w:iCs/>
          <w:rtl/>
        </w:rPr>
        <w:t>לתקופות</w:t>
      </w:r>
      <w:r w:rsidRPr="00350DDD">
        <w:rPr>
          <w:i/>
          <w:iCs/>
          <w:rtl/>
        </w:rPr>
        <w:t xml:space="preserve"> </w:t>
      </w:r>
      <w:r w:rsidRPr="00350DDD">
        <w:rPr>
          <w:rFonts w:hint="eastAsia"/>
          <w:i/>
          <w:iCs/>
          <w:rtl/>
        </w:rPr>
        <w:t>ביניים</w:t>
      </w:r>
      <w:r w:rsidRPr="00350DDD">
        <w:rPr>
          <w:rtl/>
        </w:rPr>
        <w:t xml:space="preserve"> ו</w:t>
      </w:r>
      <w:r w:rsidRPr="00350DDD">
        <w:rPr>
          <w:rFonts w:hint="eastAsia"/>
          <w:rtl/>
        </w:rPr>
        <w:t>כוללים</w:t>
      </w:r>
      <w:r w:rsidRPr="00350DDD">
        <w:rPr>
          <w:rtl/>
        </w:rPr>
        <w:t xml:space="preserve"> גם את </w:t>
      </w:r>
      <w:r w:rsidRPr="00350DDD">
        <w:rPr>
          <w:rFonts w:hint="eastAsia"/>
          <w:rtl/>
        </w:rPr>
        <w:t>הוראות</w:t>
      </w:r>
      <w:r w:rsidRPr="00350DDD">
        <w:rPr>
          <w:rtl/>
        </w:rPr>
        <w:t xml:space="preserve"> </w:t>
      </w:r>
      <w:r w:rsidRPr="00350DDD">
        <w:rPr>
          <w:rFonts w:hint="eastAsia"/>
          <w:rtl/>
        </w:rPr>
        <w:t>הגילוי</w:t>
      </w:r>
      <w:r w:rsidRPr="00350DDD">
        <w:rPr>
          <w:rtl/>
        </w:rPr>
        <w:t xml:space="preserve"> </w:t>
      </w:r>
      <w:r w:rsidRPr="00350DDD">
        <w:rPr>
          <w:rFonts w:hint="eastAsia"/>
          <w:rtl/>
        </w:rPr>
        <w:t>בהתאם</w:t>
      </w:r>
      <w:r w:rsidRPr="00350DDD">
        <w:rPr>
          <w:rtl/>
        </w:rPr>
        <w:t xml:space="preserve"> </w:t>
      </w:r>
      <w:r w:rsidRPr="00350DDD">
        <w:rPr>
          <w:rFonts w:hint="eastAsia"/>
          <w:rtl/>
        </w:rPr>
        <w:t>לתקנות</w:t>
      </w:r>
      <w:r w:rsidRPr="00350DDD">
        <w:rPr>
          <w:rtl/>
        </w:rPr>
        <w:t xml:space="preserve"> </w:t>
      </w:r>
      <w:r w:rsidRPr="00350DDD">
        <w:rPr>
          <w:rFonts w:hint="eastAsia"/>
          <w:rtl/>
        </w:rPr>
        <w:t>ניירות</w:t>
      </w:r>
      <w:r w:rsidRPr="00350DDD">
        <w:rPr>
          <w:rtl/>
        </w:rPr>
        <w:t xml:space="preserve"> </w:t>
      </w:r>
      <w:r w:rsidRPr="00350DDD">
        <w:rPr>
          <w:rFonts w:hint="eastAsia"/>
          <w:rtl/>
        </w:rPr>
        <w:t>ערך</w:t>
      </w:r>
      <w:r w:rsidRPr="00350DDD">
        <w:rPr>
          <w:rtl/>
        </w:rPr>
        <w:t xml:space="preserve"> (דוחות </w:t>
      </w:r>
      <w:r w:rsidRPr="00350DDD">
        <w:rPr>
          <w:rFonts w:hint="eastAsia"/>
          <w:rtl/>
        </w:rPr>
        <w:t>תקופתיים</w:t>
      </w:r>
      <w:r w:rsidRPr="00350DDD">
        <w:rPr>
          <w:rtl/>
        </w:rPr>
        <w:t xml:space="preserve"> </w:t>
      </w:r>
      <w:r w:rsidRPr="00350DDD">
        <w:rPr>
          <w:rFonts w:hint="eastAsia"/>
          <w:rtl/>
        </w:rPr>
        <w:t>ומיידיים</w:t>
      </w:r>
      <w:r w:rsidRPr="00350DDD">
        <w:rPr>
          <w:rtl/>
        </w:rPr>
        <w:t xml:space="preserve">), </w:t>
      </w:r>
      <w:r w:rsidRPr="00350DDD">
        <w:rPr>
          <w:rFonts w:hint="eastAsia"/>
          <w:rtl/>
        </w:rPr>
        <w:t>התש</w:t>
      </w:r>
      <w:r w:rsidRPr="00350DDD">
        <w:rPr>
          <w:rtl/>
        </w:rPr>
        <w:t>"ל-1970 (להלן - תקנות דוחות תקופתיים ומיידיים).</w:t>
      </w:r>
    </w:p>
    <w:p w14:paraId="0BB59A42" w14:textId="77777777" w:rsidR="00634CB1" w:rsidRPr="00350DDD" w:rsidRDefault="00634CB1" w:rsidP="009C5FD1">
      <w:pPr>
        <w:spacing w:line="240" w:lineRule="auto"/>
        <w:rPr>
          <w:rtl/>
        </w:rPr>
      </w:pPr>
    </w:p>
    <w:p w14:paraId="50EB9C55" w14:textId="07ED7E58" w:rsidR="003124B3" w:rsidRPr="00350DDD" w:rsidRDefault="003124B3" w:rsidP="0008387F">
      <w:pPr>
        <w:spacing w:line="240" w:lineRule="auto"/>
        <w:rPr>
          <w:rtl/>
        </w:rPr>
      </w:pPr>
      <w:r w:rsidRPr="00350DDD">
        <w:rPr>
          <w:rFonts w:hint="cs"/>
          <w:rtl/>
        </w:rPr>
        <w:t>דוחות</w:t>
      </w:r>
      <w:r w:rsidRPr="00350DDD">
        <w:rPr>
          <w:rtl/>
        </w:rPr>
        <w:t xml:space="preserve"> כספיים ביניים </w:t>
      </w:r>
      <w:r w:rsidRPr="00350DDD">
        <w:rPr>
          <w:rFonts w:hint="eastAsia"/>
          <w:rtl/>
        </w:rPr>
        <w:t>מאוחדים</w:t>
      </w:r>
      <w:r w:rsidRPr="00350DDD">
        <w:rPr>
          <w:rtl/>
        </w:rPr>
        <w:t xml:space="preserve"> </w:t>
      </w:r>
      <w:r w:rsidRPr="00350DDD">
        <w:rPr>
          <w:rFonts w:hint="eastAsia"/>
          <w:rtl/>
        </w:rPr>
        <w:t>לדוגמא</w:t>
      </w:r>
      <w:r w:rsidR="00D01F67" w:rsidRPr="00350DDD">
        <w:rPr>
          <w:rFonts w:hint="cs"/>
          <w:rtl/>
        </w:rPr>
        <w:t xml:space="preserve"> אלה</w:t>
      </w:r>
      <w:r w:rsidRPr="00350DDD">
        <w:rPr>
          <w:rFonts w:hint="cs"/>
          <w:rtl/>
        </w:rPr>
        <w:t xml:space="preserve"> נערכו במתכונת דיווח של חברה המדווחת על בסיס רבעוני. חברה </w:t>
      </w:r>
      <w:r w:rsidR="00D30910" w:rsidRPr="00350DDD">
        <w:rPr>
          <w:rFonts w:hint="cs"/>
          <w:rtl/>
        </w:rPr>
        <w:t>המדווחת על בסיס חצי-שנתי בהתאם לתיקון תקנות ניירות ערך (דוחות תקופתיים ומיידיים) התש"ל-1970</w:t>
      </w:r>
      <w:r w:rsidR="004C3DF2" w:rsidRPr="00350DDD">
        <w:rPr>
          <w:rFonts w:hint="cs"/>
          <w:rtl/>
        </w:rPr>
        <w:t xml:space="preserve"> </w:t>
      </w:r>
      <w:r w:rsidR="00D30910" w:rsidRPr="00350DDD">
        <w:rPr>
          <w:rFonts w:hint="cs"/>
          <w:rtl/>
        </w:rPr>
        <w:t>תתאים את מתכונת הדיווח למתכונת דיווח חצי-שנתית, ללא דיווח רבעוני.</w:t>
      </w:r>
      <w:r w:rsidRPr="00350DDD">
        <w:rPr>
          <w:rFonts w:hint="cs"/>
          <w:rtl/>
        </w:rPr>
        <w:t xml:space="preserve"> </w:t>
      </w:r>
    </w:p>
    <w:p w14:paraId="79D95838" w14:textId="77777777" w:rsidR="003124B3" w:rsidRPr="00350DDD" w:rsidRDefault="003124B3" w:rsidP="009C5FD1">
      <w:pPr>
        <w:spacing w:line="240" w:lineRule="auto"/>
        <w:rPr>
          <w:rtl/>
        </w:rPr>
      </w:pPr>
    </w:p>
    <w:p w14:paraId="221A5967" w14:textId="2542296C" w:rsidR="00060CEC" w:rsidRPr="00350DDD" w:rsidRDefault="004C3DF2" w:rsidP="0008387F">
      <w:pPr>
        <w:spacing w:line="240" w:lineRule="auto"/>
        <w:rPr>
          <w:rtl/>
        </w:rPr>
      </w:pPr>
      <w:r w:rsidRPr="00350DDD">
        <w:rPr>
          <w:rFonts w:hint="cs"/>
          <w:rtl/>
        </w:rPr>
        <w:t xml:space="preserve">דוחות כספיים אלה כוללים יישום לראשונה של תקני הדיווח הכספי </w:t>
      </w:r>
      <w:r w:rsidR="00350DDD" w:rsidRPr="00350DDD">
        <w:rPr>
          <w:rFonts w:hint="cs"/>
          <w:rtl/>
        </w:rPr>
        <w:t xml:space="preserve">ותיקונים לתקני הדיווח הכספי </w:t>
      </w:r>
      <w:r w:rsidRPr="00350DDD">
        <w:rPr>
          <w:rFonts w:hint="cs"/>
          <w:rtl/>
        </w:rPr>
        <w:t xml:space="preserve">הבאים שמועד תחילתם הינו ביום </w:t>
      </w:r>
      <w:r w:rsidR="0008387F">
        <w:rPr>
          <w:rFonts w:hint="cs"/>
          <w:rtl/>
        </w:rPr>
        <w:t>1 בינואר 2019:</w:t>
      </w:r>
    </w:p>
    <w:p w14:paraId="148BFCFD" w14:textId="77777777" w:rsidR="009C5FD1" w:rsidRPr="00381ED8" w:rsidRDefault="009C5FD1" w:rsidP="00350DDD">
      <w:pPr>
        <w:spacing w:line="240" w:lineRule="auto"/>
        <w:jc w:val="center"/>
        <w:rPr>
          <w:highlight w:val="yellow"/>
          <w:rtl/>
        </w:rPr>
      </w:pPr>
    </w:p>
    <w:p w14:paraId="76983966" w14:textId="4979A1E3" w:rsidR="004C3DF2" w:rsidRPr="007B6C54" w:rsidRDefault="009C5FD1" w:rsidP="00E6154E">
      <w:pPr>
        <w:pStyle w:val="01"/>
        <w:spacing w:line="240" w:lineRule="auto"/>
      </w:pPr>
      <w:r w:rsidRPr="007B6C54">
        <w:rPr>
          <w:rFonts w:hint="cs"/>
          <w:rtl/>
        </w:rPr>
        <w:t>1.</w:t>
      </w:r>
      <w:r w:rsidRPr="007B6C54">
        <w:rPr>
          <w:rFonts w:hint="cs"/>
          <w:rtl/>
        </w:rPr>
        <w:tab/>
      </w:r>
      <w:r w:rsidR="004C3DF2" w:rsidRPr="007B6C54">
        <w:rPr>
          <w:rFonts w:hint="cs"/>
          <w:rtl/>
        </w:rPr>
        <w:t xml:space="preserve">תקן דיווח כספי בינלאומי מספר </w:t>
      </w:r>
      <w:r w:rsidR="00350DDD" w:rsidRPr="007B6C54">
        <w:rPr>
          <w:rFonts w:hint="cs"/>
          <w:rtl/>
        </w:rPr>
        <w:t>16</w:t>
      </w:r>
      <w:r w:rsidR="004C3DF2" w:rsidRPr="007B6C54">
        <w:rPr>
          <w:rFonts w:hint="cs"/>
          <w:rtl/>
        </w:rPr>
        <w:t xml:space="preserve"> (</w:t>
      </w:r>
      <w:r w:rsidR="004C3DF2" w:rsidRPr="007B6C54">
        <w:t xml:space="preserve">IFRS </w:t>
      </w:r>
      <w:r w:rsidR="00E6154E" w:rsidRPr="007B6C54">
        <w:t>16</w:t>
      </w:r>
      <w:r w:rsidR="004C3DF2" w:rsidRPr="007B6C54">
        <w:rPr>
          <w:rFonts w:hint="cs"/>
          <w:rtl/>
        </w:rPr>
        <w:t xml:space="preserve">) </w:t>
      </w:r>
      <w:r w:rsidR="005C7519" w:rsidRPr="007B6C54">
        <w:rPr>
          <w:rtl/>
        </w:rPr>
        <w:t>-</w:t>
      </w:r>
      <w:r w:rsidR="004C3DF2" w:rsidRPr="007B6C54">
        <w:rPr>
          <w:rFonts w:hint="cs"/>
          <w:rtl/>
        </w:rPr>
        <w:t xml:space="preserve"> </w:t>
      </w:r>
      <w:r w:rsidR="00E6154E" w:rsidRPr="007B6C54">
        <w:rPr>
          <w:rFonts w:hint="cs"/>
          <w:i/>
          <w:iCs/>
          <w:rtl/>
        </w:rPr>
        <w:t>חכירות</w:t>
      </w:r>
      <w:r w:rsidR="004C3DF2" w:rsidRPr="007B6C54">
        <w:rPr>
          <w:rFonts w:hint="cs"/>
          <w:rtl/>
        </w:rPr>
        <w:t xml:space="preserve">. </w:t>
      </w:r>
    </w:p>
    <w:p w14:paraId="46223717" w14:textId="41A54B51" w:rsidR="004C3DF2" w:rsidRDefault="009C5FD1" w:rsidP="007B6C54">
      <w:pPr>
        <w:pStyle w:val="01"/>
        <w:spacing w:line="240" w:lineRule="auto"/>
        <w:rPr>
          <w:rtl/>
        </w:rPr>
      </w:pPr>
      <w:r w:rsidRPr="007B6C54">
        <w:rPr>
          <w:rFonts w:hint="cs"/>
          <w:rtl/>
        </w:rPr>
        <w:t>2.</w:t>
      </w:r>
      <w:r w:rsidRPr="007B6C54">
        <w:rPr>
          <w:rFonts w:hint="cs"/>
          <w:rtl/>
        </w:rPr>
        <w:tab/>
      </w:r>
      <w:r w:rsidR="007B6C54">
        <w:rPr>
          <w:rFonts w:hint="cs"/>
          <w:rtl/>
        </w:rPr>
        <w:t>תיקונים במסגרת פרויקט השיפורים בתקינה הבינלאומית 2015-2017.</w:t>
      </w:r>
    </w:p>
    <w:p w14:paraId="3BD2FA76" w14:textId="61E96E75" w:rsidR="007B6C54" w:rsidRPr="007B6C54" w:rsidRDefault="007B6C54" w:rsidP="007B6C54">
      <w:pPr>
        <w:pStyle w:val="01"/>
        <w:spacing w:line="240" w:lineRule="auto"/>
        <w:rPr>
          <w:rtl/>
        </w:rPr>
      </w:pPr>
      <w:r>
        <w:rPr>
          <w:rFonts w:hint="cs"/>
          <w:rtl/>
        </w:rPr>
        <w:t>3</w:t>
      </w:r>
      <w:r w:rsidRPr="007B6C54">
        <w:rPr>
          <w:rFonts w:hint="cs"/>
          <w:rtl/>
        </w:rPr>
        <w:t>.</w:t>
      </w:r>
      <w:r w:rsidRPr="007B6C54">
        <w:rPr>
          <w:rFonts w:hint="cs"/>
          <w:rtl/>
        </w:rPr>
        <w:tab/>
      </w:r>
      <w:r>
        <w:rPr>
          <w:rFonts w:hint="cs"/>
          <w:rtl/>
        </w:rPr>
        <w:t xml:space="preserve">פרשנות מספר 23 של הוועדה לפרשנויות של דיווח כספי בינלאומי </w:t>
      </w:r>
      <w:r>
        <w:rPr>
          <w:rtl/>
        </w:rPr>
        <w:t>–</w:t>
      </w:r>
      <w:r>
        <w:rPr>
          <w:rFonts w:hint="cs"/>
          <w:rtl/>
        </w:rPr>
        <w:t xml:space="preserve"> </w:t>
      </w:r>
      <w:r w:rsidRPr="007B6C54">
        <w:rPr>
          <w:rFonts w:hint="cs"/>
          <w:i/>
          <w:iCs/>
          <w:rtl/>
        </w:rPr>
        <w:t>חוסר ודאות לגבי טיפולי מסים על ההכנסה</w:t>
      </w:r>
      <w:r>
        <w:rPr>
          <w:rFonts w:hint="cs"/>
          <w:rtl/>
        </w:rPr>
        <w:t>.</w:t>
      </w:r>
    </w:p>
    <w:p w14:paraId="27DF66D9" w14:textId="1AC56996" w:rsidR="007B6C54" w:rsidRDefault="007B6C54" w:rsidP="007B6C54">
      <w:pPr>
        <w:pStyle w:val="01"/>
        <w:spacing w:line="240" w:lineRule="auto"/>
        <w:rPr>
          <w:rtl/>
        </w:rPr>
      </w:pPr>
      <w:r>
        <w:rPr>
          <w:rFonts w:hint="cs"/>
          <w:rtl/>
        </w:rPr>
        <w:t>4</w:t>
      </w:r>
      <w:r w:rsidRPr="007B6C54">
        <w:rPr>
          <w:rFonts w:hint="cs"/>
          <w:rtl/>
        </w:rPr>
        <w:t>.</w:t>
      </w:r>
      <w:r w:rsidRPr="007B6C54">
        <w:rPr>
          <w:rFonts w:hint="cs"/>
          <w:rtl/>
        </w:rPr>
        <w:tab/>
      </w:r>
      <w:r>
        <w:rPr>
          <w:rFonts w:hint="cs"/>
          <w:rtl/>
        </w:rPr>
        <w:t>פרשנות של הוועדה לפרשנויות של דיווח כספי בינלאומי בנושא היוון עלויות אשראי.</w:t>
      </w:r>
    </w:p>
    <w:p w14:paraId="2D3F8037" w14:textId="03E1967C" w:rsidR="007B6C54" w:rsidRDefault="007B6C54" w:rsidP="007B6C54">
      <w:pPr>
        <w:pStyle w:val="01"/>
        <w:spacing w:line="240" w:lineRule="auto"/>
        <w:rPr>
          <w:rtl/>
        </w:rPr>
      </w:pPr>
      <w:r>
        <w:rPr>
          <w:rFonts w:hint="cs"/>
          <w:rtl/>
        </w:rPr>
        <w:t>5</w:t>
      </w:r>
      <w:r w:rsidRPr="007B6C54">
        <w:rPr>
          <w:rFonts w:hint="cs"/>
          <w:rtl/>
        </w:rPr>
        <w:t>.</w:t>
      </w:r>
      <w:r w:rsidRPr="007B6C54">
        <w:rPr>
          <w:rFonts w:hint="cs"/>
          <w:rtl/>
        </w:rPr>
        <w:tab/>
      </w:r>
      <w:r>
        <w:rPr>
          <w:rFonts w:hint="cs"/>
          <w:rtl/>
        </w:rPr>
        <w:t xml:space="preserve">תיקון לתקן חשבונאות בינלאומי 28 </w:t>
      </w:r>
      <w:r>
        <w:rPr>
          <w:rtl/>
        </w:rPr>
        <w:t>–</w:t>
      </w:r>
      <w:r>
        <w:rPr>
          <w:rFonts w:hint="cs"/>
          <w:rtl/>
        </w:rPr>
        <w:t xml:space="preserve"> </w:t>
      </w:r>
      <w:r w:rsidRPr="007B6C54">
        <w:rPr>
          <w:rFonts w:hint="cs"/>
          <w:i/>
          <w:iCs/>
          <w:rtl/>
        </w:rPr>
        <w:t>השקעות בחברות כלולות ובעסקאות משותפות</w:t>
      </w:r>
      <w:r>
        <w:rPr>
          <w:rFonts w:hint="cs"/>
          <w:rtl/>
        </w:rPr>
        <w:t>.</w:t>
      </w:r>
    </w:p>
    <w:p w14:paraId="4D64C0A6" w14:textId="77777777" w:rsidR="007B6C54" w:rsidRDefault="007B6C54" w:rsidP="007B6C54">
      <w:pPr>
        <w:pStyle w:val="01"/>
        <w:spacing w:line="240" w:lineRule="auto"/>
        <w:rPr>
          <w:rtl/>
        </w:rPr>
      </w:pPr>
    </w:p>
    <w:p w14:paraId="4AD5D427" w14:textId="6FE9C9D5" w:rsidR="004C3DF2" w:rsidRPr="00631E8D" w:rsidRDefault="00EC1594" w:rsidP="006448AF">
      <w:pPr>
        <w:spacing w:line="240" w:lineRule="auto"/>
        <w:rPr>
          <w:rtl/>
        </w:rPr>
      </w:pPr>
      <w:r w:rsidRPr="00631E8D">
        <w:rPr>
          <w:rFonts w:hint="cs"/>
          <w:rtl/>
        </w:rPr>
        <w:t xml:space="preserve">באור </w:t>
      </w:r>
      <w:r w:rsidR="00B40F88" w:rsidRPr="00631E8D">
        <w:rPr>
          <w:rFonts w:hint="cs"/>
          <w:rtl/>
        </w:rPr>
        <w:t>2</w:t>
      </w:r>
      <w:r w:rsidR="006448AF">
        <w:rPr>
          <w:rFonts w:hint="cs"/>
          <w:rtl/>
        </w:rPr>
        <w:t>ג</w:t>
      </w:r>
      <w:r w:rsidR="00B40F88" w:rsidRPr="00631E8D">
        <w:rPr>
          <w:rFonts w:hint="cs"/>
          <w:rtl/>
        </w:rPr>
        <w:t>'</w:t>
      </w:r>
      <w:r w:rsidR="00BE6EA5" w:rsidRPr="00631E8D">
        <w:rPr>
          <w:rFonts w:hint="cs"/>
          <w:rtl/>
        </w:rPr>
        <w:t xml:space="preserve">1 </w:t>
      </w:r>
      <w:r w:rsidRPr="00631E8D">
        <w:rPr>
          <w:rtl/>
        </w:rPr>
        <w:t xml:space="preserve">כולל גילוי להשלכות יישום </w:t>
      </w:r>
      <w:r w:rsidR="00631E8D" w:rsidRPr="00631E8D">
        <w:t>IFRS 16</w:t>
      </w:r>
      <w:r w:rsidRPr="00631E8D">
        <w:rPr>
          <w:rtl/>
        </w:rPr>
        <w:t xml:space="preserve">. </w:t>
      </w:r>
      <w:r w:rsidR="004C3DF2" w:rsidRPr="00631E8D">
        <w:rPr>
          <w:rFonts w:hint="eastAsia"/>
          <w:rtl/>
        </w:rPr>
        <w:t>דוח</w:t>
      </w:r>
      <w:r w:rsidR="004C3DF2" w:rsidRPr="00631E8D">
        <w:rPr>
          <w:rtl/>
        </w:rPr>
        <w:t xml:space="preserve"> לדוגמה זה כולל את יישום </w:t>
      </w:r>
      <w:r w:rsidR="004C3DF2" w:rsidRPr="00631E8D">
        <w:t xml:space="preserve">IFRS </w:t>
      </w:r>
      <w:r w:rsidR="00631E8D" w:rsidRPr="00631E8D">
        <w:t>16</w:t>
      </w:r>
      <w:r w:rsidR="004C3DF2" w:rsidRPr="00631E8D">
        <w:rPr>
          <w:rtl/>
        </w:rPr>
        <w:t xml:space="preserve"> בדרך של יישום למפרע חלקי. חברות אשר </w:t>
      </w:r>
      <w:r w:rsidR="00D254EB">
        <w:rPr>
          <w:rFonts w:hint="cs"/>
          <w:rtl/>
        </w:rPr>
        <w:t xml:space="preserve">יישמו את התקן בדרך של יישום למפרע מלא </w:t>
      </w:r>
      <w:r w:rsidR="004C3DF2" w:rsidRPr="00631E8D">
        <w:rPr>
          <w:rtl/>
        </w:rPr>
        <w:t>יתאימו את הגילויים הנדרשים</w:t>
      </w:r>
      <w:r w:rsidR="00E45B9C" w:rsidRPr="00631E8D">
        <w:rPr>
          <w:rFonts w:hint="cs"/>
          <w:rtl/>
        </w:rPr>
        <w:t xml:space="preserve"> </w:t>
      </w:r>
      <w:r w:rsidR="00E45B9C" w:rsidRPr="001439CD">
        <w:rPr>
          <w:rFonts w:hint="cs"/>
          <w:u w:val="single"/>
          <w:rtl/>
        </w:rPr>
        <w:t>כמפורט בנספח ב'</w:t>
      </w:r>
      <w:r w:rsidR="00E45B9C" w:rsidRPr="00631E8D">
        <w:rPr>
          <w:rFonts w:hint="cs"/>
          <w:rtl/>
        </w:rPr>
        <w:t xml:space="preserve"> המצורף לדוח לדוגמה זה</w:t>
      </w:r>
      <w:r w:rsidR="004C3DF2" w:rsidRPr="00631E8D">
        <w:rPr>
          <w:rtl/>
        </w:rPr>
        <w:t>.</w:t>
      </w:r>
      <w:r w:rsidR="004C3DF2" w:rsidRPr="00631E8D">
        <w:rPr>
          <w:rFonts w:hint="cs"/>
          <w:rtl/>
        </w:rPr>
        <w:t xml:space="preserve"> </w:t>
      </w:r>
    </w:p>
    <w:p w14:paraId="551D5B8C" w14:textId="77777777" w:rsidR="00753044" w:rsidRPr="00381ED8" w:rsidRDefault="00753044" w:rsidP="009C5FD1">
      <w:pPr>
        <w:spacing w:line="240" w:lineRule="auto"/>
        <w:rPr>
          <w:highlight w:val="yellow"/>
          <w:rtl/>
        </w:rPr>
      </w:pPr>
    </w:p>
    <w:p w14:paraId="79797BC6" w14:textId="77777777" w:rsidR="00BE5F92" w:rsidRPr="007461FB" w:rsidRDefault="00BE5F92" w:rsidP="009C5FD1">
      <w:pPr>
        <w:spacing w:line="240" w:lineRule="auto"/>
        <w:rPr>
          <w:rtl/>
        </w:rPr>
      </w:pPr>
      <w:r w:rsidRPr="007461FB">
        <w:rPr>
          <w:rFonts w:hint="eastAsia"/>
          <w:rtl/>
        </w:rPr>
        <w:t>תקנות</w:t>
      </w:r>
      <w:r w:rsidRPr="007461FB">
        <w:rPr>
          <w:rtl/>
        </w:rPr>
        <w:t xml:space="preserve"> </w:t>
      </w:r>
      <w:r w:rsidRPr="007461FB">
        <w:rPr>
          <w:rFonts w:hint="eastAsia"/>
          <w:rtl/>
        </w:rPr>
        <w:t>דוחות</w:t>
      </w:r>
      <w:r w:rsidRPr="007461FB">
        <w:rPr>
          <w:rtl/>
        </w:rPr>
        <w:t xml:space="preserve"> </w:t>
      </w:r>
      <w:r w:rsidRPr="007461FB">
        <w:rPr>
          <w:rFonts w:hint="eastAsia"/>
          <w:rtl/>
        </w:rPr>
        <w:t>תקופתיים</w:t>
      </w:r>
      <w:r w:rsidRPr="007461FB">
        <w:rPr>
          <w:rtl/>
        </w:rPr>
        <w:t xml:space="preserve"> </w:t>
      </w:r>
      <w:r w:rsidRPr="007461FB">
        <w:rPr>
          <w:rFonts w:hint="eastAsia"/>
          <w:rtl/>
        </w:rPr>
        <w:t>ומיידיים</w:t>
      </w:r>
      <w:r w:rsidRPr="007461FB">
        <w:rPr>
          <w:rtl/>
        </w:rPr>
        <w:t xml:space="preserve"> </w:t>
      </w:r>
      <w:r w:rsidRPr="007461FB">
        <w:rPr>
          <w:rFonts w:hint="eastAsia"/>
          <w:rtl/>
        </w:rPr>
        <w:t>כוללות</w:t>
      </w:r>
      <w:r w:rsidRPr="007461FB">
        <w:rPr>
          <w:rtl/>
        </w:rPr>
        <w:t xml:space="preserve"> </w:t>
      </w:r>
      <w:r w:rsidRPr="007461FB">
        <w:rPr>
          <w:rFonts w:hint="eastAsia"/>
          <w:rtl/>
        </w:rPr>
        <w:t>דרישה</w:t>
      </w:r>
      <w:r w:rsidRPr="007461FB">
        <w:rPr>
          <w:rtl/>
        </w:rPr>
        <w:t xml:space="preserve"> </w:t>
      </w:r>
      <w:r w:rsidRPr="007461FB">
        <w:rPr>
          <w:rFonts w:hint="eastAsia"/>
          <w:rtl/>
        </w:rPr>
        <w:t>למתן</w:t>
      </w:r>
      <w:r w:rsidRPr="007461FB">
        <w:rPr>
          <w:rtl/>
        </w:rPr>
        <w:t xml:space="preserve"> </w:t>
      </w:r>
      <w:r w:rsidRPr="007461FB">
        <w:rPr>
          <w:rFonts w:hint="eastAsia"/>
          <w:rtl/>
        </w:rPr>
        <w:t>נתונים</w:t>
      </w:r>
      <w:r w:rsidRPr="007461FB">
        <w:rPr>
          <w:rtl/>
        </w:rPr>
        <w:t xml:space="preserve"> </w:t>
      </w:r>
      <w:r w:rsidRPr="007461FB">
        <w:rPr>
          <w:rFonts w:hint="eastAsia"/>
          <w:rtl/>
        </w:rPr>
        <w:t>נוספים</w:t>
      </w:r>
      <w:r w:rsidRPr="007461FB">
        <w:rPr>
          <w:rtl/>
        </w:rPr>
        <w:t xml:space="preserve"> </w:t>
      </w:r>
      <w:r w:rsidRPr="007461FB">
        <w:rPr>
          <w:rFonts w:hint="eastAsia"/>
          <w:rtl/>
        </w:rPr>
        <w:t>על</w:t>
      </w:r>
      <w:r w:rsidRPr="007461FB">
        <w:rPr>
          <w:rtl/>
        </w:rPr>
        <w:t xml:space="preserve"> </w:t>
      </w:r>
      <w:r w:rsidRPr="007461FB">
        <w:rPr>
          <w:rFonts w:hint="eastAsia"/>
          <w:rtl/>
        </w:rPr>
        <w:t>בסיס</w:t>
      </w:r>
      <w:r w:rsidRPr="007461FB">
        <w:rPr>
          <w:rtl/>
        </w:rPr>
        <w:t xml:space="preserve"> </w:t>
      </w:r>
      <w:r w:rsidRPr="007461FB">
        <w:rPr>
          <w:rFonts w:hint="eastAsia"/>
          <w:rtl/>
        </w:rPr>
        <w:t>הדוח</w:t>
      </w:r>
      <w:r w:rsidRPr="007461FB">
        <w:rPr>
          <w:rtl/>
        </w:rPr>
        <w:t xml:space="preserve"> </w:t>
      </w:r>
      <w:r w:rsidRPr="007461FB">
        <w:rPr>
          <w:rFonts w:hint="eastAsia"/>
          <w:rtl/>
        </w:rPr>
        <w:t>המאוחד</w:t>
      </w:r>
      <w:r w:rsidRPr="007461FB">
        <w:rPr>
          <w:rtl/>
        </w:rPr>
        <w:t xml:space="preserve">, שמתייחסים רק לחברה ("סולו"). </w:t>
      </w:r>
      <w:r w:rsidRPr="007461FB">
        <w:rPr>
          <w:rFonts w:hint="eastAsia"/>
          <w:rtl/>
        </w:rPr>
        <w:t>על</w:t>
      </w:r>
      <w:r w:rsidRPr="007461FB">
        <w:rPr>
          <w:rtl/>
        </w:rPr>
        <w:t xml:space="preserve"> </w:t>
      </w:r>
      <w:r w:rsidRPr="007461FB">
        <w:rPr>
          <w:rFonts w:hint="eastAsia"/>
          <w:rtl/>
        </w:rPr>
        <w:t>נתוני</w:t>
      </w:r>
      <w:r w:rsidRPr="007461FB">
        <w:rPr>
          <w:rtl/>
        </w:rPr>
        <w:t xml:space="preserve"> "סולו" אלה להיכלל בדוח הרבעוני ולהיות מלווים בדוח סקירה של רואה החשבון המבקר. דוחות "סולו" </w:t>
      </w:r>
      <w:r w:rsidRPr="007461FB">
        <w:rPr>
          <w:rFonts w:hint="eastAsia"/>
          <w:rtl/>
        </w:rPr>
        <w:t>לדוגמא</w:t>
      </w:r>
      <w:r w:rsidRPr="007461FB">
        <w:rPr>
          <w:rtl/>
        </w:rPr>
        <w:t xml:space="preserve"> </w:t>
      </w:r>
      <w:r w:rsidRPr="007461FB">
        <w:rPr>
          <w:rFonts w:hint="eastAsia"/>
          <w:rtl/>
        </w:rPr>
        <w:t>מופצים</w:t>
      </w:r>
      <w:r w:rsidRPr="007461FB">
        <w:rPr>
          <w:rtl/>
        </w:rPr>
        <w:t xml:space="preserve"> </w:t>
      </w:r>
      <w:r w:rsidRPr="007461FB">
        <w:rPr>
          <w:rFonts w:hint="eastAsia"/>
          <w:rtl/>
        </w:rPr>
        <w:t>בנפרד</w:t>
      </w:r>
      <w:r w:rsidRPr="007461FB">
        <w:rPr>
          <w:rtl/>
        </w:rPr>
        <w:t>.</w:t>
      </w:r>
    </w:p>
    <w:p w14:paraId="448E4F12" w14:textId="77777777" w:rsidR="00BE5F92" w:rsidRPr="007461FB" w:rsidRDefault="00BE5F92" w:rsidP="009C5FD1">
      <w:pPr>
        <w:spacing w:line="240" w:lineRule="auto"/>
        <w:rPr>
          <w:rtl/>
        </w:rPr>
      </w:pPr>
    </w:p>
    <w:p w14:paraId="227C2DFF" w14:textId="77777777" w:rsidR="00BE5F92" w:rsidRPr="00045C35" w:rsidRDefault="00BE5F92" w:rsidP="009C5FD1">
      <w:pPr>
        <w:spacing w:line="240" w:lineRule="auto"/>
      </w:pPr>
      <w:r w:rsidRPr="007461FB">
        <w:rPr>
          <w:rFonts w:hint="eastAsia"/>
          <w:rtl/>
        </w:rPr>
        <w:t>תקנות</w:t>
      </w:r>
      <w:r w:rsidRPr="007461FB">
        <w:rPr>
          <w:rtl/>
        </w:rPr>
        <w:t xml:space="preserve"> </w:t>
      </w:r>
      <w:r w:rsidRPr="007461FB">
        <w:rPr>
          <w:rFonts w:hint="eastAsia"/>
          <w:rtl/>
        </w:rPr>
        <w:t>דוחות</w:t>
      </w:r>
      <w:r w:rsidRPr="007461FB">
        <w:rPr>
          <w:rtl/>
        </w:rPr>
        <w:t xml:space="preserve"> </w:t>
      </w:r>
      <w:r w:rsidRPr="007461FB">
        <w:rPr>
          <w:rFonts w:hint="eastAsia"/>
          <w:rtl/>
        </w:rPr>
        <w:t>תקופתיים</w:t>
      </w:r>
      <w:r w:rsidRPr="007461FB">
        <w:rPr>
          <w:rtl/>
        </w:rPr>
        <w:t xml:space="preserve"> </w:t>
      </w:r>
      <w:r w:rsidRPr="007461FB">
        <w:rPr>
          <w:rFonts w:hint="eastAsia"/>
          <w:rtl/>
        </w:rPr>
        <w:t>ומיידיים</w:t>
      </w:r>
      <w:r w:rsidRPr="007461FB">
        <w:rPr>
          <w:rtl/>
        </w:rPr>
        <w:t xml:space="preserve"> </w:t>
      </w:r>
      <w:r w:rsidRPr="007461FB">
        <w:rPr>
          <w:rFonts w:hint="eastAsia"/>
          <w:rtl/>
        </w:rPr>
        <w:t>כוללות</w:t>
      </w:r>
      <w:r w:rsidRPr="007461FB">
        <w:rPr>
          <w:rtl/>
        </w:rPr>
        <w:t xml:space="preserve"> </w:t>
      </w:r>
      <w:r w:rsidRPr="007461FB">
        <w:rPr>
          <w:rFonts w:hint="eastAsia"/>
          <w:rtl/>
        </w:rPr>
        <w:t>אף</w:t>
      </w:r>
      <w:r w:rsidRPr="007461FB">
        <w:rPr>
          <w:rtl/>
        </w:rPr>
        <w:t xml:space="preserve"> </w:t>
      </w:r>
      <w:r w:rsidRPr="007461FB">
        <w:rPr>
          <w:rFonts w:hint="eastAsia"/>
          <w:rtl/>
        </w:rPr>
        <w:t>דרישה</w:t>
      </w:r>
      <w:r w:rsidRPr="007461FB">
        <w:rPr>
          <w:rtl/>
        </w:rPr>
        <w:t xml:space="preserve"> </w:t>
      </w:r>
      <w:r w:rsidRPr="007461FB">
        <w:rPr>
          <w:rFonts w:hint="eastAsia"/>
          <w:rtl/>
        </w:rPr>
        <w:t>להציג</w:t>
      </w:r>
      <w:r w:rsidRPr="007461FB">
        <w:rPr>
          <w:rtl/>
        </w:rPr>
        <w:t xml:space="preserve"> </w:t>
      </w:r>
      <w:r w:rsidRPr="007461FB">
        <w:rPr>
          <w:rFonts w:hint="eastAsia"/>
          <w:rtl/>
        </w:rPr>
        <w:t>דוחות</w:t>
      </w:r>
      <w:r w:rsidRPr="007461FB">
        <w:rPr>
          <w:rtl/>
        </w:rPr>
        <w:t xml:space="preserve"> </w:t>
      </w:r>
      <w:r w:rsidRPr="007461FB">
        <w:rPr>
          <w:rFonts w:hint="eastAsia"/>
          <w:rtl/>
        </w:rPr>
        <w:t>כספיים</w:t>
      </w:r>
      <w:r w:rsidRPr="007461FB">
        <w:rPr>
          <w:rtl/>
        </w:rPr>
        <w:t xml:space="preserve"> </w:t>
      </w:r>
      <w:r w:rsidRPr="007461FB">
        <w:rPr>
          <w:rFonts w:hint="eastAsia"/>
          <w:rtl/>
        </w:rPr>
        <w:t>פרופורמה</w:t>
      </w:r>
      <w:r w:rsidRPr="007461FB">
        <w:rPr>
          <w:rtl/>
        </w:rPr>
        <w:t xml:space="preserve"> </w:t>
      </w:r>
      <w:r w:rsidRPr="007461FB">
        <w:rPr>
          <w:rFonts w:hint="eastAsia"/>
          <w:rtl/>
        </w:rPr>
        <w:t>במקרה</w:t>
      </w:r>
      <w:r w:rsidRPr="007461FB">
        <w:rPr>
          <w:rtl/>
        </w:rPr>
        <w:t xml:space="preserve"> </w:t>
      </w:r>
      <w:r w:rsidRPr="007461FB">
        <w:rPr>
          <w:rFonts w:hint="eastAsia"/>
          <w:rtl/>
        </w:rPr>
        <w:t>שחל</w:t>
      </w:r>
      <w:r w:rsidRPr="007461FB">
        <w:rPr>
          <w:rtl/>
        </w:rPr>
        <w:t xml:space="preserve"> </w:t>
      </w:r>
      <w:r w:rsidRPr="007461FB">
        <w:rPr>
          <w:rFonts w:hint="eastAsia"/>
          <w:rtl/>
        </w:rPr>
        <w:t>אירוע</w:t>
      </w:r>
      <w:r w:rsidRPr="007461FB">
        <w:rPr>
          <w:rtl/>
        </w:rPr>
        <w:t xml:space="preserve"> </w:t>
      </w:r>
      <w:r w:rsidRPr="007461FB">
        <w:rPr>
          <w:rFonts w:hint="eastAsia"/>
          <w:rtl/>
        </w:rPr>
        <w:t>פרופורמה</w:t>
      </w:r>
      <w:r w:rsidRPr="007461FB">
        <w:rPr>
          <w:rtl/>
        </w:rPr>
        <w:t xml:space="preserve"> </w:t>
      </w:r>
      <w:r w:rsidRPr="007461FB">
        <w:rPr>
          <w:rFonts w:hint="eastAsia"/>
          <w:rtl/>
        </w:rPr>
        <w:t>כמשמעותו</w:t>
      </w:r>
      <w:r w:rsidRPr="007461FB">
        <w:rPr>
          <w:rtl/>
        </w:rPr>
        <w:t xml:space="preserve"> </w:t>
      </w:r>
      <w:r w:rsidRPr="007461FB">
        <w:rPr>
          <w:rFonts w:hint="eastAsia"/>
          <w:rtl/>
        </w:rPr>
        <w:t>בתקנות</w:t>
      </w:r>
      <w:r w:rsidRPr="007461FB">
        <w:rPr>
          <w:rtl/>
        </w:rPr>
        <w:t xml:space="preserve"> </w:t>
      </w:r>
      <w:r w:rsidRPr="007461FB">
        <w:rPr>
          <w:rFonts w:hint="eastAsia"/>
          <w:rtl/>
        </w:rPr>
        <w:t>כאמור</w:t>
      </w:r>
      <w:r w:rsidRPr="007461FB">
        <w:rPr>
          <w:rtl/>
        </w:rPr>
        <w:t xml:space="preserve">. </w:t>
      </w:r>
      <w:r w:rsidRPr="007461FB">
        <w:rPr>
          <w:rFonts w:hint="eastAsia"/>
          <w:rtl/>
        </w:rPr>
        <w:t>דוחות</w:t>
      </w:r>
      <w:r w:rsidRPr="007461FB">
        <w:rPr>
          <w:rtl/>
        </w:rPr>
        <w:t xml:space="preserve"> </w:t>
      </w:r>
      <w:r w:rsidRPr="007461FB">
        <w:rPr>
          <w:rFonts w:hint="eastAsia"/>
          <w:rtl/>
        </w:rPr>
        <w:t>הפרופורמה</w:t>
      </w:r>
      <w:r w:rsidRPr="007461FB">
        <w:rPr>
          <w:rtl/>
        </w:rPr>
        <w:t xml:space="preserve"> </w:t>
      </w:r>
      <w:r w:rsidRPr="007461FB">
        <w:rPr>
          <w:rFonts w:hint="eastAsia"/>
          <w:rtl/>
        </w:rPr>
        <w:t>יכולים</w:t>
      </w:r>
      <w:r w:rsidRPr="007461FB">
        <w:rPr>
          <w:rtl/>
        </w:rPr>
        <w:t xml:space="preserve"> </w:t>
      </w:r>
      <w:r w:rsidRPr="007461FB">
        <w:rPr>
          <w:rFonts w:hint="eastAsia"/>
          <w:rtl/>
        </w:rPr>
        <w:t>להיכלל</w:t>
      </w:r>
      <w:r w:rsidRPr="007461FB">
        <w:rPr>
          <w:rtl/>
        </w:rPr>
        <w:t xml:space="preserve"> </w:t>
      </w:r>
      <w:r w:rsidRPr="007461FB">
        <w:rPr>
          <w:rFonts w:hint="eastAsia"/>
          <w:rtl/>
        </w:rPr>
        <w:t>בדוח</w:t>
      </w:r>
      <w:r w:rsidRPr="007461FB">
        <w:rPr>
          <w:rtl/>
        </w:rPr>
        <w:t xml:space="preserve"> </w:t>
      </w:r>
      <w:r w:rsidRPr="007461FB">
        <w:rPr>
          <w:rFonts w:hint="eastAsia"/>
          <w:rtl/>
        </w:rPr>
        <w:t>הרבעוני</w:t>
      </w:r>
      <w:r w:rsidRPr="007461FB">
        <w:rPr>
          <w:rtl/>
        </w:rPr>
        <w:t xml:space="preserve"> </w:t>
      </w:r>
      <w:r w:rsidRPr="007461FB">
        <w:rPr>
          <w:rFonts w:hint="eastAsia"/>
          <w:rtl/>
        </w:rPr>
        <w:t>או</w:t>
      </w:r>
      <w:r w:rsidRPr="007461FB">
        <w:rPr>
          <w:rtl/>
        </w:rPr>
        <w:t xml:space="preserve"> </w:t>
      </w:r>
      <w:r w:rsidRPr="007461FB">
        <w:rPr>
          <w:rFonts w:hint="eastAsia"/>
          <w:rtl/>
        </w:rPr>
        <w:t>להתפרסם</w:t>
      </w:r>
      <w:r w:rsidRPr="007461FB">
        <w:rPr>
          <w:rtl/>
        </w:rPr>
        <w:t xml:space="preserve"> </w:t>
      </w:r>
      <w:r w:rsidRPr="007461FB">
        <w:rPr>
          <w:rFonts w:hint="eastAsia"/>
          <w:rtl/>
        </w:rPr>
        <w:t>שלא</w:t>
      </w:r>
      <w:r w:rsidRPr="007461FB">
        <w:rPr>
          <w:rtl/>
        </w:rPr>
        <w:t xml:space="preserve"> </w:t>
      </w:r>
      <w:r w:rsidRPr="007461FB">
        <w:rPr>
          <w:rFonts w:hint="eastAsia"/>
          <w:rtl/>
        </w:rPr>
        <w:t>כחלק</w:t>
      </w:r>
      <w:r w:rsidRPr="007461FB">
        <w:rPr>
          <w:rtl/>
        </w:rPr>
        <w:t xml:space="preserve"> </w:t>
      </w:r>
      <w:r w:rsidRPr="007461FB">
        <w:rPr>
          <w:rFonts w:hint="eastAsia"/>
          <w:rtl/>
        </w:rPr>
        <w:t>מהדוח</w:t>
      </w:r>
      <w:r w:rsidRPr="007461FB">
        <w:rPr>
          <w:rtl/>
        </w:rPr>
        <w:t xml:space="preserve"> </w:t>
      </w:r>
      <w:r w:rsidRPr="007461FB">
        <w:rPr>
          <w:rFonts w:hint="eastAsia"/>
          <w:rtl/>
        </w:rPr>
        <w:t>הרבעוני</w:t>
      </w:r>
      <w:r w:rsidRPr="007461FB">
        <w:rPr>
          <w:rFonts w:hint="cs"/>
          <w:rtl/>
        </w:rPr>
        <w:t>.</w:t>
      </w:r>
      <w:r w:rsidRPr="007461FB">
        <w:rPr>
          <w:rtl/>
        </w:rPr>
        <w:t xml:space="preserve"> </w:t>
      </w:r>
      <w:r w:rsidRPr="007461FB">
        <w:rPr>
          <w:rFonts w:hint="eastAsia"/>
          <w:rtl/>
        </w:rPr>
        <w:t>דוחות</w:t>
      </w:r>
      <w:r w:rsidRPr="007461FB">
        <w:rPr>
          <w:rtl/>
        </w:rPr>
        <w:t xml:space="preserve"> </w:t>
      </w:r>
      <w:r w:rsidRPr="007461FB">
        <w:rPr>
          <w:rFonts w:hint="cs"/>
          <w:rtl/>
        </w:rPr>
        <w:t xml:space="preserve">פרופורמה </w:t>
      </w:r>
      <w:r w:rsidRPr="007461FB">
        <w:rPr>
          <w:rFonts w:hint="eastAsia"/>
          <w:rtl/>
        </w:rPr>
        <w:t>לדוגמא</w:t>
      </w:r>
      <w:r w:rsidRPr="007461FB">
        <w:rPr>
          <w:rtl/>
        </w:rPr>
        <w:t xml:space="preserve"> </w:t>
      </w:r>
      <w:r w:rsidRPr="007461FB">
        <w:rPr>
          <w:rFonts w:hint="cs"/>
          <w:rtl/>
        </w:rPr>
        <w:t xml:space="preserve">מופצים </w:t>
      </w:r>
      <w:r w:rsidRPr="00045C35">
        <w:rPr>
          <w:rFonts w:hint="cs"/>
          <w:rtl/>
        </w:rPr>
        <w:t>בנפרד</w:t>
      </w:r>
      <w:r w:rsidRPr="00045C35">
        <w:rPr>
          <w:rtl/>
        </w:rPr>
        <w:t>.</w:t>
      </w:r>
    </w:p>
    <w:p w14:paraId="10FD5BEB" w14:textId="77777777" w:rsidR="00BE5F92" w:rsidRPr="00045C35" w:rsidRDefault="00BE5F92" w:rsidP="009C5FD1">
      <w:pPr>
        <w:spacing w:line="240" w:lineRule="auto"/>
        <w:rPr>
          <w:rtl/>
        </w:rPr>
      </w:pPr>
    </w:p>
    <w:p w14:paraId="62BBF666" w14:textId="77777777" w:rsidR="00FF5B15" w:rsidRPr="00045C35" w:rsidRDefault="00FF5B15" w:rsidP="009C5FD1">
      <w:pPr>
        <w:spacing w:line="240" w:lineRule="auto"/>
        <w:rPr>
          <w:rtl/>
        </w:rPr>
      </w:pPr>
      <w:r w:rsidRPr="00045C35">
        <w:rPr>
          <w:rFonts w:hint="cs"/>
          <w:rtl/>
        </w:rPr>
        <w:t>ב</w:t>
      </w:r>
      <w:r w:rsidRPr="00045C35">
        <w:rPr>
          <w:rtl/>
        </w:rPr>
        <w:t xml:space="preserve">דוחות כספיים לדוגמא </w:t>
      </w:r>
      <w:r w:rsidRPr="00045C35">
        <w:rPr>
          <w:rFonts w:hint="cs"/>
          <w:rtl/>
        </w:rPr>
        <w:t xml:space="preserve">אלה נכללו </w:t>
      </w:r>
      <w:r w:rsidRPr="00045C35">
        <w:rPr>
          <w:rtl/>
        </w:rPr>
        <w:t xml:space="preserve">הפניות המופיעות בגוף הדוחות - הן לסעיפים מתוך סעיפי הגילוי בתקני </w:t>
      </w:r>
      <w:r w:rsidRPr="00045C35">
        <w:t>IFRS</w:t>
      </w:r>
      <w:r w:rsidRPr="00045C35">
        <w:rPr>
          <w:rtl/>
        </w:rPr>
        <w:t xml:space="preserve">, והן לסעיפים מתוך תקנות </w:t>
      </w:r>
      <w:r w:rsidRPr="00045C35">
        <w:rPr>
          <w:rFonts w:hint="eastAsia"/>
          <w:rtl/>
        </w:rPr>
        <w:t>דוחות</w:t>
      </w:r>
      <w:r w:rsidRPr="00045C35">
        <w:rPr>
          <w:rtl/>
        </w:rPr>
        <w:t xml:space="preserve"> </w:t>
      </w:r>
      <w:r w:rsidRPr="00045C35">
        <w:rPr>
          <w:rFonts w:hint="eastAsia"/>
          <w:rtl/>
        </w:rPr>
        <w:t>תקופתיים</w:t>
      </w:r>
      <w:r w:rsidRPr="00045C35">
        <w:rPr>
          <w:rtl/>
        </w:rPr>
        <w:t xml:space="preserve"> </w:t>
      </w:r>
      <w:r w:rsidRPr="00045C35">
        <w:rPr>
          <w:rFonts w:hint="eastAsia"/>
          <w:rtl/>
        </w:rPr>
        <w:t>ומיידיים</w:t>
      </w:r>
      <w:r w:rsidRPr="00045C35">
        <w:rPr>
          <w:rtl/>
        </w:rPr>
        <w:t xml:space="preserve"> - שבהם מופיעות דרישות גילוי ספציפיות. בכל מקרה של ספק בקשר לדרישות הגילוי לפי תקני </w:t>
      </w:r>
      <w:r w:rsidRPr="00045C35">
        <w:rPr>
          <w:szCs w:val="20"/>
        </w:rPr>
        <w:t>IFRS</w:t>
      </w:r>
      <w:r w:rsidRPr="00045C35">
        <w:rPr>
          <w:rtl/>
        </w:rPr>
        <w:t xml:space="preserve"> או תקנות ניירות ערך, יש לפנות לתקן הרלוונטי או לתקנות הרלוונטיות.</w:t>
      </w:r>
    </w:p>
    <w:p w14:paraId="5FE89174" w14:textId="77777777" w:rsidR="00FF5B15" w:rsidRPr="00045C35" w:rsidRDefault="00FF5B15" w:rsidP="009C5FD1">
      <w:pPr>
        <w:pStyle w:val="11"/>
        <w:spacing w:line="240" w:lineRule="auto"/>
        <w:rPr>
          <w:rtl/>
        </w:rPr>
      </w:pPr>
    </w:p>
    <w:p w14:paraId="3B96D4B1" w14:textId="77777777" w:rsidR="00631E8D" w:rsidRDefault="00631E8D" w:rsidP="009C5FD1">
      <w:pPr>
        <w:pStyle w:val="11"/>
        <w:spacing w:line="240" w:lineRule="auto"/>
        <w:rPr>
          <w:rtl/>
        </w:rPr>
      </w:pPr>
    </w:p>
    <w:p w14:paraId="7820E647" w14:textId="77777777" w:rsidR="00CF2346" w:rsidRPr="00045C35" w:rsidRDefault="00CF2346" w:rsidP="009C5FD1">
      <w:pPr>
        <w:pStyle w:val="11"/>
        <w:spacing w:line="240" w:lineRule="auto"/>
        <w:rPr>
          <w:rtl/>
        </w:rPr>
      </w:pPr>
      <w:r w:rsidRPr="00045C35">
        <w:rPr>
          <w:rtl/>
        </w:rPr>
        <w:t>בדוחות אלה נעשה שימוש בסימונים הבאים שמשמעותם:</w:t>
      </w:r>
    </w:p>
    <w:p w14:paraId="212F3B83" w14:textId="77777777" w:rsidR="00CF2346" w:rsidRPr="00045C35" w:rsidRDefault="00CF2346" w:rsidP="009C5FD1">
      <w:pPr>
        <w:pStyle w:val="11"/>
        <w:spacing w:line="240" w:lineRule="auto"/>
        <w:rPr>
          <w:rtl/>
        </w:rPr>
      </w:pPr>
      <w:r w:rsidRPr="00045C35">
        <w:rPr>
          <w:szCs w:val="20"/>
        </w:rPr>
        <w:t>IAS</w:t>
      </w:r>
      <w:r w:rsidRPr="00045C35">
        <w:t xml:space="preserve"> </w:t>
      </w:r>
      <w:r w:rsidRPr="00045C35">
        <w:rPr>
          <w:szCs w:val="20"/>
        </w:rPr>
        <w:t>33</w:t>
      </w:r>
      <w:r w:rsidRPr="00045C35">
        <w:t>.</w:t>
      </w:r>
      <w:r w:rsidRPr="00045C35">
        <w:rPr>
          <w:szCs w:val="20"/>
        </w:rPr>
        <w:t>41</w:t>
      </w:r>
      <w:r w:rsidRPr="00045C35">
        <w:rPr>
          <w:rtl/>
        </w:rPr>
        <w:t xml:space="preserve"> </w:t>
      </w:r>
      <w:r w:rsidRPr="00045C35">
        <w:rPr>
          <w:rtl/>
        </w:rPr>
        <w:tab/>
      </w:r>
      <w:r w:rsidRPr="00045C35">
        <w:rPr>
          <w:rtl/>
        </w:rPr>
        <w:tab/>
      </w:r>
      <w:r w:rsidRPr="00045C35">
        <w:tab/>
      </w:r>
      <w:r w:rsidRPr="00045C35">
        <w:rPr>
          <w:rtl/>
        </w:rPr>
        <w:t>תקן חשבונאות בינלאומי 33, סעיף 41</w:t>
      </w:r>
    </w:p>
    <w:p w14:paraId="2C0AE509" w14:textId="77777777" w:rsidR="00CF2346" w:rsidRPr="00045C35" w:rsidRDefault="00CF2346" w:rsidP="009C5FD1">
      <w:pPr>
        <w:pStyle w:val="11"/>
        <w:spacing w:line="240" w:lineRule="auto"/>
        <w:rPr>
          <w:rtl/>
        </w:rPr>
      </w:pPr>
      <w:r w:rsidRPr="00045C35">
        <w:rPr>
          <w:szCs w:val="20"/>
        </w:rPr>
        <w:t>IFRS</w:t>
      </w:r>
      <w:r w:rsidRPr="00045C35">
        <w:t xml:space="preserve"> </w:t>
      </w:r>
      <w:r w:rsidRPr="00045C35">
        <w:rPr>
          <w:szCs w:val="20"/>
        </w:rPr>
        <w:t>2</w:t>
      </w:r>
      <w:r w:rsidRPr="00045C35">
        <w:t>.</w:t>
      </w:r>
      <w:r w:rsidRPr="00045C35">
        <w:rPr>
          <w:szCs w:val="20"/>
        </w:rPr>
        <w:t>44</w:t>
      </w:r>
      <w:r w:rsidRPr="00045C35">
        <w:rPr>
          <w:rtl/>
        </w:rPr>
        <w:t xml:space="preserve"> </w:t>
      </w:r>
      <w:r w:rsidRPr="00045C35">
        <w:rPr>
          <w:rtl/>
        </w:rPr>
        <w:tab/>
      </w:r>
      <w:r w:rsidRPr="00045C35">
        <w:rPr>
          <w:rtl/>
        </w:rPr>
        <w:tab/>
      </w:r>
      <w:r w:rsidRPr="00045C35">
        <w:tab/>
      </w:r>
      <w:r w:rsidRPr="00045C35">
        <w:rPr>
          <w:rtl/>
        </w:rPr>
        <w:t>תקן דיווח כספי בינלאומי 2, סעיף 44</w:t>
      </w:r>
    </w:p>
    <w:p w14:paraId="390158F2" w14:textId="03A98736" w:rsidR="00CF2346" w:rsidRPr="00045C35" w:rsidRDefault="00CF2346" w:rsidP="00045C35">
      <w:pPr>
        <w:pStyle w:val="11"/>
        <w:spacing w:line="240" w:lineRule="auto"/>
        <w:rPr>
          <w:rtl/>
        </w:rPr>
      </w:pPr>
      <w:r w:rsidRPr="00045C35">
        <w:rPr>
          <w:szCs w:val="20"/>
        </w:rPr>
        <w:t xml:space="preserve">IFRIC </w:t>
      </w:r>
      <w:r w:rsidR="00045C35">
        <w:rPr>
          <w:szCs w:val="20"/>
        </w:rPr>
        <w:t>17</w:t>
      </w:r>
      <w:r w:rsidRPr="00045C35">
        <w:rPr>
          <w:szCs w:val="20"/>
        </w:rPr>
        <w:t>.6</w:t>
      </w:r>
      <w:r w:rsidRPr="00045C35">
        <w:rPr>
          <w:rtl/>
        </w:rPr>
        <w:tab/>
      </w:r>
      <w:r w:rsidRPr="00045C35">
        <w:rPr>
          <w:rtl/>
        </w:rPr>
        <w:tab/>
      </w:r>
      <w:r w:rsidRPr="00045C35">
        <w:tab/>
      </w:r>
      <w:r w:rsidRPr="00045C35">
        <w:rPr>
          <w:rtl/>
        </w:rPr>
        <w:t xml:space="preserve">פרשנות מספר </w:t>
      </w:r>
      <w:r w:rsidR="00045C35">
        <w:rPr>
          <w:rFonts w:hint="cs"/>
          <w:rtl/>
        </w:rPr>
        <w:t>17</w:t>
      </w:r>
      <w:r w:rsidRPr="00045C35">
        <w:rPr>
          <w:rtl/>
        </w:rPr>
        <w:t xml:space="preserve"> של הוועדה לפרשנויות של דיווח כספי בינלאומי, סעיף 6</w:t>
      </w:r>
    </w:p>
    <w:p w14:paraId="03BE0B1E" w14:textId="24575B23" w:rsidR="00CF2346" w:rsidRPr="00045C35" w:rsidRDefault="00565FB0" w:rsidP="009C5FD1">
      <w:pPr>
        <w:pStyle w:val="11"/>
        <w:spacing w:line="240" w:lineRule="auto"/>
        <w:rPr>
          <w:rtl/>
        </w:rPr>
      </w:pPr>
      <w:r w:rsidRPr="00045C35">
        <w:rPr>
          <w:szCs w:val="20"/>
        </w:rPr>
        <w:t>IFRS 9.B2.1</w:t>
      </w:r>
      <w:r w:rsidR="00CF2346" w:rsidRPr="00045C35">
        <w:tab/>
      </w:r>
      <w:r w:rsidR="00BE6EA5" w:rsidRPr="00045C35">
        <w:tab/>
      </w:r>
      <w:r w:rsidR="00BE6EA5" w:rsidRPr="00045C35">
        <w:tab/>
      </w:r>
      <w:r w:rsidR="00CF2346" w:rsidRPr="00045C35">
        <w:rPr>
          <w:rtl/>
        </w:rPr>
        <w:t xml:space="preserve">תקן </w:t>
      </w:r>
      <w:r w:rsidRPr="00045C35">
        <w:rPr>
          <w:rFonts w:hint="cs"/>
          <w:rtl/>
        </w:rPr>
        <w:t>דיווח כספי</w:t>
      </w:r>
      <w:r w:rsidRPr="00045C35">
        <w:rPr>
          <w:rtl/>
        </w:rPr>
        <w:t xml:space="preserve"> </w:t>
      </w:r>
      <w:r w:rsidR="00CF2346" w:rsidRPr="00045C35">
        <w:rPr>
          <w:rtl/>
        </w:rPr>
        <w:t xml:space="preserve">בינלאומי </w:t>
      </w:r>
      <w:r w:rsidRPr="00045C35">
        <w:rPr>
          <w:rFonts w:hint="cs"/>
          <w:rtl/>
        </w:rPr>
        <w:t>9</w:t>
      </w:r>
      <w:r w:rsidR="00CF2346" w:rsidRPr="00045C35">
        <w:rPr>
          <w:rtl/>
        </w:rPr>
        <w:t xml:space="preserve">, נספח </w:t>
      </w:r>
      <w:r w:rsidRPr="00045C35">
        <w:rPr>
          <w:rFonts w:hint="cs"/>
          <w:rtl/>
        </w:rPr>
        <w:t>ב</w:t>
      </w:r>
      <w:r w:rsidRPr="00045C35">
        <w:rPr>
          <w:rtl/>
        </w:rPr>
        <w:t xml:space="preserve">' </w:t>
      </w:r>
      <w:r w:rsidRPr="00045C35">
        <w:rPr>
          <w:rFonts w:hint="cs"/>
          <w:rtl/>
        </w:rPr>
        <w:t>תחולה</w:t>
      </w:r>
      <w:r w:rsidR="00CF2346" w:rsidRPr="00045C35">
        <w:rPr>
          <w:rtl/>
        </w:rPr>
        <w:t xml:space="preserve">, סעיף </w:t>
      </w:r>
      <w:r w:rsidRPr="00045C35">
        <w:rPr>
          <w:rFonts w:hint="cs"/>
          <w:rtl/>
        </w:rPr>
        <w:t>2.1</w:t>
      </w:r>
      <w:r w:rsidR="00CF2346" w:rsidRPr="00045C35">
        <w:rPr>
          <w:rFonts w:hint="cs"/>
          <w:rtl/>
        </w:rPr>
        <w:t>.</w:t>
      </w:r>
    </w:p>
    <w:p w14:paraId="5EA3B61D" w14:textId="77777777" w:rsidR="00B40F88" w:rsidRPr="00045C35" w:rsidRDefault="00B40F88" w:rsidP="009C5FD1">
      <w:pPr>
        <w:pStyle w:val="11"/>
        <w:spacing w:line="240" w:lineRule="auto"/>
        <w:rPr>
          <w:rtl/>
        </w:rPr>
      </w:pPr>
    </w:p>
    <w:p w14:paraId="2F187D95" w14:textId="77777777" w:rsidR="00631E8D" w:rsidRDefault="00631E8D" w:rsidP="009C5FD1">
      <w:pPr>
        <w:spacing w:line="240" w:lineRule="auto"/>
        <w:ind w:left="6237"/>
        <w:jc w:val="center"/>
        <w:rPr>
          <w:sz w:val="24"/>
          <w:rtl/>
        </w:rPr>
      </w:pPr>
    </w:p>
    <w:p w14:paraId="599681B0" w14:textId="77777777" w:rsidR="00631E8D" w:rsidRDefault="00631E8D" w:rsidP="009C5FD1">
      <w:pPr>
        <w:spacing w:line="240" w:lineRule="auto"/>
        <w:ind w:left="6237"/>
        <w:jc w:val="center"/>
        <w:rPr>
          <w:sz w:val="24"/>
          <w:rtl/>
        </w:rPr>
      </w:pPr>
    </w:p>
    <w:p w14:paraId="7F70B4A4" w14:textId="77777777" w:rsidR="00631E8D" w:rsidRDefault="00631E8D" w:rsidP="009C5FD1">
      <w:pPr>
        <w:spacing w:line="240" w:lineRule="auto"/>
        <w:ind w:left="6237"/>
        <w:jc w:val="center"/>
        <w:rPr>
          <w:sz w:val="24"/>
          <w:rtl/>
        </w:rPr>
      </w:pPr>
    </w:p>
    <w:p w14:paraId="21CEF4EF" w14:textId="77777777" w:rsidR="00631E8D" w:rsidRDefault="00631E8D" w:rsidP="009C5FD1">
      <w:pPr>
        <w:spacing w:line="240" w:lineRule="auto"/>
        <w:ind w:left="6237"/>
        <w:jc w:val="center"/>
        <w:rPr>
          <w:sz w:val="24"/>
          <w:rtl/>
        </w:rPr>
      </w:pPr>
    </w:p>
    <w:p w14:paraId="1B974A52" w14:textId="77777777" w:rsidR="00631E8D" w:rsidRDefault="00631E8D" w:rsidP="009C5FD1">
      <w:pPr>
        <w:spacing w:line="240" w:lineRule="auto"/>
        <w:ind w:left="6237"/>
        <w:jc w:val="center"/>
        <w:rPr>
          <w:sz w:val="24"/>
          <w:rtl/>
        </w:rPr>
      </w:pPr>
    </w:p>
    <w:p w14:paraId="160AE8EF" w14:textId="77777777" w:rsidR="00631E8D" w:rsidRDefault="00631E8D" w:rsidP="009C5FD1">
      <w:pPr>
        <w:spacing w:line="240" w:lineRule="auto"/>
        <w:ind w:left="6237"/>
        <w:jc w:val="center"/>
        <w:rPr>
          <w:sz w:val="24"/>
          <w:rtl/>
        </w:rPr>
      </w:pPr>
    </w:p>
    <w:p w14:paraId="0FA0F395" w14:textId="77777777" w:rsidR="00CF2346" w:rsidRPr="00045C35" w:rsidRDefault="00CF2346" w:rsidP="009C5FD1">
      <w:pPr>
        <w:spacing w:line="240" w:lineRule="auto"/>
        <w:ind w:left="6237"/>
        <w:jc w:val="center"/>
        <w:rPr>
          <w:sz w:val="24"/>
          <w:rtl/>
        </w:rPr>
      </w:pPr>
      <w:r w:rsidRPr="00045C35">
        <w:rPr>
          <w:rFonts w:hint="eastAsia"/>
          <w:sz w:val="24"/>
          <w:rtl/>
        </w:rPr>
        <w:t>בכבוד</w:t>
      </w:r>
      <w:r w:rsidRPr="00045C35">
        <w:rPr>
          <w:sz w:val="24"/>
          <w:rtl/>
        </w:rPr>
        <w:t xml:space="preserve"> </w:t>
      </w:r>
      <w:r w:rsidRPr="00045C35">
        <w:rPr>
          <w:rFonts w:hint="eastAsia"/>
          <w:sz w:val="24"/>
          <w:rtl/>
        </w:rPr>
        <w:t>רב</w:t>
      </w:r>
      <w:r w:rsidRPr="00045C35">
        <w:rPr>
          <w:sz w:val="24"/>
          <w:rtl/>
        </w:rPr>
        <w:t>,</w:t>
      </w:r>
    </w:p>
    <w:p w14:paraId="0DCA77B6" w14:textId="77777777" w:rsidR="00CF2346" w:rsidRDefault="00CF2346" w:rsidP="00CF2346">
      <w:pPr>
        <w:ind w:left="6237"/>
        <w:jc w:val="center"/>
        <w:rPr>
          <w:b/>
          <w:bCs/>
          <w:sz w:val="24"/>
          <w:rtl/>
        </w:rPr>
      </w:pPr>
      <w:r w:rsidRPr="00045C35">
        <w:rPr>
          <w:rFonts w:hint="eastAsia"/>
          <w:sz w:val="24"/>
          <w:rtl/>
        </w:rPr>
        <w:t>קוסט</w:t>
      </w:r>
      <w:r w:rsidRPr="00045C35">
        <w:rPr>
          <w:sz w:val="24"/>
          <w:rtl/>
        </w:rPr>
        <w:t xml:space="preserve"> </w:t>
      </w:r>
      <w:r w:rsidRPr="00045C35">
        <w:rPr>
          <w:rFonts w:hint="eastAsia"/>
          <w:sz w:val="24"/>
          <w:rtl/>
        </w:rPr>
        <w:t>פורר</w:t>
      </w:r>
      <w:r w:rsidRPr="00045C35">
        <w:rPr>
          <w:sz w:val="24"/>
          <w:rtl/>
        </w:rPr>
        <w:t xml:space="preserve"> </w:t>
      </w:r>
      <w:r w:rsidRPr="00045C35">
        <w:rPr>
          <w:rFonts w:hint="eastAsia"/>
          <w:sz w:val="24"/>
          <w:rtl/>
        </w:rPr>
        <w:t>גבאי</w:t>
      </w:r>
      <w:r w:rsidRPr="00045C35">
        <w:rPr>
          <w:sz w:val="24"/>
          <w:rtl/>
        </w:rPr>
        <w:t xml:space="preserve"> </w:t>
      </w:r>
      <w:r w:rsidRPr="00045C35">
        <w:rPr>
          <w:rFonts w:hint="eastAsia"/>
          <w:sz w:val="24"/>
          <w:rtl/>
        </w:rPr>
        <w:t>את</w:t>
      </w:r>
      <w:r w:rsidRPr="00045C35">
        <w:rPr>
          <w:sz w:val="24"/>
          <w:rtl/>
        </w:rPr>
        <w:t xml:space="preserve"> </w:t>
      </w:r>
      <w:r w:rsidRPr="00045C35">
        <w:rPr>
          <w:rFonts w:hint="eastAsia"/>
          <w:sz w:val="24"/>
          <w:rtl/>
        </w:rPr>
        <w:t>קסירר</w:t>
      </w:r>
      <w:r>
        <w:rPr>
          <w:rFonts w:hint="cs"/>
          <w:sz w:val="24"/>
          <w:rtl/>
        </w:rPr>
        <w:t xml:space="preserve"> </w:t>
      </w:r>
    </w:p>
    <w:p w14:paraId="2B5F35F1" w14:textId="77777777" w:rsidR="00AB7D68" w:rsidRDefault="00AB7D68" w:rsidP="004B60E0">
      <w:pPr>
        <w:overflowPunct/>
        <w:autoSpaceDE/>
        <w:autoSpaceDN/>
        <w:adjustRightInd/>
        <w:jc w:val="left"/>
        <w:rPr>
          <w:b/>
          <w:bCs/>
          <w:sz w:val="24"/>
          <w:rtl/>
        </w:rPr>
        <w:sectPr w:rsidR="00AB7D68" w:rsidSect="00BA7D9A">
          <w:footerReference w:type="default" r:id="rId14"/>
          <w:footnotePr>
            <w:numRestart w:val="eachPage"/>
          </w:footnotePr>
          <w:endnotePr>
            <w:numFmt w:val="lowerLetter"/>
          </w:endnotePr>
          <w:pgSz w:w="11907" w:h="16840" w:code="9"/>
          <w:pgMar w:top="1134" w:right="1134" w:bottom="1134" w:left="1134" w:header="567" w:footer="567" w:gutter="0"/>
          <w:pgNumType w:start="2"/>
          <w:cols w:space="720"/>
          <w:bidi/>
          <w:rtlGutter/>
          <w:docGrid w:linePitch="272"/>
        </w:sectPr>
      </w:pPr>
    </w:p>
    <w:p w14:paraId="7EA53A8F" w14:textId="77777777" w:rsidR="00AB7D68" w:rsidRPr="003700B8" w:rsidRDefault="000C4C0E">
      <w:pPr>
        <w:jc w:val="center"/>
        <w:rPr>
          <w:b/>
          <w:bCs/>
          <w:sz w:val="28"/>
          <w:szCs w:val="28"/>
        </w:rPr>
      </w:pPr>
      <w:r w:rsidRPr="003700B8">
        <w:rPr>
          <w:rFonts w:hint="eastAsia"/>
          <w:b/>
          <w:bCs/>
          <w:sz w:val="28"/>
          <w:szCs w:val="28"/>
          <w:rtl/>
        </w:rPr>
        <w:lastRenderedPageBreak/>
        <w:t>חברה</w:t>
      </w:r>
      <w:r w:rsidRPr="003700B8">
        <w:rPr>
          <w:b/>
          <w:bCs/>
          <w:sz w:val="28"/>
          <w:szCs w:val="28"/>
          <w:rtl/>
        </w:rPr>
        <w:t xml:space="preserve"> </w:t>
      </w:r>
      <w:r w:rsidRPr="003700B8">
        <w:rPr>
          <w:rFonts w:hint="eastAsia"/>
          <w:b/>
          <w:bCs/>
          <w:sz w:val="28"/>
          <w:szCs w:val="28"/>
          <w:rtl/>
        </w:rPr>
        <w:t>לדוגמא</w:t>
      </w:r>
      <w:r w:rsidRPr="003700B8">
        <w:rPr>
          <w:b/>
          <w:bCs/>
          <w:sz w:val="28"/>
          <w:szCs w:val="28"/>
          <w:rtl/>
        </w:rPr>
        <w:t xml:space="preserve"> </w:t>
      </w:r>
      <w:r w:rsidRPr="003700B8">
        <w:rPr>
          <w:rFonts w:hint="eastAsia"/>
          <w:b/>
          <w:bCs/>
          <w:sz w:val="28"/>
          <w:szCs w:val="28"/>
          <w:rtl/>
        </w:rPr>
        <w:t>בע</w:t>
      </w:r>
      <w:r w:rsidRPr="003700B8">
        <w:rPr>
          <w:b/>
          <w:bCs/>
          <w:sz w:val="28"/>
          <w:szCs w:val="28"/>
          <w:rtl/>
        </w:rPr>
        <w:t>"מ</w:t>
      </w:r>
    </w:p>
    <w:p w14:paraId="23C48240" w14:textId="1D330AF5" w:rsidR="00892B75" w:rsidRDefault="000C4C0E" w:rsidP="004A72F3">
      <w:pPr>
        <w:jc w:val="center"/>
        <w:rPr>
          <w:b/>
          <w:bCs/>
          <w:sz w:val="26"/>
          <w:szCs w:val="26"/>
          <w:rtl/>
        </w:rPr>
      </w:pPr>
      <w:r w:rsidRPr="003700B8">
        <w:rPr>
          <w:rFonts w:hint="eastAsia"/>
          <w:b/>
          <w:bCs/>
          <w:sz w:val="26"/>
          <w:szCs w:val="26"/>
          <w:rtl/>
        </w:rPr>
        <w:t>תוכן</w:t>
      </w:r>
      <w:r w:rsidRPr="003700B8">
        <w:rPr>
          <w:b/>
          <w:bCs/>
          <w:sz w:val="26"/>
          <w:szCs w:val="26"/>
          <w:rtl/>
        </w:rPr>
        <w:t xml:space="preserve"> </w:t>
      </w:r>
      <w:r w:rsidRPr="003700B8">
        <w:rPr>
          <w:rFonts w:hint="eastAsia"/>
          <w:b/>
          <w:bCs/>
          <w:sz w:val="26"/>
          <w:szCs w:val="26"/>
          <w:rtl/>
        </w:rPr>
        <w:t>העניינים</w:t>
      </w:r>
    </w:p>
    <w:p w14:paraId="44C5A64B" w14:textId="77777777" w:rsidR="00AB7D68" w:rsidRPr="00CC594B" w:rsidRDefault="00AB7D68" w:rsidP="00CC594B">
      <w:pPr>
        <w:spacing w:before="20" w:after="20" w:line="240" w:lineRule="auto"/>
        <w:rPr>
          <w:sz w:val="6"/>
          <w:szCs w:val="6"/>
        </w:rPr>
      </w:pPr>
    </w:p>
    <w:tbl>
      <w:tblPr>
        <w:bidiVisual/>
        <w:tblW w:w="9747" w:type="dxa"/>
        <w:tblBorders>
          <w:top w:val="single" w:sz="4" w:space="0" w:color="auto"/>
          <w:bottom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082"/>
        <w:gridCol w:w="143"/>
        <w:gridCol w:w="283"/>
        <w:gridCol w:w="475"/>
        <w:gridCol w:w="519"/>
        <w:gridCol w:w="1837"/>
        <w:gridCol w:w="6"/>
        <w:gridCol w:w="423"/>
        <w:gridCol w:w="2128"/>
        <w:gridCol w:w="851"/>
      </w:tblGrid>
      <w:tr w:rsidR="00AB7D68" w:rsidRPr="00EF3535" w14:paraId="60947E25" w14:textId="77777777" w:rsidTr="00EF3535">
        <w:trPr>
          <w:cantSplit/>
        </w:trPr>
        <w:tc>
          <w:tcPr>
            <w:tcW w:w="8896" w:type="dxa"/>
            <w:gridSpan w:val="9"/>
            <w:tcBorders>
              <w:top w:val="single" w:sz="4" w:space="0" w:color="auto"/>
              <w:left w:val="nil"/>
              <w:bottom w:val="single" w:sz="4" w:space="0" w:color="auto"/>
              <w:right w:val="single" w:sz="4" w:space="0" w:color="auto"/>
            </w:tcBorders>
            <w:shd w:val="clear" w:color="auto" w:fill="D9D9D9"/>
          </w:tcPr>
          <w:p w14:paraId="6D896B4D" w14:textId="77777777" w:rsidR="00AB7D68" w:rsidRPr="00EF3535" w:rsidRDefault="000C4C0E" w:rsidP="00EF3535">
            <w:pPr>
              <w:spacing w:line="220" w:lineRule="exact"/>
              <w:jc w:val="center"/>
              <w:rPr>
                <w:b/>
                <w:bCs/>
                <w:szCs w:val="22"/>
              </w:rPr>
            </w:pPr>
            <w:r w:rsidRPr="00EF3535">
              <w:rPr>
                <w:rFonts w:hint="eastAsia"/>
                <w:b/>
                <w:bCs/>
                <w:szCs w:val="22"/>
                <w:rtl/>
              </w:rPr>
              <w:t>הדוחות</w:t>
            </w:r>
            <w:r w:rsidRPr="00EF3535">
              <w:rPr>
                <w:b/>
                <w:bCs/>
                <w:szCs w:val="22"/>
                <w:rtl/>
              </w:rPr>
              <w:t xml:space="preserve"> </w:t>
            </w:r>
            <w:r w:rsidRPr="00EF3535">
              <w:rPr>
                <w:rFonts w:hint="eastAsia"/>
                <w:b/>
                <w:bCs/>
                <w:szCs w:val="22"/>
                <w:rtl/>
              </w:rPr>
              <w:t>הכספיים</w:t>
            </w:r>
            <w:r w:rsidRPr="00EF3535">
              <w:rPr>
                <w:b/>
                <w:bCs/>
                <w:szCs w:val="22"/>
                <w:rtl/>
              </w:rPr>
              <w:t xml:space="preserve"> </w:t>
            </w:r>
            <w:r w:rsidRPr="00EF3535">
              <w:rPr>
                <w:rFonts w:hint="eastAsia"/>
                <w:b/>
                <w:bCs/>
                <w:szCs w:val="22"/>
                <w:rtl/>
              </w:rPr>
              <w:t>ביניים</w:t>
            </w:r>
            <w:r w:rsidRPr="00EF3535">
              <w:rPr>
                <w:b/>
                <w:bCs/>
                <w:szCs w:val="22"/>
                <w:rtl/>
              </w:rPr>
              <w:t xml:space="preserve"> </w:t>
            </w:r>
            <w:r w:rsidRPr="00EF3535">
              <w:rPr>
                <w:rFonts w:hint="eastAsia"/>
                <w:b/>
                <w:bCs/>
                <w:szCs w:val="22"/>
                <w:rtl/>
              </w:rPr>
              <w:t>מאוחדים</w:t>
            </w:r>
          </w:p>
        </w:tc>
        <w:tc>
          <w:tcPr>
            <w:tcW w:w="851" w:type="dxa"/>
            <w:tcBorders>
              <w:top w:val="single" w:sz="4" w:space="0" w:color="auto"/>
              <w:left w:val="single" w:sz="4" w:space="0" w:color="auto"/>
              <w:bottom w:val="single" w:sz="4" w:space="0" w:color="auto"/>
              <w:right w:val="nil"/>
            </w:tcBorders>
            <w:shd w:val="clear" w:color="auto" w:fill="D9D9D9"/>
          </w:tcPr>
          <w:p w14:paraId="4BE663EE" w14:textId="77777777" w:rsidR="00AB7D68" w:rsidRPr="00EF3535" w:rsidRDefault="000C4C0E" w:rsidP="00EF3535">
            <w:pPr>
              <w:spacing w:line="220" w:lineRule="exact"/>
              <w:jc w:val="center"/>
              <w:rPr>
                <w:b/>
                <w:bCs/>
                <w:szCs w:val="22"/>
              </w:rPr>
            </w:pPr>
            <w:r w:rsidRPr="00EF3535">
              <w:rPr>
                <w:rFonts w:hint="eastAsia"/>
                <w:b/>
                <w:bCs/>
                <w:szCs w:val="22"/>
                <w:rtl/>
              </w:rPr>
              <w:t>עמוד</w:t>
            </w:r>
          </w:p>
        </w:tc>
      </w:tr>
      <w:tr w:rsidR="00AB7D68" w:rsidRPr="00EF3535" w14:paraId="7B28EB94"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3225" w:type="dxa"/>
            <w:gridSpan w:val="2"/>
          </w:tcPr>
          <w:p w14:paraId="3BB845BB" w14:textId="77777777" w:rsidR="00AB7D68" w:rsidRPr="00EF3535" w:rsidRDefault="00AB7D68" w:rsidP="004B60E0">
            <w:pPr>
              <w:widowControl/>
              <w:spacing w:line="120" w:lineRule="auto"/>
              <w:rPr>
                <w:szCs w:val="22"/>
                <w:rtl/>
              </w:rPr>
            </w:pPr>
          </w:p>
        </w:tc>
        <w:tc>
          <w:tcPr>
            <w:tcW w:w="5671" w:type="dxa"/>
            <w:gridSpan w:val="7"/>
            <w:tcBorders>
              <w:top w:val="nil"/>
              <w:left w:val="nil"/>
              <w:right w:val="nil"/>
            </w:tcBorders>
          </w:tcPr>
          <w:p w14:paraId="2757ED2E" w14:textId="77777777" w:rsidR="00AB7D68" w:rsidRPr="00EF3535" w:rsidRDefault="00AB7D68" w:rsidP="004B60E0">
            <w:pPr>
              <w:widowControl/>
              <w:spacing w:line="120" w:lineRule="auto"/>
              <w:jc w:val="center"/>
              <w:rPr>
                <w:szCs w:val="22"/>
              </w:rPr>
            </w:pPr>
          </w:p>
        </w:tc>
        <w:tc>
          <w:tcPr>
            <w:tcW w:w="851" w:type="dxa"/>
          </w:tcPr>
          <w:p w14:paraId="7332B3CE" w14:textId="77777777" w:rsidR="00AB7D68" w:rsidRPr="00EF3535" w:rsidRDefault="00AB7D68" w:rsidP="004B60E0">
            <w:pPr>
              <w:widowControl/>
              <w:spacing w:line="120" w:lineRule="auto"/>
              <w:jc w:val="center"/>
              <w:rPr>
                <w:szCs w:val="22"/>
                <w:rtl/>
              </w:rPr>
            </w:pPr>
          </w:p>
        </w:tc>
      </w:tr>
      <w:tr w:rsidR="00AB7D68" w:rsidRPr="00856FCB" w14:paraId="3399FE35"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3225" w:type="dxa"/>
            <w:gridSpan w:val="2"/>
          </w:tcPr>
          <w:p w14:paraId="6BE295CF" w14:textId="77777777" w:rsidR="00892691" w:rsidRPr="00856FCB" w:rsidRDefault="00DA1D8C" w:rsidP="00892691">
            <w:pPr>
              <w:spacing w:line="220" w:lineRule="exact"/>
              <w:rPr>
                <w:rStyle w:val="Hyperlink"/>
                <w:sz w:val="18"/>
                <w:szCs w:val="20"/>
                <w:rtl/>
              </w:rPr>
            </w:pPr>
            <w:r w:rsidRPr="00856FCB">
              <w:rPr>
                <w:rFonts w:hint="eastAsia"/>
                <w:sz w:val="18"/>
                <w:szCs w:val="20"/>
                <w:rtl/>
              </w:rPr>
              <w:t>דוחות</w:t>
            </w:r>
            <w:r w:rsidRPr="00856FCB">
              <w:rPr>
                <w:sz w:val="18"/>
                <w:szCs w:val="20"/>
                <w:rtl/>
              </w:rPr>
              <w:t xml:space="preserve"> </w:t>
            </w:r>
            <w:r w:rsidRPr="00856FCB">
              <w:rPr>
                <w:rFonts w:hint="eastAsia"/>
                <w:sz w:val="18"/>
                <w:szCs w:val="20"/>
                <w:rtl/>
              </w:rPr>
              <w:t>מאוחדים</w:t>
            </w:r>
            <w:r w:rsidRPr="00856FCB">
              <w:rPr>
                <w:sz w:val="18"/>
                <w:szCs w:val="20"/>
                <w:rtl/>
              </w:rPr>
              <w:t xml:space="preserve"> </w:t>
            </w:r>
            <w:r w:rsidRPr="00856FCB">
              <w:rPr>
                <w:rFonts w:hint="eastAsia"/>
                <w:sz w:val="18"/>
                <w:szCs w:val="20"/>
                <w:rtl/>
              </w:rPr>
              <w:t>על</w:t>
            </w:r>
            <w:r w:rsidRPr="00856FCB">
              <w:rPr>
                <w:sz w:val="18"/>
                <w:szCs w:val="20"/>
                <w:rtl/>
              </w:rPr>
              <w:t xml:space="preserve"> </w:t>
            </w:r>
            <w:r w:rsidRPr="00856FCB">
              <w:rPr>
                <w:rFonts w:hint="eastAsia"/>
                <w:sz w:val="18"/>
                <w:szCs w:val="20"/>
                <w:rtl/>
              </w:rPr>
              <w:t>המצב</w:t>
            </w:r>
            <w:r w:rsidRPr="00856FCB">
              <w:rPr>
                <w:sz w:val="18"/>
                <w:szCs w:val="20"/>
                <w:rtl/>
              </w:rPr>
              <w:t xml:space="preserve"> </w:t>
            </w:r>
            <w:r w:rsidRPr="00856FCB">
              <w:rPr>
                <w:rFonts w:hint="eastAsia"/>
                <w:sz w:val="18"/>
                <w:szCs w:val="20"/>
                <w:rtl/>
              </w:rPr>
              <w:t>הכספי</w:t>
            </w:r>
          </w:p>
        </w:tc>
        <w:tc>
          <w:tcPr>
            <w:tcW w:w="5671" w:type="dxa"/>
            <w:gridSpan w:val="7"/>
            <w:tcBorders>
              <w:left w:val="nil"/>
              <w:bottom w:val="dashSmallGap" w:sz="4" w:space="0" w:color="auto"/>
              <w:right w:val="nil"/>
            </w:tcBorders>
          </w:tcPr>
          <w:p w14:paraId="6E9A0894" w14:textId="77777777" w:rsidR="00AB7D68" w:rsidRPr="00856FCB" w:rsidRDefault="00AB7D68" w:rsidP="00EF3535">
            <w:pPr>
              <w:spacing w:line="220" w:lineRule="exact"/>
              <w:jc w:val="center"/>
              <w:rPr>
                <w:sz w:val="18"/>
                <w:szCs w:val="20"/>
              </w:rPr>
            </w:pPr>
          </w:p>
        </w:tc>
        <w:tc>
          <w:tcPr>
            <w:tcW w:w="851" w:type="dxa"/>
          </w:tcPr>
          <w:p w14:paraId="264802A3" w14:textId="648BBA38" w:rsidR="00225232" w:rsidRPr="00856FCB" w:rsidRDefault="00D80BE9">
            <w:pPr>
              <w:bidi w:val="0"/>
              <w:spacing w:line="220" w:lineRule="exact"/>
              <w:jc w:val="center"/>
              <w:rPr>
                <w:sz w:val="18"/>
                <w:szCs w:val="20"/>
                <w:rtl/>
              </w:rPr>
            </w:pPr>
            <w:r>
              <w:rPr>
                <w:rFonts w:hint="cs"/>
                <w:sz w:val="18"/>
                <w:szCs w:val="20"/>
                <w:rtl/>
              </w:rPr>
              <w:t>5</w:t>
            </w:r>
          </w:p>
        </w:tc>
      </w:tr>
      <w:tr w:rsidR="00AB7D68" w:rsidRPr="00856FCB" w14:paraId="345BD51B" w14:textId="77777777" w:rsidTr="00845848">
        <w:trPr>
          <w:cantSplit/>
        </w:trPr>
        <w:tc>
          <w:tcPr>
            <w:tcW w:w="6339" w:type="dxa"/>
            <w:gridSpan w:val="6"/>
            <w:tcBorders>
              <w:top w:val="nil"/>
              <w:bottom w:val="nil"/>
              <w:right w:val="nil"/>
            </w:tcBorders>
          </w:tcPr>
          <w:p w14:paraId="35BA0CAC" w14:textId="77777777" w:rsidR="00225232" w:rsidRPr="00856FCB" w:rsidRDefault="00225232">
            <w:pPr>
              <w:spacing w:line="240" w:lineRule="auto"/>
              <w:rPr>
                <w:sz w:val="10"/>
                <w:szCs w:val="12"/>
                <w:rtl/>
              </w:rPr>
            </w:pPr>
          </w:p>
        </w:tc>
        <w:tc>
          <w:tcPr>
            <w:tcW w:w="2557" w:type="dxa"/>
            <w:gridSpan w:val="3"/>
            <w:tcBorders>
              <w:top w:val="nil"/>
              <w:left w:val="nil"/>
              <w:bottom w:val="nil"/>
              <w:right w:val="nil"/>
            </w:tcBorders>
          </w:tcPr>
          <w:p w14:paraId="3D84FF05" w14:textId="77777777" w:rsidR="00225232" w:rsidRPr="00856FCB" w:rsidRDefault="00225232">
            <w:pPr>
              <w:spacing w:line="240" w:lineRule="auto"/>
              <w:jc w:val="center"/>
              <w:rPr>
                <w:sz w:val="10"/>
                <w:szCs w:val="12"/>
              </w:rPr>
            </w:pPr>
          </w:p>
        </w:tc>
        <w:tc>
          <w:tcPr>
            <w:tcW w:w="851" w:type="dxa"/>
            <w:tcBorders>
              <w:top w:val="nil"/>
              <w:left w:val="nil"/>
              <w:bottom w:val="nil"/>
            </w:tcBorders>
          </w:tcPr>
          <w:p w14:paraId="3238492B" w14:textId="77777777" w:rsidR="00225232" w:rsidRPr="00856FCB" w:rsidRDefault="00225232">
            <w:pPr>
              <w:spacing w:line="240" w:lineRule="auto"/>
              <w:jc w:val="center"/>
              <w:rPr>
                <w:sz w:val="10"/>
                <w:szCs w:val="12"/>
                <w:rtl/>
              </w:rPr>
            </w:pPr>
          </w:p>
        </w:tc>
      </w:tr>
      <w:tr w:rsidR="00AB7D68" w:rsidRPr="00856FCB" w14:paraId="44DD21E9" w14:textId="77777777" w:rsidTr="00EF3535">
        <w:trPr>
          <w:cantSplit/>
        </w:trPr>
        <w:tc>
          <w:tcPr>
            <w:tcW w:w="4502" w:type="dxa"/>
            <w:gridSpan w:val="5"/>
            <w:tcBorders>
              <w:top w:val="nil"/>
              <w:bottom w:val="nil"/>
              <w:right w:val="nil"/>
            </w:tcBorders>
          </w:tcPr>
          <w:p w14:paraId="420B4885" w14:textId="77777777" w:rsidR="00F41C12" w:rsidRPr="00856FCB" w:rsidRDefault="000C4C0E" w:rsidP="00EF3535">
            <w:pPr>
              <w:spacing w:line="220" w:lineRule="exact"/>
              <w:rPr>
                <w:sz w:val="18"/>
                <w:szCs w:val="20"/>
              </w:rPr>
            </w:pPr>
            <w:r w:rsidRPr="00856FCB">
              <w:rPr>
                <w:rFonts w:hint="eastAsia"/>
                <w:sz w:val="18"/>
                <w:szCs w:val="20"/>
                <w:rtl/>
              </w:rPr>
              <w:t>דוחות</w:t>
            </w:r>
            <w:r w:rsidRPr="00856FCB">
              <w:rPr>
                <w:sz w:val="18"/>
                <w:szCs w:val="20"/>
                <w:rtl/>
              </w:rPr>
              <w:t xml:space="preserve"> </w:t>
            </w:r>
            <w:r w:rsidRPr="00856FCB">
              <w:rPr>
                <w:rFonts w:hint="eastAsia"/>
                <w:sz w:val="18"/>
                <w:szCs w:val="20"/>
                <w:rtl/>
              </w:rPr>
              <w:t>מאוחדים</w:t>
            </w:r>
            <w:r w:rsidRPr="00856FCB">
              <w:rPr>
                <w:sz w:val="18"/>
                <w:szCs w:val="20"/>
                <w:rtl/>
              </w:rPr>
              <w:t xml:space="preserve"> על </w:t>
            </w:r>
            <w:r w:rsidRPr="00856FCB">
              <w:rPr>
                <w:rFonts w:hint="eastAsia"/>
                <w:sz w:val="18"/>
                <w:szCs w:val="20"/>
                <w:rtl/>
              </w:rPr>
              <w:t>רווח</w:t>
            </w:r>
            <w:r w:rsidRPr="00856FCB">
              <w:rPr>
                <w:sz w:val="18"/>
                <w:szCs w:val="20"/>
                <w:rtl/>
              </w:rPr>
              <w:t xml:space="preserve"> </w:t>
            </w:r>
            <w:r w:rsidR="00845848" w:rsidRPr="00856FCB">
              <w:rPr>
                <w:rFonts w:hint="cs"/>
                <w:sz w:val="18"/>
                <w:szCs w:val="20"/>
                <w:rtl/>
              </w:rPr>
              <w:t>א</w:t>
            </w:r>
            <w:r w:rsidRPr="00856FCB">
              <w:rPr>
                <w:rFonts w:hint="eastAsia"/>
                <w:sz w:val="18"/>
                <w:szCs w:val="20"/>
                <w:rtl/>
              </w:rPr>
              <w:t>ו</w:t>
            </w:r>
            <w:r w:rsidR="00845848" w:rsidRPr="00856FCB">
              <w:rPr>
                <w:rFonts w:hint="cs"/>
                <w:sz w:val="18"/>
                <w:szCs w:val="20"/>
                <w:rtl/>
              </w:rPr>
              <w:t xml:space="preserve"> </w:t>
            </w:r>
            <w:r w:rsidRPr="00856FCB">
              <w:rPr>
                <w:rFonts w:hint="eastAsia"/>
                <w:sz w:val="18"/>
                <w:szCs w:val="20"/>
                <w:rtl/>
              </w:rPr>
              <w:t>הפסד</w:t>
            </w:r>
            <w:r w:rsidRPr="00856FCB">
              <w:rPr>
                <w:sz w:val="18"/>
                <w:szCs w:val="20"/>
                <w:rtl/>
              </w:rPr>
              <w:t xml:space="preserve"> (בהצגת שני דוחות)</w:t>
            </w:r>
          </w:p>
        </w:tc>
        <w:tc>
          <w:tcPr>
            <w:tcW w:w="4394" w:type="dxa"/>
            <w:gridSpan w:val="4"/>
            <w:tcBorders>
              <w:top w:val="nil"/>
              <w:left w:val="nil"/>
              <w:bottom w:val="dashSmallGap" w:sz="4" w:space="0" w:color="auto"/>
              <w:right w:val="nil"/>
            </w:tcBorders>
          </w:tcPr>
          <w:p w14:paraId="45E9FCBE" w14:textId="77777777" w:rsidR="00AB7D68" w:rsidRPr="00856FCB" w:rsidRDefault="00AB7D68" w:rsidP="00EF3535">
            <w:pPr>
              <w:spacing w:line="220" w:lineRule="exact"/>
              <w:jc w:val="center"/>
              <w:rPr>
                <w:sz w:val="18"/>
                <w:szCs w:val="20"/>
              </w:rPr>
            </w:pPr>
          </w:p>
        </w:tc>
        <w:tc>
          <w:tcPr>
            <w:tcW w:w="851" w:type="dxa"/>
            <w:tcBorders>
              <w:top w:val="nil"/>
              <w:left w:val="nil"/>
              <w:bottom w:val="nil"/>
            </w:tcBorders>
          </w:tcPr>
          <w:p w14:paraId="3C91EA7A" w14:textId="5F73DD4B" w:rsidR="00AB7D68" w:rsidRPr="00856FCB" w:rsidRDefault="00D80BE9" w:rsidP="00EF3535">
            <w:pPr>
              <w:spacing w:line="220" w:lineRule="exact"/>
              <w:jc w:val="center"/>
              <w:rPr>
                <w:sz w:val="18"/>
                <w:szCs w:val="20"/>
              </w:rPr>
            </w:pPr>
            <w:r>
              <w:rPr>
                <w:rFonts w:hint="cs"/>
                <w:sz w:val="18"/>
                <w:szCs w:val="20"/>
                <w:rtl/>
              </w:rPr>
              <w:t>7</w:t>
            </w:r>
          </w:p>
        </w:tc>
      </w:tr>
      <w:tr w:rsidR="008A3509" w:rsidRPr="00856FCB" w14:paraId="7D34F5F8" w14:textId="77777777" w:rsidTr="00EF3535">
        <w:trPr>
          <w:cantSplit/>
        </w:trPr>
        <w:tc>
          <w:tcPr>
            <w:tcW w:w="6768" w:type="dxa"/>
            <w:gridSpan w:val="8"/>
            <w:tcBorders>
              <w:top w:val="nil"/>
              <w:bottom w:val="nil"/>
              <w:right w:val="nil"/>
            </w:tcBorders>
          </w:tcPr>
          <w:p w14:paraId="726ACE72" w14:textId="77777777" w:rsidR="00225232" w:rsidRPr="00856FCB" w:rsidRDefault="00225232">
            <w:pPr>
              <w:spacing w:line="240" w:lineRule="auto"/>
              <w:rPr>
                <w:sz w:val="14"/>
                <w:szCs w:val="16"/>
                <w:rtl/>
              </w:rPr>
            </w:pPr>
          </w:p>
        </w:tc>
        <w:tc>
          <w:tcPr>
            <w:tcW w:w="2128" w:type="dxa"/>
            <w:tcBorders>
              <w:top w:val="nil"/>
              <w:left w:val="nil"/>
              <w:bottom w:val="nil"/>
              <w:right w:val="nil"/>
            </w:tcBorders>
          </w:tcPr>
          <w:p w14:paraId="067ECD59" w14:textId="77777777" w:rsidR="00225232" w:rsidRPr="00856FCB" w:rsidRDefault="00225232">
            <w:pPr>
              <w:spacing w:line="240" w:lineRule="auto"/>
              <w:jc w:val="center"/>
              <w:rPr>
                <w:sz w:val="14"/>
                <w:szCs w:val="16"/>
              </w:rPr>
            </w:pPr>
          </w:p>
        </w:tc>
        <w:tc>
          <w:tcPr>
            <w:tcW w:w="851" w:type="dxa"/>
            <w:tcBorders>
              <w:top w:val="nil"/>
              <w:left w:val="nil"/>
              <w:bottom w:val="nil"/>
            </w:tcBorders>
          </w:tcPr>
          <w:p w14:paraId="49989265" w14:textId="77777777" w:rsidR="00225232" w:rsidRPr="00856FCB" w:rsidRDefault="00225232">
            <w:pPr>
              <w:spacing w:line="240" w:lineRule="auto"/>
              <w:jc w:val="center"/>
              <w:rPr>
                <w:sz w:val="14"/>
                <w:szCs w:val="16"/>
                <w:rtl/>
              </w:rPr>
            </w:pPr>
          </w:p>
        </w:tc>
      </w:tr>
      <w:tr w:rsidR="008A3509" w:rsidRPr="00856FCB" w14:paraId="38AEB8F1" w14:textId="77777777" w:rsidTr="00845848">
        <w:trPr>
          <w:cantSplit/>
        </w:trPr>
        <w:tc>
          <w:tcPr>
            <w:tcW w:w="6345" w:type="dxa"/>
            <w:gridSpan w:val="7"/>
            <w:tcBorders>
              <w:top w:val="nil"/>
              <w:bottom w:val="nil"/>
              <w:right w:val="nil"/>
            </w:tcBorders>
          </w:tcPr>
          <w:p w14:paraId="73CD1DA8" w14:textId="77777777" w:rsidR="00F41C12" w:rsidRPr="00856FCB" w:rsidRDefault="000C4C0E" w:rsidP="00EF3535">
            <w:pPr>
              <w:spacing w:line="220" w:lineRule="exact"/>
              <w:rPr>
                <w:sz w:val="18"/>
                <w:szCs w:val="20"/>
                <w:rtl/>
              </w:rPr>
            </w:pPr>
            <w:r w:rsidRPr="00856FCB">
              <w:rPr>
                <w:rFonts w:hint="eastAsia"/>
                <w:sz w:val="18"/>
                <w:szCs w:val="20"/>
                <w:rtl/>
              </w:rPr>
              <w:t>דוחות</w:t>
            </w:r>
            <w:r w:rsidRPr="00856FCB">
              <w:rPr>
                <w:sz w:val="18"/>
                <w:szCs w:val="20"/>
                <w:rtl/>
              </w:rPr>
              <w:t xml:space="preserve"> מאוחדים על רווח </w:t>
            </w:r>
            <w:r w:rsidR="00845848" w:rsidRPr="00856FCB">
              <w:rPr>
                <w:rFonts w:hint="cs"/>
                <w:sz w:val="18"/>
                <w:szCs w:val="20"/>
                <w:rtl/>
              </w:rPr>
              <w:t>א</w:t>
            </w:r>
            <w:r w:rsidRPr="00856FCB">
              <w:rPr>
                <w:sz w:val="18"/>
                <w:szCs w:val="20"/>
                <w:rtl/>
              </w:rPr>
              <w:t>ו</w:t>
            </w:r>
            <w:r w:rsidR="00845848" w:rsidRPr="00856FCB">
              <w:rPr>
                <w:rFonts w:hint="cs"/>
                <w:sz w:val="18"/>
                <w:szCs w:val="20"/>
                <w:rtl/>
              </w:rPr>
              <w:t xml:space="preserve"> </w:t>
            </w:r>
            <w:r w:rsidRPr="00856FCB">
              <w:rPr>
                <w:sz w:val="18"/>
                <w:szCs w:val="20"/>
                <w:rtl/>
              </w:rPr>
              <w:t xml:space="preserve">הפסד (בהצגת </w:t>
            </w:r>
            <w:r w:rsidRPr="00856FCB">
              <w:rPr>
                <w:rFonts w:hint="eastAsia"/>
                <w:sz w:val="18"/>
                <w:szCs w:val="20"/>
                <w:rtl/>
              </w:rPr>
              <w:t>שני</w:t>
            </w:r>
            <w:r w:rsidRPr="00856FCB">
              <w:rPr>
                <w:sz w:val="18"/>
                <w:szCs w:val="20"/>
                <w:rtl/>
              </w:rPr>
              <w:t xml:space="preserve"> </w:t>
            </w:r>
            <w:r w:rsidRPr="00856FCB">
              <w:rPr>
                <w:rFonts w:hint="eastAsia"/>
                <w:sz w:val="18"/>
                <w:szCs w:val="20"/>
                <w:rtl/>
              </w:rPr>
              <w:t>דוחות</w:t>
            </w:r>
            <w:r w:rsidRPr="00856FCB">
              <w:rPr>
                <w:sz w:val="18"/>
                <w:szCs w:val="20"/>
                <w:rtl/>
              </w:rPr>
              <w:t xml:space="preserve">) - </w:t>
            </w:r>
            <w:r w:rsidRPr="00856FCB">
              <w:rPr>
                <w:rFonts w:hint="eastAsia"/>
                <w:sz w:val="18"/>
                <w:szCs w:val="20"/>
                <w:rtl/>
              </w:rPr>
              <w:t>בשיטה</w:t>
            </w:r>
            <w:r w:rsidRPr="00856FCB">
              <w:rPr>
                <w:sz w:val="18"/>
                <w:szCs w:val="20"/>
                <w:rtl/>
              </w:rPr>
              <w:t xml:space="preserve"> </w:t>
            </w:r>
            <w:r w:rsidRPr="00856FCB">
              <w:rPr>
                <w:rFonts w:hint="eastAsia"/>
                <w:sz w:val="18"/>
                <w:szCs w:val="20"/>
                <w:rtl/>
              </w:rPr>
              <w:t>החד</w:t>
            </w:r>
            <w:r w:rsidRPr="00856FCB">
              <w:rPr>
                <w:sz w:val="18"/>
                <w:szCs w:val="20"/>
                <w:rtl/>
              </w:rPr>
              <w:t xml:space="preserve"> - שלבית</w:t>
            </w:r>
          </w:p>
        </w:tc>
        <w:tc>
          <w:tcPr>
            <w:tcW w:w="2551" w:type="dxa"/>
            <w:gridSpan w:val="2"/>
            <w:tcBorders>
              <w:top w:val="nil"/>
              <w:left w:val="nil"/>
              <w:bottom w:val="dashSmallGap" w:sz="4" w:space="0" w:color="auto"/>
              <w:right w:val="nil"/>
            </w:tcBorders>
          </w:tcPr>
          <w:p w14:paraId="1EF7ABE5" w14:textId="77777777" w:rsidR="008A3509" w:rsidRPr="00856FCB" w:rsidRDefault="008A3509" w:rsidP="00A637A4">
            <w:pPr>
              <w:spacing w:line="220" w:lineRule="exact"/>
              <w:jc w:val="center"/>
              <w:rPr>
                <w:sz w:val="18"/>
                <w:szCs w:val="20"/>
                <w:rtl/>
              </w:rPr>
            </w:pPr>
          </w:p>
        </w:tc>
        <w:tc>
          <w:tcPr>
            <w:tcW w:w="851" w:type="dxa"/>
            <w:tcBorders>
              <w:top w:val="nil"/>
              <w:left w:val="nil"/>
              <w:bottom w:val="nil"/>
            </w:tcBorders>
          </w:tcPr>
          <w:p w14:paraId="1E8A3F65" w14:textId="7AFD761C" w:rsidR="008A3509" w:rsidRPr="00856FCB" w:rsidRDefault="00D80BE9" w:rsidP="00EF3535">
            <w:pPr>
              <w:spacing w:line="220" w:lineRule="exact"/>
              <w:jc w:val="center"/>
              <w:rPr>
                <w:sz w:val="18"/>
                <w:szCs w:val="20"/>
                <w:rtl/>
              </w:rPr>
            </w:pPr>
            <w:r>
              <w:rPr>
                <w:rFonts w:hint="cs"/>
                <w:sz w:val="18"/>
                <w:szCs w:val="20"/>
                <w:rtl/>
              </w:rPr>
              <w:t>8</w:t>
            </w:r>
          </w:p>
        </w:tc>
      </w:tr>
      <w:tr w:rsidR="00AB7D68" w:rsidRPr="00856FCB" w14:paraId="627741B2" w14:textId="77777777" w:rsidTr="00EF3535">
        <w:trPr>
          <w:cantSplit/>
        </w:trPr>
        <w:tc>
          <w:tcPr>
            <w:tcW w:w="6768" w:type="dxa"/>
            <w:gridSpan w:val="8"/>
            <w:tcBorders>
              <w:top w:val="nil"/>
              <w:bottom w:val="nil"/>
              <w:right w:val="nil"/>
            </w:tcBorders>
          </w:tcPr>
          <w:p w14:paraId="21F9D8AF" w14:textId="77777777" w:rsidR="00225232" w:rsidRPr="00856FCB" w:rsidRDefault="00225232">
            <w:pPr>
              <w:spacing w:line="240" w:lineRule="auto"/>
              <w:rPr>
                <w:sz w:val="12"/>
                <w:szCs w:val="14"/>
                <w:rtl/>
              </w:rPr>
            </w:pPr>
          </w:p>
        </w:tc>
        <w:tc>
          <w:tcPr>
            <w:tcW w:w="2128" w:type="dxa"/>
            <w:tcBorders>
              <w:top w:val="dashSmallGap" w:sz="4" w:space="0" w:color="auto"/>
              <w:left w:val="nil"/>
              <w:bottom w:val="nil"/>
              <w:right w:val="nil"/>
            </w:tcBorders>
          </w:tcPr>
          <w:p w14:paraId="08FA70F8" w14:textId="77777777" w:rsidR="00225232" w:rsidRPr="00856FCB" w:rsidRDefault="00225232">
            <w:pPr>
              <w:spacing w:line="240" w:lineRule="auto"/>
              <w:jc w:val="center"/>
              <w:rPr>
                <w:sz w:val="12"/>
                <w:szCs w:val="14"/>
              </w:rPr>
            </w:pPr>
          </w:p>
        </w:tc>
        <w:tc>
          <w:tcPr>
            <w:tcW w:w="851" w:type="dxa"/>
            <w:tcBorders>
              <w:top w:val="nil"/>
              <w:left w:val="nil"/>
              <w:bottom w:val="nil"/>
            </w:tcBorders>
          </w:tcPr>
          <w:p w14:paraId="0ACC80D6" w14:textId="77777777" w:rsidR="00225232" w:rsidRPr="00856FCB" w:rsidRDefault="00225232">
            <w:pPr>
              <w:spacing w:line="240" w:lineRule="auto"/>
              <w:jc w:val="center"/>
              <w:rPr>
                <w:sz w:val="12"/>
                <w:szCs w:val="14"/>
                <w:rtl/>
              </w:rPr>
            </w:pPr>
          </w:p>
        </w:tc>
      </w:tr>
      <w:tr w:rsidR="00AB7D68" w:rsidRPr="00856FCB" w14:paraId="4C05CF13" w14:textId="77777777" w:rsidTr="00EF3535">
        <w:trPr>
          <w:cantSplit/>
        </w:trPr>
        <w:tc>
          <w:tcPr>
            <w:tcW w:w="3082" w:type="dxa"/>
            <w:tcBorders>
              <w:top w:val="nil"/>
              <w:bottom w:val="nil"/>
              <w:right w:val="nil"/>
            </w:tcBorders>
          </w:tcPr>
          <w:p w14:paraId="14202D19" w14:textId="77777777" w:rsidR="00AB7D68" w:rsidRPr="00856FCB" w:rsidRDefault="000C4C0E" w:rsidP="00EF3535">
            <w:pPr>
              <w:spacing w:line="220" w:lineRule="exact"/>
              <w:rPr>
                <w:sz w:val="18"/>
                <w:szCs w:val="20"/>
                <w:rtl/>
              </w:rPr>
            </w:pPr>
            <w:r w:rsidRPr="00856FCB">
              <w:rPr>
                <w:rFonts w:hint="eastAsia"/>
                <w:sz w:val="18"/>
                <w:szCs w:val="20"/>
                <w:rtl/>
              </w:rPr>
              <w:t>דוחות</w:t>
            </w:r>
            <w:r w:rsidRPr="00856FCB">
              <w:rPr>
                <w:sz w:val="18"/>
                <w:szCs w:val="20"/>
                <w:rtl/>
              </w:rPr>
              <w:t xml:space="preserve"> </w:t>
            </w:r>
            <w:r w:rsidRPr="00856FCB">
              <w:rPr>
                <w:rFonts w:hint="eastAsia"/>
                <w:sz w:val="18"/>
                <w:szCs w:val="20"/>
                <w:rtl/>
              </w:rPr>
              <w:t>מאוחדים</w:t>
            </w:r>
            <w:r w:rsidRPr="00856FCB">
              <w:rPr>
                <w:sz w:val="18"/>
                <w:szCs w:val="20"/>
                <w:rtl/>
              </w:rPr>
              <w:t xml:space="preserve"> </w:t>
            </w:r>
            <w:r w:rsidRPr="00856FCB">
              <w:rPr>
                <w:rFonts w:hint="eastAsia"/>
                <w:sz w:val="18"/>
                <w:szCs w:val="20"/>
                <w:rtl/>
              </w:rPr>
              <w:t>על</w:t>
            </w:r>
            <w:r w:rsidRPr="00856FCB">
              <w:rPr>
                <w:sz w:val="18"/>
                <w:szCs w:val="20"/>
                <w:rtl/>
              </w:rPr>
              <w:t xml:space="preserve"> </w:t>
            </w:r>
            <w:r w:rsidRPr="00856FCB">
              <w:rPr>
                <w:rFonts w:hint="eastAsia"/>
                <w:sz w:val="18"/>
                <w:szCs w:val="20"/>
                <w:rtl/>
              </w:rPr>
              <w:t>הרווח</w:t>
            </w:r>
            <w:r w:rsidRPr="00856FCB">
              <w:rPr>
                <w:sz w:val="18"/>
                <w:szCs w:val="20"/>
                <w:rtl/>
              </w:rPr>
              <w:t xml:space="preserve"> </w:t>
            </w:r>
            <w:r w:rsidRPr="00856FCB">
              <w:rPr>
                <w:rFonts w:hint="eastAsia"/>
                <w:sz w:val="18"/>
                <w:szCs w:val="20"/>
                <w:rtl/>
              </w:rPr>
              <w:t>הכולל</w:t>
            </w:r>
          </w:p>
        </w:tc>
        <w:tc>
          <w:tcPr>
            <w:tcW w:w="5814" w:type="dxa"/>
            <w:gridSpan w:val="8"/>
            <w:tcBorders>
              <w:top w:val="nil"/>
              <w:left w:val="nil"/>
              <w:bottom w:val="dashSmallGap" w:sz="4" w:space="0" w:color="auto"/>
              <w:right w:val="nil"/>
            </w:tcBorders>
          </w:tcPr>
          <w:p w14:paraId="316ECCFC" w14:textId="77777777" w:rsidR="00AB7D68" w:rsidRPr="00856FCB" w:rsidRDefault="00AB7D68" w:rsidP="00EF3535">
            <w:pPr>
              <w:spacing w:line="220" w:lineRule="exact"/>
              <w:jc w:val="center"/>
              <w:rPr>
                <w:sz w:val="18"/>
                <w:szCs w:val="20"/>
              </w:rPr>
            </w:pPr>
          </w:p>
        </w:tc>
        <w:tc>
          <w:tcPr>
            <w:tcW w:w="851" w:type="dxa"/>
            <w:tcBorders>
              <w:top w:val="nil"/>
              <w:left w:val="nil"/>
              <w:bottom w:val="nil"/>
            </w:tcBorders>
          </w:tcPr>
          <w:p w14:paraId="02BA9C2B" w14:textId="68A917A4" w:rsidR="00AB7D68" w:rsidRPr="00856FCB" w:rsidRDefault="00D80BE9" w:rsidP="00EF3535">
            <w:pPr>
              <w:spacing w:line="220" w:lineRule="exact"/>
              <w:jc w:val="center"/>
              <w:rPr>
                <w:sz w:val="18"/>
                <w:szCs w:val="20"/>
                <w:rtl/>
              </w:rPr>
            </w:pPr>
            <w:r>
              <w:rPr>
                <w:rFonts w:hint="cs"/>
                <w:sz w:val="18"/>
                <w:szCs w:val="20"/>
                <w:rtl/>
              </w:rPr>
              <w:t>9</w:t>
            </w:r>
          </w:p>
        </w:tc>
      </w:tr>
      <w:tr w:rsidR="00AB7D68" w:rsidRPr="00856FCB" w14:paraId="1B4F5895"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3983" w:type="dxa"/>
            <w:gridSpan w:val="4"/>
          </w:tcPr>
          <w:p w14:paraId="15E5E140" w14:textId="77777777" w:rsidR="00225232" w:rsidRPr="00856FCB" w:rsidRDefault="00225232">
            <w:pPr>
              <w:spacing w:line="240" w:lineRule="auto"/>
              <w:rPr>
                <w:sz w:val="12"/>
                <w:szCs w:val="14"/>
                <w:rtl/>
              </w:rPr>
            </w:pPr>
          </w:p>
        </w:tc>
        <w:tc>
          <w:tcPr>
            <w:tcW w:w="4913" w:type="dxa"/>
            <w:gridSpan w:val="5"/>
            <w:tcBorders>
              <w:left w:val="nil"/>
              <w:right w:val="nil"/>
            </w:tcBorders>
          </w:tcPr>
          <w:p w14:paraId="2EFF1A76" w14:textId="77777777" w:rsidR="00225232" w:rsidRPr="00856FCB" w:rsidRDefault="00225232">
            <w:pPr>
              <w:spacing w:line="240" w:lineRule="auto"/>
              <w:jc w:val="center"/>
              <w:rPr>
                <w:sz w:val="12"/>
                <w:szCs w:val="14"/>
              </w:rPr>
            </w:pPr>
          </w:p>
        </w:tc>
        <w:tc>
          <w:tcPr>
            <w:tcW w:w="851" w:type="dxa"/>
          </w:tcPr>
          <w:p w14:paraId="0BA6DBEA" w14:textId="77777777" w:rsidR="00225232" w:rsidRPr="00856FCB" w:rsidRDefault="00225232">
            <w:pPr>
              <w:spacing w:line="240" w:lineRule="auto"/>
              <w:jc w:val="center"/>
              <w:rPr>
                <w:sz w:val="12"/>
                <w:szCs w:val="14"/>
                <w:rtl/>
              </w:rPr>
            </w:pPr>
          </w:p>
        </w:tc>
      </w:tr>
      <w:tr w:rsidR="00AB7D68" w:rsidRPr="00856FCB" w14:paraId="66E79006" w14:textId="77777777" w:rsidTr="00845848">
        <w:trPr>
          <w:cantSplit/>
        </w:trPr>
        <w:tc>
          <w:tcPr>
            <w:tcW w:w="6339" w:type="dxa"/>
            <w:gridSpan w:val="6"/>
            <w:shd w:val="clear" w:color="auto" w:fill="E0E0E0"/>
          </w:tcPr>
          <w:p w14:paraId="4E0604ED" w14:textId="77777777" w:rsidR="001018AD" w:rsidRPr="00856FCB" w:rsidRDefault="000C4C0E">
            <w:pPr>
              <w:spacing w:line="220" w:lineRule="exact"/>
              <w:jc w:val="left"/>
              <w:rPr>
                <w:sz w:val="18"/>
                <w:szCs w:val="20"/>
              </w:rPr>
            </w:pPr>
            <w:r w:rsidRPr="00856FCB">
              <w:rPr>
                <w:rFonts w:hint="eastAsia"/>
                <w:sz w:val="18"/>
                <w:szCs w:val="20"/>
                <w:rtl/>
              </w:rPr>
              <w:t>דוחות</w:t>
            </w:r>
            <w:r w:rsidRPr="00856FCB">
              <w:rPr>
                <w:sz w:val="18"/>
                <w:szCs w:val="20"/>
                <w:rtl/>
              </w:rPr>
              <w:t xml:space="preserve"> מאוחדים על </w:t>
            </w:r>
            <w:r w:rsidR="00845848" w:rsidRPr="00856FCB">
              <w:rPr>
                <w:rFonts w:hint="cs"/>
                <w:sz w:val="18"/>
                <w:szCs w:val="20"/>
                <w:rtl/>
              </w:rPr>
              <w:t>רווח או הפסד ו</w:t>
            </w:r>
            <w:r w:rsidRPr="00856FCB">
              <w:rPr>
                <w:sz w:val="18"/>
                <w:szCs w:val="20"/>
                <w:rtl/>
              </w:rPr>
              <w:t>רווח כולל</w:t>
            </w:r>
            <w:r w:rsidR="00845848" w:rsidRPr="00856FCB">
              <w:rPr>
                <w:rFonts w:hint="cs"/>
                <w:sz w:val="18"/>
                <w:szCs w:val="20"/>
                <w:rtl/>
              </w:rPr>
              <w:t xml:space="preserve"> אחר</w:t>
            </w:r>
            <w:r w:rsidRPr="00856FCB">
              <w:rPr>
                <w:sz w:val="18"/>
                <w:szCs w:val="20"/>
                <w:rtl/>
              </w:rPr>
              <w:t xml:space="preserve"> </w:t>
            </w:r>
            <w:r w:rsidRPr="00856FCB">
              <w:rPr>
                <w:b/>
                <w:bCs/>
                <w:sz w:val="18"/>
                <w:szCs w:val="20"/>
                <w:rtl/>
              </w:rPr>
              <w:t xml:space="preserve">- בהצגת </w:t>
            </w:r>
            <w:r w:rsidRPr="00856FCB">
              <w:rPr>
                <w:rFonts w:hint="eastAsia"/>
                <w:b/>
                <w:bCs/>
                <w:sz w:val="18"/>
                <w:szCs w:val="20"/>
                <w:rtl/>
              </w:rPr>
              <w:t>דוח</w:t>
            </w:r>
            <w:r w:rsidRPr="00856FCB">
              <w:rPr>
                <w:b/>
                <w:bCs/>
                <w:sz w:val="18"/>
                <w:szCs w:val="20"/>
                <w:rtl/>
              </w:rPr>
              <w:t xml:space="preserve"> יחיד </w:t>
            </w:r>
          </w:p>
        </w:tc>
        <w:tc>
          <w:tcPr>
            <w:tcW w:w="2557" w:type="dxa"/>
            <w:gridSpan w:val="3"/>
            <w:tcBorders>
              <w:bottom w:val="dashSmallGap" w:sz="4" w:space="0" w:color="auto"/>
            </w:tcBorders>
            <w:shd w:val="clear" w:color="auto" w:fill="E0E0E0"/>
          </w:tcPr>
          <w:p w14:paraId="57F7C5CC" w14:textId="77777777" w:rsidR="00AB7D68" w:rsidRPr="00856FCB" w:rsidRDefault="00AB7D68" w:rsidP="00EF3535">
            <w:pPr>
              <w:spacing w:line="220" w:lineRule="exact"/>
              <w:jc w:val="left"/>
              <w:rPr>
                <w:sz w:val="18"/>
                <w:szCs w:val="20"/>
              </w:rPr>
            </w:pPr>
          </w:p>
        </w:tc>
        <w:tc>
          <w:tcPr>
            <w:tcW w:w="851" w:type="dxa"/>
          </w:tcPr>
          <w:p w14:paraId="576C0ACF" w14:textId="39FCD801" w:rsidR="00B648B5" w:rsidRPr="00856FCB" w:rsidRDefault="00D80BE9">
            <w:pPr>
              <w:spacing w:line="220" w:lineRule="exact"/>
              <w:jc w:val="center"/>
              <w:rPr>
                <w:sz w:val="18"/>
                <w:szCs w:val="20"/>
              </w:rPr>
            </w:pPr>
            <w:r>
              <w:rPr>
                <w:rFonts w:hint="cs"/>
                <w:sz w:val="18"/>
                <w:szCs w:val="20"/>
                <w:rtl/>
              </w:rPr>
              <w:t>11</w:t>
            </w:r>
          </w:p>
        </w:tc>
      </w:tr>
      <w:tr w:rsidR="00AB7D68" w:rsidRPr="00856FCB" w14:paraId="1C5F395A"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8896" w:type="dxa"/>
            <w:gridSpan w:val="9"/>
            <w:shd w:val="clear" w:color="auto" w:fill="FFFFFF"/>
          </w:tcPr>
          <w:p w14:paraId="5C8D1470" w14:textId="77777777" w:rsidR="00225232" w:rsidRPr="00856FCB" w:rsidRDefault="00225232">
            <w:pPr>
              <w:spacing w:line="240" w:lineRule="auto"/>
              <w:jc w:val="left"/>
              <w:rPr>
                <w:sz w:val="12"/>
                <w:szCs w:val="14"/>
                <w:rtl/>
              </w:rPr>
            </w:pPr>
          </w:p>
        </w:tc>
        <w:tc>
          <w:tcPr>
            <w:tcW w:w="851" w:type="dxa"/>
          </w:tcPr>
          <w:p w14:paraId="2B55F9DC" w14:textId="77777777" w:rsidR="00225232" w:rsidRPr="00856FCB" w:rsidRDefault="00225232">
            <w:pPr>
              <w:spacing w:line="240" w:lineRule="auto"/>
              <w:jc w:val="center"/>
              <w:rPr>
                <w:sz w:val="12"/>
                <w:szCs w:val="14"/>
              </w:rPr>
            </w:pPr>
          </w:p>
        </w:tc>
      </w:tr>
      <w:tr w:rsidR="00AB7D68" w:rsidRPr="00856FCB" w14:paraId="7EFEF1EB"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3225" w:type="dxa"/>
            <w:gridSpan w:val="2"/>
          </w:tcPr>
          <w:p w14:paraId="0C27EFAA" w14:textId="77777777" w:rsidR="00AB7D68" w:rsidRPr="00856FCB" w:rsidRDefault="000C4C0E" w:rsidP="00EF3535">
            <w:pPr>
              <w:spacing w:line="220" w:lineRule="exact"/>
              <w:rPr>
                <w:sz w:val="18"/>
                <w:szCs w:val="20"/>
              </w:rPr>
            </w:pPr>
            <w:r w:rsidRPr="00856FCB">
              <w:rPr>
                <w:rFonts w:hint="eastAsia"/>
                <w:sz w:val="18"/>
                <w:szCs w:val="20"/>
                <w:rtl/>
              </w:rPr>
              <w:t>דוחות</w:t>
            </w:r>
            <w:r w:rsidRPr="00856FCB">
              <w:rPr>
                <w:sz w:val="18"/>
                <w:szCs w:val="20"/>
                <w:rtl/>
              </w:rPr>
              <w:t xml:space="preserve"> </w:t>
            </w:r>
            <w:r w:rsidRPr="00856FCB">
              <w:rPr>
                <w:rFonts w:hint="eastAsia"/>
                <w:sz w:val="18"/>
                <w:szCs w:val="20"/>
                <w:rtl/>
              </w:rPr>
              <w:t>מאוחדים</w:t>
            </w:r>
            <w:r w:rsidRPr="00856FCB">
              <w:rPr>
                <w:sz w:val="18"/>
                <w:szCs w:val="20"/>
                <w:rtl/>
              </w:rPr>
              <w:t xml:space="preserve"> </w:t>
            </w:r>
            <w:r w:rsidRPr="00856FCB">
              <w:rPr>
                <w:rFonts w:hint="eastAsia"/>
                <w:sz w:val="18"/>
                <w:szCs w:val="20"/>
                <w:rtl/>
              </w:rPr>
              <w:t>על</w:t>
            </w:r>
            <w:r w:rsidRPr="00856FCB">
              <w:rPr>
                <w:sz w:val="18"/>
                <w:szCs w:val="20"/>
                <w:rtl/>
              </w:rPr>
              <w:t xml:space="preserve"> </w:t>
            </w:r>
            <w:r w:rsidRPr="00856FCB">
              <w:rPr>
                <w:rFonts w:hint="eastAsia"/>
                <w:sz w:val="18"/>
                <w:szCs w:val="20"/>
                <w:rtl/>
              </w:rPr>
              <w:t>השינויים</w:t>
            </w:r>
            <w:r w:rsidRPr="00856FCB">
              <w:rPr>
                <w:sz w:val="18"/>
                <w:szCs w:val="20"/>
                <w:rtl/>
              </w:rPr>
              <w:t xml:space="preserve"> </w:t>
            </w:r>
            <w:r w:rsidRPr="00856FCB">
              <w:rPr>
                <w:rFonts w:hint="eastAsia"/>
                <w:sz w:val="18"/>
                <w:szCs w:val="20"/>
                <w:rtl/>
              </w:rPr>
              <w:t>בהון</w:t>
            </w:r>
          </w:p>
        </w:tc>
        <w:tc>
          <w:tcPr>
            <w:tcW w:w="5671" w:type="dxa"/>
            <w:gridSpan w:val="7"/>
            <w:tcBorders>
              <w:left w:val="nil"/>
              <w:bottom w:val="dashSmallGap" w:sz="4" w:space="0" w:color="auto"/>
              <w:right w:val="nil"/>
            </w:tcBorders>
          </w:tcPr>
          <w:p w14:paraId="7322088C" w14:textId="77777777" w:rsidR="00AB7D68" w:rsidRPr="00856FCB" w:rsidRDefault="00AB7D68" w:rsidP="00EF3535">
            <w:pPr>
              <w:spacing w:line="220" w:lineRule="exact"/>
              <w:jc w:val="center"/>
              <w:rPr>
                <w:sz w:val="18"/>
                <w:szCs w:val="20"/>
              </w:rPr>
            </w:pPr>
          </w:p>
        </w:tc>
        <w:tc>
          <w:tcPr>
            <w:tcW w:w="851" w:type="dxa"/>
          </w:tcPr>
          <w:p w14:paraId="7BAEE11C" w14:textId="33F767A5" w:rsidR="00B648B5" w:rsidRPr="00856FCB" w:rsidRDefault="00D80BE9">
            <w:pPr>
              <w:spacing w:line="220" w:lineRule="exact"/>
              <w:jc w:val="center"/>
              <w:rPr>
                <w:sz w:val="18"/>
                <w:szCs w:val="20"/>
              </w:rPr>
            </w:pPr>
            <w:r>
              <w:rPr>
                <w:rFonts w:hint="cs"/>
                <w:sz w:val="18"/>
                <w:szCs w:val="20"/>
                <w:rtl/>
              </w:rPr>
              <w:t>14</w:t>
            </w:r>
          </w:p>
        </w:tc>
      </w:tr>
      <w:tr w:rsidR="00AB7D68" w:rsidRPr="00856FCB" w14:paraId="4FB4B0B6"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3508" w:type="dxa"/>
            <w:gridSpan w:val="3"/>
          </w:tcPr>
          <w:p w14:paraId="1593C33A" w14:textId="77777777" w:rsidR="00225232" w:rsidRPr="00856FCB" w:rsidRDefault="00225232">
            <w:pPr>
              <w:spacing w:line="240" w:lineRule="auto"/>
              <w:rPr>
                <w:sz w:val="12"/>
                <w:szCs w:val="14"/>
                <w:rtl/>
              </w:rPr>
            </w:pPr>
          </w:p>
        </w:tc>
        <w:tc>
          <w:tcPr>
            <w:tcW w:w="5388" w:type="dxa"/>
            <w:gridSpan w:val="6"/>
            <w:tcBorders>
              <w:top w:val="nil"/>
              <w:left w:val="nil"/>
              <w:right w:val="nil"/>
            </w:tcBorders>
          </w:tcPr>
          <w:p w14:paraId="60B54F7A" w14:textId="77777777" w:rsidR="00225232" w:rsidRPr="00856FCB" w:rsidRDefault="00225232">
            <w:pPr>
              <w:spacing w:line="240" w:lineRule="auto"/>
              <w:jc w:val="center"/>
              <w:rPr>
                <w:sz w:val="12"/>
                <w:szCs w:val="14"/>
              </w:rPr>
            </w:pPr>
          </w:p>
        </w:tc>
        <w:tc>
          <w:tcPr>
            <w:tcW w:w="851" w:type="dxa"/>
          </w:tcPr>
          <w:p w14:paraId="26B6D922" w14:textId="77777777" w:rsidR="00225232" w:rsidRPr="00856FCB" w:rsidRDefault="00225232">
            <w:pPr>
              <w:spacing w:line="240" w:lineRule="auto"/>
              <w:jc w:val="center"/>
              <w:rPr>
                <w:sz w:val="12"/>
                <w:szCs w:val="14"/>
                <w:rtl/>
              </w:rPr>
            </w:pPr>
          </w:p>
        </w:tc>
      </w:tr>
      <w:tr w:rsidR="00AB7D68" w:rsidRPr="00856FCB" w14:paraId="41334201"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3225" w:type="dxa"/>
            <w:gridSpan w:val="2"/>
          </w:tcPr>
          <w:p w14:paraId="61EC1B45" w14:textId="77777777" w:rsidR="00AB7D68" w:rsidRPr="00856FCB" w:rsidRDefault="000C4C0E" w:rsidP="00EF3535">
            <w:pPr>
              <w:spacing w:line="220" w:lineRule="exact"/>
              <w:rPr>
                <w:sz w:val="18"/>
                <w:szCs w:val="20"/>
              </w:rPr>
            </w:pPr>
            <w:r w:rsidRPr="00856FCB">
              <w:rPr>
                <w:rFonts w:hint="eastAsia"/>
                <w:sz w:val="18"/>
                <w:szCs w:val="20"/>
                <w:rtl/>
              </w:rPr>
              <w:t>דוחות</w:t>
            </w:r>
            <w:r w:rsidRPr="00856FCB">
              <w:rPr>
                <w:sz w:val="18"/>
                <w:szCs w:val="20"/>
                <w:rtl/>
              </w:rPr>
              <w:t xml:space="preserve"> </w:t>
            </w:r>
            <w:r w:rsidRPr="00856FCB">
              <w:rPr>
                <w:rFonts w:hint="eastAsia"/>
                <w:sz w:val="18"/>
                <w:szCs w:val="20"/>
                <w:rtl/>
              </w:rPr>
              <w:t>מאוחדים</w:t>
            </w:r>
            <w:r w:rsidRPr="00856FCB">
              <w:rPr>
                <w:sz w:val="18"/>
                <w:szCs w:val="20"/>
                <w:rtl/>
              </w:rPr>
              <w:t xml:space="preserve"> </w:t>
            </w:r>
            <w:r w:rsidRPr="00856FCB">
              <w:rPr>
                <w:rFonts w:hint="eastAsia"/>
                <w:sz w:val="18"/>
                <w:szCs w:val="20"/>
                <w:rtl/>
              </w:rPr>
              <w:t>על</w:t>
            </w:r>
            <w:r w:rsidRPr="00856FCB">
              <w:rPr>
                <w:sz w:val="18"/>
                <w:szCs w:val="20"/>
                <w:rtl/>
              </w:rPr>
              <w:t xml:space="preserve"> </w:t>
            </w:r>
            <w:r w:rsidRPr="00856FCB">
              <w:rPr>
                <w:rFonts w:hint="eastAsia"/>
                <w:sz w:val="18"/>
                <w:szCs w:val="20"/>
                <w:rtl/>
              </w:rPr>
              <w:t>תזרימי</w:t>
            </w:r>
            <w:r w:rsidRPr="00856FCB">
              <w:rPr>
                <w:sz w:val="18"/>
                <w:szCs w:val="20"/>
                <w:rtl/>
              </w:rPr>
              <w:t xml:space="preserve"> </w:t>
            </w:r>
            <w:r w:rsidRPr="00856FCB">
              <w:rPr>
                <w:rFonts w:hint="eastAsia"/>
                <w:sz w:val="18"/>
                <w:szCs w:val="20"/>
                <w:rtl/>
              </w:rPr>
              <w:t>המזומנים</w:t>
            </w:r>
          </w:p>
        </w:tc>
        <w:tc>
          <w:tcPr>
            <w:tcW w:w="5671" w:type="dxa"/>
            <w:gridSpan w:val="7"/>
            <w:tcBorders>
              <w:top w:val="nil"/>
              <w:left w:val="nil"/>
              <w:bottom w:val="dashSmallGap" w:sz="4" w:space="0" w:color="auto"/>
              <w:right w:val="nil"/>
            </w:tcBorders>
          </w:tcPr>
          <w:p w14:paraId="39DF0826" w14:textId="77777777" w:rsidR="00AB7D68" w:rsidRPr="00856FCB" w:rsidRDefault="00AB7D68" w:rsidP="00EF3535">
            <w:pPr>
              <w:spacing w:line="220" w:lineRule="exact"/>
              <w:jc w:val="center"/>
              <w:rPr>
                <w:sz w:val="18"/>
                <w:szCs w:val="20"/>
              </w:rPr>
            </w:pPr>
          </w:p>
        </w:tc>
        <w:tc>
          <w:tcPr>
            <w:tcW w:w="851" w:type="dxa"/>
          </w:tcPr>
          <w:p w14:paraId="3C486ABA" w14:textId="354FF125" w:rsidR="00B648B5" w:rsidRPr="00856FCB" w:rsidRDefault="00D80BE9">
            <w:pPr>
              <w:spacing w:line="220" w:lineRule="exact"/>
              <w:jc w:val="center"/>
              <w:rPr>
                <w:sz w:val="18"/>
                <w:szCs w:val="20"/>
              </w:rPr>
            </w:pPr>
            <w:r>
              <w:rPr>
                <w:rFonts w:hint="cs"/>
                <w:sz w:val="18"/>
                <w:szCs w:val="20"/>
                <w:rtl/>
              </w:rPr>
              <w:t>19</w:t>
            </w:r>
          </w:p>
        </w:tc>
      </w:tr>
    </w:tbl>
    <w:p w14:paraId="6677F16F" w14:textId="77777777" w:rsidR="00AB7D68" w:rsidRPr="00856FCB" w:rsidRDefault="00AB7D68" w:rsidP="004B60E0">
      <w:pPr>
        <w:widowControl/>
        <w:spacing w:line="120" w:lineRule="auto"/>
        <w:rPr>
          <w:sz w:val="18"/>
          <w:szCs w:val="22"/>
          <w:rtl/>
        </w:rPr>
      </w:pPr>
    </w:p>
    <w:tbl>
      <w:tblPr>
        <w:bidiVisual/>
        <w:tblW w:w="9748" w:type="dxa"/>
        <w:tblInd w:w="-1" w:type="dxa"/>
        <w:tblBorders>
          <w:top w:val="single" w:sz="4" w:space="0" w:color="auto"/>
          <w:bottom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59"/>
        <w:gridCol w:w="586"/>
        <w:gridCol w:w="4942"/>
        <w:gridCol w:w="69"/>
        <w:gridCol w:w="357"/>
        <w:gridCol w:w="1984"/>
        <w:gridCol w:w="851"/>
      </w:tblGrid>
      <w:tr w:rsidR="00AB7D68" w:rsidRPr="00856FCB" w14:paraId="38F916E5" w14:textId="77777777" w:rsidTr="00EF3535">
        <w:trPr>
          <w:cantSplit/>
        </w:trPr>
        <w:tc>
          <w:tcPr>
            <w:tcW w:w="8897" w:type="dxa"/>
            <w:gridSpan w:val="6"/>
            <w:tcBorders>
              <w:top w:val="single" w:sz="4" w:space="0" w:color="auto"/>
              <w:left w:val="nil"/>
              <w:bottom w:val="single" w:sz="4" w:space="0" w:color="auto"/>
              <w:right w:val="single" w:sz="4" w:space="0" w:color="auto"/>
            </w:tcBorders>
            <w:shd w:val="clear" w:color="auto" w:fill="D9D9D9"/>
          </w:tcPr>
          <w:p w14:paraId="22761DB2" w14:textId="77777777" w:rsidR="00AB7D68" w:rsidRPr="00856FCB" w:rsidRDefault="000C4C0E" w:rsidP="00EF3535">
            <w:pPr>
              <w:spacing w:line="200" w:lineRule="exact"/>
              <w:jc w:val="center"/>
              <w:rPr>
                <w:b/>
                <w:bCs/>
                <w:sz w:val="16"/>
                <w:szCs w:val="18"/>
              </w:rPr>
            </w:pPr>
            <w:r w:rsidRPr="00856FCB">
              <w:rPr>
                <w:rFonts w:hint="eastAsia"/>
                <w:b/>
                <w:bCs/>
                <w:sz w:val="16"/>
                <w:szCs w:val="18"/>
                <w:rtl/>
              </w:rPr>
              <w:t>באורים</w:t>
            </w:r>
            <w:r w:rsidRPr="00856FCB">
              <w:rPr>
                <w:b/>
                <w:bCs/>
                <w:sz w:val="16"/>
                <w:szCs w:val="18"/>
                <w:rtl/>
              </w:rPr>
              <w:t xml:space="preserve"> </w:t>
            </w:r>
            <w:r w:rsidRPr="00856FCB">
              <w:rPr>
                <w:rFonts w:hint="eastAsia"/>
                <w:b/>
                <w:bCs/>
                <w:sz w:val="16"/>
                <w:szCs w:val="18"/>
                <w:rtl/>
              </w:rPr>
              <w:t>לדוחות</w:t>
            </w:r>
            <w:r w:rsidRPr="00856FCB">
              <w:rPr>
                <w:b/>
                <w:bCs/>
                <w:sz w:val="16"/>
                <w:szCs w:val="18"/>
                <w:rtl/>
              </w:rPr>
              <w:t xml:space="preserve"> </w:t>
            </w:r>
            <w:r w:rsidRPr="00856FCB">
              <w:rPr>
                <w:rFonts w:hint="eastAsia"/>
                <w:b/>
                <w:bCs/>
                <w:sz w:val="16"/>
                <w:szCs w:val="18"/>
                <w:rtl/>
              </w:rPr>
              <w:t>הכספיים</w:t>
            </w:r>
            <w:r w:rsidRPr="00856FCB">
              <w:rPr>
                <w:b/>
                <w:bCs/>
                <w:sz w:val="16"/>
                <w:szCs w:val="18"/>
                <w:rtl/>
              </w:rPr>
              <w:t xml:space="preserve"> </w:t>
            </w:r>
            <w:r w:rsidRPr="00856FCB">
              <w:rPr>
                <w:rFonts w:hint="eastAsia"/>
                <w:b/>
                <w:bCs/>
                <w:sz w:val="16"/>
                <w:szCs w:val="18"/>
                <w:rtl/>
              </w:rPr>
              <w:t>ביניים</w:t>
            </w:r>
            <w:r w:rsidRPr="00856FCB">
              <w:rPr>
                <w:b/>
                <w:bCs/>
                <w:sz w:val="16"/>
                <w:szCs w:val="18"/>
                <w:rtl/>
              </w:rPr>
              <w:t xml:space="preserve"> </w:t>
            </w:r>
            <w:r w:rsidRPr="00856FCB">
              <w:rPr>
                <w:rFonts w:hint="eastAsia"/>
                <w:b/>
                <w:bCs/>
                <w:sz w:val="16"/>
                <w:szCs w:val="18"/>
                <w:rtl/>
              </w:rPr>
              <w:t>מאוחדים</w:t>
            </w:r>
          </w:p>
        </w:tc>
        <w:tc>
          <w:tcPr>
            <w:tcW w:w="851" w:type="dxa"/>
            <w:tcBorders>
              <w:top w:val="single" w:sz="4" w:space="0" w:color="auto"/>
              <w:left w:val="single" w:sz="4" w:space="0" w:color="auto"/>
              <w:bottom w:val="single" w:sz="4" w:space="0" w:color="auto"/>
              <w:right w:val="nil"/>
            </w:tcBorders>
            <w:shd w:val="clear" w:color="auto" w:fill="D9D9D9"/>
          </w:tcPr>
          <w:p w14:paraId="285DFE7F" w14:textId="77777777" w:rsidR="00AB7D68" w:rsidRPr="00856FCB" w:rsidRDefault="000C4C0E" w:rsidP="00EF3535">
            <w:pPr>
              <w:spacing w:line="200" w:lineRule="exact"/>
              <w:jc w:val="center"/>
              <w:rPr>
                <w:b/>
                <w:bCs/>
                <w:sz w:val="16"/>
                <w:szCs w:val="18"/>
              </w:rPr>
            </w:pPr>
            <w:r w:rsidRPr="00856FCB">
              <w:rPr>
                <w:rFonts w:hint="eastAsia"/>
                <w:b/>
                <w:bCs/>
                <w:sz w:val="16"/>
                <w:szCs w:val="18"/>
                <w:rtl/>
              </w:rPr>
              <w:t>עמוד</w:t>
            </w:r>
          </w:p>
        </w:tc>
      </w:tr>
      <w:tr w:rsidR="00AB7D68" w:rsidRPr="00856FCB" w14:paraId="403A0FC9" w14:textId="77777777" w:rsidTr="00E67B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46F010FA" w14:textId="77777777" w:rsidR="00AB7D68" w:rsidRPr="00856FCB" w:rsidRDefault="00AB7D68" w:rsidP="00EF3535">
            <w:pPr>
              <w:spacing w:line="200" w:lineRule="exact"/>
              <w:rPr>
                <w:b/>
                <w:bCs/>
                <w:sz w:val="16"/>
                <w:szCs w:val="18"/>
                <w:rtl/>
              </w:rPr>
            </w:pPr>
          </w:p>
        </w:tc>
        <w:tc>
          <w:tcPr>
            <w:tcW w:w="5528" w:type="dxa"/>
            <w:gridSpan w:val="2"/>
          </w:tcPr>
          <w:p w14:paraId="02C83319" w14:textId="77777777" w:rsidR="00AB7D68" w:rsidRPr="00856FCB" w:rsidRDefault="00AB7D68" w:rsidP="00EF3535">
            <w:pPr>
              <w:spacing w:line="200" w:lineRule="exact"/>
              <w:rPr>
                <w:b/>
                <w:bCs/>
                <w:sz w:val="16"/>
                <w:szCs w:val="18"/>
                <w:rtl/>
              </w:rPr>
            </w:pPr>
          </w:p>
        </w:tc>
        <w:tc>
          <w:tcPr>
            <w:tcW w:w="2410" w:type="dxa"/>
            <w:gridSpan w:val="3"/>
          </w:tcPr>
          <w:p w14:paraId="555CE540" w14:textId="77777777" w:rsidR="00AB7D68" w:rsidRPr="00856FCB" w:rsidRDefault="00AB7D68" w:rsidP="00EF3535">
            <w:pPr>
              <w:spacing w:line="200" w:lineRule="exact"/>
              <w:jc w:val="center"/>
              <w:rPr>
                <w:sz w:val="16"/>
                <w:szCs w:val="18"/>
              </w:rPr>
            </w:pPr>
          </w:p>
        </w:tc>
        <w:tc>
          <w:tcPr>
            <w:tcW w:w="851" w:type="dxa"/>
          </w:tcPr>
          <w:p w14:paraId="67D3B7AB" w14:textId="77777777" w:rsidR="00AB7D68" w:rsidRPr="00856FCB" w:rsidRDefault="00AB7D68" w:rsidP="00EF3535">
            <w:pPr>
              <w:spacing w:line="200" w:lineRule="exact"/>
              <w:jc w:val="center"/>
              <w:rPr>
                <w:sz w:val="16"/>
                <w:szCs w:val="18"/>
                <w:rtl/>
              </w:rPr>
            </w:pPr>
          </w:p>
        </w:tc>
      </w:tr>
      <w:tr w:rsidR="00AB7D68" w:rsidRPr="00856FCB" w14:paraId="171DF541" w14:textId="77777777" w:rsidTr="00B736DD">
        <w:trPr>
          <w:cantSplit/>
        </w:trPr>
        <w:tc>
          <w:tcPr>
            <w:tcW w:w="959" w:type="dxa"/>
            <w:tcBorders>
              <w:top w:val="nil"/>
              <w:bottom w:val="nil"/>
              <w:right w:val="nil"/>
            </w:tcBorders>
          </w:tcPr>
          <w:p w14:paraId="0E7C64BE" w14:textId="77777777" w:rsidR="00AB7D68" w:rsidRPr="00856FCB" w:rsidRDefault="000C4C0E" w:rsidP="00EF3535">
            <w:pPr>
              <w:spacing w:line="200" w:lineRule="exact"/>
              <w:rPr>
                <w:b/>
                <w:bCs/>
                <w:sz w:val="16"/>
                <w:szCs w:val="18"/>
              </w:rPr>
            </w:pPr>
            <w:r w:rsidRPr="00856FCB">
              <w:rPr>
                <w:rFonts w:hint="eastAsia"/>
                <w:b/>
                <w:bCs/>
                <w:sz w:val="16"/>
                <w:szCs w:val="18"/>
                <w:rtl/>
              </w:rPr>
              <w:t>באור</w:t>
            </w:r>
            <w:r w:rsidRPr="00856FCB">
              <w:rPr>
                <w:b/>
                <w:bCs/>
                <w:sz w:val="16"/>
                <w:szCs w:val="18"/>
                <w:rtl/>
              </w:rPr>
              <w:t xml:space="preserve"> 1</w:t>
            </w:r>
          </w:p>
        </w:tc>
        <w:tc>
          <w:tcPr>
            <w:tcW w:w="586" w:type="dxa"/>
            <w:tcBorders>
              <w:top w:val="nil"/>
              <w:left w:val="nil"/>
              <w:bottom w:val="nil"/>
              <w:right w:val="nil"/>
            </w:tcBorders>
          </w:tcPr>
          <w:p w14:paraId="553194E1" w14:textId="77777777" w:rsidR="00AB7D68" w:rsidRPr="00856FCB" w:rsidRDefault="000C4C0E" w:rsidP="00EF3535">
            <w:pPr>
              <w:spacing w:line="200" w:lineRule="exact"/>
              <w:rPr>
                <w:b/>
                <w:bCs/>
                <w:sz w:val="16"/>
                <w:szCs w:val="18"/>
              </w:rPr>
            </w:pPr>
            <w:r w:rsidRPr="00856FCB">
              <w:rPr>
                <w:rFonts w:hint="eastAsia"/>
                <w:b/>
                <w:bCs/>
                <w:sz w:val="16"/>
                <w:szCs w:val="18"/>
                <w:rtl/>
              </w:rPr>
              <w:t>כללי</w:t>
            </w:r>
          </w:p>
        </w:tc>
        <w:tc>
          <w:tcPr>
            <w:tcW w:w="7352" w:type="dxa"/>
            <w:gridSpan w:val="4"/>
            <w:tcBorders>
              <w:top w:val="nil"/>
              <w:left w:val="nil"/>
              <w:bottom w:val="dashSmallGap" w:sz="4" w:space="0" w:color="auto"/>
              <w:right w:val="nil"/>
            </w:tcBorders>
          </w:tcPr>
          <w:p w14:paraId="6A295CFE" w14:textId="77777777" w:rsidR="00AB7D68" w:rsidRPr="00856FCB" w:rsidRDefault="00AB7D68" w:rsidP="00EF3535">
            <w:pPr>
              <w:spacing w:line="200" w:lineRule="exact"/>
              <w:rPr>
                <w:sz w:val="16"/>
                <w:szCs w:val="18"/>
              </w:rPr>
            </w:pPr>
          </w:p>
        </w:tc>
        <w:tc>
          <w:tcPr>
            <w:tcW w:w="851" w:type="dxa"/>
            <w:tcBorders>
              <w:top w:val="nil"/>
              <w:left w:val="nil"/>
              <w:bottom w:val="nil"/>
            </w:tcBorders>
          </w:tcPr>
          <w:p w14:paraId="4FE173A2" w14:textId="56E2E7DD" w:rsidR="00AB7D68" w:rsidRPr="00856FCB" w:rsidRDefault="00D80BE9" w:rsidP="00EF3535">
            <w:pPr>
              <w:spacing w:line="200" w:lineRule="exact"/>
              <w:jc w:val="center"/>
              <w:rPr>
                <w:sz w:val="16"/>
                <w:szCs w:val="18"/>
                <w:rtl/>
              </w:rPr>
            </w:pPr>
            <w:r>
              <w:rPr>
                <w:rFonts w:hint="cs"/>
                <w:sz w:val="16"/>
                <w:szCs w:val="18"/>
                <w:rtl/>
              </w:rPr>
              <w:t>22</w:t>
            </w:r>
          </w:p>
        </w:tc>
      </w:tr>
      <w:tr w:rsidR="00AB7D68" w:rsidRPr="00856FCB" w14:paraId="1E54B2BC" w14:textId="77777777" w:rsidTr="003D5801">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73568B90" w14:textId="77777777" w:rsidR="00225232" w:rsidRPr="00856FCB" w:rsidRDefault="00225232">
            <w:pPr>
              <w:spacing w:line="240" w:lineRule="auto"/>
              <w:rPr>
                <w:b/>
                <w:bCs/>
                <w:sz w:val="10"/>
                <w:szCs w:val="12"/>
              </w:rPr>
            </w:pPr>
          </w:p>
        </w:tc>
        <w:tc>
          <w:tcPr>
            <w:tcW w:w="7938" w:type="dxa"/>
            <w:gridSpan w:val="5"/>
          </w:tcPr>
          <w:p w14:paraId="5A35020E" w14:textId="77777777" w:rsidR="00225232" w:rsidRPr="00856FCB" w:rsidRDefault="00225232">
            <w:pPr>
              <w:spacing w:line="240" w:lineRule="auto"/>
              <w:rPr>
                <w:sz w:val="10"/>
                <w:szCs w:val="12"/>
              </w:rPr>
            </w:pPr>
          </w:p>
        </w:tc>
        <w:tc>
          <w:tcPr>
            <w:tcW w:w="851" w:type="dxa"/>
          </w:tcPr>
          <w:p w14:paraId="3E9CBEE8" w14:textId="77777777" w:rsidR="00225232" w:rsidRPr="00856FCB" w:rsidRDefault="00225232">
            <w:pPr>
              <w:spacing w:line="240" w:lineRule="auto"/>
              <w:jc w:val="center"/>
              <w:rPr>
                <w:sz w:val="10"/>
                <w:szCs w:val="12"/>
              </w:rPr>
            </w:pPr>
          </w:p>
        </w:tc>
      </w:tr>
      <w:tr w:rsidR="00AB7D68" w:rsidRPr="00856FCB" w14:paraId="2C35A076" w14:textId="77777777" w:rsidTr="003D5801">
        <w:trPr>
          <w:cantSplit/>
        </w:trPr>
        <w:tc>
          <w:tcPr>
            <w:tcW w:w="959" w:type="dxa"/>
            <w:tcBorders>
              <w:top w:val="nil"/>
              <w:bottom w:val="nil"/>
              <w:right w:val="nil"/>
            </w:tcBorders>
          </w:tcPr>
          <w:p w14:paraId="325991B7" w14:textId="77777777" w:rsidR="00AB7D68" w:rsidRPr="00856FCB" w:rsidRDefault="000C4C0E" w:rsidP="00EF3535">
            <w:pPr>
              <w:spacing w:line="200" w:lineRule="exact"/>
              <w:rPr>
                <w:b/>
                <w:bCs/>
                <w:sz w:val="16"/>
                <w:szCs w:val="18"/>
              </w:rPr>
            </w:pPr>
            <w:r w:rsidRPr="00856FCB">
              <w:rPr>
                <w:rFonts w:hint="eastAsia"/>
                <w:b/>
                <w:bCs/>
                <w:sz w:val="16"/>
                <w:szCs w:val="18"/>
                <w:rtl/>
              </w:rPr>
              <w:t>באור</w:t>
            </w:r>
            <w:r w:rsidRPr="00856FCB">
              <w:rPr>
                <w:b/>
                <w:bCs/>
                <w:sz w:val="16"/>
                <w:szCs w:val="18"/>
                <w:rtl/>
              </w:rPr>
              <w:t xml:space="preserve"> 2</w:t>
            </w:r>
          </w:p>
        </w:tc>
        <w:tc>
          <w:tcPr>
            <w:tcW w:w="5528" w:type="dxa"/>
            <w:gridSpan w:val="2"/>
            <w:tcBorders>
              <w:top w:val="nil"/>
              <w:left w:val="nil"/>
              <w:bottom w:val="nil"/>
              <w:right w:val="nil"/>
            </w:tcBorders>
          </w:tcPr>
          <w:p w14:paraId="3137F4E5" w14:textId="77777777" w:rsidR="00AB7D68" w:rsidRPr="00856FCB" w:rsidRDefault="000C4C0E" w:rsidP="00EF3535">
            <w:pPr>
              <w:spacing w:line="200" w:lineRule="exact"/>
              <w:rPr>
                <w:b/>
                <w:bCs/>
                <w:sz w:val="16"/>
                <w:szCs w:val="18"/>
              </w:rPr>
            </w:pPr>
            <w:r w:rsidRPr="00856FCB">
              <w:rPr>
                <w:rFonts w:hint="eastAsia"/>
                <w:b/>
                <w:bCs/>
                <w:sz w:val="16"/>
                <w:szCs w:val="18"/>
                <w:rtl/>
              </w:rPr>
              <w:t>עיקרי</w:t>
            </w:r>
            <w:r w:rsidRPr="00856FCB">
              <w:rPr>
                <w:b/>
                <w:bCs/>
                <w:sz w:val="16"/>
                <w:szCs w:val="18"/>
                <w:rtl/>
              </w:rPr>
              <w:t xml:space="preserve"> </w:t>
            </w:r>
            <w:r w:rsidRPr="00856FCB">
              <w:rPr>
                <w:rFonts w:hint="eastAsia"/>
                <w:b/>
                <w:bCs/>
                <w:sz w:val="16"/>
                <w:szCs w:val="18"/>
                <w:rtl/>
              </w:rPr>
              <w:t>המדיניות</w:t>
            </w:r>
            <w:r w:rsidRPr="00856FCB">
              <w:rPr>
                <w:b/>
                <w:bCs/>
                <w:sz w:val="16"/>
                <w:szCs w:val="18"/>
                <w:rtl/>
              </w:rPr>
              <w:t xml:space="preserve"> </w:t>
            </w:r>
            <w:r w:rsidRPr="00856FCB">
              <w:rPr>
                <w:rFonts w:hint="eastAsia"/>
                <w:b/>
                <w:bCs/>
                <w:sz w:val="16"/>
                <w:szCs w:val="18"/>
                <w:rtl/>
              </w:rPr>
              <w:t>החשבונאית</w:t>
            </w:r>
          </w:p>
        </w:tc>
        <w:tc>
          <w:tcPr>
            <w:tcW w:w="2410" w:type="dxa"/>
            <w:gridSpan w:val="3"/>
            <w:tcBorders>
              <w:top w:val="nil"/>
              <w:left w:val="nil"/>
              <w:bottom w:val="dashSmallGap" w:sz="4" w:space="0" w:color="auto"/>
              <w:right w:val="nil"/>
            </w:tcBorders>
          </w:tcPr>
          <w:p w14:paraId="4ABABFBF" w14:textId="77777777" w:rsidR="00AB7D68" w:rsidRPr="00856FCB" w:rsidRDefault="00AB7D68" w:rsidP="00EF3535">
            <w:pPr>
              <w:spacing w:line="200" w:lineRule="exact"/>
              <w:jc w:val="center"/>
              <w:rPr>
                <w:sz w:val="16"/>
                <w:szCs w:val="18"/>
              </w:rPr>
            </w:pPr>
          </w:p>
        </w:tc>
        <w:tc>
          <w:tcPr>
            <w:tcW w:w="851" w:type="dxa"/>
            <w:tcBorders>
              <w:top w:val="nil"/>
              <w:left w:val="nil"/>
              <w:bottom w:val="nil"/>
            </w:tcBorders>
          </w:tcPr>
          <w:p w14:paraId="795AD1F5" w14:textId="59E5F7CE" w:rsidR="00AB7D68" w:rsidRPr="00856FCB" w:rsidRDefault="00D80BE9" w:rsidP="00EF3535">
            <w:pPr>
              <w:spacing w:line="200" w:lineRule="exact"/>
              <w:jc w:val="center"/>
              <w:rPr>
                <w:sz w:val="16"/>
                <w:szCs w:val="18"/>
              </w:rPr>
            </w:pPr>
            <w:r>
              <w:rPr>
                <w:rFonts w:hint="cs"/>
                <w:sz w:val="16"/>
                <w:szCs w:val="18"/>
                <w:rtl/>
              </w:rPr>
              <w:t>22</w:t>
            </w:r>
          </w:p>
        </w:tc>
      </w:tr>
      <w:tr w:rsidR="00AB7D68" w:rsidRPr="00856FCB" w14:paraId="1E32F0B9" w14:textId="77777777" w:rsidTr="003D5801">
        <w:trPr>
          <w:cantSplit/>
        </w:trPr>
        <w:tc>
          <w:tcPr>
            <w:tcW w:w="959" w:type="dxa"/>
            <w:tcBorders>
              <w:top w:val="nil"/>
              <w:bottom w:val="nil"/>
              <w:right w:val="nil"/>
            </w:tcBorders>
            <w:shd w:val="clear" w:color="auto" w:fill="auto"/>
          </w:tcPr>
          <w:p w14:paraId="20599D78" w14:textId="77777777" w:rsidR="00AB7D68" w:rsidRPr="00856FCB" w:rsidRDefault="00AB7D68" w:rsidP="00EF3535">
            <w:pPr>
              <w:widowControl/>
              <w:spacing w:line="200" w:lineRule="exact"/>
              <w:jc w:val="center"/>
              <w:rPr>
                <w:sz w:val="16"/>
                <w:szCs w:val="18"/>
              </w:rPr>
            </w:pPr>
          </w:p>
        </w:tc>
        <w:tc>
          <w:tcPr>
            <w:tcW w:w="7938" w:type="dxa"/>
            <w:gridSpan w:val="5"/>
            <w:tcBorders>
              <w:top w:val="nil"/>
              <w:left w:val="nil"/>
              <w:bottom w:val="nil"/>
              <w:right w:val="nil"/>
            </w:tcBorders>
            <w:shd w:val="clear" w:color="auto" w:fill="auto"/>
          </w:tcPr>
          <w:p w14:paraId="28FACCD4" w14:textId="77777777" w:rsidR="00AB7D68" w:rsidRPr="00856FCB" w:rsidRDefault="00AB7D68" w:rsidP="00EF3535">
            <w:pPr>
              <w:widowControl/>
              <w:spacing w:line="200" w:lineRule="exact"/>
              <w:jc w:val="left"/>
              <w:rPr>
                <w:sz w:val="16"/>
                <w:szCs w:val="18"/>
                <w:rtl/>
              </w:rPr>
            </w:pPr>
          </w:p>
        </w:tc>
        <w:tc>
          <w:tcPr>
            <w:tcW w:w="851" w:type="dxa"/>
            <w:tcBorders>
              <w:top w:val="nil"/>
              <w:left w:val="nil"/>
              <w:bottom w:val="nil"/>
            </w:tcBorders>
            <w:shd w:val="clear" w:color="auto" w:fill="auto"/>
          </w:tcPr>
          <w:p w14:paraId="38909863" w14:textId="77777777" w:rsidR="00AB7D68" w:rsidRPr="00856FCB" w:rsidRDefault="00AB7D68" w:rsidP="00EF3535">
            <w:pPr>
              <w:widowControl/>
              <w:spacing w:line="200" w:lineRule="exact"/>
              <w:jc w:val="center"/>
              <w:rPr>
                <w:sz w:val="16"/>
                <w:szCs w:val="18"/>
              </w:rPr>
            </w:pPr>
          </w:p>
        </w:tc>
      </w:tr>
      <w:tr w:rsidR="009B030D" w:rsidRPr="00856FCB" w14:paraId="3844F0BC" w14:textId="77777777" w:rsidTr="00255307">
        <w:trPr>
          <w:cantSplit/>
        </w:trPr>
        <w:tc>
          <w:tcPr>
            <w:tcW w:w="959" w:type="dxa"/>
            <w:vMerge w:val="restart"/>
            <w:tcBorders>
              <w:top w:val="nil"/>
              <w:bottom w:val="nil"/>
              <w:right w:val="nil"/>
            </w:tcBorders>
          </w:tcPr>
          <w:p w14:paraId="2349AC1F" w14:textId="77777777" w:rsidR="009B030D" w:rsidRPr="00856FCB" w:rsidRDefault="009B030D" w:rsidP="00EF3535">
            <w:pPr>
              <w:spacing w:line="200" w:lineRule="exact"/>
              <w:rPr>
                <w:b/>
                <w:bCs/>
                <w:sz w:val="16"/>
                <w:szCs w:val="18"/>
              </w:rPr>
            </w:pPr>
          </w:p>
        </w:tc>
        <w:tc>
          <w:tcPr>
            <w:tcW w:w="5597" w:type="dxa"/>
            <w:gridSpan w:val="3"/>
            <w:tcBorders>
              <w:top w:val="nil"/>
              <w:left w:val="nil"/>
              <w:bottom w:val="nil"/>
              <w:right w:val="nil"/>
            </w:tcBorders>
          </w:tcPr>
          <w:p w14:paraId="5C5CDC9B" w14:textId="77777777" w:rsidR="009B030D" w:rsidRPr="00856FCB" w:rsidRDefault="009B030D" w:rsidP="00EF3535">
            <w:pPr>
              <w:spacing w:line="200" w:lineRule="exact"/>
              <w:rPr>
                <w:sz w:val="16"/>
                <w:szCs w:val="18"/>
                <w:rtl/>
              </w:rPr>
            </w:pPr>
            <w:r w:rsidRPr="00856FCB">
              <w:rPr>
                <w:rFonts w:hint="eastAsia"/>
                <w:sz w:val="16"/>
                <w:szCs w:val="18"/>
                <w:rtl/>
              </w:rPr>
              <w:t>א</w:t>
            </w:r>
            <w:r w:rsidRPr="00856FCB">
              <w:rPr>
                <w:sz w:val="16"/>
                <w:szCs w:val="18"/>
                <w:rtl/>
              </w:rPr>
              <w:t>.</w:t>
            </w:r>
            <w:r w:rsidRPr="00856FCB">
              <w:rPr>
                <w:sz w:val="16"/>
                <w:szCs w:val="18"/>
                <w:rtl/>
              </w:rPr>
              <w:tab/>
            </w:r>
            <w:r w:rsidRPr="00856FCB">
              <w:rPr>
                <w:rFonts w:hint="eastAsia"/>
                <w:sz w:val="16"/>
                <w:szCs w:val="18"/>
                <w:rtl/>
              </w:rPr>
              <w:t>מתכונת</w:t>
            </w:r>
            <w:r w:rsidRPr="00856FCB">
              <w:rPr>
                <w:sz w:val="16"/>
                <w:szCs w:val="18"/>
                <w:rtl/>
              </w:rPr>
              <w:t xml:space="preserve"> </w:t>
            </w:r>
            <w:r w:rsidRPr="00856FCB">
              <w:rPr>
                <w:rFonts w:hint="eastAsia"/>
                <w:sz w:val="16"/>
                <w:szCs w:val="18"/>
                <w:rtl/>
              </w:rPr>
              <w:t>העריכה</w:t>
            </w:r>
            <w:r w:rsidRPr="00856FCB">
              <w:rPr>
                <w:sz w:val="16"/>
                <w:szCs w:val="18"/>
                <w:rtl/>
              </w:rPr>
              <w:t xml:space="preserve"> </w:t>
            </w:r>
            <w:r w:rsidRPr="00856FCB">
              <w:rPr>
                <w:rFonts w:hint="eastAsia"/>
                <w:sz w:val="16"/>
                <w:szCs w:val="18"/>
                <w:rtl/>
              </w:rPr>
              <w:t>של</w:t>
            </w:r>
            <w:r w:rsidRPr="00856FCB">
              <w:rPr>
                <w:sz w:val="16"/>
                <w:szCs w:val="18"/>
                <w:rtl/>
              </w:rPr>
              <w:t xml:space="preserve"> </w:t>
            </w:r>
            <w:r w:rsidRPr="00856FCB">
              <w:rPr>
                <w:rFonts w:hint="eastAsia"/>
                <w:sz w:val="16"/>
                <w:szCs w:val="18"/>
                <w:rtl/>
              </w:rPr>
              <w:t>הדוחות</w:t>
            </w:r>
            <w:r w:rsidRPr="00856FCB">
              <w:rPr>
                <w:sz w:val="16"/>
                <w:szCs w:val="18"/>
                <w:rtl/>
              </w:rPr>
              <w:t xml:space="preserve"> </w:t>
            </w:r>
            <w:r w:rsidRPr="00856FCB">
              <w:rPr>
                <w:rFonts w:hint="eastAsia"/>
                <w:sz w:val="16"/>
                <w:szCs w:val="18"/>
                <w:rtl/>
              </w:rPr>
              <w:t>הכספיים</w:t>
            </w:r>
            <w:r w:rsidRPr="00856FCB">
              <w:rPr>
                <w:sz w:val="16"/>
                <w:szCs w:val="18"/>
                <w:rtl/>
              </w:rPr>
              <w:t xml:space="preserve"> </w:t>
            </w:r>
            <w:r w:rsidRPr="00856FCB">
              <w:rPr>
                <w:rFonts w:hint="eastAsia"/>
                <w:sz w:val="16"/>
                <w:szCs w:val="18"/>
                <w:rtl/>
              </w:rPr>
              <w:t>ביניים</w:t>
            </w:r>
            <w:r w:rsidRPr="00856FCB">
              <w:rPr>
                <w:sz w:val="16"/>
                <w:szCs w:val="18"/>
                <w:rtl/>
              </w:rPr>
              <w:t xml:space="preserve"> </w:t>
            </w:r>
            <w:r w:rsidRPr="00856FCB">
              <w:rPr>
                <w:rFonts w:hint="eastAsia"/>
                <w:sz w:val="16"/>
                <w:szCs w:val="18"/>
                <w:rtl/>
              </w:rPr>
              <w:t>מאוחדים</w:t>
            </w:r>
          </w:p>
        </w:tc>
        <w:tc>
          <w:tcPr>
            <w:tcW w:w="2341" w:type="dxa"/>
            <w:gridSpan w:val="2"/>
            <w:tcBorders>
              <w:top w:val="nil"/>
              <w:left w:val="nil"/>
              <w:bottom w:val="dashSmallGap" w:sz="4" w:space="0" w:color="auto"/>
              <w:right w:val="nil"/>
            </w:tcBorders>
            <w:vAlign w:val="bottom"/>
          </w:tcPr>
          <w:p w14:paraId="7187FAC0" w14:textId="77777777" w:rsidR="009B030D" w:rsidRPr="00856FCB" w:rsidRDefault="009B030D" w:rsidP="00EF3535">
            <w:pPr>
              <w:spacing w:line="200" w:lineRule="exact"/>
              <w:rPr>
                <w:sz w:val="16"/>
                <w:szCs w:val="18"/>
              </w:rPr>
            </w:pPr>
          </w:p>
        </w:tc>
        <w:tc>
          <w:tcPr>
            <w:tcW w:w="851" w:type="dxa"/>
            <w:tcBorders>
              <w:top w:val="nil"/>
              <w:left w:val="nil"/>
              <w:bottom w:val="nil"/>
            </w:tcBorders>
          </w:tcPr>
          <w:p w14:paraId="08AB8CCB" w14:textId="21094D0E" w:rsidR="009B030D" w:rsidRPr="00856FCB" w:rsidRDefault="009B030D" w:rsidP="00F556E7">
            <w:pPr>
              <w:spacing w:line="200" w:lineRule="exact"/>
              <w:jc w:val="center"/>
              <w:rPr>
                <w:sz w:val="16"/>
                <w:szCs w:val="18"/>
                <w:rtl/>
              </w:rPr>
            </w:pPr>
          </w:p>
        </w:tc>
      </w:tr>
      <w:tr w:rsidR="00255307" w:rsidRPr="00856FCB" w14:paraId="57F1CB30" w14:textId="77777777" w:rsidTr="00255307">
        <w:trPr>
          <w:cantSplit/>
        </w:trPr>
        <w:tc>
          <w:tcPr>
            <w:tcW w:w="959" w:type="dxa"/>
            <w:vMerge/>
            <w:tcBorders>
              <w:top w:val="nil"/>
              <w:bottom w:val="nil"/>
              <w:right w:val="nil"/>
            </w:tcBorders>
          </w:tcPr>
          <w:p w14:paraId="47D41D7C" w14:textId="77777777" w:rsidR="00255307" w:rsidRPr="00856FCB" w:rsidRDefault="00255307" w:rsidP="00EF3535">
            <w:pPr>
              <w:spacing w:line="200" w:lineRule="exact"/>
              <w:rPr>
                <w:b/>
                <w:bCs/>
                <w:sz w:val="16"/>
                <w:szCs w:val="18"/>
              </w:rPr>
            </w:pPr>
          </w:p>
        </w:tc>
        <w:tc>
          <w:tcPr>
            <w:tcW w:w="5597" w:type="dxa"/>
            <w:gridSpan w:val="3"/>
            <w:tcBorders>
              <w:top w:val="nil"/>
              <w:left w:val="nil"/>
              <w:bottom w:val="nil"/>
              <w:right w:val="nil"/>
            </w:tcBorders>
          </w:tcPr>
          <w:p w14:paraId="2F7BF8F0" w14:textId="2AF09CAF" w:rsidR="00255307" w:rsidRPr="00856FCB" w:rsidRDefault="00255307" w:rsidP="003700B8">
            <w:pPr>
              <w:spacing w:line="200" w:lineRule="exact"/>
              <w:rPr>
                <w:sz w:val="16"/>
                <w:szCs w:val="18"/>
                <w:rtl/>
              </w:rPr>
            </w:pPr>
            <w:r w:rsidRPr="00856FCB">
              <w:rPr>
                <w:rFonts w:hint="cs"/>
                <w:sz w:val="16"/>
                <w:szCs w:val="18"/>
                <w:rtl/>
              </w:rPr>
              <w:t>ב.</w:t>
            </w:r>
            <w:r w:rsidRPr="00856FCB">
              <w:rPr>
                <w:sz w:val="16"/>
                <w:szCs w:val="18"/>
                <w:rtl/>
              </w:rPr>
              <w:tab/>
            </w:r>
            <w:r w:rsidR="003700B8">
              <w:rPr>
                <w:rFonts w:hint="cs"/>
                <w:sz w:val="16"/>
                <w:szCs w:val="18"/>
                <w:rtl/>
              </w:rPr>
              <w:t>חכירות</w:t>
            </w:r>
          </w:p>
        </w:tc>
        <w:tc>
          <w:tcPr>
            <w:tcW w:w="357" w:type="dxa"/>
            <w:tcBorders>
              <w:top w:val="nil"/>
              <w:left w:val="nil"/>
              <w:bottom w:val="dashSmallGap" w:sz="4" w:space="0" w:color="auto"/>
              <w:right w:val="nil"/>
            </w:tcBorders>
          </w:tcPr>
          <w:p w14:paraId="4209CF54" w14:textId="77777777" w:rsidR="00255307" w:rsidRPr="00856FCB" w:rsidRDefault="00255307" w:rsidP="00255307">
            <w:pPr>
              <w:spacing w:line="200" w:lineRule="exact"/>
              <w:rPr>
                <w:sz w:val="16"/>
                <w:szCs w:val="18"/>
                <w:rtl/>
              </w:rPr>
            </w:pPr>
          </w:p>
        </w:tc>
        <w:tc>
          <w:tcPr>
            <w:tcW w:w="1984" w:type="dxa"/>
            <w:tcBorders>
              <w:top w:val="nil"/>
              <w:left w:val="nil"/>
              <w:bottom w:val="dashSmallGap" w:sz="4" w:space="0" w:color="auto"/>
              <w:right w:val="nil"/>
            </w:tcBorders>
            <w:vAlign w:val="bottom"/>
          </w:tcPr>
          <w:p w14:paraId="0D638F94" w14:textId="77777777" w:rsidR="00255307" w:rsidRPr="00856FCB" w:rsidRDefault="00255307" w:rsidP="00255307">
            <w:pPr>
              <w:spacing w:line="200" w:lineRule="exact"/>
              <w:rPr>
                <w:sz w:val="16"/>
                <w:szCs w:val="18"/>
              </w:rPr>
            </w:pPr>
          </w:p>
        </w:tc>
        <w:tc>
          <w:tcPr>
            <w:tcW w:w="851" w:type="dxa"/>
            <w:tcBorders>
              <w:top w:val="nil"/>
              <w:left w:val="nil"/>
              <w:bottom w:val="nil"/>
            </w:tcBorders>
          </w:tcPr>
          <w:p w14:paraId="3F87CDDF" w14:textId="7CDDE8ED" w:rsidR="00255307" w:rsidRPr="00856FCB" w:rsidRDefault="00255307" w:rsidP="00255307">
            <w:pPr>
              <w:spacing w:line="200" w:lineRule="exact"/>
              <w:jc w:val="center"/>
              <w:rPr>
                <w:sz w:val="16"/>
                <w:szCs w:val="18"/>
                <w:rtl/>
              </w:rPr>
            </w:pPr>
          </w:p>
        </w:tc>
      </w:tr>
    </w:tbl>
    <w:p w14:paraId="720CCED8" w14:textId="77777777" w:rsidR="00255307" w:rsidRPr="00B40F88" w:rsidRDefault="00255307">
      <w:pPr>
        <w:rPr>
          <w:sz w:val="2"/>
          <w:szCs w:val="2"/>
        </w:rPr>
      </w:pPr>
    </w:p>
    <w:tbl>
      <w:tblPr>
        <w:bidiVisual/>
        <w:tblW w:w="9748" w:type="dxa"/>
        <w:tblInd w:w="-1" w:type="dxa"/>
        <w:tblBorders>
          <w:top w:val="single" w:sz="4" w:space="0" w:color="auto"/>
          <w:bottom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59"/>
        <w:gridCol w:w="810"/>
        <w:gridCol w:w="448"/>
        <w:gridCol w:w="70"/>
        <w:gridCol w:w="231"/>
        <w:gridCol w:w="91"/>
        <w:gridCol w:w="392"/>
        <w:gridCol w:w="56"/>
        <w:gridCol w:w="28"/>
        <w:gridCol w:w="284"/>
        <w:gridCol w:w="24"/>
        <w:gridCol w:w="210"/>
        <w:gridCol w:w="374"/>
        <w:gridCol w:w="501"/>
        <w:gridCol w:w="160"/>
        <w:gridCol w:w="7"/>
        <w:gridCol w:w="343"/>
        <w:gridCol w:w="365"/>
        <w:gridCol w:w="567"/>
        <w:gridCol w:w="1833"/>
        <w:gridCol w:w="1144"/>
        <w:gridCol w:w="851"/>
      </w:tblGrid>
      <w:tr w:rsidR="00B40F88" w:rsidRPr="00856FCB" w14:paraId="78E548F2" w14:textId="77777777" w:rsidTr="00AA39F4">
        <w:trPr>
          <w:cantSplit/>
        </w:trPr>
        <w:tc>
          <w:tcPr>
            <w:tcW w:w="959" w:type="dxa"/>
            <w:tcBorders>
              <w:top w:val="nil"/>
              <w:bottom w:val="nil"/>
              <w:right w:val="nil"/>
            </w:tcBorders>
          </w:tcPr>
          <w:p w14:paraId="57C188E5" w14:textId="77777777" w:rsidR="00B40F88" w:rsidRPr="00856FCB" w:rsidRDefault="00B40F88" w:rsidP="00AC2186">
            <w:pPr>
              <w:spacing w:line="200" w:lineRule="exact"/>
              <w:rPr>
                <w:b/>
                <w:bCs/>
                <w:sz w:val="16"/>
                <w:szCs w:val="18"/>
                <w:rtl/>
              </w:rPr>
            </w:pPr>
          </w:p>
        </w:tc>
        <w:tc>
          <w:tcPr>
            <w:tcW w:w="7938" w:type="dxa"/>
            <w:gridSpan w:val="20"/>
            <w:tcBorders>
              <w:top w:val="nil"/>
              <w:left w:val="nil"/>
              <w:bottom w:val="nil"/>
              <w:right w:val="nil"/>
            </w:tcBorders>
          </w:tcPr>
          <w:p w14:paraId="3CB7A287" w14:textId="7F68A305" w:rsidR="00B40F88" w:rsidRPr="00856FCB" w:rsidRDefault="003700B8" w:rsidP="00AC2186">
            <w:pPr>
              <w:spacing w:line="200" w:lineRule="exact"/>
              <w:rPr>
                <w:sz w:val="16"/>
                <w:szCs w:val="18"/>
              </w:rPr>
            </w:pPr>
            <w:r>
              <w:rPr>
                <w:rFonts w:hint="cs"/>
                <w:sz w:val="16"/>
                <w:szCs w:val="18"/>
                <w:rtl/>
              </w:rPr>
              <w:t>ג</w:t>
            </w:r>
            <w:r w:rsidR="00B40F88" w:rsidRPr="00856FCB">
              <w:rPr>
                <w:rFonts w:hint="cs"/>
                <w:sz w:val="16"/>
                <w:szCs w:val="18"/>
                <w:rtl/>
              </w:rPr>
              <w:t>.</w:t>
            </w:r>
            <w:r w:rsidR="00B40F88" w:rsidRPr="00856FCB">
              <w:rPr>
                <w:sz w:val="16"/>
                <w:szCs w:val="18"/>
                <w:rtl/>
              </w:rPr>
              <w:tab/>
            </w:r>
            <w:r w:rsidR="00B40F88" w:rsidRPr="00856FCB">
              <w:rPr>
                <w:rFonts w:hint="cs"/>
                <w:sz w:val="16"/>
                <w:szCs w:val="18"/>
                <w:rtl/>
              </w:rPr>
              <w:t>יישום לראשונה של תקני דיווח כספי חדשים ותיקונים לתקני חשבונאות קיימים</w:t>
            </w:r>
          </w:p>
        </w:tc>
        <w:tc>
          <w:tcPr>
            <w:tcW w:w="851" w:type="dxa"/>
            <w:tcBorders>
              <w:top w:val="nil"/>
              <w:left w:val="nil"/>
              <w:bottom w:val="nil"/>
            </w:tcBorders>
          </w:tcPr>
          <w:p w14:paraId="6BE2DA80" w14:textId="77777777" w:rsidR="00B40F88" w:rsidRPr="00856FCB" w:rsidRDefault="00B40F88" w:rsidP="00AC2186">
            <w:pPr>
              <w:spacing w:line="200" w:lineRule="exact"/>
              <w:jc w:val="center"/>
              <w:rPr>
                <w:sz w:val="16"/>
                <w:szCs w:val="18"/>
                <w:rtl/>
              </w:rPr>
            </w:pPr>
          </w:p>
        </w:tc>
      </w:tr>
      <w:tr w:rsidR="00EA60E7" w:rsidRPr="00856FCB" w14:paraId="0CF20820" w14:textId="77777777" w:rsidTr="00AC2186">
        <w:trPr>
          <w:cantSplit/>
        </w:trPr>
        <w:tc>
          <w:tcPr>
            <w:tcW w:w="959" w:type="dxa"/>
            <w:tcBorders>
              <w:top w:val="nil"/>
              <w:bottom w:val="nil"/>
              <w:right w:val="nil"/>
            </w:tcBorders>
          </w:tcPr>
          <w:p w14:paraId="70682F93" w14:textId="77777777" w:rsidR="00EA60E7" w:rsidRPr="00856FCB" w:rsidRDefault="00EA60E7" w:rsidP="00AC2186">
            <w:pPr>
              <w:spacing w:line="200" w:lineRule="exact"/>
              <w:rPr>
                <w:b/>
                <w:bCs/>
                <w:sz w:val="16"/>
                <w:szCs w:val="18"/>
                <w:rtl/>
              </w:rPr>
            </w:pPr>
          </w:p>
        </w:tc>
        <w:tc>
          <w:tcPr>
            <w:tcW w:w="4961" w:type="dxa"/>
            <w:gridSpan w:val="18"/>
            <w:tcBorders>
              <w:top w:val="nil"/>
              <w:left w:val="nil"/>
              <w:bottom w:val="nil"/>
              <w:right w:val="nil"/>
            </w:tcBorders>
          </w:tcPr>
          <w:p w14:paraId="67F60506" w14:textId="5CA173E0" w:rsidR="00EA60E7" w:rsidRPr="00856FCB" w:rsidRDefault="003700B8" w:rsidP="00AC2186">
            <w:pPr>
              <w:spacing w:line="200" w:lineRule="exact"/>
              <w:rPr>
                <w:sz w:val="16"/>
                <w:szCs w:val="18"/>
                <w:rtl/>
              </w:rPr>
            </w:pPr>
            <w:r>
              <w:rPr>
                <w:rFonts w:hint="cs"/>
                <w:sz w:val="16"/>
                <w:szCs w:val="18"/>
                <w:rtl/>
              </w:rPr>
              <w:t>ד</w:t>
            </w:r>
            <w:r w:rsidR="00EA60E7" w:rsidRPr="00856FCB">
              <w:rPr>
                <w:rFonts w:hint="cs"/>
                <w:sz w:val="16"/>
                <w:szCs w:val="18"/>
                <w:rtl/>
              </w:rPr>
              <w:t xml:space="preserve">.        יישום למפרע בעקבות שינוי מדיניות ייזום בדבר </w:t>
            </w:r>
            <w:r w:rsidR="00EA60E7" w:rsidRPr="00856FCB">
              <w:rPr>
                <w:rFonts w:hint="cs"/>
                <w:sz w:val="16"/>
                <w:szCs w:val="18"/>
                <w:shd w:val="clear" w:color="auto" w:fill="D9D9D9" w:themeFill="background1" w:themeFillShade="D9"/>
                <w:rtl/>
              </w:rPr>
              <w:t>___</w:t>
            </w:r>
          </w:p>
        </w:tc>
        <w:tc>
          <w:tcPr>
            <w:tcW w:w="2977" w:type="dxa"/>
            <w:gridSpan w:val="2"/>
            <w:tcBorders>
              <w:top w:val="nil"/>
              <w:left w:val="nil"/>
              <w:bottom w:val="dashSmallGap" w:sz="4" w:space="0" w:color="auto"/>
              <w:right w:val="nil"/>
            </w:tcBorders>
          </w:tcPr>
          <w:p w14:paraId="642BA34D" w14:textId="77777777" w:rsidR="00EA60E7" w:rsidRPr="00856FCB" w:rsidRDefault="00EA60E7" w:rsidP="00AC2186">
            <w:pPr>
              <w:spacing w:line="200" w:lineRule="exact"/>
              <w:rPr>
                <w:sz w:val="16"/>
                <w:szCs w:val="18"/>
              </w:rPr>
            </w:pPr>
          </w:p>
        </w:tc>
        <w:tc>
          <w:tcPr>
            <w:tcW w:w="851" w:type="dxa"/>
            <w:tcBorders>
              <w:top w:val="nil"/>
              <w:left w:val="nil"/>
              <w:bottom w:val="nil"/>
            </w:tcBorders>
          </w:tcPr>
          <w:p w14:paraId="79249EEE" w14:textId="683DB9F1" w:rsidR="00EA60E7" w:rsidRPr="00856FCB" w:rsidRDefault="00EA60E7" w:rsidP="00AC2186">
            <w:pPr>
              <w:spacing w:line="200" w:lineRule="exact"/>
              <w:jc w:val="center"/>
              <w:rPr>
                <w:sz w:val="16"/>
                <w:szCs w:val="18"/>
                <w:rtl/>
              </w:rPr>
            </w:pPr>
          </w:p>
        </w:tc>
      </w:tr>
      <w:tr w:rsidR="00EA60E7" w:rsidRPr="00856FCB" w14:paraId="6455466C" w14:textId="77777777" w:rsidTr="00AC2186">
        <w:trPr>
          <w:cantSplit/>
        </w:trPr>
        <w:tc>
          <w:tcPr>
            <w:tcW w:w="959" w:type="dxa"/>
            <w:tcBorders>
              <w:top w:val="nil"/>
              <w:bottom w:val="nil"/>
              <w:right w:val="nil"/>
            </w:tcBorders>
          </w:tcPr>
          <w:p w14:paraId="3C2E6A40" w14:textId="77777777" w:rsidR="00EA60E7" w:rsidRPr="00856FCB" w:rsidRDefault="00EA60E7" w:rsidP="00AC2186">
            <w:pPr>
              <w:spacing w:line="200" w:lineRule="exact"/>
              <w:rPr>
                <w:b/>
                <w:bCs/>
                <w:sz w:val="16"/>
                <w:szCs w:val="18"/>
                <w:rtl/>
              </w:rPr>
            </w:pPr>
          </w:p>
        </w:tc>
        <w:tc>
          <w:tcPr>
            <w:tcW w:w="4961" w:type="dxa"/>
            <w:gridSpan w:val="18"/>
            <w:tcBorders>
              <w:top w:val="nil"/>
              <w:left w:val="nil"/>
              <w:bottom w:val="nil"/>
              <w:right w:val="nil"/>
            </w:tcBorders>
          </w:tcPr>
          <w:p w14:paraId="5BAEDCAF" w14:textId="1D4102D2" w:rsidR="00EA60E7" w:rsidRPr="00856FCB" w:rsidRDefault="003700B8" w:rsidP="00AC2186">
            <w:pPr>
              <w:spacing w:line="200" w:lineRule="exact"/>
              <w:rPr>
                <w:sz w:val="16"/>
                <w:szCs w:val="18"/>
                <w:rtl/>
              </w:rPr>
            </w:pPr>
            <w:r>
              <w:rPr>
                <w:rFonts w:hint="cs"/>
                <w:sz w:val="16"/>
                <w:szCs w:val="18"/>
                <w:rtl/>
              </w:rPr>
              <w:t>ה</w:t>
            </w:r>
            <w:r w:rsidR="00EA60E7" w:rsidRPr="00856FCB">
              <w:rPr>
                <w:rFonts w:hint="cs"/>
                <w:sz w:val="16"/>
                <w:szCs w:val="18"/>
                <w:rtl/>
              </w:rPr>
              <w:t xml:space="preserve">.        הצגה מחדש בעקבות תיקון טעות ב </w:t>
            </w:r>
            <w:r w:rsidR="00EA60E7" w:rsidRPr="00856FCB">
              <w:rPr>
                <w:rFonts w:hint="cs"/>
                <w:sz w:val="16"/>
                <w:szCs w:val="18"/>
                <w:shd w:val="clear" w:color="auto" w:fill="D9D9D9" w:themeFill="background1" w:themeFillShade="D9"/>
                <w:rtl/>
              </w:rPr>
              <w:t>___</w:t>
            </w:r>
          </w:p>
        </w:tc>
        <w:tc>
          <w:tcPr>
            <w:tcW w:w="2977" w:type="dxa"/>
            <w:gridSpan w:val="2"/>
            <w:tcBorders>
              <w:top w:val="nil"/>
              <w:left w:val="nil"/>
              <w:bottom w:val="dashSmallGap" w:sz="4" w:space="0" w:color="auto"/>
              <w:right w:val="nil"/>
            </w:tcBorders>
          </w:tcPr>
          <w:p w14:paraId="5E5511B2" w14:textId="77777777" w:rsidR="00EA60E7" w:rsidRPr="00856FCB" w:rsidRDefault="00EA60E7" w:rsidP="00AC2186">
            <w:pPr>
              <w:spacing w:line="200" w:lineRule="exact"/>
              <w:rPr>
                <w:sz w:val="16"/>
                <w:szCs w:val="18"/>
              </w:rPr>
            </w:pPr>
          </w:p>
        </w:tc>
        <w:tc>
          <w:tcPr>
            <w:tcW w:w="851" w:type="dxa"/>
            <w:tcBorders>
              <w:top w:val="nil"/>
              <w:left w:val="nil"/>
              <w:bottom w:val="nil"/>
            </w:tcBorders>
          </w:tcPr>
          <w:p w14:paraId="0094B7A1" w14:textId="2313377B" w:rsidR="00EA60E7" w:rsidRPr="00856FCB" w:rsidRDefault="00EA60E7" w:rsidP="00AC2186">
            <w:pPr>
              <w:spacing w:line="200" w:lineRule="exact"/>
              <w:jc w:val="center"/>
              <w:rPr>
                <w:sz w:val="16"/>
                <w:szCs w:val="18"/>
                <w:rtl/>
              </w:rPr>
            </w:pPr>
          </w:p>
        </w:tc>
      </w:tr>
      <w:tr w:rsidR="007C6060" w:rsidRPr="00856FCB" w14:paraId="0447975E" w14:textId="77777777" w:rsidTr="007C6060">
        <w:trPr>
          <w:cantSplit/>
        </w:trPr>
        <w:tc>
          <w:tcPr>
            <w:tcW w:w="959" w:type="dxa"/>
            <w:tcBorders>
              <w:top w:val="nil"/>
              <w:bottom w:val="nil"/>
              <w:right w:val="nil"/>
            </w:tcBorders>
          </w:tcPr>
          <w:p w14:paraId="367B7A26" w14:textId="77777777" w:rsidR="007C6060" w:rsidRPr="00856FCB" w:rsidRDefault="007C6060" w:rsidP="007C6060">
            <w:pPr>
              <w:spacing w:line="200" w:lineRule="exact"/>
              <w:rPr>
                <w:b/>
                <w:bCs/>
                <w:sz w:val="16"/>
                <w:szCs w:val="18"/>
                <w:rtl/>
              </w:rPr>
            </w:pPr>
          </w:p>
        </w:tc>
        <w:tc>
          <w:tcPr>
            <w:tcW w:w="4961" w:type="dxa"/>
            <w:gridSpan w:val="18"/>
            <w:tcBorders>
              <w:top w:val="nil"/>
              <w:left w:val="nil"/>
              <w:bottom w:val="nil"/>
              <w:right w:val="nil"/>
            </w:tcBorders>
            <w:shd w:val="clear" w:color="auto" w:fill="auto"/>
          </w:tcPr>
          <w:p w14:paraId="3A09CBBD" w14:textId="7FA604A5" w:rsidR="007C6060" w:rsidRPr="00856FCB" w:rsidRDefault="003700B8" w:rsidP="007C6060">
            <w:pPr>
              <w:spacing w:line="200" w:lineRule="exact"/>
              <w:rPr>
                <w:b/>
                <w:bCs/>
                <w:sz w:val="16"/>
                <w:szCs w:val="18"/>
                <w:rtl/>
              </w:rPr>
            </w:pPr>
            <w:r>
              <w:rPr>
                <w:rFonts w:hint="cs"/>
                <w:sz w:val="16"/>
                <w:szCs w:val="18"/>
                <w:rtl/>
              </w:rPr>
              <w:t>ו</w:t>
            </w:r>
            <w:r w:rsidR="007C6060" w:rsidRPr="00856FCB">
              <w:rPr>
                <w:sz w:val="16"/>
                <w:szCs w:val="18"/>
                <w:rtl/>
              </w:rPr>
              <w:t>.</w:t>
            </w:r>
            <w:r w:rsidR="007C6060" w:rsidRPr="00856FCB">
              <w:rPr>
                <w:sz w:val="16"/>
                <w:szCs w:val="18"/>
                <w:rtl/>
              </w:rPr>
              <w:tab/>
            </w:r>
            <w:r w:rsidR="007C6060" w:rsidRPr="00856FCB">
              <w:rPr>
                <w:rFonts w:hint="cs"/>
                <w:sz w:val="16"/>
                <w:szCs w:val="18"/>
                <w:rtl/>
              </w:rPr>
              <w:t>התאמה לא מהותית של מספרי השוואה</w:t>
            </w:r>
          </w:p>
        </w:tc>
        <w:tc>
          <w:tcPr>
            <w:tcW w:w="2977" w:type="dxa"/>
            <w:gridSpan w:val="2"/>
            <w:tcBorders>
              <w:top w:val="nil"/>
              <w:left w:val="nil"/>
              <w:bottom w:val="dashSmallGap" w:sz="4" w:space="0" w:color="auto"/>
              <w:right w:val="nil"/>
            </w:tcBorders>
          </w:tcPr>
          <w:p w14:paraId="24D9D386" w14:textId="77777777" w:rsidR="007C6060" w:rsidRPr="00856FCB" w:rsidRDefault="007C6060" w:rsidP="007C6060">
            <w:pPr>
              <w:spacing w:line="200" w:lineRule="exact"/>
              <w:rPr>
                <w:sz w:val="16"/>
                <w:szCs w:val="18"/>
              </w:rPr>
            </w:pPr>
          </w:p>
        </w:tc>
        <w:tc>
          <w:tcPr>
            <w:tcW w:w="851" w:type="dxa"/>
            <w:tcBorders>
              <w:top w:val="nil"/>
              <w:left w:val="nil"/>
              <w:bottom w:val="nil"/>
            </w:tcBorders>
          </w:tcPr>
          <w:p w14:paraId="5394888E" w14:textId="77777777" w:rsidR="007C6060" w:rsidRPr="00856FCB" w:rsidRDefault="007C6060" w:rsidP="007C6060">
            <w:pPr>
              <w:spacing w:line="200" w:lineRule="exact"/>
              <w:jc w:val="center"/>
              <w:rPr>
                <w:sz w:val="16"/>
                <w:szCs w:val="18"/>
                <w:rtl/>
              </w:rPr>
            </w:pPr>
          </w:p>
        </w:tc>
      </w:tr>
      <w:tr w:rsidR="007C6060" w:rsidRPr="00856FCB" w14:paraId="0BE4D784" w14:textId="77777777" w:rsidTr="00AC2186">
        <w:trPr>
          <w:cantSplit/>
        </w:trPr>
        <w:tc>
          <w:tcPr>
            <w:tcW w:w="959" w:type="dxa"/>
            <w:tcBorders>
              <w:top w:val="nil"/>
              <w:bottom w:val="nil"/>
              <w:right w:val="nil"/>
            </w:tcBorders>
          </w:tcPr>
          <w:p w14:paraId="49869437" w14:textId="77777777" w:rsidR="007C6060" w:rsidRPr="00856FCB" w:rsidRDefault="007C6060" w:rsidP="007C6060">
            <w:pPr>
              <w:spacing w:line="200" w:lineRule="exact"/>
              <w:rPr>
                <w:b/>
                <w:bCs/>
                <w:sz w:val="16"/>
                <w:szCs w:val="18"/>
                <w:rtl/>
              </w:rPr>
            </w:pPr>
          </w:p>
        </w:tc>
        <w:tc>
          <w:tcPr>
            <w:tcW w:w="4961" w:type="dxa"/>
            <w:gridSpan w:val="18"/>
            <w:tcBorders>
              <w:top w:val="nil"/>
              <w:left w:val="nil"/>
              <w:bottom w:val="nil"/>
              <w:right w:val="nil"/>
            </w:tcBorders>
          </w:tcPr>
          <w:p w14:paraId="4AF0DC1E" w14:textId="77777777" w:rsidR="007C6060" w:rsidRPr="00856FCB" w:rsidRDefault="007C6060" w:rsidP="007C6060">
            <w:pPr>
              <w:spacing w:line="200" w:lineRule="exact"/>
              <w:rPr>
                <w:b/>
                <w:bCs/>
                <w:sz w:val="16"/>
                <w:szCs w:val="18"/>
                <w:rtl/>
              </w:rPr>
            </w:pPr>
          </w:p>
        </w:tc>
        <w:tc>
          <w:tcPr>
            <w:tcW w:w="2977" w:type="dxa"/>
            <w:gridSpan w:val="2"/>
            <w:tcBorders>
              <w:top w:val="nil"/>
              <w:left w:val="nil"/>
              <w:bottom w:val="nil"/>
              <w:right w:val="nil"/>
            </w:tcBorders>
          </w:tcPr>
          <w:p w14:paraId="15395872" w14:textId="77777777" w:rsidR="007C6060" w:rsidRPr="00856FCB" w:rsidRDefault="007C6060" w:rsidP="007C6060">
            <w:pPr>
              <w:spacing w:line="200" w:lineRule="exact"/>
              <w:rPr>
                <w:sz w:val="16"/>
                <w:szCs w:val="18"/>
              </w:rPr>
            </w:pPr>
          </w:p>
        </w:tc>
        <w:tc>
          <w:tcPr>
            <w:tcW w:w="851" w:type="dxa"/>
            <w:tcBorders>
              <w:top w:val="nil"/>
              <w:left w:val="nil"/>
              <w:bottom w:val="nil"/>
            </w:tcBorders>
          </w:tcPr>
          <w:p w14:paraId="5402D652" w14:textId="77777777" w:rsidR="007C6060" w:rsidRPr="00856FCB" w:rsidRDefault="007C6060" w:rsidP="007C6060">
            <w:pPr>
              <w:spacing w:line="200" w:lineRule="exact"/>
              <w:jc w:val="center"/>
              <w:rPr>
                <w:sz w:val="16"/>
                <w:szCs w:val="18"/>
                <w:rtl/>
              </w:rPr>
            </w:pPr>
          </w:p>
        </w:tc>
      </w:tr>
      <w:tr w:rsidR="007C6060" w:rsidRPr="00856FCB" w14:paraId="0476AA90" w14:textId="77777777" w:rsidTr="00AC2186">
        <w:trPr>
          <w:cantSplit/>
        </w:trPr>
        <w:tc>
          <w:tcPr>
            <w:tcW w:w="959" w:type="dxa"/>
            <w:tcBorders>
              <w:top w:val="nil"/>
              <w:bottom w:val="nil"/>
              <w:right w:val="nil"/>
            </w:tcBorders>
          </w:tcPr>
          <w:p w14:paraId="652CA09E" w14:textId="77777777" w:rsidR="007C6060" w:rsidRPr="00856FCB" w:rsidRDefault="007C6060" w:rsidP="007C6060">
            <w:pPr>
              <w:spacing w:line="200" w:lineRule="exact"/>
              <w:rPr>
                <w:b/>
                <w:bCs/>
                <w:sz w:val="16"/>
                <w:szCs w:val="18"/>
                <w:rtl/>
              </w:rPr>
            </w:pPr>
            <w:r w:rsidRPr="00856FCB">
              <w:rPr>
                <w:rFonts w:hint="cs"/>
                <w:b/>
                <w:bCs/>
                <w:sz w:val="16"/>
                <w:szCs w:val="18"/>
                <w:rtl/>
              </w:rPr>
              <w:t>באור 3</w:t>
            </w:r>
          </w:p>
        </w:tc>
        <w:tc>
          <w:tcPr>
            <w:tcW w:w="4961" w:type="dxa"/>
            <w:gridSpan w:val="18"/>
            <w:tcBorders>
              <w:top w:val="nil"/>
              <w:left w:val="nil"/>
              <w:bottom w:val="nil"/>
              <w:right w:val="nil"/>
            </w:tcBorders>
          </w:tcPr>
          <w:p w14:paraId="7C1ABA0B" w14:textId="77777777" w:rsidR="007C6060" w:rsidRPr="00856FCB" w:rsidRDefault="007C6060" w:rsidP="007C6060">
            <w:pPr>
              <w:spacing w:line="200" w:lineRule="exact"/>
              <w:rPr>
                <w:b/>
                <w:bCs/>
                <w:sz w:val="16"/>
                <w:szCs w:val="18"/>
                <w:rtl/>
              </w:rPr>
            </w:pPr>
            <w:r w:rsidRPr="00856FCB">
              <w:rPr>
                <w:rFonts w:hint="cs"/>
                <w:b/>
                <w:bCs/>
                <w:sz w:val="16"/>
                <w:szCs w:val="18"/>
                <w:rtl/>
              </w:rPr>
              <w:t xml:space="preserve">גילוי לתקני </w:t>
            </w:r>
            <w:r w:rsidRPr="00856FCB">
              <w:rPr>
                <w:b/>
                <w:bCs/>
                <w:sz w:val="16"/>
                <w:szCs w:val="18"/>
              </w:rPr>
              <w:t>IFRS</w:t>
            </w:r>
            <w:r w:rsidRPr="00856FCB">
              <w:rPr>
                <w:rFonts w:hint="cs"/>
                <w:b/>
                <w:bCs/>
                <w:sz w:val="16"/>
                <w:szCs w:val="18"/>
                <w:rtl/>
              </w:rPr>
              <w:t xml:space="preserve"> חדשים בתקופה שלפני יישומם</w:t>
            </w:r>
          </w:p>
        </w:tc>
        <w:tc>
          <w:tcPr>
            <w:tcW w:w="2977" w:type="dxa"/>
            <w:gridSpan w:val="2"/>
            <w:tcBorders>
              <w:top w:val="nil"/>
              <w:left w:val="nil"/>
              <w:bottom w:val="dashSmallGap" w:sz="4" w:space="0" w:color="auto"/>
              <w:right w:val="nil"/>
            </w:tcBorders>
          </w:tcPr>
          <w:p w14:paraId="2860205F" w14:textId="77777777" w:rsidR="007C6060" w:rsidRPr="00856FCB" w:rsidRDefault="007C6060" w:rsidP="007C6060">
            <w:pPr>
              <w:spacing w:line="200" w:lineRule="exact"/>
              <w:rPr>
                <w:sz w:val="16"/>
                <w:szCs w:val="18"/>
              </w:rPr>
            </w:pPr>
          </w:p>
        </w:tc>
        <w:tc>
          <w:tcPr>
            <w:tcW w:w="851" w:type="dxa"/>
            <w:tcBorders>
              <w:top w:val="nil"/>
              <w:left w:val="nil"/>
              <w:bottom w:val="nil"/>
            </w:tcBorders>
          </w:tcPr>
          <w:p w14:paraId="0AC6B767" w14:textId="5827C0FA" w:rsidR="007C6060" w:rsidRPr="00856FCB" w:rsidRDefault="003700B8" w:rsidP="007C6060">
            <w:pPr>
              <w:spacing w:line="200" w:lineRule="exact"/>
              <w:jc w:val="center"/>
              <w:rPr>
                <w:sz w:val="16"/>
                <w:szCs w:val="18"/>
                <w:rtl/>
              </w:rPr>
            </w:pPr>
            <w:r>
              <w:rPr>
                <w:rFonts w:hint="cs"/>
                <w:sz w:val="16"/>
                <w:szCs w:val="18"/>
                <w:rtl/>
              </w:rPr>
              <w:t>41</w:t>
            </w:r>
          </w:p>
        </w:tc>
      </w:tr>
      <w:tr w:rsidR="007C6060" w:rsidRPr="00856FCB" w14:paraId="5D4B5911" w14:textId="77777777" w:rsidTr="00AC2186">
        <w:trPr>
          <w:cantSplit/>
        </w:trPr>
        <w:tc>
          <w:tcPr>
            <w:tcW w:w="959" w:type="dxa"/>
            <w:tcBorders>
              <w:top w:val="nil"/>
              <w:bottom w:val="nil"/>
              <w:right w:val="nil"/>
            </w:tcBorders>
          </w:tcPr>
          <w:p w14:paraId="5779F602" w14:textId="77777777" w:rsidR="007C6060" w:rsidRPr="00856FCB" w:rsidRDefault="007C6060" w:rsidP="007C6060">
            <w:pPr>
              <w:spacing w:line="200" w:lineRule="exact"/>
              <w:rPr>
                <w:b/>
                <w:bCs/>
                <w:sz w:val="16"/>
                <w:szCs w:val="18"/>
                <w:rtl/>
              </w:rPr>
            </w:pPr>
          </w:p>
        </w:tc>
        <w:tc>
          <w:tcPr>
            <w:tcW w:w="4961" w:type="dxa"/>
            <w:gridSpan w:val="18"/>
            <w:tcBorders>
              <w:top w:val="nil"/>
              <w:left w:val="nil"/>
              <w:bottom w:val="nil"/>
              <w:right w:val="nil"/>
            </w:tcBorders>
          </w:tcPr>
          <w:p w14:paraId="7CDF7E31" w14:textId="77777777" w:rsidR="007C6060" w:rsidRPr="00856FCB" w:rsidRDefault="007C6060" w:rsidP="007C6060">
            <w:pPr>
              <w:spacing w:line="200" w:lineRule="exact"/>
              <w:rPr>
                <w:b/>
                <w:bCs/>
                <w:sz w:val="16"/>
                <w:szCs w:val="18"/>
                <w:rtl/>
              </w:rPr>
            </w:pPr>
          </w:p>
        </w:tc>
        <w:tc>
          <w:tcPr>
            <w:tcW w:w="2977" w:type="dxa"/>
            <w:gridSpan w:val="2"/>
            <w:tcBorders>
              <w:top w:val="dashSmallGap" w:sz="4" w:space="0" w:color="auto"/>
              <w:left w:val="nil"/>
              <w:bottom w:val="nil"/>
              <w:right w:val="nil"/>
            </w:tcBorders>
          </w:tcPr>
          <w:p w14:paraId="24F92B58" w14:textId="77777777" w:rsidR="007C6060" w:rsidRPr="00856FCB" w:rsidRDefault="007C6060" w:rsidP="007C6060">
            <w:pPr>
              <w:spacing w:line="200" w:lineRule="exact"/>
              <w:rPr>
                <w:sz w:val="16"/>
                <w:szCs w:val="18"/>
              </w:rPr>
            </w:pPr>
          </w:p>
        </w:tc>
        <w:tc>
          <w:tcPr>
            <w:tcW w:w="851" w:type="dxa"/>
            <w:tcBorders>
              <w:top w:val="nil"/>
              <w:left w:val="nil"/>
              <w:bottom w:val="nil"/>
            </w:tcBorders>
          </w:tcPr>
          <w:p w14:paraId="06008718" w14:textId="77777777" w:rsidR="007C6060" w:rsidRPr="00856FCB" w:rsidRDefault="007C6060" w:rsidP="007C6060">
            <w:pPr>
              <w:spacing w:line="200" w:lineRule="exact"/>
              <w:jc w:val="center"/>
              <w:rPr>
                <w:sz w:val="16"/>
                <w:szCs w:val="18"/>
                <w:rtl/>
              </w:rPr>
            </w:pPr>
          </w:p>
        </w:tc>
      </w:tr>
      <w:tr w:rsidR="007C6060" w:rsidRPr="00856FCB" w14:paraId="181D05F6" w14:textId="77777777" w:rsidTr="00AC2186">
        <w:trPr>
          <w:cantSplit/>
        </w:trPr>
        <w:tc>
          <w:tcPr>
            <w:tcW w:w="959" w:type="dxa"/>
            <w:tcBorders>
              <w:top w:val="nil"/>
              <w:bottom w:val="nil"/>
              <w:right w:val="nil"/>
            </w:tcBorders>
          </w:tcPr>
          <w:p w14:paraId="2EA4C79B"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4</w:t>
            </w:r>
          </w:p>
        </w:tc>
        <w:tc>
          <w:tcPr>
            <w:tcW w:w="4961" w:type="dxa"/>
            <w:gridSpan w:val="18"/>
            <w:tcBorders>
              <w:top w:val="nil"/>
              <w:left w:val="nil"/>
              <w:bottom w:val="nil"/>
              <w:right w:val="nil"/>
            </w:tcBorders>
          </w:tcPr>
          <w:p w14:paraId="028A4467" w14:textId="77777777" w:rsidR="007C6060" w:rsidRPr="00856FCB" w:rsidRDefault="007C6060" w:rsidP="007C6060">
            <w:pPr>
              <w:spacing w:line="200" w:lineRule="exact"/>
              <w:rPr>
                <w:b/>
                <w:bCs/>
                <w:sz w:val="16"/>
                <w:szCs w:val="18"/>
              </w:rPr>
            </w:pPr>
            <w:r w:rsidRPr="00856FCB">
              <w:rPr>
                <w:rFonts w:hint="eastAsia"/>
                <w:b/>
                <w:bCs/>
                <w:sz w:val="16"/>
                <w:szCs w:val="18"/>
                <w:rtl/>
              </w:rPr>
              <w:t>עונתיות</w:t>
            </w:r>
          </w:p>
        </w:tc>
        <w:tc>
          <w:tcPr>
            <w:tcW w:w="2977" w:type="dxa"/>
            <w:gridSpan w:val="2"/>
            <w:tcBorders>
              <w:top w:val="nil"/>
              <w:left w:val="nil"/>
              <w:bottom w:val="dashSmallGap" w:sz="4" w:space="0" w:color="auto"/>
              <w:right w:val="nil"/>
            </w:tcBorders>
          </w:tcPr>
          <w:p w14:paraId="0D6ED4A6" w14:textId="77777777" w:rsidR="007C6060" w:rsidRPr="00856FCB" w:rsidRDefault="007C6060" w:rsidP="007C6060">
            <w:pPr>
              <w:spacing w:line="200" w:lineRule="exact"/>
              <w:rPr>
                <w:color w:val="FF0000"/>
                <w:sz w:val="16"/>
                <w:szCs w:val="18"/>
              </w:rPr>
            </w:pPr>
          </w:p>
        </w:tc>
        <w:tc>
          <w:tcPr>
            <w:tcW w:w="851" w:type="dxa"/>
            <w:tcBorders>
              <w:top w:val="nil"/>
              <w:left w:val="nil"/>
              <w:bottom w:val="nil"/>
            </w:tcBorders>
          </w:tcPr>
          <w:p w14:paraId="6FE0A4BE" w14:textId="381B027A" w:rsidR="007C6060" w:rsidRPr="00D80BE9" w:rsidRDefault="003700B8" w:rsidP="007C6060">
            <w:pPr>
              <w:spacing w:line="200" w:lineRule="exact"/>
              <w:jc w:val="center"/>
              <w:rPr>
                <w:sz w:val="16"/>
                <w:szCs w:val="18"/>
              </w:rPr>
            </w:pPr>
            <w:r>
              <w:rPr>
                <w:rFonts w:hint="cs"/>
                <w:sz w:val="16"/>
                <w:szCs w:val="18"/>
                <w:rtl/>
              </w:rPr>
              <w:t>41</w:t>
            </w:r>
          </w:p>
        </w:tc>
      </w:tr>
      <w:tr w:rsidR="007C6060" w:rsidRPr="00856FCB" w14:paraId="5BE90062" w14:textId="77777777" w:rsidTr="00AC2186">
        <w:trPr>
          <w:cantSplit/>
        </w:trPr>
        <w:tc>
          <w:tcPr>
            <w:tcW w:w="959" w:type="dxa"/>
            <w:tcBorders>
              <w:top w:val="nil"/>
              <w:bottom w:val="nil"/>
              <w:right w:val="nil"/>
            </w:tcBorders>
          </w:tcPr>
          <w:p w14:paraId="2C7A6870" w14:textId="77777777" w:rsidR="007C6060" w:rsidRPr="00856FCB" w:rsidRDefault="007C6060" w:rsidP="007C6060">
            <w:pPr>
              <w:spacing w:line="240" w:lineRule="auto"/>
              <w:rPr>
                <w:b/>
                <w:bCs/>
                <w:sz w:val="12"/>
                <w:szCs w:val="14"/>
              </w:rPr>
            </w:pPr>
          </w:p>
        </w:tc>
        <w:tc>
          <w:tcPr>
            <w:tcW w:w="2126" w:type="dxa"/>
            <w:gridSpan w:val="8"/>
            <w:tcBorders>
              <w:top w:val="nil"/>
              <w:left w:val="nil"/>
              <w:bottom w:val="nil"/>
              <w:right w:val="nil"/>
            </w:tcBorders>
          </w:tcPr>
          <w:p w14:paraId="6F0561C2" w14:textId="77777777" w:rsidR="007C6060" w:rsidRPr="00856FCB" w:rsidRDefault="007C6060" w:rsidP="007C6060">
            <w:pPr>
              <w:spacing w:line="240" w:lineRule="auto"/>
              <w:rPr>
                <w:b/>
                <w:bCs/>
                <w:sz w:val="12"/>
                <w:szCs w:val="14"/>
              </w:rPr>
            </w:pPr>
          </w:p>
        </w:tc>
        <w:tc>
          <w:tcPr>
            <w:tcW w:w="5812" w:type="dxa"/>
            <w:gridSpan w:val="12"/>
            <w:tcBorders>
              <w:top w:val="nil"/>
              <w:left w:val="nil"/>
              <w:bottom w:val="nil"/>
              <w:right w:val="nil"/>
            </w:tcBorders>
          </w:tcPr>
          <w:p w14:paraId="3C843DD9"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384576BD" w14:textId="77777777" w:rsidR="007C6060" w:rsidRPr="00D80BE9" w:rsidRDefault="007C6060" w:rsidP="007C6060">
            <w:pPr>
              <w:spacing w:line="240" w:lineRule="auto"/>
              <w:rPr>
                <w:b/>
                <w:bCs/>
                <w:sz w:val="12"/>
                <w:szCs w:val="14"/>
              </w:rPr>
            </w:pPr>
          </w:p>
        </w:tc>
      </w:tr>
      <w:tr w:rsidR="007C6060" w:rsidRPr="00856FCB" w14:paraId="0CE36523" w14:textId="77777777" w:rsidTr="00AC2186">
        <w:trPr>
          <w:cantSplit/>
        </w:trPr>
        <w:tc>
          <w:tcPr>
            <w:tcW w:w="959" w:type="dxa"/>
            <w:tcBorders>
              <w:top w:val="nil"/>
              <w:bottom w:val="nil"/>
              <w:right w:val="nil"/>
            </w:tcBorders>
          </w:tcPr>
          <w:p w14:paraId="14C093A2"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5</w:t>
            </w:r>
          </w:p>
        </w:tc>
        <w:tc>
          <w:tcPr>
            <w:tcW w:w="3686" w:type="dxa"/>
            <w:gridSpan w:val="15"/>
            <w:tcBorders>
              <w:top w:val="nil"/>
              <w:left w:val="nil"/>
              <w:bottom w:val="nil"/>
              <w:right w:val="nil"/>
            </w:tcBorders>
          </w:tcPr>
          <w:p w14:paraId="3AEC7423" w14:textId="77777777" w:rsidR="007C6060" w:rsidRPr="00856FCB" w:rsidRDefault="007C6060" w:rsidP="007C6060">
            <w:pPr>
              <w:spacing w:line="200" w:lineRule="exact"/>
              <w:rPr>
                <w:sz w:val="16"/>
                <w:szCs w:val="18"/>
              </w:rPr>
            </w:pPr>
            <w:r w:rsidRPr="00856FCB">
              <w:rPr>
                <w:rFonts w:hint="eastAsia"/>
                <w:b/>
                <w:bCs/>
                <w:sz w:val="16"/>
                <w:szCs w:val="18"/>
                <w:rtl/>
              </w:rPr>
              <w:t>אירועים</w:t>
            </w:r>
            <w:r w:rsidRPr="00856FCB">
              <w:rPr>
                <w:b/>
                <w:bCs/>
                <w:sz w:val="16"/>
                <w:szCs w:val="18"/>
                <w:rtl/>
              </w:rPr>
              <w:t xml:space="preserve"> </w:t>
            </w:r>
            <w:r w:rsidRPr="00856FCB">
              <w:rPr>
                <w:rFonts w:hint="cs"/>
                <w:b/>
                <w:bCs/>
                <w:sz w:val="16"/>
                <w:szCs w:val="18"/>
                <w:rtl/>
              </w:rPr>
              <w:t>משמעותיים</w:t>
            </w:r>
            <w:r w:rsidRPr="00856FCB">
              <w:rPr>
                <w:b/>
                <w:bCs/>
                <w:sz w:val="16"/>
                <w:szCs w:val="18"/>
                <w:rtl/>
              </w:rPr>
              <w:t xml:space="preserve"> בתקופת </w:t>
            </w:r>
            <w:r w:rsidRPr="00856FCB">
              <w:rPr>
                <w:rFonts w:hint="eastAsia"/>
                <w:b/>
                <w:bCs/>
                <w:sz w:val="16"/>
                <w:szCs w:val="18"/>
                <w:rtl/>
              </w:rPr>
              <w:t>הדיווח</w:t>
            </w:r>
          </w:p>
        </w:tc>
        <w:tc>
          <w:tcPr>
            <w:tcW w:w="4252" w:type="dxa"/>
            <w:gridSpan w:val="5"/>
            <w:tcBorders>
              <w:top w:val="nil"/>
              <w:left w:val="nil"/>
              <w:bottom w:val="dashSmallGap" w:sz="4" w:space="0" w:color="auto"/>
              <w:right w:val="nil"/>
            </w:tcBorders>
          </w:tcPr>
          <w:p w14:paraId="1C3024BB" w14:textId="77777777" w:rsidR="007C6060" w:rsidRPr="00856FCB" w:rsidRDefault="007C6060" w:rsidP="007C6060">
            <w:pPr>
              <w:spacing w:line="200" w:lineRule="exact"/>
              <w:rPr>
                <w:color w:val="FF0000"/>
                <w:sz w:val="16"/>
                <w:szCs w:val="18"/>
              </w:rPr>
            </w:pPr>
          </w:p>
        </w:tc>
        <w:tc>
          <w:tcPr>
            <w:tcW w:w="851" w:type="dxa"/>
            <w:tcBorders>
              <w:top w:val="nil"/>
              <w:left w:val="nil"/>
              <w:bottom w:val="nil"/>
            </w:tcBorders>
          </w:tcPr>
          <w:p w14:paraId="7DFDCE61" w14:textId="4F7BD49D" w:rsidR="007C6060" w:rsidRPr="00D80BE9" w:rsidRDefault="003700B8" w:rsidP="007C6060">
            <w:pPr>
              <w:spacing w:line="200" w:lineRule="exact"/>
              <w:jc w:val="center"/>
              <w:rPr>
                <w:sz w:val="16"/>
                <w:szCs w:val="18"/>
              </w:rPr>
            </w:pPr>
            <w:r>
              <w:rPr>
                <w:rFonts w:hint="cs"/>
                <w:sz w:val="16"/>
                <w:szCs w:val="18"/>
                <w:rtl/>
              </w:rPr>
              <w:t>42</w:t>
            </w:r>
          </w:p>
        </w:tc>
      </w:tr>
      <w:tr w:rsidR="007C6060" w:rsidRPr="00856FCB" w14:paraId="5ABFE0BF" w14:textId="77777777" w:rsidTr="00AC2186">
        <w:trPr>
          <w:cantSplit/>
        </w:trPr>
        <w:tc>
          <w:tcPr>
            <w:tcW w:w="959" w:type="dxa"/>
            <w:tcBorders>
              <w:top w:val="nil"/>
              <w:bottom w:val="nil"/>
              <w:right w:val="nil"/>
            </w:tcBorders>
          </w:tcPr>
          <w:p w14:paraId="0AABB9F9" w14:textId="77777777" w:rsidR="007C6060" w:rsidRPr="00856FCB" w:rsidRDefault="007C6060" w:rsidP="007C6060">
            <w:pPr>
              <w:spacing w:line="240" w:lineRule="auto"/>
              <w:rPr>
                <w:b/>
                <w:bCs/>
                <w:sz w:val="12"/>
                <w:szCs w:val="14"/>
                <w:rtl/>
              </w:rPr>
            </w:pPr>
          </w:p>
        </w:tc>
        <w:tc>
          <w:tcPr>
            <w:tcW w:w="2126" w:type="dxa"/>
            <w:gridSpan w:val="8"/>
            <w:tcBorders>
              <w:top w:val="nil"/>
              <w:left w:val="nil"/>
              <w:bottom w:val="nil"/>
              <w:right w:val="nil"/>
            </w:tcBorders>
          </w:tcPr>
          <w:p w14:paraId="790A3928" w14:textId="77777777" w:rsidR="007C6060" w:rsidRPr="00856FCB" w:rsidRDefault="007C6060" w:rsidP="007C6060">
            <w:pPr>
              <w:spacing w:line="240" w:lineRule="auto"/>
              <w:rPr>
                <w:b/>
                <w:bCs/>
                <w:sz w:val="12"/>
                <w:szCs w:val="14"/>
                <w:rtl/>
              </w:rPr>
            </w:pPr>
          </w:p>
        </w:tc>
        <w:tc>
          <w:tcPr>
            <w:tcW w:w="5812" w:type="dxa"/>
            <w:gridSpan w:val="12"/>
            <w:tcBorders>
              <w:top w:val="nil"/>
              <w:left w:val="nil"/>
              <w:bottom w:val="nil"/>
              <w:right w:val="nil"/>
            </w:tcBorders>
          </w:tcPr>
          <w:p w14:paraId="183F9A1C"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5B07F146" w14:textId="77777777" w:rsidR="007C6060" w:rsidRPr="00D80BE9" w:rsidRDefault="007C6060" w:rsidP="007C6060">
            <w:pPr>
              <w:spacing w:line="240" w:lineRule="auto"/>
              <w:rPr>
                <w:b/>
                <w:bCs/>
                <w:sz w:val="12"/>
                <w:szCs w:val="14"/>
                <w:rtl/>
              </w:rPr>
            </w:pPr>
          </w:p>
        </w:tc>
      </w:tr>
      <w:tr w:rsidR="007C6060" w:rsidRPr="00856FCB" w14:paraId="2DC4AC48" w14:textId="77777777" w:rsidTr="00AC2186">
        <w:trPr>
          <w:cantSplit/>
        </w:trPr>
        <w:tc>
          <w:tcPr>
            <w:tcW w:w="959" w:type="dxa"/>
            <w:tcBorders>
              <w:top w:val="nil"/>
              <w:bottom w:val="nil"/>
              <w:right w:val="nil"/>
            </w:tcBorders>
          </w:tcPr>
          <w:p w14:paraId="0E1DE2D2"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6</w:t>
            </w:r>
          </w:p>
        </w:tc>
        <w:tc>
          <w:tcPr>
            <w:tcW w:w="3679" w:type="dxa"/>
            <w:gridSpan w:val="14"/>
            <w:tcBorders>
              <w:top w:val="nil"/>
              <w:left w:val="nil"/>
              <w:bottom w:val="nil"/>
              <w:right w:val="nil"/>
            </w:tcBorders>
          </w:tcPr>
          <w:p w14:paraId="2B934731" w14:textId="77777777" w:rsidR="007C6060" w:rsidRPr="00856FCB" w:rsidRDefault="007C6060" w:rsidP="007C6060">
            <w:pPr>
              <w:spacing w:line="200" w:lineRule="exact"/>
              <w:rPr>
                <w:b/>
                <w:bCs/>
                <w:sz w:val="16"/>
                <w:szCs w:val="18"/>
              </w:rPr>
            </w:pPr>
            <w:r w:rsidRPr="00856FCB">
              <w:rPr>
                <w:rFonts w:hint="eastAsia"/>
                <w:b/>
                <w:bCs/>
                <w:sz w:val="16"/>
                <w:szCs w:val="18"/>
                <w:rtl/>
              </w:rPr>
              <w:t>השפעת</w:t>
            </w:r>
            <w:r w:rsidRPr="00856FCB">
              <w:rPr>
                <w:b/>
                <w:bCs/>
                <w:sz w:val="16"/>
                <w:szCs w:val="18"/>
                <w:rtl/>
              </w:rPr>
              <w:t xml:space="preserve"> </w:t>
            </w:r>
            <w:r w:rsidRPr="00856FCB">
              <w:rPr>
                <w:rFonts w:hint="eastAsia"/>
                <w:b/>
                <w:bCs/>
                <w:sz w:val="16"/>
                <w:szCs w:val="18"/>
                <w:rtl/>
              </w:rPr>
              <w:t>השינויים</w:t>
            </w:r>
            <w:r w:rsidRPr="00856FCB">
              <w:rPr>
                <w:b/>
                <w:bCs/>
                <w:sz w:val="16"/>
                <w:szCs w:val="18"/>
                <w:rtl/>
              </w:rPr>
              <w:t xml:space="preserve"> </w:t>
            </w:r>
            <w:r w:rsidRPr="00856FCB">
              <w:rPr>
                <w:rFonts w:hint="eastAsia"/>
                <w:b/>
                <w:bCs/>
                <w:sz w:val="16"/>
                <w:szCs w:val="18"/>
                <w:rtl/>
              </w:rPr>
              <w:t>בשערי</w:t>
            </w:r>
            <w:r w:rsidRPr="00856FCB">
              <w:rPr>
                <w:b/>
                <w:bCs/>
                <w:sz w:val="16"/>
                <w:szCs w:val="18"/>
                <w:rtl/>
              </w:rPr>
              <w:t xml:space="preserve"> </w:t>
            </w:r>
            <w:r w:rsidRPr="00856FCB">
              <w:rPr>
                <w:rFonts w:hint="cs"/>
                <w:b/>
                <w:bCs/>
                <w:sz w:val="16"/>
                <w:szCs w:val="18"/>
                <w:rtl/>
              </w:rPr>
              <w:t>ה</w:t>
            </w:r>
            <w:r w:rsidRPr="00856FCB">
              <w:rPr>
                <w:rFonts w:hint="eastAsia"/>
                <w:b/>
                <w:bCs/>
                <w:sz w:val="16"/>
                <w:szCs w:val="18"/>
                <w:rtl/>
              </w:rPr>
              <w:t>חליפין</w:t>
            </w:r>
            <w:r w:rsidRPr="00856FCB">
              <w:rPr>
                <w:b/>
                <w:bCs/>
                <w:sz w:val="16"/>
                <w:szCs w:val="18"/>
                <w:rtl/>
              </w:rPr>
              <w:t xml:space="preserve"> </w:t>
            </w:r>
            <w:r w:rsidRPr="00856FCB">
              <w:rPr>
                <w:rFonts w:hint="eastAsia"/>
                <w:b/>
                <w:bCs/>
                <w:sz w:val="16"/>
                <w:szCs w:val="18"/>
                <w:rtl/>
              </w:rPr>
              <w:t>של</w:t>
            </w:r>
            <w:r w:rsidRPr="00856FCB">
              <w:rPr>
                <w:b/>
                <w:bCs/>
                <w:sz w:val="16"/>
                <w:szCs w:val="18"/>
                <w:rtl/>
              </w:rPr>
              <w:t xml:space="preserve"> </w:t>
            </w:r>
            <w:r w:rsidRPr="00856FCB">
              <w:rPr>
                <w:rFonts w:hint="eastAsia"/>
                <w:b/>
                <w:bCs/>
                <w:sz w:val="16"/>
                <w:szCs w:val="18"/>
                <w:rtl/>
              </w:rPr>
              <w:t>מטבע</w:t>
            </w:r>
            <w:r w:rsidRPr="00856FCB">
              <w:rPr>
                <w:b/>
                <w:bCs/>
                <w:sz w:val="16"/>
                <w:szCs w:val="18"/>
                <w:rtl/>
              </w:rPr>
              <w:t xml:space="preserve"> </w:t>
            </w:r>
            <w:r w:rsidRPr="00856FCB">
              <w:rPr>
                <w:rFonts w:hint="eastAsia"/>
                <w:b/>
                <w:bCs/>
                <w:sz w:val="16"/>
                <w:szCs w:val="18"/>
                <w:rtl/>
              </w:rPr>
              <w:t>חוץ</w:t>
            </w:r>
          </w:p>
        </w:tc>
        <w:tc>
          <w:tcPr>
            <w:tcW w:w="4259" w:type="dxa"/>
            <w:gridSpan w:val="6"/>
            <w:tcBorders>
              <w:top w:val="nil"/>
              <w:left w:val="nil"/>
              <w:bottom w:val="dashSmallGap" w:sz="4" w:space="0" w:color="auto"/>
              <w:right w:val="nil"/>
            </w:tcBorders>
          </w:tcPr>
          <w:p w14:paraId="4C1EDF6B" w14:textId="77777777" w:rsidR="007C6060" w:rsidRPr="00856FCB" w:rsidRDefault="007C6060" w:rsidP="007C6060">
            <w:pPr>
              <w:spacing w:line="200" w:lineRule="exact"/>
              <w:rPr>
                <w:color w:val="FF0000"/>
                <w:sz w:val="16"/>
                <w:szCs w:val="18"/>
              </w:rPr>
            </w:pPr>
          </w:p>
        </w:tc>
        <w:tc>
          <w:tcPr>
            <w:tcW w:w="851" w:type="dxa"/>
            <w:tcBorders>
              <w:top w:val="nil"/>
              <w:left w:val="nil"/>
              <w:bottom w:val="nil"/>
            </w:tcBorders>
          </w:tcPr>
          <w:p w14:paraId="576DE3B0" w14:textId="720E93F3" w:rsidR="007C6060" w:rsidRPr="00D80BE9" w:rsidRDefault="003700B8" w:rsidP="007C6060">
            <w:pPr>
              <w:spacing w:line="200" w:lineRule="exact"/>
              <w:jc w:val="center"/>
              <w:rPr>
                <w:sz w:val="16"/>
                <w:szCs w:val="18"/>
              </w:rPr>
            </w:pPr>
            <w:r>
              <w:rPr>
                <w:rFonts w:hint="cs"/>
                <w:sz w:val="16"/>
                <w:szCs w:val="18"/>
                <w:rtl/>
              </w:rPr>
              <w:t>42</w:t>
            </w:r>
          </w:p>
        </w:tc>
      </w:tr>
      <w:tr w:rsidR="007C6060" w:rsidRPr="00856FCB" w14:paraId="52D67CBD" w14:textId="77777777" w:rsidTr="00AC2186">
        <w:trPr>
          <w:cantSplit/>
        </w:trPr>
        <w:tc>
          <w:tcPr>
            <w:tcW w:w="959" w:type="dxa"/>
            <w:tcBorders>
              <w:top w:val="nil"/>
              <w:bottom w:val="nil"/>
              <w:right w:val="nil"/>
            </w:tcBorders>
          </w:tcPr>
          <w:p w14:paraId="6D121BB9" w14:textId="77777777" w:rsidR="007C6060" w:rsidRPr="00856FCB" w:rsidRDefault="007C6060" w:rsidP="007C6060">
            <w:pPr>
              <w:spacing w:line="240" w:lineRule="auto"/>
              <w:rPr>
                <w:b/>
                <w:bCs/>
                <w:sz w:val="12"/>
                <w:szCs w:val="14"/>
                <w:rtl/>
              </w:rPr>
            </w:pPr>
          </w:p>
        </w:tc>
        <w:tc>
          <w:tcPr>
            <w:tcW w:w="2126" w:type="dxa"/>
            <w:gridSpan w:val="8"/>
            <w:tcBorders>
              <w:top w:val="nil"/>
              <w:left w:val="nil"/>
              <w:bottom w:val="nil"/>
              <w:right w:val="nil"/>
            </w:tcBorders>
          </w:tcPr>
          <w:p w14:paraId="6ABE72AE" w14:textId="77777777" w:rsidR="007C6060" w:rsidRPr="00856FCB" w:rsidRDefault="007C6060" w:rsidP="007C6060">
            <w:pPr>
              <w:spacing w:line="240" w:lineRule="auto"/>
              <w:rPr>
                <w:b/>
                <w:bCs/>
                <w:sz w:val="12"/>
                <w:szCs w:val="14"/>
                <w:rtl/>
              </w:rPr>
            </w:pPr>
          </w:p>
        </w:tc>
        <w:tc>
          <w:tcPr>
            <w:tcW w:w="5812" w:type="dxa"/>
            <w:gridSpan w:val="12"/>
            <w:tcBorders>
              <w:top w:val="nil"/>
              <w:left w:val="nil"/>
              <w:bottom w:val="nil"/>
              <w:right w:val="nil"/>
            </w:tcBorders>
          </w:tcPr>
          <w:p w14:paraId="27425B66"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37B917E5" w14:textId="77777777" w:rsidR="007C6060" w:rsidRPr="00D80BE9" w:rsidRDefault="007C6060" w:rsidP="007C6060">
            <w:pPr>
              <w:spacing w:line="240" w:lineRule="auto"/>
              <w:rPr>
                <w:b/>
                <w:bCs/>
                <w:sz w:val="12"/>
                <w:szCs w:val="14"/>
                <w:rtl/>
              </w:rPr>
            </w:pPr>
          </w:p>
        </w:tc>
      </w:tr>
      <w:tr w:rsidR="007C6060" w:rsidRPr="00856FCB" w14:paraId="284B8204" w14:textId="77777777" w:rsidTr="00AC2186">
        <w:trPr>
          <w:cantSplit/>
        </w:trPr>
        <w:tc>
          <w:tcPr>
            <w:tcW w:w="959" w:type="dxa"/>
            <w:tcBorders>
              <w:top w:val="nil"/>
              <w:bottom w:val="nil"/>
              <w:right w:val="nil"/>
            </w:tcBorders>
          </w:tcPr>
          <w:p w14:paraId="097C429E"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7</w:t>
            </w:r>
          </w:p>
        </w:tc>
        <w:tc>
          <w:tcPr>
            <w:tcW w:w="1328" w:type="dxa"/>
            <w:gridSpan w:val="3"/>
            <w:tcBorders>
              <w:top w:val="nil"/>
              <w:left w:val="nil"/>
              <w:bottom w:val="nil"/>
              <w:right w:val="nil"/>
            </w:tcBorders>
          </w:tcPr>
          <w:p w14:paraId="7F1466B6" w14:textId="77777777" w:rsidR="007C6060" w:rsidRPr="00856FCB" w:rsidRDefault="007C6060" w:rsidP="007C6060">
            <w:pPr>
              <w:spacing w:line="200" w:lineRule="exact"/>
              <w:rPr>
                <w:b/>
                <w:bCs/>
                <w:sz w:val="16"/>
                <w:szCs w:val="18"/>
              </w:rPr>
            </w:pPr>
            <w:r w:rsidRPr="00856FCB">
              <w:rPr>
                <w:rFonts w:hint="eastAsia"/>
                <w:b/>
                <w:bCs/>
                <w:sz w:val="16"/>
                <w:szCs w:val="18"/>
                <w:rtl/>
              </w:rPr>
              <w:t>צירופי</w:t>
            </w:r>
            <w:r w:rsidRPr="00856FCB">
              <w:rPr>
                <w:b/>
                <w:bCs/>
                <w:sz w:val="16"/>
                <w:szCs w:val="18"/>
                <w:rtl/>
              </w:rPr>
              <w:t xml:space="preserve"> </w:t>
            </w:r>
            <w:r w:rsidRPr="00856FCB">
              <w:rPr>
                <w:rFonts w:hint="eastAsia"/>
                <w:b/>
                <w:bCs/>
                <w:sz w:val="16"/>
                <w:szCs w:val="18"/>
                <w:rtl/>
              </w:rPr>
              <w:t>עסקים</w:t>
            </w:r>
          </w:p>
        </w:tc>
        <w:tc>
          <w:tcPr>
            <w:tcW w:w="6610" w:type="dxa"/>
            <w:gridSpan w:val="17"/>
            <w:tcBorders>
              <w:top w:val="nil"/>
              <w:left w:val="nil"/>
              <w:bottom w:val="dashSmallGap" w:sz="4" w:space="0" w:color="auto"/>
              <w:right w:val="nil"/>
            </w:tcBorders>
          </w:tcPr>
          <w:p w14:paraId="4CB5409D" w14:textId="77777777" w:rsidR="007C6060" w:rsidRPr="00856FCB" w:rsidRDefault="007C6060" w:rsidP="007C6060">
            <w:pPr>
              <w:spacing w:line="200" w:lineRule="exact"/>
              <w:rPr>
                <w:color w:val="FF0000"/>
                <w:sz w:val="16"/>
                <w:szCs w:val="18"/>
              </w:rPr>
            </w:pPr>
          </w:p>
        </w:tc>
        <w:tc>
          <w:tcPr>
            <w:tcW w:w="851" w:type="dxa"/>
            <w:tcBorders>
              <w:top w:val="nil"/>
              <w:left w:val="nil"/>
              <w:bottom w:val="nil"/>
            </w:tcBorders>
          </w:tcPr>
          <w:p w14:paraId="607CA179" w14:textId="5463D847" w:rsidR="007C6060" w:rsidRPr="00D80BE9" w:rsidRDefault="003700B8" w:rsidP="007C6060">
            <w:pPr>
              <w:spacing w:line="200" w:lineRule="exact"/>
              <w:jc w:val="center"/>
              <w:rPr>
                <w:sz w:val="16"/>
                <w:szCs w:val="18"/>
              </w:rPr>
            </w:pPr>
            <w:r>
              <w:rPr>
                <w:rFonts w:hint="cs"/>
                <w:sz w:val="16"/>
                <w:szCs w:val="18"/>
                <w:rtl/>
              </w:rPr>
              <w:t>43</w:t>
            </w:r>
          </w:p>
        </w:tc>
      </w:tr>
      <w:tr w:rsidR="007C6060" w:rsidRPr="00856FCB" w14:paraId="47BABF5B"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73C78BDF" w14:textId="77777777" w:rsidR="007C6060" w:rsidRPr="00856FCB" w:rsidRDefault="007C6060" w:rsidP="007C6060">
            <w:pPr>
              <w:spacing w:line="240" w:lineRule="auto"/>
              <w:rPr>
                <w:b/>
                <w:bCs/>
                <w:sz w:val="12"/>
                <w:szCs w:val="14"/>
              </w:rPr>
            </w:pPr>
          </w:p>
        </w:tc>
        <w:tc>
          <w:tcPr>
            <w:tcW w:w="3519" w:type="dxa"/>
            <w:gridSpan w:val="13"/>
          </w:tcPr>
          <w:p w14:paraId="494DE199" w14:textId="77777777" w:rsidR="007C6060" w:rsidRPr="00856FCB" w:rsidRDefault="007C6060" w:rsidP="007C6060">
            <w:pPr>
              <w:spacing w:line="240" w:lineRule="auto"/>
              <w:rPr>
                <w:b/>
                <w:bCs/>
                <w:sz w:val="12"/>
                <w:szCs w:val="14"/>
              </w:rPr>
            </w:pPr>
          </w:p>
        </w:tc>
        <w:tc>
          <w:tcPr>
            <w:tcW w:w="4419" w:type="dxa"/>
            <w:gridSpan w:val="7"/>
            <w:tcBorders>
              <w:left w:val="nil"/>
              <w:bottom w:val="nil"/>
              <w:right w:val="nil"/>
            </w:tcBorders>
          </w:tcPr>
          <w:p w14:paraId="4BD48086" w14:textId="77777777" w:rsidR="007C6060" w:rsidRPr="00856FCB" w:rsidRDefault="007C6060" w:rsidP="007C6060">
            <w:pPr>
              <w:spacing w:line="240" w:lineRule="auto"/>
              <w:rPr>
                <w:b/>
                <w:bCs/>
                <w:color w:val="FF0000"/>
                <w:sz w:val="12"/>
                <w:szCs w:val="14"/>
              </w:rPr>
            </w:pPr>
          </w:p>
        </w:tc>
        <w:tc>
          <w:tcPr>
            <w:tcW w:w="851" w:type="dxa"/>
          </w:tcPr>
          <w:p w14:paraId="32537BA2" w14:textId="77777777" w:rsidR="007C6060" w:rsidRPr="00D80BE9" w:rsidRDefault="007C6060" w:rsidP="007C6060">
            <w:pPr>
              <w:spacing w:line="240" w:lineRule="auto"/>
              <w:rPr>
                <w:b/>
                <w:bCs/>
                <w:sz w:val="12"/>
                <w:szCs w:val="14"/>
              </w:rPr>
            </w:pPr>
          </w:p>
        </w:tc>
      </w:tr>
      <w:tr w:rsidR="007C6060" w:rsidRPr="00856FCB" w14:paraId="6A0D3E43" w14:textId="77777777" w:rsidTr="00AC2186">
        <w:trPr>
          <w:cantSplit/>
        </w:trPr>
        <w:tc>
          <w:tcPr>
            <w:tcW w:w="959" w:type="dxa"/>
            <w:tcBorders>
              <w:top w:val="nil"/>
              <w:bottom w:val="nil"/>
              <w:right w:val="nil"/>
            </w:tcBorders>
          </w:tcPr>
          <w:p w14:paraId="624BE72A"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8</w:t>
            </w:r>
          </w:p>
        </w:tc>
        <w:tc>
          <w:tcPr>
            <w:tcW w:w="2098" w:type="dxa"/>
            <w:gridSpan w:val="7"/>
            <w:tcBorders>
              <w:top w:val="nil"/>
              <w:left w:val="nil"/>
              <w:bottom w:val="nil"/>
              <w:right w:val="nil"/>
            </w:tcBorders>
          </w:tcPr>
          <w:p w14:paraId="14F01FAF" w14:textId="77777777" w:rsidR="007C6060" w:rsidRPr="00856FCB" w:rsidRDefault="007C6060" w:rsidP="007C6060">
            <w:pPr>
              <w:spacing w:line="200" w:lineRule="exact"/>
              <w:rPr>
                <w:b/>
                <w:bCs/>
                <w:sz w:val="16"/>
                <w:szCs w:val="18"/>
              </w:rPr>
            </w:pPr>
            <w:r w:rsidRPr="00856FCB">
              <w:rPr>
                <w:rFonts w:hint="eastAsia"/>
                <w:b/>
                <w:bCs/>
                <w:sz w:val="16"/>
                <w:szCs w:val="18"/>
                <w:rtl/>
              </w:rPr>
              <w:t>ירידת</w:t>
            </w:r>
            <w:r w:rsidRPr="00856FCB">
              <w:rPr>
                <w:b/>
                <w:bCs/>
                <w:sz w:val="16"/>
                <w:szCs w:val="18"/>
                <w:rtl/>
              </w:rPr>
              <w:t xml:space="preserve"> </w:t>
            </w:r>
            <w:r w:rsidRPr="00856FCB">
              <w:rPr>
                <w:rFonts w:hint="eastAsia"/>
                <w:b/>
                <w:bCs/>
                <w:sz w:val="16"/>
                <w:szCs w:val="18"/>
                <w:rtl/>
              </w:rPr>
              <w:t>ערך</w:t>
            </w:r>
            <w:r w:rsidRPr="00856FCB">
              <w:rPr>
                <w:b/>
                <w:bCs/>
                <w:sz w:val="16"/>
                <w:szCs w:val="18"/>
                <w:rtl/>
              </w:rPr>
              <w:t xml:space="preserve"> </w:t>
            </w:r>
            <w:r w:rsidRPr="00856FCB">
              <w:rPr>
                <w:rFonts w:hint="eastAsia"/>
                <w:b/>
                <w:bCs/>
                <w:sz w:val="16"/>
                <w:szCs w:val="18"/>
                <w:rtl/>
              </w:rPr>
              <w:t>של</w:t>
            </w:r>
            <w:r w:rsidRPr="00856FCB">
              <w:rPr>
                <w:b/>
                <w:bCs/>
                <w:sz w:val="16"/>
                <w:szCs w:val="18"/>
                <w:rtl/>
              </w:rPr>
              <w:t xml:space="preserve"> </w:t>
            </w:r>
            <w:r w:rsidRPr="00856FCB">
              <w:rPr>
                <w:rFonts w:hint="eastAsia"/>
                <w:b/>
                <w:bCs/>
                <w:sz w:val="16"/>
                <w:szCs w:val="18"/>
                <w:rtl/>
              </w:rPr>
              <w:t>רכוש</w:t>
            </w:r>
            <w:r w:rsidRPr="00856FCB">
              <w:rPr>
                <w:b/>
                <w:bCs/>
                <w:sz w:val="16"/>
                <w:szCs w:val="18"/>
                <w:rtl/>
              </w:rPr>
              <w:t xml:space="preserve"> </w:t>
            </w:r>
            <w:r w:rsidRPr="00856FCB">
              <w:rPr>
                <w:rFonts w:hint="eastAsia"/>
                <w:b/>
                <w:bCs/>
                <w:sz w:val="16"/>
                <w:szCs w:val="18"/>
                <w:rtl/>
              </w:rPr>
              <w:t>קבוע</w:t>
            </w:r>
          </w:p>
        </w:tc>
        <w:tc>
          <w:tcPr>
            <w:tcW w:w="5840" w:type="dxa"/>
            <w:gridSpan w:val="13"/>
            <w:tcBorders>
              <w:top w:val="nil"/>
              <w:left w:val="nil"/>
              <w:bottom w:val="dashSmallGap" w:sz="4" w:space="0" w:color="auto"/>
              <w:right w:val="nil"/>
            </w:tcBorders>
          </w:tcPr>
          <w:p w14:paraId="5AFC45DA" w14:textId="77777777" w:rsidR="007C6060" w:rsidRPr="00856FCB" w:rsidRDefault="007C6060" w:rsidP="007C6060">
            <w:pPr>
              <w:spacing w:line="200" w:lineRule="exact"/>
              <w:jc w:val="center"/>
              <w:rPr>
                <w:color w:val="FF0000"/>
                <w:sz w:val="16"/>
                <w:szCs w:val="18"/>
              </w:rPr>
            </w:pPr>
          </w:p>
        </w:tc>
        <w:tc>
          <w:tcPr>
            <w:tcW w:w="851" w:type="dxa"/>
            <w:tcBorders>
              <w:top w:val="nil"/>
              <w:left w:val="nil"/>
              <w:bottom w:val="nil"/>
            </w:tcBorders>
          </w:tcPr>
          <w:p w14:paraId="1B10AEC3" w14:textId="6B822CE4" w:rsidR="007C6060" w:rsidRPr="00D80BE9" w:rsidRDefault="003700B8" w:rsidP="007C6060">
            <w:pPr>
              <w:spacing w:line="200" w:lineRule="exact"/>
              <w:jc w:val="center"/>
              <w:rPr>
                <w:sz w:val="16"/>
                <w:szCs w:val="18"/>
              </w:rPr>
            </w:pPr>
            <w:r>
              <w:rPr>
                <w:rFonts w:hint="cs"/>
                <w:sz w:val="16"/>
                <w:szCs w:val="18"/>
                <w:rtl/>
              </w:rPr>
              <w:t>48</w:t>
            </w:r>
          </w:p>
        </w:tc>
      </w:tr>
      <w:tr w:rsidR="007C6060" w:rsidRPr="00856FCB" w14:paraId="11C5B219"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191A7EDD" w14:textId="77777777" w:rsidR="007C6060" w:rsidRPr="00856FCB" w:rsidRDefault="007C6060" w:rsidP="007C6060">
            <w:pPr>
              <w:spacing w:line="240" w:lineRule="auto"/>
              <w:rPr>
                <w:b/>
                <w:bCs/>
                <w:sz w:val="12"/>
                <w:szCs w:val="14"/>
              </w:rPr>
            </w:pPr>
          </w:p>
        </w:tc>
        <w:tc>
          <w:tcPr>
            <w:tcW w:w="3018" w:type="dxa"/>
            <w:gridSpan w:val="12"/>
          </w:tcPr>
          <w:p w14:paraId="288194B1" w14:textId="77777777" w:rsidR="007C6060" w:rsidRPr="00856FCB" w:rsidRDefault="007C6060" w:rsidP="007C6060">
            <w:pPr>
              <w:spacing w:line="240" w:lineRule="auto"/>
              <w:rPr>
                <w:b/>
                <w:bCs/>
                <w:sz w:val="12"/>
                <w:szCs w:val="14"/>
              </w:rPr>
            </w:pPr>
          </w:p>
        </w:tc>
        <w:tc>
          <w:tcPr>
            <w:tcW w:w="4920" w:type="dxa"/>
            <w:gridSpan w:val="8"/>
          </w:tcPr>
          <w:p w14:paraId="0E320AD1" w14:textId="77777777" w:rsidR="007C6060" w:rsidRPr="00856FCB" w:rsidRDefault="007C6060" w:rsidP="007C6060">
            <w:pPr>
              <w:spacing w:line="240" w:lineRule="auto"/>
              <w:rPr>
                <w:b/>
                <w:bCs/>
                <w:color w:val="FF0000"/>
                <w:sz w:val="12"/>
                <w:szCs w:val="14"/>
              </w:rPr>
            </w:pPr>
          </w:p>
        </w:tc>
        <w:tc>
          <w:tcPr>
            <w:tcW w:w="851" w:type="dxa"/>
          </w:tcPr>
          <w:p w14:paraId="30D5B677" w14:textId="77777777" w:rsidR="007C6060" w:rsidRPr="00D80BE9" w:rsidRDefault="007C6060" w:rsidP="007C6060">
            <w:pPr>
              <w:spacing w:line="240" w:lineRule="auto"/>
              <w:rPr>
                <w:b/>
                <w:bCs/>
                <w:sz w:val="12"/>
                <w:szCs w:val="14"/>
              </w:rPr>
            </w:pPr>
          </w:p>
        </w:tc>
      </w:tr>
      <w:tr w:rsidR="007C6060" w:rsidRPr="00856FCB" w14:paraId="3881F06D" w14:textId="77777777" w:rsidTr="00AC2186">
        <w:trPr>
          <w:cantSplit/>
        </w:trPr>
        <w:tc>
          <w:tcPr>
            <w:tcW w:w="959" w:type="dxa"/>
            <w:tcBorders>
              <w:top w:val="nil"/>
              <w:bottom w:val="nil"/>
              <w:right w:val="nil"/>
            </w:tcBorders>
          </w:tcPr>
          <w:p w14:paraId="684E2BC4"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9</w:t>
            </w:r>
          </w:p>
        </w:tc>
        <w:tc>
          <w:tcPr>
            <w:tcW w:w="1650" w:type="dxa"/>
            <w:gridSpan w:val="5"/>
            <w:tcBorders>
              <w:top w:val="nil"/>
              <w:left w:val="nil"/>
              <w:bottom w:val="nil"/>
              <w:right w:val="nil"/>
            </w:tcBorders>
          </w:tcPr>
          <w:p w14:paraId="19F1F15F" w14:textId="77777777" w:rsidR="007C6060" w:rsidRPr="00856FCB" w:rsidRDefault="007C6060" w:rsidP="007C6060">
            <w:pPr>
              <w:spacing w:line="200" w:lineRule="exact"/>
              <w:rPr>
                <w:b/>
                <w:bCs/>
                <w:sz w:val="16"/>
                <w:szCs w:val="18"/>
              </w:rPr>
            </w:pPr>
            <w:r w:rsidRPr="00856FCB">
              <w:rPr>
                <w:rFonts w:hint="eastAsia"/>
                <w:b/>
                <w:bCs/>
                <w:sz w:val="16"/>
                <w:szCs w:val="18"/>
                <w:rtl/>
              </w:rPr>
              <w:t>הפרשה</w:t>
            </w:r>
            <w:r w:rsidRPr="00856FCB">
              <w:rPr>
                <w:b/>
                <w:bCs/>
                <w:sz w:val="16"/>
                <w:szCs w:val="18"/>
                <w:rtl/>
              </w:rPr>
              <w:t xml:space="preserve"> </w:t>
            </w:r>
            <w:r w:rsidRPr="00856FCB">
              <w:rPr>
                <w:rFonts w:hint="eastAsia"/>
                <w:b/>
                <w:bCs/>
                <w:sz w:val="16"/>
                <w:szCs w:val="18"/>
                <w:rtl/>
              </w:rPr>
              <w:t>לשינוי</w:t>
            </w:r>
            <w:r w:rsidRPr="00856FCB">
              <w:rPr>
                <w:b/>
                <w:bCs/>
                <w:sz w:val="16"/>
                <w:szCs w:val="18"/>
                <w:rtl/>
              </w:rPr>
              <w:t xml:space="preserve"> </w:t>
            </w:r>
            <w:r w:rsidRPr="00856FCB">
              <w:rPr>
                <w:rFonts w:hint="eastAsia"/>
                <w:b/>
                <w:bCs/>
                <w:sz w:val="16"/>
                <w:szCs w:val="18"/>
                <w:rtl/>
              </w:rPr>
              <w:t>מבני</w:t>
            </w:r>
          </w:p>
        </w:tc>
        <w:tc>
          <w:tcPr>
            <w:tcW w:w="6288" w:type="dxa"/>
            <w:gridSpan w:val="15"/>
            <w:tcBorders>
              <w:top w:val="nil"/>
              <w:left w:val="nil"/>
              <w:bottom w:val="dashSmallGap" w:sz="4" w:space="0" w:color="auto"/>
              <w:right w:val="nil"/>
            </w:tcBorders>
          </w:tcPr>
          <w:p w14:paraId="71C583F4" w14:textId="77777777" w:rsidR="007C6060" w:rsidRPr="00856FCB" w:rsidRDefault="007C6060" w:rsidP="007C6060">
            <w:pPr>
              <w:spacing w:line="200" w:lineRule="exact"/>
              <w:rPr>
                <w:b/>
                <w:bCs/>
                <w:color w:val="FF0000"/>
                <w:sz w:val="16"/>
                <w:szCs w:val="18"/>
              </w:rPr>
            </w:pPr>
          </w:p>
        </w:tc>
        <w:tc>
          <w:tcPr>
            <w:tcW w:w="851" w:type="dxa"/>
            <w:tcBorders>
              <w:top w:val="nil"/>
              <w:left w:val="nil"/>
              <w:bottom w:val="nil"/>
            </w:tcBorders>
          </w:tcPr>
          <w:p w14:paraId="41641B8E" w14:textId="5BFA763B" w:rsidR="007C6060" w:rsidRPr="00D80BE9" w:rsidRDefault="003700B8" w:rsidP="007C6060">
            <w:pPr>
              <w:spacing w:line="200" w:lineRule="exact"/>
              <w:jc w:val="center"/>
              <w:rPr>
                <w:sz w:val="16"/>
                <w:szCs w:val="18"/>
              </w:rPr>
            </w:pPr>
            <w:r>
              <w:rPr>
                <w:rFonts w:hint="cs"/>
                <w:sz w:val="16"/>
                <w:szCs w:val="18"/>
                <w:rtl/>
              </w:rPr>
              <w:t>48</w:t>
            </w:r>
          </w:p>
        </w:tc>
      </w:tr>
      <w:tr w:rsidR="007C6060" w:rsidRPr="00856FCB" w14:paraId="1F93FFCF"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6BF15744" w14:textId="77777777" w:rsidR="007C6060" w:rsidRPr="00856FCB" w:rsidRDefault="007C6060" w:rsidP="007C6060">
            <w:pPr>
              <w:spacing w:line="240" w:lineRule="auto"/>
              <w:rPr>
                <w:b/>
                <w:bCs/>
                <w:sz w:val="12"/>
                <w:szCs w:val="14"/>
              </w:rPr>
            </w:pPr>
          </w:p>
        </w:tc>
        <w:tc>
          <w:tcPr>
            <w:tcW w:w="3018" w:type="dxa"/>
            <w:gridSpan w:val="12"/>
          </w:tcPr>
          <w:p w14:paraId="24ADCB75" w14:textId="77777777" w:rsidR="007C6060" w:rsidRPr="00856FCB" w:rsidRDefault="007C6060" w:rsidP="007C6060">
            <w:pPr>
              <w:spacing w:line="240" w:lineRule="auto"/>
              <w:rPr>
                <w:b/>
                <w:bCs/>
                <w:sz w:val="12"/>
                <w:szCs w:val="14"/>
              </w:rPr>
            </w:pPr>
          </w:p>
        </w:tc>
        <w:tc>
          <w:tcPr>
            <w:tcW w:w="4920" w:type="dxa"/>
            <w:gridSpan w:val="8"/>
            <w:tcBorders>
              <w:left w:val="nil"/>
              <w:bottom w:val="nil"/>
              <w:right w:val="nil"/>
            </w:tcBorders>
          </w:tcPr>
          <w:p w14:paraId="3A6315CE" w14:textId="77777777" w:rsidR="007C6060" w:rsidRPr="00856FCB" w:rsidRDefault="007C6060" w:rsidP="007C6060">
            <w:pPr>
              <w:spacing w:line="240" w:lineRule="auto"/>
              <w:rPr>
                <w:b/>
                <w:bCs/>
                <w:color w:val="FF0000"/>
                <w:sz w:val="12"/>
                <w:szCs w:val="14"/>
              </w:rPr>
            </w:pPr>
          </w:p>
        </w:tc>
        <w:tc>
          <w:tcPr>
            <w:tcW w:w="851" w:type="dxa"/>
          </w:tcPr>
          <w:p w14:paraId="06485290" w14:textId="77777777" w:rsidR="007C6060" w:rsidRPr="00D80BE9" w:rsidRDefault="007C6060" w:rsidP="007C6060">
            <w:pPr>
              <w:spacing w:line="240" w:lineRule="auto"/>
              <w:rPr>
                <w:b/>
                <w:bCs/>
                <w:sz w:val="12"/>
                <w:szCs w:val="14"/>
              </w:rPr>
            </w:pPr>
          </w:p>
        </w:tc>
      </w:tr>
      <w:tr w:rsidR="007C6060" w:rsidRPr="00856FCB" w14:paraId="57EE0B77" w14:textId="77777777" w:rsidTr="00AC2186">
        <w:trPr>
          <w:cantSplit/>
        </w:trPr>
        <w:tc>
          <w:tcPr>
            <w:tcW w:w="959" w:type="dxa"/>
            <w:tcBorders>
              <w:top w:val="nil"/>
              <w:bottom w:val="nil"/>
              <w:right w:val="nil"/>
            </w:tcBorders>
          </w:tcPr>
          <w:p w14:paraId="0BC96319"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10</w:t>
            </w:r>
          </w:p>
        </w:tc>
        <w:tc>
          <w:tcPr>
            <w:tcW w:w="4029" w:type="dxa"/>
            <w:gridSpan w:val="16"/>
            <w:tcBorders>
              <w:top w:val="nil"/>
              <w:left w:val="nil"/>
              <w:bottom w:val="nil"/>
              <w:right w:val="nil"/>
            </w:tcBorders>
          </w:tcPr>
          <w:p w14:paraId="47EB60B7" w14:textId="77777777" w:rsidR="007C6060" w:rsidRPr="00856FCB" w:rsidRDefault="007C6060" w:rsidP="007C6060">
            <w:pPr>
              <w:spacing w:line="200" w:lineRule="exact"/>
              <w:rPr>
                <w:b/>
                <w:bCs/>
                <w:sz w:val="16"/>
                <w:szCs w:val="18"/>
              </w:rPr>
            </w:pPr>
            <w:r w:rsidRPr="00856FCB">
              <w:rPr>
                <w:rFonts w:hint="cs"/>
                <w:b/>
                <w:bCs/>
                <w:sz w:val="16"/>
                <w:szCs w:val="18"/>
                <w:rtl/>
              </w:rPr>
              <w:t>קבוצת מימוש המוחזקת למכירה ופעילויות שהופסקו</w:t>
            </w:r>
          </w:p>
        </w:tc>
        <w:tc>
          <w:tcPr>
            <w:tcW w:w="3909" w:type="dxa"/>
            <w:gridSpan w:val="4"/>
            <w:tcBorders>
              <w:top w:val="nil"/>
              <w:left w:val="nil"/>
              <w:bottom w:val="dashSmallGap" w:sz="4" w:space="0" w:color="auto"/>
              <w:right w:val="nil"/>
            </w:tcBorders>
          </w:tcPr>
          <w:p w14:paraId="2BEA33E2" w14:textId="77777777" w:rsidR="007C6060" w:rsidRPr="00856FCB" w:rsidRDefault="007C6060" w:rsidP="007C6060">
            <w:pPr>
              <w:spacing w:line="200" w:lineRule="exact"/>
              <w:rPr>
                <w:b/>
                <w:bCs/>
                <w:color w:val="FF0000"/>
                <w:sz w:val="16"/>
                <w:szCs w:val="18"/>
              </w:rPr>
            </w:pPr>
          </w:p>
        </w:tc>
        <w:tc>
          <w:tcPr>
            <w:tcW w:w="851" w:type="dxa"/>
            <w:tcBorders>
              <w:top w:val="nil"/>
              <w:left w:val="nil"/>
              <w:bottom w:val="nil"/>
            </w:tcBorders>
          </w:tcPr>
          <w:p w14:paraId="52D5320D" w14:textId="2197FFB6" w:rsidR="007C6060" w:rsidRPr="00D80BE9" w:rsidRDefault="003700B8" w:rsidP="007C6060">
            <w:pPr>
              <w:spacing w:line="200" w:lineRule="exact"/>
              <w:jc w:val="center"/>
              <w:rPr>
                <w:sz w:val="16"/>
                <w:szCs w:val="18"/>
              </w:rPr>
            </w:pPr>
            <w:r>
              <w:rPr>
                <w:rFonts w:hint="cs"/>
                <w:sz w:val="16"/>
                <w:szCs w:val="18"/>
                <w:rtl/>
              </w:rPr>
              <w:t>48</w:t>
            </w:r>
          </w:p>
        </w:tc>
      </w:tr>
      <w:tr w:rsidR="007C6060" w:rsidRPr="00856FCB" w14:paraId="130DFA36"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623ABFE7" w14:textId="77777777" w:rsidR="007C6060" w:rsidRPr="00856FCB" w:rsidRDefault="007C6060" w:rsidP="007C6060">
            <w:pPr>
              <w:spacing w:line="240" w:lineRule="auto"/>
              <w:rPr>
                <w:b/>
                <w:bCs/>
                <w:sz w:val="12"/>
                <w:szCs w:val="14"/>
              </w:rPr>
            </w:pPr>
          </w:p>
        </w:tc>
        <w:tc>
          <w:tcPr>
            <w:tcW w:w="4394" w:type="dxa"/>
            <w:gridSpan w:val="17"/>
          </w:tcPr>
          <w:p w14:paraId="02E0DB6F" w14:textId="77777777" w:rsidR="007C6060" w:rsidRPr="00856FCB" w:rsidRDefault="007C6060" w:rsidP="007C6060">
            <w:pPr>
              <w:spacing w:line="240" w:lineRule="auto"/>
              <w:rPr>
                <w:b/>
                <w:bCs/>
                <w:sz w:val="12"/>
                <w:szCs w:val="14"/>
              </w:rPr>
            </w:pPr>
          </w:p>
        </w:tc>
        <w:tc>
          <w:tcPr>
            <w:tcW w:w="3544" w:type="dxa"/>
            <w:gridSpan w:val="3"/>
            <w:tcBorders>
              <w:left w:val="nil"/>
              <w:right w:val="nil"/>
            </w:tcBorders>
          </w:tcPr>
          <w:p w14:paraId="074EF4FD" w14:textId="77777777" w:rsidR="007C6060" w:rsidRPr="00856FCB" w:rsidRDefault="007C6060" w:rsidP="007C6060">
            <w:pPr>
              <w:spacing w:line="240" w:lineRule="auto"/>
              <w:rPr>
                <w:b/>
                <w:bCs/>
                <w:color w:val="FF0000"/>
                <w:sz w:val="12"/>
                <w:szCs w:val="14"/>
              </w:rPr>
            </w:pPr>
          </w:p>
        </w:tc>
        <w:tc>
          <w:tcPr>
            <w:tcW w:w="851" w:type="dxa"/>
          </w:tcPr>
          <w:p w14:paraId="7B194236" w14:textId="77777777" w:rsidR="007C6060" w:rsidRPr="00D80BE9" w:rsidRDefault="007C6060" w:rsidP="007C6060">
            <w:pPr>
              <w:spacing w:line="240" w:lineRule="auto"/>
              <w:rPr>
                <w:b/>
                <w:bCs/>
                <w:sz w:val="12"/>
                <w:szCs w:val="14"/>
              </w:rPr>
            </w:pPr>
          </w:p>
        </w:tc>
      </w:tr>
      <w:tr w:rsidR="007C6060" w:rsidRPr="00856FCB" w14:paraId="7118EE80" w14:textId="77777777" w:rsidTr="00AC2186">
        <w:trPr>
          <w:cantSplit/>
        </w:trPr>
        <w:tc>
          <w:tcPr>
            <w:tcW w:w="959" w:type="dxa"/>
            <w:tcBorders>
              <w:top w:val="nil"/>
              <w:bottom w:val="nil"/>
              <w:right w:val="nil"/>
            </w:tcBorders>
          </w:tcPr>
          <w:p w14:paraId="1A44A3D7"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11</w:t>
            </w:r>
          </w:p>
        </w:tc>
        <w:tc>
          <w:tcPr>
            <w:tcW w:w="2434" w:type="dxa"/>
            <w:gridSpan w:val="10"/>
            <w:tcBorders>
              <w:top w:val="nil"/>
              <w:left w:val="nil"/>
              <w:bottom w:val="nil"/>
              <w:right w:val="nil"/>
            </w:tcBorders>
          </w:tcPr>
          <w:p w14:paraId="564E27C0" w14:textId="77777777" w:rsidR="007C6060" w:rsidRPr="00856FCB" w:rsidRDefault="007C6060" w:rsidP="007C6060">
            <w:pPr>
              <w:spacing w:line="200" w:lineRule="exact"/>
              <w:rPr>
                <w:b/>
                <w:bCs/>
                <w:sz w:val="16"/>
                <w:szCs w:val="18"/>
              </w:rPr>
            </w:pPr>
            <w:r w:rsidRPr="00856FCB">
              <w:rPr>
                <w:rFonts w:hint="eastAsia"/>
                <w:b/>
                <w:bCs/>
                <w:sz w:val="16"/>
                <w:szCs w:val="18"/>
                <w:rtl/>
              </w:rPr>
              <w:t>עסקאות</w:t>
            </w:r>
            <w:r w:rsidRPr="00856FCB">
              <w:rPr>
                <w:b/>
                <w:bCs/>
                <w:sz w:val="16"/>
                <w:szCs w:val="18"/>
                <w:rtl/>
              </w:rPr>
              <w:t xml:space="preserve"> </w:t>
            </w:r>
            <w:r w:rsidRPr="00856FCB">
              <w:rPr>
                <w:rFonts w:hint="eastAsia"/>
                <w:b/>
                <w:bCs/>
                <w:sz w:val="16"/>
                <w:szCs w:val="18"/>
                <w:rtl/>
              </w:rPr>
              <w:t>תשלום</w:t>
            </w:r>
            <w:r w:rsidRPr="00856FCB">
              <w:rPr>
                <w:b/>
                <w:bCs/>
                <w:sz w:val="16"/>
                <w:szCs w:val="18"/>
                <w:rtl/>
              </w:rPr>
              <w:t xml:space="preserve"> </w:t>
            </w:r>
            <w:r w:rsidRPr="00856FCB">
              <w:rPr>
                <w:rFonts w:hint="eastAsia"/>
                <w:b/>
                <w:bCs/>
                <w:sz w:val="16"/>
                <w:szCs w:val="18"/>
                <w:rtl/>
              </w:rPr>
              <w:t>מבוסס</w:t>
            </w:r>
            <w:r w:rsidRPr="00856FCB">
              <w:rPr>
                <w:b/>
                <w:bCs/>
                <w:sz w:val="16"/>
                <w:szCs w:val="18"/>
                <w:rtl/>
              </w:rPr>
              <w:t xml:space="preserve"> </w:t>
            </w:r>
            <w:r w:rsidRPr="00856FCB">
              <w:rPr>
                <w:rFonts w:hint="eastAsia"/>
                <w:b/>
                <w:bCs/>
                <w:sz w:val="16"/>
                <w:szCs w:val="18"/>
                <w:rtl/>
              </w:rPr>
              <w:t>מניות</w:t>
            </w:r>
          </w:p>
        </w:tc>
        <w:tc>
          <w:tcPr>
            <w:tcW w:w="5504" w:type="dxa"/>
            <w:gridSpan w:val="10"/>
            <w:tcBorders>
              <w:top w:val="nil"/>
              <w:left w:val="nil"/>
              <w:bottom w:val="dashSmallGap" w:sz="4" w:space="0" w:color="auto"/>
              <w:right w:val="nil"/>
            </w:tcBorders>
          </w:tcPr>
          <w:p w14:paraId="0F57D6E1" w14:textId="77777777" w:rsidR="007C6060" w:rsidRPr="00856FCB" w:rsidRDefault="007C6060" w:rsidP="007C6060">
            <w:pPr>
              <w:spacing w:line="200" w:lineRule="exact"/>
              <w:jc w:val="center"/>
              <w:rPr>
                <w:b/>
                <w:bCs/>
                <w:color w:val="FF0000"/>
                <w:sz w:val="16"/>
                <w:szCs w:val="18"/>
              </w:rPr>
            </w:pPr>
          </w:p>
        </w:tc>
        <w:tc>
          <w:tcPr>
            <w:tcW w:w="851" w:type="dxa"/>
            <w:tcBorders>
              <w:top w:val="nil"/>
              <w:left w:val="nil"/>
              <w:bottom w:val="nil"/>
            </w:tcBorders>
          </w:tcPr>
          <w:p w14:paraId="37DB3F52" w14:textId="4FB4A57C" w:rsidR="007C6060" w:rsidRPr="00D80BE9" w:rsidRDefault="003700B8" w:rsidP="007C6060">
            <w:pPr>
              <w:spacing w:line="200" w:lineRule="exact"/>
              <w:jc w:val="center"/>
              <w:rPr>
                <w:sz w:val="16"/>
                <w:szCs w:val="18"/>
              </w:rPr>
            </w:pPr>
            <w:r>
              <w:rPr>
                <w:rFonts w:hint="cs"/>
                <w:sz w:val="16"/>
                <w:szCs w:val="18"/>
                <w:rtl/>
              </w:rPr>
              <w:t>51</w:t>
            </w:r>
          </w:p>
        </w:tc>
      </w:tr>
      <w:tr w:rsidR="007C6060" w:rsidRPr="00856FCB" w14:paraId="4438EBFF"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648289CD" w14:textId="77777777" w:rsidR="007C6060" w:rsidRPr="00856FCB" w:rsidRDefault="007C6060" w:rsidP="007C6060">
            <w:pPr>
              <w:spacing w:line="240" w:lineRule="auto"/>
              <w:rPr>
                <w:b/>
                <w:bCs/>
                <w:sz w:val="12"/>
                <w:szCs w:val="14"/>
              </w:rPr>
            </w:pPr>
          </w:p>
        </w:tc>
        <w:tc>
          <w:tcPr>
            <w:tcW w:w="4394" w:type="dxa"/>
            <w:gridSpan w:val="17"/>
          </w:tcPr>
          <w:p w14:paraId="7EED6D7D" w14:textId="77777777" w:rsidR="007C6060" w:rsidRPr="00856FCB" w:rsidRDefault="007C6060" w:rsidP="007C6060">
            <w:pPr>
              <w:spacing w:line="240" w:lineRule="auto"/>
              <w:rPr>
                <w:b/>
                <w:bCs/>
                <w:sz w:val="12"/>
                <w:szCs w:val="14"/>
              </w:rPr>
            </w:pPr>
          </w:p>
        </w:tc>
        <w:tc>
          <w:tcPr>
            <w:tcW w:w="3544" w:type="dxa"/>
            <w:gridSpan w:val="3"/>
            <w:tcBorders>
              <w:left w:val="nil"/>
              <w:bottom w:val="nil"/>
              <w:right w:val="nil"/>
            </w:tcBorders>
          </w:tcPr>
          <w:p w14:paraId="758E4373" w14:textId="77777777" w:rsidR="007C6060" w:rsidRPr="00856FCB" w:rsidRDefault="007C6060" w:rsidP="007C6060">
            <w:pPr>
              <w:spacing w:line="240" w:lineRule="auto"/>
              <w:rPr>
                <w:b/>
                <w:bCs/>
                <w:color w:val="FF0000"/>
                <w:sz w:val="12"/>
                <w:szCs w:val="14"/>
              </w:rPr>
            </w:pPr>
          </w:p>
        </w:tc>
        <w:tc>
          <w:tcPr>
            <w:tcW w:w="851" w:type="dxa"/>
          </w:tcPr>
          <w:p w14:paraId="6DBE9A78" w14:textId="77777777" w:rsidR="007C6060" w:rsidRPr="00D80BE9" w:rsidRDefault="007C6060" w:rsidP="007C6060">
            <w:pPr>
              <w:spacing w:line="240" w:lineRule="auto"/>
              <w:rPr>
                <w:b/>
                <w:bCs/>
                <w:sz w:val="12"/>
                <w:szCs w:val="14"/>
              </w:rPr>
            </w:pPr>
          </w:p>
        </w:tc>
      </w:tr>
      <w:tr w:rsidR="007C6060" w:rsidRPr="00856FCB" w14:paraId="7E675C58" w14:textId="77777777" w:rsidTr="00AC2186">
        <w:trPr>
          <w:cantSplit/>
        </w:trPr>
        <w:tc>
          <w:tcPr>
            <w:tcW w:w="959" w:type="dxa"/>
            <w:tcBorders>
              <w:top w:val="nil"/>
              <w:bottom w:val="nil"/>
              <w:right w:val="nil"/>
            </w:tcBorders>
          </w:tcPr>
          <w:p w14:paraId="56C27FF5"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12</w:t>
            </w:r>
          </w:p>
        </w:tc>
        <w:tc>
          <w:tcPr>
            <w:tcW w:w="2042" w:type="dxa"/>
            <w:gridSpan w:val="6"/>
            <w:tcBorders>
              <w:top w:val="nil"/>
              <w:left w:val="nil"/>
              <w:bottom w:val="nil"/>
              <w:right w:val="nil"/>
            </w:tcBorders>
          </w:tcPr>
          <w:p w14:paraId="7EB3D089" w14:textId="77777777" w:rsidR="007C6060" w:rsidRPr="00856FCB" w:rsidRDefault="007C6060" w:rsidP="007C6060">
            <w:pPr>
              <w:spacing w:line="200" w:lineRule="exact"/>
              <w:rPr>
                <w:b/>
                <w:bCs/>
                <w:sz w:val="16"/>
                <w:szCs w:val="18"/>
              </w:rPr>
            </w:pPr>
            <w:r w:rsidRPr="00856FCB">
              <w:rPr>
                <w:rFonts w:hint="eastAsia"/>
                <w:b/>
                <w:bCs/>
                <w:sz w:val="16"/>
                <w:szCs w:val="18"/>
                <w:rtl/>
              </w:rPr>
              <w:t>מימון</w:t>
            </w:r>
            <w:r w:rsidRPr="00856FCB">
              <w:rPr>
                <w:b/>
                <w:bCs/>
                <w:sz w:val="16"/>
                <w:szCs w:val="18"/>
                <w:rtl/>
              </w:rPr>
              <w:t xml:space="preserve"> </w:t>
            </w:r>
            <w:r w:rsidRPr="00856FCB">
              <w:rPr>
                <w:rFonts w:hint="eastAsia"/>
                <w:b/>
                <w:bCs/>
                <w:sz w:val="16"/>
                <w:szCs w:val="18"/>
                <w:rtl/>
              </w:rPr>
              <w:t>מחדש</w:t>
            </w:r>
            <w:r w:rsidRPr="00856FCB">
              <w:rPr>
                <w:b/>
                <w:bCs/>
                <w:sz w:val="16"/>
                <w:szCs w:val="18"/>
                <w:rtl/>
              </w:rPr>
              <w:t xml:space="preserve"> </w:t>
            </w:r>
            <w:r w:rsidRPr="00856FCB">
              <w:rPr>
                <w:rFonts w:hint="eastAsia"/>
                <w:b/>
                <w:bCs/>
                <w:sz w:val="16"/>
                <w:szCs w:val="18"/>
                <w:rtl/>
              </w:rPr>
              <w:t>של</w:t>
            </w:r>
            <w:r w:rsidRPr="00856FCB">
              <w:rPr>
                <w:b/>
                <w:bCs/>
                <w:sz w:val="16"/>
                <w:szCs w:val="18"/>
                <w:rtl/>
              </w:rPr>
              <w:t xml:space="preserve"> </w:t>
            </w:r>
            <w:r w:rsidRPr="00856FCB">
              <w:rPr>
                <w:rFonts w:hint="eastAsia"/>
                <w:b/>
                <w:bCs/>
                <w:sz w:val="16"/>
                <w:szCs w:val="18"/>
                <w:rtl/>
              </w:rPr>
              <w:t>הלוואה</w:t>
            </w:r>
          </w:p>
        </w:tc>
        <w:tc>
          <w:tcPr>
            <w:tcW w:w="5896" w:type="dxa"/>
            <w:gridSpan w:val="14"/>
            <w:tcBorders>
              <w:top w:val="nil"/>
              <w:left w:val="nil"/>
              <w:bottom w:val="dashSmallGap" w:sz="4" w:space="0" w:color="auto"/>
              <w:right w:val="nil"/>
            </w:tcBorders>
          </w:tcPr>
          <w:p w14:paraId="5354259C" w14:textId="77777777" w:rsidR="007C6060" w:rsidRPr="00856FCB" w:rsidRDefault="007C6060" w:rsidP="007C6060">
            <w:pPr>
              <w:spacing w:line="200" w:lineRule="exact"/>
              <w:jc w:val="center"/>
              <w:rPr>
                <w:b/>
                <w:bCs/>
                <w:color w:val="FF0000"/>
                <w:sz w:val="16"/>
                <w:szCs w:val="18"/>
              </w:rPr>
            </w:pPr>
          </w:p>
        </w:tc>
        <w:tc>
          <w:tcPr>
            <w:tcW w:w="851" w:type="dxa"/>
            <w:tcBorders>
              <w:top w:val="nil"/>
              <w:left w:val="nil"/>
              <w:bottom w:val="nil"/>
            </w:tcBorders>
          </w:tcPr>
          <w:p w14:paraId="5E33A5AA" w14:textId="21665A32" w:rsidR="007C6060" w:rsidRPr="00D80BE9" w:rsidRDefault="003700B8" w:rsidP="007C6060">
            <w:pPr>
              <w:spacing w:line="200" w:lineRule="exact"/>
              <w:jc w:val="center"/>
              <w:rPr>
                <w:sz w:val="16"/>
                <w:szCs w:val="18"/>
              </w:rPr>
            </w:pPr>
            <w:r>
              <w:rPr>
                <w:rFonts w:hint="cs"/>
                <w:sz w:val="16"/>
                <w:szCs w:val="18"/>
                <w:rtl/>
              </w:rPr>
              <w:t>51</w:t>
            </w:r>
          </w:p>
        </w:tc>
      </w:tr>
      <w:tr w:rsidR="007C6060" w:rsidRPr="00856FCB" w14:paraId="5C41FC31"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5E4EAA42" w14:textId="77777777" w:rsidR="007C6060" w:rsidRPr="00856FCB" w:rsidRDefault="007C6060" w:rsidP="007C6060">
            <w:pPr>
              <w:spacing w:line="240" w:lineRule="auto"/>
              <w:rPr>
                <w:b/>
                <w:bCs/>
                <w:sz w:val="12"/>
                <w:szCs w:val="14"/>
              </w:rPr>
            </w:pPr>
          </w:p>
        </w:tc>
        <w:tc>
          <w:tcPr>
            <w:tcW w:w="3018" w:type="dxa"/>
            <w:gridSpan w:val="12"/>
          </w:tcPr>
          <w:p w14:paraId="0AE67D6C" w14:textId="77777777" w:rsidR="007C6060" w:rsidRPr="00856FCB" w:rsidRDefault="007C6060" w:rsidP="007C6060">
            <w:pPr>
              <w:spacing w:line="240" w:lineRule="auto"/>
              <w:rPr>
                <w:b/>
                <w:bCs/>
                <w:sz w:val="12"/>
                <w:szCs w:val="14"/>
              </w:rPr>
            </w:pPr>
          </w:p>
        </w:tc>
        <w:tc>
          <w:tcPr>
            <w:tcW w:w="4920" w:type="dxa"/>
            <w:gridSpan w:val="8"/>
            <w:tcBorders>
              <w:left w:val="nil"/>
              <w:bottom w:val="nil"/>
              <w:right w:val="nil"/>
            </w:tcBorders>
          </w:tcPr>
          <w:p w14:paraId="47664ABC" w14:textId="77777777" w:rsidR="007C6060" w:rsidRPr="00856FCB" w:rsidRDefault="007C6060" w:rsidP="007C6060">
            <w:pPr>
              <w:spacing w:line="240" w:lineRule="auto"/>
              <w:rPr>
                <w:b/>
                <w:bCs/>
                <w:color w:val="FF0000"/>
                <w:sz w:val="12"/>
                <w:szCs w:val="14"/>
              </w:rPr>
            </w:pPr>
          </w:p>
        </w:tc>
        <w:tc>
          <w:tcPr>
            <w:tcW w:w="851" w:type="dxa"/>
          </w:tcPr>
          <w:p w14:paraId="3A4DF879" w14:textId="77777777" w:rsidR="007C6060" w:rsidRPr="00D80BE9" w:rsidRDefault="007C6060" w:rsidP="007C6060">
            <w:pPr>
              <w:spacing w:line="240" w:lineRule="auto"/>
              <w:rPr>
                <w:b/>
                <w:bCs/>
                <w:sz w:val="12"/>
                <w:szCs w:val="14"/>
              </w:rPr>
            </w:pPr>
          </w:p>
        </w:tc>
      </w:tr>
      <w:tr w:rsidR="007C6060" w:rsidRPr="00856FCB" w14:paraId="77E5C555" w14:textId="77777777" w:rsidTr="00AC2186">
        <w:trPr>
          <w:cantSplit/>
        </w:trPr>
        <w:tc>
          <w:tcPr>
            <w:tcW w:w="959" w:type="dxa"/>
            <w:tcBorders>
              <w:top w:val="nil"/>
              <w:bottom w:val="nil"/>
              <w:right w:val="nil"/>
            </w:tcBorders>
          </w:tcPr>
          <w:p w14:paraId="6A74D384"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13</w:t>
            </w:r>
          </w:p>
        </w:tc>
        <w:tc>
          <w:tcPr>
            <w:tcW w:w="2644" w:type="dxa"/>
            <w:gridSpan w:val="11"/>
            <w:tcBorders>
              <w:top w:val="nil"/>
              <w:left w:val="nil"/>
              <w:bottom w:val="nil"/>
              <w:right w:val="nil"/>
            </w:tcBorders>
          </w:tcPr>
          <w:p w14:paraId="1EE3687D" w14:textId="77777777" w:rsidR="007C6060" w:rsidRPr="00856FCB" w:rsidRDefault="007C6060" w:rsidP="007C6060">
            <w:pPr>
              <w:spacing w:line="200" w:lineRule="exact"/>
              <w:rPr>
                <w:b/>
                <w:bCs/>
                <w:sz w:val="16"/>
                <w:szCs w:val="18"/>
              </w:rPr>
            </w:pPr>
            <w:r w:rsidRPr="00856FCB">
              <w:rPr>
                <w:rFonts w:hint="eastAsia"/>
                <w:b/>
                <w:bCs/>
                <w:sz w:val="16"/>
                <w:szCs w:val="18"/>
                <w:rtl/>
              </w:rPr>
              <w:t>התחייבויות</w:t>
            </w:r>
            <w:r w:rsidRPr="00856FCB">
              <w:rPr>
                <w:b/>
                <w:bCs/>
                <w:sz w:val="16"/>
                <w:szCs w:val="18"/>
                <w:rtl/>
              </w:rPr>
              <w:t xml:space="preserve"> </w:t>
            </w:r>
            <w:r w:rsidRPr="00856FCB">
              <w:rPr>
                <w:rFonts w:hint="eastAsia"/>
                <w:b/>
                <w:bCs/>
                <w:sz w:val="16"/>
                <w:szCs w:val="18"/>
                <w:rtl/>
              </w:rPr>
              <w:t>תלויות</w:t>
            </w:r>
            <w:r w:rsidRPr="00856FCB">
              <w:rPr>
                <w:b/>
                <w:bCs/>
                <w:sz w:val="16"/>
                <w:szCs w:val="18"/>
                <w:rtl/>
              </w:rPr>
              <w:t xml:space="preserve"> </w:t>
            </w:r>
            <w:r w:rsidRPr="00856FCB">
              <w:rPr>
                <w:rFonts w:hint="eastAsia"/>
                <w:b/>
                <w:bCs/>
                <w:sz w:val="16"/>
                <w:szCs w:val="18"/>
                <w:rtl/>
              </w:rPr>
              <w:t>והתקשרויות</w:t>
            </w:r>
          </w:p>
        </w:tc>
        <w:tc>
          <w:tcPr>
            <w:tcW w:w="5294" w:type="dxa"/>
            <w:gridSpan w:val="9"/>
            <w:tcBorders>
              <w:top w:val="nil"/>
              <w:left w:val="nil"/>
              <w:bottom w:val="dashSmallGap" w:sz="4" w:space="0" w:color="auto"/>
              <w:right w:val="nil"/>
            </w:tcBorders>
          </w:tcPr>
          <w:p w14:paraId="152C4EB7" w14:textId="77777777" w:rsidR="007C6060" w:rsidRPr="00856FCB" w:rsidRDefault="007C6060" w:rsidP="007C6060">
            <w:pPr>
              <w:spacing w:line="200" w:lineRule="exact"/>
              <w:jc w:val="center"/>
              <w:rPr>
                <w:b/>
                <w:bCs/>
                <w:color w:val="FF0000"/>
                <w:sz w:val="16"/>
                <w:szCs w:val="18"/>
              </w:rPr>
            </w:pPr>
          </w:p>
        </w:tc>
        <w:tc>
          <w:tcPr>
            <w:tcW w:w="851" w:type="dxa"/>
            <w:tcBorders>
              <w:top w:val="nil"/>
              <w:left w:val="nil"/>
              <w:bottom w:val="nil"/>
            </w:tcBorders>
          </w:tcPr>
          <w:p w14:paraId="5FD48B02" w14:textId="6524A77C" w:rsidR="007C6060" w:rsidRPr="00D80BE9" w:rsidRDefault="003700B8" w:rsidP="007C6060">
            <w:pPr>
              <w:spacing w:line="200" w:lineRule="exact"/>
              <w:jc w:val="center"/>
              <w:rPr>
                <w:sz w:val="16"/>
                <w:szCs w:val="18"/>
              </w:rPr>
            </w:pPr>
            <w:r>
              <w:rPr>
                <w:rFonts w:hint="cs"/>
                <w:sz w:val="16"/>
                <w:szCs w:val="18"/>
                <w:rtl/>
              </w:rPr>
              <w:t>51</w:t>
            </w:r>
          </w:p>
        </w:tc>
      </w:tr>
      <w:tr w:rsidR="007C6060" w:rsidRPr="00856FCB" w14:paraId="4C1228FB"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44D04683" w14:textId="77777777" w:rsidR="007C6060" w:rsidRPr="00856FCB" w:rsidRDefault="007C6060" w:rsidP="007C6060">
            <w:pPr>
              <w:spacing w:line="240" w:lineRule="auto"/>
              <w:rPr>
                <w:b/>
                <w:bCs/>
                <w:sz w:val="12"/>
                <w:szCs w:val="14"/>
              </w:rPr>
            </w:pPr>
          </w:p>
        </w:tc>
        <w:tc>
          <w:tcPr>
            <w:tcW w:w="3018" w:type="dxa"/>
            <w:gridSpan w:val="12"/>
          </w:tcPr>
          <w:p w14:paraId="052DFA84" w14:textId="77777777" w:rsidR="007C6060" w:rsidRPr="00856FCB" w:rsidRDefault="007C6060" w:rsidP="007C6060">
            <w:pPr>
              <w:spacing w:line="240" w:lineRule="auto"/>
              <w:rPr>
                <w:b/>
                <w:bCs/>
                <w:sz w:val="12"/>
                <w:szCs w:val="14"/>
              </w:rPr>
            </w:pPr>
          </w:p>
        </w:tc>
        <w:tc>
          <w:tcPr>
            <w:tcW w:w="4920" w:type="dxa"/>
            <w:gridSpan w:val="8"/>
            <w:tcBorders>
              <w:left w:val="nil"/>
              <w:bottom w:val="nil"/>
              <w:right w:val="nil"/>
            </w:tcBorders>
          </w:tcPr>
          <w:p w14:paraId="4FF05525" w14:textId="77777777" w:rsidR="007C6060" w:rsidRPr="00856FCB" w:rsidRDefault="007C6060" w:rsidP="007C6060">
            <w:pPr>
              <w:spacing w:line="240" w:lineRule="auto"/>
              <w:rPr>
                <w:b/>
                <w:bCs/>
                <w:color w:val="FF0000"/>
                <w:sz w:val="12"/>
                <w:szCs w:val="14"/>
              </w:rPr>
            </w:pPr>
          </w:p>
        </w:tc>
        <w:tc>
          <w:tcPr>
            <w:tcW w:w="851" w:type="dxa"/>
          </w:tcPr>
          <w:p w14:paraId="51FF5950" w14:textId="77777777" w:rsidR="007C6060" w:rsidRPr="00D80BE9" w:rsidRDefault="007C6060" w:rsidP="007C6060">
            <w:pPr>
              <w:spacing w:line="240" w:lineRule="auto"/>
              <w:rPr>
                <w:b/>
                <w:bCs/>
                <w:sz w:val="12"/>
                <w:szCs w:val="14"/>
              </w:rPr>
            </w:pPr>
          </w:p>
        </w:tc>
      </w:tr>
      <w:tr w:rsidR="007C6060" w:rsidRPr="00856FCB" w14:paraId="7569C028" w14:textId="77777777" w:rsidTr="00AC2186">
        <w:trPr>
          <w:cantSplit/>
        </w:trPr>
        <w:tc>
          <w:tcPr>
            <w:tcW w:w="959" w:type="dxa"/>
            <w:tcBorders>
              <w:top w:val="nil"/>
              <w:bottom w:val="nil"/>
              <w:right w:val="nil"/>
            </w:tcBorders>
          </w:tcPr>
          <w:p w14:paraId="6FBAF3A2"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14</w:t>
            </w:r>
          </w:p>
        </w:tc>
        <w:tc>
          <w:tcPr>
            <w:tcW w:w="810" w:type="dxa"/>
            <w:tcBorders>
              <w:top w:val="nil"/>
              <w:left w:val="nil"/>
              <w:bottom w:val="nil"/>
              <w:right w:val="nil"/>
            </w:tcBorders>
          </w:tcPr>
          <w:p w14:paraId="72216E82" w14:textId="77777777" w:rsidR="007C6060" w:rsidRPr="00856FCB" w:rsidRDefault="007C6060" w:rsidP="007C6060">
            <w:pPr>
              <w:spacing w:line="200" w:lineRule="exact"/>
              <w:rPr>
                <w:b/>
                <w:bCs/>
                <w:sz w:val="16"/>
                <w:szCs w:val="18"/>
              </w:rPr>
            </w:pPr>
            <w:r w:rsidRPr="00856FCB">
              <w:rPr>
                <w:rFonts w:hint="eastAsia"/>
                <w:b/>
                <w:bCs/>
                <w:sz w:val="16"/>
                <w:szCs w:val="18"/>
                <w:rtl/>
              </w:rPr>
              <w:t>דיבידנד</w:t>
            </w:r>
          </w:p>
        </w:tc>
        <w:tc>
          <w:tcPr>
            <w:tcW w:w="7128" w:type="dxa"/>
            <w:gridSpan w:val="19"/>
            <w:tcBorders>
              <w:top w:val="nil"/>
              <w:left w:val="nil"/>
              <w:bottom w:val="dashSmallGap" w:sz="4" w:space="0" w:color="auto"/>
              <w:right w:val="nil"/>
            </w:tcBorders>
          </w:tcPr>
          <w:p w14:paraId="0799575C" w14:textId="77777777" w:rsidR="007C6060" w:rsidRPr="00856FCB" w:rsidRDefault="007C6060" w:rsidP="007C6060">
            <w:pPr>
              <w:spacing w:line="200" w:lineRule="exact"/>
              <w:jc w:val="center"/>
              <w:rPr>
                <w:b/>
                <w:bCs/>
                <w:color w:val="FF0000"/>
                <w:sz w:val="16"/>
                <w:szCs w:val="18"/>
              </w:rPr>
            </w:pPr>
          </w:p>
        </w:tc>
        <w:tc>
          <w:tcPr>
            <w:tcW w:w="851" w:type="dxa"/>
            <w:tcBorders>
              <w:top w:val="nil"/>
              <w:left w:val="nil"/>
              <w:bottom w:val="nil"/>
            </w:tcBorders>
          </w:tcPr>
          <w:p w14:paraId="20B907B7" w14:textId="32F16046" w:rsidR="007C6060" w:rsidRPr="00D80BE9" w:rsidRDefault="003700B8" w:rsidP="007C6060">
            <w:pPr>
              <w:spacing w:line="200" w:lineRule="exact"/>
              <w:jc w:val="center"/>
              <w:rPr>
                <w:sz w:val="16"/>
                <w:szCs w:val="18"/>
              </w:rPr>
            </w:pPr>
            <w:r>
              <w:rPr>
                <w:rFonts w:hint="cs"/>
                <w:sz w:val="16"/>
                <w:szCs w:val="18"/>
                <w:rtl/>
              </w:rPr>
              <w:t>51</w:t>
            </w:r>
          </w:p>
        </w:tc>
      </w:tr>
      <w:tr w:rsidR="007C6060" w:rsidRPr="00856FCB" w14:paraId="0BDFD671" w14:textId="77777777" w:rsidTr="00AC2186">
        <w:trPr>
          <w:cantSplit/>
        </w:trPr>
        <w:tc>
          <w:tcPr>
            <w:tcW w:w="959" w:type="dxa"/>
            <w:tcBorders>
              <w:top w:val="nil"/>
              <w:bottom w:val="nil"/>
              <w:right w:val="nil"/>
            </w:tcBorders>
          </w:tcPr>
          <w:p w14:paraId="74FDC613" w14:textId="77777777" w:rsidR="007C6060" w:rsidRPr="00856FCB" w:rsidRDefault="007C6060" w:rsidP="007C6060">
            <w:pPr>
              <w:spacing w:line="240" w:lineRule="auto"/>
              <w:rPr>
                <w:b/>
                <w:bCs/>
                <w:sz w:val="12"/>
                <w:szCs w:val="14"/>
              </w:rPr>
            </w:pPr>
          </w:p>
        </w:tc>
        <w:tc>
          <w:tcPr>
            <w:tcW w:w="3018" w:type="dxa"/>
            <w:gridSpan w:val="12"/>
            <w:tcBorders>
              <w:top w:val="nil"/>
              <w:left w:val="nil"/>
              <w:bottom w:val="nil"/>
              <w:right w:val="nil"/>
            </w:tcBorders>
          </w:tcPr>
          <w:p w14:paraId="46A4B75F" w14:textId="77777777" w:rsidR="007C6060" w:rsidRPr="00856FCB" w:rsidRDefault="007C6060" w:rsidP="007C6060">
            <w:pPr>
              <w:spacing w:line="240" w:lineRule="auto"/>
              <w:rPr>
                <w:b/>
                <w:bCs/>
                <w:sz w:val="12"/>
                <w:szCs w:val="14"/>
              </w:rPr>
            </w:pPr>
          </w:p>
        </w:tc>
        <w:tc>
          <w:tcPr>
            <w:tcW w:w="4920" w:type="dxa"/>
            <w:gridSpan w:val="8"/>
            <w:tcBorders>
              <w:top w:val="nil"/>
              <w:left w:val="nil"/>
              <w:bottom w:val="nil"/>
              <w:right w:val="nil"/>
            </w:tcBorders>
          </w:tcPr>
          <w:p w14:paraId="381B83B7"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1298D2E8" w14:textId="77777777" w:rsidR="007C6060" w:rsidRPr="00D80BE9" w:rsidRDefault="007C6060" w:rsidP="007C6060">
            <w:pPr>
              <w:spacing w:line="240" w:lineRule="auto"/>
              <w:rPr>
                <w:b/>
                <w:bCs/>
                <w:sz w:val="12"/>
                <w:szCs w:val="14"/>
              </w:rPr>
            </w:pPr>
          </w:p>
        </w:tc>
      </w:tr>
      <w:tr w:rsidR="007C6060" w:rsidRPr="00856FCB" w14:paraId="2FE8EFC9" w14:textId="77777777" w:rsidTr="00AC2186">
        <w:trPr>
          <w:cantSplit/>
        </w:trPr>
        <w:tc>
          <w:tcPr>
            <w:tcW w:w="959" w:type="dxa"/>
            <w:tcBorders>
              <w:top w:val="nil"/>
              <w:bottom w:val="nil"/>
              <w:right w:val="nil"/>
            </w:tcBorders>
          </w:tcPr>
          <w:p w14:paraId="25325D75" w14:textId="77777777" w:rsidR="007C6060" w:rsidRPr="00856FCB" w:rsidRDefault="007C6060" w:rsidP="007C6060">
            <w:pPr>
              <w:spacing w:line="240" w:lineRule="auto"/>
              <w:rPr>
                <w:b/>
                <w:bCs/>
                <w:sz w:val="16"/>
                <w:szCs w:val="18"/>
              </w:rPr>
            </w:pPr>
            <w:r w:rsidRPr="00856FCB">
              <w:rPr>
                <w:rFonts w:hint="eastAsia"/>
                <w:b/>
                <w:bCs/>
                <w:sz w:val="16"/>
                <w:szCs w:val="18"/>
                <w:rtl/>
              </w:rPr>
              <w:t>באור</w:t>
            </w:r>
            <w:r w:rsidRPr="00856FCB">
              <w:rPr>
                <w:rFonts w:hint="cs"/>
                <w:b/>
                <w:bCs/>
                <w:sz w:val="16"/>
                <w:szCs w:val="18"/>
                <w:rtl/>
              </w:rPr>
              <w:t xml:space="preserve"> </w:t>
            </w:r>
            <w:r w:rsidRPr="00856FCB">
              <w:rPr>
                <w:b/>
                <w:bCs/>
                <w:sz w:val="16"/>
                <w:szCs w:val="18"/>
                <w:rtl/>
              </w:rPr>
              <w:t xml:space="preserve">15 </w:t>
            </w:r>
          </w:p>
        </w:tc>
        <w:tc>
          <w:tcPr>
            <w:tcW w:w="3018" w:type="dxa"/>
            <w:gridSpan w:val="12"/>
            <w:tcBorders>
              <w:top w:val="nil"/>
              <w:left w:val="nil"/>
              <w:bottom w:val="nil"/>
              <w:right w:val="nil"/>
            </w:tcBorders>
          </w:tcPr>
          <w:p w14:paraId="18381205" w14:textId="77777777" w:rsidR="007C6060" w:rsidRPr="00856FCB" w:rsidRDefault="007C6060" w:rsidP="007C6060">
            <w:pPr>
              <w:spacing w:line="240" w:lineRule="auto"/>
              <w:rPr>
                <w:b/>
                <w:bCs/>
                <w:sz w:val="16"/>
                <w:szCs w:val="18"/>
              </w:rPr>
            </w:pPr>
            <w:r w:rsidRPr="00856FCB">
              <w:rPr>
                <w:rFonts w:hint="cs"/>
                <w:b/>
                <w:bCs/>
                <w:sz w:val="16"/>
                <w:szCs w:val="18"/>
                <w:rtl/>
              </w:rPr>
              <w:t>מכשירים פיננסיים</w:t>
            </w:r>
          </w:p>
        </w:tc>
        <w:tc>
          <w:tcPr>
            <w:tcW w:w="4920" w:type="dxa"/>
            <w:gridSpan w:val="8"/>
            <w:tcBorders>
              <w:top w:val="nil"/>
              <w:left w:val="nil"/>
              <w:bottom w:val="dashSmallGap" w:sz="4" w:space="0" w:color="auto"/>
              <w:right w:val="nil"/>
            </w:tcBorders>
          </w:tcPr>
          <w:p w14:paraId="3A180C5A"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479EBDEC" w14:textId="3CD47105" w:rsidR="007C6060" w:rsidRPr="00D80BE9" w:rsidRDefault="003700B8" w:rsidP="007C6060">
            <w:pPr>
              <w:spacing w:line="200" w:lineRule="exact"/>
              <w:jc w:val="center"/>
              <w:rPr>
                <w:b/>
                <w:bCs/>
                <w:sz w:val="12"/>
                <w:szCs w:val="14"/>
              </w:rPr>
            </w:pPr>
            <w:r>
              <w:rPr>
                <w:rFonts w:hint="cs"/>
                <w:sz w:val="16"/>
                <w:szCs w:val="18"/>
                <w:rtl/>
              </w:rPr>
              <w:t>52</w:t>
            </w:r>
          </w:p>
        </w:tc>
      </w:tr>
      <w:tr w:rsidR="007C6060" w:rsidRPr="00856FCB" w14:paraId="1CE0DF1B" w14:textId="77777777" w:rsidTr="00AC2186">
        <w:trPr>
          <w:cantSplit/>
        </w:trPr>
        <w:tc>
          <w:tcPr>
            <w:tcW w:w="959" w:type="dxa"/>
            <w:tcBorders>
              <w:top w:val="nil"/>
              <w:bottom w:val="nil"/>
              <w:right w:val="nil"/>
            </w:tcBorders>
          </w:tcPr>
          <w:p w14:paraId="1643BED3" w14:textId="77777777" w:rsidR="007C6060" w:rsidRPr="00856FCB" w:rsidRDefault="007C6060" w:rsidP="007C6060">
            <w:pPr>
              <w:spacing w:line="240" w:lineRule="auto"/>
              <w:rPr>
                <w:b/>
                <w:bCs/>
                <w:sz w:val="12"/>
                <w:szCs w:val="14"/>
              </w:rPr>
            </w:pPr>
          </w:p>
        </w:tc>
        <w:tc>
          <w:tcPr>
            <w:tcW w:w="3018" w:type="dxa"/>
            <w:gridSpan w:val="12"/>
            <w:tcBorders>
              <w:top w:val="nil"/>
              <w:left w:val="nil"/>
              <w:bottom w:val="nil"/>
              <w:right w:val="nil"/>
            </w:tcBorders>
          </w:tcPr>
          <w:p w14:paraId="3FFC5F19" w14:textId="77777777" w:rsidR="007C6060" w:rsidRPr="00856FCB" w:rsidRDefault="007C6060" w:rsidP="007C6060">
            <w:pPr>
              <w:spacing w:line="240" w:lineRule="auto"/>
              <w:rPr>
                <w:b/>
                <w:bCs/>
                <w:sz w:val="12"/>
                <w:szCs w:val="14"/>
              </w:rPr>
            </w:pPr>
          </w:p>
        </w:tc>
        <w:tc>
          <w:tcPr>
            <w:tcW w:w="4920" w:type="dxa"/>
            <w:gridSpan w:val="8"/>
            <w:tcBorders>
              <w:top w:val="dashSmallGap" w:sz="4" w:space="0" w:color="auto"/>
              <w:left w:val="nil"/>
              <w:bottom w:val="nil"/>
              <w:right w:val="nil"/>
            </w:tcBorders>
          </w:tcPr>
          <w:p w14:paraId="4FD90FA2"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5539939D" w14:textId="77777777" w:rsidR="007C6060" w:rsidRPr="00D80BE9" w:rsidRDefault="007C6060" w:rsidP="007C6060">
            <w:pPr>
              <w:spacing w:line="240" w:lineRule="auto"/>
              <w:rPr>
                <w:b/>
                <w:bCs/>
                <w:sz w:val="12"/>
                <w:szCs w:val="14"/>
              </w:rPr>
            </w:pPr>
          </w:p>
        </w:tc>
      </w:tr>
      <w:tr w:rsidR="007C6060" w:rsidRPr="00856FCB" w14:paraId="009BCE24" w14:textId="77777777" w:rsidTr="00AC2186">
        <w:trPr>
          <w:cantSplit/>
        </w:trPr>
        <w:tc>
          <w:tcPr>
            <w:tcW w:w="959" w:type="dxa"/>
            <w:tcBorders>
              <w:top w:val="nil"/>
              <w:bottom w:val="nil"/>
              <w:right w:val="nil"/>
            </w:tcBorders>
          </w:tcPr>
          <w:p w14:paraId="79DBC5F4"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16</w:t>
            </w:r>
          </w:p>
        </w:tc>
        <w:tc>
          <w:tcPr>
            <w:tcW w:w="1258" w:type="dxa"/>
            <w:gridSpan w:val="2"/>
            <w:tcBorders>
              <w:top w:val="nil"/>
              <w:left w:val="nil"/>
              <w:bottom w:val="nil"/>
              <w:right w:val="nil"/>
            </w:tcBorders>
          </w:tcPr>
          <w:p w14:paraId="7F4615DA" w14:textId="77777777" w:rsidR="007C6060" w:rsidRPr="00856FCB" w:rsidRDefault="007C6060" w:rsidP="007C6060">
            <w:pPr>
              <w:spacing w:line="200" w:lineRule="exact"/>
              <w:rPr>
                <w:b/>
                <w:bCs/>
                <w:sz w:val="16"/>
                <w:szCs w:val="18"/>
              </w:rPr>
            </w:pPr>
            <w:r w:rsidRPr="00856FCB">
              <w:rPr>
                <w:rFonts w:hint="eastAsia"/>
                <w:b/>
                <w:bCs/>
                <w:sz w:val="16"/>
                <w:szCs w:val="18"/>
                <w:rtl/>
              </w:rPr>
              <w:t>מגזרי</w:t>
            </w:r>
            <w:r w:rsidRPr="00856FCB">
              <w:rPr>
                <w:b/>
                <w:bCs/>
                <w:sz w:val="16"/>
                <w:szCs w:val="18"/>
                <w:rtl/>
              </w:rPr>
              <w:t xml:space="preserve"> פעילות</w:t>
            </w:r>
          </w:p>
        </w:tc>
        <w:tc>
          <w:tcPr>
            <w:tcW w:w="6680" w:type="dxa"/>
            <w:gridSpan w:val="18"/>
            <w:tcBorders>
              <w:top w:val="nil"/>
              <w:left w:val="nil"/>
              <w:bottom w:val="dashSmallGap" w:sz="4" w:space="0" w:color="auto"/>
              <w:right w:val="nil"/>
            </w:tcBorders>
          </w:tcPr>
          <w:p w14:paraId="3EC141E8" w14:textId="77777777" w:rsidR="007C6060" w:rsidRPr="00856FCB" w:rsidRDefault="007C6060" w:rsidP="007C6060">
            <w:pPr>
              <w:spacing w:line="200" w:lineRule="exact"/>
              <w:jc w:val="center"/>
              <w:rPr>
                <w:b/>
                <w:bCs/>
                <w:color w:val="FF0000"/>
                <w:sz w:val="16"/>
                <w:szCs w:val="18"/>
              </w:rPr>
            </w:pPr>
          </w:p>
        </w:tc>
        <w:tc>
          <w:tcPr>
            <w:tcW w:w="851" w:type="dxa"/>
            <w:tcBorders>
              <w:top w:val="nil"/>
              <w:left w:val="nil"/>
              <w:bottom w:val="nil"/>
            </w:tcBorders>
          </w:tcPr>
          <w:p w14:paraId="170A48E9" w14:textId="4C561791" w:rsidR="007C6060" w:rsidRPr="00D80BE9" w:rsidRDefault="003700B8" w:rsidP="007C6060">
            <w:pPr>
              <w:spacing w:line="200" w:lineRule="exact"/>
              <w:jc w:val="center"/>
              <w:rPr>
                <w:sz w:val="16"/>
                <w:szCs w:val="18"/>
              </w:rPr>
            </w:pPr>
            <w:r>
              <w:rPr>
                <w:rFonts w:hint="cs"/>
                <w:sz w:val="16"/>
                <w:szCs w:val="18"/>
                <w:rtl/>
              </w:rPr>
              <w:t>57</w:t>
            </w:r>
          </w:p>
        </w:tc>
      </w:tr>
      <w:tr w:rsidR="007C6060" w:rsidRPr="00856FCB" w14:paraId="743CCDDA"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743FF718" w14:textId="77777777" w:rsidR="007C6060" w:rsidRPr="00856FCB" w:rsidRDefault="007C6060" w:rsidP="007C6060">
            <w:pPr>
              <w:spacing w:line="240" w:lineRule="auto"/>
              <w:rPr>
                <w:b/>
                <w:bCs/>
                <w:sz w:val="12"/>
                <w:szCs w:val="14"/>
              </w:rPr>
            </w:pPr>
          </w:p>
        </w:tc>
        <w:tc>
          <w:tcPr>
            <w:tcW w:w="3018" w:type="dxa"/>
            <w:gridSpan w:val="12"/>
          </w:tcPr>
          <w:p w14:paraId="54F74084" w14:textId="77777777" w:rsidR="007C6060" w:rsidRPr="00856FCB" w:rsidRDefault="007C6060" w:rsidP="007C6060">
            <w:pPr>
              <w:spacing w:line="240" w:lineRule="auto"/>
              <w:rPr>
                <w:b/>
                <w:bCs/>
                <w:sz w:val="12"/>
                <w:szCs w:val="14"/>
              </w:rPr>
            </w:pPr>
          </w:p>
        </w:tc>
        <w:tc>
          <w:tcPr>
            <w:tcW w:w="4920" w:type="dxa"/>
            <w:gridSpan w:val="8"/>
          </w:tcPr>
          <w:p w14:paraId="2C72E371" w14:textId="77777777" w:rsidR="007C6060" w:rsidRPr="00856FCB" w:rsidRDefault="007C6060" w:rsidP="007C6060">
            <w:pPr>
              <w:spacing w:line="240" w:lineRule="auto"/>
              <w:rPr>
                <w:b/>
                <w:bCs/>
                <w:color w:val="FF0000"/>
                <w:sz w:val="12"/>
                <w:szCs w:val="14"/>
              </w:rPr>
            </w:pPr>
          </w:p>
        </w:tc>
        <w:tc>
          <w:tcPr>
            <w:tcW w:w="851" w:type="dxa"/>
          </w:tcPr>
          <w:p w14:paraId="4E8C3792" w14:textId="77777777" w:rsidR="007C6060" w:rsidRPr="00D80BE9" w:rsidRDefault="007C6060" w:rsidP="007C6060">
            <w:pPr>
              <w:spacing w:line="240" w:lineRule="auto"/>
              <w:rPr>
                <w:b/>
                <w:bCs/>
                <w:sz w:val="12"/>
                <w:szCs w:val="14"/>
              </w:rPr>
            </w:pPr>
          </w:p>
        </w:tc>
      </w:tr>
      <w:tr w:rsidR="007C6060" w:rsidRPr="00856FCB" w14:paraId="557BD4C5"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5BB22106" w14:textId="77777777" w:rsidR="007C6060" w:rsidRPr="00856FCB" w:rsidRDefault="007C6060" w:rsidP="007C6060">
            <w:pPr>
              <w:tabs>
                <w:tab w:val="left" w:pos="91"/>
              </w:tabs>
              <w:spacing w:line="200" w:lineRule="exact"/>
              <w:rPr>
                <w:rFonts w:cs="Times New Roman"/>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17</w:t>
            </w:r>
          </w:p>
        </w:tc>
        <w:tc>
          <w:tcPr>
            <w:tcW w:w="6794" w:type="dxa"/>
            <w:gridSpan w:val="19"/>
          </w:tcPr>
          <w:p w14:paraId="5BA9D4B2" w14:textId="77777777" w:rsidR="007C6060" w:rsidRPr="00856FCB" w:rsidRDefault="007C6060" w:rsidP="007C6060">
            <w:pPr>
              <w:spacing w:line="200" w:lineRule="exact"/>
              <w:rPr>
                <w:b/>
                <w:bCs/>
                <w:sz w:val="16"/>
                <w:szCs w:val="18"/>
              </w:rPr>
            </w:pPr>
            <w:r w:rsidRPr="00856FCB">
              <w:rPr>
                <w:rFonts w:hint="eastAsia"/>
                <w:b/>
                <w:bCs/>
                <w:sz w:val="16"/>
                <w:szCs w:val="18"/>
                <w:rtl/>
              </w:rPr>
              <w:t>צירוף</w:t>
            </w:r>
            <w:r w:rsidRPr="00856FCB">
              <w:rPr>
                <w:b/>
                <w:bCs/>
                <w:sz w:val="16"/>
                <w:szCs w:val="18"/>
                <w:rtl/>
              </w:rPr>
              <w:t xml:space="preserve"> </w:t>
            </w:r>
            <w:r w:rsidRPr="00856FCB">
              <w:rPr>
                <w:rFonts w:hint="eastAsia"/>
                <w:b/>
                <w:bCs/>
                <w:sz w:val="16"/>
                <w:szCs w:val="18"/>
                <w:rtl/>
              </w:rPr>
              <w:t>דוחות</w:t>
            </w:r>
            <w:r w:rsidRPr="00856FCB">
              <w:rPr>
                <w:b/>
                <w:bCs/>
                <w:sz w:val="16"/>
                <w:szCs w:val="18"/>
                <w:rtl/>
              </w:rPr>
              <w:t xml:space="preserve"> </w:t>
            </w:r>
            <w:r w:rsidRPr="00856FCB">
              <w:rPr>
                <w:rFonts w:hint="eastAsia"/>
                <w:b/>
                <w:bCs/>
                <w:sz w:val="16"/>
                <w:szCs w:val="18"/>
                <w:rtl/>
              </w:rPr>
              <w:t>כספיים</w:t>
            </w:r>
            <w:r w:rsidRPr="00856FCB">
              <w:rPr>
                <w:b/>
                <w:bCs/>
                <w:sz w:val="16"/>
                <w:szCs w:val="18"/>
                <w:rtl/>
              </w:rPr>
              <w:t xml:space="preserve"> </w:t>
            </w:r>
            <w:r w:rsidRPr="00856FCB">
              <w:rPr>
                <w:rFonts w:hint="cs"/>
                <w:b/>
                <w:bCs/>
                <w:sz w:val="16"/>
                <w:szCs w:val="18"/>
                <w:rtl/>
              </w:rPr>
              <w:t xml:space="preserve">או מידע תמציתי </w:t>
            </w:r>
            <w:r w:rsidRPr="00856FCB">
              <w:rPr>
                <w:rFonts w:hint="eastAsia"/>
                <w:b/>
                <w:bCs/>
                <w:sz w:val="16"/>
                <w:szCs w:val="18"/>
                <w:rtl/>
              </w:rPr>
              <w:t>של</w:t>
            </w:r>
            <w:r w:rsidRPr="00856FCB">
              <w:rPr>
                <w:b/>
                <w:bCs/>
                <w:sz w:val="16"/>
                <w:szCs w:val="18"/>
                <w:rtl/>
              </w:rPr>
              <w:t xml:space="preserve"> </w:t>
            </w:r>
            <w:r w:rsidRPr="00856FCB">
              <w:rPr>
                <w:rFonts w:hint="eastAsia"/>
                <w:b/>
                <w:bCs/>
                <w:sz w:val="16"/>
                <w:szCs w:val="18"/>
                <w:rtl/>
              </w:rPr>
              <w:t>חברות</w:t>
            </w:r>
            <w:r w:rsidRPr="00856FCB">
              <w:rPr>
                <w:b/>
                <w:bCs/>
                <w:sz w:val="16"/>
                <w:szCs w:val="18"/>
                <w:rtl/>
              </w:rPr>
              <w:t xml:space="preserve"> </w:t>
            </w:r>
            <w:r w:rsidRPr="00856FCB">
              <w:rPr>
                <w:rFonts w:hint="eastAsia"/>
                <w:b/>
                <w:bCs/>
                <w:sz w:val="16"/>
                <w:szCs w:val="18"/>
                <w:rtl/>
              </w:rPr>
              <w:t>כלולות</w:t>
            </w:r>
            <w:r w:rsidRPr="00856FCB">
              <w:rPr>
                <w:b/>
                <w:bCs/>
                <w:sz w:val="16"/>
                <w:szCs w:val="18"/>
                <w:rtl/>
              </w:rPr>
              <w:t xml:space="preserve"> וחברות בשליטה </w:t>
            </w:r>
            <w:r w:rsidRPr="00856FCB">
              <w:rPr>
                <w:rFonts w:hint="eastAsia"/>
                <w:b/>
                <w:bCs/>
                <w:sz w:val="16"/>
                <w:szCs w:val="18"/>
                <w:rtl/>
              </w:rPr>
              <w:t>משותפת</w:t>
            </w:r>
            <w:r w:rsidRPr="00856FCB">
              <w:rPr>
                <w:b/>
                <w:bCs/>
                <w:sz w:val="16"/>
                <w:szCs w:val="18"/>
                <w:rtl/>
              </w:rPr>
              <w:t xml:space="preserve"> </w:t>
            </w:r>
          </w:p>
        </w:tc>
        <w:tc>
          <w:tcPr>
            <w:tcW w:w="1144" w:type="dxa"/>
            <w:tcBorders>
              <w:top w:val="nil"/>
              <w:left w:val="nil"/>
              <w:right w:val="nil"/>
            </w:tcBorders>
          </w:tcPr>
          <w:p w14:paraId="1D5191A0" w14:textId="77777777" w:rsidR="007C6060" w:rsidRPr="00856FCB" w:rsidRDefault="007C6060" w:rsidP="007C6060">
            <w:pPr>
              <w:spacing w:line="200" w:lineRule="exact"/>
              <w:jc w:val="center"/>
              <w:rPr>
                <w:color w:val="FF0000"/>
                <w:sz w:val="16"/>
                <w:szCs w:val="18"/>
              </w:rPr>
            </w:pPr>
          </w:p>
        </w:tc>
        <w:tc>
          <w:tcPr>
            <w:tcW w:w="851" w:type="dxa"/>
            <w:vAlign w:val="bottom"/>
          </w:tcPr>
          <w:p w14:paraId="5D4C5C3F" w14:textId="75AB9674" w:rsidR="007C6060" w:rsidRPr="00D80BE9" w:rsidRDefault="003700B8" w:rsidP="007C6060">
            <w:pPr>
              <w:spacing w:line="200" w:lineRule="exact"/>
              <w:jc w:val="center"/>
              <w:rPr>
                <w:sz w:val="16"/>
                <w:szCs w:val="18"/>
              </w:rPr>
            </w:pPr>
            <w:r>
              <w:rPr>
                <w:rFonts w:hint="cs"/>
                <w:sz w:val="16"/>
                <w:szCs w:val="18"/>
                <w:rtl/>
              </w:rPr>
              <w:t>64</w:t>
            </w:r>
          </w:p>
        </w:tc>
      </w:tr>
      <w:tr w:rsidR="007C6060" w:rsidRPr="00856FCB" w14:paraId="2FB2648E" w14:textId="77777777" w:rsidTr="00AC2186">
        <w:trPr>
          <w:cantSplit/>
        </w:trPr>
        <w:tc>
          <w:tcPr>
            <w:tcW w:w="959" w:type="dxa"/>
            <w:tcBorders>
              <w:top w:val="nil"/>
              <w:bottom w:val="nil"/>
              <w:right w:val="nil"/>
            </w:tcBorders>
          </w:tcPr>
          <w:p w14:paraId="0A9E7B63" w14:textId="77777777" w:rsidR="007C6060" w:rsidRPr="00856FCB" w:rsidRDefault="007C6060" w:rsidP="007C6060">
            <w:pPr>
              <w:spacing w:line="200" w:lineRule="exact"/>
              <w:rPr>
                <w:b/>
                <w:bCs/>
                <w:sz w:val="16"/>
                <w:szCs w:val="18"/>
              </w:rPr>
            </w:pPr>
          </w:p>
        </w:tc>
        <w:tc>
          <w:tcPr>
            <w:tcW w:w="3686" w:type="dxa"/>
            <w:gridSpan w:val="15"/>
            <w:tcBorders>
              <w:top w:val="nil"/>
              <w:left w:val="nil"/>
              <w:bottom w:val="nil"/>
              <w:right w:val="nil"/>
            </w:tcBorders>
          </w:tcPr>
          <w:p w14:paraId="7CF03511" w14:textId="77777777" w:rsidR="007C6060" w:rsidRPr="00856FCB" w:rsidRDefault="007C6060" w:rsidP="007C6060">
            <w:pPr>
              <w:spacing w:line="200" w:lineRule="exact"/>
              <w:rPr>
                <w:b/>
                <w:bCs/>
                <w:sz w:val="16"/>
                <w:szCs w:val="18"/>
              </w:rPr>
            </w:pPr>
            <w:r w:rsidRPr="00856FCB">
              <w:rPr>
                <w:rFonts w:hint="eastAsia"/>
                <w:b/>
                <w:bCs/>
                <w:sz w:val="16"/>
                <w:szCs w:val="18"/>
                <w:rtl/>
              </w:rPr>
              <w:t>המטופלות</w:t>
            </w:r>
            <w:r w:rsidRPr="00856FCB">
              <w:rPr>
                <w:b/>
                <w:bCs/>
                <w:sz w:val="16"/>
                <w:szCs w:val="18"/>
                <w:rtl/>
              </w:rPr>
              <w:t xml:space="preserve"> </w:t>
            </w:r>
            <w:r w:rsidRPr="00856FCB">
              <w:rPr>
                <w:rFonts w:hint="eastAsia"/>
                <w:b/>
                <w:bCs/>
                <w:sz w:val="16"/>
                <w:szCs w:val="18"/>
                <w:rtl/>
              </w:rPr>
              <w:t>לפי</w:t>
            </w:r>
            <w:r w:rsidRPr="00856FCB">
              <w:rPr>
                <w:b/>
                <w:bCs/>
                <w:sz w:val="16"/>
                <w:szCs w:val="18"/>
                <w:rtl/>
              </w:rPr>
              <w:t xml:space="preserve"> </w:t>
            </w:r>
            <w:r w:rsidRPr="00856FCB">
              <w:rPr>
                <w:rFonts w:hint="eastAsia"/>
                <w:b/>
                <w:bCs/>
                <w:sz w:val="16"/>
                <w:szCs w:val="18"/>
                <w:rtl/>
              </w:rPr>
              <w:t>שיטת</w:t>
            </w:r>
            <w:r w:rsidRPr="00856FCB">
              <w:rPr>
                <w:b/>
                <w:bCs/>
                <w:sz w:val="16"/>
                <w:szCs w:val="18"/>
                <w:rtl/>
              </w:rPr>
              <w:t xml:space="preserve"> </w:t>
            </w:r>
            <w:r w:rsidRPr="00856FCB">
              <w:rPr>
                <w:rFonts w:hint="eastAsia"/>
                <w:b/>
                <w:bCs/>
                <w:sz w:val="16"/>
                <w:szCs w:val="18"/>
                <w:rtl/>
              </w:rPr>
              <w:t>השווי</w:t>
            </w:r>
            <w:r w:rsidRPr="00856FCB">
              <w:rPr>
                <w:b/>
                <w:bCs/>
                <w:sz w:val="16"/>
                <w:szCs w:val="18"/>
                <w:rtl/>
              </w:rPr>
              <w:t xml:space="preserve"> </w:t>
            </w:r>
            <w:r w:rsidRPr="00856FCB">
              <w:rPr>
                <w:rFonts w:hint="eastAsia"/>
                <w:b/>
                <w:bCs/>
                <w:sz w:val="16"/>
                <w:szCs w:val="18"/>
                <w:rtl/>
              </w:rPr>
              <w:t>המאזני</w:t>
            </w:r>
          </w:p>
        </w:tc>
        <w:tc>
          <w:tcPr>
            <w:tcW w:w="4252" w:type="dxa"/>
            <w:gridSpan w:val="5"/>
            <w:tcBorders>
              <w:top w:val="nil"/>
              <w:left w:val="nil"/>
              <w:bottom w:val="dashSmallGap" w:sz="4" w:space="0" w:color="auto"/>
              <w:right w:val="nil"/>
            </w:tcBorders>
          </w:tcPr>
          <w:p w14:paraId="2630BE8B" w14:textId="77777777" w:rsidR="007C6060" w:rsidRPr="00856FCB" w:rsidRDefault="007C6060" w:rsidP="007C6060">
            <w:pPr>
              <w:spacing w:line="200" w:lineRule="exact"/>
              <w:jc w:val="center"/>
              <w:rPr>
                <w:color w:val="FF0000"/>
                <w:sz w:val="16"/>
                <w:szCs w:val="18"/>
              </w:rPr>
            </w:pPr>
          </w:p>
        </w:tc>
        <w:tc>
          <w:tcPr>
            <w:tcW w:w="851" w:type="dxa"/>
            <w:tcBorders>
              <w:top w:val="nil"/>
              <w:left w:val="nil"/>
              <w:bottom w:val="nil"/>
            </w:tcBorders>
          </w:tcPr>
          <w:p w14:paraId="370AAD98" w14:textId="15355CD4" w:rsidR="007C6060" w:rsidRPr="00D80BE9" w:rsidRDefault="007C6060" w:rsidP="007C6060">
            <w:pPr>
              <w:spacing w:line="200" w:lineRule="exact"/>
              <w:jc w:val="center"/>
              <w:rPr>
                <w:sz w:val="16"/>
                <w:szCs w:val="18"/>
              </w:rPr>
            </w:pPr>
          </w:p>
        </w:tc>
      </w:tr>
      <w:tr w:rsidR="007C6060" w:rsidRPr="00856FCB" w14:paraId="31C6F6BE" w14:textId="77777777" w:rsidTr="00AC2186">
        <w:trPr>
          <w:cantSplit/>
        </w:trPr>
        <w:tc>
          <w:tcPr>
            <w:tcW w:w="959" w:type="dxa"/>
            <w:tcBorders>
              <w:top w:val="nil"/>
              <w:bottom w:val="nil"/>
              <w:right w:val="nil"/>
            </w:tcBorders>
          </w:tcPr>
          <w:p w14:paraId="69C8683C" w14:textId="77777777" w:rsidR="007C6060" w:rsidRPr="00856FCB" w:rsidRDefault="007C6060" w:rsidP="007C6060">
            <w:pPr>
              <w:spacing w:line="240" w:lineRule="auto"/>
              <w:rPr>
                <w:b/>
                <w:bCs/>
                <w:sz w:val="12"/>
                <w:szCs w:val="14"/>
              </w:rPr>
            </w:pPr>
          </w:p>
        </w:tc>
        <w:tc>
          <w:tcPr>
            <w:tcW w:w="2126" w:type="dxa"/>
            <w:gridSpan w:val="8"/>
            <w:tcBorders>
              <w:top w:val="nil"/>
              <w:left w:val="nil"/>
              <w:bottom w:val="nil"/>
              <w:right w:val="nil"/>
            </w:tcBorders>
          </w:tcPr>
          <w:p w14:paraId="4853BF08" w14:textId="77777777" w:rsidR="007C6060" w:rsidRPr="00856FCB" w:rsidRDefault="007C6060" w:rsidP="007C6060">
            <w:pPr>
              <w:spacing w:line="240" w:lineRule="auto"/>
              <w:rPr>
                <w:b/>
                <w:bCs/>
                <w:sz w:val="12"/>
                <w:szCs w:val="14"/>
              </w:rPr>
            </w:pPr>
          </w:p>
        </w:tc>
        <w:tc>
          <w:tcPr>
            <w:tcW w:w="5812" w:type="dxa"/>
            <w:gridSpan w:val="12"/>
            <w:tcBorders>
              <w:top w:val="nil"/>
              <w:left w:val="nil"/>
              <w:bottom w:val="nil"/>
              <w:right w:val="nil"/>
            </w:tcBorders>
          </w:tcPr>
          <w:p w14:paraId="4FD46BB3"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23348B0B" w14:textId="77777777" w:rsidR="007C6060" w:rsidRPr="00D80BE9" w:rsidRDefault="007C6060" w:rsidP="007C6060">
            <w:pPr>
              <w:spacing w:line="240" w:lineRule="auto"/>
              <w:rPr>
                <w:b/>
                <w:bCs/>
                <w:sz w:val="12"/>
                <w:szCs w:val="14"/>
              </w:rPr>
            </w:pPr>
          </w:p>
        </w:tc>
      </w:tr>
      <w:tr w:rsidR="007C6060" w:rsidRPr="00856FCB" w14:paraId="160ACF4E" w14:textId="77777777" w:rsidTr="00AC2186">
        <w:trPr>
          <w:cantSplit/>
        </w:trPr>
        <w:tc>
          <w:tcPr>
            <w:tcW w:w="959" w:type="dxa"/>
            <w:tcBorders>
              <w:top w:val="nil"/>
              <w:bottom w:val="nil"/>
              <w:right w:val="nil"/>
            </w:tcBorders>
          </w:tcPr>
          <w:p w14:paraId="38F4B762"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18</w:t>
            </w:r>
          </w:p>
        </w:tc>
        <w:tc>
          <w:tcPr>
            <w:tcW w:w="2410" w:type="dxa"/>
            <w:gridSpan w:val="9"/>
            <w:tcBorders>
              <w:top w:val="nil"/>
              <w:left w:val="nil"/>
              <w:bottom w:val="nil"/>
              <w:right w:val="nil"/>
            </w:tcBorders>
          </w:tcPr>
          <w:p w14:paraId="1F2BF4B5" w14:textId="77777777" w:rsidR="007C6060" w:rsidRPr="00856FCB" w:rsidRDefault="007C6060" w:rsidP="007C6060">
            <w:pPr>
              <w:spacing w:line="200" w:lineRule="exact"/>
              <w:rPr>
                <w:b/>
                <w:bCs/>
                <w:sz w:val="16"/>
                <w:szCs w:val="18"/>
              </w:rPr>
            </w:pPr>
            <w:r w:rsidRPr="00856FCB">
              <w:rPr>
                <w:rFonts w:hint="eastAsia"/>
                <w:b/>
                <w:bCs/>
                <w:sz w:val="16"/>
                <w:szCs w:val="18"/>
                <w:rtl/>
              </w:rPr>
              <w:t>אירועים</w:t>
            </w:r>
            <w:r w:rsidRPr="00856FCB">
              <w:rPr>
                <w:b/>
                <w:bCs/>
                <w:sz w:val="16"/>
                <w:szCs w:val="18"/>
                <w:rtl/>
              </w:rPr>
              <w:t xml:space="preserve"> לאחר </w:t>
            </w:r>
            <w:r w:rsidRPr="00856FCB">
              <w:rPr>
                <w:rFonts w:hint="eastAsia"/>
                <w:b/>
                <w:bCs/>
                <w:sz w:val="16"/>
                <w:szCs w:val="18"/>
                <w:rtl/>
              </w:rPr>
              <w:t>תקופת</w:t>
            </w:r>
            <w:r w:rsidRPr="00856FCB">
              <w:rPr>
                <w:b/>
                <w:bCs/>
                <w:sz w:val="16"/>
                <w:szCs w:val="18"/>
                <w:rtl/>
              </w:rPr>
              <w:t xml:space="preserve"> </w:t>
            </w:r>
            <w:r w:rsidRPr="00856FCB">
              <w:rPr>
                <w:rFonts w:hint="eastAsia"/>
                <w:b/>
                <w:bCs/>
                <w:sz w:val="16"/>
                <w:szCs w:val="18"/>
                <w:rtl/>
              </w:rPr>
              <w:t>הדיווח</w:t>
            </w:r>
          </w:p>
        </w:tc>
        <w:tc>
          <w:tcPr>
            <w:tcW w:w="5528" w:type="dxa"/>
            <w:gridSpan w:val="11"/>
            <w:tcBorders>
              <w:top w:val="nil"/>
              <w:left w:val="nil"/>
              <w:bottom w:val="dashSmallGap" w:sz="4" w:space="0" w:color="auto"/>
              <w:right w:val="nil"/>
            </w:tcBorders>
          </w:tcPr>
          <w:p w14:paraId="74578FE1" w14:textId="77777777" w:rsidR="007C6060" w:rsidRPr="00856FCB" w:rsidRDefault="007C6060" w:rsidP="007C6060">
            <w:pPr>
              <w:spacing w:line="200" w:lineRule="exact"/>
              <w:jc w:val="center"/>
              <w:rPr>
                <w:color w:val="FF0000"/>
                <w:sz w:val="16"/>
                <w:szCs w:val="18"/>
              </w:rPr>
            </w:pPr>
          </w:p>
        </w:tc>
        <w:tc>
          <w:tcPr>
            <w:tcW w:w="851" w:type="dxa"/>
            <w:tcBorders>
              <w:top w:val="nil"/>
              <w:left w:val="nil"/>
              <w:bottom w:val="nil"/>
            </w:tcBorders>
          </w:tcPr>
          <w:p w14:paraId="5E37998E" w14:textId="4F91679D" w:rsidR="007C6060" w:rsidRPr="00D80BE9" w:rsidRDefault="003700B8" w:rsidP="007C6060">
            <w:pPr>
              <w:spacing w:line="200" w:lineRule="exact"/>
              <w:jc w:val="center"/>
              <w:rPr>
                <w:sz w:val="16"/>
                <w:szCs w:val="18"/>
              </w:rPr>
            </w:pPr>
            <w:r>
              <w:rPr>
                <w:rFonts w:hint="cs"/>
                <w:sz w:val="16"/>
                <w:szCs w:val="18"/>
                <w:rtl/>
              </w:rPr>
              <w:t>66</w:t>
            </w:r>
          </w:p>
        </w:tc>
      </w:tr>
      <w:tr w:rsidR="007C6060" w:rsidRPr="00856FCB" w14:paraId="32F3A8DB" w14:textId="77777777" w:rsidTr="00AC2186">
        <w:trPr>
          <w:cantSplit/>
        </w:trPr>
        <w:tc>
          <w:tcPr>
            <w:tcW w:w="959" w:type="dxa"/>
            <w:tcBorders>
              <w:top w:val="nil"/>
              <w:bottom w:val="nil"/>
              <w:right w:val="nil"/>
            </w:tcBorders>
          </w:tcPr>
          <w:p w14:paraId="37BF9A56" w14:textId="77777777" w:rsidR="007C6060" w:rsidRPr="00856FCB" w:rsidRDefault="007C6060" w:rsidP="007C6060">
            <w:pPr>
              <w:spacing w:line="240" w:lineRule="auto"/>
              <w:rPr>
                <w:b/>
                <w:bCs/>
                <w:sz w:val="12"/>
                <w:szCs w:val="14"/>
              </w:rPr>
            </w:pPr>
          </w:p>
        </w:tc>
        <w:tc>
          <w:tcPr>
            <w:tcW w:w="2126" w:type="dxa"/>
            <w:gridSpan w:val="8"/>
            <w:tcBorders>
              <w:top w:val="nil"/>
              <w:left w:val="nil"/>
              <w:bottom w:val="nil"/>
              <w:right w:val="nil"/>
            </w:tcBorders>
          </w:tcPr>
          <w:p w14:paraId="4C909528" w14:textId="77777777" w:rsidR="007C6060" w:rsidRPr="00856FCB" w:rsidRDefault="007C6060" w:rsidP="007C6060">
            <w:pPr>
              <w:spacing w:line="240" w:lineRule="auto"/>
              <w:rPr>
                <w:b/>
                <w:bCs/>
                <w:sz w:val="12"/>
                <w:szCs w:val="14"/>
              </w:rPr>
            </w:pPr>
          </w:p>
        </w:tc>
        <w:tc>
          <w:tcPr>
            <w:tcW w:w="5812" w:type="dxa"/>
            <w:gridSpan w:val="12"/>
            <w:tcBorders>
              <w:top w:val="nil"/>
              <w:left w:val="nil"/>
              <w:bottom w:val="nil"/>
              <w:right w:val="nil"/>
            </w:tcBorders>
          </w:tcPr>
          <w:p w14:paraId="61B6F70C"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43306731" w14:textId="77777777" w:rsidR="007C6060" w:rsidRPr="00D80BE9" w:rsidRDefault="007C6060" w:rsidP="007C6060">
            <w:pPr>
              <w:spacing w:line="240" w:lineRule="auto"/>
              <w:rPr>
                <w:b/>
                <w:bCs/>
                <w:sz w:val="12"/>
                <w:szCs w:val="14"/>
              </w:rPr>
            </w:pPr>
          </w:p>
        </w:tc>
      </w:tr>
      <w:tr w:rsidR="007C6060" w:rsidRPr="00856FCB" w14:paraId="2483E275" w14:textId="77777777" w:rsidTr="00AC2186">
        <w:trPr>
          <w:cantSplit/>
        </w:trPr>
        <w:tc>
          <w:tcPr>
            <w:tcW w:w="959" w:type="dxa"/>
            <w:tcBorders>
              <w:top w:val="nil"/>
              <w:bottom w:val="nil"/>
              <w:right w:val="nil"/>
            </w:tcBorders>
          </w:tcPr>
          <w:p w14:paraId="48A19C2B"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19</w:t>
            </w:r>
          </w:p>
        </w:tc>
        <w:tc>
          <w:tcPr>
            <w:tcW w:w="1559" w:type="dxa"/>
            <w:gridSpan w:val="4"/>
            <w:tcBorders>
              <w:top w:val="nil"/>
              <w:left w:val="nil"/>
              <w:bottom w:val="nil"/>
              <w:right w:val="nil"/>
            </w:tcBorders>
          </w:tcPr>
          <w:p w14:paraId="7AF109D0" w14:textId="77777777" w:rsidR="007C6060" w:rsidRPr="00856FCB" w:rsidRDefault="007C6060" w:rsidP="007C6060">
            <w:pPr>
              <w:spacing w:line="200" w:lineRule="exact"/>
              <w:rPr>
                <w:b/>
                <w:bCs/>
                <w:sz w:val="16"/>
                <w:szCs w:val="18"/>
              </w:rPr>
            </w:pPr>
            <w:r w:rsidRPr="00856FCB">
              <w:rPr>
                <w:rFonts w:hint="cs"/>
                <w:b/>
                <w:bCs/>
                <w:sz w:val="16"/>
                <w:szCs w:val="18"/>
                <w:rtl/>
              </w:rPr>
              <w:t>מסים על ההכנסה</w:t>
            </w:r>
          </w:p>
        </w:tc>
        <w:tc>
          <w:tcPr>
            <w:tcW w:w="6379" w:type="dxa"/>
            <w:gridSpan w:val="16"/>
            <w:tcBorders>
              <w:top w:val="nil"/>
              <w:left w:val="nil"/>
              <w:bottom w:val="dashSmallGap" w:sz="4" w:space="0" w:color="auto"/>
              <w:right w:val="nil"/>
            </w:tcBorders>
          </w:tcPr>
          <w:p w14:paraId="0C127BDC" w14:textId="77777777" w:rsidR="007C6060" w:rsidRPr="00856FCB" w:rsidRDefault="007C6060" w:rsidP="007C6060">
            <w:pPr>
              <w:spacing w:line="200" w:lineRule="exact"/>
              <w:jc w:val="center"/>
              <w:rPr>
                <w:color w:val="FF0000"/>
                <w:sz w:val="16"/>
                <w:szCs w:val="18"/>
              </w:rPr>
            </w:pPr>
          </w:p>
        </w:tc>
        <w:tc>
          <w:tcPr>
            <w:tcW w:w="851" w:type="dxa"/>
            <w:tcBorders>
              <w:top w:val="nil"/>
              <w:left w:val="nil"/>
              <w:bottom w:val="nil"/>
            </w:tcBorders>
          </w:tcPr>
          <w:p w14:paraId="3C264DCF" w14:textId="1FD7A2AF" w:rsidR="007C6060" w:rsidRPr="00D80BE9" w:rsidRDefault="003700B8" w:rsidP="007C6060">
            <w:pPr>
              <w:spacing w:line="200" w:lineRule="exact"/>
              <w:jc w:val="center"/>
              <w:rPr>
                <w:sz w:val="16"/>
                <w:szCs w:val="18"/>
              </w:rPr>
            </w:pPr>
            <w:r>
              <w:rPr>
                <w:rFonts w:hint="cs"/>
                <w:sz w:val="16"/>
                <w:szCs w:val="18"/>
                <w:rtl/>
              </w:rPr>
              <w:t>66</w:t>
            </w:r>
          </w:p>
        </w:tc>
      </w:tr>
      <w:tr w:rsidR="007C6060" w:rsidRPr="00856FCB" w14:paraId="2E64A242" w14:textId="77777777" w:rsidTr="00AC2186">
        <w:trPr>
          <w:cantSplit/>
        </w:trPr>
        <w:tc>
          <w:tcPr>
            <w:tcW w:w="959" w:type="dxa"/>
            <w:tcBorders>
              <w:top w:val="nil"/>
              <w:bottom w:val="nil"/>
              <w:right w:val="nil"/>
            </w:tcBorders>
          </w:tcPr>
          <w:p w14:paraId="72935753" w14:textId="77777777" w:rsidR="007C6060" w:rsidRPr="00856FCB" w:rsidRDefault="007C6060" w:rsidP="007C6060">
            <w:pPr>
              <w:spacing w:line="240" w:lineRule="auto"/>
              <w:rPr>
                <w:b/>
                <w:bCs/>
                <w:sz w:val="12"/>
                <w:szCs w:val="14"/>
              </w:rPr>
            </w:pPr>
          </w:p>
        </w:tc>
        <w:tc>
          <w:tcPr>
            <w:tcW w:w="2126" w:type="dxa"/>
            <w:gridSpan w:val="8"/>
            <w:tcBorders>
              <w:top w:val="nil"/>
              <w:left w:val="nil"/>
              <w:bottom w:val="nil"/>
              <w:right w:val="nil"/>
            </w:tcBorders>
          </w:tcPr>
          <w:p w14:paraId="198A0D88" w14:textId="77777777" w:rsidR="007C6060" w:rsidRPr="00856FCB" w:rsidRDefault="007C6060" w:rsidP="007C6060">
            <w:pPr>
              <w:spacing w:line="240" w:lineRule="auto"/>
              <w:rPr>
                <w:b/>
                <w:bCs/>
                <w:sz w:val="12"/>
                <w:szCs w:val="14"/>
              </w:rPr>
            </w:pPr>
          </w:p>
        </w:tc>
        <w:tc>
          <w:tcPr>
            <w:tcW w:w="5812" w:type="dxa"/>
            <w:gridSpan w:val="12"/>
            <w:tcBorders>
              <w:top w:val="nil"/>
              <w:left w:val="nil"/>
              <w:bottom w:val="nil"/>
              <w:right w:val="nil"/>
            </w:tcBorders>
          </w:tcPr>
          <w:p w14:paraId="6035CFFA"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0B78A528" w14:textId="77777777" w:rsidR="007C6060" w:rsidRPr="00D80BE9" w:rsidRDefault="007C6060" w:rsidP="007C6060">
            <w:pPr>
              <w:spacing w:line="240" w:lineRule="auto"/>
              <w:rPr>
                <w:b/>
                <w:bCs/>
                <w:sz w:val="12"/>
                <w:szCs w:val="14"/>
              </w:rPr>
            </w:pPr>
          </w:p>
        </w:tc>
      </w:tr>
      <w:tr w:rsidR="007C6060" w:rsidRPr="00856FCB" w14:paraId="3199B8CB" w14:textId="77777777" w:rsidTr="00AC2186">
        <w:trPr>
          <w:cantSplit/>
        </w:trPr>
        <w:tc>
          <w:tcPr>
            <w:tcW w:w="959" w:type="dxa"/>
            <w:tcBorders>
              <w:top w:val="nil"/>
              <w:bottom w:val="nil"/>
              <w:right w:val="nil"/>
            </w:tcBorders>
          </w:tcPr>
          <w:p w14:paraId="65B196B1" w14:textId="77777777" w:rsidR="007C6060" w:rsidRPr="00856FCB" w:rsidRDefault="007C6060" w:rsidP="007C6060">
            <w:pPr>
              <w:spacing w:line="200" w:lineRule="exact"/>
              <w:rPr>
                <w:b/>
                <w:bCs/>
                <w:sz w:val="16"/>
                <w:szCs w:val="18"/>
                <w:rtl/>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20</w:t>
            </w:r>
          </w:p>
        </w:tc>
        <w:tc>
          <w:tcPr>
            <w:tcW w:w="2410" w:type="dxa"/>
            <w:gridSpan w:val="9"/>
            <w:tcBorders>
              <w:top w:val="nil"/>
              <w:left w:val="nil"/>
              <w:bottom w:val="nil"/>
              <w:right w:val="nil"/>
            </w:tcBorders>
          </w:tcPr>
          <w:p w14:paraId="68EEE089" w14:textId="77777777" w:rsidR="007C6060" w:rsidRPr="00856FCB" w:rsidRDefault="007C6060" w:rsidP="007C6060">
            <w:pPr>
              <w:spacing w:line="200" w:lineRule="exact"/>
              <w:rPr>
                <w:b/>
                <w:bCs/>
                <w:sz w:val="16"/>
                <w:szCs w:val="18"/>
              </w:rPr>
            </w:pPr>
            <w:r w:rsidRPr="00856FCB">
              <w:rPr>
                <w:rFonts w:hint="eastAsia"/>
                <w:b/>
                <w:bCs/>
                <w:sz w:val="16"/>
                <w:szCs w:val="18"/>
                <w:rtl/>
              </w:rPr>
              <w:t>חתימה</w:t>
            </w:r>
            <w:r w:rsidRPr="00856FCB">
              <w:rPr>
                <w:b/>
                <w:bCs/>
                <w:sz w:val="16"/>
                <w:szCs w:val="18"/>
                <w:rtl/>
              </w:rPr>
              <w:t xml:space="preserve"> </w:t>
            </w:r>
            <w:r w:rsidRPr="00856FCB">
              <w:rPr>
                <w:rFonts w:hint="eastAsia"/>
                <w:b/>
                <w:bCs/>
                <w:sz w:val="16"/>
                <w:szCs w:val="18"/>
                <w:rtl/>
              </w:rPr>
              <w:t>על</w:t>
            </w:r>
            <w:r w:rsidRPr="00856FCB">
              <w:rPr>
                <w:b/>
                <w:bCs/>
                <w:sz w:val="16"/>
                <w:szCs w:val="18"/>
                <w:rtl/>
              </w:rPr>
              <w:t xml:space="preserve"> </w:t>
            </w:r>
            <w:r w:rsidRPr="00856FCB">
              <w:rPr>
                <w:rFonts w:hint="eastAsia"/>
                <w:b/>
                <w:bCs/>
                <w:sz w:val="16"/>
                <w:szCs w:val="18"/>
                <w:rtl/>
              </w:rPr>
              <w:t>הדוחות</w:t>
            </w:r>
            <w:r w:rsidRPr="00856FCB">
              <w:rPr>
                <w:b/>
                <w:bCs/>
                <w:sz w:val="16"/>
                <w:szCs w:val="18"/>
                <w:rtl/>
              </w:rPr>
              <w:t xml:space="preserve"> </w:t>
            </w:r>
            <w:r w:rsidRPr="00856FCB">
              <w:rPr>
                <w:rFonts w:hint="eastAsia"/>
                <w:b/>
                <w:bCs/>
                <w:sz w:val="16"/>
                <w:szCs w:val="18"/>
                <w:rtl/>
              </w:rPr>
              <w:t>הכספיים</w:t>
            </w:r>
          </w:p>
        </w:tc>
        <w:tc>
          <w:tcPr>
            <w:tcW w:w="5528" w:type="dxa"/>
            <w:gridSpan w:val="11"/>
            <w:tcBorders>
              <w:top w:val="nil"/>
              <w:left w:val="nil"/>
              <w:bottom w:val="dashSmallGap" w:sz="4" w:space="0" w:color="auto"/>
              <w:right w:val="nil"/>
            </w:tcBorders>
          </w:tcPr>
          <w:p w14:paraId="2F28D89D" w14:textId="77777777" w:rsidR="007C6060" w:rsidRPr="00856FCB" w:rsidRDefault="007C6060" w:rsidP="007C6060">
            <w:pPr>
              <w:spacing w:line="200" w:lineRule="exact"/>
              <w:jc w:val="center"/>
              <w:rPr>
                <w:color w:val="FF0000"/>
                <w:sz w:val="16"/>
                <w:szCs w:val="18"/>
              </w:rPr>
            </w:pPr>
          </w:p>
        </w:tc>
        <w:tc>
          <w:tcPr>
            <w:tcW w:w="851" w:type="dxa"/>
            <w:tcBorders>
              <w:top w:val="nil"/>
              <w:left w:val="nil"/>
              <w:bottom w:val="nil"/>
            </w:tcBorders>
          </w:tcPr>
          <w:p w14:paraId="4D0AC7A4" w14:textId="115F10BD" w:rsidR="007C6060" w:rsidRPr="00D80BE9" w:rsidRDefault="003700B8" w:rsidP="007C6060">
            <w:pPr>
              <w:tabs>
                <w:tab w:val="center" w:pos="317"/>
              </w:tabs>
              <w:spacing w:line="200" w:lineRule="exact"/>
              <w:jc w:val="center"/>
              <w:rPr>
                <w:rFonts w:asciiTheme="minorHAnsi" w:hAnsiTheme="minorHAnsi"/>
                <w:sz w:val="16"/>
                <w:szCs w:val="18"/>
              </w:rPr>
            </w:pPr>
            <w:r>
              <w:rPr>
                <w:rFonts w:asciiTheme="minorHAnsi" w:hAnsiTheme="minorHAnsi" w:hint="cs"/>
                <w:sz w:val="16"/>
                <w:szCs w:val="18"/>
                <w:rtl/>
              </w:rPr>
              <w:t>66</w:t>
            </w:r>
          </w:p>
        </w:tc>
      </w:tr>
      <w:tr w:rsidR="007C6060" w:rsidRPr="00856FCB" w14:paraId="76606686" w14:textId="77777777" w:rsidTr="00AC2186">
        <w:trPr>
          <w:cantSplit/>
        </w:trPr>
        <w:tc>
          <w:tcPr>
            <w:tcW w:w="959" w:type="dxa"/>
            <w:tcBorders>
              <w:top w:val="nil"/>
              <w:bottom w:val="nil"/>
              <w:right w:val="nil"/>
            </w:tcBorders>
          </w:tcPr>
          <w:p w14:paraId="715311E5" w14:textId="77777777" w:rsidR="007C6060" w:rsidRPr="00856FCB" w:rsidRDefault="007C6060" w:rsidP="007C6060">
            <w:pPr>
              <w:spacing w:line="240" w:lineRule="auto"/>
              <w:rPr>
                <w:b/>
                <w:bCs/>
                <w:sz w:val="12"/>
                <w:szCs w:val="14"/>
                <w:rtl/>
              </w:rPr>
            </w:pPr>
          </w:p>
        </w:tc>
        <w:tc>
          <w:tcPr>
            <w:tcW w:w="2410" w:type="dxa"/>
            <w:gridSpan w:val="9"/>
            <w:tcBorders>
              <w:top w:val="nil"/>
              <w:left w:val="nil"/>
              <w:bottom w:val="nil"/>
              <w:right w:val="nil"/>
            </w:tcBorders>
          </w:tcPr>
          <w:p w14:paraId="1AE26957" w14:textId="77777777" w:rsidR="007C6060" w:rsidRPr="00856FCB" w:rsidRDefault="007C6060" w:rsidP="007C6060">
            <w:pPr>
              <w:spacing w:line="240" w:lineRule="auto"/>
              <w:rPr>
                <w:b/>
                <w:bCs/>
                <w:sz w:val="12"/>
                <w:szCs w:val="14"/>
                <w:rtl/>
              </w:rPr>
            </w:pPr>
          </w:p>
        </w:tc>
        <w:tc>
          <w:tcPr>
            <w:tcW w:w="5528" w:type="dxa"/>
            <w:gridSpan w:val="11"/>
            <w:tcBorders>
              <w:top w:val="nil"/>
              <w:left w:val="nil"/>
              <w:bottom w:val="nil"/>
              <w:right w:val="nil"/>
            </w:tcBorders>
          </w:tcPr>
          <w:p w14:paraId="7AEFFEDA"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6410DFA3" w14:textId="77777777" w:rsidR="007C6060" w:rsidRPr="00D80BE9" w:rsidRDefault="007C6060" w:rsidP="007C6060">
            <w:pPr>
              <w:spacing w:line="240" w:lineRule="auto"/>
              <w:rPr>
                <w:b/>
                <w:bCs/>
                <w:sz w:val="12"/>
                <w:szCs w:val="14"/>
                <w:rtl/>
              </w:rPr>
            </w:pPr>
          </w:p>
        </w:tc>
      </w:tr>
      <w:tr w:rsidR="00856FCB" w:rsidRPr="00856FCB" w14:paraId="4ECBC9FF" w14:textId="77777777" w:rsidTr="001958C9">
        <w:trPr>
          <w:cantSplit/>
        </w:trPr>
        <w:tc>
          <w:tcPr>
            <w:tcW w:w="8897" w:type="dxa"/>
            <w:gridSpan w:val="21"/>
            <w:tcBorders>
              <w:top w:val="nil"/>
              <w:bottom w:val="nil"/>
              <w:right w:val="nil"/>
            </w:tcBorders>
          </w:tcPr>
          <w:p w14:paraId="15123679" w14:textId="52C6F679" w:rsidR="00856FCB" w:rsidRPr="00856FCB" w:rsidRDefault="00856FCB" w:rsidP="00856FCB">
            <w:pPr>
              <w:spacing w:line="200" w:lineRule="exact"/>
              <w:jc w:val="left"/>
              <w:rPr>
                <w:sz w:val="16"/>
                <w:szCs w:val="18"/>
              </w:rPr>
            </w:pPr>
            <w:r w:rsidRPr="00856FCB">
              <w:rPr>
                <w:rFonts w:hint="eastAsia"/>
                <w:b/>
                <w:bCs/>
                <w:sz w:val="16"/>
                <w:szCs w:val="18"/>
                <w:rtl/>
              </w:rPr>
              <w:t>נספח</w:t>
            </w:r>
            <w:r w:rsidRPr="00856FCB">
              <w:rPr>
                <w:b/>
                <w:bCs/>
                <w:sz w:val="16"/>
                <w:szCs w:val="18"/>
                <w:rtl/>
              </w:rPr>
              <w:t xml:space="preserve"> </w:t>
            </w:r>
            <w:r w:rsidRPr="00856FCB">
              <w:rPr>
                <w:rFonts w:hint="eastAsia"/>
                <w:b/>
                <w:bCs/>
                <w:sz w:val="16"/>
                <w:szCs w:val="18"/>
                <w:rtl/>
              </w:rPr>
              <w:t>א</w:t>
            </w:r>
            <w:r w:rsidRPr="00856FCB">
              <w:rPr>
                <w:b/>
                <w:bCs/>
                <w:sz w:val="16"/>
                <w:szCs w:val="18"/>
                <w:rtl/>
              </w:rPr>
              <w:t xml:space="preserve">' </w:t>
            </w:r>
            <w:r w:rsidRPr="00856FCB">
              <w:rPr>
                <w:rFonts w:hint="eastAsia"/>
                <w:b/>
                <w:bCs/>
                <w:sz w:val="16"/>
                <w:szCs w:val="18"/>
                <w:rtl/>
              </w:rPr>
              <w:t>לדוחות</w:t>
            </w:r>
            <w:r w:rsidRPr="00856FCB">
              <w:rPr>
                <w:b/>
                <w:bCs/>
                <w:sz w:val="16"/>
                <w:szCs w:val="18"/>
                <w:rtl/>
              </w:rPr>
              <w:t xml:space="preserve"> </w:t>
            </w:r>
            <w:r w:rsidRPr="00856FCB">
              <w:rPr>
                <w:rFonts w:hint="eastAsia"/>
                <w:b/>
                <w:bCs/>
                <w:sz w:val="16"/>
                <w:szCs w:val="18"/>
                <w:rtl/>
              </w:rPr>
              <w:t>הכספיים</w:t>
            </w:r>
            <w:r w:rsidRPr="00856FCB">
              <w:rPr>
                <w:b/>
                <w:bCs/>
                <w:sz w:val="16"/>
                <w:szCs w:val="18"/>
                <w:rtl/>
              </w:rPr>
              <w:t xml:space="preserve"> </w:t>
            </w:r>
            <w:r w:rsidRPr="00856FCB">
              <w:rPr>
                <w:rFonts w:hint="eastAsia"/>
                <w:b/>
                <w:bCs/>
                <w:sz w:val="16"/>
                <w:szCs w:val="18"/>
                <w:rtl/>
              </w:rPr>
              <w:t>ביניים</w:t>
            </w:r>
            <w:r w:rsidRPr="00856FCB">
              <w:rPr>
                <w:b/>
                <w:bCs/>
                <w:sz w:val="16"/>
                <w:szCs w:val="18"/>
                <w:rtl/>
              </w:rPr>
              <w:t xml:space="preserve"> </w:t>
            </w:r>
            <w:r w:rsidRPr="00856FCB">
              <w:rPr>
                <w:rFonts w:hint="eastAsia"/>
                <w:b/>
                <w:bCs/>
                <w:sz w:val="16"/>
                <w:szCs w:val="18"/>
                <w:rtl/>
              </w:rPr>
              <w:t>מאוחדים</w:t>
            </w:r>
            <w:r w:rsidRPr="00856FCB">
              <w:rPr>
                <w:rFonts w:hint="cs"/>
                <w:b/>
                <w:bCs/>
                <w:color w:val="FF0000"/>
                <w:sz w:val="16"/>
                <w:szCs w:val="18"/>
                <w:rtl/>
              </w:rPr>
              <w:t xml:space="preserve"> </w:t>
            </w:r>
            <w:r w:rsidR="005C7519">
              <w:rPr>
                <w:b/>
                <w:bCs/>
                <w:sz w:val="16"/>
                <w:szCs w:val="18"/>
                <w:rtl/>
              </w:rPr>
              <w:t>-</w:t>
            </w:r>
            <w:r w:rsidRPr="00856FCB">
              <w:rPr>
                <w:rFonts w:hint="cs"/>
                <w:b/>
                <w:bCs/>
                <w:sz w:val="16"/>
                <w:szCs w:val="18"/>
                <w:rtl/>
              </w:rPr>
              <w:t xml:space="preserve"> הצגה נוספת של דוח על השינויים בהון לפי </w:t>
            </w:r>
            <w:r w:rsidRPr="00856FCB">
              <w:rPr>
                <w:rFonts w:hint="cs"/>
                <w:b/>
                <w:bCs/>
                <w:sz w:val="16"/>
                <w:szCs w:val="18"/>
              </w:rPr>
              <w:t>IAS 1</w:t>
            </w:r>
          </w:p>
        </w:tc>
        <w:tc>
          <w:tcPr>
            <w:tcW w:w="851" w:type="dxa"/>
            <w:tcBorders>
              <w:top w:val="nil"/>
              <w:left w:val="nil"/>
              <w:bottom w:val="nil"/>
            </w:tcBorders>
          </w:tcPr>
          <w:p w14:paraId="76C06ABD" w14:textId="57663884" w:rsidR="00856FCB" w:rsidRPr="00D80BE9" w:rsidRDefault="003700B8" w:rsidP="007C6060">
            <w:pPr>
              <w:spacing w:line="200" w:lineRule="exact"/>
              <w:jc w:val="center"/>
              <w:rPr>
                <w:sz w:val="16"/>
                <w:szCs w:val="18"/>
                <w:rtl/>
              </w:rPr>
            </w:pPr>
            <w:r>
              <w:rPr>
                <w:rFonts w:hint="cs"/>
                <w:sz w:val="16"/>
                <w:szCs w:val="18"/>
                <w:rtl/>
              </w:rPr>
              <w:t>67</w:t>
            </w:r>
          </w:p>
        </w:tc>
      </w:tr>
      <w:tr w:rsidR="007C6060" w:rsidRPr="00856FCB" w14:paraId="7F0665C3" w14:textId="77777777" w:rsidTr="002E1BA8">
        <w:trPr>
          <w:cantSplit/>
        </w:trPr>
        <w:tc>
          <w:tcPr>
            <w:tcW w:w="3369" w:type="dxa"/>
            <w:gridSpan w:val="10"/>
            <w:tcBorders>
              <w:top w:val="nil"/>
              <w:bottom w:val="nil"/>
              <w:right w:val="nil"/>
            </w:tcBorders>
          </w:tcPr>
          <w:p w14:paraId="7B1126DB" w14:textId="77777777" w:rsidR="007C6060" w:rsidRPr="00856FCB" w:rsidRDefault="007C6060" w:rsidP="007C6060">
            <w:pPr>
              <w:spacing w:line="200" w:lineRule="exact"/>
              <w:rPr>
                <w:b/>
                <w:bCs/>
                <w:sz w:val="16"/>
                <w:szCs w:val="18"/>
                <w:rtl/>
              </w:rPr>
            </w:pPr>
          </w:p>
        </w:tc>
        <w:tc>
          <w:tcPr>
            <w:tcW w:w="5528" w:type="dxa"/>
            <w:gridSpan w:val="11"/>
            <w:tcBorders>
              <w:top w:val="nil"/>
              <w:left w:val="nil"/>
              <w:bottom w:val="nil"/>
              <w:right w:val="nil"/>
            </w:tcBorders>
          </w:tcPr>
          <w:p w14:paraId="5C0C9CFD" w14:textId="77777777" w:rsidR="007C6060" w:rsidRPr="00856FCB" w:rsidRDefault="007C6060" w:rsidP="007C6060">
            <w:pPr>
              <w:spacing w:line="200" w:lineRule="exact"/>
              <w:jc w:val="center"/>
              <w:rPr>
                <w:sz w:val="16"/>
                <w:szCs w:val="18"/>
              </w:rPr>
            </w:pPr>
          </w:p>
        </w:tc>
        <w:tc>
          <w:tcPr>
            <w:tcW w:w="851" w:type="dxa"/>
            <w:tcBorders>
              <w:top w:val="nil"/>
              <w:left w:val="nil"/>
              <w:bottom w:val="nil"/>
            </w:tcBorders>
          </w:tcPr>
          <w:p w14:paraId="6AEF7272" w14:textId="77777777" w:rsidR="007C6060" w:rsidRPr="00D80BE9" w:rsidRDefault="007C6060" w:rsidP="007C6060">
            <w:pPr>
              <w:spacing w:line="200" w:lineRule="exact"/>
              <w:jc w:val="center"/>
              <w:rPr>
                <w:sz w:val="16"/>
                <w:szCs w:val="18"/>
                <w:rtl/>
              </w:rPr>
            </w:pPr>
          </w:p>
        </w:tc>
      </w:tr>
      <w:tr w:rsidR="00856FCB" w:rsidRPr="00856FCB" w14:paraId="0AD7DCB0" w14:textId="77777777" w:rsidTr="001958C9">
        <w:trPr>
          <w:cantSplit/>
        </w:trPr>
        <w:tc>
          <w:tcPr>
            <w:tcW w:w="8897" w:type="dxa"/>
            <w:gridSpan w:val="21"/>
            <w:tcBorders>
              <w:top w:val="nil"/>
              <w:bottom w:val="nil"/>
              <w:right w:val="nil"/>
            </w:tcBorders>
          </w:tcPr>
          <w:p w14:paraId="0E297178" w14:textId="523916DE" w:rsidR="00856FCB" w:rsidRPr="00856FCB" w:rsidRDefault="00856FCB" w:rsidP="003700B8">
            <w:pPr>
              <w:tabs>
                <w:tab w:val="left" w:pos="3111"/>
              </w:tabs>
              <w:spacing w:line="200" w:lineRule="exact"/>
              <w:jc w:val="left"/>
              <w:rPr>
                <w:sz w:val="16"/>
                <w:szCs w:val="18"/>
              </w:rPr>
            </w:pPr>
            <w:r>
              <w:rPr>
                <w:rFonts w:hint="cs"/>
                <w:b/>
                <w:bCs/>
                <w:sz w:val="16"/>
                <w:szCs w:val="18"/>
                <w:rtl/>
              </w:rPr>
              <w:t xml:space="preserve">נספח ב' לדוחות הכספיים ביניים מאוחדים </w:t>
            </w:r>
            <w:r w:rsidR="005C7519">
              <w:rPr>
                <w:b/>
                <w:bCs/>
                <w:sz w:val="16"/>
                <w:szCs w:val="18"/>
                <w:rtl/>
              </w:rPr>
              <w:t>-</w:t>
            </w:r>
            <w:r>
              <w:rPr>
                <w:rFonts w:hint="cs"/>
                <w:b/>
                <w:bCs/>
                <w:sz w:val="16"/>
                <w:szCs w:val="18"/>
                <w:rtl/>
              </w:rPr>
              <w:t xml:space="preserve"> אפשרויות נוספות של יישום לראשונה של </w:t>
            </w:r>
            <w:r>
              <w:rPr>
                <w:rFonts w:hint="cs"/>
                <w:b/>
                <w:bCs/>
                <w:sz w:val="16"/>
                <w:szCs w:val="18"/>
              </w:rPr>
              <w:t xml:space="preserve">IFRS </w:t>
            </w:r>
            <w:r w:rsidR="003700B8">
              <w:rPr>
                <w:b/>
                <w:bCs/>
                <w:sz w:val="16"/>
                <w:szCs w:val="18"/>
              </w:rPr>
              <w:t>16</w:t>
            </w:r>
            <w:r>
              <w:rPr>
                <w:b/>
                <w:bCs/>
                <w:sz w:val="16"/>
                <w:szCs w:val="18"/>
                <w:rtl/>
              </w:rPr>
              <w:tab/>
            </w:r>
          </w:p>
        </w:tc>
        <w:tc>
          <w:tcPr>
            <w:tcW w:w="851" w:type="dxa"/>
            <w:tcBorders>
              <w:top w:val="nil"/>
              <w:left w:val="nil"/>
              <w:bottom w:val="nil"/>
            </w:tcBorders>
          </w:tcPr>
          <w:p w14:paraId="66F2C762" w14:textId="7E6F26FF" w:rsidR="00856FCB" w:rsidRPr="00D80BE9" w:rsidRDefault="003700B8" w:rsidP="00FE4134">
            <w:pPr>
              <w:spacing w:line="200" w:lineRule="exact"/>
              <w:jc w:val="center"/>
              <w:rPr>
                <w:sz w:val="16"/>
                <w:szCs w:val="18"/>
                <w:rtl/>
              </w:rPr>
            </w:pPr>
            <w:r>
              <w:rPr>
                <w:rFonts w:hint="cs"/>
                <w:sz w:val="16"/>
                <w:szCs w:val="18"/>
                <w:rtl/>
              </w:rPr>
              <w:t>69</w:t>
            </w:r>
          </w:p>
        </w:tc>
      </w:tr>
    </w:tbl>
    <w:p w14:paraId="08BEC08C" w14:textId="5713C6B3" w:rsidR="000A61CE" w:rsidRDefault="000A61CE" w:rsidP="00B40F88">
      <w:pPr>
        <w:tabs>
          <w:tab w:val="right" w:pos="1701"/>
        </w:tabs>
        <w:spacing w:line="240" w:lineRule="auto"/>
        <w:rPr>
          <w:rtl/>
        </w:rPr>
      </w:pPr>
      <w:bookmarkStart w:id="0" w:name="_Toc51575661"/>
      <w:bookmarkStart w:id="1" w:name="_Toc29797694"/>
      <w:bookmarkStart w:id="2" w:name="_Toc29797466"/>
      <w:bookmarkStart w:id="3" w:name="_Toc29796627"/>
      <w:bookmarkStart w:id="4" w:name="_Toc26614704"/>
      <w:bookmarkStart w:id="5" w:name="_Toc26607631"/>
      <w:bookmarkStart w:id="6" w:name="_Toc26607102"/>
    </w:p>
    <w:p w14:paraId="500CD35D" w14:textId="77777777" w:rsidR="000A61CE" w:rsidRDefault="000A61CE">
      <w:pPr>
        <w:widowControl/>
        <w:overflowPunct/>
        <w:autoSpaceDE/>
        <w:autoSpaceDN/>
        <w:bidi w:val="0"/>
        <w:adjustRightInd/>
        <w:spacing w:line="240" w:lineRule="auto"/>
        <w:jc w:val="left"/>
        <w:textAlignment w:val="auto"/>
        <w:sectPr w:rsidR="000A61CE" w:rsidSect="00BA7D9A">
          <w:footnotePr>
            <w:numRestart w:val="eachPage"/>
          </w:footnotePr>
          <w:endnotePr>
            <w:numFmt w:val="lowerLetter"/>
          </w:endnotePr>
          <w:pgSz w:w="11907" w:h="16840" w:code="9"/>
          <w:pgMar w:top="567" w:right="1134" w:bottom="1134" w:left="1134" w:header="567" w:footer="567" w:gutter="0"/>
          <w:cols w:space="720"/>
          <w:bidi/>
          <w:rtlGutter/>
        </w:sectPr>
      </w:pPr>
    </w:p>
    <w:p w14:paraId="170C89EB" w14:textId="77777777" w:rsidR="00BB18A1" w:rsidRDefault="00BB18A1" w:rsidP="00B40F88">
      <w:pPr>
        <w:tabs>
          <w:tab w:val="right" w:pos="1701"/>
        </w:tabs>
        <w:spacing w:line="240" w:lineRule="auto"/>
        <w:rPr>
          <w:rtl/>
        </w:rPr>
      </w:pPr>
    </w:p>
    <w:p w14:paraId="18ED5D67" w14:textId="77777777" w:rsidR="00AB7D68" w:rsidRDefault="00AB7D68">
      <w:pPr>
        <w:jc w:val="center"/>
        <w:rPr>
          <w:rtl/>
        </w:rPr>
      </w:pPr>
    </w:p>
    <w:p w14:paraId="65250824" w14:textId="77777777" w:rsidR="00AB7D68" w:rsidRDefault="00AB7D68">
      <w:pPr>
        <w:jc w:val="center"/>
        <w:rPr>
          <w:rtl/>
        </w:rPr>
      </w:pPr>
    </w:p>
    <w:p w14:paraId="58B6311B" w14:textId="77777777" w:rsidR="00AB7D68" w:rsidRDefault="00AB7D68">
      <w:pPr>
        <w:jc w:val="center"/>
        <w:rPr>
          <w:rtl/>
        </w:rPr>
      </w:pPr>
    </w:p>
    <w:p w14:paraId="6086C574" w14:textId="77777777" w:rsidR="00AB7D68" w:rsidRDefault="00AB7D68">
      <w:pPr>
        <w:jc w:val="center"/>
        <w:rPr>
          <w:u w:val="single"/>
          <w:rtl/>
        </w:rPr>
      </w:pPr>
      <w:r>
        <w:rPr>
          <w:rFonts w:hint="cs"/>
          <w:u w:val="single"/>
          <w:rtl/>
        </w:rPr>
        <w:t>חברה לדוגמא בע"מ</w:t>
      </w:r>
      <w:bookmarkEnd w:id="0"/>
      <w:bookmarkEnd w:id="1"/>
      <w:bookmarkEnd w:id="2"/>
      <w:bookmarkEnd w:id="3"/>
      <w:bookmarkEnd w:id="4"/>
      <w:bookmarkEnd w:id="5"/>
      <w:bookmarkEnd w:id="6"/>
    </w:p>
    <w:p w14:paraId="2D51DB84" w14:textId="77777777" w:rsidR="00AB7D68" w:rsidRDefault="00AB7D68">
      <w:pPr>
        <w:jc w:val="center"/>
        <w:rPr>
          <w:rtl/>
        </w:rPr>
      </w:pPr>
    </w:p>
    <w:p w14:paraId="385F31C4" w14:textId="75402030" w:rsidR="008D22FA" w:rsidRDefault="00AB7D68" w:rsidP="00E21527">
      <w:pPr>
        <w:jc w:val="center"/>
        <w:rPr>
          <w:u w:val="single"/>
          <w:rtl/>
        </w:rPr>
      </w:pPr>
      <w:r>
        <w:rPr>
          <w:rFonts w:hint="cs"/>
          <w:u w:val="single"/>
          <w:rtl/>
        </w:rPr>
        <w:t xml:space="preserve">דוחות כספיים ביניים מאוחדים ליום </w:t>
      </w:r>
      <w:r w:rsidR="00BC321C">
        <w:rPr>
          <w:rFonts w:hint="cs"/>
          <w:u w:val="single"/>
          <w:rtl/>
        </w:rPr>
        <w:t>3</w:t>
      </w:r>
      <w:r w:rsidR="006A5001">
        <w:rPr>
          <w:rFonts w:hint="cs"/>
          <w:u w:val="single"/>
          <w:rtl/>
        </w:rPr>
        <w:t>0</w:t>
      </w:r>
      <w:r w:rsidR="00BC321C">
        <w:rPr>
          <w:rFonts w:hint="cs"/>
          <w:u w:val="single"/>
          <w:rtl/>
        </w:rPr>
        <w:t xml:space="preserve"> </w:t>
      </w:r>
      <w:r w:rsidR="006A5001">
        <w:rPr>
          <w:rFonts w:hint="cs"/>
          <w:u w:val="single"/>
          <w:rtl/>
        </w:rPr>
        <w:t>בספטמבר</w:t>
      </w:r>
      <w:r w:rsidR="00BC321C">
        <w:rPr>
          <w:rFonts w:hint="cs"/>
          <w:u w:val="single"/>
          <w:rtl/>
        </w:rPr>
        <w:t xml:space="preserve">, </w:t>
      </w:r>
      <w:r w:rsidR="004A4A6B">
        <w:rPr>
          <w:rFonts w:hint="cs"/>
          <w:u w:val="single"/>
          <w:rtl/>
        </w:rPr>
        <w:t>201</w:t>
      </w:r>
      <w:r w:rsidR="00E21527">
        <w:rPr>
          <w:rFonts w:hint="cs"/>
          <w:u w:val="single"/>
          <w:rtl/>
        </w:rPr>
        <w:t>9</w:t>
      </w:r>
    </w:p>
    <w:p w14:paraId="37050BBD" w14:textId="77777777" w:rsidR="00AB7D68" w:rsidRDefault="00AB7D68">
      <w:pPr>
        <w:jc w:val="center"/>
        <w:rPr>
          <w:rtl/>
        </w:rPr>
      </w:pPr>
    </w:p>
    <w:p w14:paraId="57A01BD7" w14:textId="77777777" w:rsidR="00AB7D68" w:rsidRDefault="00AB7D68">
      <w:pPr>
        <w:jc w:val="center"/>
        <w:rPr>
          <w:rtl/>
        </w:rPr>
      </w:pPr>
    </w:p>
    <w:p w14:paraId="3458DA34" w14:textId="77777777" w:rsidR="00AB7D68" w:rsidRDefault="00AB7D68">
      <w:pPr>
        <w:jc w:val="center"/>
        <w:rPr>
          <w:u w:val="single"/>
          <w:rtl/>
        </w:rPr>
      </w:pPr>
      <w:r>
        <w:rPr>
          <w:rFonts w:hint="cs"/>
          <w:u w:val="single"/>
          <w:rtl/>
        </w:rPr>
        <w:t>בלתי מבוקרים</w:t>
      </w:r>
    </w:p>
    <w:p w14:paraId="4FB7C139" w14:textId="77777777" w:rsidR="00AB7D68" w:rsidRDefault="00AB7D68">
      <w:pPr>
        <w:jc w:val="center"/>
        <w:rPr>
          <w:u w:val="single"/>
          <w:rtl/>
        </w:rPr>
      </w:pPr>
    </w:p>
    <w:p w14:paraId="577C9AB9" w14:textId="77777777" w:rsidR="00AB7D68" w:rsidRDefault="00AB7D68">
      <w:pPr>
        <w:jc w:val="center"/>
        <w:rPr>
          <w:u w:val="single"/>
          <w:rtl/>
        </w:rPr>
      </w:pPr>
    </w:p>
    <w:p w14:paraId="62487E13" w14:textId="77777777" w:rsidR="00AB7D68" w:rsidRDefault="00AB7D68">
      <w:pPr>
        <w:jc w:val="center"/>
        <w:rPr>
          <w:u w:val="single"/>
          <w:rtl/>
        </w:rPr>
      </w:pPr>
    </w:p>
    <w:p w14:paraId="12199B10" w14:textId="77777777" w:rsidR="00AB7D68" w:rsidRDefault="00AB7D68">
      <w:pPr>
        <w:jc w:val="center"/>
        <w:rPr>
          <w:u w:val="single"/>
          <w:rtl/>
        </w:rPr>
      </w:pPr>
    </w:p>
    <w:p w14:paraId="7B5E6776" w14:textId="77777777" w:rsidR="00AB7D68" w:rsidRDefault="00AB7D68">
      <w:pPr>
        <w:jc w:val="center"/>
        <w:rPr>
          <w:u w:val="single"/>
          <w:rtl/>
        </w:rPr>
      </w:pPr>
    </w:p>
    <w:p w14:paraId="6FB411FA" w14:textId="77777777" w:rsidR="00AB7D68" w:rsidRDefault="00AB7D68">
      <w:pPr>
        <w:jc w:val="center"/>
        <w:rPr>
          <w:rtl/>
        </w:rPr>
      </w:pPr>
      <w:r>
        <w:rPr>
          <w:rFonts w:hint="cs"/>
          <w:u w:val="single"/>
          <w:rtl/>
        </w:rPr>
        <w:t>תוכן העניינים</w:t>
      </w:r>
    </w:p>
    <w:p w14:paraId="6A228440" w14:textId="77777777" w:rsidR="00AB7D68" w:rsidRDefault="00AB7D68">
      <w:pPr>
        <w:rPr>
          <w:rtl/>
        </w:rPr>
      </w:pPr>
    </w:p>
    <w:p w14:paraId="493882C3" w14:textId="77777777" w:rsidR="00AB7D68" w:rsidRDefault="00AB7D68">
      <w:pPr>
        <w:rPr>
          <w:rtl/>
        </w:rPr>
      </w:pPr>
    </w:p>
    <w:p w14:paraId="17FD41D1" w14:textId="77777777" w:rsidR="00AB7D68" w:rsidRDefault="00AB7D68">
      <w:pPr>
        <w:tabs>
          <w:tab w:val="center" w:pos="8367"/>
        </w:tabs>
        <w:rPr>
          <w:rtl/>
        </w:rPr>
      </w:pPr>
    </w:p>
    <w:tbl>
      <w:tblPr>
        <w:bidiVisual/>
        <w:tblW w:w="0" w:type="auto"/>
        <w:tblInd w:w="159" w:type="dxa"/>
        <w:tblLayout w:type="fixed"/>
        <w:tblLook w:val="0000" w:firstRow="0" w:lastRow="0" w:firstColumn="0" w:lastColumn="0" w:noHBand="0" w:noVBand="0"/>
      </w:tblPr>
      <w:tblGrid>
        <w:gridCol w:w="8023"/>
        <w:gridCol w:w="1134"/>
      </w:tblGrid>
      <w:tr w:rsidR="00AB7D68" w:rsidRPr="00EF3535" w14:paraId="2F383D99" w14:textId="77777777">
        <w:tc>
          <w:tcPr>
            <w:tcW w:w="8023" w:type="dxa"/>
          </w:tcPr>
          <w:p w14:paraId="69D2B3A2" w14:textId="77777777" w:rsidR="00AB7D68" w:rsidRPr="00EF3535" w:rsidRDefault="00AB7D68" w:rsidP="00EF3535">
            <w:pPr>
              <w:tabs>
                <w:tab w:val="center" w:pos="8367"/>
              </w:tabs>
              <w:spacing w:line="260" w:lineRule="exact"/>
              <w:jc w:val="right"/>
              <w:rPr>
                <w:sz w:val="22"/>
              </w:rPr>
            </w:pPr>
          </w:p>
        </w:tc>
        <w:tc>
          <w:tcPr>
            <w:tcW w:w="1134" w:type="dxa"/>
            <w:tcBorders>
              <w:top w:val="nil"/>
              <w:left w:val="nil"/>
              <w:bottom w:val="single" w:sz="4" w:space="0" w:color="auto"/>
              <w:right w:val="nil"/>
            </w:tcBorders>
          </w:tcPr>
          <w:p w14:paraId="53423D58" w14:textId="77777777" w:rsidR="00AB7D68" w:rsidRPr="00EF3535" w:rsidRDefault="00E8616E" w:rsidP="00EF3535">
            <w:pPr>
              <w:tabs>
                <w:tab w:val="center" w:pos="8367"/>
              </w:tabs>
              <w:spacing w:line="260" w:lineRule="exact"/>
              <w:jc w:val="center"/>
              <w:rPr>
                <w:sz w:val="22"/>
              </w:rPr>
            </w:pPr>
            <w:r w:rsidRPr="00EF3535">
              <w:rPr>
                <w:rFonts w:hint="cs"/>
                <w:sz w:val="22"/>
                <w:rtl/>
              </w:rPr>
              <w:t>עמוד</w:t>
            </w:r>
          </w:p>
        </w:tc>
      </w:tr>
      <w:tr w:rsidR="00AB7D68" w:rsidRPr="00EF3535" w14:paraId="19820ED8" w14:textId="77777777">
        <w:tc>
          <w:tcPr>
            <w:tcW w:w="8023" w:type="dxa"/>
          </w:tcPr>
          <w:p w14:paraId="1B9FEE40" w14:textId="77777777" w:rsidR="00AB7D68" w:rsidRPr="00EF3535" w:rsidRDefault="00AB7D68" w:rsidP="00EF3535">
            <w:pPr>
              <w:tabs>
                <w:tab w:val="center" w:pos="8367"/>
              </w:tabs>
              <w:spacing w:line="260" w:lineRule="exact"/>
              <w:rPr>
                <w:sz w:val="22"/>
              </w:rPr>
            </w:pPr>
          </w:p>
        </w:tc>
        <w:tc>
          <w:tcPr>
            <w:tcW w:w="1134" w:type="dxa"/>
            <w:tcBorders>
              <w:top w:val="single" w:sz="4" w:space="0" w:color="auto"/>
            </w:tcBorders>
          </w:tcPr>
          <w:p w14:paraId="6183D4A8" w14:textId="77777777" w:rsidR="00AB7D68" w:rsidRPr="00EF3535" w:rsidRDefault="00AB7D68" w:rsidP="00EF3535">
            <w:pPr>
              <w:tabs>
                <w:tab w:val="center" w:pos="8367"/>
              </w:tabs>
              <w:spacing w:line="260" w:lineRule="exact"/>
              <w:jc w:val="center"/>
              <w:rPr>
                <w:sz w:val="22"/>
              </w:rPr>
            </w:pPr>
          </w:p>
        </w:tc>
      </w:tr>
      <w:tr w:rsidR="00AB7D68" w:rsidRPr="00EF3535" w14:paraId="06CF44B5" w14:textId="77777777">
        <w:tc>
          <w:tcPr>
            <w:tcW w:w="8023" w:type="dxa"/>
          </w:tcPr>
          <w:p w14:paraId="2D8037D5" w14:textId="77777777" w:rsidR="00AB7D68" w:rsidRPr="00EF3535" w:rsidRDefault="00AB7D68" w:rsidP="00EF3535">
            <w:pPr>
              <w:tabs>
                <w:tab w:val="center" w:pos="8367"/>
              </w:tabs>
              <w:spacing w:line="260" w:lineRule="exact"/>
              <w:rPr>
                <w:sz w:val="22"/>
              </w:rPr>
            </w:pPr>
          </w:p>
        </w:tc>
        <w:tc>
          <w:tcPr>
            <w:tcW w:w="1134" w:type="dxa"/>
          </w:tcPr>
          <w:p w14:paraId="2AEAA52C" w14:textId="77777777" w:rsidR="00AB7D68" w:rsidRPr="00EF3535" w:rsidRDefault="00AB7D68" w:rsidP="00EF3535">
            <w:pPr>
              <w:tabs>
                <w:tab w:val="center" w:pos="8367"/>
              </w:tabs>
              <w:spacing w:line="260" w:lineRule="exact"/>
              <w:jc w:val="center"/>
              <w:rPr>
                <w:sz w:val="22"/>
              </w:rPr>
            </w:pPr>
          </w:p>
        </w:tc>
      </w:tr>
      <w:tr w:rsidR="00AB7D68" w:rsidRPr="00EF3535" w14:paraId="27821036" w14:textId="77777777">
        <w:tc>
          <w:tcPr>
            <w:tcW w:w="8023" w:type="dxa"/>
          </w:tcPr>
          <w:p w14:paraId="588B7E50" w14:textId="77777777" w:rsidR="001018AD" w:rsidRDefault="002953EE">
            <w:pPr>
              <w:tabs>
                <w:tab w:val="center" w:pos="8367"/>
              </w:tabs>
              <w:spacing w:line="260" w:lineRule="exact"/>
              <w:rPr>
                <w:sz w:val="22"/>
              </w:rPr>
            </w:pPr>
            <w:r w:rsidRPr="00EF3535">
              <w:rPr>
                <w:rFonts w:hint="cs"/>
                <w:sz w:val="22"/>
                <w:rtl/>
              </w:rPr>
              <w:t>דוחות</w:t>
            </w:r>
            <w:r w:rsidR="00AB7D68" w:rsidRPr="00EF3535">
              <w:rPr>
                <w:rFonts w:hint="cs"/>
                <w:sz w:val="22"/>
                <w:rtl/>
              </w:rPr>
              <w:t xml:space="preserve"> מאוחדים</w:t>
            </w:r>
            <w:r w:rsidRPr="00EF3535">
              <w:rPr>
                <w:rFonts w:hint="cs"/>
                <w:sz w:val="22"/>
                <w:rtl/>
              </w:rPr>
              <w:t xml:space="preserve"> על המצב הכספי</w:t>
            </w:r>
          </w:p>
        </w:tc>
        <w:tc>
          <w:tcPr>
            <w:tcW w:w="1134" w:type="dxa"/>
          </w:tcPr>
          <w:p w14:paraId="7A79A37E" w14:textId="77777777" w:rsidR="00AB7D68" w:rsidRPr="00EF3535" w:rsidRDefault="00AB7D68" w:rsidP="00EF3535">
            <w:pPr>
              <w:tabs>
                <w:tab w:val="center" w:pos="8367"/>
              </w:tabs>
              <w:spacing w:line="260" w:lineRule="exact"/>
              <w:jc w:val="center"/>
              <w:rPr>
                <w:sz w:val="22"/>
              </w:rPr>
            </w:pPr>
          </w:p>
        </w:tc>
      </w:tr>
      <w:tr w:rsidR="00AB7D68" w:rsidRPr="00EF3535" w14:paraId="67F5348A" w14:textId="77777777">
        <w:tc>
          <w:tcPr>
            <w:tcW w:w="8023" w:type="dxa"/>
          </w:tcPr>
          <w:p w14:paraId="43B4AFC6" w14:textId="77777777" w:rsidR="00AB7D68" w:rsidRPr="00EF3535" w:rsidRDefault="00AB7D68" w:rsidP="00EF3535">
            <w:pPr>
              <w:tabs>
                <w:tab w:val="center" w:pos="8367"/>
              </w:tabs>
              <w:spacing w:line="260" w:lineRule="exact"/>
              <w:rPr>
                <w:sz w:val="22"/>
              </w:rPr>
            </w:pPr>
          </w:p>
        </w:tc>
        <w:tc>
          <w:tcPr>
            <w:tcW w:w="1134" w:type="dxa"/>
          </w:tcPr>
          <w:p w14:paraId="05C815B3" w14:textId="77777777" w:rsidR="00AB7D68" w:rsidRPr="00EF3535" w:rsidRDefault="00AB7D68" w:rsidP="00EF3535">
            <w:pPr>
              <w:tabs>
                <w:tab w:val="center" w:pos="8367"/>
              </w:tabs>
              <w:spacing w:line="260" w:lineRule="exact"/>
              <w:jc w:val="center"/>
              <w:rPr>
                <w:sz w:val="22"/>
              </w:rPr>
            </w:pPr>
          </w:p>
        </w:tc>
      </w:tr>
      <w:tr w:rsidR="00AB7D68" w:rsidRPr="00EF3535" w14:paraId="3E054C67" w14:textId="77777777">
        <w:tc>
          <w:tcPr>
            <w:tcW w:w="8023" w:type="dxa"/>
          </w:tcPr>
          <w:p w14:paraId="44ED7B08" w14:textId="77777777" w:rsidR="00AB7D68" w:rsidRPr="00EF3535" w:rsidRDefault="00AB7D68" w:rsidP="00EF3535">
            <w:pPr>
              <w:tabs>
                <w:tab w:val="center" w:pos="8367"/>
              </w:tabs>
              <w:spacing w:line="260" w:lineRule="exact"/>
              <w:rPr>
                <w:sz w:val="22"/>
              </w:rPr>
            </w:pPr>
          </w:p>
        </w:tc>
        <w:tc>
          <w:tcPr>
            <w:tcW w:w="1134" w:type="dxa"/>
          </w:tcPr>
          <w:p w14:paraId="6595C722" w14:textId="77777777" w:rsidR="00AB7D68" w:rsidRPr="00EF3535" w:rsidRDefault="00AB7D68" w:rsidP="00EF3535">
            <w:pPr>
              <w:tabs>
                <w:tab w:val="center" w:pos="8367"/>
              </w:tabs>
              <w:spacing w:line="260" w:lineRule="exact"/>
              <w:jc w:val="center"/>
              <w:rPr>
                <w:sz w:val="22"/>
              </w:rPr>
            </w:pPr>
          </w:p>
        </w:tc>
      </w:tr>
      <w:tr w:rsidR="00AB7D68" w:rsidRPr="00EF3535" w14:paraId="7CFC4EB7" w14:textId="77777777">
        <w:tc>
          <w:tcPr>
            <w:tcW w:w="8023" w:type="dxa"/>
          </w:tcPr>
          <w:p w14:paraId="6C50D838" w14:textId="77777777" w:rsidR="00F41C12" w:rsidRPr="00EF3535" w:rsidRDefault="00AB7D68" w:rsidP="00EF3535">
            <w:pPr>
              <w:tabs>
                <w:tab w:val="center" w:pos="8367"/>
              </w:tabs>
              <w:spacing w:line="260" w:lineRule="exact"/>
              <w:rPr>
                <w:sz w:val="22"/>
              </w:rPr>
            </w:pPr>
            <w:r w:rsidRPr="00EF3535">
              <w:rPr>
                <w:rFonts w:hint="cs"/>
                <w:sz w:val="22"/>
                <w:rtl/>
              </w:rPr>
              <w:t xml:space="preserve">דוחות </w:t>
            </w:r>
            <w:r w:rsidR="005C16CA" w:rsidRPr="00EF3535">
              <w:rPr>
                <w:rFonts w:hint="cs"/>
                <w:sz w:val="22"/>
                <w:rtl/>
              </w:rPr>
              <w:t xml:space="preserve">מאוחדים על </w:t>
            </w:r>
            <w:r w:rsidRPr="00EF3535">
              <w:rPr>
                <w:rFonts w:hint="cs"/>
                <w:sz w:val="22"/>
                <w:rtl/>
              </w:rPr>
              <w:t xml:space="preserve">רווח </w:t>
            </w:r>
            <w:r w:rsidR="00845848">
              <w:rPr>
                <w:rFonts w:hint="cs"/>
                <w:sz w:val="22"/>
                <w:rtl/>
              </w:rPr>
              <w:t>א</w:t>
            </w:r>
            <w:r w:rsidRPr="00EF3535">
              <w:rPr>
                <w:rFonts w:hint="cs"/>
                <w:sz w:val="22"/>
                <w:rtl/>
              </w:rPr>
              <w:t>ו</w:t>
            </w:r>
            <w:r w:rsidR="00845848">
              <w:rPr>
                <w:rFonts w:hint="cs"/>
                <w:sz w:val="22"/>
                <w:rtl/>
              </w:rPr>
              <w:t xml:space="preserve"> </w:t>
            </w:r>
            <w:r w:rsidRPr="00EF3535">
              <w:rPr>
                <w:rFonts w:hint="cs"/>
                <w:sz w:val="22"/>
                <w:rtl/>
              </w:rPr>
              <w:t>הפסד</w:t>
            </w:r>
          </w:p>
        </w:tc>
        <w:tc>
          <w:tcPr>
            <w:tcW w:w="1134" w:type="dxa"/>
          </w:tcPr>
          <w:p w14:paraId="7483BD26" w14:textId="77777777" w:rsidR="00AB7D68" w:rsidRPr="00EF3535" w:rsidRDefault="00AB7D68" w:rsidP="00EF3535">
            <w:pPr>
              <w:tabs>
                <w:tab w:val="center" w:pos="8367"/>
              </w:tabs>
              <w:spacing w:line="260" w:lineRule="exact"/>
              <w:jc w:val="center"/>
              <w:rPr>
                <w:sz w:val="22"/>
              </w:rPr>
            </w:pPr>
          </w:p>
        </w:tc>
      </w:tr>
      <w:tr w:rsidR="00AB7D68" w:rsidRPr="00EF3535" w14:paraId="5A407B38" w14:textId="77777777">
        <w:tc>
          <w:tcPr>
            <w:tcW w:w="8023" w:type="dxa"/>
          </w:tcPr>
          <w:p w14:paraId="7664C2AE" w14:textId="77777777" w:rsidR="00AB7D68" w:rsidRPr="00845848" w:rsidRDefault="00AB7D68" w:rsidP="00EF3535">
            <w:pPr>
              <w:tabs>
                <w:tab w:val="center" w:pos="8367"/>
              </w:tabs>
              <w:spacing w:line="260" w:lineRule="exact"/>
              <w:rPr>
                <w:sz w:val="22"/>
              </w:rPr>
            </w:pPr>
          </w:p>
        </w:tc>
        <w:tc>
          <w:tcPr>
            <w:tcW w:w="1134" w:type="dxa"/>
          </w:tcPr>
          <w:p w14:paraId="128D8553" w14:textId="77777777" w:rsidR="00AB7D68" w:rsidRPr="00EF3535" w:rsidRDefault="00AB7D68" w:rsidP="00EF3535">
            <w:pPr>
              <w:tabs>
                <w:tab w:val="center" w:pos="8367"/>
              </w:tabs>
              <w:spacing w:line="260" w:lineRule="exact"/>
              <w:jc w:val="center"/>
              <w:rPr>
                <w:sz w:val="22"/>
              </w:rPr>
            </w:pPr>
          </w:p>
        </w:tc>
      </w:tr>
      <w:tr w:rsidR="00AB7D68" w:rsidRPr="00EF3535" w14:paraId="437BDCAA" w14:textId="77777777">
        <w:tc>
          <w:tcPr>
            <w:tcW w:w="8023" w:type="dxa"/>
          </w:tcPr>
          <w:p w14:paraId="76C40AC7" w14:textId="77777777" w:rsidR="00AB7D68" w:rsidRPr="00EF3535" w:rsidRDefault="00AB7D68" w:rsidP="00EF3535">
            <w:pPr>
              <w:tabs>
                <w:tab w:val="center" w:pos="8367"/>
              </w:tabs>
              <w:spacing w:line="260" w:lineRule="exact"/>
              <w:rPr>
                <w:sz w:val="22"/>
              </w:rPr>
            </w:pPr>
          </w:p>
        </w:tc>
        <w:tc>
          <w:tcPr>
            <w:tcW w:w="1134" w:type="dxa"/>
          </w:tcPr>
          <w:p w14:paraId="59DE62A9" w14:textId="77777777" w:rsidR="00AB7D68" w:rsidRPr="00EF3535" w:rsidRDefault="00AB7D68" w:rsidP="00EF3535">
            <w:pPr>
              <w:tabs>
                <w:tab w:val="center" w:pos="8367"/>
              </w:tabs>
              <w:spacing w:line="260" w:lineRule="exact"/>
              <w:jc w:val="center"/>
              <w:rPr>
                <w:sz w:val="22"/>
              </w:rPr>
            </w:pPr>
          </w:p>
        </w:tc>
      </w:tr>
      <w:tr w:rsidR="00AB7D68" w:rsidRPr="00EF3535" w14:paraId="10F499C5" w14:textId="77777777">
        <w:tc>
          <w:tcPr>
            <w:tcW w:w="8023" w:type="dxa"/>
          </w:tcPr>
          <w:p w14:paraId="01CD357C" w14:textId="77777777" w:rsidR="00AB7D68" w:rsidRPr="00EF3535" w:rsidRDefault="00AB7D68" w:rsidP="00EF3535">
            <w:pPr>
              <w:tabs>
                <w:tab w:val="center" w:pos="8367"/>
              </w:tabs>
              <w:spacing w:line="260" w:lineRule="exact"/>
              <w:rPr>
                <w:sz w:val="22"/>
              </w:rPr>
            </w:pPr>
            <w:r w:rsidRPr="00EF3535">
              <w:rPr>
                <w:rFonts w:hint="cs"/>
                <w:sz w:val="22"/>
                <w:rtl/>
              </w:rPr>
              <w:t>דוחות מאוחדים על הרווח הכולל</w:t>
            </w:r>
          </w:p>
        </w:tc>
        <w:tc>
          <w:tcPr>
            <w:tcW w:w="1134" w:type="dxa"/>
          </w:tcPr>
          <w:p w14:paraId="388993B7" w14:textId="77777777" w:rsidR="00AB7D68" w:rsidRPr="00EF3535" w:rsidRDefault="00AB7D68" w:rsidP="00EF3535">
            <w:pPr>
              <w:tabs>
                <w:tab w:val="center" w:pos="8367"/>
              </w:tabs>
              <w:spacing w:line="260" w:lineRule="exact"/>
              <w:jc w:val="center"/>
              <w:rPr>
                <w:sz w:val="22"/>
              </w:rPr>
            </w:pPr>
          </w:p>
        </w:tc>
      </w:tr>
      <w:tr w:rsidR="00AB7D68" w:rsidRPr="00EF3535" w14:paraId="6695E5B6" w14:textId="77777777">
        <w:tc>
          <w:tcPr>
            <w:tcW w:w="8023" w:type="dxa"/>
          </w:tcPr>
          <w:p w14:paraId="12BBCD39" w14:textId="77777777" w:rsidR="00AB7D68" w:rsidRPr="00EF3535" w:rsidRDefault="00AB7D68" w:rsidP="00EF3535">
            <w:pPr>
              <w:tabs>
                <w:tab w:val="center" w:pos="8367"/>
              </w:tabs>
              <w:spacing w:line="260" w:lineRule="exact"/>
              <w:rPr>
                <w:sz w:val="22"/>
              </w:rPr>
            </w:pPr>
          </w:p>
        </w:tc>
        <w:tc>
          <w:tcPr>
            <w:tcW w:w="1134" w:type="dxa"/>
          </w:tcPr>
          <w:p w14:paraId="49BCAF17" w14:textId="77777777" w:rsidR="00AB7D68" w:rsidRPr="00EF3535" w:rsidRDefault="00AB7D68" w:rsidP="00EF3535">
            <w:pPr>
              <w:tabs>
                <w:tab w:val="center" w:pos="8367"/>
              </w:tabs>
              <w:spacing w:line="260" w:lineRule="exact"/>
              <w:jc w:val="center"/>
              <w:rPr>
                <w:sz w:val="22"/>
              </w:rPr>
            </w:pPr>
          </w:p>
        </w:tc>
      </w:tr>
      <w:tr w:rsidR="00AB7D68" w:rsidRPr="00EF3535" w14:paraId="5A9EE937" w14:textId="77777777">
        <w:tc>
          <w:tcPr>
            <w:tcW w:w="8023" w:type="dxa"/>
          </w:tcPr>
          <w:p w14:paraId="1F9A6796" w14:textId="77777777" w:rsidR="00AB7D68" w:rsidRPr="00845848" w:rsidRDefault="00AB7D68" w:rsidP="00EF3535">
            <w:pPr>
              <w:tabs>
                <w:tab w:val="center" w:pos="8367"/>
              </w:tabs>
              <w:spacing w:line="260" w:lineRule="exact"/>
              <w:rPr>
                <w:sz w:val="22"/>
              </w:rPr>
            </w:pPr>
          </w:p>
        </w:tc>
        <w:tc>
          <w:tcPr>
            <w:tcW w:w="1134" w:type="dxa"/>
          </w:tcPr>
          <w:p w14:paraId="0184B1A0" w14:textId="77777777" w:rsidR="00AB7D68" w:rsidRPr="00EF3535" w:rsidRDefault="00AB7D68" w:rsidP="00EF3535">
            <w:pPr>
              <w:tabs>
                <w:tab w:val="center" w:pos="8367"/>
              </w:tabs>
              <w:spacing w:line="260" w:lineRule="exact"/>
              <w:jc w:val="center"/>
              <w:rPr>
                <w:sz w:val="22"/>
              </w:rPr>
            </w:pPr>
          </w:p>
        </w:tc>
      </w:tr>
      <w:tr w:rsidR="00AB7D68" w:rsidRPr="00EF3535" w14:paraId="188D8DC8" w14:textId="77777777">
        <w:tc>
          <w:tcPr>
            <w:tcW w:w="8023" w:type="dxa"/>
          </w:tcPr>
          <w:p w14:paraId="1D65D5A0" w14:textId="77777777" w:rsidR="00AB7D68" w:rsidRPr="00EF3535" w:rsidRDefault="00AB7D68" w:rsidP="00EF3535">
            <w:pPr>
              <w:tabs>
                <w:tab w:val="center" w:pos="8367"/>
              </w:tabs>
              <w:spacing w:line="260" w:lineRule="exact"/>
              <w:rPr>
                <w:sz w:val="22"/>
              </w:rPr>
            </w:pPr>
            <w:r w:rsidRPr="00EF3535">
              <w:rPr>
                <w:rFonts w:hint="cs"/>
                <w:sz w:val="22"/>
                <w:rtl/>
              </w:rPr>
              <w:t>דוחות מאוחדים על השינויים בהון</w:t>
            </w:r>
          </w:p>
        </w:tc>
        <w:tc>
          <w:tcPr>
            <w:tcW w:w="1134" w:type="dxa"/>
          </w:tcPr>
          <w:p w14:paraId="66C1169E" w14:textId="77777777" w:rsidR="00AB7D68" w:rsidRPr="00EF3535" w:rsidRDefault="00AB7D68" w:rsidP="00EF3535">
            <w:pPr>
              <w:tabs>
                <w:tab w:val="center" w:pos="8367"/>
              </w:tabs>
              <w:spacing w:line="260" w:lineRule="exact"/>
              <w:jc w:val="center"/>
              <w:rPr>
                <w:sz w:val="22"/>
              </w:rPr>
            </w:pPr>
          </w:p>
        </w:tc>
      </w:tr>
      <w:tr w:rsidR="00AB7D68" w:rsidRPr="00EF3535" w14:paraId="064B34E9" w14:textId="77777777">
        <w:tc>
          <w:tcPr>
            <w:tcW w:w="8023" w:type="dxa"/>
          </w:tcPr>
          <w:p w14:paraId="0984F818" w14:textId="77777777" w:rsidR="00AB7D68" w:rsidRPr="00EF3535" w:rsidRDefault="00AB7D68" w:rsidP="00EF3535">
            <w:pPr>
              <w:tabs>
                <w:tab w:val="center" w:pos="8367"/>
              </w:tabs>
              <w:spacing w:line="260" w:lineRule="exact"/>
              <w:rPr>
                <w:sz w:val="22"/>
              </w:rPr>
            </w:pPr>
          </w:p>
        </w:tc>
        <w:tc>
          <w:tcPr>
            <w:tcW w:w="1134" w:type="dxa"/>
          </w:tcPr>
          <w:p w14:paraId="4D2E5A4E" w14:textId="77777777" w:rsidR="00AB7D68" w:rsidRPr="00EF3535" w:rsidRDefault="00AB7D68" w:rsidP="00EF3535">
            <w:pPr>
              <w:tabs>
                <w:tab w:val="center" w:pos="8367"/>
              </w:tabs>
              <w:spacing w:line="260" w:lineRule="exact"/>
              <w:jc w:val="center"/>
              <w:rPr>
                <w:sz w:val="22"/>
              </w:rPr>
            </w:pPr>
          </w:p>
        </w:tc>
      </w:tr>
      <w:tr w:rsidR="00AB7D68" w:rsidRPr="00EF3535" w14:paraId="31D52CD0" w14:textId="77777777">
        <w:tc>
          <w:tcPr>
            <w:tcW w:w="8023" w:type="dxa"/>
          </w:tcPr>
          <w:p w14:paraId="0E398891" w14:textId="77777777" w:rsidR="00AB7D68" w:rsidRPr="00EF3535" w:rsidRDefault="00AB7D68" w:rsidP="00EF3535">
            <w:pPr>
              <w:tabs>
                <w:tab w:val="center" w:pos="8367"/>
              </w:tabs>
              <w:spacing w:line="260" w:lineRule="exact"/>
              <w:rPr>
                <w:sz w:val="22"/>
              </w:rPr>
            </w:pPr>
          </w:p>
        </w:tc>
        <w:tc>
          <w:tcPr>
            <w:tcW w:w="1134" w:type="dxa"/>
          </w:tcPr>
          <w:p w14:paraId="5038E5D0" w14:textId="77777777" w:rsidR="00AB7D68" w:rsidRPr="00EF3535" w:rsidRDefault="00AB7D68" w:rsidP="00EF3535">
            <w:pPr>
              <w:tabs>
                <w:tab w:val="center" w:pos="8367"/>
              </w:tabs>
              <w:spacing w:line="260" w:lineRule="exact"/>
              <w:jc w:val="center"/>
              <w:rPr>
                <w:sz w:val="22"/>
              </w:rPr>
            </w:pPr>
          </w:p>
        </w:tc>
      </w:tr>
      <w:tr w:rsidR="00AB7D68" w:rsidRPr="00EF3535" w14:paraId="6694A9A8" w14:textId="77777777">
        <w:tc>
          <w:tcPr>
            <w:tcW w:w="8023" w:type="dxa"/>
          </w:tcPr>
          <w:p w14:paraId="5A24EFA4" w14:textId="77777777" w:rsidR="00AB7D68" w:rsidRPr="00EF3535" w:rsidRDefault="00AB7D68" w:rsidP="00EF3535">
            <w:pPr>
              <w:tabs>
                <w:tab w:val="center" w:pos="8367"/>
              </w:tabs>
              <w:spacing w:line="260" w:lineRule="exact"/>
              <w:rPr>
                <w:sz w:val="22"/>
              </w:rPr>
            </w:pPr>
            <w:r w:rsidRPr="00EF3535">
              <w:rPr>
                <w:rFonts w:hint="cs"/>
                <w:sz w:val="22"/>
                <w:rtl/>
              </w:rPr>
              <w:t>דוחות מאוחדים על תזרימי המזומנים</w:t>
            </w:r>
          </w:p>
        </w:tc>
        <w:tc>
          <w:tcPr>
            <w:tcW w:w="1134" w:type="dxa"/>
          </w:tcPr>
          <w:p w14:paraId="560A5CBD" w14:textId="77777777" w:rsidR="00AB7D68" w:rsidRPr="00EF3535" w:rsidRDefault="00AB7D68" w:rsidP="00EF3535">
            <w:pPr>
              <w:tabs>
                <w:tab w:val="center" w:pos="8367"/>
              </w:tabs>
              <w:spacing w:line="260" w:lineRule="exact"/>
              <w:jc w:val="center"/>
              <w:rPr>
                <w:sz w:val="22"/>
              </w:rPr>
            </w:pPr>
          </w:p>
        </w:tc>
      </w:tr>
      <w:tr w:rsidR="00AB7D68" w:rsidRPr="00EF3535" w14:paraId="12FBF4B0" w14:textId="77777777">
        <w:tc>
          <w:tcPr>
            <w:tcW w:w="8023" w:type="dxa"/>
          </w:tcPr>
          <w:p w14:paraId="703D7A8E" w14:textId="77777777" w:rsidR="00AB7D68" w:rsidRPr="00EF3535" w:rsidRDefault="00AB7D68" w:rsidP="00EF3535">
            <w:pPr>
              <w:tabs>
                <w:tab w:val="center" w:pos="8367"/>
              </w:tabs>
              <w:spacing w:line="260" w:lineRule="exact"/>
              <w:rPr>
                <w:sz w:val="22"/>
              </w:rPr>
            </w:pPr>
          </w:p>
        </w:tc>
        <w:tc>
          <w:tcPr>
            <w:tcW w:w="1134" w:type="dxa"/>
          </w:tcPr>
          <w:p w14:paraId="01938257" w14:textId="77777777" w:rsidR="00AB7D68" w:rsidRPr="00EF3535" w:rsidRDefault="00AB7D68" w:rsidP="00EF3535">
            <w:pPr>
              <w:tabs>
                <w:tab w:val="center" w:pos="8367"/>
              </w:tabs>
              <w:spacing w:line="260" w:lineRule="exact"/>
              <w:jc w:val="center"/>
              <w:rPr>
                <w:sz w:val="22"/>
              </w:rPr>
            </w:pPr>
          </w:p>
        </w:tc>
      </w:tr>
      <w:tr w:rsidR="00AB7D68" w:rsidRPr="00EF3535" w14:paraId="489FACB5" w14:textId="77777777">
        <w:tc>
          <w:tcPr>
            <w:tcW w:w="8023" w:type="dxa"/>
          </w:tcPr>
          <w:p w14:paraId="66E6B670" w14:textId="77777777" w:rsidR="00AB7D68" w:rsidRPr="00EF3535" w:rsidRDefault="00AB7D68" w:rsidP="00EF3535">
            <w:pPr>
              <w:tabs>
                <w:tab w:val="center" w:pos="8367"/>
              </w:tabs>
              <w:spacing w:line="260" w:lineRule="exact"/>
              <w:rPr>
                <w:sz w:val="22"/>
              </w:rPr>
            </w:pPr>
          </w:p>
        </w:tc>
        <w:tc>
          <w:tcPr>
            <w:tcW w:w="1134" w:type="dxa"/>
          </w:tcPr>
          <w:p w14:paraId="3BF1DC5D" w14:textId="77777777" w:rsidR="00AB7D68" w:rsidRPr="00EF3535" w:rsidRDefault="00AB7D68" w:rsidP="00EF3535">
            <w:pPr>
              <w:tabs>
                <w:tab w:val="center" w:pos="8367"/>
              </w:tabs>
              <w:spacing w:line="260" w:lineRule="exact"/>
              <w:jc w:val="center"/>
              <w:rPr>
                <w:sz w:val="22"/>
              </w:rPr>
            </w:pPr>
          </w:p>
        </w:tc>
      </w:tr>
      <w:tr w:rsidR="00AB7D68" w:rsidRPr="00EF3535" w14:paraId="31977F99" w14:textId="77777777">
        <w:tc>
          <w:tcPr>
            <w:tcW w:w="8023" w:type="dxa"/>
          </w:tcPr>
          <w:p w14:paraId="30B17C30" w14:textId="77777777" w:rsidR="00AB7D68" w:rsidRPr="00EF3535" w:rsidRDefault="00AB7D68" w:rsidP="00EF3535">
            <w:pPr>
              <w:tabs>
                <w:tab w:val="center" w:pos="8367"/>
              </w:tabs>
              <w:spacing w:line="260" w:lineRule="exact"/>
              <w:rPr>
                <w:sz w:val="22"/>
              </w:rPr>
            </w:pPr>
            <w:r w:rsidRPr="00EF3535">
              <w:rPr>
                <w:rFonts w:hint="cs"/>
                <w:sz w:val="22"/>
                <w:rtl/>
              </w:rPr>
              <w:t>באורים לדוחות הכספיים ביניים מאוחדים</w:t>
            </w:r>
          </w:p>
        </w:tc>
        <w:tc>
          <w:tcPr>
            <w:tcW w:w="1134" w:type="dxa"/>
          </w:tcPr>
          <w:p w14:paraId="23F60E83" w14:textId="77777777" w:rsidR="00AB7D68" w:rsidRPr="00EF3535" w:rsidRDefault="00AB7D68" w:rsidP="00EF3535">
            <w:pPr>
              <w:tabs>
                <w:tab w:val="center" w:pos="8367"/>
              </w:tabs>
              <w:spacing w:line="260" w:lineRule="exact"/>
              <w:jc w:val="center"/>
              <w:rPr>
                <w:sz w:val="22"/>
              </w:rPr>
            </w:pPr>
          </w:p>
        </w:tc>
      </w:tr>
    </w:tbl>
    <w:p w14:paraId="1C06D96A" w14:textId="77777777" w:rsidR="00AB7D68" w:rsidRDefault="00AB7D68">
      <w:pPr>
        <w:jc w:val="center"/>
        <w:rPr>
          <w:rtl/>
        </w:rPr>
      </w:pPr>
    </w:p>
    <w:p w14:paraId="4DCF8043" w14:textId="77777777" w:rsidR="00AB7D68" w:rsidRDefault="00AB7D68">
      <w:pPr>
        <w:jc w:val="center"/>
        <w:rPr>
          <w:rtl/>
        </w:rPr>
      </w:pPr>
    </w:p>
    <w:p w14:paraId="2C78727E" w14:textId="77777777" w:rsidR="00AB7D68" w:rsidRDefault="00AB7D68">
      <w:pPr>
        <w:jc w:val="center"/>
        <w:rPr>
          <w:rtl/>
        </w:rPr>
      </w:pPr>
    </w:p>
    <w:p w14:paraId="23CD11AF" w14:textId="77777777" w:rsidR="00AB7D68" w:rsidRDefault="00AB7D68">
      <w:pPr>
        <w:jc w:val="center"/>
        <w:rPr>
          <w:rtl/>
        </w:rPr>
      </w:pPr>
      <w:r>
        <w:rPr>
          <w:rFonts w:hint="cs"/>
          <w:rtl/>
        </w:rPr>
        <w:t xml:space="preserve">- - - - - - - - - - - - - - - - </w:t>
      </w:r>
    </w:p>
    <w:p w14:paraId="0D2C2C1C" w14:textId="77777777" w:rsidR="00AB7D68" w:rsidRDefault="00AB7D68">
      <w:pPr>
        <w:jc w:val="left"/>
        <w:rPr>
          <w:rtl/>
        </w:rPr>
      </w:pPr>
    </w:p>
    <w:p w14:paraId="72A4F739" w14:textId="77777777" w:rsidR="00AB7D68" w:rsidRDefault="00AB7D68">
      <w:pPr>
        <w:overflowPunct/>
        <w:autoSpaceDE/>
        <w:autoSpaceDN/>
        <w:adjustRightInd/>
        <w:jc w:val="left"/>
        <w:rPr>
          <w:rtl/>
        </w:rPr>
        <w:sectPr w:rsidR="00AB7D68" w:rsidSect="00BA7D9A">
          <w:footnotePr>
            <w:numRestart w:val="eachPage"/>
          </w:footnotePr>
          <w:endnotePr>
            <w:numFmt w:val="lowerLetter"/>
          </w:endnotePr>
          <w:pgSz w:w="11907" w:h="16840" w:code="9"/>
          <w:pgMar w:top="567" w:right="1134" w:bottom="1134" w:left="1134" w:header="567" w:footer="567" w:gutter="0"/>
          <w:cols w:space="720"/>
          <w:bidi/>
          <w:rtlGutter/>
        </w:sectPr>
      </w:pPr>
    </w:p>
    <w:p w14:paraId="3DAD49BB" w14:textId="77777777" w:rsidR="00F41C12" w:rsidRDefault="00B2665D">
      <w:pPr>
        <w:pBdr>
          <w:bottom w:val="single" w:sz="12" w:space="1" w:color="auto"/>
        </w:pBdr>
        <w:rPr>
          <w:b/>
          <w:bCs/>
          <w:rtl/>
        </w:rPr>
      </w:pPr>
      <w:bookmarkStart w:id="7" w:name="_Toc60984407"/>
      <w:bookmarkStart w:id="8" w:name="_Toc51575740"/>
      <w:bookmarkStart w:id="9" w:name="_Toc29797695"/>
      <w:bookmarkStart w:id="10" w:name="_Toc29797467"/>
      <w:bookmarkStart w:id="11" w:name="_Toc29796628"/>
      <w:bookmarkStart w:id="12" w:name="_Toc26614781"/>
      <w:bookmarkStart w:id="13" w:name="_Toc26607708"/>
      <w:bookmarkStart w:id="14" w:name="_Toc26607179"/>
      <w:bookmarkStart w:id="15" w:name="_Toc535127673"/>
      <w:bookmarkStart w:id="16" w:name="_Toc532800353"/>
      <w:r>
        <w:rPr>
          <w:rFonts w:hint="cs"/>
          <w:b/>
          <w:bCs/>
          <w:rtl/>
        </w:rPr>
        <w:lastRenderedPageBreak/>
        <w:t xml:space="preserve">דוחות </w:t>
      </w:r>
      <w:r w:rsidR="00AB7D68" w:rsidRPr="00785F4C">
        <w:rPr>
          <w:rFonts w:hint="cs"/>
          <w:b/>
          <w:bCs/>
          <w:rtl/>
        </w:rPr>
        <w:t>מאוחדים</w:t>
      </w:r>
      <w:bookmarkEnd w:id="7"/>
      <w:bookmarkEnd w:id="8"/>
      <w:bookmarkEnd w:id="9"/>
      <w:bookmarkEnd w:id="10"/>
      <w:bookmarkEnd w:id="11"/>
      <w:bookmarkEnd w:id="12"/>
      <w:bookmarkEnd w:id="13"/>
      <w:bookmarkEnd w:id="14"/>
      <w:bookmarkEnd w:id="15"/>
      <w:bookmarkEnd w:id="16"/>
      <w:r>
        <w:rPr>
          <w:rFonts w:hint="cs"/>
          <w:b/>
          <w:bCs/>
          <w:rtl/>
        </w:rPr>
        <w:t xml:space="preserve"> על המצב הכספי</w:t>
      </w:r>
    </w:p>
    <w:p w14:paraId="58CAD9E3" w14:textId="77777777" w:rsidR="009C5FD1" w:rsidRPr="0068174A" w:rsidRDefault="009C5FD1" w:rsidP="0068174A">
      <w:pPr>
        <w:spacing w:line="240" w:lineRule="auto"/>
        <w:rPr>
          <w:sz w:val="10"/>
          <w:szCs w:val="14"/>
        </w:rPr>
      </w:pPr>
    </w:p>
    <w:tbl>
      <w:tblPr>
        <w:bidiVisual/>
        <w:tblW w:w="9710" w:type="dxa"/>
        <w:tblInd w:w="-118" w:type="dxa"/>
        <w:tblLayout w:type="fixed"/>
        <w:tblCellMar>
          <w:left w:w="0" w:type="dxa"/>
          <w:right w:w="0" w:type="dxa"/>
        </w:tblCellMar>
        <w:tblLook w:val="01E0" w:firstRow="1" w:lastRow="1" w:firstColumn="1" w:lastColumn="1" w:noHBand="0" w:noVBand="0"/>
      </w:tblPr>
      <w:tblGrid>
        <w:gridCol w:w="1426"/>
        <w:gridCol w:w="4323"/>
        <w:gridCol w:w="113"/>
        <w:gridCol w:w="1134"/>
        <w:gridCol w:w="19"/>
        <w:gridCol w:w="200"/>
        <w:gridCol w:w="1134"/>
        <w:gridCol w:w="170"/>
        <w:gridCol w:w="1191"/>
      </w:tblGrid>
      <w:tr w:rsidR="00AF10DB" w:rsidRPr="00255307" w14:paraId="53825749" w14:textId="77777777" w:rsidTr="001521F8">
        <w:tc>
          <w:tcPr>
            <w:tcW w:w="1426" w:type="dxa"/>
            <w:tcBorders>
              <w:bottom w:val="single" w:sz="6" w:space="0" w:color="auto"/>
              <w:right w:val="single" w:sz="6" w:space="0" w:color="auto"/>
            </w:tcBorders>
          </w:tcPr>
          <w:p w14:paraId="5D614DFB" w14:textId="77777777" w:rsidR="00AF10DB" w:rsidRPr="00255307" w:rsidRDefault="00AF10DB" w:rsidP="00255307">
            <w:pPr>
              <w:pStyle w:val="a3"/>
              <w:bidi w:val="0"/>
              <w:jc w:val="right"/>
              <w:rPr>
                <w:i/>
                <w:iCs/>
                <w:sz w:val="13"/>
                <w:szCs w:val="13"/>
                <w:rtl/>
              </w:rPr>
            </w:pPr>
            <w:r w:rsidRPr="00255307">
              <w:rPr>
                <w:i/>
                <w:iCs/>
                <w:sz w:val="13"/>
                <w:szCs w:val="13"/>
              </w:rPr>
              <w:t>IAS 1.10(a); IAS 1.51(b); (c), IAS 34.10</w:t>
            </w:r>
          </w:p>
        </w:tc>
        <w:tc>
          <w:tcPr>
            <w:tcW w:w="4323" w:type="dxa"/>
            <w:tcBorders>
              <w:left w:val="single" w:sz="6" w:space="0" w:color="auto"/>
            </w:tcBorders>
            <w:shd w:val="clear" w:color="auto" w:fill="auto"/>
            <w:vAlign w:val="bottom"/>
          </w:tcPr>
          <w:p w14:paraId="78F96F45" w14:textId="77777777" w:rsidR="00AF10DB" w:rsidRPr="00255307" w:rsidRDefault="00AF10DB" w:rsidP="00255307">
            <w:pPr>
              <w:pStyle w:val="a3"/>
              <w:jc w:val="center"/>
              <w:rPr>
                <w:sz w:val="22"/>
                <w:rtl/>
              </w:rPr>
            </w:pPr>
          </w:p>
        </w:tc>
        <w:tc>
          <w:tcPr>
            <w:tcW w:w="113" w:type="dxa"/>
            <w:shd w:val="clear" w:color="auto" w:fill="auto"/>
            <w:vAlign w:val="bottom"/>
          </w:tcPr>
          <w:p w14:paraId="142EA926" w14:textId="77777777" w:rsidR="00AF10DB" w:rsidRPr="00255307" w:rsidRDefault="00AF10DB" w:rsidP="00255307">
            <w:pPr>
              <w:pStyle w:val="a3"/>
              <w:jc w:val="center"/>
              <w:rPr>
                <w:sz w:val="22"/>
                <w:rtl/>
              </w:rPr>
            </w:pPr>
          </w:p>
        </w:tc>
        <w:tc>
          <w:tcPr>
            <w:tcW w:w="2487" w:type="dxa"/>
            <w:gridSpan w:val="4"/>
            <w:tcBorders>
              <w:bottom w:val="single" w:sz="6" w:space="0" w:color="auto"/>
            </w:tcBorders>
            <w:shd w:val="clear" w:color="auto" w:fill="auto"/>
            <w:vAlign w:val="bottom"/>
          </w:tcPr>
          <w:p w14:paraId="5D1BCCAD" w14:textId="77777777" w:rsidR="00AF10DB" w:rsidRPr="00255307" w:rsidRDefault="00AF10DB" w:rsidP="00255307">
            <w:pPr>
              <w:pStyle w:val="a3"/>
              <w:jc w:val="center"/>
              <w:rPr>
                <w:sz w:val="22"/>
                <w:rtl/>
              </w:rPr>
            </w:pPr>
            <w:r w:rsidRPr="00255307">
              <w:rPr>
                <w:rFonts w:hint="cs"/>
                <w:sz w:val="22"/>
                <w:rtl/>
              </w:rPr>
              <w:t>ליום 30 בספטמבר</w:t>
            </w:r>
          </w:p>
        </w:tc>
        <w:tc>
          <w:tcPr>
            <w:tcW w:w="170" w:type="dxa"/>
          </w:tcPr>
          <w:p w14:paraId="0E87F9B1" w14:textId="77777777" w:rsidR="00AF10DB" w:rsidRPr="00255307" w:rsidRDefault="00AF10DB" w:rsidP="00255307">
            <w:pPr>
              <w:pStyle w:val="a3"/>
              <w:jc w:val="center"/>
              <w:rPr>
                <w:sz w:val="22"/>
                <w:rtl/>
              </w:rPr>
            </w:pPr>
          </w:p>
        </w:tc>
        <w:tc>
          <w:tcPr>
            <w:tcW w:w="1191" w:type="dxa"/>
            <w:shd w:val="clear" w:color="auto" w:fill="auto"/>
            <w:vAlign w:val="bottom"/>
          </w:tcPr>
          <w:p w14:paraId="1182C3E9" w14:textId="77777777" w:rsidR="00AF10DB" w:rsidRPr="00255307" w:rsidRDefault="00AF10DB" w:rsidP="00255307">
            <w:pPr>
              <w:pStyle w:val="a3"/>
              <w:jc w:val="center"/>
              <w:rPr>
                <w:sz w:val="22"/>
                <w:rtl/>
              </w:rPr>
            </w:pPr>
            <w:r w:rsidRPr="00255307">
              <w:rPr>
                <w:rFonts w:hint="cs"/>
                <w:sz w:val="22"/>
                <w:rtl/>
              </w:rPr>
              <w:t>ליום</w:t>
            </w:r>
          </w:p>
          <w:p w14:paraId="60A2757E" w14:textId="77777777" w:rsidR="00AF10DB" w:rsidRPr="00255307" w:rsidRDefault="00AF10DB" w:rsidP="00255307">
            <w:pPr>
              <w:pStyle w:val="a3"/>
              <w:jc w:val="center"/>
              <w:rPr>
                <w:sz w:val="22"/>
                <w:rtl/>
              </w:rPr>
            </w:pPr>
            <w:r w:rsidRPr="00255307">
              <w:rPr>
                <w:rFonts w:hint="cs"/>
                <w:sz w:val="22"/>
                <w:rtl/>
              </w:rPr>
              <w:t>31 בדצמבר</w:t>
            </w:r>
          </w:p>
        </w:tc>
      </w:tr>
      <w:tr w:rsidR="00AF10DB" w:rsidRPr="00255307" w14:paraId="2BDA7E95" w14:textId="77777777" w:rsidTr="001521F8">
        <w:tc>
          <w:tcPr>
            <w:tcW w:w="1426" w:type="dxa"/>
            <w:tcBorders>
              <w:top w:val="single" w:sz="6" w:space="0" w:color="auto"/>
            </w:tcBorders>
          </w:tcPr>
          <w:p w14:paraId="4A5B76AB" w14:textId="77777777" w:rsidR="00AF10DB" w:rsidRPr="00255307" w:rsidRDefault="00AF10DB" w:rsidP="00255307">
            <w:pPr>
              <w:pStyle w:val="a3"/>
              <w:bidi w:val="0"/>
              <w:jc w:val="right"/>
              <w:rPr>
                <w:sz w:val="13"/>
                <w:szCs w:val="13"/>
                <w:rtl/>
              </w:rPr>
            </w:pPr>
          </w:p>
        </w:tc>
        <w:tc>
          <w:tcPr>
            <w:tcW w:w="4323" w:type="dxa"/>
            <w:shd w:val="clear" w:color="auto" w:fill="auto"/>
            <w:vAlign w:val="bottom"/>
          </w:tcPr>
          <w:p w14:paraId="31E44E38" w14:textId="77777777" w:rsidR="00AF10DB" w:rsidRPr="00255307" w:rsidRDefault="00AF10DB" w:rsidP="00255307">
            <w:pPr>
              <w:pStyle w:val="a3"/>
              <w:jc w:val="center"/>
              <w:rPr>
                <w:sz w:val="22"/>
                <w:rtl/>
              </w:rPr>
            </w:pPr>
          </w:p>
        </w:tc>
        <w:tc>
          <w:tcPr>
            <w:tcW w:w="113" w:type="dxa"/>
            <w:shd w:val="clear" w:color="auto" w:fill="auto"/>
            <w:vAlign w:val="bottom"/>
          </w:tcPr>
          <w:p w14:paraId="1E999ADB" w14:textId="77777777" w:rsidR="00AF10DB" w:rsidRPr="00255307" w:rsidRDefault="00AF10DB" w:rsidP="00255307">
            <w:pPr>
              <w:pStyle w:val="a3"/>
              <w:jc w:val="center"/>
              <w:rPr>
                <w:sz w:val="22"/>
                <w:rtl/>
              </w:rPr>
            </w:pPr>
          </w:p>
        </w:tc>
        <w:tc>
          <w:tcPr>
            <w:tcW w:w="1134" w:type="dxa"/>
            <w:tcBorders>
              <w:top w:val="single" w:sz="6" w:space="0" w:color="auto"/>
              <w:bottom w:val="single" w:sz="6" w:space="0" w:color="auto"/>
            </w:tcBorders>
            <w:shd w:val="clear" w:color="auto" w:fill="auto"/>
            <w:vAlign w:val="bottom"/>
          </w:tcPr>
          <w:p w14:paraId="05D6753D" w14:textId="36A09F00" w:rsidR="008D22FA" w:rsidRPr="00255307" w:rsidRDefault="004A4A6B" w:rsidP="00E21527">
            <w:pPr>
              <w:pStyle w:val="a3"/>
              <w:jc w:val="center"/>
              <w:rPr>
                <w:sz w:val="22"/>
                <w:u w:val="single"/>
                <w:rtl/>
              </w:rPr>
            </w:pPr>
            <w:r>
              <w:rPr>
                <w:rFonts w:hint="cs"/>
                <w:sz w:val="22"/>
                <w:rtl/>
              </w:rPr>
              <w:t>201</w:t>
            </w:r>
            <w:r w:rsidR="00E21527">
              <w:rPr>
                <w:rFonts w:hint="cs"/>
                <w:sz w:val="22"/>
                <w:rtl/>
              </w:rPr>
              <w:t>9</w:t>
            </w:r>
          </w:p>
        </w:tc>
        <w:tc>
          <w:tcPr>
            <w:tcW w:w="219" w:type="dxa"/>
            <w:gridSpan w:val="2"/>
            <w:tcBorders>
              <w:top w:val="single" w:sz="6" w:space="0" w:color="auto"/>
            </w:tcBorders>
            <w:shd w:val="clear" w:color="auto" w:fill="auto"/>
            <w:vAlign w:val="bottom"/>
          </w:tcPr>
          <w:p w14:paraId="0F5C690C" w14:textId="77777777" w:rsidR="00AF10DB" w:rsidRPr="00255307" w:rsidRDefault="00AF10DB" w:rsidP="00255307">
            <w:pPr>
              <w:pStyle w:val="a3"/>
              <w:jc w:val="center"/>
              <w:rPr>
                <w:sz w:val="22"/>
                <w:rtl/>
              </w:rPr>
            </w:pPr>
          </w:p>
        </w:tc>
        <w:tc>
          <w:tcPr>
            <w:tcW w:w="1134" w:type="dxa"/>
            <w:tcBorders>
              <w:top w:val="single" w:sz="6" w:space="0" w:color="auto"/>
              <w:bottom w:val="single" w:sz="6" w:space="0" w:color="auto"/>
            </w:tcBorders>
            <w:shd w:val="clear" w:color="auto" w:fill="auto"/>
            <w:vAlign w:val="bottom"/>
          </w:tcPr>
          <w:p w14:paraId="6736BA90" w14:textId="7E0F32C9" w:rsidR="008D22FA" w:rsidRPr="00255307" w:rsidRDefault="004F7D3D" w:rsidP="00E21527">
            <w:pPr>
              <w:pStyle w:val="a3"/>
              <w:jc w:val="center"/>
              <w:rPr>
                <w:sz w:val="22"/>
                <w:u w:val="single"/>
                <w:rtl/>
              </w:rPr>
            </w:pPr>
            <w:r>
              <w:rPr>
                <w:rFonts w:hint="cs"/>
                <w:sz w:val="22"/>
                <w:rtl/>
              </w:rPr>
              <w:t>201</w:t>
            </w:r>
            <w:r w:rsidR="00E21527">
              <w:rPr>
                <w:rFonts w:hint="cs"/>
                <w:sz w:val="22"/>
                <w:rtl/>
              </w:rPr>
              <w:t>8</w:t>
            </w:r>
          </w:p>
        </w:tc>
        <w:tc>
          <w:tcPr>
            <w:tcW w:w="170" w:type="dxa"/>
          </w:tcPr>
          <w:p w14:paraId="39A011E9" w14:textId="77777777" w:rsidR="00AF10DB" w:rsidRPr="00255307" w:rsidRDefault="00AF10DB" w:rsidP="00255307">
            <w:pPr>
              <w:pStyle w:val="a3"/>
              <w:jc w:val="center"/>
              <w:rPr>
                <w:sz w:val="22"/>
                <w:rtl/>
              </w:rPr>
            </w:pPr>
          </w:p>
        </w:tc>
        <w:tc>
          <w:tcPr>
            <w:tcW w:w="1191" w:type="dxa"/>
            <w:tcBorders>
              <w:bottom w:val="single" w:sz="6" w:space="0" w:color="auto"/>
            </w:tcBorders>
            <w:shd w:val="clear" w:color="auto" w:fill="auto"/>
            <w:vAlign w:val="bottom"/>
          </w:tcPr>
          <w:p w14:paraId="4CDBEB30" w14:textId="5283EE38" w:rsidR="008D22FA" w:rsidRPr="00255307" w:rsidRDefault="004F7D3D" w:rsidP="00E21527">
            <w:pPr>
              <w:pStyle w:val="a3"/>
              <w:jc w:val="center"/>
              <w:rPr>
                <w:sz w:val="22"/>
                <w:u w:val="single"/>
                <w:rtl/>
              </w:rPr>
            </w:pPr>
            <w:r>
              <w:rPr>
                <w:rFonts w:hint="cs"/>
                <w:sz w:val="22"/>
                <w:rtl/>
              </w:rPr>
              <w:t>201</w:t>
            </w:r>
            <w:r w:rsidR="00E21527">
              <w:rPr>
                <w:rFonts w:hint="cs"/>
                <w:sz w:val="22"/>
                <w:rtl/>
              </w:rPr>
              <w:t>8</w:t>
            </w:r>
          </w:p>
        </w:tc>
      </w:tr>
      <w:tr w:rsidR="00AF10DB" w:rsidRPr="00255307" w14:paraId="550B2C98" w14:textId="77777777" w:rsidTr="001521F8">
        <w:tc>
          <w:tcPr>
            <w:tcW w:w="1426" w:type="dxa"/>
          </w:tcPr>
          <w:p w14:paraId="7836F46A" w14:textId="77777777" w:rsidR="00AF10DB" w:rsidRPr="00255307" w:rsidRDefault="00AF10DB" w:rsidP="00255307">
            <w:pPr>
              <w:pStyle w:val="a3"/>
              <w:bidi w:val="0"/>
              <w:jc w:val="right"/>
              <w:rPr>
                <w:sz w:val="13"/>
                <w:szCs w:val="13"/>
                <w:rtl/>
              </w:rPr>
            </w:pPr>
          </w:p>
        </w:tc>
        <w:tc>
          <w:tcPr>
            <w:tcW w:w="4323" w:type="dxa"/>
            <w:shd w:val="clear" w:color="auto" w:fill="auto"/>
            <w:vAlign w:val="bottom"/>
          </w:tcPr>
          <w:p w14:paraId="6F4B81FD" w14:textId="77777777" w:rsidR="00AF10DB" w:rsidRPr="00255307" w:rsidRDefault="00AF10DB" w:rsidP="00255307">
            <w:pPr>
              <w:pStyle w:val="a3"/>
              <w:jc w:val="center"/>
              <w:rPr>
                <w:sz w:val="22"/>
                <w:rtl/>
              </w:rPr>
            </w:pPr>
          </w:p>
        </w:tc>
        <w:tc>
          <w:tcPr>
            <w:tcW w:w="113" w:type="dxa"/>
            <w:shd w:val="clear" w:color="auto" w:fill="auto"/>
            <w:vAlign w:val="bottom"/>
          </w:tcPr>
          <w:p w14:paraId="3EC6ADF0" w14:textId="77777777" w:rsidR="00AF10DB" w:rsidRPr="00255307" w:rsidRDefault="00AF10DB" w:rsidP="00255307">
            <w:pPr>
              <w:pStyle w:val="a3"/>
              <w:jc w:val="center"/>
              <w:rPr>
                <w:sz w:val="22"/>
                <w:rtl/>
              </w:rPr>
            </w:pPr>
          </w:p>
        </w:tc>
        <w:tc>
          <w:tcPr>
            <w:tcW w:w="2487" w:type="dxa"/>
            <w:gridSpan w:val="4"/>
            <w:tcBorders>
              <w:bottom w:val="single" w:sz="6" w:space="0" w:color="auto"/>
            </w:tcBorders>
            <w:shd w:val="clear" w:color="auto" w:fill="auto"/>
            <w:vAlign w:val="bottom"/>
          </w:tcPr>
          <w:p w14:paraId="670BA0BC" w14:textId="77777777" w:rsidR="00AF10DB" w:rsidRPr="00255307" w:rsidRDefault="00AF10DB" w:rsidP="00255307">
            <w:pPr>
              <w:pStyle w:val="a3"/>
              <w:jc w:val="center"/>
              <w:rPr>
                <w:sz w:val="22"/>
                <w:rtl/>
              </w:rPr>
            </w:pPr>
            <w:r w:rsidRPr="00255307">
              <w:rPr>
                <w:rFonts w:hint="cs"/>
                <w:sz w:val="22"/>
                <w:rtl/>
              </w:rPr>
              <w:t>בלתי מבוקר</w:t>
            </w:r>
          </w:p>
        </w:tc>
        <w:tc>
          <w:tcPr>
            <w:tcW w:w="170" w:type="dxa"/>
          </w:tcPr>
          <w:p w14:paraId="44223040" w14:textId="77777777" w:rsidR="00AF10DB" w:rsidRPr="00255307" w:rsidRDefault="00AF10DB" w:rsidP="00255307">
            <w:pPr>
              <w:pStyle w:val="a3"/>
              <w:jc w:val="center"/>
              <w:rPr>
                <w:sz w:val="22"/>
                <w:rtl/>
              </w:rPr>
            </w:pPr>
          </w:p>
        </w:tc>
        <w:tc>
          <w:tcPr>
            <w:tcW w:w="1191" w:type="dxa"/>
            <w:tcBorders>
              <w:bottom w:val="single" w:sz="6" w:space="0" w:color="auto"/>
            </w:tcBorders>
            <w:shd w:val="clear" w:color="auto" w:fill="auto"/>
            <w:vAlign w:val="bottom"/>
          </w:tcPr>
          <w:p w14:paraId="6EA1ECED" w14:textId="77777777" w:rsidR="00AF10DB" w:rsidRPr="00255307" w:rsidRDefault="00AF10DB" w:rsidP="00255307">
            <w:pPr>
              <w:pStyle w:val="a3"/>
              <w:jc w:val="center"/>
              <w:rPr>
                <w:sz w:val="22"/>
                <w:rtl/>
              </w:rPr>
            </w:pPr>
            <w:r w:rsidRPr="00255307">
              <w:rPr>
                <w:rFonts w:hint="cs"/>
                <w:sz w:val="22"/>
                <w:rtl/>
              </w:rPr>
              <w:t>מבוקר</w:t>
            </w:r>
          </w:p>
        </w:tc>
      </w:tr>
      <w:tr w:rsidR="00F27B9D" w:rsidRPr="00255307" w14:paraId="6FDA8E25" w14:textId="77777777" w:rsidTr="001521F8">
        <w:tc>
          <w:tcPr>
            <w:tcW w:w="1426" w:type="dxa"/>
          </w:tcPr>
          <w:p w14:paraId="28BA9DA9" w14:textId="77777777" w:rsidR="00F27B9D" w:rsidRPr="00255307" w:rsidRDefault="00F27B9D" w:rsidP="00255307">
            <w:pPr>
              <w:pStyle w:val="a3"/>
              <w:bidi w:val="0"/>
              <w:jc w:val="right"/>
              <w:rPr>
                <w:sz w:val="13"/>
                <w:szCs w:val="13"/>
                <w:rtl/>
              </w:rPr>
            </w:pPr>
          </w:p>
        </w:tc>
        <w:tc>
          <w:tcPr>
            <w:tcW w:w="4323" w:type="dxa"/>
            <w:shd w:val="clear" w:color="auto" w:fill="auto"/>
            <w:vAlign w:val="bottom"/>
          </w:tcPr>
          <w:p w14:paraId="1A3F1917" w14:textId="77777777" w:rsidR="00F27B9D" w:rsidRPr="00255307" w:rsidRDefault="00F27B9D" w:rsidP="00255307">
            <w:pPr>
              <w:pStyle w:val="a3"/>
              <w:jc w:val="center"/>
              <w:rPr>
                <w:sz w:val="22"/>
                <w:rtl/>
              </w:rPr>
            </w:pPr>
          </w:p>
        </w:tc>
        <w:tc>
          <w:tcPr>
            <w:tcW w:w="113" w:type="dxa"/>
            <w:shd w:val="clear" w:color="auto" w:fill="auto"/>
            <w:vAlign w:val="bottom"/>
          </w:tcPr>
          <w:p w14:paraId="01B23FC8" w14:textId="77777777" w:rsidR="00F27B9D" w:rsidRPr="00255307" w:rsidRDefault="00F27B9D" w:rsidP="00255307">
            <w:pPr>
              <w:pStyle w:val="a3"/>
              <w:jc w:val="center"/>
              <w:rPr>
                <w:sz w:val="22"/>
                <w:rtl/>
              </w:rPr>
            </w:pPr>
          </w:p>
        </w:tc>
        <w:tc>
          <w:tcPr>
            <w:tcW w:w="1153" w:type="dxa"/>
            <w:gridSpan w:val="2"/>
            <w:tcBorders>
              <w:bottom w:val="single" w:sz="6" w:space="0" w:color="auto"/>
            </w:tcBorders>
            <w:shd w:val="clear" w:color="auto" w:fill="auto"/>
            <w:vAlign w:val="bottom"/>
          </w:tcPr>
          <w:p w14:paraId="2E458684" w14:textId="77777777" w:rsidR="00F27B9D" w:rsidRPr="00B62C8D" w:rsidRDefault="00F27B9D" w:rsidP="00B62C8D">
            <w:pPr>
              <w:tabs>
                <w:tab w:val="decimal" w:pos="113"/>
              </w:tabs>
              <w:spacing w:line="200" w:lineRule="exact"/>
              <w:jc w:val="center"/>
              <w:rPr>
                <w:i/>
                <w:iCs/>
                <w:sz w:val="13"/>
                <w:szCs w:val="13"/>
                <w:rtl/>
              </w:rPr>
            </w:pPr>
            <w:r w:rsidRPr="00B62C8D">
              <w:rPr>
                <w:i/>
                <w:iCs/>
                <w:sz w:val="13"/>
                <w:szCs w:val="13"/>
              </w:rPr>
              <w:t>IAS 1.51(d), (e)</w:t>
            </w:r>
          </w:p>
        </w:tc>
        <w:tc>
          <w:tcPr>
            <w:tcW w:w="2695" w:type="dxa"/>
            <w:gridSpan w:val="4"/>
            <w:tcBorders>
              <w:bottom w:val="single" w:sz="6" w:space="0" w:color="auto"/>
            </w:tcBorders>
            <w:shd w:val="clear" w:color="auto" w:fill="auto"/>
            <w:vAlign w:val="bottom"/>
          </w:tcPr>
          <w:p w14:paraId="3C464BE6" w14:textId="77777777" w:rsidR="00F27B9D" w:rsidRPr="00255307" w:rsidRDefault="00F27B9D" w:rsidP="00255307">
            <w:pPr>
              <w:pStyle w:val="a3"/>
              <w:rPr>
                <w:sz w:val="22"/>
                <w:rtl/>
              </w:rPr>
            </w:pPr>
            <w:r w:rsidRPr="00255307">
              <w:rPr>
                <w:rFonts w:hint="cs"/>
                <w:sz w:val="22"/>
                <w:rtl/>
              </w:rPr>
              <w:t>אלפי ש"ח</w:t>
            </w:r>
          </w:p>
        </w:tc>
      </w:tr>
      <w:tr w:rsidR="00F27B9D" w:rsidRPr="00255307" w14:paraId="5AE7D7BB" w14:textId="77777777" w:rsidTr="001521F8">
        <w:tc>
          <w:tcPr>
            <w:tcW w:w="1426" w:type="dxa"/>
            <w:tcBorders>
              <w:bottom w:val="single" w:sz="6" w:space="0" w:color="auto"/>
              <w:right w:val="single" w:sz="6" w:space="0" w:color="auto"/>
            </w:tcBorders>
          </w:tcPr>
          <w:p w14:paraId="2E8C083F"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u w:val="single"/>
                <w:rtl/>
              </w:rPr>
            </w:pPr>
            <w:r w:rsidRPr="00255307">
              <w:rPr>
                <w:i/>
                <w:iCs/>
                <w:sz w:val="13"/>
                <w:szCs w:val="13"/>
              </w:rPr>
              <w:t>IAS 1.60, 66</w:t>
            </w:r>
          </w:p>
        </w:tc>
        <w:tc>
          <w:tcPr>
            <w:tcW w:w="4323" w:type="dxa"/>
            <w:tcBorders>
              <w:left w:val="single" w:sz="6" w:space="0" w:color="auto"/>
            </w:tcBorders>
            <w:shd w:val="clear" w:color="auto" w:fill="auto"/>
            <w:vAlign w:val="bottom"/>
          </w:tcPr>
          <w:p w14:paraId="4D251474" w14:textId="77777777" w:rsidR="00F27B9D" w:rsidRPr="00255307" w:rsidRDefault="00F27B9D" w:rsidP="00255307">
            <w:pPr>
              <w:tabs>
                <w:tab w:val="left" w:pos="227"/>
                <w:tab w:val="left" w:pos="397"/>
                <w:tab w:val="left" w:pos="567"/>
              </w:tabs>
              <w:spacing w:line="240" w:lineRule="exact"/>
              <w:ind w:firstLine="57"/>
              <w:rPr>
                <w:sz w:val="22"/>
                <w:u w:val="single"/>
              </w:rPr>
            </w:pPr>
            <w:r w:rsidRPr="00255307">
              <w:rPr>
                <w:rFonts w:hint="cs"/>
                <w:sz w:val="22"/>
                <w:u w:val="single"/>
                <w:rtl/>
              </w:rPr>
              <w:t>נכסים שוטפים</w:t>
            </w:r>
          </w:p>
        </w:tc>
        <w:tc>
          <w:tcPr>
            <w:tcW w:w="113" w:type="dxa"/>
            <w:shd w:val="clear" w:color="auto" w:fill="auto"/>
            <w:vAlign w:val="bottom"/>
          </w:tcPr>
          <w:p w14:paraId="228E8F7E" w14:textId="77777777" w:rsidR="00F27B9D" w:rsidRPr="00255307" w:rsidRDefault="00F27B9D" w:rsidP="00255307">
            <w:pPr>
              <w:pStyle w:val="a3"/>
              <w:jc w:val="center"/>
              <w:rPr>
                <w:sz w:val="22"/>
                <w:rtl/>
              </w:rPr>
            </w:pPr>
          </w:p>
        </w:tc>
        <w:tc>
          <w:tcPr>
            <w:tcW w:w="1134" w:type="dxa"/>
            <w:shd w:val="clear" w:color="auto" w:fill="auto"/>
            <w:vAlign w:val="bottom"/>
          </w:tcPr>
          <w:p w14:paraId="52239716" w14:textId="77777777" w:rsidR="00F27B9D" w:rsidRPr="00B62C8D" w:rsidRDefault="00F27B9D" w:rsidP="00255307">
            <w:pPr>
              <w:pStyle w:val="a3"/>
              <w:widowControl/>
              <w:tabs>
                <w:tab w:val="decimal" w:pos="74"/>
              </w:tabs>
              <w:jc w:val="both"/>
              <w:rPr>
                <w:i/>
                <w:iCs/>
                <w:sz w:val="13"/>
                <w:szCs w:val="13"/>
                <w:rtl/>
              </w:rPr>
            </w:pPr>
          </w:p>
        </w:tc>
        <w:tc>
          <w:tcPr>
            <w:tcW w:w="219" w:type="dxa"/>
            <w:gridSpan w:val="2"/>
            <w:shd w:val="clear" w:color="auto" w:fill="auto"/>
            <w:vAlign w:val="bottom"/>
          </w:tcPr>
          <w:p w14:paraId="3A67F751"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4187AD7A" w14:textId="77777777" w:rsidR="00F27B9D" w:rsidRPr="00255307" w:rsidRDefault="00F27B9D" w:rsidP="00255307">
            <w:pPr>
              <w:pStyle w:val="a3"/>
              <w:widowControl/>
              <w:tabs>
                <w:tab w:val="decimal" w:pos="74"/>
              </w:tabs>
              <w:jc w:val="both"/>
              <w:rPr>
                <w:sz w:val="22"/>
                <w:rtl/>
              </w:rPr>
            </w:pPr>
          </w:p>
        </w:tc>
        <w:tc>
          <w:tcPr>
            <w:tcW w:w="170" w:type="dxa"/>
            <w:vAlign w:val="bottom"/>
          </w:tcPr>
          <w:p w14:paraId="0D16ED00"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438EDE02" w14:textId="77777777" w:rsidR="00F27B9D" w:rsidRPr="00255307" w:rsidRDefault="00F27B9D" w:rsidP="00255307">
            <w:pPr>
              <w:pStyle w:val="a3"/>
              <w:widowControl/>
              <w:tabs>
                <w:tab w:val="decimal" w:pos="74"/>
              </w:tabs>
              <w:jc w:val="both"/>
              <w:rPr>
                <w:sz w:val="22"/>
                <w:rtl/>
              </w:rPr>
            </w:pPr>
          </w:p>
        </w:tc>
      </w:tr>
      <w:tr w:rsidR="00F27B9D" w:rsidRPr="00255307" w14:paraId="5A129538" w14:textId="77777777" w:rsidTr="001521F8">
        <w:trPr>
          <w:trHeight w:val="20"/>
        </w:trPr>
        <w:tc>
          <w:tcPr>
            <w:tcW w:w="1426" w:type="dxa"/>
            <w:tcBorders>
              <w:top w:val="single" w:sz="6" w:space="0" w:color="auto"/>
            </w:tcBorders>
          </w:tcPr>
          <w:p w14:paraId="0B4BF515"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rPr>
            </w:pPr>
          </w:p>
        </w:tc>
        <w:tc>
          <w:tcPr>
            <w:tcW w:w="4323" w:type="dxa"/>
            <w:shd w:val="clear" w:color="auto" w:fill="auto"/>
            <w:vAlign w:val="bottom"/>
          </w:tcPr>
          <w:p w14:paraId="7C05D96D" w14:textId="77777777" w:rsidR="00F27B9D" w:rsidRPr="00255307" w:rsidRDefault="00F27B9D" w:rsidP="00255307">
            <w:pPr>
              <w:tabs>
                <w:tab w:val="left" w:pos="227"/>
                <w:tab w:val="left" w:pos="397"/>
                <w:tab w:val="left" w:pos="567"/>
              </w:tabs>
              <w:spacing w:line="240" w:lineRule="exact"/>
              <w:ind w:firstLine="57"/>
              <w:rPr>
                <w:sz w:val="22"/>
              </w:rPr>
            </w:pPr>
          </w:p>
        </w:tc>
        <w:tc>
          <w:tcPr>
            <w:tcW w:w="113" w:type="dxa"/>
            <w:shd w:val="clear" w:color="auto" w:fill="auto"/>
            <w:vAlign w:val="bottom"/>
          </w:tcPr>
          <w:p w14:paraId="077330A6" w14:textId="77777777" w:rsidR="00F27B9D" w:rsidRPr="00255307" w:rsidRDefault="00F27B9D" w:rsidP="00255307">
            <w:pPr>
              <w:pStyle w:val="a3"/>
              <w:jc w:val="center"/>
              <w:rPr>
                <w:sz w:val="22"/>
                <w:rtl/>
              </w:rPr>
            </w:pPr>
          </w:p>
        </w:tc>
        <w:tc>
          <w:tcPr>
            <w:tcW w:w="1134" w:type="dxa"/>
            <w:shd w:val="clear" w:color="auto" w:fill="auto"/>
            <w:vAlign w:val="bottom"/>
          </w:tcPr>
          <w:p w14:paraId="691E0221"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3F44A42C"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475B134F" w14:textId="77777777" w:rsidR="00F27B9D" w:rsidRPr="00255307" w:rsidRDefault="00F27B9D" w:rsidP="00255307">
            <w:pPr>
              <w:pStyle w:val="a3"/>
              <w:widowControl/>
              <w:tabs>
                <w:tab w:val="decimal" w:pos="74"/>
              </w:tabs>
              <w:jc w:val="both"/>
              <w:rPr>
                <w:sz w:val="22"/>
                <w:rtl/>
              </w:rPr>
            </w:pPr>
          </w:p>
        </w:tc>
        <w:tc>
          <w:tcPr>
            <w:tcW w:w="170" w:type="dxa"/>
            <w:vAlign w:val="bottom"/>
          </w:tcPr>
          <w:p w14:paraId="0C00AA0D"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10885ADD" w14:textId="77777777" w:rsidR="00F27B9D" w:rsidRPr="00255307" w:rsidRDefault="00F27B9D" w:rsidP="00255307">
            <w:pPr>
              <w:pStyle w:val="a3"/>
              <w:widowControl/>
              <w:tabs>
                <w:tab w:val="decimal" w:pos="74"/>
              </w:tabs>
              <w:jc w:val="both"/>
              <w:rPr>
                <w:sz w:val="22"/>
                <w:rtl/>
              </w:rPr>
            </w:pPr>
          </w:p>
        </w:tc>
      </w:tr>
      <w:tr w:rsidR="00F27B9D" w:rsidRPr="00255307" w14:paraId="31128DAA" w14:textId="77777777" w:rsidTr="001521F8">
        <w:tc>
          <w:tcPr>
            <w:tcW w:w="1426" w:type="dxa"/>
            <w:tcBorders>
              <w:bottom w:val="single" w:sz="6" w:space="0" w:color="auto"/>
              <w:right w:val="single" w:sz="6" w:space="0" w:color="auto"/>
            </w:tcBorders>
          </w:tcPr>
          <w:p w14:paraId="15F36362"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1.54(i)</w:t>
            </w:r>
          </w:p>
        </w:tc>
        <w:tc>
          <w:tcPr>
            <w:tcW w:w="4323" w:type="dxa"/>
            <w:tcBorders>
              <w:left w:val="single" w:sz="6" w:space="0" w:color="auto"/>
            </w:tcBorders>
            <w:shd w:val="clear" w:color="auto" w:fill="auto"/>
            <w:vAlign w:val="bottom"/>
          </w:tcPr>
          <w:p w14:paraId="35385881" w14:textId="77777777" w:rsidR="00F27B9D" w:rsidRPr="00255307" w:rsidRDefault="00F27B9D" w:rsidP="00255307">
            <w:pPr>
              <w:tabs>
                <w:tab w:val="left" w:pos="227"/>
                <w:tab w:val="left" w:pos="397"/>
                <w:tab w:val="left" w:pos="567"/>
              </w:tabs>
              <w:spacing w:line="240" w:lineRule="exact"/>
              <w:ind w:firstLine="57"/>
              <w:rPr>
                <w:sz w:val="22"/>
              </w:rPr>
            </w:pPr>
            <w:r w:rsidRPr="00255307">
              <w:rPr>
                <w:rFonts w:hint="cs"/>
                <w:sz w:val="22"/>
                <w:rtl/>
              </w:rPr>
              <w:t>מזומנים ושווי מזומנים</w:t>
            </w:r>
            <w:r w:rsidR="009B030D" w:rsidRPr="00255307">
              <w:rPr>
                <w:rStyle w:val="ab"/>
                <w:sz w:val="22"/>
              </w:rPr>
              <w:footnoteReference w:id="1"/>
            </w:r>
          </w:p>
        </w:tc>
        <w:tc>
          <w:tcPr>
            <w:tcW w:w="113" w:type="dxa"/>
            <w:shd w:val="clear" w:color="auto" w:fill="auto"/>
            <w:vAlign w:val="bottom"/>
          </w:tcPr>
          <w:p w14:paraId="4DA825A7" w14:textId="77777777" w:rsidR="00F27B9D" w:rsidRPr="00255307" w:rsidRDefault="00F27B9D" w:rsidP="00255307">
            <w:pPr>
              <w:pStyle w:val="a3"/>
              <w:jc w:val="center"/>
              <w:rPr>
                <w:sz w:val="22"/>
                <w:rtl/>
              </w:rPr>
            </w:pPr>
          </w:p>
        </w:tc>
        <w:tc>
          <w:tcPr>
            <w:tcW w:w="1134" w:type="dxa"/>
            <w:shd w:val="clear" w:color="auto" w:fill="auto"/>
            <w:vAlign w:val="bottom"/>
          </w:tcPr>
          <w:p w14:paraId="46B95ADF"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4FE009BB"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60E23A46" w14:textId="77777777" w:rsidR="00F27B9D" w:rsidRPr="00255307" w:rsidRDefault="00F27B9D" w:rsidP="00255307">
            <w:pPr>
              <w:pStyle w:val="a3"/>
              <w:widowControl/>
              <w:tabs>
                <w:tab w:val="decimal" w:pos="74"/>
              </w:tabs>
              <w:jc w:val="both"/>
              <w:rPr>
                <w:sz w:val="22"/>
                <w:rtl/>
              </w:rPr>
            </w:pPr>
          </w:p>
        </w:tc>
        <w:tc>
          <w:tcPr>
            <w:tcW w:w="170" w:type="dxa"/>
            <w:vAlign w:val="bottom"/>
          </w:tcPr>
          <w:p w14:paraId="61E28C7C"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4B3450F4" w14:textId="77777777" w:rsidR="00F27B9D" w:rsidRPr="00255307" w:rsidRDefault="00F27B9D" w:rsidP="00255307">
            <w:pPr>
              <w:pStyle w:val="a3"/>
              <w:widowControl/>
              <w:tabs>
                <w:tab w:val="decimal" w:pos="74"/>
              </w:tabs>
              <w:jc w:val="both"/>
              <w:rPr>
                <w:sz w:val="22"/>
                <w:rtl/>
              </w:rPr>
            </w:pPr>
          </w:p>
        </w:tc>
      </w:tr>
      <w:tr w:rsidR="00F27B9D" w:rsidRPr="00255307" w14:paraId="7B32A470" w14:textId="77777777" w:rsidTr="001521F8">
        <w:tc>
          <w:tcPr>
            <w:tcW w:w="1426" w:type="dxa"/>
            <w:tcBorders>
              <w:top w:val="single" w:sz="6" w:space="0" w:color="auto"/>
              <w:bottom w:val="single" w:sz="6" w:space="0" w:color="auto"/>
              <w:right w:val="single" w:sz="6" w:space="0" w:color="auto"/>
            </w:tcBorders>
          </w:tcPr>
          <w:p w14:paraId="2FD17140"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1.54(d); IFRS 7.8</w:t>
            </w:r>
          </w:p>
        </w:tc>
        <w:tc>
          <w:tcPr>
            <w:tcW w:w="4323" w:type="dxa"/>
            <w:tcBorders>
              <w:left w:val="single" w:sz="6" w:space="0" w:color="auto"/>
            </w:tcBorders>
            <w:shd w:val="clear" w:color="auto" w:fill="auto"/>
            <w:vAlign w:val="bottom"/>
          </w:tcPr>
          <w:p w14:paraId="10F26A76" w14:textId="77777777" w:rsidR="00F27B9D" w:rsidRPr="00255307" w:rsidRDefault="00F27B9D" w:rsidP="00255307">
            <w:pPr>
              <w:tabs>
                <w:tab w:val="left" w:pos="227"/>
                <w:tab w:val="left" w:pos="397"/>
                <w:tab w:val="left" w:pos="567"/>
              </w:tabs>
              <w:spacing w:line="240" w:lineRule="exact"/>
              <w:ind w:firstLine="57"/>
              <w:rPr>
                <w:sz w:val="22"/>
              </w:rPr>
            </w:pPr>
            <w:r w:rsidRPr="00255307">
              <w:rPr>
                <w:rFonts w:hint="cs"/>
                <w:sz w:val="22"/>
                <w:rtl/>
              </w:rPr>
              <w:t>השקעות לזמן קצר</w:t>
            </w:r>
          </w:p>
        </w:tc>
        <w:tc>
          <w:tcPr>
            <w:tcW w:w="113" w:type="dxa"/>
            <w:shd w:val="clear" w:color="auto" w:fill="auto"/>
            <w:vAlign w:val="bottom"/>
          </w:tcPr>
          <w:p w14:paraId="3EEAEBE9" w14:textId="77777777" w:rsidR="00F27B9D" w:rsidRPr="00255307" w:rsidRDefault="00F27B9D" w:rsidP="00255307">
            <w:pPr>
              <w:pStyle w:val="a3"/>
              <w:jc w:val="center"/>
              <w:rPr>
                <w:sz w:val="22"/>
                <w:rtl/>
              </w:rPr>
            </w:pPr>
          </w:p>
        </w:tc>
        <w:tc>
          <w:tcPr>
            <w:tcW w:w="1134" w:type="dxa"/>
            <w:shd w:val="clear" w:color="auto" w:fill="auto"/>
            <w:vAlign w:val="bottom"/>
          </w:tcPr>
          <w:p w14:paraId="55692894"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3E4694ED"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34CC15CD" w14:textId="77777777" w:rsidR="00F27B9D" w:rsidRPr="00255307" w:rsidRDefault="00F27B9D" w:rsidP="00255307">
            <w:pPr>
              <w:pStyle w:val="a3"/>
              <w:widowControl/>
              <w:tabs>
                <w:tab w:val="decimal" w:pos="74"/>
              </w:tabs>
              <w:jc w:val="both"/>
              <w:rPr>
                <w:sz w:val="22"/>
                <w:rtl/>
              </w:rPr>
            </w:pPr>
          </w:p>
        </w:tc>
        <w:tc>
          <w:tcPr>
            <w:tcW w:w="170" w:type="dxa"/>
            <w:vAlign w:val="bottom"/>
          </w:tcPr>
          <w:p w14:paraId="146D1AD0"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38AA6006" w14:textId="77777777" w:rsidR="00F27B9D" w:rsidRPr="00255307" w:rsidRDefault="00F27B9D" w:rsidP="00255307">
            <w:pPr>
              <w:pStyle w:val="a3"/>
              <w:widowControl/>
              <w:tabs>
                <w:tab w:val="decimal" w:pos="74"/>
              </w:tabs>
              <w:jc w:val="both"/>
              <w:rPr>
                <w:sz w:val="22"/>
                <w:rtl/>
              </w:rPr>
            </w:pPr>
          </w:p>
        </w:tc>
      </w:tr>
      <w:tr w:rsidR="00F27B9D" w:rsidRPr="00255307" w14:paraId="74883C29" w14:textId="77777777" w:rsidTr="001521F8">
        <w:tc>
          <w:tcPr>
            <w:tcW w:w="1426" w:type="dxa"/>
            <w:tcBorders>
              <w:top w:val="single" w:sz="6" w:space="0" w:color="auto"/>
              <w:bottom w:val="single" w:sz="6" w:space="0" w:color="auto"/>
              <w:right w:val="single" w:sz="6" w:space="0" w:color="auto"/>
            </w:tcBorders>
          </w:tcPr>
          <w:p w14:paraId="60DB49DB" w14:textId="77777777" w:rsidR="00F27B9D" w:rsidRPr="00255307" w:rsidRDefault="00561FD8" w:rsidP="00255307">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1.55</w:t>
            </w:r>
          </w:p>
        </w:tc>
        <w:tc>
          <w:tcPr>
            <w:tcW w:w="4323" w:type="dxa"/>
            <w:tcBorders>
              <w:left w:val="single" w:sz="6" w:space="0" w:color="auto"/>
            </w:tcBorders>
            <w:shd w:val="clear" w:color="auto" w:fill="auto"/>
            <w:vAlign w:val="bottom"/>
          </w:tcPr>
          <w:p w14:paraId="57AD496C" w14:textId="77777777" w:rsidR="00F27B9D" w:rsidRPr="00255307" w:rsidRDefault="00F27B9D" w:rsidP="00255307">
            <w:pPr>
              <w:tabs>
                <w:tab w:val="left" w:pos="227"/>
                <w:tab w:val="left" w:pos="397"/>
                <w:tab w:val="left" w:pos="567"/>
              </w:tabs>
              <w:spacing w:line="240" w:lineRule="exact"/>
              <w:ind w:firstLine="57"/>
              <w:rPr>
                <w:sz w:val="22"/>
                <w:rtl/>
              </w:rPr>
            </w:pPr>
            <w:r w:rsidRPr="00255307">
              <w:rPr>
                <w:rFonts w:hint="cs"/>
                <w:sz w:val="22"/>
                <w:rtl/>
              </w:rPr>
              <w:t>הלוואות לזמן קצר</w:t>
            </w:r>
          </w:p>
        </w:tc>
        <w:tc>
          <w:tcPr>
            <w:tcW w:w="113" w:type="dxa"/>
            <w:shd w:val="clear" w:color="auto" w:fill="auto"/>
            <w:vAlign w:val="bottom"/>
          </w:tcPr>
          <w:p w14:paraId="2DE69F88" w14:textId="77777777" w:rsidR="00F27B9D" w:rsidRPr="00255307" w:rsidRDefault="00F27B9D" w:rsidP="00255307">
            <w:pPr>
              <w:pStyle w:val="a3"/>
              <w:jc w:val="center"/>
              <w:rPr>
                <w:sz w:val="22"/>
                <w:rtl/>
              </w:rPr>
            </w:pPr>
          </w:p>
        </w:tc>
        <w:tc>
          <w:tcPr>
            <w:tcW w:w="1134" w:type="dxa"/>
            <w:shd w:val="clear" w:color="auto" w:fill="auto"/>
            <w:vAlign w:val="bottom"/>
          </w:tcPr>
          <w:p w14:paraId="03830272"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54018151"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58CAD937" w14:textId="77777777" w:rsidR="00F27B9D" w:rsidRPr="00255307" w:rsidRDefault="00F27B9D" w:rsidP="00255307">
            <w:pPr>
              <w:pStyle w:val="a3"/>
              <w:widowControl/>
              <w:tabs>
                <w:tab w:val="decimal" w:pos="74"/>
              </w:tabs>
              <w:jc w:val="both"/>
              <w:rPr>
                <w:sz w:val="22"/>
                <w:rtl/>
              </w:rPr>
            </w:pPr>
          </w:p>
        </w:tc>
        <w:tc>
          <w:tcPr>
            <w:tcW w:w="170" w:type="dxa"/>
            <w:vAlign w:val="bottom"/>
          </w:tcPr>
          <w:p w14:paraId="78FBF62F"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752055CB" w14:textId="77777777" w:rsidR="00F27B9D" w:rsidRPr="00255307" w:rsidRDefault="00F27B9D" w:rsidP="00255307">
            <w:pPr>
              <w:pStyle w:val="a3"/>
              <w:widowControl/>
              <w:tabs>
                <w:tab w:val="decimal" w:pos="74"/>
              </w:tabs>
              <w:jc w:val="both"/>
              <w:rPr>
                <w:sz w:val="22"/>
                <w:rtl/>
              </w:rPr>
            </w:pPr>
          </w:p>
        </w:tc>
      </w:tr>
      <w:tr w:rsidR="00F27B9D" w:rsidRPr="00255307" w14:paraId="2BC7AEED" w14:textId="77777777" w:rsidTr="001521F8">
        <w:tc>
          <w:tcPr>
            <w:tcW w:w="1426" w:type="dxa"/>
            <w:tcBorders>
              <w:top w:val="single" w:sz="6" w:space="0" w:color="auto"/>
              <w:bottom w:val="single" w:sz="6" w:space="0" w:color="auto"/>
              <w:right w:val="single" w:sz="6" w:space="0" w:color="auto"/>
            </w:tcBorders>
          </w:tcPr>
          <w:p w14:paraId="2978F4FF"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1.54(n)</w:t>
            </w:r>
          </w:p>
        </w:tc>
        <w:tc>
          <w:tcPr>
            <w:tcW w:w="4323" w:type="dxa"/>
            <w:tcBorders>
              <w:left w:val="single" w:sz="6" w:space="0" w:color="auto"/>
            </w:tcBorders>
            <w:shd w:val="clear" w:color="auto" w:fill="auto"/>
            <w:vAlign w:val="bottom"/>
          </w:tcPr>
          <w:p w14:paraId="205B971B" w14:textId="77777777" w:rsidR="00F27B9D" w:rsidRPr="00255307" w:rsidRDefault="00F27B9D" w:rsidP="00255307">
            <w:pPr>
              <w:tabs>
                <w:tab w:val="left" w:pos="227"/>
                <w:tab w:val="left" w:pos="397"/>
                <w:tab w:val="left" w:pos="567"/>
              </w:tabs>
              <w:spacing w:line="240" w:lineRule="exact"/>
              <w:ind w:firstLine="57"/>
              <w:rPr>
                <w:sz w:val="22"/>
              </w:rPr>
            </w:pPr>
            <w:r w:rsidRPr="00255307">
              <w:rPr>
                <w:rFonts w:hint="cs"/>
                <w:sz w:val="22"/>
                <w:rtl/>
              </w:rPr>
              <w:t>מסים שוטפים לקבל</w:t>
            </w:r>
          </w:p>
        </w:tc>
        <w:tc>
          <w:tcPr>
            <w:tcW w:w="113" w:type="dxa"/>
            <w:shd w:val="clear" w:color="auto" w:fill="auto"/>
            <w:vAlign w:val="bottom"/>
          </w:tcPr>
          <w:p w14:paraId="74C0B0AF" w14:textId="77777777" w:rsidR="00F27B9D" w:rsidRPr="00255307" w:rsidRDefault="00F27B9D" w:rsidP="00255307">
            <w:pPr>
              <w:pStyle w:val="a3"/>
              <w:jc w:val="center"/>
              <w:rPr>
                <w:sz w:val="22"/>
                <w:rtl/>
              </w:rPr>
            </w:pPr>
          </w:p>
        </w:tc>
        <w:tc>
          <w:tcPr>
            <w:tcW w:w="1134" w:type="dxa"/>
            <w:shd w:val="clear" w:color="auto" w:fill="auto"/>
            <w:vAlign w:val="bottom"/>
          </w:tcPr>
          <w:p w14:paraId="1F472D86"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08AA4294"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06C8D387" w14:textId="77777777" w:rsidR="00F27B9D" w:rsidRPr="00255307" w:rsidRDefault="00F27B9D" w:rsidP="00255307">
            <w:pPr>
              <w:pStyle w:val="a3"/>
              <w:widowControl/>
              <w:tabs>
                <w:tab w:val="decimal" w:pos="74"/>
              </w:tabs>
              <w:jc w:val="both"/>
              <w:rPr>
                <w:sz w:val="22"/>
                <w:rtl/>
              </w:rPr>
            </w:pPr>
          </w:p>
        </w:tc>
        <w:tc>
          <w:tcPr>
            <w:tcW w:w="170" w:type="dxa"/>
            <w:vAlign w:val="bottom"/>
          </w:tcPr>
          <w:p w14:paraId="61679884"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5E52DBD0" w14:textId="77777777" w:rsidR="00F27B9D" w:rsidRPr="00255307" w:rsidRDefault="00F27B9D" w:rsidP="00255307">
            <w:pPr>
              <w:pStyle w:val="a3"/>
              <w:widowControl/>
              <w:tabs>
                <w:tab w:val="decimal" w:pos="74"/>
              </w:tabs>
              <w:jc w:val="both"/>
              <w:rPr>
                <w:sz w:val="22"/>
                <w:rtl/>
              </w:rPr>
            </w:pPr>
          </w:p>
        </w:tc>
      </w:tr>
      <w:tr w:rsidR="00F27B9D" w:rsidRPr="00255307" w14:paraId="41527301" w14:textId="77777777" w:rsidTr="001521F8">
        <w:tc>
          <w:tcPr>
            <w:tcW w:w="1426" w:type="dxa"/>
            <w:vMerge w:val="restart"/>
            <w:tcBorders>
              <w:top w:val="single" w:sz="6" w:space="0" w:color="auto"/>
              <w:bottom w:val="single" w:sz="6" w:space="0" w:color="auto"/>
              <w:right w:val="single" w:sz="6" w:space="0" w:color="auto"/>
            </w:tcBorders>
            <w:vAlign w:val="center"/>
          </w:tcPr>
          <w:p w14:paraId="268E974F"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1.54(h); IFRS 7.8(c)</w:t>
            </w:r>
          </w:p>
        </w:tc>
        <w:tc>
          <w:tcPr>
            <w:tcW w:w="4323" w:type="dxa"/>
            <w:tcBorders>
              <w:left w:val="single" w:sz="6" w:space="0" w:color="auto"/>
            </w:tcBorders>
            <w:shd w:val="clear" w:color="auto" w:fill="auto"/>
            <w:vAlign w:val="bottom"/>
          </w:tcPr>
          <w:p w14:paraId="474F8A0A" w14:textId="77777777" w:rsidR="00F27B9D" w:rsidRPr="00255307" w:rsidRDefault="00F27B9D" w:rsidP="00255307">
            <w:pPr>
              <w:tabs>
                <w:tab w:val="left" w:pos="227"/>
                <w:tab w:val="left" w:pos="397"/>
                <w:tab w:val="left" w:pos="567"/>
              </w:tabs>
              <w:spacing w:line="240" w:lineRule="exact"/>
              <w:ind w:firstLine="57"/>
              <w:rPr>
                <w:sz w:val="22"/>
              </w:rPr>
            </w:pPr>
            <w:r w:rsidRPr="00255307">
              <w:rPr>
                <w:rFonts w:hint="cs"/>
                <w:sz w:val="22"/>
                <w:rtl/>
              </w:rPr>
              <w:t>לקוחות</w:t>
            </w:r>
          </w:p>
        </w:tc>
        <w:tc>
          <w:tcPr>
            <w:tcW w:w="113" w:type="dxa"/>
            <w:shd w:val="clear" w:color="auto" w:fill="auto"/>
            <w:vAlign w:val="bottom"/>
          </w:tcPr>
          <w:p w14:paraId="516F8164" w14:textId="77777777" w:rsidR="00F27B9D" w:rsidRPr="00255307" w:rsidRDefault="00F27B9D" w:rsidP="00255307">
            <w:pPr>
              <w:pStyle w:val="a3"/>
              <w:jc w:val="center"/>
              <w:rPr>
                <w:sz w:val="22"/>
                <w:rtl/>
              </w:rPr>
            </w:pPr>
          </w:p>
        </w:tc>
        <w:tc>
          <w:tcPr>
            <w:tcW w:w="1134" w:type="dxa"/>
            <w:shd w:val="clear" w:color="auto" w:fill="auto"/>
            <w:vAlign w:val="bottom"/>
          </w:tcPr>
          <w:p w14:paraId="3DC3B86A"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1886813E"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7B18ECFB" w14:textId="77777777" w:rsidR="00F27B9D" w:rsidRPr="00255307" w:rsidRDefault="00F27B9D" w:rsidP="00255307">
            <w:pPr>
              <w:pStyle w:val="a3"/>
              <w:widowControl/>
              <w:tabs>
                <w:tab w:val="decimal" w:pos="74"/>
              </w:tabs>
              <w:jc w:val="both"/>
              <w:rPr>
                <w:sz w:val="22"/>
                <w:rtl/>
              </w:rPr>
            </w:pPr>
          </w:p>
        </w:tc>
        <w:tc>
          <w:tcPr>
            <w:tcW w:w="170" w:type="dxa"/>
            <w:vAlign w:val="bottom"/>
          </w:tcPr>
          <w:p w14:paraId="064841A3"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1D0AC5C9" w14:textId="77777777" w:rsidR="00F27B9D" w:rsidRPr="00255307" w:rsidRDefault="00F27B9D" w:rsidP="00255307">
            <w:pPr>
              <w:pStyle w:val="a3"/>
              <w:widowControl/>
              <w:tabs>
                <w:tab w:val="decimal" w:pos="74"/>
              </w:tabs>
              <w:jc w:val="both"/>
              <w:rPr>
                <w:sz w:val="22"/>
                <w:rtl/>
              </w:rPr>
            </w:pPr>
          </w:p>
        </w:tc>
      </w:tr>
      <w:tr w:rsidR="00F27B9D" w:rsidRPr="00255307" w14:paraId="29DBA819" w14:textId="77777777" w:rsidTr="001521F8">
        <w:tc>
          <w:tcPr>
            <w:tcW w:w="1426" w:type="dxa"/>
            <w:vMerge/>
            <w:tcBorders>
              <w:top w:val="single" w:sz="6" w:space="0" w:color="auto"/>
              <w:bottom w:val="single" w:sz="6" w:space="0" w:color="auto"/>
              <w:right w:val="single" w:sz="6" w:space="0" w:color="auto"/>
            </w:tcBorders>
          </w:tcPr>
          <w:p w14:paraId="1312D60B"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rtl/>
              </w:rPr>
            </w:pPr>
          </w:p>
        </w:tc>
        <w:tc>
          <w:tcPr>
            <w:tcW w:w="4323" w:type="dxa"/>
            <w:tcBorders>
              <w:left w:val="single" w:sz="6" w:space="0" w:color="auto"/>
            </w:tcBorders>
            <w:shd w:val="clear" w:color="auto" w:fill="auto"/>
            <w:vAlign w:val="bottom"/>
          </w:tcPr>
          <w:p w14:paraId="54AA0DF4" w14:textId="77777777" w:rsidR="00F27B9D" w:rsidRPr="00255307" w:rsidRDefault="00F27B9D" w:rsidP="00255307">
            <w:pPr>
              <w:tabs>
                <w:tab w:val="left" w:pos="227"/>
                <w:tab w:val="left" w:pos="397"/>
                <w:tab w:val="left" w:pos="567"/>
              </w:tabs>
              <w:spacing w:line="240" w:lineRule="exact"/>
              <w:ind w:firstLine="57"/>
              <w:rPr>
                <w:sz w:val="22"/>
              </w:rPr>
            </w:pPr>
            <w:r w:rsidRPr="00255307">
              <w:rPr>
                <w:rFonts w:hint="cs"/>
                <w:sz w:val="22"/>
                <w:rtl/>
              </w:rPr>
              <w:t>חייבים ויתרות חובה</w:t>
            </w:r>
          </w:p>
        </w:tc>
        <w:tc>
          <w:tcPr>
            <w:tcW w:w="113" w:type="dxa"/>
            <w:shd w:val="clear" w:color="auto" w:fill="auto"/>
            <w:vAlign w:val="bottom"/>
          </w:tcPr>
          <w:p w14:paraId="1AE63F0E" w14:textId="77777777" w:rsidR="00F27B9D" w:rsidRPr="00255307" w:rsidRDefault="00F27B9D" w:rsidP="00255307">
            <w:pPr>
              <w:pStyle w:val="a3"/>
              <w:jc w:val="center"/>
              <w:rPr>
                <w:sz w:val="22"/>
                <w:rtl/>
              </w:rPr>
            </w:pPr>
          </w:p>
        </w:tc>
        <w:tc>
          <w:tcPr>
            <w:tcW w:w="1134" w:type="dxa"/>
            <w:shd w:val="clear" w:color="auto" w:fill="auto"/>
            <w:vAlign w:val="bottom"/>
          </w:tcPr>
          <w:p w14:paraId="0E0DC7C4"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41B56F36"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68784F9E" w14:textId="77777777" w:rsidR="00F27B9D" w:rsidRPr="00255307" w:rsidRDefault="00F27B9D" w:rsidP="00255307">
            <w:pPr>
              <w:pStyle w:val="a3"/>
              <w:widowControl/>
              <w:tabs>
                <w:tab w:val="decimal" w:pos="74"/>
              </w:tabs>
              <w:jc w:val="both"/>
              <w:rPr>
                <w:sz w:val="22"/>
                <w:rtl/>
              </w:rPr>
            </w:pPr>
          </w:p>
        </w:tc>
        <w:tc>
          <w:tcPr>
            <w:tcW w:w="170" w:type="dxa"/>
            <w:vAlign w:val="bottom"/>
          </w:tcPr>
          <w:p w14:paraId="6A935AE7"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32134F72" w14:textId="77777777" w:rsidR="00F27B9D" w:rsidRPr="00255307" w:rsidRDefault="00F27B9D" w:rsidP="00255307">
            <w:pPr>
              <w:pStyle w:val="a3"/>
              <w:widowControl/>
              <w:tabs>
                <w:tab w:val="decimal" w:pos="74"/>
              </w:tabs>
              <w:jc w:val="both"/>
              <w:rPr>
                <w:sz w:val="22"/>
                <w:rtl/>
              </w:rPr>
            </w:pPr>
          </w:p>
        </w:tc>
      </w:tr>
      <w:tr w:rsidR="00845F02" w:rsidRPr="00255307" w14:paraId="227E22AF" w14:textId="77777777" w:rsidTr="001521F8">
        <w:tc>
          <w:tcPr>
            <w:tcW w:w="1426" w:type="dxa"/>
            <w:tcBorders>
              <w:top w:val="single" w:sz="6" w:space="0" w:color="auto"/>
              <w:bottom w:val="single" w:sz="6" w:space="0" w:color="auto"/>
              <w:right w:val="single" w:sz="6" w:space="0" w:color="auto"/>
            </w:tcBorders>
          </w:tcPr>
          <w:p w14:paraId="43B42983" w14:textId="7D78BE96" w:rsidR="00845F02" w:rsidRPr="00255307" w:rsidRDefault="00845F02" w:rsidP="00845F02">
            <w:pPr>
              <w:tabs>
                <w:tab w:val="left" w:pos="227"/>
                <w:tab w:val="left" w:pos="397"/>
                <w:tab w:val="left" w:pos="567"/>
              </w:tabs>
              <w:bidi w:val="0"/>
              <w:spacing w:line="240" w:lineRule="exact"/>
              <w:ind w:firstLine="57"/>
              <w:jc w:val="right"/>
              <w:rPr>
                <w:i/>
                <w:iCs/>
                <w:sz w:val="13"/>
                <w:szCs w:val="13"/>
              </w:rPr>
            </w:pPr>
            <w:r w:rsidRPr="00255307">
              <w:rPr>
                <w:i/>
                <w:iCs/>
                <w:sz w:val="13"/>
                <w:szCs w:val="13"/>
              </w:rPr>
              <w:t>IFRS </w:t>
            </w:r>
            <w:r>
              <w:rPr>
                <w:i/>
                <w:iCs/>
                <w:sz w:val="13"/>
                <w:szCs w:val="13"/>
              </w:rPr>
              <w:t>15</w:t>
            </w:r>
            <w:r w:rsidRPr="00255307">
              <w:rPr>
                <w:i/>
                <w:iCs/>
                <w:sz w:val="13"/>
                <w:szCs w:val="13"/>
              </w:rPr>
              <w:t>.</w:t>
            </w:r>
            <w:r>
              <w:rPr>
                <w:i/>
                <w:iCs/>
                <w:sz w:val="13"/>
                <w:szCs w:val="13"/>
              </w:rPr>
              <w:t>107</w:t>
            </w:r>
          </w:p>
        </w:tc>
        <w:tc>
          <w:tcPr>
            <w:tcW w:w="4323" w:type="dxa"/>
            <w:tcBorders>
              <w:left w:val="single" w:sz="6" w:space="0" w:color="auto"/>
            </w:tcBorders>
            <w:shd w:val="clear" w:color="auto" w:fill="auto"/>
            <w:vAlign w:val="bottom"/>
          </w:tcPr>
          <w:p w14:paraId="71A96479" w14:textId="763C7EC7" w:rsidR="00845F02" w:rsidRPr="00255307" w:rsidRDefault="00845F02" w:rsidP="00845F02">
            <w:pPr>
              <w:tabs>
                <w:tab w:val="left" w:pos="227"/>
                <w:tab w:val="left" w:pos="397"/>
                <w:tab w:val="left" w:pos="567"/>
              </w:tabs>
              <w:spacing w:line="240" w:lineRule="exact"/>
              <w:ind w:firstLine="57"/>
              <w:rPr>
                <w:sz w:val="22"/>
                <w:rtl/>
              </w:rPr>
            </w:pPr>
            <w:r>
              <w:rPr>
                <w:rFonts w:hint="cs"/>
                <w:sz w:val="22"/>
                <w:rtl/>
              </w:rPr>
              <w:t>נכסי</w:t>
            </w:r>
            <w:r>
              <w:rPr>
                <w:sz w:val="22"/>
              </w:rPr>
              <w:t xml:space="preserve"> </w:t>
            </w:r>
            <w:r>
              <w:rPr>
                <w:rFonts w:hint="cs"/>
                <w:sz w:val="22"/>
                <w:rtl/>
              </w:rPr>
              <w:t xml:space="preserve"> חוזה</w:t>
            </w:r>
            <w:r>
              <w:rPr>
                <w:rStyle w:val="ab"/>
                <w:sz w:val="22"/>
                <w:rtl/>
              </w:rPr>
              <w:footnoteReference w:id="2"/>
            </w:r>
          </w:p>
        </w:tc>
        <w:tc>
          <w:tcPr>
            <w:tcW w:w="113" w:type="dxa"/>
            <w:shd w:val="clear" w:color="auto" w:fill="auto"/>
            <w:vAlign w:val="bottom"/>
          </w:tcPr>
          <w:p w14:paraId="0A8066A7" w14:textId="77777777" w:rsidR="00845F02" w:rsidRPr="00255307" w:rsidRDefault="00845F02" w:rsidP="00845F02">
            <w:pPr>
              <w:pStyle w:val="a3"/>
              <w:jc w:val="center"/>
              <w:rPr>
                <w:sz w:val="22"/>
                <w:rtl/>
              </w:rPr>
            </w:pPr>
          </w:p>
        </w:tc>
        <w:tc>
          <w:tcPr>
            <w:tcW w:w="1134" w:type="dxa"/>
            <w:shd w:val="clear" w:color="auto" w:fill="auto"/>
            <w:vAlign w:val="bottom"/>
          </w:tcPr>
          <w:p w14:paraId="7AEECF55"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3694F8B3"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0C15B895" w14:textId="77777777" w:rsidR="00845F02" w:rsidRPr="00255307" w:rsidRDefault="00845F02" w:rsidP="00845F02">
            <w:pPr>
              <w:pStyle w:val="a3"/>
              <w:widowControl/>
              <w:tabs>
                <w:tab w:val="decimal" w:pos="74"/>
              </w:tabs>
              <w:jc w:val="both"/>
              <w:rPr>
                <w:sz w:val="22"/>
                <w:rtl/>
              </w:rPr>
            </w:pPr>
          </w:p>
        </w:tc>
        <w:tc>
          <w:tcPr>
            <w:tcW w:w="170" w:type="dxa"/>
            <w:vAlign w:val="bottom"/>
          </w:tcPr>
          <w:p w14:paraId="3856DF88"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77CA2F1B" w14:textId="77777777" w:rsidR="00845F02" w:rsidRPr="00255307" w:rsidRDefault="00845F02" w:rsidP="00845F02">
            <w:pPr>
              <w:pStyle w:val="a3"/>
              <w:widowControl/>
              <w:tabs>
                <w:tab w:val="decimal" w:pos="74"/>
              </w:tabs>
              <w:jc w:val="both"/>
              <w:rPr>
                <w:sz w:val="22"/>
                <w:rtl/>
              </w:rPr>
            </w:pPr>
          </w:p>
        </w:tc>
      </w:tr>
      <w:tr w:rsidR="00845F02" w:rsidRPr="00255307" w14:paraId="114B33CE" w14:textId="77777777" w:rsidTr="001521F8">
        <w:tc>
          <w:tcPr>
            <w:tcW w:w="1426" w:type="dxa"/>
            <w:tcBorders>
              <w:top w:val="single" w:sz="6" w:space="0" w:color="auto"/>
              <w:bottom w:val="single" w:sz="6" w:space="0" w:color="auto"/>
              <w:right w:val="single" w:sz="6" w:space="0" w:color="auto"/>
            </w:tcBorders>
          </w:tcPr>
          <w:p w14:paraId="6ACC9F32"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1.54(g)</w:t>
            </w:r>
          </w:p>
        </w:tc>
        <w:tc>
          <w:tcPr>
            <w:tcW w:w="4323" w:type="dxa"/>
            <w:tcBorders>
              <w:left w:val="single" w:sz="6" w:space="0" w:color="auto"/>
            </w:tcBorders>
            <w:shd w:val="clear" w:color="auto" w:fill="auto"/>
            <w:vAlign w:val="bottom"/>
          </w:tcPr>
          <w:p w14:paraId="47043261" w14:textId="77777777" w:rsidR="00845F02" w:rsidRPr="00255307" w:rsidRDefault="00845F02" w:rsidP="00845F02">
            <w:pPr>
              <w:tabs>
                <w:tab w:val="left" w:pos="227"/>
                <w:tab w:val="left" w:pos="397"/>
                <w:tab w:val="left" w:pos="567"/>
              </w:tabs>
              <w:spacing w:line="240" w:lineRule="exact"/>
              <w:ind w:firstLine="57"/>
              <w:rPr>
                <w:sz w:val="22"/>
                <w:rtl/>
              </w:rPr>
            </w:pPr>
            <w:r w:rsidRPr="00255307">
              <w:rPr>
                <w:rFonts w:hint="cs"/>
                <w:sz w:val="22"/>
                <w:rtl/>
              </w:rPr>
              <w:t>מלאי</w:t>
            </w:r>
          </w:p>
        </w:tc>
        <w:tc>
          <w:tcPr>
            <w:tcW w:w="113" w:type="dxa"/>
            <w:shd w:val="clear" w:color="auto" w:fill="auto"/>
            <w:vAlign w:val="bottom"/>
          </w:tcPr>
          <w:p w14:paraId="070D9EC4" w14:textId="77777777" w:rsidR="00845F02" w:rsidRPr="00255307" w:rsidRDefault="00845F02" w:rsidP="00845F02">
            <w:pPr>
              <w:pStyle w:val="a3"/>
              <w:jc w:val="center"/>
              <w:rPr>
                <w:sz w:val="22"/>
                <w:rtl/>
              </w:rPr>
            </w:pPr>
          </w:p>
        </w:tc>
        <w:tc>
          <w:tcPr>
            <w:tcW w:w="1134" w:type="dxa"/>
            <w:shd w:val="clear" w:color="auto" w:fill="auto"/>
            <w:vAlign w:val="bottom"/>
          </w:tcPr>
          <w:p w14:paraId="30906B6B"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2F75B3C6"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517E8CD8" w14:textId="77777777" w:rsidR="00845F02" w:rsidRPr="00255307" w:rsidRDefault="00845F02" w:rsidP="00845F02">
            <w:pPr>
              <w:pStyle w:val="a3"/>
              <w:widowControl/>
              <w:tabs>
                <w:tab w:val="decimal" w:pos="74"/>
              </w:tabs>
              <w:jc w:val="both"/>
              <w:rPr>
                <w:sz w:val="22"/>
                <w:rtl/>
              </w:rPr>
            </w:pPr>
          </w:p>
        </w:tc>
        <w:tc>
          <w:tcPr>
            <w:tcW w:w="170" w:type="dxa"/>
            <w:vAlign w:val="bottom"/>
          </w:tcPr>
          <w:p w14:paraId="7EEE131B"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E5FEE72" w14:textId="77777777" w:rsidR="00845F02" w:rsidRPr="00255307" w:rsidRDefault="00845F02" w:rsidP="00845F02">
            <w:pPr>
              <w:pStyle w:val="a3"/>
              <w:widowControl/>
              <w:tabs>
                <w:tab w:val="decimal" w:pos="74"/>
              </w:tabs>
              <w:jc w:val="both"/>
              <w:rPr>
                <w:sz w:val="22"/>
                <w:rtl/>
              </w:rPr>
            </w:pPr>
          </w:p>
        </w:tc>
      </w:tr>
      <w:tr w:rsidR="00845F02" w:rsidRPr="00255307" w14:paraId="32C88993" w14:textId="77777777" w:rsidTr="001521F8">
        <w:tc>
          <w:tcPr>
            <w:tcW w:w="1426" w:type="dxa"/>
            <w:tcBorders>
              <w:top w:val="single" w:sz="6" w:space="0" w:color="auto"/>
              <w:bottom w:val="single" w:sz="6" w:space="0" w:color="auto"/>
              <w:right w:val="single" w:sz="6" w:space="0" w:color="auto"/>
            </w:tcBorders>
          </w:tcPr>
          <w:p w14:paraId="6AF81D03" w14:textId="4D11BAFD" w:rsidR="00845F02" w:rsidRPr="00255307" w:rsidRDefault="00845F02" w:rsidP="00845F02">
            <w:pPr>
              <w:tabs>
                <w:tab w:val="left" w:pos="227"/>
                <w:tab w:val="left" w:pos="397"/>
                <w:tab w:val="left" w:pos="567"/>
              </w:tabs>
              <w:bidi w:val="0"/>
              <w:spacing w:line="240" w:lineRule="exact"/>
              <w:ind w:firstLine="57"/>
              <w:jc w:val="right"/>
              <w:rPr>
                <w:i/>
                <w:iCs/>
                <w:sz w:val="13"/>
                <w:szCs w:val="13"/>
              </w:rPr>
            </w:pPr>
            <w:r w:rsidRPr="00255307">
              <w:rPr>
                <w:i/>
                <w:iCs/>
                <w:sz w:val="13"/>
                <w:szCs w:val="13"/>
              </w:rPr>
              <w:t>IFRS </w:t>
            </w:r>
            <w:r>
              <w:rPr>
                <w:i/>
                <w:iCs/>
                <w:sz w:val="13"/>
                <w:szCs w:val="13"/>
              </w:rPr>
              <w:t>15</w:t>
            </w:r>
            <w:r w:rsidRPr="00255307">
              <w:rPr>
                <w:i/>
                <w:iCs/>
                <w:sz w:val="13"/>
                <w:szCs w:val="13"/>
              </w:rPr>
              <w:t>.</w:t>
            </w:r>
            <w:r>
              <w:rPr>
                <w:i/>
                <w:iCs/>
                <w:sz w:val="13"/>
                <w:szCs w:val="13"/>
              </w:rPr>
              <w:t>B21</w:t>
            </w:r>
          </w:p>
        </w:tc>
        <w:tc>
          <w:tcPr>
            <w:tcW w:w="4323" w:type="dxa"/>
            <w:tcBorders>
              <w:left w:val="single" w:sz="6" w:space="0" w:color="auto"/>
            </w:tcBorders>
            <w:shd w:val="clear" w:color="auto" w:fill="auto"/>
            <w:vAlign w:val="bottom"/>
          </w:tcPr>
          <w:p w14:paraId="4B7DE5F7" w14:textId="38D9D8A3" w:rsidR="00845F02" w:rsidRPr="00255307" w:rsidRDefault="00845F02" w:rsidP="00845F02">
            <w:pPr>
              <w:tabs>
                <w:tab w:val="left" w:pos="227"/>
                <w:tab w:val="left" w:pos="397"/>
                <w:tab w:val="left" w:pos="567"/>
              </w:tabs>
              <w:spacing w:line="240" w:lineRule="exact"/>
              <w:ind w:firstLine="57"/>
              <w:rPr>
                <w:sz w:val="22"/>
                <w:rtl/>
              </w:rPr>
            </w:pPr>
            <w:r>
              <w:rPr>
                <w:rFonts w:hint="cs"/>
                <w:sz w:val="22"/>
                <w:rtl/>
              </w:rPr>
              <w:t>נכס בגין זכות החזרה מלקוחות</w:t>
            </w:r>
          </w:p>
        </w:tc>
        <w:tc>
          <w:tcPr>
            <w:tcW w:w="113" w:type="dxa"/>
            <w:shd w:val="clear" w:color="auto" w:fill="auto"/>
            <w:vAlign w:val="bottom"/>
          </w:tcPr>
          <w:p w14:paraId="37EC0188" w14:textId="77777777" w:rsidR="00845F02" w:rsidRPr="00255307" w:rsidRDefault="00845F02" w:rsidP="00845F02">
            <w:pPr>
              <w:pStyle w:val="a3"/>
              <w:jc w:val="center"/>
              <w:rPr>
                <w:sz w:val="22"/>
                <w:rtl/>
              </w:rPr>
            </w:pPr>
          </w:p>
        </w:tc>
        <w:tc>
          <w:tcPr>
            <w:tcW w:w="1134" w:type="dxa"/>
            <w:shd w:val="clear" w:color="auto" w:fill="auto"/>
            <w:vAlign w:val="bottom"/>
          </w:tcPr>
          <w:p w14:paraId="74039F36"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49FFCE88"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75A3113E" w14:textId="77777777" w:rsidR="00845F02" w:rsidRPr="00255307" w:rsidRDefault="00845F02" w:rsidP="00845F02">
            <w:pPr>
              <w:pStyle w:val="a3"/>
              <w:widowControl/>
              <w:tabs>
                <w:tab w:val="decimal" w:pos="74"/>
              </w:tabs>
              <w:jc w:val="both"/>
              <w:rPr>
                <w:sz w:val="22"/>
                <w:rtl/>
              </w:rPr>
            </w:pPr>
          </w:p>
        </w:tc>
        <w:tc>
          <w:tcPr>
            <w:tcW w:w="170" w:type="dxa"/>
            <w:vAlign w:val="bottom"/>
          </w:tcPr>
          <w:p w14:paraId="0BD96F90"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2F999A7D" w14:textId="77777777" w:rsidR="00845F02" w:rsidRPr="00255307" w:rsidRDefault="00845F02" w:rsidP="00845F02">
            <w:pPr>
              <w:pStyle w:val="a3"/>
              <w:widowControl/>
              <w:tabs>
                <w:tab w:val="decimal" w:pos="74"/>
              </w:tabs>
              <w:jc w:val="both"/>
              <w:rPr>
                <w:sz w:val="22"/>
                <w:rtl/>
              </w:rPr>
            </w:pPr>
          </w:p>
        </w:tc>
      </w:tr>
      <w:tr w:rsidR="00845F02" w:rsidRPr="00255307" w14:paraId="34ED33A5" w14:textId="77777777" w:rsidTr="001521F8">
        <w:tc>
          <w:tcPr>
            <w:tcW w:w="1426" w:type="dxa"/>
            <w:tcBorders>
              <w:top w:val="single" w:sz="6" w:space="0" w:color="auto"/>
              <w:bottom w:val="single" w:sz="6" w:space="0" w:color="auto"/>
              <w:right w:val="single" w:sz="6" w:space="0" w:color="auto"/>
            </w:tcBorders>
          </w:tcPr>
          <w:p w14:paraId="0D0F15A5"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1.54(g)</w:t>
            </w:r>
          </w:p>
        </w:tc>
        <w:tc>
          <w:tcPr>
            <w:tcW w:w="4323" w:type="dxa"/>
            <w:tcBorders>
              <w:left w:val="single" w:sz="6" w:space="0" w:color="auto"/>
            </w:tcBorders>
            <w:shd w:val="clear" w:color="auto" w:fill="auto"/>
            <w:vAlign w:val="bottom"/>
          </w:tcPr>
          <w:p w14:paraId="16BE0A13" w14:textId="77777777" w:rsidR="00845F02" w:rsidRPr="00255307" w:rsidRDefault="00845F02" w:rsidP="00845F02">
            <w:pPr>
              <w:tabs>
                <w:tab w:val="left" w:pos="227"/>
                <w:tab w:val="left" w:pos="397"/>
                <w:tab w:val="left" w:pos="567"/>
              </w:tabs>
              <w:spacing w:line="240" w:lineRule="exact"/>
              <w:ind w:firstLine="57"/>
              <w:rPr>
                <w:sz w:val="22"/>
              </w:rPr>
            </w:pPr>
            <w:r w:rsidRPr="00255307">
              <w:rPr>
                <w:rFonts w:hint="cs"/>
                <w:sz w:val="22"/>
                <w:rtl/>
              </w:rPr>
              <w:t>מלאי בניינים ודירות למכירה</w:t>
            </w:r>
          </w:p>
        </w:tc>
        <w:tc>
          <w:tcPr>
            <w:tcW w:w="113" w:type="dxa"/>
            <w:shd w:val="clear" w:color="auto" w:fill="auto"/>
            <w:vAlign w:val="bottom"/>
          </w:tcPr>
          <w:p w14:paraId="1395380C" w14:textId="77777777" w:rsidR="00845F02" w:rsidRPr="00255307" w:rsidRDefault="00845F02" w:rsidP="00845F02">
            <w:pPr>
              <w:pStyle w:val="a3"/>
              <w:jc w:val="center"/>
              <w:rPr>
                <w:sz w:val="22"/>
                <w:rtl/>
              </w:rPr>
            </w:pPr>
          </w:p>
        </w:tc>
        <w:tc>
          <w:tcPr>
            <w:tcW w:w="1134" w:type="dxa"/>
            <w:shd w:val="clear" w:color="auto" w:fill="auto"/>
            <w:vAlign w:val="bottom"/>
          </w:tcPr>
          <w:p w14:paraId="5E93E03A"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6A0DEFED"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33BA55A7" w14:textId="77777777" w:rsidR="00845F02" w:rsidRPr="00255307" w:rsidRDefault="00845F02" w:rsidP="00845F02">
            <w:pPr>
              <w:pStyle w:val="a3"/>
              <w:widowControl/>
              <w:tabs>
                <w:tab w:val="decimal" w:pos="74"/>
              </w:tabs>
              <w:jc w:val="both"/>
              <w:rPr>
                <w:sz w:val="22"/>
                <w:rtl/>
              </w:rPr>
            </w:pPr>
          </w:p>
        </w:tc>
        <w:tc>
          <w:tcPr>
            <w:tcW w:w="170" w:type="dxa"/>
            <w:vAlign w:val="bottom"/>
          </w:tcPr>
          <w:p w14:paraId="0E74B97E"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2EFCD7BD" w14:textId="77777777" w:rsidR="00845F02" w:rsidRPr="00255307" w:rsidRDefault="00845F02" w:rsidP="00845F02">
            <w:pPr>
              <w:pStyle w:val="a3"/>
              <w:widowControl/>
              <w:tabs>
                <w:tab w:val="decimal" w:pos="74"/>
              </w:tabs>
              <w:jc w:val="both"/>
              <w:rPr>
                <w:sz w:val="22"/>
                <w:rtl/>
              </w:rPr>
            </w:pPr>
          </w:p>
        </w:tc>
      </w:tr>
      <w:tr w:rsidR="00845F02" w:rsidRPr="00255307" w14:paraId="5540708F" w14:textId="77777777" w:rsidTr="001521F8">
        <w:tc>
          <w:tcPr>
            <w:tcW w:w="1426" w:type="dxa"/>
            <w:tcBorders>
              <w:bottom w:val="single" w:sz="6" w:space="0" w:color="auto"/>
              <w:right w:val="single" w:sz="6" w:space="0" w:color="auto"/>
            </w:tcBorders>
          </w:tcPr>
          <w:p w14:paraId="2CB2BB74"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p>
        </w:tc>
        <w:tc>
          <w:tcPr>
            <w:tcW w:w="4323" w:type="dxa"/>
            <w:tcBorders>
              <w:left w:val="single" w:sz="6" w:space="0" w:color="auto"/>
            </w:tcBorders>
            <w:shd w:val="clear" w:color="auto" w:fill="auto"/>
            <w:vAlign w:val="bottom"/>
          </w:tcPr>
          <w:p w14:paraId="5FCE0FB4" w14:textId="77777777" w:rsidR="00845F02" w:rsidRPr="00255307" w:rsidRDefault="00845F02" w:rsidP="00845F02">
            <w:pPr>
              <w:tabs>
                <w:tab w:val="left" w:pos="227"/>
                <w:tab w:val="left" w:pos="397"/>
                <w:tab w:val="left" w:pos="567"/>
              </w:tabs>
              <w:spacing w:line="240" w:lineRule="exact"/>
              <w:ind w:firstLine="57"/>
              <w:rPr>
                <w:sz w:val="22"/>
                <w:rtl/>
              </w:rPr>
            </w:pPr>
            <w:r w:rsidRPr="00255307">
              <w:rPr>
                <w:rFonts w:hint="cs"/>
                <w:sz w:val="22"/>
                <w:rtl/>
              </w:rPr>
              <w:t>חייבים בגין הסדר זיכיון למתן שירותים</w:t>
            </w:r>
          </w:p>
        </w:tc>
        <w:tc>
          <w:tcPr>
            <w:tcW w:w="113" w:type="dxa"/>
            <w:shd w:val="clear" w:color="auto" w:fill="auto"/>
            <w:vAlign w:val="bottom"/>
          </w:tcPr>
          <w:p w14:paraId="7F3D5FED" w14:textId="77777777" w:rsidR="00845F02" w:rsidRPr="00255307" w:rsidRDefault="00845F02" w:rsidP="00845F02">
            <w:pPr>
              <w:pStyle w:val="a3"/>
              <w:jc w:val="center"/>
              <w:rPr>
                <w:sz w:val="22"/>
                <w:rtl/>
              </w:rPr>
            </w:pPr>
          </w:p>
        </w:tc>
        <w:tc>
          <w:tcPr>
            <w:tcW w:w="1134" w:type="dxa"/>
            <w:shd w:val="clear" w:color="auto" w:fill="auto"/>
            <w:vAlign w:val="bottom"/>
          </w:tcPr>
          <w:p w14:paraId="70960ABE"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472720C5"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4321083F" w14:textId="77777777" w:rsidR="00845F02" w:rsidRPr="00255307" w:rsidRDefault="00845F02" w:rsidP="00845F02">
            <w:pPr>
              <w:pStyle w:val="a3"/>
              <w:widowControl/>
              <w:tabs>
                <w:tab w:val="decimal" w:pos="74"/>
              </w:tabs>
              <w:jc w:val="both"/>
              <w:rPr>
                <w:sz w:val="22"/>
                <w:rtl/>
              </w:rPr>
            </w:pPr>
          </w:p>
        </w:tc>
        <w:tc>
          <w:tcPr>
            <w:tcW w:w="170" w:type="dxa"/>
            <w:vAlign w:val="bottom"/>
          </w:tcPr>
          <w:p w14:paraId="65463B31"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5259ACA1" w14:textId="77777777" w:rsidR="00845F02" w:rsidRPr="00255307" w:rsidRDefault="00845F02" w:rsidP="00845F02">
            <w:pPr>
              <w:pStyle w:val="a3"/>
              <w:widowControl/>
              <w:tabs>
                <w:tab w:val="decimal" w:pos="74"/>
              </w:tabs>
              <w:jc w:val="both"/>
              <w:rPr>
                <w:sz w:val="22"/>
                <w:rtl/>
              </w:rPr>
            </w:pPr>
          </w:p>
        </w:tc>
      </w:tr>
      <w:tr w:rsidR="00845F02" w:rsidRPr="00255307" w14:paraId="57A5CB49" w14:textId="77777777" w:rsidTr="001521F8">
        <w:tc>
          <w:tcPr>
            <w:tcW w:w="1426" w:type="dxa"/>
            <w:tcBorders>
              <w:top w:val="single" w:sz="6" w:space="0" w:color="auto"/>
              <w:bottom w:val="single" w:sz="6" w:space="0" w:color="auto"/>
              <w:right w:val="single" w:sz="6" w:space="0" w:color="auto"/>
            </w:tcBorders>
            <w:vAlign w:val="center"/>
          </w:tcPr>
          <w:p w14:paraId="242AF026"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1.54(d); IFRS 7.8(a)</w:t>
            </w:r>
          </w:p>
        </w:tc>
        <w:tc>
          <w:tcPr>
            <w:tcW w:w="4323" w:type="dxa"/>
            <w:tcBorders>
              <w:left w:val="single" w:sz="6" w:space="0" w:color="auto"/>
            </w:tcBorders>
            <w:shd w:val="clear" w:color="auto" w:fill="auto"/>
            <w:vAlign w:val="bottom"/>
          </w:tcPr>
          <w:p w14:paraId="1E4B9F40" w14:textId="77777777" w:rsidR="00845F02" w:rsidRPr="00255307" w:rsidRDefault="00845F02" w:rsidP="00845F02">
            <w:pPr>
              <w:tabs>
                <w:tab w:val="left" w:pos="227"/>
                <w:tab w:val="left" w:pos="397"/>
                <w:tab w:val="left" w:pos="567"/>
              </w:tabs>
              <w:spacing w:line="240" w:lineRule="exact"/>
              <w:ind w:firstLine="57"/>
              <w:rPr>
                <w:sz w:val="22"/>
                <w:rtl/>
              </w:rPr>
            </w:pPr>
            <w:r w:rsidRPr="00255307">
              <w:rPr>
                <w:rFonts w:hint="cs"/>
                <w:sz w:val="22"/>
                <w:rtl/>
              </w:rPr>
              <w:t>נגזרים פיננסיים</w:t>
            </w:r>
            <w:r w:rsidRPr="00255307" w:rsidDel="00472EAF">
              <w:rPr>
                <w:rFonts w:hint="cs"/>
                <w:sz w:val="22"/>
                <w:rtl/>
              </w:rPr>
              <w:t xml:space="preserve"> </w:t>
            </w:r>
          </w:p>
        </w:tc>
        <w:tc>
          <w:tcPr>
            <w:tcW w:w="113" w:type="dxa"/>
            <w:shd w:val="clear" w:color="auto" w:fill="auto"/>
            <w:vAlign w:val="bottom"/>
          </w:tcPr>
          <w:p w14:paraId="56290BA0" w14:textId="77777777" w:rsidR="00845F02" w:rsidRPr="00255307" w:rsidRDefault="00845F02" w:rsidP="00845F02">
            <w:pPr>
              <w:pStyle w:val="a3"/>
              <w:jc w:val="center"/>
              <w:rPr>
                <w:sz w:val="22"/>
                <w:rtl/>
              </w:rPr>
            </w:pPr>
          </w:p>
        </w:tc>
        <w:tc>
          <w:tcPr>
            <w:tcW w:w="1134" w:type="dxa"/>
            <w:tcBorders>
              <w:bottom w:val="single" w:sz="6" w:space="0" w:color="auto"/>
            </w:tcBorders>
            <w:shd w:val="clear" w:color="auto" w:fill="auto"/>
            <w:vAlign w:val="bottom"/>
          </w:tcPr>
          <w:p w14:paraId="7FAFEDDC"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1B4510FA" w14:textId="77777777" w:rsidR="00845F02" w:rsidRPr="00255307" w:rsidRDefault="00845F02" w:rsidP="00845F02">
            <w:pPr>
              <w:pStyle w:val="a3"/>
              <w:widowControl/>
              <w:tabs>
                <w:tab w:val="decimal" w:pos="74"/>
              </w:tabs>
              <w:jc w:val="both"/>
              <w:rPr>
                <w:sz w:val="22"/>
                <w:rtl/>
              </w:rPr>
            </w:pPr>
          </w:p>
        </w:tc>
        <w:tc>
          <w:tcPr>
            <w:tcW w:w="1134" w:type="dxa"/>
            <w:tcBorders>
              <w:bottom w:val="single" w:sz="6" w:space="0" w:color="auto"/>
            </w:tcBorders>
            <w:shd w:val="clear" w:color="auto" w:fill="auto"/>
            <w:vAlign w:val="bottom"/>
          </w:tcPr>
          <w:p w14:paraId="43A90AA1" w14:textId="77777777" w:rsidR="00845F02" w:rsidRPr="00255307" w:rsidRDefault="00845F02" w:rsidP="00845F02">
            <w:pPr>
              <w:pStyle w:val="a3"/>
              <w:widowControl/>
              <w:tabs>
                <w:tab w:val="decimal" w:pos="74"/>
              </w:tabs>
              <w:jc w:val="both"/>
              <w:rPr>
                <w:sz w:val="22"/>
                <w:rtl/>
              </w:rPr>
            </w:pPr>
          </w:p>
        </w:tc>
        <w:tc>
          <w:tcPr>
            <w:tcW w:w="170" w:type="dxa"/>
            <w:vAlign w:val="bottom"/>
          </w:tcPr>
          <w:p w14:paraId="4709AB17" w14:textId="77777777" w:rsidR="00845F02" w:rsidRPr="00255307" w:rsidRDefault="00845F02" w:rsidP="00845F02">
            <w:pPr>
              <w:pStyle w:val="a3"/>
              <w:widowControl/>
              <w:tabs>
                <w:tab w:val="decimal" w:pos="74"/>
              </w:tabs>
              <w:jc w:val="both"/>
              <w:rPr>
                <w:sz w:val="22"/>
                <w:rtl/>
              </w:rPr>
            </w:pPr>
          </w:p>
        </w:tc>
        <w:tc>
          <w:tcPr>
            <w:tcW w:w="1191" w:type="dxa"/>
            <w:tcBorders>
              <w:bottom w:val="single" w:sz="6" w:space="0" w:color="auto"/>
            </w:tcBorders>
            <w:shd w:val="clear" w:color="auto" w:fill="auto"/>
            <w:vAlign w:val="bottom"/>
          </w:tcPr>
          <w:p w14:paraId="58F55AB6" w14:textId="77777777" w:rsidR="00845F02" w:rsidRPr="00255307" w:rsidRDefault="00845F02" w:rsidP="00845F02">
            <w:pPr>
              <w:pStyle w:val="a3"/>
              <w:widowControl/>
              <w:tabs>
                <w:tab w:val="decimal" w:pos="74"/>
              </w:tabs>
              <w:jc w:val="both"/>
              <w:rPr>
                <w:sz w:val="22"/>
                <w:rtl/>
              </w:rPr>
            </w:pPr>
          </w:p>
        </w:tc>
      </w:tr>
      <w:tr w:rsidR="00845F02" w:rsidRPr="00255307" w14:paraId="0EE0C99B" w14:textId="77777777" w:rsidTr="001521F8">
        <w:tc>
          <w:tcPr>
            <w:tcW w:w="1426" w:type="dxa"/>
            <w:tcBorders>
              <w:top w:val="single" w:sz="6" w:space="0" w:color="auto"/>
            </w:tcBorders>
          </w:tcPr>
          <w:p w14:paraId="0E74A130"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p>
        </w:tc>
        <w:tc>
          <w:tcPr>
            <w:tcW w:w="4323" w:type="dxa"/>
            <w:shd w:val="clear" w:color="auto" w:fill="auto"/>
            <w:vAlign w:val="bottom"/>
          </w:tcPr>
          <w:p w14:paraId="2B5876F8" w14:textId="77777777" w:rsidR="00845F02" w:rsidRPr="00255307" w:rsidRDefault="00845F02" w:rsidP="00845F02">
            <w:pPr>
              <w:tabs>
                <w:tab w:val="left" w:pos="227"/>
                <w:tab w:val="left" w:pos="397"/>
                <w:tab w:val="left" w:pos="567"/>
              </w:tabs>
              <w:spacing w:line="240" w:lineRule="exact"/>
              <w:rPr>
                <w:sz w:val="22"/>
              </w:rPr>
            </w:pPr>
          </w:p>
        </w:tc>
        <w:tc>
          <w:tcPr>
            <w:tcW w:w="113" w:type="dxa"/>
            <w:shd w:val="clear" w:color="auto" w:fill="auto"/>
            <w:vAlign w:val="bottom"/>
          </w:tcPr>
          <w:p w14:paraId="7BD8DB56" w14:textId="77777777" w:rsidR="00845F02" w:rsidRPr="00255307" w:rsidRDefault="00845F02" w:rsidP="00845F02">
            <w:pPr>
              <w:pStyle w:val="a3"/>
              <w:jc w:val="center"/>
              <w:rPr>
                <w:sz w:val="22"/>
                <w:rtl/>
              </w:rPr>
            </w:pPr>
          </w:p>
        </w:tc>
        <w:tc>
          <w:tcPr>
            <w:tcW w:w="1134" w:type="dxa"/>
            <w:tcBorders>
              <w:top w:val="single" w:sz="6" w:space="0" w:color="auto"/>
            </w:tcBorders>
            <w:shd w:val="clear" w:color="auto" w:fill="auto"/>
            <w:vAlign w:val="bottom"/>
          </w:tcPr>
          <w:p w14:paraId="49636AE0"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0607FE4D" w14:textId="77777777" w:rsidR="00845F02" w:rsidRPr="00255307" w:rsidRDefault="00845F02" w:rsidP="00845F02">
            <w:pPr>
              <w:pStyle w:val="a3"/>
              <w:widowControl/>
              <w:tabs>
                <w:tab w:val="decimal" w:pos="74"/>
              </w:tabs>
              <w:jc w:val="both"/>
              <w:rPr>
                <w:sz w:val="22"/>
                <w:rtl/>
              </w:rPr>
            </w:pPr>
          </w:p>
        </w:tc>
        <w:tc>
          <w:tcPr>
            <w:tcW w:w="1134" w:type="dxa"/>
            <w:tcBorders>
              <w:top w:val="single" w:sz="6" w:space="0" w:color="auto"/>
            </w:tcBorders>
            <w:shd w:val="clear" w:color="auto" w:fill="auto"/>
            <w:vAlign w:val="bottom"/>
          </w:tcPr>
          <w:p w14:paraId="7BB38B2A" w14:textId="77777777" w:rsidR="00845F02" w:rsidRPr="00255307" w:rsidRDefault="00845F02" w:rsidP="00845F02">
            <w:pPr>
              <w:pStyle w:val="a3"/>
              <w:widowControl/>
              <w:tabs>
                <w:tab w:val="decimal" w:pos="74"/>
              </w:tabs>
              <w:jc w:val="both"/>
              <w:rPr>
                <w:sz w:val="22"/>
                <w:rtl/>
              </w:rPr>
            </w:pPr>
          </w:p>
        </w:tc>
        <w:tc>
          <w:tcPr>
            <w:tcW w:w="170" w:type="dxa"/>
            <w:vAlign w:val="bottom"/>
          </w:tcPr>
          <w:p w14:paraId="31EEB721" w14:textId="77777777" w:rsidR="00845F02" w:rsidRPr="00255307" w:rsidRDefault="00845F02" w:rsidP="00845F02">
            <w:pPr>
              <w:pStyle w:val="a3"/>
              <w:widowControl/>
              <w:tabs>
                <w:tab w:val="decimal" w:pos="74"/>
              </w:tabs>
              <w:jc w:val="both"/>
              <w:rPr>
                <w:sz w:val="22"/>
                <w:rtl/>
              </w:rPr>
            </w:pPr>
          </w:p>
        </w:tc>
        <w:tc>
          <w:tcPr>
            <w:tcW w:w="1191" w:type="dxa"/>
            <w:tcBorders>
              <w:top w:val="single" w:sz="6" w:space="0" w:color="auto"/>
            </w:tcBorders>
            <w:shd w:val="clear" w:color="auto" w:fill="auto"/>
            <w:vAlign w:val="bottom"/>
          </w:tcPr>
          <w:p w14:paraId="2DF443FB" w14:textId="77777777" w:rsidR="00845F02" w:rsidRPr="00255307" w:rsidRDefault="00845F02" w:rsidP="00845F02">
            <w:pPr>
              <w:pStyle w:val="a3"/>
              <w:widowControl/>
              <w:tabs>
                <w:tab w:val="decimal" w:pos="74"/>
              </w:tabs>
              <w:jc w:val="both"/>
              <w:rPr>
                <w:sz w:val="22"/>
                <w:rtl/>
              </w:rPr>
            </w:pPr>
          </w:p>
        </w:tc>
      </w:tr>
      <w:tr w:rsidR="00845F02" w:rsidRPr="00255307" w14:paraId="548F0B7B" w14:textId="77777777" w:rsidTr="001521F8">
        <w:tc>
          <w:tcPr>
            <w:tcW w:w="1426" w:type="dxa"/>
            <w:vMerge w:val="restart"/>
            <w:tcBorders>
              <w:right w:val="single" w:sz="6" w:space="0" w:color="auto"/>
            </w:tcBorders>
          </w:tcPr>
          <w:p w14:paraId="5C7E5C77"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1.54(j); IFRS 5.38</w:t>
            </w:r>
          </w:p>
          <w:p w14:paraId="6F21F9EF" w14:textId="1A91AA91"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p>
        </w:tc>
        <w:tc>
          <w:tcPr>
            <w:tcW w:w="4323" w:type="dxa"/>
            <w:tcBorders>
              <w:left w:val="single" w:sz="6" w:space="0" w:color="auto"/>
            </w:tcBorders>
            <w:shd w:val="clear" w:color="auto" w:fill="auto"/>
            <w:vAlign w:val="bottom"/>
          </w:tcPr>
          <w:p w14:paraId="057E2E81" w14:textId="77777777" w:rsidR="00845F02" w:rsidRPr="00255307" w:rsidRDefault="00845F02" w:rsidP="00845F02">
            <w:pPr>
              <w:tabs>
                <w:tab w:val="left" w:pos="227"/>
                <w:tab w:val="left" w:pos="397"/>
                <w:tab w:val="left" w:pos="567"/>
              </w:tabs>
              <w:spacing w:line="240" w:lineRule="exact"/>
              <w:ind w:firstLine="57"/>
              <w:rPr>
                <w:sz w:val="22"/>
              </w:rPr>
            </w:pPr>
            <w:r w:rsidRPr="00255307">
              <w:rPr>
                <w:rFonts w:hint="cs"/>
                <w:sz w:val="22"/>
                <w:rtl/>
              </w:rPr>
              <w:t>נכסים המוחזקים למכירה</w:t>
            </w:r>
          </w:p>
        </w:tc>
        <w:tc>
          <w:tcPr>
            <w:tcW w:w="113" w:type="dxa"/>
            <w:shd w:val="clear" w:color="auto" w:fill="auto"/>
            <w:vAlign w:val="bottom"/>
          </w:tcPr>
          <w:p w14:paraId="54CAB4E6" w14:textId="77777777" w:rsidR="00845F02" w:rsidRPr="00255307" w:rsidRDefault="00845F02" w:rsidP="00845F02">
            <w:pPr>
              <w:pStyle w:val="a3"/>
              <w:jc w:val="center"/>
              <w:rPr>
                <w:sz w:val="22"/>
                <w:rtl/>
              </w:rPr>
            </w:pPr>
          </w:p>
        </w:tc>
        <w:tc>
          <w:tcPr>
            <w:tcW w:w="1134" w:type="dxa"/>
            <w:shd w:val="clear" w:color="auto" w:fill="auto"/>
            <w:vAlign w:val="bottom"/>
          </w:tcPr>
          <w:p w14:paraId="7F8AB192"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06CB1BF6"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38FC71D4" w14:textId="77777777" w:rsidR="00845F02" w:rsidRPr="00255307" w:rsidRDefault="00845F02" w:rsidP="00845F02">
            <w:pPr>
              <w:pStyle w:val="a3"/>
              <w:widowControl/>
              <w:tabs>
                <w:tab w:val="decimal" w:pos="74"/>
              </w:tabs>
              <w:jc w:val="both"/>
              <w:rPr>
                <w:sz w:val="22"/>
                <w:rtl/>
              </w:rPr>
            </w:pPr>
          </w:p>
        </w:tc>
        <w:tc>
          <w:tcPr>
            <w:tcW w:w="170" w:type="dxa"/>
            <w:vAlign w:val="bottom"/>
          </w:tcPr>
          <w:p w14:paraId="47A7941A"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2E98B3B" w14:textId="77777777" w:rsidR="00845F02" w:rsidRPr="00255307" w:rsidRDefault="00845F02" w:rsidP="00845F02">
            <w:pPr>
              <w:pStyle w:val="a3"/>
              <w:widowControl/>
              <w:tabs>
                <w:tab w:val="decimal" w:pos="74"/>
              </w:tabs>
              <w:jc w:val="both"/>
              <w:rPr>
                <w:sz w:val="22"/>
                <w:rtl/>
              </w:rPr>
            </w:pPr>
          </w:p>
        </w:tc>
      </w:tr>
      <w:tr w:rsidR="00845F02" w:rsidRPr="00255307" w14:paraId="05B612B7" w14:textId="77777777" w:rsidTr="001521F8">
        <w:tc>
          <w:tcPr>
            <w:tcW w:w="1426" w:type="dxa"/>
            <w:vMerge/>
            <w:tcBorders>
              <w:right w:val="single" w:sz="6" w:space="0" w:color="auto"/>
            </w:tcBorders>
          </w:tcPr>
          <w:p w14:paraId="0EB85E9B" w14:textId="076C301C" w:rsidR="00845F02" w:rsidRPr="00255307" w:rsidRDefault="00845F02" w:rsidP="00845F02">
            <w:pPr>
              <w:tabs>
                <w:tab w:val="left" w:pos="227"/>
                <w:tab w:val="left" w:pos="397"/>
                <w:tab w:val="left" w:pos="567"/>
              </w:tabs>
              <w:bidi w:val="0"/>
              <w:spacing w:line="240" w:lineRule="exact"/>
              <w:ind w:firstLine="57"/>
              <w:jc w:val="right"/>
              <w:rPr>
                <w:i/>
                <w:iCs/>
                <w:sz w:val="13"/>
                <w:szCs w:val="13"/>
                <w:u w:val="single"/>
                <w:rtl/>
              </w:rPr>
            </w:pPr>
          </w:p>
        </w:tc>
        <w:tc>
          <w:tcPr>
            <w:tcW w:w="4323" w:type="dxa"/>
            <w:tcBorders>
              <w:left w:val="single" w:sz="6" w:space="0" w:color="auto"/>
            </w:tcBorders>
            <w:shd w:val="clear" w:color="auto" w:fill="auto"/>
            <w:vAlign w:val="bottom"/>
          </w:tcPr>
          <w:p w14:paraId="52122085" w14:textId="77777777" w:rsidR="00845F02" w:rsidRPr="00255307" w:rsidRDefault="00845F02" w:rsidP="00845F02">
            <w:pPr>
              <w:tabs>
                <w:tab w:val="left" w:pos="227"/>
                <w:tab w:val="left" w:pos="397"/>
                <w:tab w:val="left" w:pos="567"/>
              </w:tabs>
              <w:spacing w:line="240" w:lineRule="exact"/>
              <w:ind w:firstLine="57"/>
              <w:rPr>
                <w:sz w:val="22"/>
              </w:rPr>
            </w:pPr>
            <w:r w:rsidRPr="00255307">
              <w:rPr>
                <w:rFonts w:hint="cs"/>
                <w:sz w:val="22"/>
                <w:rtl/>
              </w:rPr>
              <w:t>נכסים המוחזקים לחלוקה לבעלים</w:t>
            </w:r>
          </w:p>
        </w:tc>
        <w:tc>
          <w:tcPr>
            <w:tcW w:w="113" w:type="dxa"/>
            <w:shd w:val="clear" w:color="auto" w:fill="auto"/>
            <w:vAlign w:val="bottom"/>
          </w:tcPr>
          <w:p w14:paraId="1C7681B5" w14:textId="77777777" w:rsidR="00845F02" w:rsidRPr="00255307" w:rsidRDefault="00845F02" w:rsidP="00845F02">
            <w:pPr>
              <w:pStyle w:val="a3"/>
              <w:jc w:val="center"/>
              <w:rPr>
                <w:sz w:val="22"/>
                <w:rtl/>
              </w:rPr>
            </w:pPr>
          </w:p>
        </w:tc>
        <w:tc>
          <w:tcPr>
            <w:tcW w:w="1134" w:type="dxa"/>
            <w:shd w:val="clear" w:color="auto" w:fill="auto"/>
            <w:vAlign w:val="bottom"/>
          </w:tcPr>
          <w:p w14:paraId="095ACC1B"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7B54E8FE"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037B5987" w14:textId="77777777" w:rsidR="00845F02" w:rsidRPr="00255307" w:rsidRDefault="00845F02" w:rsidP="00845F02">
            <w:pPr>
              <w:pStyle w:val="a3"/>
              <w:widowControl/>
              <w:tabs>
                <w:tab w:val="decimal" w:pos="74"/>
              </w:tabs>
              <w:jc w:val="both"/>
              <w:rPr>
                <w:sz w:val="22"/>
                <w:rtl/>
              </w:rPr>
            </w:pPr>
          </w:p>
        </w:tc>
        <w:tc>
          <w:tcPr>
            <w:tcW w:w="170" w:type="dxa"/>
            <w:vAlign w:val="bottom"/>
          </w:tcPr>
          <w:p w14:paraId="2E265042"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EE1C102" w14:textId="77777777" w:rsidR="00845F02" w:rsidRPr="00255307" w:rsidRDefault="00845F02" w:rsidP="00845F02">
            <w:pPr>
              <w:pStyle w:val="a3"/>
              <w:widowControl/>
              <w:tabs>
                <w:tab w:val="decimal" w:pos="74"/>
              </w:tabs>
              <w:jc w:val="both"/>
              <w:rPr>
                <w:sz w:val="22"/>
                <w:rtl/>
              </w:rPr>
            </w:pPr>
          </w:p>
        </w:tc>
      </w:tr>
      <w:tr w:rsidR="00845F02" w:rsidRPr="00255307" w14:paraId="400D5BC0" w14:textId="77777777" w:rsidTr="001521F8">
        <w:tc>
          <w:tcPr>
            <w:tcW w:w="1426" w:type="dxa"/>
            <w:tcBorders>
              <w:top w:val="single" w:sz="6" w:space="0" w:color="auto"/>
            </w:tcBorders>
          </w:tcPr>
          <w:p w14:paraId="34F8B7AB"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u w:val="single"/>
              </w:rPr>
            </w:pPr>
          </w:p>
        </w:tc>
        <w:tc>
          <w:tcPr>
            <w:tcW w:w="4323" w:type="dxa"/>
            <w:shd w:val="clear" w:color="auto" w:fill="auto"/>
            <w:vAlign w:val="bottom"/>
          </w:tcPr>
          <w:p w14:paraId="44AAF602" w14:textId="77777777" w:rsidR="00845F02" w:rsidRPr="00255307" w:rsidRDefault="00845F02" w:rsidP="00845F02">
            <w:pPr>
              <w:tabs>
                <w:tab w:val="left" w:pos="227"/>
                <w:tab w:val="left" w:pos="397"/>
                <w:tab w:val="left" w:pos="567"/>
              </w:tabs>
              <w:spacing w:line="240" w:lineRule="exact"/>
              <w:ind w:firstLine="57"/>
              <w:rPr>
                <w:sz w:val="22"/>
                <w:u w:val="single"/>
              </w:rPr>
            </w:pPr>
          </w:p>
        </w:tc>
        <w:tc>
          <w:tcPr>
            <w:tcW w:w="113" w:type="dxa"/>
            <w:shd w:val="clear" w:color="auto" w:fill="auto"/>
            <w:vAlign w:val="bottom"/>
          </w:tcPr>
          <w:p w14:paraId="6DAC913A" w14:textId="77777777" w:rsidR="00845F02" w:rsidRPr="00255307" w:rsidRDefault="00845F02" w:rsidP="00845F02">
            <w:pPr>
              <w:pStyle w:val="a3"/>
              <w:jc w:val="center"/>
              <w:rPr>
                <w:sz w:val="22"/>
                <w:rtl/>
              </w:rPr>
            </w:pPr>
          </w:p>
        </w:tc>
        <w:tc>
          <w:tcPr>
            <w:tcW w:w="1134" w:type="dxa"/>
            <w:tcBorders>
              <w:top w:val="single" w:sz="6" w:space="0" w:color="auto"/>
            </w:tcBorders>
            <w:shd w:val="clear" w:color="auto" w:fill="auto"/>
            <w:vAlign w:val="bottom"/>
          </w:tcPr>
          <w:p w14:paraId="104C4A7F"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59D29751" w14:textId="77777777" w:rsidR="00845F02" w:rsidRPr="00255307" w:rsidRDefault="00845F02" w:rsidP="00845F02">
            <w:pPr>
              <w:pStyle w:val="a3"/>
              <w:widowControl/>
              <w:tabs>
                <w:tab w:val="decimal" w:pos="74"/>
              </w:tabs>
              <w:jc w:val="both"/>
              <w:rPr>
                <w:sz w:val="22"/>
                <w:rtl/>
              </w:rPr>
            </w:pPr>
          </w:p>
        </w:tc>
        <w:tc>
          <w:tcPr>
            <w:tcW w:w="1134" w:type="dxa"/>
            <w:tcBorders>
              <w:top w:val="single" w:sz="6" w:space="0" w:color="auto"/>
            </w:tcBorders>
            <w:shd w:val="clear" w:color="auto" w:fill="auto"/>
            <w:vAlign w:val="bottom"/>
          </w:tcPr>
          <w:p w14:paraId="7F03EC91" w14:textId="77777777" w:rsidR="00845F02" w:rsidRPr="00255307" w:rsidRDefault="00845F02" w:rsidP="00845F02">
            <w:pPr>
              <w:pStyle w:val="a3"/>
              <w:widowControl/>
              <w:tabs>
                <w:tab w:val="decimal" w:pos="74"/>
              </w:tabs>
              <w:jc w:val="both"/>
              <w:rPr>
                <w:sz w:val="22"/>
                <w:rtl/>
              </w:rPr>
            </w:pPr>
          </w:p>
        </w:tc>
        <w:tc>
          <w:tcPr>
            <w:tcW w:w="170" w:type="dxa"/>
            <w:vAlign w:val="bottom"/>
          </w:tcPr>
          <w:p w14:paraId="54977754" w14:textId="77777777" w:rsidR="00845F02" w:rsidRPr="00255307" w:rsidRDefault="00845F02" w:rsidP="00845F02">
            <w:pPr>
              <w:pStyle w:val="a3"/>
              <w:widowControl/>
              <w:tabs>
                <w:tab w:val="decimal" w:pos="74"/>
              </w:tabs>
              <w:jc w:val="both"/>
              <w:rPr>
                <w:sz w:val="22"/>
                <w:rtl/>
              </w:rPr>
            </w:pPr>
          </w:p>
        </w:tc>
        <w:tc>
          <w:tcPr>
            <w:tcW w:w="1191" w:type="dxa"/>
            <w:tcBorders>
              <w:top w:val="single" w:sz="6" w:space="0" w:color="auto"/>
            </w:tcBorders>
            <w:shd w:val="clear" w:color="auto" w:fill="auto"/>
            <w:vAlign w:val="bottom"/>
          </w:tcPr>
          <w:p w14:paraId="51C9A6B5" w14:textId="77777777" w:rsidR="00845F02" w:rsidRPr="00255307" w:rsidRDefault="00845F02" w:rsidP="00845F02">
            <w:pPr>
              <w:pStyle w:val="a3"/>
              <w:widowControl/>
              <w:tabs>
                <w:tab w:val="decimal" w:pos="74"/>
              </w:tabs>
              <w:jc w:val="both"/>
              <w:rPr>
                <w:sz w:val="22"/>
                <w:rtl/>
              </w:rPr>
            </w:pPr>
          </w:p>
        </w:tc>
      </w:tr>
      <w:tr w:rsidR="00845F02" w:rsidRPr="00255307" w14:paraId="229A65C8" w14:textId="77777777" w:rsidTr="001521F8">
        <w:tc>
          <w:tcPr>
            <w:tcW w:w="1426" w:type="dxa"/>
          </w:tcPr>
          <w:p w14:paraId="5B85A11A" w14:textId="77777777" w:rsidR="00845F02" w:rsidRPr="00255307" w:rsidRDefault="00845F02" w:rsidP="00845F02">
            <w:pPr>
              <w:tabs>
                <w:tab w:val="left" w:pos="227"/>
                <w:tab w:val="left" w:pos="397"/>
                <w:tab w:val="left" w:pos="567"/>
              </w:tabs>
              <w:bidi w:val="0"/>
              <w:spacing w:line="240" w:lineRule="exact"/>
              <w:jc w:val="right"/>
              <w:rPr>
                <w:i/>
                <w:iCs/>
                <w:sz w:val="13"/>
                <w:szCs w:val="13"/>
              </w:rPr>
            </w:pPr>
          </w:p>
        </w:tc>
        <w:tc>
          <w:tcPr>
            <w:tcW w:w="4323" w:type="dxa"/>
            <w:shd w:val="clear" w:color="auto" w:fill="auto"/>
            <w:vAlign w:val="bottom"/>
          </w:tcPr>
          <w:p w14:paraId="30823FCF" w14:textId="77777777" w:rsidR="00845F02" w:rsidRPr="00255307" w:rsidRDefault="00845F02" w:rsidP="00845F02">
            <w:pPr>
              <w:tabs>
                <w:tab w:val="left" w:pos="227"/>
                <w:tab w:val="left" w:pos="397"/>
                <w:tab w:val="left" w:pos="567"/>
              </w:tabs>
              <w:spacing w:line="240" w:lineRule="exact"/>
              <w:rPr>
                <w:sz w:val="22"/>
              </w:rPr>
            </w:pPr>
          </w:p>
        </w:tc>
        <w:tc>
          <w:tcPr>
            <w:tcW w:w="113" w:type="dxa"/>
            <w:shd w:val="clear" w:color="auto" w:fill="auto"/>
            <w:vAlign w:val="bottom"/>
          </w:tcPr>
          <w:p w14:paraId="0FD6A81E" w14:textId="77777777" w:rsidR="00845F02" w:rsidRPr="00255307" w:rsidRDefault="00845F02" w:rsidP="00845F02">
            <w:pPr>
              <w:pStyle w:val="a3"/>
              <w:jc w:val="center"/>
              <w:rPr>
                <w:sz w:val="22"/>
                <w:rtl/>
              </w:rPr>
            </w:pPr>
          </w:p>
        </w:tc>
        <w:tc>
          <w:tcPr>
            <w:tcW w:w="1134" w:type="dxa"/>
            <w:tcBorders>
              <w:bottom w:val="single" w:sz="6" w:space="0" w:color="auto"/>
            </w:tcBorders>
            <w:shd w:val="clear" w:color="auto" w:fill="auto"/>
            <w:vAlign w:val="bottom"/>
          </w:tcPr>
          <w:p w14:paraId="38FC380D"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3EFF2A8E" w14:textId="77777777" w:rsidR="00845F02" w:rsidRPr="00255307" w:rsidRDefault="00845F02" w:rsidP="00845F02">
            <w:pPr>
              <w:pStyle w:val="a3"/>
              <w:widowControl/>
              <w:tabs>
                <w:tab w:val="decimal" w:pos="74"/>
              </w:tabs>
              <w:jc w:val="both"/>
              <w:rPr>
                <w:sz w:val="22"/>
                <w:rtl/>
              </w:rPr>
            </w:pPr>
          </w:p>
        </w:tc>
        <w:tc>
          <w:tcPr>
            <w:tcW w:w="1134" w:type="dxa"/>
            <w:tcBorders>
              <w:bottom w:val="single" w:sz="6" w:space="0" w:color="auto"/>
            </w:tcBorders>
            <w:shd w:val="clear" w:color="auto" w:fill="auto"/>
            <w:vAlign w:val="bottom"/>
          </w:tcPr>
          <w:p w14:paraId="5E106FA3" w14:textId="77777777" w:rsidR="00845F02" w:rsidRPr="00255307" w:rsidRDefault="00845F02" w:rsidP="00845F02">
            <w:pPr>
              <w:pStyle w:val="a3"/>
              <w:widowControl/>
              <w:tabs>
                <w:tab w:val="decimal" w:pos="74"/>
              </w:tabs>
              <w:jc w:val="both"/>
              <w:rPr>
                <w:sz w:val="22"/>
                <w:rtl/>
              </w:rPr>
            </w:pPr>
          </w:p>
        </w:tc>
        <w:tc>
          <w:tcPr>
            <w:tcW w:w="170" w:type="dxa"/>
            <w:vAlign w:val="bottom"/>
          </w:tcPr>
          <w:p w14:paraId="3797A931" w14:textId="77777777" w:rsidR="00845F02" w:rsidRPr="00255307" w:rsidRDefault="00845F02" w:rsidP="00845F02">
            <w:pPr>
              <w:pStyle w:val="a3"/>
              <w:widowControl/>
              <w:tabs>
                <w:tab w:val="decimal" w:pos="74"/>
              </w:tabs>
              <w:jc w:val="both"/>
              <w:rPr>
                <w:sz w:val="22"/>
                <w:rtl/>
              </w:rPr>
            </w:pPr>
          </w:p>
        </w:tc>
        <w:tc>
          <w:tcPr>
            <w:tcW w:w="1191" w:type="dxa"/>
            <w:tcBorders>
              <w:bottom w:val="single" w:sz="6" w:space="0" w:color="auto"/>
            </w:tcBorders>
            <w:shd w:val="clear" w:color="auto" w:fill="auto"/>
            <w:vAlign w:val="bottom"/>
          </w:tcPr>
          <w:p w14:paraId="504282A2" w14:textId="77777777" w:rsidR="00845F02" w:rsidRPr="00255307" w:rsidRDefault="00845F02" w:rsidP="00845F02">
            <w:pPr>
              <w:pStyle w:val="a3"/>
              <w:widowControl/>
              <w:tabs>
                <w:tab w:val="decimal" w:pos="74"/>
              </w:tabs>
              <w:jc w:val="both"/>
              <w:rPr>
                <w:sz w:val="22"/>
                <w:rtl/>
              </w:rPr>
            </w:pPr>
          </w:p>
        </w:tc>
      </w:tr>
      <w:tr w:rsidR="00845F02" w:rsidRPr="00255307" w14:paraId="52FE600E" w14:textId="77777777" w:rsidTr="001521F8">
        <w:tc>
          <w:tcPr>
            <w:tcW w:w="1426" w:type="dxa"/>
            <w:tcBorders>
              <w:bottom w:val="single" w:sz="6" w:space="0" w:color="auto"/>
              <w:right w:val="single" w:sz="6" w:space="0" w:color="auto"/>
            </w:tcBorders>
          </w:tcPr>
          <w:p w14:paraId="1BCFF57F" w14:textId="77777777" w:rsidR="00845F02" w:rsidRPr="00255307" w:rsidRDefault="00845F02" w:rsidP="00845F02">
            <w:pPr>
              <w:tabs>
                <w:tab w:val="left" w:pos="227"/>
                <w:tab w:val="left" w:pos="397"/>
                <w:tab w:val="left" w:pos="567"/>
              </w:tabs>
              <w:bidi w:val="0"/>
              <w:spacing w:line="240" w:lineRule="exact"/>
              <w:ind w:firstLine="57"/>
              <w:jc w:val="right"/>
              <w:rPr>
                <w:bCs/>
                <w:i/>
                <w:iCs/>
                <w:sz w:val="13"/>
                <w:szCs w:val="13"/>
                <w:rtl/>
              </w:rPr>
            </w:pPr>
            <w:r w:rsidRPr="00255307">
              <w:rPr>
                <w:bCs/>
                <w:i/>
                <w:iCs/>
                <w:sz w:val="13"/>
                <w:szCs w:val="13"/>
              </w:rPr>
              <w:t>IAS 1.60,66</w:t>
            </w:r>
          </w:p>
        </w:tc>
        <w:tc>
          <w:tcPr>
            <w:tcW w:w="4323" w:type="dxa"/>
            <w:tcBorders>
              <w:left w:val="single" w:sz="6" w:space="0" w:color="auto"/>
            </w:tcBorders>
            <w:shd w:val="clear" w:color="auto" w:fill="auto"/>
            <w:vAlign w:val="bottom"/>
          </w:tcPr>
          <w:p w14:paraId="1409C4A2" w14:textId="77777777" w:rsidR="00845F02" w:rsidRPr="00255307" w:rsidRDefault="00845F02" w:rsidP="00845F02">
            <w:pPr>
              <w:tabs>
                <w:tab w:val="left" w:pos="227"/>
                <w:tab w:val="left" w:pos="397"/>
                <w:tab w:val="left" w:pos="567"/>
              </w:tabs>
              <w:spacing w:line="240" w:lineRule="exact"/>
              <w:ind w:firstLine="57"/>
              <w:rPr>
                <w:sz w:val="22"/>
                <w:u w:val="single"/>
              </w:rPr>
            </w:pPr>
            <w:r w:rsidRPr="00255307">
              <w:rPr>
                <w:rFonts w:hint="cs"/>
                <w:b/>
                <w:sz w:val="22"/>
                <w:u w:val="single"/>
                <w:rtl/>
              </w:rPr>
              <w:t>נכסים לא שוטפים</w:t>
            </w:r>
          </w:p>
        </w:tc>
        <w:tc>
          <w:tcPr>
            <w:tcW w:w="113" w:type="dxa"/>
            <w:shd w:val="clear" w:color="auto" w:fill="auto"/>
            <w:vAlign w:val="bottom"/>
          </w:tcPr>
          <w:p w14:paraId="55C936DE" w14:textId="77777777" w:rsidR="00845F02" w:rsidRPr="00255307" w:rsidRDefault="00845F02" w:rsidP="00845F02">
            <w:pPr>
              <w:pStyle w:val="a3"/>
              <w:jc w:val="center"/>
              <w:rPr>
                <w:sz w:val="22"/>
                <w:rtl/>
              </w:rPr>
            </w:pPr>
          </w:p>
        </w:tc>
        <w:tc>
          <w:tcPr>
            <w:tcW w:w="1134" w:type="dxa"/>
            <w:shd w:val="clear" w:color="auto" w:fill="auto"/>
            <w:vAlign w:val="bottom"/>
          </w:tcPr>
          <w:p w14:paraId="234ACF72"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0805185E"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46847A5B" w14:textId="77777777" w:rsidR="00845F02" w:rsidRPr="00255307" w:rsidRDefault="00845F02" w:rsidP="00845F02">
            <w:pPr>
              <w:pStyle w:val="a3"/>
              <w:widowControl/>
              <w:tabs>
                <w:tab w:val="decimal" w:pos="74"/>
              </w:tabs>
              <w:jc w:val="both"/>
              <w:rPr>
                <w:sz w:val="22"/>
                <w:rtl/>
              </w:rPr>
            </w:pPr>
          </w:p>
        </w:tc>
        <w:tc>
          <w:tcPr>
            <w:tcW w:w="170" w:type="dxa"/>
            <w:vAlign w:val="bottom"/>
          </w:tcPr>
          <w:p w14:paraId="6356D557"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1543541C" w14:textId="77777777" w:rsidR="00845F02" w:rsidRPr="00255307" w:rsidRDefault="00845F02" w:rsidP="00845F02">
            <w:pPr>
              <w:pStyle w:val="a3"/>
              <w:widowControl/>
              <w:tabs>
                <w:tab w:val="decimal" w:pos="74"/>
              </w:tabs>
              <w:jc w:val="both"/>
              <w:rPr>
                <w:sz w:val="22"/>
                <w:rtl/>
              </w:rPr>
            </w:pPr>
          </w:p>
        </w:tc>
      </w:tr>
      <w:tr w:rsidR="00845F02" w:rsidRPr="00255307" w14:paraId="186F1540" w14:textId="77777777" w:rsidTr="001521F8">
        <w:tc>
          <w:tcPr>
            <w:tcW w:w="1426" w:type="dxa"/>
            <w:tcBorders>
              <w:top w:val="single" w:sz="6" w:space="0" w:color="auto"/>
            </w:tcBorders>
          </w:tcPr>
          <w:p w14:paraId="03B7E789" w14:textId="77777777" w:rsidR="00845F02" w:rsidRPr="00255307" w:rsidRDefault="00845F02" w:rsidP="00845F02">
            <w:pPr>
              <w:tabs>
                <w:tab w:val="left" w:pos="227"/>
                <w:tab w:val="left" w:pos="397"/>
                <w:tab w:val="left" w:pos="567"/>
              </w:tabs>
              <w:bidi w:val="0"/>
              <w:spacing w:line="240" w:lineRule="exact"/>
              <w:jc w:val="right"/>
              <w:rPr>
                <w:i/>
                <w:iCs/>
                <w:sz w:val="13"/>
                <w:szCs w:val="13"/>
              </w:rPr>
            </w:pPr>
          </w:p>
        </w:tc>
        <w:tc>
          <w:tcPr>
            <w:tcW w:w="4323" w:type="dxa"/>
            <w:shd w:val="clear" w:color="auto" w:fill="auto"/>
            <w:vAlign w:val="bottom"/>
          </w:tcPr>
          <w:p w14:paraId="413A1C35" w14:textId="77777777" w:rsidR="00845F02" w:rsidRPr="00255307" w:rsidRDefault="00845F02" w:rsidP="00845F02">
            <w:pPr>
              <w:tabs>
                <w:tab w:val="left" w:pos="227"/>
                <w:tab w:val="left" w:pos="397"/>
                <w:tab w:val="left" w:pos="567"/>
              </w:tabs>
              <w:spacing w:line="240" w:lineRule="exact"/>
              <w:rPr>
                <w:sz w:val="22"/>
              </w:rPr>
            </w:pPr>
          </w:p>
        </w:tc>
        <w:tc>
          <w:tcPr>
            <w:tcW w:w="113" w:type="dxa"/>
            <w:shd w:val="clear" w:color="auto" w:fill="auto"/>
            <w:vAlign w:val="bottom"/>
          </w:tcPr>
          <w:p w14:paraId="6D58E1E3" w14:textId="77777777" w:rsidR="00845F02" w:rsidRPr="00255307" w:rsidRDefault="00845F02" w:rsidP="00845F02">
            <w:pPr>
              <w:pStyle w:val="a3"/>
              <w:jc w:val="center"/>
              <w:rPr>
                <w:sz w:val="22"/>
                <w:rtl/>
              </w:rPr>
            </w:pPr>
          </w:p>
        </w:tc>
        <w:tc>
          <w:tcPr>
            <w:tcW w:w="1134" w:type="dxa"/>
            <w:shd w:val="clear" w:color="auto" w:fill="auto"/>
            <w:vAlign w:val="bottom"/>
          </w:tcPr>
          <w:p w14:paraId="05DEA9FE"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4A2C37BC"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1D63058F" w14:textId="77777777" w:rsidR="00845F02" w:rsidRPr="00255307" w:rsidRDefault="00845F02" w:rsidP="00845F02">
            <w:pPr>
              <w:pStyle w:val="a3"/>
              <w:widowControl/>
              <w:tabs>
                <w:tab w:val="decimal" w:pos="74"/>
              </w:tabs>
              <w:jc w:val="both"/>
              <w:rPr>
                <w:sz w:val="22"/>
                <w:rtl/>
              </w:rPr>
            </w:pPr>
          </w:p>
        </w:tc>
        <w:tc>
          <w:tcPr>
            <w:tcW w:w="170" w:type="dxa"/>
            <w:vAlign w:val="bottom"/>
          </w:tcPr>
          <w:p w14:paraId="7AD905C1"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72BEAFE7" w14:textId="77777777" w:rsidR="00845F02" w:rsidRPr="00255307" w:rsidRDefault="00845F02" w:rsidP="00845F02">
            <w:pPr>
              <w:pStyle w:val="a3"/>
              <w:widowControl/>
              <w:tabs>
                <w:tab w:val="decimal" w:pos="74"/>
              </w:tabs>
              <w:jc w:val="both"/>
              <w:rPr>
                <w:sz w:val="22"/>
                <w:rtl/>
              </w:rPr>
            </w:pPr>
          </w:p>
        </w:tc>
      </w:tr>
      <w:tr w:rsidR="00845F02" w:rsidRPr="00255307" w14:paraId="6F49FE10" w14:textId="77777777" w:rsidTr="001521F8">
        <w:tc>
          <w:tcPr>
            <w:tcW w:w="1426" w:type="dxa"/>
            <w:tcBorders>
              <w:bottom w:val="single" w:sz="6" w:space="0" w:color="auto"/>
              <w:right w:val="single" w:sz="6" w:space="0" w:color="auto"/>
            </w:tcBorders>
          </w:tcPr>
          <w:p w14:paraId="788EF41D"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1.54(d); IFRS 7.8(b),(c)</w:t>
            </w:r>
          </w:p>
        </w:tc>
        <w:tc>
          <w:tcPr>
            <w:tcW w:w="4323" w:type="dxa"/>
            <w:tcBorders>
              <w:left w:val="single" w:sz="6" w:space="0" w:color="auto"/>
            </w:tcBorders>
            <w:shd w:val="clear" w:color="auto" w:fill="auto"/>
            <w:vAlign w:val="bottom"/>
          </w:tcPr>
          <w:p w14:paraId="1F3801C3" w14:textId="0E4E1698"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 xml:space="preserve">הלוואות והשקעות </w:t>
            </w:r>
            <w:r>
              <w:rPr>
                <w:rFonts w:hint="cs"/>
                <w:sz w:val="22"/>
                <w:rtl/>
              </w:rPr>
              <w:t>לזמן ארוך</w:t>
            </w:r>
          </w:p>
        </w:tc>
        <w:tc>
          <w:tcPr>
            <w:tcW w:w="113" w:type="dxa"/>
            <w:shd w:val="clear" w:color="auto" w:fill="auto"/>
            <w:vAlign w:val="bottom"/>
          </w:tcPr>
          <w:p w14:paraId="42A847D1" w14:textId="77777777" w:rsidR="00845F02" w:rsidRPr="00255307" w:rsidRDefault="00845F02" w:rsidP="00845F02">
            <w:pPr>
              <w:pStyle w:val="a3"/>
              <w:jc w:val="center"/>
              <w:rPr>
                <w:sz w:val="22"/>
                <w:rtl/>
              </w:rPr>
            </w:pPr>
          </w:p>
        </w:tc>
        <w:tc>
          <w:tcPr>
            <w:tcW w:w="1134" w:type="dxa"/>
            <w:shd w:val="clear" w:color="auto" w:fill="auto"/>
            <w:vAlign w:val="bottom"/>
          </w:tcPr>
          <w:p w14:paraId="4CD7FCAF"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1505A4A9"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148AAE21" w14:textId="77777777" w:rsidR="00845F02" w:rsidRPr="00255307" w:rsidRDefault="00845F02" w:rsidP="00845F02">
            <w:pPr>
              <w:pStyle w:val="a3"/>
              <w:widowControl/>
              <w:tabs>
                <w:tab w:val="decimal" w:pos="74"/>
              </w:tabs>
              <w:jc w:val="both"/>
              <w:rPr>
                <w:sz w:val="22"/>
                <w:rtl/>
              </w:rPr>
            </w:pPr>
          </w:p>
        </w:tc>
        <w:tc>
          <w:tcPr>
            <w:tcW w:w="170" w:type="dxa"/>
            <w:vAlign w:val="bottom"/>
          </w:tcPr>
          <w:p w14:paraId="2746ED73"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671016DD" w14:textId="77777777" w:rsidR="00845F02" w:rsidRPr="00255307" w:rsidRDefault="00845F02" w:rsidP="00845F02">
            <w:pPr>
              <w:pStyle w:val="a3"/>
              <w:widowControl/>
              <w:tabs>
                <w:tab w:val="decimal" w:pos="74"/>
              </w:tabs>
              <w:jc w:val="both"/>
              <w:rPr>
                <w:sz w:val="22"/>
                <w:rtl/>
              </w:rPr>
            </w:pPr>
          </w:p>
        </w:tc>
      </w:tr>
      <w:tr w:rsidR="00845F02" w:rsidRPr="00255307" w14:paraId="13C6EC70" w14:textId="77777777" w:rsidTr="001521F8">
        <w:tc>
          <w:tcPr>
            <w:tcW w:w="1426" w:type="dxa"/>
            <w:tcBorders>
              <w:top w:val="single" w:sz="6" w:space="0" w:color="auto"/>
              <w:bottom w:val="single" w:sz="6" w:space="0" w:color="auto"/>
              <w:right w:val="single" w:sz="6" w:space="0" w:color="auto"/>
            </w:tcBorders>
          </w:tcPr>
          <w:p w14:paraId="04A4AD98"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1.54(d)</w:t>
            </w:r>
          </w:p>
        </w:tc>
        <w:tc>
          <w:tcPr>
            <w:tcW w:w="4323" w:type="dxa"/>
            <w:tcBorders>
              <w:left w:val="single" w:sz="6" w:space="0" w:color="auto"/>
            </w:tcBorders>
            <w:shd w:val="clear" w:color="auto" w:fill="auto"/>
            <w:vAlign w:val="bottom"/>
          </w:tcPr>
          <w:p w14:paraId="3CA44469" w14:textId="76B40C78"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חייבים בגין הסדר זיכיון למתן שירותים</w:t>
            </w:r>
            <w:r>
              <w:rPr>
                <w:rStyle w:val="ab"/>
                <w:sz w:val="22"/>
                <w:rtl/>
              </w:rPr>
              <w:footnoteReference w:id="3"/>
            </w:r>
          </w:p>
        </w:tc>
        <w:tc>
          <w:tcPr>
            <w:tcW w:w="113" w:type="dxa"/>
            <w:shd w:val="clear" w:color="auto" w:fill="auto"/>
            <w:vAlign w:val="bottom"/>
          </w:tcPr>
          <w:p w14:paraId="04E13FB9" w14:textId="77777777" w:rsidR="00845F02" w:rsidRPr="00255307" w:rsidRDefault="00845F02" w:rsidP="00845F02">
            <w:pPr>
              <w:pStyle w:val="a3"/>
              <w:jc w:val="center"/>
              <w:rPr>
                <w:sz w:val="22"/>
                <w:rtl/>
              </w:rPr>
            </w:pPr>
          </w:p>
        </w:tc>
        <w:tc>
          <w:tcPr>
            <w:tcW w:w="1134" w:type="dxa"/>
            <w:shd w:val="clear" w:color="auto" w:fill="auto"/>
            <w:vAlign w:val="bottom"/>
          </w:tcPr>
          <w:p w14:paraId="50564BF0"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19AC04B7"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773DA1BD" w14:textId="77777777" w:rsidR="00845F02" w:rsidRPr="00255307" w:rsidRDefault="00845F02" w:rsidP="00845F02">
            <w:pPr>
              <w:pStyle w:val="a3"/>
              <w:widowControl/>
              <w:tabs>
                <w:tab w:val="decimal" w:pos="74"/>
              </w:tabs>
              <w:jc w:val="both"/>
              <w:rPr>
                <w:sz w:val="22"/>
                <w:rtl/>
              </w:rPr>
            </w:pPr>
          </w:p>
        </w:tc>
        <w:tc>
          <w:tcPr>
            <w:tcW w:w="170" w:type="dxa"/>
            <w:vAlign w:val="bottom"/>
          </w:tcPr>
          <w:p w14:paraId="1272D7E2"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5AD0B545" w14:textId="77777777" w:rsidR="00845F02" w:rsidRPr="00255307" w:rsidRDefault="00845F02" w:rsidP="00845F02">
            <w:pPr>
              <w:pStyle w:val="a3"/>
              <w:widowControl/>
              <w:tabs>
                <w:tab w:val="decimal" w:pos="74"/>
              </w:tabs>
              <w:jc w:val="both"/>
              <w:rPr>
                <w:sz w:val="22"/>
                <w:rtl/>
              </w:rPr>
            </w:pPr>
          </w:p>
        </w:tc>
      </w:tr>
      <w:tr w:rsidR="00845F02" w:rsidRPr="00255307" w14:paraId="20FD66EC" w14:textId="77777777" w:rsidTr="001521F8">
        <w:tc>
          <w:tcPr>
            <w:tcW w:w="1426" w:type="dxa"/>
            <w:tcBorders>
              <w:top w:val="single" w:sz="6" w:space="0" w:color="auto"/>
              <w:bottom w:val="single" w:sz="6" w:space="0" w:color="auto"/>
              <w:right w:val="single" w:sz="6" w:space="0" w:color="auto"/>
            </w:tcBorders>
          </w:tcPr>
          <w:p w14:paraId="51694C65"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1.54(d); IFRS 7.8(d)</w:t>
            </w:r>
          </w:p>
        </w:tc>
        <w:tc>
          <w:tcPr>
            <w:tcW w:w="4323" w:type="dxa"/>
            <w:tcBorders>
              <w:left w:val="single" w:sz="6" w:space="0" w:color="auto"/>
            </w:tcBorders>
            <w:shd w:val="clear" w:color="auto" w:fill="auto"/>
            <w:vAlign w:val="bottom"/>
          </w:tcPr>
          <w:p w14:paraId="4FA49203" w14:textId="64C57CAA" w:rsidR="00845F02" w:rsidRPr="00255307" w:rsidRDefault="00845F02" w:rsidP="00845F02">
            <w:pPr>
              <w:pStyle w:val="a3"/>
              <w:rPr>
                <w:rtl/>
              </w:rPr>
            </w:pPr>
            <w:r w:rsidRPr="00255307">
              <w:rPr>
                <w:rFonts w:hint="cs"/>
                <w:rtl/>
              </w:rPr>
              <w:t xml:space="preserve">השקעות בנכסים פיננסיים </w:t>
            </w:r>
            <w:r>
              <w:rPr>
                <w:rFonts w:hint="cs"/>
                <w:rtl/>
              </w:rPr>
              <w:t>הנמדדים בשווי הוגן דרך רווח כולל אחר</w:t>
            </w:r>
          </w:p>
        </w:tc>
        <w:tc>
          <w:tcPr>
            <w:tcW w:w="113" w:type="dxa"/>
            <w:shd w:val="clear" w:color="auto" w:fill="auto"/>
            <w:vAlign w:val="bottom"/>
          </w:tcPr>
          <w:p w14:paraId="77825654" w14:textId="77777777" w:rsidR="00845F02" w:rsidRPr="00255307" w:rsidRDefault="00845F02" w:rsidP="00845F02">
            <w:pPr>
              <w:pStyle w:val="a3"/>
              <w:jc w:val="center"/>
              <w:rPr>
                <w:sz w:val="22"/>
                <w:rtl/>
              </w:rPr>
            </w:pPr>
          </w:p>
        </w:tc>
        <w:tc>
          <w:tcPr>
            <w:tcW w:w="1134" w:type="dxa"/>
            <w:shd w:val="clear" w:color="auto" w:fill="auto"/>
            <w:vAlign w:val="bottom"/>
          </w:tcPr>
          <w:p w14:paraId="5E36BB2A"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74B734C3"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33701C5E" w14:textId="77777777" w:rsidR="00845F02" w:rsidRPr="00255307" w:rsidRDefault="00845F02" w:rsidP="00845F02">
            <w:pPr>
              <w:pStyle w:val="a3"/>
              <w:widowControl/>
              <w:tabs>
                <w:tab w:val="decimal" w:pos="74"/>
              </w:tabs>
              <w:jc w:val="both"/>
              <w:rPr>
                <w:sz w:val="22"/>
                <w:rtl/>
              </w:rPr>
            </w:pPr>
          </w:p>
        </w:tc>
        <w:tc>
          <w:tcPr>
            <w:tcW w:w="170" w:type="dxa"/>
            <w:vAlign w:val="bottom"/>
          </w:tcPr>
          <w:p w14:paraId="6EFD21FB"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00D803D" w14:textId="77777777" w:rsidR="00845F02" w:rsidRPr="00255307" w:rsidRDefault="00845F02" w:rsidP="00845F02">
            <w:pPr>
              <w:pStyle w:val="a3"/>
              <w:widowControl/>
              <w:tabs>
                <w:tab w:val="decimal" w:pos="74"/>
              </w:tabs>
              <w:jc w:val="both"/>
              <w:rPr>
                <w:sz w:val="22"/>
                <w:rtl/>
              </w:rPr>
            </w:pPr>
          </w:p>
        </w:tc>
      </w:tr>
      <w:tr w:rsidR="00845F02" w:rsidRPr="00255307" w14:paraId="5DB11217" w14:textId="77777777" w:rsidTr="001521F8">
        <w:tc>
          <w:tcPr>
            <w:tcW w:w="1426" w:type="dxa"/>
            <w:tcBorders>
              <w:top w:val="single" w:sz="6" w:space="0" w:color="auto"/>
              <w:bottom w:val="single" w:sz="6" w:space="0" w:color="auto"/>
              <w:right w:val="single" w:sz="6" w:space="0" w:color="auto"/>
            </w:tcBorders>
          </w:tcPr>
          <w:p w14:paraId="34623F82"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1.54(d); IFRS 7.8(a)</w:t>
            </w:r>
          </w:p>
        </w:tc>
        <w:tc>
          <w:tcPr>
            <w:tcW w:w="4323" w:type="dxa"/>
            <w:tcBorders>
              <w:left w:val="single" w:sz="6" w:space="0" w:color="auto"/>
            </w:tcBorders>
            <w:shd w:val="clear" w:color="auto" w:fill="auto"/>
            <w:vAlign w:val="bottom"/>
          </w:tcPr>
          <w:p w14:paraId="382B2230"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נגזרים פיננסיים וחייבים אחרים</w:t>
            </w:r>
          </w:p>
        </w:tc>
        <w:tc>
          <w:tcPr>
            <w:tcW w:w="113" w:type="dxa"/>
            <w:shd w:val="clear" w:color="auto" w:fill="auto"/>
            <w:vAlign w:val="bottom"/>
          </w:tcPr>
          <w:p w14:paraId="69CB5B9C" w14:textId="77777777" w:rsidR="00845F02" w:rsidRPr="00255307" w:rsidRDefault="00845F02" w:rsidP="00845F02">
            <w:pPr>
              <w:pStyle w:val="a3"/>
              <w:jc w:val="center"/>
              <w:rPr>
                <w:sz w:val="22"/>
                <w:rtl/>
              </w:rPr>
            </w:pPr>
          </w:p>
        </w:tc>
        <w:tc>
          <w:tcPr>
            <w:tcW w:w="1134" w:type="dxa"/>
            <w:shd w:val="clear" w:color="auto" w:fill="auto"/>
            <w:vAlign w:val="bottom"/>
          </w:tcPr>
          <w:p w14:paraId="39865726"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71CA20B9"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725643D4" w14:textId="77777777" w:rsidR="00845F02" w:rsidRPr="00255307" w:rsidRDefault="00845F02" w:rsidP="00845F02">
            <w:pPr>
              <w:pStyle w:val="a3"/>
              <w:widowControl/>
              <w:tabs>
                <w:tab w:val="decimal" w:pos="74"/>
              </w:tabs>
              <w:jc w:val="both"/>
              <w:rPr>
                <w:sz w:val="22"/>
                <w:rtl/>
              </w:rPr>
            </w:pPr>
          </w:p>
        </w:tc>
        <w:tc>
          <w:tcPr>
            <w:tcW w:w="170" w:type="dxa"/>
            <w:vAlign w:val="bottom"/>
          </w:tcPr>
          <w:p w14:paraId="72750822"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EC604C1" w14:textId="77777777" w:rsidR="00845F02" w:rsidRPr="00255307" w:rsidRDefault="00845F02" w:rsidP="00845F02">
            <w:pPr>
              <w:pStyle w:val="a3"/>
              <w:widowControl/>
              <w:tabs>
                <w:tab w:val="decimal" w:pos="74"/>
              </w:tabs>
              <w:jc w:val="both"/>
              <w:rPr>
                <w:sz w:val="22"/>
                <w:rtl/>
              </w:rPr>
            </w:pPr>
          </w:p>
        </w:tc>
      </w:tr>
      <w:tr w:rsidR="00845F02" w:rsidRPr="00255307" w14:paraId="66DC540D" w14:textId="77777777" w:rsidTr="001521F8">
        <w:tc>
          <w:tcPr>
            <w:tcW w:w="1426" w:type="dxa"/>
            <w:tcBorders>
              <w:top w:val="single" w:sz="6" w:space="0" w:color="auto"/>
              <w:bottom w:val="single" w:sz="6" w:space="0" w:color="auto"/>
              <w:right w:val="single" w:sz="6" w:space="0" w:color="auto"/>
            </w:tcBorders>
          </w:tcPr>
          <w:p w14:paraId="6D0FDC1D"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Pr>
            </w:pPr>
            <w:r w:rsidRPr="00255307">
              <w:rPr>
                <w:i/>
                <w:iCs/>
                <w:sz w:val="13"/>
                <w:szCs w:val="13"/>
              </w:rPr>
              <w:t>IAS 1.55</w:t>
            </w:r>
          </w:p>
        </w:tc>
        <w:tc>
          <w:tcPr>
            <w:tcW w:w="4323" w:type="dxa"/>
            <w:tcBorders>
              <w:left w:val="single" w:sz="6" w:space="0" w:color="auto"/>
            </w:tcBorders>
            <w:shd w:val="clear" w:color="auto" w:fill="auto"/>
            <w:vAlign w:val="bottom"/>
          </w:tcPr>
          <w:p w14:paraId="147C239F"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הוצאות מראש בגין חכירה תפעולית</w:t>
            </w:r>
          </w:p>
        </w:tc>
        <w:tc>
          <w:tcPr>
            <w:tcW w:w="113" w:type="dxa"/>
            <w:shd w:val="clear" w:color="auto" w:fill="auto"/>
            <w:vAlign w:val="bottom"/>
          </w:tcPr>
          <w:p w14:paraId="796F5191" w14:textId="77777777" w:rsidR="00845F02" w:rsidRPr="00255307" w:rsidRDefault="00845F02" w:rsidP="00845F02">
            <w:pPr>
              <w:pStyle w:val="a3"/>
              <w:jc w:val="center"/>
              <w:rPr>
                <w:sz w:val="22"/>
                <w:rtl/>
              </w:rPr>
            </w:pPr>
          </w:p>
        </w:tc>
        <w:tc>
          <w:tcPr>
            <w:tcW w:w="1134" w:type="dxa"/>
            <w:shd w:val="clear" w:color="auto" w:fill="auto"/>
            <w:vAlign w:val="bottom"/>
          </w:tcPr>
          <w:p w14:paraId="3E991A77"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12992B90"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1928EF1C" w14:textId="77777777" w:rsidR="00845F02" w:rsidRPr="00255307" w:rsidRDefault="00845F02" w:rsidP="00845F02">
            <w:pPr>
              <w:pStyle w:val="a3"/>
              <w:widowControl/>
              <w:tabs>
                <w:tab w:val="decimal" w:pos="74"/>
              </w:tabs>
              <w:jc w:val="both"/>
              <w:rPr>
                <w:sz w:val="22"/>
                <w:rtl/>
              </w:rPr>
            </w:pPr>
          </w:p>
        </w:tc>
        <w:tc>
          <w:tcPr>
            <w:tcW w:w="170" w:type="dxa"/>
            <w:vAlign w:val="bottom"/>
          </w:tcPr>
          <w:p w14:paraId="5269B6B3"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3C92CD57" w14:textId="77777777" w:rsidR="00845F02" w:rsidRPr="00255307" w:rsidRDefault="00845F02" w:rsidP="00845F02">
            <w:pPr>
              <w:pStyle w:val="a3"/>
              <w:widowControl/>
              <w:tabs>
                <w:tab w:val="decimal" w:pos="74"/>
              </w:tabs>
              <w:jc w:val="both"/>
              <w:rPr>
                <w:sz w:val="22"/>
                <w:rtl/>
              </w:rPr>
            </w:pPr>
          </w:p>
        </w:tc>
      </w:tr>
      <w:tr w:rsidR="00845F02" w:rsidRPr="00255307" w14:paraId="3ED7B32B" w14:textId="77777777" w:rsidTr="001521F8">
        <w:tc>
          <w:tcPr>
            <w:tcW w:w="1426" w:type="dxa"/>
            <w:tcBorders>
              <w:top w:val="single" w:sz="6" w:space="0" w:color="auto"/>
              <w:bottom w:val="single" w:sz="6" w:space="0" w:color="auto"/>
              <w:right w:val="single" w:sz="6" w:space="0" w:color="auto"/>
            </w:tcBorders>
          </w:tcPr>
          <w:p w14:paraId="2D916192"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28.38; IAS 1.54(e)</w:t>
            </w:r>
          </w:p>
        </w:tc>
        <w:tc>
          <w:tcPr>
            <w:tcW w:w="4323" w:type="dxa"/>
            <w:tcBorders>
              <w:left w:val="single" w:sz="6" w:space="0" w:color="auto"/>
            </w:tcBorders>
            <w:shd w:val="clear" w:color="auto" w:fill="auto"/>
            <w:vAlign w:val="bottom"/>
          </w:tcPr>
          <w:p w14:paraId="3D58F8A1" w14:textId="77777777" w:rsidR="00845F02" w:rsidRDefault="00845F02" w:rsidP="00845F02">
            <w:pPr>
              <w:tabs>
                <w:tab w:val="left" w:pos="227"/>
                <w:tab w:val="left" w:pos="397"/>
                <w:tab w:val="left" w:pos="567"/>
              </w:tabs>
              <w:spacing w:line="240" w:lineRule="exact"/>
              <w:ind w:left="227" w:hanging="170"/>
              <w:rPr>
                <w:sz w:val="22"/>
                <w:rtl/>
              </w:rPr>
            </w:pPr>
            <w:r w:rsidRPr="00255307">
              <w:rPr>
                <w:rFonts w:hint="cs"/>
                <w:sz w:val="22"/>
                <w:rtl/>
              </w:rPr>
              <w:t>השקעות בחברות המטופלות לפי שיטת השווי    המאזני</w:t>
            </w:r>
          </w:p>
        </w:tc>
        <w:tc>
          <w:tcPr>
            <w:tcW w:w="113" w:type="dxa"/>
            <w:shd w:val="clear" w:color="auto" w:fill="auto"/>
            <w:vAlign w:val="bottom"/>
          </w:tcPr>
          <w:p w14:paraId="1947031F" w14:textId="77777777" w:rsidR="00845F02" w:rsidRPr="00255307" w:rsidRDefault="00845F02" w:rsidP="00845F02">
            <w:pPr>
              <w:pStyle w:val="a3"/>
              <w:jc w:val="center"/>
              <w:rPr>
                <w:sz w:val="22"/>
                <w:rtl/>
              </w:rPr>
            </w:pPr>
          </w:p>
        </w:tc>
        <w:tc>
          <w:tcPr>
            <w:tcW w:w="1134" w:type="dxa"/>
            <w:shd w:val="clear" w:color="auto" w:fill="auto"/>
            <w:vAlign w:val="bottom"/>
          </w:tcPr>
          <w:p w14:paraId="544F6C71"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05FFFD07"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489A9E14" w14:textId="77777777" w:rsidR="00845F02" w:rsidRPr="00255307" w:rsidRDefault="00845F02" w:rsidP="00845F02">
            <w:pPr>
              <w:pStyle w:val="a3"/>
              <w:widowControl/>
              <w:tabs>
                <w:tab w:val="decimal" w:pos="74"/>
              </w:tabs>
              <w:jc w:val="both"/>
              <w:rPr>
                <w:sz w:val="22"/>
                <w:rtl/>
              </w:rPr>
            </w:pPr>
          </w:p>
        </w:tc>
        <w:tc>
          <w:tcPr>
            <w:tcW w:w="170" w:type="dxa"/>
            <w:vAlign w:val="bottom"/>
          </w:tcPr>
          <w:p w14:paraId="6EAF495E"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559E8EC3" w14:textId="77777777" w:rsidR="00845F02" w:rsidRPr="00255307" w:rsidRDefault="00845F02" w:rsidP="00845F02">
            <w:pPr>
              <w:pStyle w:val="a3"/>
              <w:widowControl/>
              <w:tabs>
                <w:tab w:val="decimal" w:pos="74"/>
              </w:tabs>
              <w:jc w:val="both"/>
              <w:rPr>
                <w:sz w:val="22"/>
                <w:rtl/>
              </w:rPr>
            </w:pPr>
          </w:p>
        </w:tc>
      </w:tr>
      <w:tr w:rsidR="00845F02" w:rsidRPr="00255307" w14:paraId="493BD741" w14:textId="77777777" w:rsidTr="001521F8">
        <w:tc>
          <w:tcPr>
            <w:tcW w:w="1426" w:type="dxa"/>
            <w:tcBorders>
              <w:top w:val="single" w:sz="6" w:space="0" w:color="auto"/>
              <w:bottom w:val="single" w:sz="6" w:space="0" w:color="auto"/>
              <w:right w:val="single" w:sz="6" w:space="0" w:color="auto"/>
            </w:tcBorders>
          </w:tcPr>
          <w:p w14:paraId="74015AC6"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1.55</w:t>
            </w:r>
          </w:p>
        </w:tc>
        <w:tc>
          <w:tcPr>
            <w:tcW w:w="4323" w:type="dxa"/>
            <w:tcBorders>
              <w:left w:val="single" w:sz="6" w:space="0" w:color="auto"/>
            </w:tcBorders>
            <w:shd w:val="clear" w:color="auto" w:fill="auto"/>
            <w:vAlign w:val="bottom"/>
          </w:tcPr>
          <w:p w14:paraId="73045C2E"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נכסים בשל הטבות לעובדים</w:t>
            </w:r>
            <w:r w:rsidRPr="00255307" w:rsidDel="003A66AF">
              <w:rPr>
                <w:rFonts w:hint="cs"/>
                <w:sz w:val="22"/>
                <w:rtl/>
              </w:rPr>
              <w:t xml:space="preserve"> </w:t>
            </w:r>
          </w:p>
        </w:tc>
        <w:tc>
          <w:tcPr>
            <w:tcW w:w="113" w:type="dxa"/>
            <w:shd w:val="clear" w:color="auto" w:fill="auto"/>
            <w:vAlign w:val="bottom"/>
          </w:tcPr>
          <w:p w14:paraId="09515377" w14:textId="77777777" w:rsidR="00845F02" w:rsidRPr="00255307" w:rsidRDefault="00845F02" w:rsidP="00845F02">
            <w:pPr>
              <w:pStyle w:val="a3"/>
              <w:jc w:val="center"/>
              <w:rPr>
                <w:sz w:val="22"/>
                <w:rtl/>
              </w:rPr>
            </w:pPr>
          </w:p>
        </w:tc>
        <w:tc>
          <w:tcPr>
            <w:tcW w:w="1134" w:type="dxa"/>
            <w:shd w:val="clear" w:color="auto" w:fill="auto"/>
            <w:vAlign w:val="bottom"/>
          </w:tcPr>
          <w:p w14:paraId="0FFBAE5C"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455CC6C1"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1341B0F5" w14:textId="77777777" w:rsidR="00845F02" w:rsidRPr="00255307" w:rsidRDefault="00845F02" w:rsidP="00845F02">
            <w:pPr>
              <w:pStyle w:val="a3"/>
              <w:widowControl/>
              <w:tabs>
                <w:tab w:val="decimal" w:pos="74"/>
              </w:tabs>
              <w:jc w:val="both"/>
              <w:rPr>
                <w:sz w:val="22"/>
                <w:rtl/>
              </w:rPr>
            </w:pPr>
          </w:p>
        </w:tc>
        <w:tc>
          <w:tcPr>
            <w:tcW w:w="170" w:type="dxa"/>
            <w:vAlign w:val="bottom"/>
          </w:tcPr>
          <w:p w14:paraId="5A2E6E7C"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42516FD3" w14:textId="77777777" w:rsidR="00845F02" w:rsidRPr="00255307" w:rsidRDefault="00845F02" w:rsidP="00845F02">
            <w:pPr>
              <w:pStyle w:val="a3"/>
              <w:widowControl/>
              <w:tabs>
                <w:tab w:val="decimal" w:pos="74"/>
              </w:tabs>
              <w:jc w:val="both"/>
              <w:rPr>
                <w:sz w:val="22"/>
                <w:rtl/>
              </w:rPr>
            </w:pPr>
          </w:p>
        </w:tc>
      </w:tr>
      <w:tr w:rsidR="00845F02" w:rsidRPr="00255307" w14:paraId="59D9E7D6" w14:textId="77777777" w:rsidTr="001521F8">
        <w:tc>
          <w:tcPr>
            <w:tcW w:w="1426" w:type="dxa"/>
            <w:tcBorders>
              <w:top w:val="single" w:sz="6" w:space="0" w:color="auto"/>
              <w:bottom w:val="single" w:sz="6" w:space="0" w:color="auto"/>
              <w:right w:val="single" w:sz="6" w:space="0" w:color="auto"/>
            </w:tcBorders>
          </w:tcPr>
          <w:p w14:paraId="17BDBE25"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1.54(g)</w:t>
            </w:r>
          </w:p>
        </w:tc>
        <w:tc>
          <w:tcPr>
            <w:tcW w:w="4323" w:type="dxa"/>
            <w:tcBorders>
              <w:left w:val="single" w:sz="6" w:space="0" w:color="auto"/>
            </w:tcBorders>
            <w:shd w:val="clear" w:color="auto" w:fill="auto"/>
            <w:vAlign w:val="bottom"/>
          </w:tcPr>
          <w:p w14:paraId="653449A3"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מלאי מקרקעין</w:t>
            </w:r>
            <w:r w:rsidRPr="00255307" w:rsidDel="003A66AF">
              <w:rPr>
                <w:rFonts w:hint="cs"/>
                <w:sz w:val="22"/>
                <w:rtl/>
              </w:rPr>
              <w:t xml:space="preserve"> </w:t>
            </w:r>
          </w:p>
        </w:tc>
        <w:tc>
          <w:tcPr>
            <w:tcW w:w="113" w:type="dxa"/>
            <w:shd w:val="clear" w:color="auto" w:fill="auto"/>
            <w:vAlign w:val="bottom"/>
          </w:tcPr>
          <w:p w14:paraId="21F9D4E6" w14:textId="77777777" w:rsidR="00845F02" w:rsidRPr="00255307" w:rsidRDefault="00845F02" w:rsidP="00845F02">
            <w:pPr>
              <w:pStyle w:val="a3"/>
              <w:jc w:val="center"/>
              <w:rPr>
                <w:sz w:val="22"/>
                <w:rtl/>
              </w:rPr>
            </w:pPr>
          </w:p>
        </w:tc>
        <w:tc>
          <w:tcPr>
            <w:tcW w:w="1134" w:type="dxa"/>
            <w:shd w:val="clear" w:color="auto" w:fill="auto"/>
            <w:vAlign w:val="bottom"/>
          </w:tcPr>
          <w:p w14:paraId="08693780"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4782E8F7"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04301FCE" w14:textId="77777777" w:rsidR="00845F02" w:rsidRPr="00255307" w:rsidRDefault="00845F02" w:rsidP="00845F02">
            <w:pPr>
              <w:pStyle w:val="a3"/>
              <w:widowControl/>
              <w:tabs>
                <w:tab w:val="decimal" w:pos="74"/>
              </w:tabs>
              <w:jc w:val="both"/>
              <w:rPr>
                <w:sz w:val="22"/>
                <w:rtl/>
              </w:rPr>
            </w:pPr>
          </w:p>
        </w:tc>
        <w:tc>
          <w:tcPr>
            <w:tcW w:w="170" w:type="dxa"/>
            <w:vAlign w:val="bottom"/>
          </w:tcPr>
          <w:p w14:paraId="4540CDAB"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621EFCEC" w14:textId="77777777" w:rsidR="00845F02" w:rsidRPr="00255307" w:rsidRDefault="00845F02" w:rsidP="00845F02">
            <w:pPr>
              <w:pStyle w:val="a3"/>
              <w:widowControl/>
              <w:tabs>
                <w:tab w:val="decimal" w:pos="74"/>
              </w:tabs>
              <w:jc w:val="both"/>
              <w:rPr>
                <w:sz w:val="22"/>
                <w:rtl/>
              </w:rPr>
            </w:pPr>
          </w:p>
        </w:tc>
      </w:tr>
      <w:tr w:rsidR="00845F02" w:rsidRPr="00255307" w14:paraId="75B1B18D" w14:textId="77777777" w:rsidTr="001521F8">
        <w:tc>
          <w:tcPr>
            <w:tcW w:w="1426" w:type="dxa"/>
            <w:tcBorders>
              <w:top w:val="single" w:sz="6" w:space="0" w:color="auto"/>
              <w:bottom w:val="single" w:sz="6" w:space="0" w:color="auto"/>
              <w:right w:val="single" w:sz="6" w:space="0" w:color="auto"/>
            </w:tcBorders>
          </w:tcPr>
          <w:p w14:paraId="179FF17C"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1.54(b)</w:t>
            </w:r>
          </w:p>
        </w:tc>
        <w:tc>
          <w:tcPr>
            <w:tcW w:w="4323" w:type="dxa"/>
            <w:tcBorders>
              <w:left w:val="single" w:sz="6" w:space="0" w:color="auto"/>
            </w:tcBorders>
            <w:shd w:val="clear" w:color="auto" w:fill="auto"/>
            <w:vAlign w:val="bottom"/>
          </w:tcPr>
          <w:p w14:paraId="6DFFD55F"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נדל</w:t>
            </w:r>
            <w:r w:rsidRPr="00255307">
              <w:rPr>
                <w:sz w:val="22"/>
                <w:rtl/>
              </w:rPr>
              <w:t>"</w:t>
            </w:r>
            <w:r w:rsidRPr="00255307">
              <w:rPr>
                <w:rFonts w:hint="cs"/>
                <w:sz w:val="22"/>
                <w:rtl/>
              </w:rPr>
              <w:t>ן להשקעה</w:t>
            </w:r>
          </w:p>
        </w:tc>
        <w:tc>
          <w:tcPr>
            <w:tcW w:w="113" w:type="dxa"/>
            <w:shd w:val="clear" w:color="auto" w:fill="auto"/>
            <w:vAlign w:val="bottom"/>
          </w:tcPr>
          <w:p w14:paraId="0AA9879D" w14:textId="77777777" w:rsidR="00845F02" w:rsidRPr="00255307" w:rsidRDefault="00845F02" w:rsidP="00845F02">
            <w:pPr>
              <w:pStyle w:val="a3"/>
              <w:jc w:val="center"/>
              <w:rPr>
                <w:sz w:val="22"/>
                <w:rtl/>
              </w:rPr>
            </w:pPr>
          </w:p>
        </w:tc>
        <w:tc>
          <w:tcPr>
            <w:tcW w:w="1134" w:type="dxa"/>
            <w:shd w:val="clear" w:color="auto" w:fill="auto"/>
            <w:vAlign w:val="bottom"/>
          </w:tcPr>
          <w:p w14:paraId="24C44D4E"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19D676D0"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5398DC5B" w14:textId="77777777" w:rsidR="00845F02" w:rsidRPr="00255307" w:rsidRDefault="00845F02" w:rsidP="00845F02">
            <w:pPr>
              <w:pStyle w:val="a3"/>
              <w:widowControl/>
              <w:tabs>
                <w:tab w:val="decimal" w:pos="74"/>
              </w:tabs>
              <w:jc w:val="both"/>
              <w:rPr>
                <w:sz w:val="22"/>
                <w:rtl/>
              </w:rPr>
            </w:pPr>
          </w:p>
        </w:tc>
        <w:tc>
          <w:tcPr>
            <w:tcW w:w="170" w:type="dxa"/>
            <w:vAlign w:val="bottom"/>
          </w:tcPr>
          <w:p w14:paraId="2A4A8440"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7C04207" w14:textId="77777777" w:rsidR="00845F02" w:rsidRPr="00255307" w:rsidRDefault="00845F02" w:rsidP="00845F02">
            <w:pPr>
              <w:pStyle w:val="a3"/>
              <w:widowControl/>
              <w:tabs>
                <w:tab w:val="decimal" w:pos="74"/>
              </w:tabs>
              <w:jc w:val="both"/>
              <w:rPr>
                <w:sz w:val="22"/>
                <w:rtl/>
              </w:rPr>
            </w:pPr>
          </w:p>
        </w:tc>
      </w:tr>
      <w:tr w:rsidR="00845F02" w:rsidRPr="00255307" w14:paraId="48F32CB9" w14:textId="77777777" w:rsidTr="001521F8">
        <w:tc>
          <w:tcPr>
            <w:tcW w:w="1426" w:type="dxa"/>
            <w:tcBorders>
              <w:top w:val="single" w:sz="6" w:space="0" w:color="auto"/>
              <w:bottom w:val="single" w:sz="6" w:space="0" w:color="auto"/>
              <w:right w:val="single" w:sz="6" w:space="0" w:color="auto"/>
            </w:tcBorders>
          </w:tcPr>
          <w:p w14:paraId="3CF5521A"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1.54(a)</w:t>
            </w:r>
          </w:p>
        </w:tc>
        <w:tc>
          <w:tcPr>
            <w:tcW w:w="4323" w:type="dxa"/>
            <w:tcBorders>
              <w:left w:val="single" w:sz="6" w:space="0" w:color="auto"/>
            </w:tcBorders>
            <w:shd w:val="clear" w:color="auto" w:fill="auto"/>
            <w:vAlign w:val="bottom"/>
          </w:tcPr>
          <w:p w14:paraId="2A5B8E3B" w14:textId="77777777" w:rsidR="00845F02" w:rsidRPr="00255307" w:rsidRDefault="00845F02" w:rsidP="00845F02">
            <w:pPr>
              <w:tabs>
                <w:tab w:val="left" w:pos="227"/>
                <w:tab w:val="left" w:pos="397"/>
                <w:tab w:val="left" w:pos="567"/>
              </w:tabs>
              <w:spacing w:line="240" w:lineRule="exact"/>
              <w:ind w:left="57"/>
              <w:rPr>
                <w:sz w:val="22"/>
                <w:rtl/>
              </w:rPr>
            </w:pPr>
            <w:r w:rsidRPr="00255307">
              <w:rPr>
                <w:sz w:val="22"/>
                <w:rtl/>
              </w:rPr>
              <w:t>רכוש קבוע</w:t>
            </w:r>
          </w:p>
        </w:tc>
        <w:tc>
          <w:tcPr>
            <w:tcW w:w="113" w:type="dxa"/>
            <w:shd w:val="clear" w:color="auto" w:fill="auto"/>
            <w:vAlign w:val="bottom"/>
          </w:tcPr>
          <w:p w14:paraId="156C3EA9" w14:textId="77777777" w:rsidR="00845F02" w:rsidRPr="00255307" w:rsidRDefault="00845F02" w:rsidP="00845F02">
            <w:pPr>
              <w:pStyle w:val="a3"/>
              <w:jc w:val="center"/>
              <w:rPr>
                <w:sz w:val="22"/>
                <w:rtl/>
              </w:rPr>
            </w:pPr>
          </w:p>
        </w:tc>
        <w:tc>
          <w:tcPr>
            <w:tcW w:w="1134" w:type="dxa"/>
            <w:shd w:val="clear" w:color="auto" w:fill="auto"/>
            <w:vAlign w:val="bottom"/>
          </w:tcPr>
          <w:p w14:paraId="74AC88F9"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1A0F9F69"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646348CC" w14:textId="77777777" w:rsidR="00845F02" w:rsidRPr="00255307" w:rsidRDefault="00845F02" w:rsidP="00845F02">
            <w:pPr>
              <w:pStyle w:val="a3"/>
              <w:widowControl/>
              <w:tabs>
                <w:tab w:val="decimal" w:pos="74"/>
              </w:tabs>
              <w:jc w:val="both"/>
              <w:rPr>
                <w:sz w:val="22"/>
                <w:rtl/>
              </w:rPr>
            </w:pPr>
          </w:p>
        </w:tc>
        <w:tc>
          <w:tcPr>
            <w:tcW w:w="170" w:type="dxa"/>
            <w:vAlign w:val="bottom"/>
          </w:tcPr>
          <w:p w14:paraId="4FECA927"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45221E5A" w14:textId="77777777" w:rsidR="00845F02" w:rsidRPr="00255307" w:rsidRDefault="00845F02" w:rsidP="00845F02">
            <w:pPr>
              <w:pStyle w:val="a3"/>
              <w:widowControl/>
              <w:tabs>
                <w:tab w:val="decimal" w:pos="74"/>
              </w:tabs>
              <w:jc w:val="both"/>
              <w:rPr>
                <w:sz w:val="22"/>
                <w:rtl/>
              </w:rPr>
            </w:pPr>
          </w:p>
        </w:tc>
      </w:tr>
      <w:tr w:rsidR="00845F02" w:rsidRPr="00255307" w14:paraId="644DD7F5" w14:textId="77777777" w:rsidTr="001521F8">
        <w:tc>
          <w:tcPr>
            <w:tcW w:w="1426" w:type="dxa"/>
            <w:tcBorders>
              <w:top w:val="single" w:sz="6" w:space="0" w:color="auto"/>
              <w:bottom w:val="single" w:sz="6" w:space="0" w:color="auto"/>
              <w:right w:val="single" w:sz="6" w:space="0" w:color="auto"/>
            </w:tcBorders>
          </w:tcPr>
          <w:p w14:paraId="06371DA6" w14:textId="401E64B9" w:rsidR="00845F02" w:rsidRPr="00255307" w:rsidRDefault="00845F02" w:rsidP="00845F02">
            <w:pPr>
              <w:tabs>
                <w:tab w:val="left" w:pos="227"/>
                <w:tab w:val="left" w:pos="397"/>
                <w:tab w:val="left" w:pos="567"/>
              </w:tabs>
              <w:bidi w:val="0"/>
              <w:spacing w:line="240" w:lineRule="exact"/>
              <w:ind w:left="57"/>
              <w:jc w:val="right"/>
              <w:rPr>
                <w:i/>
                <w:iCs/>
                <w:sz w:val="13"/>
                <w:szCs w:val="13"/>
              </w:rPr>
            </w:pPr>
            <w:r w:rsidRPr="00255307">
              <w:rPr>
                <w:i/>
                <w:iCs/>
                <w:sz w:val="13"/>
                <w:szCs w:val="13"/>
              </w:rPr>
              <w:t>IFRS </w:t>
            </w:r>
            <w:r>
              <w:rPr>
                <w:i/>
                <w:iCs/>
                <w:sz w:val="13"/>
                <w:szCs w:val="13"/>
              </w:rPr>
              <w:t>16</w:t>
            </w:r>
            <w:r w:rsidRPr="00255307">
              <w:rPr>
                <w:i/>
                <w:iCs/>
                <w:sz w:val="13"/>
                <w:szCs w:val="13"/>
              </w:rPr>
              <w:t>.</w:t>
            </w:r>
            <w:r>
              <w:rPr>
                <w:i/>
                <w:iCs/>
                <w:sz w:val="13"/>
                <w:szCs w:val="13"/>
              </w:rPr>
              <w:t>47</w:t>
            </w:r>
            <w:r w:rsidRPr="00255307">
              <w:rPr>
                <w:i/>
                <w:iCs/>
                <w:sz w:val="13"/>
                <w:szCs w:val="13"/>
              </w:rPr>
              <w:t>(a)</w:t>
            </w:r>
          </w:p>
        </w:tc>
        <w:tc>
          <w:tcPr>
            <w:tcW w:w="4323" w:type="dxa"/>
            <w:tcBorders>
              <w:left w:val="single" w:sz="6" w:space="0" w:color="auto"/>
            </w:tcBorders>
            <w:shd w:val="clear" w:color="auto" w:fill="auto"/>
            <w:vAlign w:val="bottom"/>
          </w:tcPr>
          <w:p w14:paraId="0B790B1A" w14:textId="690AD2F7" w:rsidR="00845F02" w:rsidRPr="00255307" w:rsidRDefault="00845F02" w:rsidP="00845F02">
            <w:pPr>
              <w:tabs>
                <w:tab w:val="left" w:pos="227"/>
                <w:tab w:val="left" w:pos="397"/>
                <w:tab w:val="left" w:pos="567"/>
              </w:tabs>
              <w:spacing w:line="240" w:lineRule="exact"/>
              <w:ind w:left="57"/>
              <w:rPr>
                <w:sz w:val="22"/>
                <w:rtl/>
              </w:rPr>
            </w:pPr>
            <w:r>
              <w:rPr>
                <w:rFonts w:hint="cs"/>
                <w:sz w:val="22"/>
                <w:rtl/>
              </w:rPr>
              <w:t>נכסי זכות שימוש</w:t>
            </w:r>
            <w:r>
              <w:rPr>
                <w:rStyle w:val="ab"/>
                <w:sz w:val="22"/>
                <w:rtl/>
              </w:rPr>
              <w:footnoteReference w:id="4"/>
            </w:r>
          </w:p>
        </w:tc>
        <w:tc>
          <w:tcPr>
            <w:tcW w:w="113" w:type="dxa"/>
            <w:shd w:val="clear" w:color="auto" w:fill="auto"/>
            <w:vAlign w:val="bottom"/>
          </w:tcPr>
          <w:p w14:paraId="3DAB94D9" w14:textId="77777777" w:rsidR="00845F02" w:rsidRPr="00255307" w:rsidRDefault="00845F02" w:rsidP="00845F02">
            <w:pPr>
              <w:pStyle w:val="a3"/>
              <w:jc w:val="center"/>
              <w:rPr>
                <w:sz w:val="22"/>
                <w:rtl/>
              </w:rPr>
            </w:pPr>
          </w:p>
        </w:tc>
        <w:tc>
          <w:tcPr>
            <w:tcW w:w="1134" w:type="dxa"/>
            <w:shd w:val="clear" w:color="auto" w:fill="auto"/>
            <w:vAlign w:val="bottom"/>
          </w:tcPr>
          <w:p w14:paraId="7A7A2FB5"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3C851BA7"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5982BAE5" w14:textId="77777777" w:rsidR="00845F02" w:rsidRPr="00255307" w:rsidRDefault="00845F02" w:rsidP="00845F02">
            <w:pPr>
              <w:pStyle w:val="a3"/>
              <w:widowControl/>
              <w:tabs>
                <w:tab w:val="decimal" w:pos="74"/>
              </w:tabs>
              <w:jc w:val="both"/>
              <w:rPr>
                <w:sz w:val="22"/>
                <w:rtl/>
              </w:rPr>
            </w:pPr>
          </w:p>
        </w:tc>
        <w:tc>
          <w:tcPr>
            <w:tcW w:w="170" w:type="dxa"/>
            <w:vAlign w:val="bottom"/>
          </w:tcPr>
          <w:p w14:paraId="0748CC3F"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ED03354" w14:textId="77777777" w:rsidR="00845F02" w:rsidRPr="00255307" w:rsidRDefault="00845F02" w:rsidP="00845F02">
            <w:pPr>
              <w:pStyle w:val="a3"/>
              <w:widowControl/>
              <w:tabs>
                <w:tab w:val="decimal" w:pos="74"/>
              </w:tabs>
              <w:jc w:val="both"/>
              <w:rPr>
                <w:sz w:val="22"/>
                <w:rtl/>
              </w:rPr>
            </w:pPr>
          </w:p>
        </w:tc>
      </w:tr>
      <w:tr w:rsidR="00845F02" w:rsidRPr="00255307" w14:paraId="2C4DB343" w14:textId="77777777" w:rsidTr="001521F8">
        <w:tc>
          <w:tcPr>
            <w:tcW w:w="1426" w:type="dxa"/>
            <w:tcBorders>
              <w:top w:val="single" w:sz="6" w:space="0" w:color="auto"/>
              <w:bottom w:val="single" w:sz="6" w:space="0" w:color="auto"/>
              <w:right w:val="single" w:sz="6" w:space="0" w:color="auto"/>
            </w:tcBorders>
          </w:tcPr>
          <w:p w14:paraId="3407A0BB"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1.54(c)</w:t>
            </w:r>
          </w:p>
        </w:tc>
        <w:tc>
          <w:tcPr>
            <w:tcW w:w="4323" w:type="dxa"/>
            <w:tcBorders>
              <w:left w:val="single" w:sz="6" w:space="0" w:color="auto"/>
            </w:tcBorders>
            <w:shd w:val="clear" w:color="auto" w:fill="auto"/>
            <w:vAlign w:val="bottom"/>
          </w:tcPr>
          <w:p w14:paraId="23ADF283"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נכסים בלתי מוחשיים</w:t>
            </w:r>
          </w:p>
        </w:tc>
        <w:tc>
          <w:tcPr>
            <w:tcW w:w="113" w:type="dxa"/>
            <w:shd w:val="clear" w:color="auto" w:fill="auto"/>
            <w:vAlign w:val="bottom"/>
          </w:tcPr>
          <w:p w14:paraId="633D577E" w14:textId="77777777" w:rsidR="00845F02" w:rsidRPr="00255307" w:rsidRDefault="00845F02" w:rsidP="00845F02">
            <w:pPr>
              <w:pStyle w:val="a3"/>
              <w:jc w:val="center"/>
              <w:rPr>
                <w:sz w:val="22"/>
                <w:rtl/>
              </w:rPr>
            </w:pPr>
          </w:p>
        </w:tc>
        <w:tc>
          <w:tcPr>
            <w:tcW w:w="1134" w:type="dxa"/>
            <w:shd w:val="clear" w:color="auto" w:fill="auto"/>
            <w:vAlign w:val="bottom"/>
          </w:tcPr>
          <w:p w14:paraId="435256B0"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48D47694"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19D5E109" w14:textId="77777777" w:rsidR="00845F02" w:rsidRPr="00255307" w:rsidRDefault="00845F02" w:rsidP="00845F02">
            <w:pPr>
              <w:pStyle w:val="a3"/>
              <w:widowControl/>
              <w:tabs>
                <w:tab w:val="decimal" w:pos="74"/>
              </w:tabs>
              <w:jc w:val="both"/>
              <w:rPr>
                <w:sz w:val="22"/>
                <w:rtl/>
              </w:rPr>
            </w:pPr>
          </w:p>
        </w:tc>
        <w:tc>
          <w:tcPr>
            <w:tcW w:w="170" w:type="dxa"/>
            <w:vAlign w:val="bottom"/>
          </w:tcPr>
          <w:p w14:paraId="3D26E4DF"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1827073F" w14:textId="77777777" w:rsidR="00845F02" w:rsidRPr="00255307" w:rsidRDefault="00845F02" w:rsidP="00845F02">
            <w:pPr>
              <w:pStyle w:val="a3"/>
              <w:widowControl/>
              <w:tabs>
                <w:tab w:val="decimal" w:pos="74"/>
              </w:tabs>
              <w:jc w:val="both"/>
              <w:rPr>
                <w:sz w:val="22"/>
                <w:rtl/>
              </w:rPr>
            </w:pPr>
          </w:p>
        </w:tc>
      </w:tr>
      <w:tr w:rsidR="00845F02" w:rsidRPr="00255307" w14:paraId="5FBE60F5" w14:textId="77777777" w:rsidTr="001521F8">
        <w:tc>
          <w:tcPr>
            <w:tcW w:w="1426" w:type="dxa"/>
            <w:tcBorders>
              <w:top w:val="single" w:sz="6" w:space="0" w:color="auto"/>
              <w:bottom w:val="single" w:sz="6" w:space="0" w:color="auto"/>
              <w:right w:val="single" w:sz="6" w:space="0" w:color="auto"/>
            </w:tcBorders>
          </w:tcPr>
          <w:p w14:paraId="3BE2CDBC"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1.54(c)</w:t>
            </w:r>
          </w:p>
        </w:tc>
        <w:tc>
          <w:tcPr>
            <w:tcW w:w="4323" w:type="dxa"/>
            <w:tcBorders>
              <w:left w:val="single" w:sz="6" w:space="0" w:color="auto"/>
            </w:tcBorders>
            <w:shd w:val="clear" w:color="auto" w:fill="auto"/>
            <w:vAlign w:val="bottom"/>
          </w:tcPr>
          <w:p w14:paraId="06FB6836"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מוניטין</w:t>
            </w:r>
          </w:p>
        </w:tc>
        <w:tc>
          <w:tcPr>
            <w:tcW w:w="113" w:type="dxa"/>
            <w:shd w:val="clear" w:color="auto" w:fill="auto"/>
            <w:vAlign w:val="bottom"/>
          </w:tcPr>
          <w:p w14:paraId="75D99AF5" w14:textId="77777777" w:rsidR="00845F02" w:rsidRPr="00255307" w:rsidRDefault="00845F02" w:rsidP="00845F02">
            <w:pPr>
              <w:pStyle w:val="a3"/>
              <w:jc w:val="center"/>
              <w:rPr>
                <w:sz w:val="22"/>
                <w:rtl/>
              </w:rPr>
            </w:pPr>
          </w:p>
        </w:tc>
        <w:tc>
          <w:tcPr>
            <w:tcW w:w="1134" w:type="dxa"/>
            <w:shd w:val="clear" w:color="auto" w:fill="auto"/>
            <w:vAlign w:val="bottom"/>
          </w:tcPr>
          <w:p w14:paraId="381AA3D0"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710B314F"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556FA03B" w14:textId="77777777" w:rsidR="00845F02" w:rsidRPr="00255307" w:rsidRDefault="00845F02" w:rsidP="00845F02">
            <w:pPr>
              <w:pStyle w:val="a3"/>
              <w:widowControl/>
              <w:tabs>
                <w:tab w:val="decimal" w:pos="74"/>
              </w:tabs>
              <w:jc w:val="both"/>
              <w:rPr>
                <w:sz w:val="22"/>
                <w:rtl/>
              </w:rPr>
            </w:pPr>
          </w:p>
        </w:tc>
        <w:tc>
          <w:tcPr>
            <w:tcW w:w="170" w:type="dxa"/>
            <w:vAlign w:val="bottom"/>
          </w:tcPr>
          <w:p w14:paraId="3662CD14"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7624359" w14:textId="77777777" w:rsidR="00845F02" w:rsidRPr="00255307" w:rsidRDefault="00845F02" w:rsidP="00845F02">
            <w:pPr>
              <w:pStyle w:val="a3"/>
              <w:widowControl/>
              <w:tabs>
                <w:tab w:val="decimal" w:pos="74"/>
              </w:tabs>
              <w:jc w:val="both"/>
              <w:rPr>
                <w:sz w:val="22"/>
                <w:rtl/>
              </w:rPr>
            </w:pPr>
          </w:p>
        </w:tc>
      </w:tr>
      <w:tr w:rsidR="00845F02" w:rsidRPr="00255307" w14:paraId="210BF212" w14:textId="77777777" w:rsidTr="001521F8">
        <w:tc>
          <w:tcPr>
            <w:tcW w:w="1426" w:type="dxa"/>
            <w:tcBorders>
              <w:top w:val="single" w:sz="6" w:space="0" w:color="auto"/>
              <w:bottom w:val="single" w:sz="6" w:space="0" w:color="auto"/>
              <w:right w:val="single" w:sz="6" w:space="0" w:color="auto"/>
            </w:tcBorders>
          </w:tcPr>
          <w:p w14:paraId="259A769D"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1.54(o); IAS 1.56</w:t>
            </w:r>
          </w:p>
        </w:tc>
        <w:tc>
          <w:tcPr>
            <w:tcW w:w="4323" w:type="dxa"/>
            <w:tcBorders>
              <w:left w:val="single" w:sz="6" w:space="0" w:color="auto"/>
            </w:tcBorders>
            <w:shd w:val="clear" w:color="auto" w:fill="auto"/>
            <w:vAlign w:val="bottom"/>
          </w:tcPr>
          <w:p w14:paraId="31C5362F" w14:textId="77777777" w:rsidR="00845F02" w:rsidRPr="00255307" w:rsidRDefault="00845F02" w:rsidP="00845F02">
            <w:pPr>
              <w:tabs>
                <w:tab w:val="left" w:pos="227"/>
                <w:tab w:val="left" w:pos="397"/>
                <w:tab w:val="left" w:pos="567"/>
              </w:tabs>
              <w:spacing w:line="240" w:lineRule="exact"/>
              <w:ind w:firstLine="57"/>
              <w:rPr>
                <w:sz w:val="22"/>
              </w:rPr>
            </w:pPr>
            <w:r w:rsidRPr="00255307">
              <w:rPr>
                <w:rFonts w:hint="cs"/>
                <w:sz w:val="22"/>
                <w:rtl/>
              </w:rPr>
              <w:t>מסים נדחים</w:t>
            </w:r>
          </w:p>
        </w:tc>
        <w:tc>
          <w:tcPr>
            <w:tcW w:w="113" w:type="dxa"/>
            <w:shd w:val="clear" w:color="auto" w:fill="auto"/>
            <w:vAlign w:val="bottom"/>
          </w:tcPr>
          <w:p w14:paraId="75BC780C" w14:textId="77777777" w:rsidR="00845F02" w:rsidRPr="00255307" w:rsidRDefault="00845F02" w:rsidP="00845F02">
            <w:pPr>
              <w:pStyle w:val="a3"/>
              <w:jc w:val="center"/>
              <w:rPr>
                <w:sz w:val="22"/>
                <w:rtl/>
              </w:rPr>
            </w:pPr>
          </w:p>
        </w:tc>
        <w:tc>
          <w:tcPr>
            <w:tcW w:w="1134" w:type="dxa"/>
            <w:tcBorders>
              <w:bottom w:val="single" w:sz="6" w:space="0" w:color="auto"/>
            </w:tcBorders>
            <w:shd w:val="clear" w:color="auto" w:fill="auto"/>
            <w:vAlign w:val="bottom"/>
          </w:tcPr>
          <w:p w14:paraId="5A564F6E"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3C321E88" w14:textId="77777777" w:rsidR="00845F02" w:rsidRPr="00255307" w:rsidRDefault="00845F02" w:rsidP="00845F02">
            <w:pPr>
              <w:pStyle w:val="a3"/>
              <w:widowControl/>
              <w:tabs>
                <w:tab w:val="decimal" w:pos="74"/>
              </w:tabs>
              <w:jc w:val="both"/>
              <w:rPr>
                <w:sz w:val="22"/>
                <w:rtl/>
              </w:rPr>
            </w:pPr>
          </w:p>
        </w:tc>
        <w:tc>
          <w:tcPr>
            <w:tcW w:w="1134" w:type="dxa"/>
            <w:tcBorders>
              <w:bottom w:val="single" w:sz="6" w:space="0" w:color="auto"/>
            </w:tcBorders>
            <w:shd w:val="clear" w:color="auto" w:fill="auto"/>
            <w:vAlign w:val="bottom"/>
          </w:tcPr>
          <w:p w14:paraId="69CA0CA3" w14:textId="77777777" w:rsidR="00845F02" w:rsidRPr="00255307" w:rsidRDefault="00845F02" w:rsidP="00845F02">
            <w:pPr>
              <w:pStyle w:val="a3"/>
              <w:widowControl/>
              <w:tabs>
                <w:tab w:val="decimal" w:pos="74"/>
              </w:tabs>
              <w:jc w:val="both"/>
              <w:rPr>
                <w:sz w:val="22"/>
                <w:rtl/>
              </w:rPr>
            </w:pPr>
          </w:p>
        </w:tc>
        <w:tc>
          <w:tcPr>
            <w:tcW w:w="170" w:type="dxa"/>
            <w:vAlign w:val="bottom"/>
          </w:tcPr>
          <w:p w14:paraId="0753C321" w14:textId="77777777" w:rsidR="00845F02" w:rsidRPr="00255307" w:rsidRDefault="00845F02" w:rsidP="00845F02">
            <w:pPr>
              <w:pStyle w:val="a3"/>
              <w:widowControl/>
              <w:tabs>
                <w:tab w:val="decimal" w:pos="74"/>
              </w:tabs>
              <w:jc w:val="both"/>
              <w:rPr>
                <w:sz w:val="22"/>
                <w:rtl/>
              </w:rPr>
            </w:pPr>
          </w:p>
        </w:tc>
        <w:tc>
          <w:tcPr>
            <w:tcW w:w="1191" w:type="dxa"/>
            <w:tcBorders>
              <w:bottom w:val="single" w:sz="6" w:space="0" w:color="auto"/>
            </w:tcBorders>
            <w:shd w:val="clear" w:color="auto" w:fill="auto"/>
            <w:vAlign w:val="bottom"/>
          </w:tcPr>
          <w:p w14:paraId="33716A68" w14:textId="77777777" w:rsidR="00845F02" w:rsidRPr="00255307" w:rsidRDefault="00845F02" w:rsidP="00845F02">
            <w:pPr>
              <w:pStyle w:val="a3"/>
              <w:widowControl/>
              <w:tabs>
                <w:tab w:val="decimal" w:pos="74"/>
              </w:tabs>
              <w:jc w:val="both"/>
              <w:rPr>
                <w:sz w:val="22"/>
                <w:rtl/>
              </w:rPr>
            </w:pPr>
          </w:p>
        </w:tc>
      </w:tr>
      <w:tr w:rsidR="00845F02" w:rsidRPr="00255307" w14:paraId="4992A9BD" w14:textId="77777777" w:rsidTr="001521F8">
        <w:tc>
          <w:tcPr>
            <w:tcW w:w="1426" w:type="dxa"/>
            <w:tcBorders>
              <w:top w:val="single" w:sz="6" w:space="0" w:color="auto"/>
            </w:tcBorders>
          </w:tcPr>
          <w:p w14:paraId="625271A8" w14:textId="77777777" w:rsidR="00845F02" w:rsidRPr="00255307" w:rsidRDefault="00845F02" w:rsidP="00845F02">
            <w:pPr>
              <w:tabs>
                <w:tab w:val="left" w:pos="227"/>
                <w:tab w:val="left" w:pos="397"/>
                <w:tab w:val="left" w:pos="567"/>
              </w:tabs>
              <w:bidi w:val="0"/>
              <w:spacing w:line="240" w:lineRule="exact"/>
              <w:ind w:firstLine="57"/>
              <w:jc w:val="right"/>
              <w:rPr>
                <w:sz w:val="13"/>
                <w:szCs w:val="13"/>
              </w:rPr>
            </w:pPr>
          </w:p>
        </w:tc>
        <w:tc>
          <w:tcPr>
            <w:tcW w:w="4323" w:type="dxa"/>
            <w:shd w:val="clear" w:color="auto" w:fill="auto"/>
            <w:vAlign w:val="bottom"/>
          </w:tcPr>
          <w:p w14:paraId="0FDF2110" w14:textId="77777777" w:rsidR="00845F02" w:rsidRPr="00255307" w:rsidRDefault="00845F02" w:rsidP="00845F02">
            <w:pPr>
              <w:tabs>
                <w:tab w:val="left" w:pos="227"/>
                <w:tab w:val="left" w:pos="397"/>
                <w:tab w:val="left" w:pos="567"/>
              </w:tabs>
              <w:spacing w:line="240" w:lineRule="exact"/>
              <w:ind w:firstLine="57"/>
              <w:rPr>
                <w:sz w:val="22"/>
              </w:rPr>
            </w:pPr>
          </w:p>
        </w:tc>
        <w:tc>
          <w:tcPr>
            <w:tcW w:w="113" w:type="dxa"/>
            <w:shd w:val="clear" w:color="auto" w:fill="auto"/>
            <w:vAlign w:val="bottom"/>
          </w:tcPr>
          <w:p w14:paraId="7E040CEB" w14:textId="77777777" w:rsidR="00845F02" w:rsidRPr="00255307" w:rsidRDefault="00845F02" w:rsidP="00845F02">
            <w:pPr>
              <w:pStyle w:val="a3"/>
              <w:jc w:val="center"/>
              <w:rPr>
                <w:sz w:val="22"/>
                <w:rtl/>
              </w:rPr>
            </w:pPr>
          </w:p>
        </w:tc>
        <w:tc>
          <w:tcPr>
            <w:tcW w:w="1134" w:type="dxa"/>
            <w:tcBorders>
              <w:top w:val="single" w:sz="6" w:space="0" w:color="auto"/>
            </w:tcBorders>
            <w:shd w:val="clear" w:color="auto" w:fill="auto"/>
            <w:vAlign w:val="bottom"/>
          </w:tcPr>
          <w:p w14:paraId="7C7096B8"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0652FAB9" w14:textId="77777777" w:rsidR="00845F02" w:rsidRPr="00255307" w:rsidRDefault="00845F02" w:rsidP="00845F02">
            <w:pPr>
              <w:pStyle w:val="a3"/>
              <w:widowControl/>
              <w:tabs>
                <w:tab w:val="decimal" w:pos="74"/>
              </w:tabs>
              <w:jc w:val="both"/>
              <w:rPr>
                <w:sz w:val="22"/>
                <w:rtl/>
              </w:rPr>
            </w:pPr>
          </w:p>
        </w:tc>
        <w:tc>
          <w:tcPr>
            <w:tcW w:w="1134" w:type="dxa"/>
            <w:tcBorders>
              <w:top w:val="single" w:sz="6" w:space="0" w:color="auto"/>
            </w:tcBorders>
            <w:shd w:val="clear" w:color="auto" w:fill="auto"/>
            <w:vAlign w:val="bottom"/>
          </w:tcPr>
          <w:p w14:paraId="386931A5" w14:textId="77777777" w:rsidR="00845F02" w:rsidRPr="00255307" w:rsidRDefault="00845F02" w:rsidP="00845F02">
            <w:pPr>
              <w:pStyle w:val="a3"/>
              <w:widowControl/>
              <w:tabs>
                <w:tab w:val="decimal" w:pos="74"/>
              </w:tabs>
              <w:jc w:val="both"/>
              <w:rPr>
                <w:sz w:val="22"/>
                <w:rtl/>
              </w:rPr>
            </w:pPr>
          </w:p>
        </w:tc>
        <w:tc>
          <w:tcPr>
            <w:tcW w:w="170" w:type="dxa"/>
            <w:vAlign w:val="bottom"/>
          </w:tcPr>
          <w:p w14:paraId="36A267C0" w14:textId="77777777" w:rsidR="00845F02" w:rsidRPr="00255307" w:rsidRDefault="00845F02" w:rsidP="00845F02">
            <w:pPr>
              <w:pStyle w:val="a3"/>
              <w:widowControl/>
              <w:tabs>
                <w:tab w:val="decimal" w:pos="74"/>
              </w:tabs>
              <w:jc w:val="both"/>
              <w:rPr>
                <w:sz w:val="22"/>
                <w:rtl/>
              </w:rPr>
            </w:pPr>
          </w:p>
        </w:tc>
        <w:tc>
          <w:tcPr>
            <w:tcW w:w="1191" w:type="dxa"/>
            <w:tcBorders>
              <w:top w:val="single" w:sz="6" w:space="0" w:color="auto"/>
            </w:tcBorders>
            <w:shd w:val="clear" w:color="auto" w:fill="auto"/>
            <w:vAlign w:val="bottom"/>
          </w:tcPr>
          <w:p w14:paraId="0F72FE4E" w14:textId="77777777" w:rsidR="00845F02" w:rsidRPr="00255307" w:rsidRDefault="00845F02" w:rsidP="00845F02">
            <w:pPr>
              <w:pStyle w:val="a3"/>
              <w:widowControl/>
              <w:tabs>
                <w:tab w:val="decimal" w:pos="74"/>
              </w:tabs>
              <w:jc w:val="both"/>
              <w:rPr>
                <w:sz w:val="22"/>
                <w:rtl/>
              </w:rPr>
            </w:pPr>
          </w:p>
        </w:tc>
      </w:tr>
      <w:tr w:rsidR="00845F02" w:rsidRPr="00255307" w14:paraId="03A309C5" w14:textId="77777777" w:rsidTr="001521F8">
        <w:tc>
          <w:tcPr>
            <w:tcW w:w="1426" w:type="dxa"/>
          </w:tcPr>
          <w:p w14:paraId="1A86825E" w14:textId="77777777" w:rsidR="00845F02" w:rsidRPr="00255307" w:rsidRDefault="00845F02" w:rsidP="00845F02">
            <w:pPr>
              <w:tabs>
                <w:tab w:val="left" w:pos="227"/>
                <w:tab w:val="left" w:pos="397"/>
                <w:tab w:val="left" w:pos="567"/>
              </w:tabs>
              <w:bidi w:val="0"/>
              <w:spacing w:line="240" w:lineRule="exact"/>
              <w:ind w:firstLine="57"/>
              <w:jc w:val="right"/>
              <w:rPr>
                <w:sz w:val="13"/>
                <w:szCs w:val="13"/>
              </w:rPr>
            </w:pPr>
          </w:p>
        </w:tc>
        <w:tc>
          <w:tcPr>
            <w:tcW w:w="4323" w:type="dxa"/>
            <w:shd w:val="clear" w:color="auto" w:fill="auto"/>
            <w:vAlign w:val="bottom"/>
          </w:tcPr>
          <w:p w14:paraId="3544074C" w14:textId="77777777" w:rsidR="00845F02" w:rsidRPr="00255307" w:rsidRDefault="00845F02" w:rsidP="00845F02">
            <w:pPr>
              <w:tabs>
                <w:tab w:val="left" w:pos="227"/>
                <w:tab w:val="left" w:pos="397"/>
                <w:tab w:val="left" w:pos="567"/>
              </w:tabs>
              <w:spacing w:line="240" w:lineRule="exact"/>
              <w:ind w:firstLine="57"/>
              <w:rPr>
                <w:sz w:val="22"/>
              </w:rPr>
            </w:pPr>
          </w:p>
        </w:tc>
        <w:tc>
          <w:tcPr>
            <w:tcW w:w="113" w:type="dxa"/>
            <w:shd w:val="clear" w:color="auto" w:fill="auto"/>
            <w:vAlign w:val="bottom"/>
          </w:tcPr>
          <w:p w14:paraId="0DD8BC77" w14:textId="77777777" w:rsidR="00845F02" w:rsidRPr="00255307" w:rsidRDefault="00845F02" w:rsidP="00845F02">
            <w:pPr>
              <w:pStyle w:val="a3"/>
              <w:jc w:val="center"/>
              <w:rPr>
                <w:sz w:val="22"/>
                <w:rtl/>
              </w:rPr>
            </w:pPr>
          </w:p>
        </w:tc>
        <w:tc>
          <w:tcPr>
            <w:tcW w:w="1134" w:type="dxa"/>
            <w:shd w:val="clear" w:color="auto" w:fill="auto"/>
            <w:vAlign w:val="bottom"/>
          </w:tcPr>
          <w:p w14:paraId="4EC2CA24"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21D1A7AA"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0319DD68" w14:textId="77777777" w:rsidR="00845F02" w:rsidRPr="00255307" w:rsidRDefault="00845F02" w:rsidP="00845F02">
            <w:pPr>
              <w:pStyle w:val="a3"/>
              <w:widowControl/>
              <w:tabs>
                <w:tab w:val="decimal" w:pos="74"/>
              </w:tabs>
              <w:jc w:val="both"/>
              <w:rPr>
                <w:sz w:val="22"/>
                <w:rtl/>
              </w:rPr>
            </w:pPr>
          </w:p>
        </w:tc>
        <w:tc>
          <w:tcPr>
            <w:tcW w:w="170" w:type="dxa"/>
            <w:vAlign w:val="bottom"/>
          </w:tcPr>
          <w:p w14:paraId="124F9E8C"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13822A72" w14:textId="77777777" w:rsidR="00845F02" w:rsidRPr="00255307" w:rsidRDefault="00845F02" w:rsidP="00845F02">
            <w:pPr>
              <w:pStyle w:val="a3"/>
              <w:widowControl/>
              <w:tabs>
                <w:tab w:val="decimal" w:pos="74"/>
              </w:tabs>
              <w:jc w:val="both"/>
              <w:rPr>
                <w:sz w:val="22"/>
                <w:rtl/>
              </w:rPr>
            </w:pPr>
          </w:p>
        </w:tc>
      </w:tr>
      <w:tr w:rsidR="00845F02" w:rsidRPr="00255307" w14:paraId="67AC5224" w14:textId="77777777" w:rsidTr="001521F8">
        <w:tc>
          <w:tcPr>
            <w:tcW w:w="1426" w:type="dxa"/>
          </w:tcPr>
          <w:p w14:paraId="4BD7CEA1" w14:textId="77777777" w:rsidR="00845F02" w:rsidRPr="00255307" w:rsidRDefault="00845F02" w:rsidP="00845F02">
            <w:pPr>
              <w:tabs>
                <w:tab w:val="left" w:pos="227"/>
                <w:tab w:val="left" w:pos="397"/>
                <w:tab w:val="left" w:pos="567"/>
              </w:tabs>
              <w:bidi w:val="0"/>
              <w:spacing w:line="240" w:lineRule="exact"/>
              <w:ind w:firstLine="57"/>
              <w:jc w:val="right"/>
              <w:rPr>
                <w:sz w:val="13"/>
                <w:szCs w:val="13"/>
                <w:u w:val="single"/>
              </w:rPr>
            </w:pPr>
          </w:p>
        </w:tc>
        <w:tc>
          <w:tcPr>
            <w:tcW w:w="4323" w:type="dxa"/>
            <w:shd w:val="clear" w:color="auto" w:fill="auto"/>
            <w:vAlign w:val="bottom"/>
          </w:tcPr>
          <w:p w14:paraId="311ED174" w14:textId="77777777" w:rsidR="00845F02" w:rsidRPr="00255307" w:rsidRDefault="00845F02" w:rsidP="00845F02">
            <w:pPr>
              <w:tabs>
                <w:tab w:val="left" w:pos="227"/>
                <w:tab w:val="left" w:pos="397"/>
                <w:tab w:val="left" w:pos="567"/>
              </w:tabs>
              <w:spacing w:line="240" w:lineRule="exact"/>
              <w:ind w:firstLine="57"/>
              <w:rPr>
                <w:sz w:val="22"/>
                <w:u w:val="single"/>
              </w:rPr>
            </w:pPr>
          </w:p>
        </w:tc>
        <w:tc>
          <w:tcPr>
            <w:tcW w:w="113" w:type="dxa"/>
            <w:shd w:val="clear" w:color="auto" w:fill="auto"/>
            <w:vAlign w:val="bottom"/>
          </w:tcPr>
          <w:p w14:paraId="06561640" w14:textId="77777777" w:rsidR="00845F02" w:rsidRPr="00255307" w:rsidRDefault="00845F02" w:rsidP="00845F02">
            <w:pPr>
              <w:pStyle w:val="a3"/>
              <w:jc w:val="center"/>
              <w:rPr>
                <w:sz w:val="22"/>
                <w:rtl/>
              </w:rPr>
            </w:pPr>
          </w:p>
        </w:tc>
        <w:tc>
          <w:tcPr>
            <w:tcW w:w="1134" w:type="dxa"/>
            <w:tcBorders>
              <w:bottom w:val="double" w:sz="6" w:space="0" w:color="auto"/>
            </w:tcBorders>
            <w:shd w:val="clear" w:color="auto" w:fill="auto"/>
            <w:vAlign w:val="bottom"/>
          </w:tcPr>
          <w:p w14:paraId="2FA05730"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353DA049" w14:textId="77777777" w:rsidR="00845F02" w:rsidRPr="00255307" w:rsidRDefault="00845F02" w:rsidP="00845F02">
            <w:pPr>
              <w:pStyle w:val="a3"/>
              <w:widowControl/>
              <w:tabs>
                <w:tab w:val="decimal" w:pos="74"/>
              </w:tabs>
              <w:jc w:val="both"/>
              <w:rPr>
                <w:sz w:val="22"/>
                <w:rtl/>
              </w:rPr>
            </w:pPr>
          </w:p>
        </w:tc>
        <w:tc>
          <w:tcPr>
            <w:tcW w:w="1134" w:type="dxa"/>
            <w:tcBorders>
              <w:bottom w:val="double" w:sz="6" w:space="0" w:color="auto"/>
            </w:tcBorders>
            <w:shd w:val="clear" w:color="auto" w:fill="auto"/>
            <w:vAlign w:val="bottom"/>
          </w:tcPr>
          <w:p w14:paraId="183ACDD0" w14:textId="77777777" w:rsidR="00845F02" w:rsidRPr="00255307" w:rsidRDefault="00845F02" w:rsidP="00845F02">
            <w:pPr>
              <w:pStyle w:val="a3"/>
              <w:widowControl/>
              <w:tabs>
                <w:tab w:val="decimal" w:pos="74"/>
              </w:tabs>
              <w:jc w:val="both"/>
              <w:rPr>
                <w:sz w:val="22"/>
                <w:rtl/>
              </w:rPr>
            </w:pPr>
          </w:p>
        </w:tc>
        <w:tc>
          <w:tcPr>
            <w:tcW w:w="170" w:type="dxa"/>
            <w:vAlign w:val="bottom"/>
          </w:tcPr>
          <w:p w14:paraId="22F66E5E" w14:textId="77777777" w:rsidR="00845F02" w:rsidRPr="00255307" w:rsidRDefault="00845F02" w:rsidP="00845F02">
            <w:pPr>
              <w:pStyle w:val="a3"/>
              <w:widowControl/>
              <w:tabs>
                <w:tab w:val="decimal" w:pos="74"/>
              </w:tabs>
              <w:jc w:val="both"/>
              <w:rPr>
                <w:sz w:val="22"/>
                <w:rtl/>
              </w:rPr>
            </w:pPr>
          </w:p>
        </w:tc>
        <w:tc>
          <w:tcPr>
            <w:tcW w:w="1191" w:type="dxa"/>
            <w:tcBorders>
              <w:bottom w:val="double" w:sz="6" w:space="0" w:color="auto"/>
            </w:tcBorders>
            <w:shd w:val="clear" w:color="auto" w:fill="auto"/>
            <w:vAlign w:val="bottom"/>
          </w:tcPr>
          <w:p w14:paraId="62F4E2C4" w14:textId="77777777" w:rsidR="00845F02" w:rsidRPr="00255307" w:rsidRDefault="00845F02" w:rsidP="00845F02">
            <w:pPr>
              <w:pStyle w:val="a3"/>
              <w:widowControl/>
              <w:tabs>
                <w:tab w:val="decimal" w:pos="74"/>
              </w:tabs>
              <w:jc w:val="both"/>
              <w:rPr>
                <w:sz w:val="22"/>
                <w:rtl/>
              </w:rPr>
            </w:pPr>
          </w:p>
        </w:tc>
      </w:tr>
    </w:tbl>
    <w:p w14:paraId="7658E8D2" w14:textId="77777777" w:rsidR="008D22FA" w:rsidRPr="00376906" w:rsidRDefault="00C334CA">
      <w:pPr>
        <w:rPr>
          <w:sz w:val="18"/>
          <w:szCs w:val="22"/>
          <w:rtl/>
        </w:rPr>
      </w:pPr>
      <w:r w:rsidRPr="00376906">
        <w:rPr>
          <w:rFonts w:hint="cs"/>
          <w:sz w:val="18"/>
          <w:szCs w:val="22"/>
          <w:rtl/>
        </w:rPr>
        <w:t>*)</w:t>
      </w:r>
      <w:r w:rsidRPr="00376906">
        <w:rPr>
          <w:rFonts w:hint="cs"/>
          <w:sz w:val="18"/>
          <w:szCs w:val="22"/>
          <w:rtl/>
        </w:rPr>
        <w:tab/>
        <w:t xml:space="preserve">הוצג מחדש, ראה באור </w:t>
      </w:r>
      <w:r w:rsidR="00391C9D" w:rsidRPr="00376906">
        <w:rPr>
          <w:rFonts w:hint="cs"/>
          <w:sz w:val="18"/>
          <w:szCs w:val="22"/>
          <w:shd w:val="clear" w:color="auto" w:fill="D9D9D9" w:themeFill="background1" w:themeFillShade="D9"/>
          <w:rtl/>
        </w:rPr>
        <w:t>___</w:t>
      </w:r>
      <w:r w:rsidRPr="00376906">
        <w:rPr>
          <w:rFonts w:hint="cs"/>
          <w:sz w:val="18"/>
          <w:szCs w:val="22"/>
          <w:rtl/>
        </w:rPr>
        <w:t>.</w:t>
      </w:r>
    </w:p>
    <w:p w14:paraId="4BE8B062" w14:textId="77777777" w:rsidR="00E53258" w:rsidRPr="00376906" w:rsidRDefault="00D765A9" w:rsidP="002D2FBD">
      <w:pPr>
        <w:ind w:left="567" w:hanging="567"/>
        <w:rPr>
          <w:sz w:val="22"/>
          <w:szCs w:val="22"/>
          <w:rtl/>
        </w:rPr>
      </w:pPr>
      <w:r w:rsidRPr="00376906">
        <w:rPr>
          <w:rFonts w:hint="cs"/>
          <w:sz w:val="22"/>
          <w:szCs w:val="22"/>
          <w:rtl/>
        </w:rPr>
        <w:t>**)</w:t>
      </w:r>
      <w:r w:rsidRPr="00376906">
        <w:rPr>
          <w:sz w:val="22"/>
          <w:szCs w:val="22"/>
          <w:rtl/>
        </w:rPr>
        <w:tab/>
      </w:r>
      <w:r w:rsidR="00E53258" w:rsidRPr="00376906">
        <w:rPr>
          <w:rFonts w:hint="cs"/>
          <w:sz w:val="22"/>
          <w:szCs w:val="22"/>
          <w:rtl/>
        </w:rPr>
        <w:t xml:space="preserve">יושם למפרע, ראה באור </w:t>
      </w:r>
      <w:r w:rsidR="00E53258" w:rsidRPr="00376906">
        <w:rPr>
          <w:rFonts w:hint="cs"/>
          <w:sz w:val="18"/>
          <w:szCs w:val="22"/>
          <w:shd w:val="clear" w:color="auto" w:fill="D9D9D9" w:themeFill="background1" w:themeFillShade="D9"/>
          <w:rtl/>
        </w:rPr>
        <w:t>___</w:t>
      </w:r>
      <w:r w:rsidR="00E53258" w:rsidRPr="00376906">
        <w:rPr>
          <w:rFonts w:hint="cs"/>
          <w:sz w:val="18"/>
          <w:szCs w:val="22"/>
          <w:rtl/>
        </w:rPr>
        <w:t>.</w:t>
      </w:r>
    </w:p>
    <w:p w14:paraId="5E64F02B" w14:textId="77777777" w:rsidR="00845F02" w:rsidRDefault="00E53258" w:rsidP="00845F02">
      <w:pPr>
        <w:ind w:left="567" w:hanging="567"/>
        <w:rPr>
          <w:rtl/>
        </w:rPr>
      </w:pPr>
      <w:r w:rsidRPr="00376906">
        <w:rPr>
          <w:rFonts w:hint="cs"/>
          <w:sz w:val="22"/>
          <w:szCs w:val="22"/>
          <w:rtl/>
        </w:rPr>
        <w:t>***)</w:t>
      </w:r>
      <w:r w:rsidRPr="00376906">
        <w:rPr>
          <w:rFonts w:hint="cs"/>
          <w:sz w:val="22"/>
          <w:szCs w:val="22"/>
          <w:rtl/>
        </w:rPr>
        <w:tab/>
      </w:r>
      <w:r w:rsidR="00D765A9" w:rsidRPr="00376906">
        <w:rPr>
          <w:rFonts w:hint="cs"/>
          <w:sz w:val="22"/>
          <w:szCs w:val="22"/>
          <w:rtl/>
        </w:rPr>
        <w:t xml:space="preserve">התאמה לא מהותית של מספרי השוואה, ראה </w:t>
      </w:r>
      <w:r w:rsidR="002D2FBD" w:rsidRPr="00376906">
        <w:rPr>
          <w:rFonts w:hint="cs"/>
          <w:sz w:val="22"/>
          <w:szCs w:val="22"/>
          <w:rtl/>
        </w:rPr>
        <w:t>באור</w:t>
      </w:r>
      <w:r w:rsidR="00D765A9" w:rsidRPr="00376906">
        <w:rPr>
          <w:rFonts w:hint="cs"/>
          <w:sz w:val="22"/>
          <w:szCs w:val="22"/>
          <w:rtl/>
        </w:rPr>
        <w:t xml:space="preserve"> ___.</w:t>
      </w:r>
    </w:p>
    <w:p w14:paraId="72DE1277" w14:textId="615E9396" w:rsidR="00AB7D68" w:rsidRDefault="00AB7D68" w:rsidP="00845F02">
      <w:pPr>
        <w:ind w:left="567" w:hanging="567"/>
        <w:rPr>
          <w:rtl/>
        </w:rPr>
      </w:pPr>
      <w:r>
        <w:rPr>
          <w:rFonts w:hint="cs"/>
          <w:rtl/>
        </w:rPr>
        <w:t>הבאורים המצורפים מהווים חלק בלתי נפרד מהדוחות הכספיים ביניים מאוחדים.</w:t>
      </w:r>
    </w:p>
    <w:p w14:paraId="4C77473B" w14:textId="77777777" w:rsidR="00F41C12" w:rsidRDefault="00AB7D68">
      <w:pPr>
        <w:pBdr>
          <w:bottom w:val="single" w:sz="12" w:space="1" w:color="auto"/>
        </w:pBdr>
        <w:rPr>
          <w:b/>
          <w:bCs/>
          <w:rtl/>
        </w:rPr>
      </w:pPr>
      <w:r>
        <w:rPr>
          <w:rFonts w:hint="cs"/>
          <w:rtl/>
        </w:rPr>
        <w:br w:type="page"/>
      </w:r>
      <w:r w:rsidR="00B2665D">
        <w:rPr>
          <w:rFonts w:hint="cs"/>
          <w:b/>
          <w:bCs/>
          <w:rtl/>
        </w:rPr>
        <w:lastRenderedPageBreak/>
        <w:t xml:space="preserve">דוחות </w:t>
      </w:r>
      <w:r w:rsidR="00B2665D" w:rsidRPr="00785F4C">
        <w:rPr>
          <w:rFonts w:hint="cs"/>
          <w:b/>
          <w:bCs/>
          <w:rtl/>
        </w:rPr>
        <w:t>מאוחדים</w:t>
      </w:r>
      <w:r w:rsidR="00B2665D">
        <w:rPr>
          <w:rFonts w:hint="cs"/>
          <w:b/>
          <w:bCs/>
          <w:rtl/>
        </w:rPr>
        <w:t xml:space="preserve"> על המצב הכספי</w:t>
      </w:r>
    </w:p>
    <w:tbl>
      <w:tblPr>
        <w:bidiVisual/>
        <w:tblW w:w="9678" w:type="dxa"/>
        <w:tblInd w:w="-82" w:type="dxa"/>
        <w:tblLayout w:type="fixed"/>
        <w:tblCellMar>
          <w:left w:w="0" w:type="dxa"/>
          <w:right w:w="0" w:type="dxa"/>
        </w:tblCellMar>
        <w:tblLook w:val="00A0" w:firstRow="1" w:lastRow="0" w:firstColumn="1" w:lastColumn="0" w:noHBand="0" w:noVBand="0"/>
      </w:tblPr>
      <w:tblGrid>
        <w:gridCol w:w="1572"/>
        <w:gridCol w:w="4480"/>
        <w:gridCol w:w="113"/>
        <w:gridCol w:w="1089"/>
        <w:gridCol w:w="23"/>
        <w:gridCol w:w="115"/>
        <w:gridCol w:w="1089"/>
        <w:gridCol w:w="108"/>
        <w:gridCol w:w="1089"/>
      </w:tblGrid>
      <w:tr w:rsidR="006D2E1A" w:rsidRPr="007D64FF" w14:paraId="0AC3D852" w14:textId="77777777" w:rsidTr="001521F8">
        <w:tc>
          <w:tcPr>
            <w:tcW w:w="1572" w:type="dxa"/>
            <w:tcBorders>
              <w:bottom w:val="single" w:sz="6" w:space="0" w:color="auto"/>
              <w:right w:val="single" w:sz="6" w:space="0" w:color="auto"/>
            </w:tcBorders>
          </w:tcPr>
          <w:p w14:paraId="3CFCD358" w14:textId="77777777" w:rsidR="006D2E1A" w:rsidRPr="000B1730" w:rsidRDefault="00F2585A" w:rsidP="004B6E29">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1.10(a); IAS 1.51(b), (c); IAS 34.10</w:t>
            </w:r>
          </w:p>
        </w:tc>
        <w:tc>
          <w:tcPr>
            <w:tcW w:w="4480" w:type="dxa"/>
            <w:tcBorders>
              <w:left w:val="single" w:sz="6" w:space="0" w:color="auto"/>
            </w:tcBorders>
            <w:vAlign w:val="bottom"/>
          </w:tcPr>
          <w:p w14:paraId="4A449F46" w14:textId="77777777" w:rsidR="006D2E1A" w:rsidRPr="00376906" w:rsidRDefault="006D2E1A" w:rsidP="00C27900">
            <w:pPr>
              <w:pStyle w:val="a3"/>
              <w:tabs>
                <w:tab w:val="left" w:pos="227"/>
                <w:tab w:val="left" w:pos="397"/>
                <w:tab w:val="left" w:pos="567"/>
              </w:tabs>
              <w:spacing w:line="200" w:lineRule="exact"/>
              <w:ind w:left="227" w:hanging="170"/>
              <w:rPr>
                <w:sz w:val="18"/>
                <w:szCs w:val="20"/>
                <w:u w:val="single"/>
                <w:rtl/>
              </w:rPr>
            </w:pPr>
          </w:p>
        </w:tc>
        <w:tc>
          <w:tcPr>
            <w:tcW w:w="113" w:type="dxa"/>
            <w:shd w:val="clear" w:color="auto" w:fill="auto"/>
            <w:vAlign w:val="bottom"/>
          </w:tcPr>
          <w:p w14:paraId="459F2522" w14:textId="77777777" w:rsidR="006D2E1A" w:rsidRPr="007D64FF" w:rsidRDefault="006D2E1A" w:rsidP="00C27900">
            <w:pPr>
              <w:tabs>
                <w:tab w:val="left" w:pos="0"/>
                <w:tab w:val="left" w:pos="397"/>
                <w:tab w:val="left" w:pos="510"/>
              </w:tabs>
              <w:spacing w:line="200" w:lineRule="exact"/>
              <w:rPr>
                <w:b/>
                <w:bCs/>
                <w:szCs w:val="22"/>
                <w:u w:val="single"/>
              </w:rPr>
            </w:pPr>
          </w:p>
        </w:tc>
        <w:tc>
          <w:tcPr>
            <w:tcW w:w="2316" w:type="dxa"/>
            <w:gridSpan w:val="4"/>
            <w:tcBorders>
              <w:bottom w:val="single" w:sz="6" w:space="0" w:color="auto"/>
            </w:tcBorders>
            <w:shd w:val="clear" w:color="auto" w:fill="auto"/>
            <w:vAlign w:val="bottom"/>
          </w:tcPr>
          <w:p w14:paraId="056067FD" w14:textId="77777777" w:rsidR="006D2E1A" w:rsidRPr="00FA1BC5" w:rsidRDefault="006D2E1A" w:rsidP="00C27900">
            <w:pPr>
              <w:tabs>
                <w:tab w:val="decimal" w:pos="113"/>
              </w:tabs>
              <w:spacing w:line="200" w:lineRule="exact"/>
              <w:jc w:val="center"/>
              <w:rPr>
                <w:sz w:val="22"/>
                <w:szCs w:val="22"/>
                <w:rtl/>
              </w:rPr>
            </w:pPr>
            <w:r w:rsidRPr="00FA1BC5">
              <w:rPr>
                <w:rFonts w:hint="cs"/>
                <w:sz w:val="22"/>
                <w:szCs w:val="22"/>
                <w:rtl/>
              </w:rPr>
              <w:t>ליום 30 בספטמבר</w:t>
            </w:r>
          </w:p>
        </w:tc>
        <w:tc>
          <w:tcPr>
            <w:tcW w:w="108" w:type="dxa"/>
          </w:tcPr>
          <w:p w14:paraId="5E821832" w14:textId="77777777" w:rsidR="006D2E1A" w:rsidRPr="00FA1BC5" w:rsidRDefault="006D2E1A" w:rsidP="00C27900">
            <w:pPr>
              <w:tabs>
                <w:tab w:val="decimal" w:pos="113"/>
              </w:tabs>
              <w:spacing w:line="200" w:lineRule="exact"/>
              <w:jc w:val="center"/>
              <w:rPr>
                <w:sz w:val="22"/>
                <w:szCs w:val="22"/>
              </w:rPr>
            </w:pPr>
          </w:p>
        </w:tc>
        <w:tc>
          <w:tcPr>
            <w:tcW w:w="1089" w:type="dxa"/>
            <w:shd w:val="clear" w:color="auto" w:fill="auto"/>
          </w:tcPr>
          <w:p w14:paraId="3FE71459" w14:textId="77777777" w:rsidR="006D2E1A" w:rsidRPr="00FA1BC5" w:rsidRDefault="006D2E1A" w:rsidP="00C27900">
            <w:pPr>
              <w:tabs>
                <w:tab w:val="decimal" w:pos="113"/>
              </w:tabs>
              <w:spacing w:line="200" w:lineRule="exact"/>
              <w:jc w:val="center"/>
              <w:rPr>
                <w:sz w:val="22"/>
                <w:szCs w:val="22"/>
                <w:rtl/>
              </w:rPr>
            </w:pPr>
            <w:r w:rsidRPr="00FA1BC5">
              <w:rPr>
                <w:rFonts w:hint="cs"/>
                <w:sz w:val="22"/>
                <w:szCs w:val="22"/>
                <w:rtl/>
              </w:rPr>
              <w:t>ליום</w:t>
            </w:r>
          </w:p>
          <w:p w14:paraId="1F048089" w14:textId="77777777" w:rsidR="006D2E1A" w:rsidRPr="00FA1BC5" w:rsidRDefault="006D2E1A" w:rsidP="00C27900">
            <w:pPr>
              <w:tabs>
                <w:tab w:val="decimal" w:pos="113"/>
              </w:tabs>
              <w:spacing w:line="200" w:lineRule="exact"/>
              <w:jc w:val="center"/>
              <w:rPr>
                <w:sz w:val="22"/>
                <w:szCs w:val="22"/>
                <w:rtl/>
              </w:rPr>
            </w:pPr>
            <w:r w:rsidRPr="00FA1BC5">
              <w:rPr>
                <w:rFonts w:hint="cs"/>
                <w:sz w:val="22"/>
                <w:szCs w:val="22"/>
                <w:rtl/>
              </w:rPr>
              <w:t>31 בדצמבר</w:t>
            </w:r>
          </w:p>
        </w:tc>
      </w:tr>
      <w:tr w:rsidR="00E21527" w:rsidRPr="007D64FF" w14:paraId="01F512E7" w14:textId="77777777" w:rsidTr="001521F8">
        <w:tc>
          <w:tcPr>
            <w:tcW w:w="1572" w:type="dxa"/>
            <w:tcBorders>
              <w:top w:val="single" w:sz="6" w:space="0" w:color="auto"/>
            </w:tcBorders>
          </w:tcPr>
          <w:p w14:paraId="164E7F62"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vAlign w:val="bottom"/>
          </w:tcPr>
          <w:p w14:paraId="5C7991EA" w14:textId="77777777" w:rsidR="00E21527" w:rsidRPr="00376906" w:rsidRDefault="00E21527" w:rsidP="00E21527">
            <w:pPr>
              <w:pStyle w:val="a3"/>
              <w:tabs>
                <w:tab w:val="left" w:pos="227"/>
                <w:tab w:val="left" w:pos="397"/>
                <w:tab w:val="left" w:pos="567"/>
              </w:tabs>
              <w:spacing w:line="200" w:lineRule="exact"/>
              <w:ind w:left="227" w:hanging="170"/>
              <w:rPr>
                <w:sz w:val="18"/>
                <w:szCs w:val="20"/>
                <w:u w:val="single"/>
                <w:rtl/>
              </w:rPr>
            </w:pPr>
          </w:p>
        </w:tc>
        <w:tc>
          <w:tcPr>
            <w:tcW w:w="113" w:type="dxa"/>
            <w:shd w:val="clear" w:color="auto" w:fill="auto"/>
            <w:vAlign w:val="bottom"/>
          </w:tcPr>
          <w:p w14:paraId="3EDFAA81" w14:textId="77777777" w:rsidR="00E21527" w:rsidRPr="007D64FF" w:rsidRDefault="00E21527" w:rsidP="00E21527">
            <w:pPr>
              <w:tabs>
                <w:tab w:val="left" w:pos="0"/>
                <w:tab w:val="left" w:pos="397"/>
                <w:tab w:val="left" w:pos="510"/>
              </w:tabs>
              <w:spacing w:line="200" w:lineRule="exact"/>
              <w:rPr>
                <w:b/>
                <w:bCs/>
                <w:szCs w:val="22"/>
                <w:u w:val="single"/>
              </w:rPr>
            </w:pPr>
          </w:p>
        </w:tc>
        <w:tc>
          <w:tcPr>
            <w:tcW w:w="1089" w:type="dxa"/>
            <w:tcBorders>
              <w:bottom w:val="single" w:sz="6" w:space="0" w:color="auto"/>
            </w:tcBorders>
            <w:shd w:val="clear" w:color="auto" w:fill="auto"/>
            <w:vAlign w:val="bottom"/>
          </w:tcPr>
          <w:p w14:paraId="259CF14E" w14:textId="11EB6DDD" w:rsidR="00E21527" w:rsidRPr="00E21527" w:rsidRDefault="00E21527" w:rsidP="00E21527">
            <w:pPr>
              <w:pStyle w:val="a3"/>
              <w:jc w:val="center"/>
              <w:rPr>
                <w:szCs w:val="22"/>
                <w:u w:val="single"/>
                <w:rtl/>
              </w:rPr>
            </w:pPr>
            <w:r w:rsidRPr="00E21527">
              <w:rPr>
                <w:rFonts w:hint="cs"/>
                <w:szCs w:val="22"/>
                <w:rtl/>
              </w:rPr>
              <w:t>2019</w:t>
            </w:r>
          </w:p>
        </w:tc>
        <w:tc>
          <w:tcPr>
            <w:tcW w:w="138" w:type="dxa"/>
            <w:gridSpan w:val="2"/>
            <w:vAlign w:val="bottom"/>
          </w:tcPr>
          <w:p w14:paraId="10E1FA08" w14:textId="77777777" w:rsidR="00E21527" w:rsidRPr="00E21527" w:rsidRDefault="00E21527" w:rsidP="00E21527">
            <w:pPr>
              <w:pStyle w:val="a3"/>
              <w:jc w:val="center"/>
              <w:rPr>
                <w:szCs w:val="22"/>
                <w:rtl/>
              </w:rPr>
            </w:pPr>
          </w:p>
        </w:tc>
        <w:tc>
          <w:tcPr>
            <w:tcW w:w="1089" w:type="dxa"/>
            <w:tcBorders>
              <w:bottom w:val="single" w:sz="6" w:space="0" w:color="auto"/>
            </w:tcBorders>
            <w:shd w:val="clear" w:color="auto" w:fill="auto"/>
            <w:vAlign w:val="bottom"/>
          </w:tcPr>
          <w:p w14:paraId="4841BD54" w14:textId="7DAA9B0D" w:rsidR="00E21527" w:rsidRPr="00E21527" w:rsidRDefault="00E21527" w:rsidP="00E21527">
            <w:pPr>
              <w:pStyle w:val="a3"/>
              <w:jc w:val="center"/>
              <w:rPr>
                <w:szCs w:val="22"/>
                <w:u w:val="single"/>
                <w:rtl/>
              </w:rPr>
            </w:pPr>
            <w:r w:rsidRPr="00E21527">
              <w:rPr>
                <w:rFonts w:hint="cs"/>
                <w:szCs w:val="22"/>
                <w:rtl/>
              </w:rPr>
              <w:t>2018</w:t>
            </w:r>
          </w:p>
        </w:tc>
        <w:tc>
          <w:tcPr>
            <w:tcW w:w="108" w:type="dxa"/>
          </w:tcPr>
          <w:p w14:paraId="1D0910BE" w14:textId="77777777" w:rsidR="00E21527" w:rsidRPr="00E21527" w:rsidRDefault="00E21527" w:rsidP="00E21527">
            <w:pPr>
              <w:pStyle w:val="a3"/>
              <w:jc w:val="center"/>
              <w:rPr>
                <w:szCs w:val="22"/>
                <w:rtl/>
              </w:rPr>
            </w:pPr>
          </w:p>
        </w:tc>
        <w:tc>
          <w:tcPr>
            <w:tcW w:w="1089" w:type="dxa"/>
            <w:tcBorders>
              <w:bottom w:val="single" w:sz="6" w:space="0" w:color="auto"/>
            </w:tcBorders>
            <w:shd w:val="clear" w:color="auto" w:fill="auto"/>
            <w:vAlign w:val="bottom"/>
          </w:tcPr>
          <w:p w14:paraId="7FD3F899" w14:textId="68F8F4C8" w:rsidR="00E21527" w:rsidRPr="00E21527" w:rsidRDefault="00E21527" w:rsidP="00E21527">
            <w:pPr>
              <w:pStyle w:val="a3"/>
              <w:jc w:val="center"/>
              <w:rPr>
                <w:szCs w:val="22"/>
                <w:u w:val="single"/>
                <w:rtl/>
              </w:rPr>
            </w:pPr>
            <w:r w:rsidRPr="00E21527">
              <w:rPr>
                <w:rFonts w:hint="cs"/>
                <w:szCs w:val="22"/>
                <w:rtl/>
              </w:rPr>
              <w:t>2018</w:t>
            </w:r>
          </w:p>
        </w:tc>
      </w:tr>
      <w:tr w:rsidR="00E21527" w:rsidRPr="007D64FF" w14:paraId="6E15AA06" w14:textId="77777777" w:rsidTr="001521F8">
        <w:tc>
          <w:tcPr>
            <w:tcW w:w="1572" w:type="dxa"/>
          </w:tcPr>
          <w:p w14:paraId="31E2CB36"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vAlign w:val="bottom"/>
          </w:tcPr>
          <w:p w14:paraId="649A9F4C" w14:textId="77777777" w:rsidR="00E21527" w:rsidRPr="00376906" w:rsidRDefault="00E21527" w:rsidP="00E21527">
            <w:pPr>
              <w:pStyle w:val="a3"/>
              <w:tabs>
                <w:tab w:val="left" w:pos="227"/>
                <w:tab w:val="left" w:pos="397"/>
                <w:tab w:val="left" w:pos="567"/>
              </w:tabs>
              <w:spacing w:line="200" w:lineRule="exact"/>
              <w:ind w:left="227" w:hanging="170"/>
              <w:rPr>
                <w:sz w:val="18"/>
                <w:szCs w:val="20"/>
                <w:u w:val="single"/>
                <w:rtl/>
              </w:rPr>
            </w:pPr>
          </w:p>
        </w:tc>
        <w:tc>
          <w:tcPr>
            <w:tcW w:w="113" w:type="dxa"/>
            <w:shd w:val="clear" w:color="auto" w:fill="auto"/>
            <w:vAlign w:val="bottom"/>
          </w:tcPr>
          <w:p w14:paraId="1ADE1ECC" w14:textId="77777777" w:rsidR="00E21527" w:rsidRPr="007D64FF" w:rsidRDefault="00E21527" w:rsidP="00E21527">
            <w:pPr>
              <w:tabs>
                <w:tab w:val="left" w:pos="0"/>
                <w:tab w:val="left" w:pos="397"/>
                <w:tab w:val="left" w:pos="510"/>
              </w:tabs>
              <w:spacing w:line="200" w:lineRule="exact"/>
              <w:rPr>
                <w:b/>
                <w:bCs/>
                <w:szCs w:val="22"/>
                <w:u w:val="single"/>
              </w:rPr>
            </w:pPr>
          </w:p>
        </w:tc>
        <w:tc>
          <w:tcPr>
            <w:tcW w:w="2316" w:type="dxa"/>
            <w:gridSpan w:val="4"/>
            <w:tcBorders>
              <w:bottom w:val="single" w:sz="6" w:space="0" w:color="auto"/>
            </w:tcBorders>
            <w:shd w:val="clear" w:color="auto" w:fill="auto"/>
            <w:vAlign w:val="bottom"/>
          </w:tcPr>
          <w:p w14:paraId="56503912" w14:textId="77777777" w:rsidR="00E21527" w:rsidRPr="00FA1BC5" w:rsidRDefault="00E21527" w:rsidP="00E21527">
            <w:pPr>
              <w:spacing w:line="200" w:lineRule="exact"/>
              <w:jc w:val="center"/>
              <w:rPr>
                <w:sz w:val="22"/>
                <w:szCs w:val="22"/>
              </w:rPr>
            </w:pPr>
            <w:r w:rsidRPr="00FA1BC5">
              <w:rPr>
                <w:rFonts w:hint="cs"/>
                <w:sz w:val="22"/>
                <w:szCs w:val="22"/>
                <w:rtl/>
              </w:rPr>
              <w:t>בלתי מבוקר</w:t>
            </w:r>
          </w:p>
        </w:tc>
        <w:tc>
          <w:tcPr>
            <w:tcW w:w="108" w:type="dxa"/>
          </w:tcPr>
          <w:p w14:paraId="5EAA53E2" w14:textId="77777777" w:rsidR="00E21527" w:rsidRPr="00FA1BC5" w:rsidRDefault="00E21527" w:rsidP="00E21527">
            <w:pPr>
              <w:tabs>
                <w:tab w:val="decimal" w:pos="113"/>
              </w:tabs>
              <w:spacing w:line="200" w:lineRule="exact"/>
              <w:jc w:val="center"/>
              <w:rPr>
                <w:sz w:val="22"/>
                <w:szCs w:val="22"/>
              </w:rPr>
            </w:pPr>
          </w:p>
        </w:tc>
        <w:tc>
          <w:tcPr>
            <w:tcW w:w="1089" w:type="dxa"/>
            <w:tcBorders>
              <w:bottom w:val="single" w:sz="6" w:space="0" w:color="auto"/>
            </w:tcBorders>
            <w:shd w:val="clear" w:color="auto" w:fill="auto"/>
          </w:tcPr>
          <w:p w14:paraId="4760F7F7" w14:textId="77777777" w:rsidR="00E21527" w:rsidRPr="00FA1BC5" w:rsidRDefault="00E21527" w:rsidP="00E21527">
            <w:pPr>
              <w:tabs>
                <w:tab w:val="decimal" w:pos="113"/>
              </w:tabs>
              <w:spacing w:line="200" w:lineRule="exact"/>
              <w:jc w:val="center"/>
              <w:rPr>
                <w:sz w:val="22"/>
                <w:szCs w:val="22"/>
              </w:rPr>
            </w:pPr>
            <w:r w:rsidRPr="00FA1BC5">
              <w:rPr>
                <w:rFonts w:hint="cs"/>
                <w:sz w:val="22"/>
                <w:szCs w:val="22"/>
                <w:rtl/>
              </w:rPr>
              <w:t>מבוקר</w:t>
            </w:r>
          </w:p>
        </w:tc>
      </w:tr>
      <w:tr w:rsidR="00E21527" w:rsidRPr="007D64FF" w14:paraId="204629BC" w14:textId="77777777" w:rsidTr="001521F8">
        <w:tc>
          <w:tcPr>
            <w:tcW w:w="1572" w:type="dxa"/>
          </w:tcPr>
          <w:p w14:paraId="5028AC94"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vAlign w:val="bottom"/>
          </w:tcPr>
          <w:p w14:paraId="4371821B" w14:textId="77777777" w:rsidR="00E21527" w:rsidRPr="00376906" w:rsidRDefault="00E21527" w:rsidP="00E21527">
            <w:pPr>
              <w:pStyle w:val="a3"/>
              <w:tabs>
                <w:tab w:val="left" w:pos="227"/>
                <w:tab w:val="left" w:pos="397"/>
                <w:tab w:val="left" w:pos="567"/>
              </w:tabs>
              <w:spacing w:line="200" w:lineRule="exact"/>
              <w:ind w:left="227" w:hanging="170"/>
              <w:rPr>
                <w:sz w:val="18"/>
                <w:szCs w:val="20"/>
                <w:u w:val="single"/>
                <w:rtl/>
              </w:rPr>
            </w:pPr>
          </w:p>
        </w:tc>
        <w:tc>
          <w:tcPr>
            <w:tcW w:w="113" w:type="dxa"/>
            <w:shd w:val="clear" w:color="auto" w:fill="auto"/>
            <w:vAlign w:val="bottom"/>
          </w:tcPr>
          <w:p w14:paraId="74992590" w14:textId="77777777" w:rsidR="00E21527" w:rsidRPr="007D64FF" w:rsidRDefault="00E21527" w:rsidP="00E21527">
            <w:pPr>
              <w:tabs>
                <w:tab w:val="left" w:pos="0"/>
                <w:tab w:val="left" w:pos="397"/>
                <w:tab w:val="left" w:pos="510"/>
              </w:tabs>
              <w:spacing w:line="200" w:lineRule="exact"/>
              <w:rPr>
                <w:b/>
                <w:bCs/>
                <w:szCs w:val="22"/>
                <w:u w:val="single"/>
              </w:rPr>
            </w:pPr>
          </w:p>
        </w:tc>
        <w:tc>
          <w:tcPr>
            <w:tcW w:w="1112" w:type="dxa"/>
            <w:gridSpan w:val="2"/>
            <w:tcBorders>
              <w:bottom w:val="single" w:sz="6" w:space="0" w:color="auto"/>
            </w:tcBorders>
            <w:shd w:val="clear" w:color="auto" w:fill="auto"/>
            <w:vAlign w:val="bottom"/>
          </w:tcPr>
          <w:p w14:paraId="32430AC3" w14:textId="77777777" w:rsidR="00E21527" w:rsidRPr="003B53CF" w:rsidRDefault="00E21527" w:rsidP="00E21527">
            <w:pPr>
              <w:tabs>
                <w:tab w:val="decimal" w:pos="113"/>
              </w:tabs>
              <w:spacing w:line="200" w:lineRule="exact"/>
              <w:jc w:val="center"/>
              <w:rPr>
                <w:i/>
                <w:iCs/>
                <w:sz w:val="13"/>
                <w:szCs w:val="13"/>
              </w:rPr>
            </w:pPr>
            <w:r w:rsidRPr="003B53CF">
              <w:rPr>
                <w:i/>
                <w:iCs/>
                <w:sz w:val="13"/>
                <w:szCs w:val="13"/>
              </w:rPr>
              <w:t>IAS 1.51(d</w:t>
            </w:r>
            <w:r>
              <w:rPr>
                <w:i/>
                <w:iCs/>
                <w:sz w:val="13"/>
                <w:szCs w:val="13"/>
              </w:rPr>
              <w:t>), (</w:t>
            </w:r>
            <w:r w:rsidRPr="003B53CF">
              <w:rPr>
                <w:i/>
                <w:iCs/>
                <w:sz w:val="13"/>
                <w:szCs w:val="13"/>
              </w:rPr>
              <w:t>e)</w:t>
            </w:r>
          </w:p>
        </w:tc>
        <w:tc>
          <w:tcPr>
            <w:tcW w:w="2401" w:type="dxa"/>
            <w:gridSpan w:val="4"/>
            <w:tcBorders>
              <w:bottom w:val="single" w:sz="6" w:space="0" w:color="auto"/>
            </w:tcBorders>
            <w:shd w:val="clear" w:color="auto" w:fill="auto"/>
            <w:vAlign w:val="bottom"/>
          </w:tcPr>
          <w:p w14:paraId="5100A1A5" w14:textId="77777777" w:rsidR="00E21527" w:rsidRPr="007D64FF" w:rsidRDefault="00E21527" w:rsidP="00E21527">
            <w:pPr>
              <w:spacing w:line="200" w:lineRule="exact"/>
              <w:ind w:left="144"/>
              <w:jc w:val="left"/>
              <w:rPr>
                <w:szCs w:val="22"/>
                <w:rtl/>
              </w:rPr>
            </w:pPr>
            <w:r w:rsidRPr="007D64FF">
              <w:rPr>
                <w:rFonts w:hint="cs"/>
                <w:szCs w:val="22"/>
                <w:rtl/>
              </w:rPr>
              <w:t>אלפי ש"ח</w:t>
            </w:r>
          </w:p>
        </w:tc>
      </w:tr>
      <w:tr w:rsidR="00E21527" w:rsidRPr="007D64FF" w14:paraId="05CF2085" w14:textId="77777777" w:rsidTr="001521F8">
        <w:tc>
          <w:tcPr>
            <w:tcW w:w="1572" w:type="dxa"/>
            <w:tcBorders>
              <w:bottom w:val="single" w:sz="6" w:space="0" w:color="auto"/>
              <w:right w:val="single" w:sz="6" w:space="0" w:color="auto"/>
            </w:tcBorders>
          </w:tcPr>
          <w:p w14:paraId="3EBBCF43"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1.60, 69</w:t>
            </w:r>
          </w:p>
        </w:tc>
        <w:tc>
          <w:tcPr>
            <w:tcW w:w="4480" w:type="dxa"/>
            <w:tcBorders>
              <w:left w:val="single" w:sz="6" w:space="0" w:color="auto"/>
            </w:tcBorders>
            <w:vAlign w:val="bottom"/>
          </w:tcPr>
          <w:p w14:paraId="460B1F7F" w14:textId="77777777" w:rsidR="00E21527" w:rsidRPr="00376906" w:rsidRDefault="00E21527" w:rsidP="00E21527">
            <w:pPr>
              <w:pStyle w:val="a3"/>
              <w:tabs>
                <w:tab w:val="left" w:pos="227"/>
                <w:tab w:val="left" w:pos="397"/>
                <w:tab w:val="left" w:pos="567"/>
              </w:tabs>
              <w:spacing w:line="200" w:lineRule="exact"/>
              <w:ind w:left="227" w:hanging="170"/>
              <w:rPr>
                <w:sz w:val="18"/>
                <w:szCs w:val="20"/>
                <w:u w:val="single"/>
              </w:rPr>
            </w:pPr>
            <w:r w:rsidRPr="00376906">
              <w:rPr>
                <w:rFonts w:hint="cs"/>
                <w:sz w:val="18"/>
                <w:szCs w:val="20"/>
                <w:u w:val="single"/>
                <w:rtl/>
              </w:rPr>
              <w:t>התחייבויות שוטפות</w:t>
            </w:r>
          </w:p>
        </w:tc>
        <w:tc>
          <w:tcPr>
            <w:tcW w:w="113" w:type="dxa"/>
            <w:shd w:val="clear" w:color="auto" w:fill="auto"/>
            <w:vAlign w:val="bottom"/>
          </w:tcPr>
          <w:p w14:paraId="33C42307" w14:textId="77777777" w:rsidR="00E21527" w:rsidRPr="007D64FF" w:rsidRDefault="00E21527" w:rsidP="00E21527">
            <w:pPr>
              <w:tabs>
                <w:tab w:val="left" w:pos="0"/>
                <w:tab w:val="left" w:pos="397"/>
                <w:tab w:val="left" w:pos="510"/>
              </w:tabs>
              <w:spacing w:line="200" w:lineRule="exact"/>
              <w:rPr>
                <w:b/>
                <w:bCs/>
                <w:szCs w:val="22"/>
                <w:u w:val="single"/>
              </w:rPr>
            </w:pPr>
          </w:p>
        </w:tc>
        <w:tc>
          <w:tcPr>
            <w:tcW w:w="1089" w:type="dxa"/>
            <w:tcBorders>
              <w:top w:val="single" w:sz="6" w:space="0" w:color="auto"/>
            </w:tcBorders>
            <w:vAlign w:val="bottom"/>
          </w:tcPr>
          <w:p w14:paraId="06809FDC" w14:textId="77777777" w:rsidR="00E21527" w:rsidRPr="007D64FF" w:rsidRDefault="00E21527" w:rsidP="00E21527">
            <w:pPr>
              <w:tabs>
                <w:tab w:val="decimal" w:pos="113"/>
              </w:tabs>
              <w:spacing w:line="200" w:lineRule="exact"/>
              <w:jc w:val="left"/>
              <w:rPr>
                <w:szCs w:val="22"/>
              </w:rPr>
            </w:pPr>
          </w:p>
        </w:tc>
        <w:tc>
          <w:tcPr>
            <w:tcW w:w="138" w:type="dxa"/>
            <w:gridSpan w:val="2"/>
            <w:tcBorders>
              <w:top w:val="single" w:sz="6" w:space="0" w:color="auto"/>
            </w:tcBorders>
            <w:vAlign w:val="bottom"/>
          </w:tcPr>
          <w:p w14:paraId="0F816602" w14:textId="77777777" w:rsidR="00E21527" w:rsidRPr="007D64FF" w:rsidRDefault="00E21527" w:rsidP="00E21527">
            <w:pPr>
              <w:tabs>
                <w:tab w:val="decimal" w:pos="113"/>
              </w:tabs>
              <w:spacing w:line="200" w:lineRule="exact"/>
              <w:jc w:val="left"/>
              <w:rPr>
                <w:szCs w:val="22"/>
              </w:rPr>
            </w:pPr>
          </w:p>
        </w:tc>
        <w:tc>
          <w:tcPr>
            <w:tcW w:w="1089" w:type="dxa"/>
            <w:tcBorders>
              <w:top w:val="single" w:sz="6" w:space="0" w:color="auto"/>
            </w:tcBorders>
            <w:vAlign w:val="bottom"/>
          </w:tcPr>
          <w:p w14:paraId="72331F35" w14:textId="77777777" w:rsidR="00E21527" w:rsidRPr="007D64FF" w:rsidRDefault="00E21527" w:rsidP="00E21527">
            <w:pPr>
              <w:tabs>
                <w:tab w:val="decimal" w:pos="113"/>
              </w:tabs>
              <w:spacing w:line="200" w:lineRule="exact"/>
              <w:jc w:val="left"/>
              <w:rPr>
                <w:szCs w:val="22"/>
              </w:rPr>
            </w:pPr>
          </w:p>
        </w:tc>
        <w:tc>
          <w:tcPr>
            <w:tcW w:w="108" w:type="dxa"/>
            <w:tcBorders>
              <w:top w:val="single" w:sz="6" w:space="0" w:color="auto"/>
            </w:tcBorders>
          </w:tcPr>
          <w:p w14:paraId="2E413535" w14:textId="77777777" w:rsidR="00E21527" w:rsidRPr="007D64FF" w:rsidRDefault="00E21527" w:rsidP="00E21527">
            <w:pPr>
              <w:tabs>
                <w:tab w:val="decimal" w:pos="113"/>
              </w:tabs>
              <w:spacing w:line="200" w:lineRule="exact"/>
              <w:jc w:val="left"/>
              <w:rPr>
                <w:szCs w:val="22"/>
              </w:rPr>
            </w:pPr>
          </w:p>
        </w:tc>
        <w:tc>
          <w:tcPr>
            <w:tcW w:w="1089" w:type="dxa"/>
            <w:tcBorders>
              <w:top w:val="single" w:sz="6" w:space="0" w:color="auto"/>
            </w:tcBorders>
          </w:tcPr>
          <w:p w14:paraId="16A2FCF6" w14:textId="77777777" w:rsidR="00E21527" w:rsidRPr="007D64FF" w:rsidRDefault="00E21527" w:rsidP="00E21527">
            <w:pPr>
              <w:tabs>
                <w:tab w:val="decimal" w:pos="113"/>
              </w:tabs>
              <w:spacing w:line="200" w:lineRule="exact"/>
              <w:jc w:val="left"/>
              <w:rPr>
                <w:szCs w:val="22"/>
              </w:rPr>
            </w:pPr>
          </w:p>
        </w:tc>
      </w:tr>
      <w:tr w:rsidR="00E21527" w:rsidRPr="007D64FF" w14:paraId="4B55C60C" w14:textId="77777777" w:rsidTr="001521F8">
        <w:tc>
          <w:tcPr>
            <w:tcW w:w="1572" w:type="dxa"/>
            <w:tcBorders>
              <w:bottom w:val="single" w:sz="6" w:space="0" w:color="auto"/>
              <w:right w:val="single" w:sz="6" w:space="0" w:color="auto"/>
            </w:tcBorders>
          </w:tcPr>
          <w:p w14:paraId="761F35CD"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IFRS 7.8(f); IAS 1.54(m)</w:t>
            </w:r>
          </w:p>
        </w:tc>
        <w:tc>
          <w:tcPr>
            <w:tcW w:w="4480" w:type="dxa"/>
            <w:tcBorders>
              <w:left w:val="single" w:sz="6" w:space="0" w:color="auto"/>
            </w:tcBorders>
            <w:vAlign w:val="bottom"/>
          </w:tcPr>
          <w:p w14:paraId="265FEF1D"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אשראי מתאגידים בנקאיים ואחרים</w:t>
            </w:r>
          </w:p>
        </w:tc>
        <w:tc>
          <w:tcPr>
            <w:tcW w:w="113" w:type="dxa"/>
            <w:shd w:val="clear" w:color="auto" w:fill="auto"/>
            <w:vAlign w:val="bottom"/>
          </w:tcPr>
          <w:p w14:paraId="4964E5E7"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3ED4BBDD"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0237EB2D" w14:textId="77777777" w:rsidR="00E21527" w:rsidRPr="007D64FF" w:rsidRDefault="00E21527" w:rsidP="00E21527">
            <w:pPr>
              <w:tabs>
                <w:tab w:val="decimal" w:pos="113"/>
              </w:tabs>
              <w:spacing w:line="200" w:lineRule="exact"/>
              <w:jc w:val="left"/>
              <w:rPr>
                <w:szCs w:val="22"/>
              </w:rPr>
            </w:pPr>
          </w:p>
        </w:tc>
        <w:tc>
          <w:tcPr>
            <w:tcW w:w="1089" w:type="dxa"/>
            <w:vAlign w:val="bottom"/>
          </w:tcPr>
          <w:p w14:paraId="3645C150" w14:textId="77777777" w:rsidR="00E21527" w:rsidRPr="007D64FF" w:rsidRDefault="00E21527" w:rsidP="00E21527">
            <w:pPr>
              <w:tabs>
                <w:tab w:val="decimal" w:pos="113"/>
              </w:tabs>
              <w:spacing w:line="200" w:lineRule="exact"/>
              <w:jc w:val="left"/>
              <w:rPr>
                <w:szCs w:val="22"/>
              </w:rPr>
            </w:pPr>
          </w:p>
        </w:tc>
        <w:tc>
          <w:tcPr>
            <w:tcW w:w="108" w:type="dxa"/>
          </w:tcPr>
          <w:p w14:paraId="2D15FB19" w14:textId="77777777" w:rsidR="00E21527" w:rsidRPr="007D64FF" w:rsidRDefault="00E21527" w:rsidP="00E21527">
            <w:pPr>
              <w:tabs>
                <w:tab w:val="decimal" w:pos="113"/>
              </w:tabs>
              <w:spacing w:line="200" w:lineRule="exact"/>
              <w:jc w:val="left"/>
              <w:rPr>
                <w:szCs w:val="22"/>
              </w:rPr>
            </w:pPr>
          </w:p>
        </w:tc>
        <w:tc>
          <w:tcPr>
            <w:tcW w:w="1089" w:type="dxa"/>
          </w:tcPr>
          <w:p w14:paraId="3F4EC12E" w14:textId="77777777" w:rsidR="00E21527" w:rsidRPr="007D64FF" w:rsidRDefault="00E21527" w:rsidP="00E21527">
            <w:pPr>
              <w:tabs>
                <w:tab w:val="decimal" w:pos="113"/>
              </w:tabs>
              <w:spacing w:line="200" w:lineRule="exact"/>
              <w:jc w:val="left"/>
              <w:rPr>
                <w:szCs w:val="22"/>
              </w:rPr>
            </w:pPr>
          </w:p>
        </w:tc>
      </w:tr>
      <w:tr w:rsidR="00816290" w:rsidRPr="007D64FF" w14:paraId="59234411" w14:textId="77777777" w:rsidTr="001521F8">
        <w:tc>
          <w:tcPr>
            <w:tcW w:w="1572" w:type="dxa"/>
            <w:tcBorders>
              <w:bottom w:val="single" w:sz="6" w:space="0" w:color="auto"/>
              <w:right w:val="single" w:sz="6" w:space="0" w:color="auto"/>
            </w:tcBorders>
          </w:tcPr>
          <w:p w14:paraId="4B455DB4" w14:textId="54E4142D" w:rsidR="00816290" w:rsidRPr="00F2585A" w:rsidRDefault="00FE6F9B" w:rsidP="00FE6F9B">
            <w:pPr>
              <w:pStyle w:val="a3"/>
              <w:tabs>
                <w:tab w:val="left" w:pos="227"/>
                <w:tab w:val="left" w:pos="397"/>
                <w:tab w:val="left" w:pos="567"/>
              </w:tabs>
              <w:bidi w:val="0"/>
              <w:spacing w:line="200" w:lineRule="exact"/>
              <w:ind w:left="0" w:right="28"/>
              <w:jc w:val="right"/>
              <w:rPr>
                <w:i/>
                <w:iCs/>
                <w:sz w:val="13"/>
                <w:szCs w:val="13"/>
              </w:rPr>
            </w:pPr>
            <w:r w:rsidRPr="00255307">
              <w:rPr>
                <w:i/>
                <w:iCs/>
                <w:sz w:val="13"/>
                <w:szCs w:val="13"/>
              </w:rPr>
              <w:t>IFRS </w:t>
            </w:r>
            <w:r>
              <w:rPr>
                <w:i/>
                <w:iCs/>
                <w:sz w:val="13"/>
                <w:szCs w:val="13"/>
              </w:rPr>
              <w:t>16</w:t>
            </w:r>
            <w:r w:rsidRPr="00255307">
              <w:rPr>
                <w:i/>
                <w:iCs/>
                <w:sz w:val="13"/>
                <w:szCs w:val="13"/>
              </w:rPr>
              <w:t>.</w:t>
            </w:r>
            <w:r>
              <w:rPr>
                <w:i/>
                <w:iCs/>
                <w:sz w:val="13"/>
                <w:szCs w:val="13"/>
              </w:rPr>
              <w:t>47</w:t>
            </w:r>
            <w:r w:rsidRPr="00255307">
              <w:rPr>
                <w:i/>
                <w:iCs/>
                <w:sz w:val="13"/>
                <w:szCs w:val="13"/>
              </w:rPr>
              <w:t>(</w:t>
            </w:r>
            <w:r>
              <w:rPr>
                <w:i/>
                <w:iCs/>
                <w:sz w:val="13"/>
                <w:szCs w:val="13"/>
              </w:rPr>
              <w:t>b</w:t>
            </w:r>
            <w:r w:rsidRPr="00255307">
              <w:rPr>
                <w:i/>
                <w:iCs/>
                <w:sz w:val="13"/>
                <w:szCs w:val="13"/>
              </w:rPr>
              <w:t>)</w:t>
            </w:r>
          </w:p>
        </w:tc>
        <w:tc>
          <w:tcPr>
            <w:tcW w:w="4480" w:type="dxa"/>
            <w:tcBorders>
              <w:left w:val="single" w:sz="6" w:space="0" w:color="auto"/>
            </w:tcBorders>
            <w:vAlign w:val="bottom"/>
          </w:tcPr>
          <w:p w14:paraId="3F28A84B" w14:textId="6CC05CA6" w:rsidR="00816290" w:rsidRPr="00376906" w:rsidRDefault="00816290" w:rsidP="00E21527">
            <w:pPr>
              <w:pStyle w:val="a3"/>
              <w:tabs>
                <w:tab w:val="left" w:pos="227"/>
                <w:tab w:val="left" w:pos="397"/>
                <w:tab w:val="left" w:pos="567"/>
              </w:tabs>
              <w:spacing w:line="200" w:lineRule="exact"/>
              <w:ind w:left="227" w:hanging="170"/>
              <w:rPr>
                <w:sz w:val="18"/>
                <w:szCs w:val="20"/>
                <w:rtl/>
              </w:rPr>
            </w:pPr>
            <w:r>
              <w:rPr>
                <w:rFonts w:hint="cs"/>
                <w:sz w:val="18"/>
                <w:szCs w:val="20"/>
                <w:rtl/>
              </w:rPr>
              <w:t>חלות שוטפת של התחייבות בגין חכירה</w:t>
            </w:r>
            <w:bookmarkStart w:id="17" w:name="_Ref5281305"/>
            <w:r w:rsidR="00942B77">
              <w:rPr>
                <w:rStyle w:val="ab"/>
                <w:sz w:val="18"/>
                <w:szCs w:val="20"/>
                <w:rtl/>
              </w:rPr>
              <w:footnoteReference w:id="5"/>
            </w:r>
            <w:bookmarkEnd w:id="17"/>
          </w:p>
        </w:tc>
        <w:tc>
          <w:tcPr>
            <w:tcW w:w="113" w:type="dxa"/>
            <w:shd w:val="clear" w:color="auto" w:fill="auto"/>
            <w:vAlign w:val="bottom"/>
          </w:tcPr>
          <w:p w14:paraId="15CD2049" w14:textId="77777777" w:rsidR="00816290" w:rsidRPr="007D64FF" w:rsidRDefault="00816290" w:rsidP="00E21527">
            <w:pPr>
              <w:tabs>
                <w:tab w:val="left" w:pos="0"/>
                <w:tab w:val="left" w:pos="397"/>
                <w:tab w:val="left" w:pos="510"/>
              </w:tabs>
              <w:spacing w:line="200" w:lineRule="exact"/>
              <w:rPr>
                <w:szCs w:val="22"/>
              </w:rPr>
            </w:pPr>
          </w:p>
        </w:tc>
        <w:tc>
          <w:tcPr>
            <w:tcW w:w="1089" w:type="dxa"/>
            <w:vAlign w:val="bottom"/>
          </w:tcPr>
          <w:p w14:paraId="795C5E97" w14:textId="77777777" w:rsidR="00816290" w:rsidRPr="007D64FF" w:rsidRDefault="00816290" w:rsidP="00E21527">
            <w:pPr>
              <w:tabs>
                <w:tab w:val="decimal" w:pos="113"/>
              </w:tabs>
              <w:spacing w:line="200" w:lineRule="exact"/>
              <w:jc w:val="left"/>
              <w:rPr>
                <w:szCs w:val="22"/>
              </w:rPr>
            </w:pPr>
          </w:p>
        </w:tc>
        <w:tc>
          <w:tcPr>
            <w:tcW w:w="138" w:type="dxa"/>
            <w:gridSpan w:val="2"/>
            <w:vAlign w:val="bottom"/>
          </w:tcPr>
          <w:p w14:paraId="67A5D165" w14:textId="77777777" w:rsidR="00816290" w:rsidRPr="007D64FF" w:rsidRDefault="00816290" w:rsidP="00E21527">
            <w:pPr>
              <w:tabs>
                <w:tab w:val="decimal" w:pos="113"/>
              </w:tabs>
              <w:spacing w:line="200" w:lineRule="exact"/>
              <w:jc w:val="left"/>
              <w:rPr>
                <w:szCs w:val="22"/>
              </w:rPr>
            </w:pPr>
          </w:p>
        </w:tc>
        <w:tc>
          <w:tcPr>
            <w:tcW w:w="1089" w:type="dxa"/>
            <w:vAlign w:val="bottom"/>
          </w:tcPr>
          <w:p w14:paraId="5F5F0A59" w14:textId="77777777" w:rsidR="00816290" w:rsidRPr="007D64FF" w:rsidRDefault="00816290" w:rsidP="00E21527">
            <w:pPr>
              <w:tabs>
                <w:tab w:val="decimal" w:pos="113"/>
              </w:tabs>
              <w:spacing w:line="200" w:lineRule="exact"/>
              <w:jc w:val="left"/>
              <w:rPr>
                <w:szCs w:val="22"/>
              </w:rPr>
            </w:pPr>
          </w:p>
        </w:tc>
        <w:tc>
          <w:tcPr>
            <w:tcW w:w="108" w:type="dxa"/>
          </w:tcPr>
          <w:p w14:paraId="5C1CDF6F" w14:textId="77777777" w:rsidR="00816290" w:rsidRPr="007D64FF" w:rsidRDefault="00816290" w:rsidP="00E21527">
            <w:pPr>
              <w:tabs>
                <w:tab w:val="decimal" w:pos="113"/>
              </w:tabs>
              <w:spacing w:line="200" w:lineRule="exact"/>
              <w:jc w:val="left"/>
              <w:rPr>
                <w:szCs w:val="22"/>
              </w:rPr>
            </w:pPr>
          </w:p>
        </w:tc>
        <w:tc>
          <w:tcPr>
            <w:tcW w:w="1089" w:type="dxa"/>
          </w:tcPr>
          <w:p w14:paraId="5AB47CC4" w14:textId="77777777" w:rsidR="00816290" w:rsidRPr="007D64FF" w:rsidRDefault="00816290" w:rsidP="00E21527">
            <w:pPr>
              <w:tabs>
                <w:tab w:val="decimal" w:pos="113"/>
              </w:tabs>
              <w:spacing w:line="200" w:lineRule="exact"/>
              <w:jc w:val="left"/>
              <w:rPr>
                <w:szCs w:val="22"/>
              </w:rPr>
            </w:pPr>
          </w:p>
        </w:tc>
      </w:tr>
      <w:tr w:rsidR="00E21527" w:rsidRPr="007D64FF" w14:paraId="3BCB0415" w14:textId="77777777" w:rsidTr="001521F8">
        <w:tc>
          <w:tcPr>
            <w:tcW w:w="1572" w:type="dxa"/>
            <w:tcBorders>
              <w:top w:val="single" w:sz="6" w:space="0" w:color="auto"/>
              <w:bottom w:val="single" w:sz="6" w:space="0" w:color="auto"/>
              <w:right w:val="single" w:sz="6" w:space="0" w:color="auto"/>
            </w:tcBorders>
          </w:tcPr>
          <w:p w14:paraId="349B8703"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1.54(k)</w:t>
            </w:r>
          </w:p>
        </w:tc>
        <w:tc>
          <w:tcPr>
            <w:tcW w:w="4480" w:type="dxa"/>
            <w:tcBorders>
              <w:left w:val="single" w:sz="6" w:space="0" w:color="auto"/>
            </w:tcBorders>
            <w:vAlign w:val="bottom"/>
          </w:tcPr>
          <w:p w14:paraId="4D9750F6"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התחייבויות לספקים ולנותני שירותים</w:t>
            </w:r>
          </w:p>
        </w:tc>
        <w:tc>
          <w:tcPr>
            <w:tcW w:w="113" w:type="dxa"/>
            <w:shd w:val="clear" w:color="auto" w:fill="auto"/>
            <w:vAlign w:val="bottom"/>
          </w:tcPr>
          <w:p w14:paraId="4109C329"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2E90D4E9"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0544C065" w14:textId="77777777" w:rsidR="00E21527" w:rsidRPr="007D64FF" w:rsidRDefault="00E21527" w:rsidP="00E21527">
            <w:pPr>
              <w:tabs>
                <w:tab w:val="decimal" w:pos="113"/>
              </w:tabs>
              <w:spacing w:line="200" w:lineRule="exact"/>
              <w:jc w:val="left"/>
              <w:rPr>
                <w:szCs w:val="22"/>
              </w:rPr>
            </w:pPr>
          </w:p>
        </w:tc>
        <w:tc>
          <w:tcPr>
            <w:tcW w:w="1089" w:type="dxa"/>
            <w:vAlign w:val="bottom"/>
          </w:tcPr>
          <w:p w14:paraId="39959CB0" w14:textId="77777777" w:rsidR="00E21527" w:rsidRPr="007D64FF" w:rsidRDefault="00E21527" w:rsidP="00E21527">
            <w:pPr>
              <w:tabs>
                <w:tab w:val="decimal" w:pos="113"/>
              </w:tabs>
              <w:spacing w:line="200" w:lineRule="exact"/>
              <w:jc w:val="left"/>
              <w:rPr>
                <w:szCs w:val="22"/>
              </w:rPr>
            </w:pPr>
          </w:p>
        </w:tc>
        <w:tc>
          <w:tcPr>
            <w:tcW w:w="108" w:type="dxa"/>
          </w:tcPr>
          <w:p w14:paraId="3BA8D60B" w14:textId="77777777" w:rsidR="00E21527" w:rsidRPr="007D64FF" w:rsidRDefault="00E21527" w:rsidP="00E21527">
            <w:pPr>
              <w:tabs>
                <w:tab w:val="decimal" w:pos="113"/>
              </w:tabs>
              <w:spacing w:line="200" w:lineRule="exact"/>
              <w:jc w:val="left"/>
              <w:rPr>
                <w:szCs w:val="22"/>
              </w:rPr>
            </w:pPr>
          </w:p>
        </w:tc>
        <w:tc>
          <w:tcPr>
            <w:tcW w:w="1089" w:type="dxa"/>
          </w:tcPr>
          <w:p w14:paraId="5728301F" w14:textId="77777777" w:rsidR="00E21527" w:rsidRPr="007D64FF" w:rsidRDefault="00E21527" w:rsidP="00E21527">
            <w:pPr>
              <w:tabs>
                <w:tab w:val="decimal" w:pos="113"/>
              </w:tabs>
              <w:spacing w:line="200" w:lineRule="exact"/>
              <w:jc w:val="left"/>
              <w:rPr>
                <w:szCs w:val="22"/>
              </w:rPr>
            </w:pPr>
          </w:p>
        </w:tc>
      </w:tr>
      <w:tr w:rsidR="00E21527" w:rsidRPr="007D64FF" w14:paraId="51D69D4B" w14:textId="77777777" w:rsidTr="001521F8">
        <w:tc>
          <w:tcPr>
            <w:tcW w:w="1572" w:type="dxa"/>
            <w:tcBorders>
              <w:top w:val="single" w:sz="6" w:space="0" w:color="auto"/>
              <w:bottom w:val="single" w:sz="6" w:space="0" w:color="auto"/>
              <w:right w:val="single" w:sz="6" w:space="0" w:color="auto"/>
            </w:tcBorders>
          </w:tcPr>
          <w:p w14:paraId="766865E7" w14:textId="77777777" w:rsidR="00E21527" w:rsidRPr="000B1730" w:rsidRDefault="00E21527" w:rsidP="00E21527">
            <w:pPr>
              <w:tabs>
                <w:tab w:val="left" w:pos="227"/>
                <w:tab w:val="left" w:pos="397"/>
                <w:tab w:val="left" w:pos="567"/>
              </w:tabs>
              <w:bidi w:val="0"/>
              <w:spacing w:line="200" w:lineRule="exact"/>
              <w:ind w:right="28"/>
              <w:jc w:val="right"/>
              <w:rPr>
                <w:i/>
                <w:iCs/>
                <w:sz w:val="13"/>
                <w:szCs w:val="13"/>
                <w:rtl/>
              </w:rPr>
            </w:pPr>
            <w:r>
              <w:rPr>
                <w:i/>
                <w:iCs/>
                <w:sz w:val="13"/>
                <w:szCs w:val="13"/>
              </w:rPr>
              <w:t>IAS 1.55</w:t>
            </w:r>
          </w:p>
        </w:tc>
        <w:tc>
          <w:tcPr>
            <w:tcW w:w="4480" w:type="dxa"/>
            <w:tcBorders>
              <w:left w:val="single" w:sz="6" w:space="0" w:color="auto"/>
            </w:tcBorders>
            <w:vAlign w:val="bottom"/>
          </w:tcPr>
          <w:p w14:paraId="1E1A4BAD" w14:textId="77777777" w:rsidR="00E21527" w:rsidRPr="00376906" w:rsidRDefault="00E21527" w:rsidP="00E21527">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מקדמות והכנסות מראש</w:t>
            </w:r>
          </w:p>
        </w:tc>
        <w:tc>
          <w:tcPr>
            <w:tcW w:w="113" w:type="dxa"/>
            <w:shd w:val="clear" w:color="auto" w:fill="auto"/>
            <w:vAlign w:val="bottom"/>
          </w:tcPr>
          <w:p w14:paraId="71D5EFF4"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3763681D"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7B9DFFC4" w14:textId="77777777" w:rsidR="00E21527" w:rsidRPr="007D64FF" w:rsidRDefault="00E21527" w:rsidP="00E21527">
            <w:pPr>
              <w:tabs>
                <w:tab w:val="decimal" w:pos="113"/>
              </w:tabs>
              <w:spacing w:line="200" w:lineRule="exact"/>
              <w:jc w:val="left"/>
              <w:rPr>
                <w:szCs w:val="22"/>
              </w:rPr>
            </w:pPr>
          </w:p>
        </w:tc>
        <w:tc>
          <w:tcPr>
            <w:tcW w:w="1089" w:type="dxa"/>
            <w:vAlign w:val="bottom"/>
          </w:tcPr>
          <w:p w14:paraId="7769FD3B" w14:textId="77777777" w:rsidR="00E21527" w:rsidRPr="007D64FF" w:rsidRDefault="00E21527" w:rsidP="00E21527">
            <w:pPr>
              <w:tabs>
                <w:tab w:val="decimal" w:pos="113"/>
              </w:tabs>
              <w:spacing w:line="200" w:lineRule="exact"/>
              <w:jc w:val="left"/>
              <w:rPr>
                <w:szCs w:val="22"/>
              </w:rPr>
            </w:pPr>
          </w:p>
        </w:tc>
        <w:tc>
          <w:tcPr>
            <w:tcW w:w="108" w:type="dxa"/>
          </w:tcPr>
          <w:p w14:paraId="3824CA87" w14:textId="77777777" w:rsidR="00E21527" w:rsidRPr="007D64FF" w:rsidRDefault="00E21527" w:rsidP="00E21527">
            <w:pPr>
              <w:tabs>
                <w:tab w:val="decimal" w:pos="113"/>
              </w:tabs>
              <w:spacing w:line="200" w:lineRule="exact"/>
              <w:jc w:val="left"/>
              <w:rPr>
                <w:szCs w:val="22"/>
              </w:rPr>
            </w:pPr>
          </w:p>
        </w:tc>
        <w:tc>
          <w:tcPr>
            <w:tcW w:w="1089" w:type="dxa"/>
          </w:tcPr>
          <w:p w14:paraId="767A6DE3" w14:textId="77777777" w:rsidR="00E21527" w:rsidRPr="007D64FF" w:rsidRDefault="00E21527" w:rsidP="00E21527">
            <w:pPr>
              <w:tabs>
                <w:tab w:val="decimal" w:pos="113"/>
              </w:tabs>
              <w:spacing w:line="200" w:lineRule="exact"/>
              <w:jc w:val="left"/>
              <w:rPr>
                <w:szCs w:val="22"/>
              </w:rPr>
            </w:pPr>
          </w:p>
        </w:tc>
      </w:tr>
      <w:tr w:rsidR="00E21527" w:rsidRPr="007D64FF" w14:paraId="051B7A2E" w14:textId="77777777" w:rsidTr="001521F8">
        <w:tc>
          <w:tcPr>
            <w:tcW w:w="1572" w:type="dxa"/>
            <w:tcBorders>
              <w:top w:val="single" w:sz="6" w:space="0" w:color="auto"/>
              <w:bottom w:val="single" w:sz="6" w:space="0" w:color="auto"/>
              <w:right w:val="single" w:sz="6" w:space="0" w:color="auto"/>
            </w:tcBorders>
          </w:tcPr>
          <w:p w14:paraId="315D1B97"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1.54(n)</w:t>
            </w:r>
          </w:p>
        </w:tc>
        <w:tc>
          <w:tcPr>
            <w:tcW w:w="4480" w:type="dxa"/>
            <w:tcBorders>
              <w:left w:val="single" w:sz="6" w:space="0" w:color="auto"/>
            </w:tcBorders>
            <w:vAlign w:val="bottom"/>
          </w:tcPr>
          <w:p w14:paraId="5BF8456C"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מסים שוטפים לשלם</w:t>
            </w:r>
          </w:p>
        </w:tc>
        <w:tc>
          <w:tcPr>
            <w:tcW w:w="113" w:type="dxa"/>
            <w:shd w:val="clear" w:color="auto" w:fill="auto"/>
            <w:vAlign w:val="bottom"/>
          </w:tcPr>
          <w:p w14:paraId="5E8C2AB5"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424F3FDD"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7551E084" w14:textId="77777777" w:rsidR="00E21527" w:rsidRPr="007D64FF" w:rsidRDefault="00E21527" w:rsidP="00E21527">
            <w:pPr>
              <w:tabs>
                <w:tab w:val="decimal" w:pos="113"/>
              </w:tabs>
              <w:spacing w:line="200" w:lineRule="exact"/>
              <w:jc w:val="left"/>
              <w:rPr>
                <w:szCs w:val="22"/>
              </w:rPr>
            </w:pPr>
          </w:p>
        </w:tc>
        <w:tc>
          <w:tcPr>
            <w:tcW w:w="1089" w:type="dxa"/>
            <w:vAlign w:val="bottom"/>
          </w:tcPr>
          <w:p w14:paraId="611F22FC" w14:textId="77777777" w:rsidR="00E21527" w:rsidRPr="007D64FF" w:rsidRDefault="00E21527" w:rsidP="00E21527">
            <w:pPr>
              <w:tabs>
                <w:tab w:val="decimal" w:pos="113"/>
              </w:tabs>
              <w:spacing w:line="200" w:lineRule="exact"/>
              <w:jc w:val="left"/>
              <w:rPr>
                <w:szCs w:val="22"/>
              </w:rPr>
            </w:pPr>
          </w:p>
        </w:tc>
        <w:tc>
          <w:tcPr>
            <w:tcW w:w="108" w:type="dxa"/>
          </w:tcPr>
          <w:p w14:paraId="028E0148" w14:textId="77777777" w:rsidR="00E21527" w:rsidRPr="007D64FF" w:rsidRDefault="00E21527" w:rsidP="00E21527">
            <w:pPr>
              <w:tabs>
                <w:tab w:val="decimal" w:pos="113"/>
              </w:tabs>
              <w:spacing w:line="200" w:lineRule="exact"/>
              <w:jc w:val="left"/>
              <w:rPr>
                <w:szCs w:val="22"/>
              </w:rPr>
            </w:pPr>
          </w:p>
        </w:tc>
        <w:tc>
          <w:tcPr>
            <w:tcW w:w="1089" w:type="dxa"/>
          </w:tcPr>
          <w:p w14:paraId="1CD3D191" w14:textId="77777777" w:rsidR="00E21527" w:rsidRPr="007D64FF" w:rsidRDefault="00E21527" w:rsidP="00E21527">
            <w:pPr>
              <w:tabs>
                <w:tab w:val="decimal" w:pos="113"/>
              </w:tabs>
              <w:spacing w:line="200" w:lineRule="exact"/>
              <w:jc w:val="left"/>
              <w:rPr>
                <w:szCs w:val="22"/>
              </w:rPr>
            </w:pPr>
          </w:p>
        </w:tc>
      </w:tr>
      <w:tr w:rsidR="00E21527" w:rsidRPr="007D64FF" w14:paraId="16623F7A" w14:textId="77777777" w:rsidTr="001521F8">
        <w:tc>
          <w:tcPr>
            <w:tcW w:w="1572" w:type="dxa"/>
            <w:tcBorders>
              <w:top w:val="single" w:sz="6" w:space="0" w:color="auto"/>
              <w:bottom w:val="single" w:sz="6" w:space="0" w:color="auto"/>
              <w:right w:val="single" w:sz="6" w:space="0" w:color="auto"/>
            </w:tcBorders>
          </w:tcPr>
          <w:p w14:paraId="0A2ADA4E"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1.54(k)</w:t>
            </w:r>
          </w:p>
        </w:tc>
        <w:tc>
          <w:tcPr>
            <w:tcW w:w="4480" w:type="dxa"/>
            <w:tcBorders>
              <w:left w:val="single" w:sz="6" w:space="0" w:color="auto"/>
            </w:tcBorders>
            <w:vAlign w:val="bottom"/>
          </w:tcPr>
          <w:p w14:paraId="2905A087"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זכאים ויתרות זכות</w:t>
            </w:r>
          </w:p>
        </w:tc>
        <w:tc>
          <w:tcPr>
            <w:tcW w:w="113" w:type="dxa"/>
            <w:shd w:val="clear" w:color="auto" w:fill="auto"/>
            <w:vAlign w:val="bottom"/>
          </w:tcPr>
          <w:p w14:paraId="57EC2BBD"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1A56E38E"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126475A9" w14:textId="77777777" w:rsidR="00E21527" w:rsidRPr="007D64FF" w:rsidRDefault="00E21527" w:rsidP="00E21527">
            <w:pPr>
              <w:tabs>
                <w:tab w:val="decimal" w:pos="113"/>
              </w:tabs>
              <w:spacing w:line="200" w:lineRule="exact"/>
              <w:jc w:val="left"/>
              <w:rPr>
                <w:szCs w:val="22"/>
              </w:rPr>
            </w:pPr>
          </w:p>
        </w:tc>
        <w:tc>
          <w:tcPr>
            <w:tcW w:w="1089" w:type="dxa"/>
            <w:vAlign w:val="bottom"/>
          </w:tcPr>
          <w:p w14:paraId="33029B47" w14:textId="77777777" w:rsidR="00E21527" w:rsidRPr="007D64FF" w:rsidRDefault="00E21527" w:rsidP="00E21527">
            <w:pPr>
              <w:tabs>
                <w:tab w:val="decimal" w:pos="113"/>
              </w:tabs>
              <w:spacing w:line="200" w:lineRule="exact"/>
              <w:jc w:val="left"/>
              <w:rPr>
                <w:szCs w:val="22"/>
              </w:rPr>
            </w:pPr>
          </w:p>
        </w:tc>
        <w:tc>
          <w:tcPr>
            <w:tcW w:w="108" w:type="dxa"/>
          </w:tcPr>
          <w:p w14:paraId="060BC631" w14:textId="77777777" w:rsidR="00E21527" w:rsidRPr="007D64FF" w:rsidRDefault="00E21527" w:rsidP="00E21527">
            <w:pPr>
              <w:tabs>
                <w:tab w:val="decimal" w:pos="113"/>
              </w:tabs>
              <w:spacing w:line="200" w:lineRule="exact"/>
              <w:jc w:val="left"/>
              <w:rPr>
                <w:szCs w:val="22"/>
              </w:rPr>
            </w:pPr>
          </w:p>
        </w:tc>
        <w:tc>
          <w:tcPr>
            <w:tcW w:w="1089" w:type="dxa"/>
          </w:tcPr>
          <w:p w14:paraId="0CBEFFA6" w14:textId="77777777" w:rsidR="00E21527" w:rsidRPr="007D64FF" w:rsidRDefault="00E21527" w:rsidP="00E21527">
            <w:pPr>
              <w:tabs>
                <w:tab w:val="decimal" w:pos="113"/>
              </w:tabs>
              <w:spacing w:line="200" w:lineRule="exact"/>
              <w:jc w:val="left"/>
              <w:rPr>
                <w:szCs w:val="22"/>
              </w:rPr>
            </w:pPr>
          </w:p>
        </w:tc>
      </w:tr>
      <w:tr w:rsidR="00845F02" w:rsidRPr="007D64FF" w14:paraId="48BD4D0C" w14:textId="77777777" w:rsidTr="001521F8">
        <w:tc>
          <w:tcPr>
            <w:tcW w:w="1572" w:type="dxa"/>
            <w:tcBorders>
              <w:top w:val="single" w:sz="6" w:space="0" w:color="auto"/>
              <w:bottom w:val="single" w:sz="6" w:space="0" w:color="auto"/>
              <w:right w:val="single" w:sz="6" w:space="0" w:color="auto"/>
            </w:tcBorders>
          </w:tcPr>
          <w:p w14:paraId="203B95B1" w14:textId="28C58F59" w:rsidR="00845F02" w:rsidRPr="00255307" w:rsidRDefault="00845F02" w:rsidP="00845F02">
            <w:pPr>
              <w:pStyle w:val="a3"/>
              <w:tabs>
                <w:tab w:val="left" w:pos="227"/>
                <w:tab w:val="left" w:pos="397"/>
                <w:tab w:val="left" w:pos="567"/>
              </w:tabs>
              <w:bidi w:val="0"/>
              <w:spacing w:line="200" w:lineRule="exact"/>
              <w:ind w:left="0" w:right="28"/>
              <w:jc w:val="right"/>
              <w:rPr>
                <w:i/>
                <w:iCs/>
                <w:sz w:val="13"/>
                <w:szCs w:val="13"/>
              </w:rPr>
            </w:pPr>
            <w:r w:rsidRPr="00255307">
              <w:rPr>
                <w:i/>
                <w:iCs/>
                <w:sz w:val="13"/>
                <w:szCs w:val="13"/>
              </w:rPr>
              <w:t>IFRS </w:t>
            </w:r>
            <w:r>
              <w:rPr>
                <w:i/>
                <w:iCs/>
                <w:sz w:val="13"/>
                <w:szCs w:val="13"/>
              </w:rPr>
              <w:t>15</w:t>
            </w:r>
            <w:r w:rsidRPr="00255307">
              <w:rPr>
                <w:i/>
                <w:iCs/>
                <w:sz w:val="13"/>
                <w:szCs w:val="13"/>
              </w:rPr>
              <w:t>.</w:t>
            </w:r>
            <w:r>
              <w:rPr>
                <w:rFonts w:hint="cs"/>
                <w:i/>
                <w:iCs/>
                <w:sz w:val="13"/>
                <w:szCs w:val="13"/>
                <w:rtl/>
              </w:rPr>
              <w:t>106</w:t>
            </w:r>
          </w:p>
        </w:tc>
        <w:tc>
          <w:tcPr>
            <w:tcW w:w="4480" w:type="dxa"/>
            <w:tcBorders>
              <w:left w:val="single" w:sz="6" w:space="0" w:color="auto"/>
            </w:tcBorders>
            <w:vAlign w:val="bottom"/>
          </w:tcPr>
          <w:p w14:paraId="28EA70E2" w14:textId="3E191130" w:rsidR="00845F02" w:rsidRDefault="00845F02" w:rsidP="00E21527">
            <w:pPr>
              <w:pStyle w:val="a3"/>
              <w:tabs>
                <w:tab w:val="left" w:pos="227"/>
                <w:tab w:val="left" w:pos="397"/>
                <w:tab w:val="left" w:pos="567"/>
              </w:tabs>
              <w:spacing w:line="200" w:lineRule="exact"/>
              <w:ind w:left="227" w:hanging="170"/>
              <w:rPr>
                <w:sz w:val="18"/>
                <w:szCs w:val="20"/>
                <w:rtl/>
              </w:rPr>
            </w:pPr>
            <w:r>
              <w:rPr>
                <w:rFonts w:hint="cs"/>
                <w:sz w:val="18"/>
                <w:szCs w:val="20"/>
                <w:rtl/>
              </w:rPr>
              <w:t>התחייבויות חוזה</w:t>
            </w:r>
            <w:bookmarkStart w:id="18" w:name="_Ref5181362"/>
            <w:r>
              <w:rPr>
                <w:rStyle w:val="ab"/>
                <w:sz w:val="18"/>
                <w:szCs w:val="20"/>
                <w:rtl/>
              </w:rPr>
              <w:footnoteReference w:id="6"/>
            </w:r>
            <w:bookmarkEnd w:id="18"/>
          </w:p>
        </w:tc>
        <w:tc>
          <w:tcPr>
            <w:tcW w:w="113" w:type="dxa"/>
            <w:shd w:val="clear" w:color="auto" w:fill="auto"/>
            <w:vAlign w:val="bottom"/>
          </w:tcPr>
          <w:p w14:paraId="44F94FD0" w14:textId="77777777" w:rsidR="00845F02" w:rsidRPr="007D64FF" w:rsidRDefault="00845F02" w:rsidP="00E21527">
            <w:pPr>
              <w:tabs>
                <w:tab w:val="left" w:pos="0"/>
                <w:tab w:val="left" w:pos="397"/>
                <w:tab w:val="left" w:pos="510"/>
              </w:tabs>
              <w:spacing w:line="200" w:lineRule="exact"/>
              <w:rPr>
                <w:szCs w:val="22"/>
              </w:rPr>
            </w:pPr>
          </w:p>
        </w:tc>
        <w:tc>
          <w:tcPr>
            <w:tcW w:w="1089" w:type="dxa"/>
            <w:vAlign w:val="bottom"/>
          </w:tcPr>
          <w:p w14:paraId="2B77C3DE" w14:textId="77777777" w:rsidR="00845F02" w:rsidRPr="007D64FF" w:rsidRDefault="00845F02" w:rsidP="00E21527">
            <w:pPr>
              <w:tabs>
                <w:tab w:val="decimal" w:pos="113"/>
              </w:tabs>
              <w:spacing w:line="200" w:lineRule="exact"/>
              <w:jc w:val="left"/>
              <w:rPr>
                <w:szCs w:val="22"/>
              </w:rPr>
            </w:pPr>
          </w:p>
        </w:tc>
        <w:tc>
          <w:tcPr>
            <w:tcW w:w="138" w:type="dxa"/>
            <w:gridSpan w:val="2"/>
            <w:vAlign w:val="bottom"/>
          </w:tcPr>
          <w:p w14:paraId="2CA1E54E" w14:textId="77777777" w:rsidR="00845F02" w:rsidRPr="007D64FF" w:rsidRDefault="00845F02" w:rsidP="00E21527">
            <w:pPr>
              <w:tabs>
                <w:tab w:val="decimal" w:pos="113"/>
              </w:tabs>
              <w:spacing w:line="200" w:lineRule="exact"/>
              <w:jc w:val="left"/>
              <w:rPr>
                <w:szCs w:val="22"/>
              </w:rPr>
            </w:pPr>
          </w:p>
        </w:tc>
        <w:tc>
          <w:tcPr>
            <w:tcW w:w="1089" w:type="dxa"/>
            <w:vAlign w:val="bottom"/>
          </w:tcPr>
          <w:p w14:paraId="59E6AA04" w14:textId="77777777" w:rsidR="00845F02" w:rsidRPr="007D64FF" w:rsidRDefault="00845F02" w:rsidP="00E21527">
            <w:pPr>
              <w:tabs>
                <w:tab w:val="decimal" w:pos="113"/>
              </w:tabs>
              <w:spacing w:line="200" w:lineRule="exact"/>
              <w:jc w:val="left"/>
              <w:rPr>
                <w:szCs w:val="22"/>
              </w:rPr>
            </w:pPr>
          </w:p>
        </w:tc>
        <w:tc>
          <w:tcPr>
            <w:tcW w:w="108" w:type="dxa"/>
          </w:tcPr>
          <w:p w14:paraId="01153CA4" w14:textId="77777777" w:rsidR="00845F02" w:rsidRPr="007D64FF" w:rsidRDefault="00845F02" w:rsidP="00E21527">
            <w:pPr>
              <w:tabs>
                <w:tab w:val="decimal" w:pos="113"/>
              </w:tabs>
              <w:spacing w:line="200" w:lineRule="exact"/>
              <w:jc w:val="left"/>
              <w:rPr>
                <w:szCs w:val="22"/>
              </w:rPr>
            </w:pPr>
          </w:p>
        </w:tc>
        <w:tc>
          <w:tcPr>
            <w:tcW w:w="1089" w:type="dxa"/>
          </w:tcPr>
          <w:p w14:paraId="26C4033F" w14:textId="77777777" w:rsidR="00845F02" w:rsidRPr="007D64FF" w:rsidRDefault="00845F02" w:rsidP="00E21527">
            <w:pPr>
              <w:tabs>
                <w:tab w:val="decimal" w:pos="113"/>
              </w:tabs>
              <w:spacing w:line="200" w:lineRule="exact"/>
              <w:jc w:val="left"/>
              <w:rPr>
                <w:szCs w:val="22"/>
              </w:rPr>
            </w:pPr>
          </w:p>
        </w:tc>
      </w:tr>
      <w:tr w:rsidR="00E21527" w:rsidRPr="007D64FF" w14:paraId="507C6E83" w14:textId="77777777" w:rsidTr="001521F8">
        <w:tc>
          <w:tcPr>
            <w:tcW w:w="1572" w:type="dxa"/>
            <w:tcBorders>
              <w:top w:val="single" w:sz="6" w:space="0" w:color="auto"/>
              <w:bottom w:val="single" w:sz="6" w:space="0" w:color="auto"/>
              <w:right w:val="single" w:sz="6" w:space="0" w:color="auto"/>
            </w:tcBorders>
          </w:tcPr>
          <w:p w14:paraId="14D4EB46" w14:textId="64875B65" w:rsidR="00E21527" w:rsidRPr="00F2585A" w:rsidRDefault="00E21527" w:rsidP="00E21527">
            <w:pPr>
              <w:pStyle w:val="a3"/>
              <w:tabs>
                <w:tab w:val="left" w:pos="227"/>
                <w:tab w:val="left" w:pos="397"/>
                <w:tab w:val="left" w:pos="567"/>
              </w:tabs>
              <w:bidi w:val="0"/>
              <w:spacing w:line="200" w:lineRule="exact"/>
              <w:ind w:left="0" w:right="28"/>
              <w:jc w:val="right"/>
              <w:rPr>
                <w:i/>
                <w:iCs/>
                <w:sz w:val="13"/>
                <w:szCs w:val="13"/>
              </w:rPr>
            </w:pPr>
            <w:r w:rsidRPr="00255307">
              <w:rPr>
                <w:i/>
                <w:iCs/>
                <w:sz w:val="13"/>
                <w:szCs w:val="13"/>
              </w:rPr>
              <w:t>IFRS </w:t>
            </w:r>
            <w:r>
              <w:rPr>
                <w:i/>
                <w:iCs/>
                <w:sz w:val="13"/>
                <w:szCs w:val="13"/>
              </w:rPr>
              <w:t>15</w:t>
            </w:r>
            <w:r w:rsidRPr="00255307">
              <w:rPr>
                <w:i/>
                <w:iCs/>
                <w:sz w:val="13"/>
                <w:szCs w:val="13"/>
              </w:rPr>
              <w:t>.</w:t>
            </w:r>
            <w:r>
              <w:rPr>
                <w:i/>
                <w:iCs/>
                <w:sz w:val="13"/>
                <w:szCs w:val="13"/>
              </w:rPr>
              <w:t>B21</w:t>
            </w:r>
          </w:p>
        </w:tc>
        <w:tc>
          <w:tcPr>
            <w:tcW w:w="4480" w:type="dxa"/>
            <w:tcBorders>
              <w:left w:val="single" w:sz="6" w:space="0" w:color="auto"/>
            </w:tcBorders>
            <w:vAlign w:val="bottom"/>
          </w:tcPr>
          <w:p w14:paraId="47528903" w14:textId="4654A8BB" w:rsidR="00E21527" w:rsidRPr="00376906" w:rsidRDefault="00E21527" w:rsidP="00E21527">
            <w:pPr>
              <w:pStyle w:val="a3"/>
              <w:tabs>
                <w:tab w:val="left" w:pos="227"/>
                <w:tab w:val="left" w:pos="397"/>
                <w:tab w:val="left" w:pos="567"/>
              </w:tabs>
              <w:spacing w:line="200" w:lineRule="exact"/>
              <w:ind w:left="227" w:hanging="170"/>
              <w:rPr>
                <w:sz w:val="18"/>
                <w:szCs w:val="20"/>
                <w:rtl/>
              </w:rPr>
            </w:pPr>
            <w:r>
              <w:rPr>
                <w:rFonts w:hint="cs"/>
                <w:sz w:val="18"/>
                <w:szCs w:val="20"/>
                <w:rtl/>
              </w:rPr>
              <w:t>התחייבות להחזרות מלקוחות</w:t>
            </w:r>
          </w:p>
        </w:tc>
        <w:tc>
          <w:tcPr>
            <w:tcW w:w="113" w:type="dxa"/>
            <w:shd w:val="clear" w:color="auto" w:fill="auto"/>
            <w:vAlign w:val="bottom"/>
          </w:tcPr>
          <w:p w14:paraId="445F14DA"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0EAFC418"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0802787B" w14:textId="77777777" w:rsidR="00E21527" w:rsidRPr="007D64FF" w:rsidRDefault="00E21527" w:rsidP="00E21527">
            <w:pPr>
              <w:tabs>
                <w:tab w:val="decimal" w:pos="113"/>
              </w:tabs>
              <w:spacing w:line="200" w:lineRule="exact"/>
              <w:jc w:val="left"/>
              <w:rPr>
                <w:szCs w:val="22"/>
              </w:rPr>
            </w:pPr>
          </w:p>
        </w:tc>
        <w:tc>
          <w:tcPr>
            <w:tcW w:w="1089" w:type="dxa"/>
            <w:vAlign w:val="bottom"/>
          </w:tcPr>
          <w:p w14:paraId="61D4BD28" w14:textId="77777777" w:rsidR="00E21527" w:rsidRPr="007D64FF" w:rsidRDefault="00E21527" w:rsidP="00E21527">
            <w:pPr>
              <w:tabs>
                <w:tab w:val="decimal" w:pos="113"/>
              </w:tabs>
              <w:spacing w:line="200" w:lineRule="exact"/>
              <w:jc w:val="left"/>
              <w:rPr>
                <w:szCs w:val="22"/>
              </w:rPr>
            </w:pPr>
          </w:p>
        </w:tc>
        <w:tc>
          <w:tcPr>
            <w:tcW w:w="108" w:type="dxa"/>
          </w:tcPr>
          <w:p w14:paraId="39698365" w14:textId="77777777" w:rsidR="00E21527" w:rsidRPr="007D64FF" w:rsidRDefault="00E21527" w:rsidP="00E21527">
            <w:pPr>
              <w:tabs>
                <w:tab w:val="decimal" w:pos="113"/>
              </w:tabs>
              <w:spacing w:line="200" w:lineRule="exact"/>
              <w:jc w:val="left"/>
              <w:rPr>
                <w:szCs w:val="22"/>
              </w:rPr>
            </w:pPr>
          </w:p>
        </w:tc>
        <w:tc>
          <w:tcPr>
            <w:tcW w:w="1089" w:type="dxa"/>
          </w:tcPr>
          <w:p w14:paraId="1FE287B2" w14:textId="77777777" w:rsidR="00E21527" w:rsidRPr="007D64FF" w:rsidRDefault="00E21527" w:rsidP="00E21527">
            <w:pPr>
              <w:tabs>
                <w:tab w:val="decimal" w:pos="113"/>
              </w:tabs>
              <w:spacing w:line="200" w:lineRule="exact"/>
              <w:jc w:val="left"/>
              <w:rPr>
                <w:szCs w:val="22"/>
              </w:rPr>
            </w:pPr>
          </w:p>
        </w:tc>
      </w:tr>
      <w:tr w:rsidR="00E21527" w:rsidRPr="007D64FF" w14:paraId="24CA7B8E" w14:textId="77777777" w:rsidTr="001521F8">
        <w:tc>
          <w:tcPr>
            <w:tcW w:w="1572" w:type="dxa"/>
            <w:tcBorders>
              <w:top w:val="single" w:sz="6" w:space="0" w:color="auto"/>
              <w:bottom w:val="single" w:sz="6" w:space="0" w:color="auto"/>
              <w:right w:val="single" w:sz="6" w:space="0" w:color="auto"/>
            </w:tcBorders>
          </w:tcPr>
          <w:p w14:paraId="5229D953"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1.54(l); IAS 1.78(d)</w:t>
            </w:r>
          </w:p>
        </w:tc>
        <w:tc>
          <w:tcPr>
            <w:tcW w:w="4480" w:type="dxa"/>
            <w:tcBorders>
              <w:left w:val="single" w:sz="6" w:space="0" w:color="auto"/>
            </w:tcBorders>
            <w:vAlign w:val="bottom"/>
          </w:tcPr>
          <w:p w14:paraId="2A833339" w14:textId="77777777" w:rsidR="00E21527" w:rsidRPr="00376906" w:rsidRDefault="00E21527" w:rsidP="00E21527">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הפרשות</w:t>
            </w:r>
          </w:p>
        </w:tc>
        <w:tc>
          <w:tcPr>
            <w:tcW w:w="113" w:type="dxa"/>
            <w:shd w:val="clear" w:color="auto" w:fill="auto"/>
            <w:vAlign w:val="bottom"/>
          </w:tcPr>
          <w:p w14:paraId="0650E508"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686F16C8"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08C9DD50" w14:textId="77777777" w:rsidR="00E21527" w:rsidRPr="007D64FF" w:rsidRDefault="00E21527" w:rsidP="00E21527">
            <w:pPr>
              <w:tabs>
                <w:tab w:val="decimal" w:pos="113"/>
              </w:tabs>
              <w:spacing w:line="200" w:lineRule="exact"/>
              <w:jc w:val="left"/>
              <w:rPr>
                <w:szCs w:val="22"/>
              </w:rPr>
            </w:pPr>
          </w:p>
        </w:tc>
        <w:tc>
          <w:tcPr>
            <w:tcW w:w="1089" w:type="dxa"/>
            <w:vAlign w:val="bottom"/>
          </w:tcPr>
          <w:p w14:paraId="433BF3B2" w14:textId="77777777" w:rsidR="00E21527" w:rsidRPr="007D64FF" w:rsidRDefault="00E21527" w:rsidP="00E21527">
            <w:pPr>
              <w:tabs>
                <w:tab w:val="decimal" w:pos="113"/>
              </w:tabs>
              <w:spacing w:line="200" w:lineRule="exact"/>
              <w:jc w:val="left"/>
              <w:rPr>
                <w:szCs w:val="22"/>
              </w:rPr>
            </w:pPr>
          </w:p>
        </w:tc>
        <w:tc>
          <w:tcPr>
            <w:tcW w:w="108" w:type="dxa"/>
          </w:tcPr>
          <w:p w14:paraId="6E00BEE4" w14:textId="77777777" w:rsidR="00E21527" w:rsidRPr="007D64FF" w:rsidRDefault="00E21527" w:rsidP="00E21527">
            <w:pPr>
              <w:tabs>
                <w:tab w:val="decimal" w:pos="113"/>
              </w:tabs>
              <w:spacing w:line="200" w:lineRule="exact"/>
              <w:jc w:val="left"/>
              <w:rPr>
                <w:szCs w:val="22"/>
              </w:rPr>
            </w:pPr>
          </w:p>
        </w:tc>
        <w:tc>
          <w:tcPr>
            <w:tcW w:w="1089" w:type="dxa"/>
          </w:tcPr>
          <w:p w14:paraId="2DA818C1" w14:textId="77777777" w:rsidR="00E21527" w:rsidRPr="007D64FF" w:rsidRDefault="00E21527" w:rsidP="00E21527">
            <w:pPr>
              <w:tabs>
                <w:tab w:val="decimal" w:pos="113"/>
              </w:tabs>
              <w:spacing w:line="200" w:lineRule="exact"/>
              <w:jc w:val="left"/>
              <w:rPr>
                <w:szCs w:val="22"/>
              </w:rPr>
            </w:pPr>
          </w:p>
        </w:tc>
      </w:tr>
      <w:tr w:rsidR="00E21527" w:rsidRPr="007D64FF" w14:paraId="409985E2" w14:textId="77777777" w:rsidTr="001521F8">
        <w:tc>
          <w:tcPr>
            <w:tcW w:w="1572" w:type="dxa"/>
            <w:tcBorders>
              <w:top w:val="single" w:sz="6" w:space="0" w:color="auto"/>
              <w:bottom w:val="single" w:sz="6" w:space="0" w:color="auto"/>
              <w:right w:val="single" w:sz="6" w:space="0" w:color="auto"/>
            </w:tcBorders>
          </w:tcPr>
          <w:p w14:paraId="77B46FB7"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1.54(m); IFRS 7.8(e)</w:t>
            </w:r>
          </w:p>
        </w:tc>
        <w:tc>
          <w:tcPr>
            <w:tcW w:w="4480" w:type="dxa"/>
            <w:tcBorders>
              <w:left w:val="single" w:sz="6" w:space="0" w:color="auto"/>
            </w:tcBorders>
            <w:vAlign w:val="bottom"/>
          </w:tcPr>
          <w:p w14:paraId="602EB976"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נגזרים פיננסיים</w:t>
            </w:r>
          </w:p>
        </w:tc>
        <w:tc>
          <w:tcPr>
            <w:tcW w:w="113" w:type="dxa"/>
            <w:shd w:val="clear" w:color="auto" w:fill="auto"/>
            <w:vAlign w:val="bottom"/>
          </w:tcPr>
          <w:p w14:paraId="7B8DD8FA" w14:textId="77777777" w:rsidR="00E21527" w:rsidRPr="007D64FF" w:rsidRDefault="00E21527" w:rsidP="00E21527">
            <w:pPr>
              <w:tabs>
                <w:tab w:val="left" w:pos="0"/>
                <w:tab w:val="left" w:pos="397"/>
                <w:tab w:val="left" w:pos="510"/>
              </w:tabs>
              <w:spacing w:line="200" w:lineRule="exact"/>
              <w:rPr>
                <w:szCs w:val="22"/>
              </w:rPr>
            </w:pPr>
          </w:p>
        </w:tc>
        <w:tc>
          <w:tcPr>
            <w:tcW w:w="1089" w:type="dxa"/>
            <w:tcBorders>
              <w:top w:val="nil"/>
              <w:left w:val="nil"/>
              <w:bottom w:val="single" w:sz="6" w:space="0" w:color="auto"/>
              <w:right w:val="nil"/>
            </w:tcBorders>
            <w:vAlign w:val="bottom"/>
          </w:tcPr>
          <w:p w14:paraId="0BC9EB5B"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5C56B156" w14:textId="77777777" w:rsidR="00E21527" w:rsidRPr="007D64FF" w:rsidRDefault="00E21527" w:rsidP="00E21527">
            <w:pPr>
              <w:tabs>
                <w:tab w:val="decimal" w:pos="113"/>
              </w:tabs>
              <w:spacing w:line="200" w:lineRule="exact"/>
              <w:jc w:val="left"/>
              <w:rPr>
                <w:szCs w:val="22"/>
              </w:rPr>
            </w:pPr>
          </w:p>
        </w:tc>
        <w:tc>
          <w:tcPr>
            <w:tcW w:w="1089" w:type="dxa"/>
            <w:tcBorders>
              <w:top w:val="nil"/>
              <w:left w:val="nil"/>
              <w:bottom w:val="single" w:sz="6" w:space="0" w:color="auto"/>
              <w:right w:val="nil"/>
            </w:tcBorders>
            <w:vAlign w:val="bottom"/>
          </w:tcPr>
          <w:p w14:paraId="04DE21B0" w14:textId="77777777" w:rsidR="00E21527" w:rsidRPr="007D64FF" w:rsidRDefault="00E21527" w:rsidP="00E21527">
            <w:pPr>
              <w:tabs>
                <w:tab w:val="decimal" w:pos="113"/>
              </w:tabs>
              <w:spacing w:line="200" w:lineRule="exact"/>
              <w:jc w:val="left"/>
              <w:rPr>
                <w:szCs w:val="22"/>
              </w:rPr>
            </w:pPr>
          </w:p>
        </w:tc>
        <w:tc>
          <w:tcPr>
            <w:tcW w:w="108" w:type="dxa"/>
            <w:tcBorders>
              <w:top w:val="nil"/>
              <w:left w:val="nil"/>
              <w:right w:val="nil"/>
            </w:tcBorders>
            <w:shd w:val="clear" w:color="auto" w:fill="auto"/>
          </w:tcPr>
          <w:p w14:paraId="58BF1090" w14:textId="77777777" w:rsidR="00E21527" w:rsidRPr="007D64FF" w:rsidRDefault="00E21527" w:rsidP="00E21527">
            <w:pPr>
              <w:tabs>
                <w:tab w:val="decimal" w:pos="113"/>
              </w:tabs>
              <w:spacing w:line="200" w:lineRule="exact"/>
              <w:jc w:val="left"/>
              <w:rPr>
                <w:szCs w:val="22"/>
              </w:rPr>
            </w:pPr>
          </w:p>
        </w:tc>
        <w:tc>
          <w:tcPr>
            <w:tcW w:w="1089" w:type="dxa"/>
            <w:tcBorders>
              <w:top w:val="nil"/>
              <w:left w:val="nil"/>
              <w:bottom w:val="single" w:sz="6" w:space="0" w:color="auto"/>
              <w:right w:val="nil"/>
            </w:tcBorders>
          </w:tcPr>
          <w:p w14:paraId="34EB43EC" w14:textId="77777777" w:rsidR="00E21527" w:rsidRPr="007D64FF" w:rsidRDefault="00E21527" w:rsidP="00E21527">
            <w:pPr>
              <w:tabs>
                <w:tab w:val="decimal" w:pos="113"/>
              </w:tabs>
              <w:spacing w:line="200" w:lineRule="exact"/>
              <w:jc w:val="left"/>
              <w:rPr>
                <w:szCs w:val="22"/>
              </w:rPr>
            </w:pPr>
          </w:p>
        </w:tc>
      </w:tr>
      <w:tr w:rsidR="00E21527" w:rsidRPr="007D64FF" w14:paraId="76596AAC" w14:textId="77777777" w:rsidTr="001521F8">
        <w:tc>
          <w:tcPr>
            <w:tcW w:w="1572" w:type="dxa"/>
            <w:tcBorders>
              <w:top w:val="single" w:sz="6" w:space="0" w:color="auto"/>
            </w:tcBorders>
          </w:tcPr>
          <w:p w14:paraId="5CB1FE13" w14:textId="77777777" w:rsidR="00E21527" w:rsidRPr="00376906" w:rsidRDefault="00E21527" w:rsidP="00E21527">
            <w:pPr>
              <w:pStyle w:val="a3"/>
              <w:tabs>
                <w:tab w:val="left" w:pos="227"/>
                <w:tab w:val="left" w:pos="397"/>
                <w:tab w:val="left" w:pos="567"/>
              </w:tabs>
              <w:bidi w:val="0"/>
              <w:spacing w:line="200" w:lineRule="exact"/>
              <w:ind w:left="0" w:right="28"/>
              <w:jc w:val="right"/>
              <w:rPr>
                <w:i/>
                <w:iCs/>
                <w:sz w:val="13"/>
                <w:szCs w:val="13"/>
              </w:rPr>
            </w:pPr>
          </w:p>
        </w:tc>
        <w:tc>
          <w:tcPr>
            <w:tcW w:w="4480" w:type="dxa"/>
            <w:vAlign w:val="bottom"/>
          </w:tcPr>
          <w:p w14:paraId="336D09FA" w14:textId="77777777" w:rsidR="00E21527" w:rsidRPr="00376906" w:rsidRDefault="00E21527" w:rsidP="00E21527">
            <w:pPr>
              <w:pStyle w:val="a3"/>
              <w:tabs>
                <w:tab w:val="left" w:pos="227"/>
                <w:tab w:val="left" w:pos="397"/>
                <w:tab w:val="left" w:pos="567"/>
              </w:tabs>
              <w:spacing w:line="200" w:lineRule="exact"/>
              <w:ind w:left="227"/>
              <w:rPr>
                <w:sz w:val="18"/>
                <w:szCs w:val="20"/>
                <w:u w:val="single"/>
              </w:rPr>
            </w:pPr>
          </w:p>
        </w:tc>
        <w:tc>
          <w:tcPr>
            <w:tcW w:w="113" w:type="dxa"/>
            <w:shd w:val="clear" w:color="auto" w:fill="auto"/>
            <w:vAlign w:val="bottom"/>
          </w:tcPr>
          <w:p w14:paraId="792484F2" w14:textId="77777777" w:rsidR="00E21527" w:rsidRPr="007D64FF" w:rsidRDefault="00E21527" w:rsidP="00E21527">
            <w:pPr>
              <w:tabs>
                <w:tab w:val="left" w:pos="0"/>
                <w:tab w:val="left" w:pos="397"/>
                <w:tab w:val="left" w:pos="510"/>
              </w:tabs>
              <w:spacing w:line="200" w:lineRule="exact"/>
              <w:rPr>
                <w:szCs w:val="22"/>
              </w:rPr>
            </w:pPr>
          </w:p>
        </w:tc>
        <w:tc>
          <w:tcPr>
            <w:tcW w:w="1089" w:type="dxa"/>
            <w:tcBorders>
              <w:top w:val="single" w:sz="6" w:space="0" w:color="auto"/>
              <w:left w:val="nil"/>
              <w:right w:val="nil"/>
            </w:tcBorders>
            <w:vAlign w:val="bottom"/>
          </w:tcPr>
          <w:p w14:paraId="090D42E9"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5CCC9605" w14:textId="77777777" w:rsidR="00E21527" w:rsidRPr="007D64FF" w:rsidRDefault="00E21527" w:rsidP="00E21527">
            <w:pPr>
              <w:tabs>
                <w:tab w:val="decimal" w:pos="113"/>
              </w:tabs>
              <w:spacing w:line="200" w:lineRule="exact"/>
              <w:jc w:val="left"/>
              <w:rPr>
                <w:szCs w:val="22"/>
              </w:rPr>
            </w:pPr>
          </w:p>
        </w:tc>
        <w:tc>
          <w:tcPr>
            <w:tcW w:w="1089" w:type="dxa"/>
            <w:tcBorders>
              <w:top w:val="single" w:sz="6" w:space="0" w:color="auto"/>
              <w:left w:val="nil"/>
              <w:right w:val="nil"/>
            </w:tcBorders>
            <w:vAlign w:val="bottom"/>
          </w:tcPr>
          <w:p w14:paraId="2FA4328E" w14:textId="77777777" w:rsidR="00E21527" w:rsidRPr="007D64FF" w:rsidRDefault="00E21527" w:rsidP="00E21527">
            <w:pPr>
              <w:tabs>
                <w:tab w:val="decimal" w:pos="113"/>
              </w:tabs>
              <w:spacing w:line="200" w:lineRule="exact"/>
              <w:jc w:val="left"/>
              <w:rPr>
                <w:szCs w:val="22"/>
              </w:rPr>
            </w:pPr>
          </w:p>
        </w:tc>
        <w:tc>
          <w:tcPr>
            <w:tcW w:w="108" w:type="dxa"/>
            <w:tcBorders>
              <w:left w:val="nil"/>
              <w:right w:val="nil"/>
            </w:tcBorders>
          </w:tcPr>
          <w:p w14:paraId="49344B46" w14:textId="77777777" w:rsidR="00E21527" w:rsidRPr="007D64FF" w:rsidRDefault="00E21527" w:rsidP="00E21527">
            <w:pPr>
              <w:tabs>
                <w:tab w:val="decimal" w:pos="113"/>
              </w:tabs>
              <w:spacing w:line="200" w:lineRule="exact"/>
              <w:jc w:val="left"/>
              <w:rPr>
                <w:szCs w:val="22"/>
              </w:rPr>
            </w:pPr>
          </w:p>
        </w:tc>
        <w:tc>
          <w:tcPr>
            <w:tcW w:w="1089" w:type="dxa"/>
            <w:tcBorders>
              <w:top w:val="single" w:sz="6" w:space="0" w:color="auto"/>
              <w:left w:val="nil"/>
              <w:right w:val="nil"/>
            </w:tcBorders>
          </w:tcPr>
          <w:p w14:paraId="7638A686" w14:textId="77777777" w:rsidR="00E21527" w:rsidRPr="007D64FF" w:rsidRDefault="00E21527" w:rsidP="00E21527">
            <w:pPr>
              <w:tabs>
                <w:tab w:val="decimal" w:pos="113"/>
              </w:tabs>
              <w:spacing w:line="200" w:lineRule="exact"/>
              <w:jc w:val="left"/>
              <w:rPr>
                <w:szCs w:val="22"/>
              </w:rPr>
            </w:pPr>
          </w:p>
        </w:tc>
      </w:tr>
      <w:tr w:rsidR="00E21527" w:rsidRPr="007D64FF" w14:paraId="3A677131" w14:textId="77777777" w:rsidTr="001521F8">
        <w:tc>
          <w:tcPr>
            <w:tcW w:w="1572" w:type="dxa"/>
            <w:tcBorders>
              <w:bottom w:val="single" w:sz="6" w:space="0" w:color="auto"/>
              <w:right w:val="single" w:sz="6" w:space="0" w:color="auto"/>
            </w:tcBorders>
          </w:tcPr>
          <w:p w14:paraId="5F5E3C66"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1.54(p); IFRS 5.38</w:t>
            </w:r>
          </w:p>
        </w:tc>
        <w:tc>
          <w:tcPr>
            <w:tcW w:w="4480" w:type="dxa"/>
            <w:tcBorders>
              <w:left w:val="single" w:sz="6" w:space="0" w:color="auto"/>
            </w:tcBorders>
            <w:vAlign w:val="bottom"/>
          </w:tcPr>
          <w:p w14:paraId="3D3FEEE5"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התחייבויות המתייחסות לנכסים המוחזקים למכירה</w:t>
            </w:r>
          </w:p>
        </w:tc>
        <w:tc>
          <w:tcPr>
            <w:tcW w:w="113" w:type="dxa"/>
            <w:shd w:val="clear" w:color="auto" w:fill="auto"/>
            <w:vAlign w:val="bottom"/>
          </w:tcPr>
          <w:p w14:paraId="58BC98DD" w14:textId="77777777" w:rsidR="00E21527" w:rsidRPr="007D64FF" w:rsidRDefault="00E21527" w:rsidP="00E21527">
            <w:pPr>
              <w:tabs>
                <w:tab w:val="left" w:pos="0"/>
                <w:tab w:val="left" w:pos="397"/>
                <w:tab w:val="left" w:pos="510"/>
              </w:tabs>
              <w:spacing w:line="200" w:lineRule="exact"/>
              <w:rPr>
                <w:szCs w:val="22"/>
              </w:rPr>
            </w:pPr>
          </w:p>
        </w:tc>
        <w:tc>
          <w:tcPr>
            <w:tcW w:w="1089" w:type="dxa"/>
            <w:tcBorders>
              <w:top w:val="nil"/>
              <w:left w:val="nil"/>
              <w:right w:val="nil"/>
            </w:tcBorders>
            <w:vAlign w:val="bottom"/>
          </w:tcPr>
          <w:p w14:paraId="56412FAC"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1DCECE13" w14:textId="77777777" w:rsidR="00E21527" w:rsidRPr="007D64FF" w:rsidRDefault="00E21527" w:rsidP="00E21527">
            <w:pPr>
              <w:tabs>
                <w:tab w:val="decimal" w:pos="113"/>
              </w:tabs>
              <w:spacing w:line="200" w:lineRule="exact"/>
              <w:jc w:val="left"/>
              <w:rPr>
                <w:szCs w:val="22"/>
              </w:rPr>
            </w:pPr>
          </w:p>
        </w:tc>
        <w:tc>
          <w:tcPr>
            <w:tcW w:w="1089" w:type="dxa"/>
            <w:tcBorders>
              <w:top w:val="nil"/>
              <w:left w:val="nil"/>
              <w:right w:val="nil"/>
            </w:tcBorders>
            <w:vAlign w:val="bottom"/>
          </w:tcPr>
          <w:p w14:paraId="21C47AA8" w14:textId="77777777" w:rsidR="00E21527" w:rsidRPr="007D64FF" w:rsidRDefault="00E21527" w:rsidP="00E21527">
            <w:pPr>
              <w:tabs>
                <w:tab w:val="decimal" w:pos="113"/>
              </w:tabs>
              <w:spacing w:line="200" w:lineRule="exact"/>
              <w:jc w:val="left"/>
              <w:rPr>
                <w:szCs w:val="22"/>
              </w:rPr>
            </w:pPr>
          </w:p>
        </w:tc>
        <w:tc>
          <w:tcPr>
            <w:tcW w:w="108" w:type="dxa"/>
            <w:tcBorders>
              <w:top w:val="nil"/>
              <w:left w:val="nil"/>
              <w:right w:val="nil"/>
            </w:tcBorders>
            <w:shd w:val="clear" w:color="auto" w:fill="auto"/>
          </w:tcPr>
          <w:p w14:paraId="09A24B03" w14:textId="77777777" w:rsidR="00E21527" w:rsidRPr="007D64FF" w:rsidRDefault="00E21527" w:rsidP="00E21527">
            <w:pPr>
              <w:tabs>
                <w:tab w:val="decimal" w:pos="113"/>
              </w:tabs>
              <w:spacing w:line="200" w:lineRule="exact"/>
              <w:jc w:val="left"/>
              <w:rPr>
                <w:szCs w:val="22"/>
              </w:rPr>
            </w:pPr>
          </w:p>
        </w:tc>
        <w:tc>
          <w:tcPr>
            <w:tcW w:w="1089" w:type="dxa"/>
            <w:tcBorders>
              <w:top w:val="nil"/>
              <w:left w:val="nil"/>
              <w:right w:val="nil"/>
            </w:tcBorders>
          </w:tcPr>
          <w:p w14:paraId="32246C9C" w14:textId="77777777" w:rsidR="00E21527" w:rsidRPr="007D64FF" w:rsidRDefault="00E21527" w:rsidP="00E21527">
            <w:pPr>
              <w:tabs>
                <w:tab w:val="decimal" w:pos="113"/>
              </w:tabs>
              <w:spacing w:line="200" w:lineRule="exact"/>
              <w:jc w:val="left"/>
              <w:rPr>
                <w:szCs w:val="22"/>
              </w:rPr>
            </w:pPr>
          </w:p>
        </w:tc>
      </w:tr>
      <w:tr w:rsidR="00E21527" w:rsidRPr="007D64FF" w14:paraId="1C5287CC" w14:textId="77777777" w:rsidTr="001521F8">
        <w:tc>
          <w:tcPr>
            <w:tcW w:w="1572" w:type="dxa"/>
            <w:tcBorders>
              <w:bottom w:val="single" w:sz="6" w:space="0" w:color="auto"/>
              <w:right w:val="single" w:sz="6" w:space="0" w:color="auto"/>
            </w:tcBorders>
          </w:tcPr>
          <w:p w14:paraId="2D6E3A72"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Pr>
            </w:pPr>
            <w:r w:rsidRPr="00684BA2">
              <w:rPr>
                <w:i/>
                <w:iCs/>
                <w:sz w:val="13"/>
                <w:szCs w:val="13"/>
              </w:rPr>
              <w:t>IAS 1.54(p); IFRS 5.38</w:t>
            </w:r>
          </w:p>
        </w:tc>
        <w:tc>
          <w:tcPr>
            <w:tcW w:w="4480" w:type="dxa"/>
            <w:tcBorders>
              <w:left w:val="single" w:sz="6" w:space="0" w:color="auto"/>
            </w:tcBorders>
            <w:vAlign w:val="bottom"/>
          </w:tcPr>
          <w:p w14:paraId="78C4F27D" w14:textId="77777777" w:rsidR="00E21527" w:rsidRPr="00376906" w:rsidRDefault="00E21527" w:rsidP="00E21527">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התחייבויות המתייחסות לנכסים המוחזקים לחלוקה לבעלים</w:t>
            </w:r>
          </w:p>
        </w:tc>
        <w:tc>
          <w:tcPr>
            <w:tcW w:w="113" w:type="dxa"/>
            <w:shd w:val="clear" w:color="auto" w:fill="auto"/>
            <w:vAlign w:val="bottom"/>
          </w:tcPr>
          <w:p w14:paraId="3697A5C3" w14:textId="77777777" w:rsidR="00E21527" w:rsidRPr="007D64FF" w:rsidRDefault="00E21527" w:rsidP="00E21527">
            <w:pPr>
              <w:tabs>
                <w:tab w:val="left" w:pos="0"/>
                <w:tab w:val="left" w:pos="397"/>
                <w:tab w:val="left" w:pos="510"/>
              </w:tabs>
              <w:spacing w:line="200" w:lineRule="exact"/>
              <w:rPr>
                <w:szCs w:val="22"/>
              </w:rPr>
            </w:pPr>
          </w:p>
        </w:tc>
        <w:tc>
          <w:tcPr>
            <w:tcW w:w="1089" w:type="dxa"/>
            <w:tcBorders>
              <w:left w:val="nil"/>
              <w:bottom w:val="single" w:sz="6" w:space="0" w:color="auto"/>
              <w:right w:val="nil"/>
            </w:tcBorders>
            <w:vAlign w:val="bottom"/>
          </w:tcPr>
          <w:p w14:paraId="72BF0985"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25DD31CC" w14:textId="77777777" w:rsidR="00E21527" w:rsidRPr="007D64FF" w:rsidRDefault="00E21527" w:rsidP="00E21527">
            <w:pPr>
              <w:tabs>
                <w:tab w:val="decimal" w:pos="113"/>
              </w:tabs>
              <w:spacing w:line="200" w:lineRule="exact"/>
              <w:jc w:val="left"/>
              <w:rPr>
                <w:szCs w:val="22"/>
              </w:rPr>
            </w:pPr>
          </w:p>
        </w:tc>
        <w:tc>
          <w:tcPr>
            <w:tcW w:w="1089" w:type="dxa"/>
            <w:tcBorders>
              <w:left w:val="nil"/>
              <w:bottom w:val="single" w:sz="6" w:space="0" w:color="auto"/>
              <w:right w:val="nil"/>
            </w:tcBorders>
            <w:vAlign w:val="bottom"/>
          </w:tcPr>
          <w:p w14:paraId="31CC29F7" w14:textId="77777777" w:rsidR="00E21527" w:rsidRPr="007D64FF" w:rsidRDefault="00E21527" w:rsidP="00E21527">
            <w:pPr>
              <w:tabs>
                <w:tab w:val="decimal" w:pos="113"/>
              </w:tabs>
              <w:spacing w:line="200" w:lineRule="exact"/>
              <w:jc w:val="left"/>
              <w:rPr>
                <w:szCs w:val="22"/>
              </w:rPr>
            </w:pPr>
          </w:p>
        </w:tc>
        <w:tc>
          <w:tcPr>
            <w:tcW w:w="108" w:type="dxa"/>
            <w:tcBorders>
              <w:left w:val="nil"/>
              <w:right w:val="nil"/>
            </w:tcBorders>
            <w:shd w:val="clear" w:color="auto" w:fill="auto"/>
          </w:tcPr>
          <w:p w14:paraId="0072ADD2" w14:textId="77777777" w:rsidR="00E21527" w:rsidRPr="007D64FF" w:rsidRDefault="00E21527" w:rsidP="00E21527">
            <w:pPr>
              <w:tabs>
                <w:tab w:val="decimal" w:pos="113"/>
              </w:tabs>
              <w:spacing w:line="200" w:lineRule="exact"/>
              <w:jc w:val="left"/>
              <w:rPr>
                <w:szCs w:val="22"/>
              </w:rPr>
            </w:pPr>
          </w:p>
        </w:tc>
        <w:tc>
          <w:tcPr>
            <w:tcW w:w="1089" w:type="dxa"/>
            <w:tcBorders>
              <w:left w:val="nil"/>
              <w:bottom w:val="single" w:sz="6" w:space="0" w:color="auto"/>
              <w:right w:val="nil"/>
            </w:tcBorders>
          </w:tcPr>
          <w:p w14:paraId="4A82F089" w14:textId="77777777" w:rsidR="00E21527" w:rsidRPr="007D64FF" w:rsidRDefault="00E21527" w:rsidP="00E21527">
            <w:pPr>
              <w:tabs>
                <w:tab w:val="decimal" w:pos="113"/>
              </w:tabs>
              <w:spacing w:line="200" w:lineRule="exact"/>
              <w:jc w:val="left"/>
              <w:rPr>
                <w:szCs w:val="22"/>
              </w:rPr>
            </w:pPr>
          </w:p>
        </w:tc>
      </w:tr>
      <w:tr w:rsidR="00E21527" w:rsidRPr="007D64FF" w14:paraId="0208DE2E" w14:textId="77777777" w:rsidTr="001521F8">
        <w:tc>
          <w:tcPr>
            <w:tcW w:w="1572" w:type="dxa"/>
          </w:tcPr>
          <w:p w14:paraId="7AD503A8"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vAlign w:val="bottom"/>
          </w:tcPr>
          <w:p w14:paraId="58FA486E" w14:textId="77777777" w:rsidR="00E21527" w:rsidRPr="00376906" w:rsidRDefault="00E21527" w:rsidP="00E21527">
            <w:pPr>
              <w:pStyle w:val="a3"/>
              <w:tabs>
                <w:tab w:val="left" w:pos="227"/>
                <w:tab w:val="left" w:pos="397"/>
                <w:tab w:val="left" w:pos="567"/>
              </w:tabs>
              <w:spacing w:line="200" w:lineRule="exact"/>
              <w:ind w:left="227" w:hanging="170"/>
              <w:rPr>
                <w:sz w:val="18"/>
                <w:szCs w:val="20"/>
                <w:u w:val="single"/>
                <w:rtl/>
              </w:rPr>
            </w:pPr>
          </w:p>
        </w:tc>
        <w:tc>
          <w:tcPr>
            <w:tcW w:w="113" w:type="dxa"/>
            <w:shd w:val="clear" w:color="auto" w:fill="auto"/>
            <w:vAlign w:val="bottom"/>
          </w:tcPr>
          <w:p w14:paraId="14B97C4E" w14:textId="77777777" w:rsidR="00E21527" w:rsidRPr="007D64FF" w:rsidRDefault="00E21527" w:rsidP="00E21527">
            <w:pPr>
              <w:pStyle w:val="a3"/>
              <w:spacing w:line="200" w:lineRule="exact"/>
              <w:rPr>
                <w:szCs w:val="22"/>
                <w:u w:val="single"/>
              </w:rPr>
            </w:pPr>
          </w:p>
        </w:tc>
        <w:tc>
          <w:tcPr>
            <w:tcW w:w="1089" w:type="dxa"/>
            <w:tcBorders>
              <w:bottom w:val="single" w:sz="6" w:space="0" w:color="auto"/>
            </w:tcBorders>
            <w:shd w:val="clear" w:color="auto" w:fill="auto"/>
            <w:vAlign w:val="bottom"/>
          </w:tcPr>
          <w:p w14:paraId="2AE275BC" w14:textId="77777777" w:rsidR="00E21527" w:rsidRPr="007D64FF" w:rsidRDefault="00E21527" w:rsidP="00E21527">
            <w:pPr>
              <w:pStyle w:val="a3"/>
              <w:tabs>
                <w:tab w:val="decimal" w:pos="113"/>
              </w:tabs>
              <w:spacing w:line="200" w:lineRule="exact"/>
              <w:rPr>
                <w:szCs w:val="22"/>
                <w:u w:val="single"/>
              </w:rPr>
            </w:pPr>
          </w:p>
        </w:tc>
        <w:tc>
          <w:tcPr>
            <w:tcW w:w="138" w:type="dxa"/>
            <w:gridSpan w:val="2"/>
            <w:vAlign w:val="bottom"/>
          </w:tcPr>
          <w:p w14:paraId="4CCB6604" w14:textId="77777777" w:rsidR="00E21527" w:rsidRPr="007D64FF" w:rsidRDefault="00E21527" w:rsidP="00E21527">
            <w:pPr>
              <w:pStyle w:val="a3"/>
              <w:tabs>
                <w:tab w:val="decimal" w:pos="113"/>
              </w:tabs>
              <w:spacing w:line="200" w:lineRule="exact"/>
              <w:rPr>
                <w:szCs w:val="22"/>
                <w:u w:val="single"/>
              </w:rPr>
            </w:pPr>
          </w:p>
        </w:tc>
        <w:tc>
          <w:tcPr>
            <w:tcW w:w="1089" w:type="dxa"/>
            <w:tcBorders>
              <w:bottom w:val="single" w:sz="6" w:space="0" w:color="auto"/>
            </w:tcBorders>
            <w:shd w:val="clear" w:color="auto" w:fill="auto"/>
            <w:vAlign w:val="bottom"/>
          </w:tcPr>
          <w:p w14:paraId="3215948D" w14:textId="77777777" w:rsidR="00E21527" w:rsidRPr="007D64FF" w:rsidRDefault="00E21527" w:rsidP="00E21527">
            <w:pPr>
              <w:pStyle w:val="a3"/>
              <w:tabs>
                <w:tab w:val="decimal" w:pos="113"/>
              </w:tabs>
              <w:spacing w:line="200" w:lineRule="exact"/>
              <w:rPr>
                <w:szCs w:val="22"/>
                <w:u w:val="single"/>
              </w:rPr>
            </w:pPr>
          </w:p>
        </w:tc>
        <w:tc>
          <w:tcPr>
            <w:tcW w:w="108" w:type="dxa"/>
            <w:shd w:val="clear" w:color="auto" w:fill="auto"/>
          </w:tcPr>
          <w:p w14:paraId="00F0AAAF" w14:textId="77777777" w:rsidR="00E21527" w:rsidRPr="007D64FF" w:rsidRDefault="00E21527" w:rsidP="00E21527">
            <w:pPr>
              <w:pStyle w:val="a3"/>
              <w:tabs>
                <w:tab w:val="decimal" w:pos="113"/>
              </w:tabs>
              <w:spacing w:line="200" w:lineRule="exact"/>
              <w:rPr>
                <w:szCs w:val="22"/>
                <w:u w:val="single"/>
              </w:rPr>
            </w:pPr>
          </w:p>
        </w:tc>
        <w:tc>
          <w:tcPr>
            <w:tcW w:w="1089" w:type="dxa"/>
            <w:tcBorders>
              <w:bottom w:val="single" w:sz="6" w:space="0" w:color="auto"/>
            </w:tcBorders>
          </w:tcPr>
          <w:p w14:paraId="2BD0BDAA" w14:textId="77777777" w:rsidR="00E21527" w:rsidRPr="007D64FF" w:rsidRDefault="00E21527" w:rsidP="00E21527">
            <w:pPr>
              <w:pStyle w:val="a3"/>
              <w:tabs>
                <w:tab w:val="decimal" w:pos="113"/>
              </w:tabs>
              <w:spacing w:line="200" w:lineRule="exact"/>
              <w:rPr>
                <w:szCs w:val="22"/>
                <w:u w:val="single"/>
              </w:rPr>
            </w:pPr>
          </w:p>
        </w:tc>
      </w:tr>
      <w:tr w:rsidR="00E21527" w:rsidRPr="007D64FF" w14:paraId="79787BB8" w14:textId="77777777" w:rsidTr="001521F8">
        <w:tc>
          <w:tcPr>
            <w:tcW w:w="1572" w:type="dxa"/>
            <w:tcBorders>
              <w:bottom w:val="single" w:sz="6" w:space="0" w:color="auto"/>
              <w:right w:val="single" w:sz="6" w:space="0" w:color="auto"/>
            </w:tcBorders>
          </w:tcPr>
          <w:p w14:paraId="29404B43"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1.60, 69</w:t>
            </w:r>
          </w:p>
        </w:tc>
        <w:tc>
          <w:tcPr>
            <w:tcW w:w="4480" w:type="dxa"/>
            <w:tcBorders>
              <w:left w:val="single" w:sz="6" w:space="0" w:color="auto"/>
            </w:tcBorders>
            <w:vAlign w:val="bottom"/>
          </w:tcPr>
          <w:p w14:paraId="2294228C" w14:textId="77777777" w:rsidR="00E21527" w:rsidRPr="00376906" w:rsidRDefault="00E21527" w:rsidP="00E21527">
            <w:pPr>
              <w:pStyle w:val="a3"/>
              <w:tabs>
                <w:tab w:val="left" w:pos="227"/>
                <w:tab w:val="left" w:pos="397"/>
                <w:tab w:val="left" w:pos="567"/>
              </w:tabs>
              <w:spacing w:line="200" w:lineRule="exact"/>
              <w:ind w:left="227" w:hanging="170"/>
              <w:rPr>
                <w:sz w:val="18"/>
                <w:szCs w:val="20"/>
                <w:u w:val="single"/>
              </w:rPr>
            </w:pPr>
            <w:r w:rsidRPr="00376906">
              <w:rPr>
                <w:rFonts w:hint="cs"/>
                <w:sz w:val="18"/>
                <w:szCs w:val="20"/>
                <w:u w:val="single"/>
                <w:rtl/>
              </w:rPr>
              <w:t>התחייבויות לא שוטפות</w:t>
            </w:r>
          </w:p>
        </w:tc>
        <w:tc>
          <w:tcPr>
            <w:tcW w:w="113" w:type="dxa"/>
            <w:shd w:val="clear" w:color="auto" w:fill="auto"/>
            <w:vAlign w:val="bottom"/>
          </w:tcPr>
          <w:p w14:paraId="27FE157D" w14:textId="77777777" w:rsidR="00E21527" w:rsidRPr="007D64FF" w:rsidRDefault="00E21527" w:rsidP="00E21527">
            <w:pPr>
              <w:pStyle w:val="a3"/>
              <w:spacing w:line="200" w:lineRule="exact"/>
              <w:rPr>
                <w:szCs w:val="22"/>
                <w:u w:val="single"/>
              </w:rPr>
            </w:pPr>
          </w:p>
        </w:tc>
        <w:tc>
          <w:tcPr>
            <w:tcW w:w="1089" w:type="dxa"/>
            <w:tcBorders>
              <w:top w:val="single" w:sz="6" w:space="0" w:color="auto"/>
            </w:tcBorders>
            <w:vAlign w:val="bottom"/>
          </w:tcPr>
          <w:p w14:paraId="598B1637" w14:textId="77777777" w:rsidR="00E21527" w:rsidRPr="007D64FF" w:rsidRDefault="00E21527" w:rsidP="00E21527">
            <w:pPr>
              <w:pStyle w:val="a3"/>
              <w:tabs>
                <w:tab w:val="decimal" w:pos="113"/>
              </w:tabs>
              <w:spacing w:line="200" w:lineRule="exact"/>
              <w:rPr>
                <w:szCs w:val="22"/>
                <w:u w:val="single"/>
              </w:rPr>
            </w:pPr>
          </w:p>
        </w:tc>
        <w:tc>
          <w:tcPr>
            <w:tcW w:w="138" w:type="dxa"/>
            <w:gridSpan w:val="2"/>
            <w:vAlign w:val="bottom"/>
          </w:tcPr>
          <w:p w14:paraId="47E02E35" w14:textId="77777777" w:rsidR="00E21527" w:rsidRPr="007D64FF" w:rsidRDefault="00E21527" w:rsidP="00E21527">
            <w:pPr>
              <w:pStyle w:val="a3"/>
              <w:tabs>
                <w:tab w:val="decimal" w:pos="113"/>
              </w:tabs>
              <w:spacing w:line="200" w:lineRule="exact"/>
              <w:rPr>
                <w:szCs w:val="22"/>
                <w:u w:val="single"/>
              </w:rPr>
            </w:pPr>
          </w:p>
        </w:tc>
        <w:tc>
          <w:tcPr>
            <w:tcW w:w="1089" w:type="dxa"/>
            <w:tcBorders>
              <w:top w:val="single" w:sz="6" w:space="0" w:color="auto"/>
            </w:tcBorders>
            <w:vAlign w:val="bottom"/>
          </w:tcPr>
          <w:p w14:paraId="7E5990E6" w14:textId="77777777" w:rsidR="00E21527" w:rsidRPr="007D64FF" w:rsidRDefault="00E21527" w:rsidP="00E21527">
            <w:pPr>
              <w:pStyle w:val="a3"/>
              <w:tabs>
                <w:tab w:val="decimal" w:pos="113"/>
              </w:tabs>
              <w:spacing w:line="200" w:lineRule="exact"/>
              <w:rPr>
                <w:szCs w:val="22"/>
                <w:u w:val="single"/>
              </w:rPr>
            </w:pPr>
          </w:p>
        </w:tc>
        <w:tc>
          <w:tcPr>
            <w:tcW w:w="108" w:type="dxa"/>
          </w:tcPr>
          <w:p w14:paraId="4D18CC1A" w14:textId="77777777" w:rsidR="00E21527" w:rsidRPr="007D64FF" w:rsidRDefault="00E21527" w:rsidP="00E21527">
            <w:pPr>
              <w:pStyle w:val="a3"/>
              <w:tabs>
                <w:tab w:val="decimal" w:pos="113"/>
              </w:tabs>
              <w:spacing w:line="200" w:lineRule="exact"/>
              <w:rPr>
                <w:szCs w:val="22"/>
                <w:u w:val="single"/>
              </w:rPr>
            </w:pPr>
          </w:p>
        </w:tc>
        <w:tc>
          <w:tcPr>
            <w:tcW w:w="1089" w:type="dxa"/>
            <w:tcBorders>
              <w:top w:val="single" w:sz="6" w:space="0" w:color="auto"/>
            </w:tcBorders>
          </w:tcPr>
          <w:p w14:paraId="4B5AE7B9" w14:textId="77777777" w:rsidR="00E21527" w:rsidRPr="007D64FF" w:rsidRDefault="00E21527" w:rsidP="00E21527">
            <w:pPr>
              <w:pStyle w:val="a3"/>
              <w:tabs>
                <w:tab w:val="decimal" w:pos="113"/>
              </w:tabs>
              <w:spacing w:line="200" w:lineRule="exact"/>
              <w:rPr>
                <w:szCs w:val="22"/>
                <w:u w:val="single"/>
              </w:rPr>
            </w:pPr>
          </w:p>
        </w:tc>
      </w:tr>
      <w:tr w:rsidR="00E21527" w:rsidRPr="007D64FF" w14:paraId="1BC0EAB9" w14:textId="77777777" w:rsidTr="001521F8">
        <w:tc>
          <w:tcPr>
            <w:tcW w:w="1572" w:type="dxa"/>
            <w:vMerge w:val="restart"/>
            <w:tcBorders>
              <w:bottom w:val="single" w:sz="6" w:space="0" w:color="auto"/>
              <w:right w:val="single" w:sz="6" w:space="0" w:color="auto"/>
            </w:tcBorders>
            <w:vAlign w:val="center"/>
          </w:tcPr>
          <w:p w14:paraId="1E2F480B"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1.54(m); IFRS 7.8(e),(f)</w:t>
            </w:r>
          </w:p>
        </w:tc>
        <w:tc>
          <w:tcPr>
            <w:tcW w:w="4480" w:type="dxa"/>
            <w:tcBorders>
              <w:left w:val="single" w:sz="6" w:space="0" w:color="auto"/>
            </w:tcBorders>
            <w:vAlign w:val="bottom"/>
          </w:tcPr>
          <w:p w14:paraId="16EB8DC3"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הלוואות מתאגידים בנקאיים</w:t>
            </w:r>
          </w:p>
        </w:tc>
        <w:tc>
          <w:tcPr>
            <w:tcW w:w="113" w:type="dxa"/>
            <w:shd w:val="clear" w:color="auto" w:fill="auto"/>
            <w:vAlign w:val="bottom"/>
          </w:tcPr>
          <w:p w14:paraId="65AA3B6B"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4EB65FF2"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458BAC38" w14:textId="77777777" w:rsidR="00E21527" w:rsidRPr="007D64FF" w:rsidRDefault="00E21527" w:rsidP="00E21527">
            <w:pPr>
              <w:tabs>
                <w:tab w:val="decimal" w:pos="113"/>
              </w:tabs>
              <w:spacing w:line="200" w:lineRule="exact"/>
              <w:jc w:val="left"/>
              <w:rPr>
                <w:szCs w:val="22"/>
              </w:rPr>
            </w:pPr>
          </w:p>
        </w:tc>
        <w:tc>
          <w:tcPr>
            <w:tcW w:w="1089" w:type="dxa"/>
            <w:vAlign w:val="bottom"/>
          </w:tcPr>
          <w:p w14:paraId="1A5AAA00" w14:textId="77777777" w:rsidR="00E21527" w:rsidRPr="007D64FF" w:rsidRDefault="00E21527" w:rsidP="00E21527">
            <w:pPr>
              <w:tabs>
                <w:tab w:val="decimal" w:pos="113"/>
              </w:tabs>
              <w:spacing w:line="200" w:lineRule="exact"/>
              <w:jc w:val="left"/>
              <w:rPr>
                <w:szCs w:val="22"/>
              </w:rPr>
            </w:pPr>
          </w:p>
        </w:tc>
        <w:tc>
          <w:tcPr>
            <w:tcW w:w="108" w:type="dxa"/>
          </w:tcPr>
          <w:p w14:paraId="23388AAF" w14:textId="77777777" w:rsidR="00E21527" w:rsidRPr="007D64FF" w:rsidRDefault="00E21527" w:rsidP="00E21527">
            <w:pPr>
              <w:tabs>
                <w:tab w:val="decimal" w:pos="113"/>
              </w:tabs>
              <w:spacing w:line="200" w:lineRule="exact"/>
              <w:jc w:val="left"/>
              <w:rPr>
                <w:szCs w:val="22"/>
              </w:rPr>
            </w:pPr>
          </w:p>
        </w:tc>
        <w:tc>
          <w:tcPr>
            <w:tcW w:w="1089" w:type="dxa"/>
          </w:tcPr>
          <w:p w14:paraId="4B2D1664" w14:textId="77777777" w:rsidR="00E21527" w:rsidRPr="007D64FF" w:rsidRDefault="00E21527" w:rsidP="00E21527">
            <w:pPr>
              <w:tabs>
                <w:tab w:val="decimal" w:pos="113"/>
              </w:tabs>
              <w:spacing w:line="200" w:lineRule="exact"/>
              <w:jc w:val="left"/>
              <w:rPr>
                <w:szCs w:val="22"/>
              </w:rPr>
            </w:pPr>
          </w:p>
        </w:tc>
      </w:tr>
      <w:tr w:rsidR="00E21527" w:rsidRPr="00FE0335" w14:paraId="1054B48E" w14:textId="77777777" w:rsidTr="001521F8">
        <w:tc>
          <w:tcPr>
            <w:tcW w:w="1572" w:type="dxa"/>
            <w:vMerge/>
            <w:tcBorders>
              <w:bottom w:val="single" w:sz="6" w:space="0" w:color="auto"/>
              <w:right w:val="single" w:sz="6" w:space="0" w:color="auto"/>
            </w:tcBorders>
          </w:tcPr>
          <w:p w14:paraId="52F9805D"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tcBorders>
              <w:left w:val="single" w:sz="6" w:space="0" w:color="auto"/>
            </w:tcBorders>
            <w:vAlign w:val="bottom"/>
          </w:tcPr>
          <w:p w14:paraId="48BE62BA"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אגרות חוב</w:t>
            </w:r>
          </w:p>
        </w:tc>
        <w:tc>
          <w:tcPr>
            <w:tcW w:w="113" w:type="dxa"/>
            <w:shd w:val="clear" w:color="auto" w:fill="auto"/>
            <w:vAlign w:val="bottom"/>
          </w:tcPr>
          <w:p w14:paraId="4ADE4579"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4C1C0CDF"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38" w:type="dxa"/>
            <w:gridSpan w:val="2"/>
            <w:vAlign w:val="bottom"/>
          </w:tcPr>
          <w:p w14:paraId="6B269FA6"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43C79EF0"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 w:type="dxa"/>
          </w:tcPr>
          <w:p w14:paraId="5C292BF0"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tcPr>
          <w:p w14:paraId="32876C5B"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r>
      <w:tr w:rsidR="00E21527" w:rsidRPr="00FE0335" w14:paraId="29DAD969" w14:textId="77777777" w:rsidTr="001521F8">
        <w:tc>
          <w:tcPr>
            <w:tcW w:w="1572" w:type="dxa"/>
            <w:vMerge/>
            <w:tcBorders>
              <w:bottom w:val="single" w:sz="6" w:space="0" w:color="auto"/>
              <w:right w:val="single" w:sz="6" w:space="0" w:color="auto"/>
            </w:tcBorders>
          </w:tcPr>
          <w:p w14:paraId="1C9F68BB"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tcBorders>
              <w:left w:val="single" w:sz="6" w:space="0" w:color="auto"/>
            </w:tcBorders>
            <w:vAlign w:val="bottom"/>
          </w:tcPr>
          <w:p w14:paraId="2A8189CE"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כתבי אופציה</w:t>
            </w:r>
          </w:p>
        </w:tc>
        <w:tc>
          <w:tcPr>
            <w:tcW w:w="113" w:type="dxa"/>
            <w:shd w:val="clear" w:color="auto" w:fill="auto"/>
            <w:vAlign w:val="bottom"/>
          </w:tcPr>
          <w:p w14:paraId="46905C55"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2B330112"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38" w:type="dxa"/>
            <w:gridSpan w:val="2"/>
            <w:vAlign w:val="bottom"/>
          </w:tcPr>
          <w:p w14:paraId="5EBCE15C"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0F1E6DC0"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 w:type="dxa"/>
          </w:tcPr>
          <w:p w14:paraId="1D6524BC"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tcPr>
          <w:p w14:paraId="4C3F0CCC"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r>
      <w:tr w:rsidR="00E21527" w:rsidRPr="00FE0335" w14:paraId="5068591A" w14:textId="77777777" w:rsidTr="001521F8">
        <w:tc>
          <w:tcPr>
            <w:tcW w:w="1572" w:type="dxa"/>
            <w:vMerge/>
            <w:tcBorders>
              <w:bottom w:val="single" w:sz="6" w:space="0" w:color="auto"/>
              <w:right w:val="single" w:sz="6" w:space="0" w:color="auto"/>
            </w:tcBorders>
          </w:tcPr>
          <w:p w14:paraId="4BD348D1"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tcBorders>
              <w:left w:val="single" w:sz="6" w:space="0" w:color="auto"/>
            </w:tcBorders>
            <w:vAlign w:val="bottom"/>
          </w:tcPr>
          <w:p w14:paraId="039D5232"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אגרות חוב ניתנות להמרה</w:t>
            </w:r>
          </w:p>
        </w:tc>
        <w:tc>
          <w:tcPr>
            <w:tcW w:w="113" w:type="dxa"/>
            <w:shd w:val="clear" w:color="auto" w:fill="auto"/>
            <w:vAlign w:val="bottom"/>
          </w:tcPr>
          <w:p w14:paraId="4566FA97"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1AA85610"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38" w:type="dxa"/>
            <w:gridSpan w:val="2"/>
            <w:vAlign w:val="bottom"/>
          </w:tcPr>
          <w:p w14:paraId="46FA6A2C"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0FC7E2F8"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 w:type="dxa"/>
          </w:tcPr>
          <w:p w14:paraId="025AF46D"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tcPr>
          <w:p w14:paraId="765FB324"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r>
      <w:tr w:rsidR="00E21527" w:rsidRPr="00FE0335" w14:paraId="68C5BADB" w14:textId="77777777" w:rsidTr="001521F8">
        <w:tc>
          <w:tcPr>
            <w:tcW w:w="1572" w:type="dxa"/>
            <w:vMerge/>
            <w:tcBorders>
              <w:bottom w:val="single" w:sz="6" w:space="0" w:color="auto"/>
              <w:right w:val="single" w:sz="6" w:space="0" w:color="auto"/>
            </w:tcBorders>
          </w:tcPr>
          <w:p w14:paraId="4E2F0FF0"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tcBorders>
              <w:left w:val="single" w:sz="6" w:space="0" w:color="auto"/>
            </w:tcBorders>
            <w:vAlign w:val="bottom"/>
          </w:tcPr>
          <w:p w14:paraId="7E834DB0" w14:textId="77777777" w:rsidR="00E21527" w:rsidRPr="00376906" w:rsidRDefault="00E21527" w:rsidP="00E21527">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רכיב ההמרה באגרות חוב ניתנות להמרה במניות</w:t>
            </w:r>
          </w:p>
        </w:tc>
        <w:tc>
          <w:tcPr>
            <w:tcW w:w="113" w:type="dxa"/>
            <w:shd w:val="clear" w:color="auto" w:fill="auto"/>
            <w:vAlign w:val="bottom"/>
          </w:tcPr>
          <w:p w14:paraId="0E486189"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09D27D58"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38" w:type="dxa"/>
            <w:gridSpan w:val="2"/>
            <w:vAlign w:val="bottom"/>
          </w:tcPr>
          <w:p w14:paraId="6B1F51C3"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2B9099E8"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 w:type="dxa"/>
          </w:tcPr>
          <w:p w14:paraId="656D1AB1"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tcPr>
          <w:p w14:paraId="25A5E819"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r>
      <w:tr w:rsidR="00845F02" w:rsidRPr="007D64FF" w14:paraId="1A184A7B" w14:textId="77777777" w:rsidTr="001521F8">
        <w:tc>
          <w:tcPr>
            <w:tcW w:w="1572" w:type="dxa"/>
            <w:tcBorders>
              <w:top w:val="single" w:sz="6" w:space="0" w:color="auto"/>
              <w:bottom w:val="single" w:sz="6" w:space="0" w:color="auto"/>
              <w:right w:val="single" w:sz="6" w:space="0" w:color="auto"/>
            </w:tcBorders>
          </w:tcPr>
          <w:p w14:paraId="459DA248" w14:textId="6F4B31FE" w:rsidR="00845F02" w:rsidRPr="00F2585A" w:rsidRDefault="00845F02" w:rsidP="00845F02">
            <w:pPr>
              <w:pStyle w:val="a3"/>
              <w:tabs>
                <w:tab w:val="left" w:pos="227"/>
                <w:tab w:val="left" w:pos="397"/>
                <w:tab w:val="left" w:pos="567"/>
              </w:tabs>
              <w:bidi w:val="0"/>
              <w:spacing w:line="200" w:lineRule="exact"/>
              <w:ind w:left="0" w:right="28"/>
              <w:jc w:val="right"/>
              <w:rPr>
                <w:i/>
                <w:iCs/>
                <w:sz w:val="13"/>
                <w:szCs w:val="13"/>
              </w:rPr>
            </w:pPr>
            <w:r w:rsidRPr="00255307">
              <w:rPr>
                <w:i/>
                <w:iCs/>
                <w:sz w:val="13"/>
                <w:szCs w:val="13"/>
              </w:rPr>
              <w:t>IFRS </w:t>
            </w:r>
            <w:r>
              <w:rPr>
                <w:i/>
                <w:iCs/>
                <w:sz w:val="13"/>
                <w:szCs w:val="13"/>
              </w:rPr>
              <w:t>16</w:t>
            </w:r>
            <w:r w:rsidRPr="00255307">
              <w:rPr>
                <w:i/>
                <w:iCs/>
                <w:sz w:val="13"/>
                <w:szCs w:val="13"/>
              </w:rPr>
              <w:t>.</w:t>
            </w:r>
            <w:r>
              <w:rPr>
                <w:i/>
                <w:iCs/>
                <w:sz w:val="13"/>
                <w:szCs w:val="13"/>
              </w:rPr>
              <w:t>47</w:t>
            </w:r>
            <w:r w:rsidRPr="00255307">
              <w:rPr>
                <w:i/>
                <w:iCs/>
                <w:sz w:val="13"/>
                <w:szCs w:val="13"/>
              </w:rPr>
              <w:t>(</w:t>
            </w:r>
            <w:r>
              <w:rPr>
                <w:i/>
                <w:iCs/>
                <w:sz w:val="13"/>
                <w:szCs w:val="13"/>
              </w:rPr>
              <w:t>b</w:t>
            </w:r>
            <w:r w:rsidRPr="00255307">
              <w:rPr>
                <w:i/>
                <w:iCs/>
                <w:sz w:val="13"/>
                <w:szCs w:val="13"/>
              </w:rPr>
              <w:t>)</w:t>
            </w:r>
          </w:p>
        </w:tc>
        <w:tc>
          <w:tcPr>
            <w:tcW w:w="4480" w:type="dxa"/>
            <w:tcBorders>
              <w:left w:val="single" w:sz="6" w:space="0" w:color="auto"/>
            </w:tcBorders>
            <w:vAlign w:val="bottom"/>
          </w:tcPr>
          <w:p w14:paraId="4B677BE6" w14:textId="696C5FF8" w:rsidR="00845F02" w:rsidRPr="00376906" w:rsidRDefault="00845F02" w:rsidP="00845F02">
            <w:pPr>
              <w:pStyle w:val="a3"/>
              <w:tabs>
                <w:tab w:val="left" w:pos="227"/>
                <w:tab w:val="left" w:pos="397"/>
                <w:tab w:val="left" w:pos="567"/>
              </w:tabs>
              <w:spacing w:line="200" w:lineRule="exact"/>
              <w:ind w:left="227" w:hanging="170"/>
              <w:rPr>
                <w:sz w:val="18"/>
                <w:szCs w:val="20"/>
                <w:rtl/>
              </w:rPr>
            </w:pPr>
            <w:r>
              <w:rPr>
                <w:rFonts w:hint="cs"/>
                <w:sz w:val="18"/>
                <w:szCs w:val="20"/>
                <w:rtl/>
              </w:rPr>
              <w:t>התחייבות בגין חכירה</w:t>
            </w:r>
            <w:r w:rsidR="00942B77" w:rsidRPr="00942B77">
              <w:rPr>
                <w:rStyle w:val="ab"/>
                <w:rtl/>
              </w:rPr>
              <w:fldChar w:fldCharType="begin"/>
            </w:r>
            <w:r w:rsidR="00942B77" w:rsidRPr="00942B77">
              <w:rPr>
                <w:rStyle w:val="ab"/>
                <w:rtl/>
              </w:rPr>
              <w:instrText xml:space="preserve"> </w:instrText>
            </w:r>
            <w:r w:rsidR="00942B77" w:rsidRPr="00942B77">
              <w:rPr>
                <w:rStyle w:val="ab"/>
                <w:rFonts w:hint="cs"/>
              </w:rPr>
              <w:instrText>NOTEREF</w:instrText>
            </w:r>
            <w:r w:rsidR="00942B77" w:rsidRPr="00942B77">
              <w:rPr>
                <w:rStyle w:val="ab"/>
                <w:rFonts w:hint="cs"/>
                <w:rtl/>
              </w:rPr>
              <w:instrText xml:space="preserve"> _</w:instrText>
            </w:r>
            <w:r w:rsidR="00942B77" w:rsidRPr="00942B77">
              <w:rPr>
                <w:rStyle w:val="ab"/>
                <w:rFonts w:hint="cs"/>
              </w:rPr>
              <w:instrText>Ref5281305 \h</w:instrText>
            </w:r>
            <w:r w:rsidR="00942B77" w:rsidRPr="00942B77">
              <w:rPr>
                <w:rStyle w:val="ab"/>
                <w:rtl/>
              </w:rPr>
              <w:instrText xml:space="preserve"> </w:instrText>
            </w:r>
            <w:r w:rsidR="00942B77">
              <w:rPr>
                <w:rStyle w:val="ab"/>
                <w:rtl/>
              </w:rPr>
              <w:instrText xml:space="preserve"> \* </w:instrText>
            </w:r>
            <w:r w:rsidR="00942B77">
              <w:rPr>
                <w:rStyle w:val="ab"/>
              </w:rPr>
              <w:instrText>MERGEFORMAT</w:instrText>
            </w:r>
            <w:r w:rsidR="00942B77">
              <w:rPr>
                <w:rStyle w:val="ab"/>
                <w:rtl/>
              </w:rPr>
              <w:instrText xml:space="preserve"> </w:instrText>
            </w:r>
            <w:r w:rsidR="00942B77" w:rsidRPr="00942B77">
              <w:rPr>
                <w:rStyle w:val="ab"/>
                <w:rtl/>
              </w:rPr>
            </w:r>
            <w:r w:rsidR="00942B77" w:rsidRPr="00942B77">
              <w:rPr>
                <w:rStyle w:val="ab"/>
                <w:rtl/>
              </w:rPr>
              <w:fldChar w:fldCharType="separate"/>
            </w:r>
            <w:r w:rsidR="00942B77" w:rsidRPr="00942B77">
              <w:rPr>
                <w:rStyle w:val="ab"/>
                <w:rtl/>
              </w:rPr>
              <w:t>1</w:t>
            </w:r>
            <w:r w:rsidR="00942B77" w:rsidRPr="00942B77">
              <w:rPr>
                <w:rStyle w:val="ab"/>
                <w:rtl/>
              </w:rPr>
              <w:fldChar w:fldCharType="end"/>
            </w:r>
          </w:p>
        </w:tc>
        <w:tc>
          <w:tcPr>
            <w:tcW w:w="113" w:type="dxa"/>
            <w:shd w:val="clear" w:color="auto" w:fill="auto"/>
            <w:vAlign w:val="bottom"/>
          </w:tcPr>
          <w:p w14:paraId="5C08F4EE"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5EA92826"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1A7623E8" w14:textId="77777777" w:rsidR="00845F02" w:rsidRPr="007D64FF" w:rsidRDefault="00845F02" w:rsidP="00845F02">
            <w:pPr>
              <w:tabs>
                <w:tab w:val="decimal" w:pos="113"/>
              </w:tabs>
              <w:spacing w:line="200" w:lineRule="exact"/>
              <w:jc w:val="left"/>
              <w:rPr>
                <w:szCs w:val="22"/>
              </w:rPr>
            </w:pPr>
          </w:p>
        </w:tc>
        <w:tc>
          <w:tcPr>
            <w:tcW w:w="1089" w:type="dxa"/>
            <w:vAlign w:val="bottom"/>
          </w:tcPr>
          <w:p w14:paraId="414C368D" w14:textId="77777777" w:rsidR="00845F02" w:rsidRPr="007D64FF" w:rsidRDefault="00845F02" w:rsidP="00845F02">
            <w:pPr>
              <w:tabs>
                <w:tab w:val="decimal" w:pos="113"/>
              </w:tabs>
              <w:spacing w:line="200" w:lineRule="exact"/>
              <w:jc w:val="left"/>
              <w:rPr>
                <w:szCs w:val="22"/>
              </w:rPr>
            </w:pPr>
          </w:p>
        </w:tc>
        <w:tc>
          <w:tcPr>
            <w:tcW w:w="108" w:type="dxa"/>
          </w:tcPr>
          <w:p w14:paraId="23D58CB3" w14:textId="77777777" w:rsidR="00845F02" w:rsidRPr="007D64FF" w:rsidRDefault="00845F02" w:rsidP="00845F02">
            <w:pPr>
              <w:tabs>
                <w:tab w:val="decimal" w:pos="113"/>
              </w:tabs>
              <w:spacing w:line="200" w:lineRule="exact"/>
              <w:jc w:val="left"/>
              <w:rPr>
                <w:szCs w:val="22"/>
              </w:rPr>
            </w:pPr>
          </w:p>
        </w:tc>
        <w:tc>
          <w:tcPr>
            <w:tcW w:w="1089" w:type="dxa"/>
          </w:tcPr>
          <w:p w14:paraId="528381D3" w14:textId="77777777" w:rsidR="00845F02" w:rsidRPr="007D64FF" w:rsidRDefault="00845F02" w:rsidP="00845F02">
            <w:pPr>
              <w:tabs>
                <w:tab w:val="decimal" w:pos="113"/>
              </w:tabs>
              <w:spacing w:line="200" w:lineRule="exact"/>
              <w:jc w:val="left"/>
              <w:rPr>
                <w:szCs w:val="22"/>
              </w:rPr>
            </w:pPr>
          </w:p>
        </w:tc>
      </w:tr>
      <w:tr w:rsidR="00E8550C" w:rsidRPr="007D64FF" w14:paraId="4D24E89A" w14:textId="77777777" w:rsidTr="001521F8">
        <w:tc>
          <w:tcPr>
            <w:tcW w:w="1572" w:type="dxa"/>
            <w:tcBorders>
              <w:top w:val="single" w:sz="6" w:space="0" w:color="auto"/>
              <w:bottom w:val="single" w:sz="6" w:space="0" w:color="auto"/>
              <w:right w:val="single" w:sz="6" w:space="0" w:color="auto"/>
            </w:tcBorders>
          </w:tcPr>
          <w:p w14:paraId="77517134" w14:textId="752A7454" w:rsidR="00E8550C" w:rsidRPr="00255307" w:rsidRDefault="00E8550C" w:rsidP="00845F02">
            <w:pPr>
              <w:pStyle w:val="a3"/>
              <w:tabs>
                <w:tab w:val="left" w:pos="227"/>
                <w:tab w:val="left" w:pos="397"/>
                <w:tab w:val="left" w:pos="567"/>
              </w:tabs>
              <w:bidi w:val="0"/>
              <w:spacing w:line="200" w:lineRule="exact"/>
              <w:ind w:left="0" w:right="28"/>
              <w:jc w:val="right"/>
              <w:rPr>
                <w:i/>
                <w:iCs/>
                <w:sz w:val="13"/>
                <w:szCs w:val="13"/>
              </w:rPr>
            </w:pPr>
            <w:r>
              <w:rPr>
                <w:i/>
                <w:iCs/>
                <w:sz w:val="13"/>
                <w:szCs w:val="13"/>
              </w:rPr>
              <w:t>IFRS 15.106</w:t>
            </w:r>
          </w:p>
        </w:tc>
        <w:tc>
          <w:tcPr>
            <w:tcW w:w="4480" w:type="dxa"/>
            <w:tcBorders>
              <w:left w:val="single" w:sz="6" w:space="0" w:color="auto"/>
            </w:tcBorders>
            <w:vAlign w:val="bottom"/>
          </w:tcPr>
          <w:p w14:paraId="0A70CC2F" w14:textId="01A2AF52" w:rsidR="00E8550C" w:rsidRDefault="00E8550C" w:rsidP="00E8550C">
            <w:pPr>
              <w:pStyle w:val="a3"/>
              <w:tabs>
                <w:tab w:val="left" w:pos="227"/>
                <w:tab w:val="left" w:pos="397"/>
                <w:tab w:val="left" w:pos="567"/>
              </w:tabs>
              <w:spacing w:line="200" w:lineRule="exact"/>
              <w:ind w:left="227" w:hanging="170"/>
              <w:rPr>
                <w:sz w:val="18"/>
                <w:szCs w:val="20"/>
                <w:rtl/>
              </w:rPr>
            </w:pPr>
            <w:r>
              <w:rPr>
                <w:rFonts w:hint="cs"/>
                <w:sz w:val="18"/>
                <w:szCs w:val="20"/>
                <w:rtl/>
              </w:rPr>
              <w:t>התחייבויות חוזה</w:t>
            </w:r>
            <w:r>
              <w:rPr>
                <w:rStyle w:val="ab"/>
                <w:sz w:val="18"/>
                <w:szCs w:val="20"/>
                <w:rtl/>
              </w:rPr>
              <w:fldChar w:fldCharType="begin"/>
            </w:r>
            <w:r w:rsidRPr="00E8550C">
              <w:rPr>
                <w:rStyle w:val="ab"/>
                <w:rtl/>
              </w:rPr>
              <w:instrText xml:space="preserve"> </w:instrText>
            </w:r>
            <w:r w:rsidRPr="00E8550C">
              <w:rPr>
                <w:rStyle w:val="ab"/>
                <w:rFonts w:hint="cs"/>
              </w:rPr>
              <w:instrText>NOTEREF</w:instrText>
            </w:r>
            <w:r w:rsidRPr="00E8550C">
              <w:rPr>
                <w:rStyle w:val="ab"/>
                <w:rFonts w:hint="cs"/>
                <w:rtl/>
              </w:rPr>
              <w:instrText xml:space="preserve"> _</w:instrText>
            </w:r>
            <w:r w:rsidRPr="00E8550C">
              <w:rPr>
                <w:rStyle w:val="ab"/>
                <w:rFonts w:hint="cs"/>
              </w:rPr>
              <w:instrText>Ref5181362 \h</w:instrText>
            </w:r>
            <w:r w:rsidRPr="00E8550C">
              <w:rPr>
                <w:rStyle w:val="ab"/>
                <w:rtl/>
              </w:rPr>
              <w:instrText xml:space="preserve"> </w:instrText>
            </w:r>
            <w:r>
              <w:rPr>
                <w:rStyle w:val="ab"/>
                <w:sz w:val="18"/>
                <w:szCs w:val="20"/>
                <w:rtl/>
              </w:rPr>
              <w:instrText xml:space="preserve"> \* </w:instrText>
            </w:r>
            <w:r>
              <w:rPr>
                <w:rStyle w:val="ab"/>
                <w:sz w:val="18"/>
                <w:szCs w:val="20"/>
              </w:rPr>
              <w:instrText>MERGEFORMAT</w:instrText>
            </w:r>
            <w:r>
              <w:rPr>
                <w:rStyle w:val="ab"/>
                <w:sz w:val="18"/>
                <w:szCs w:val="20"/>
                <w:rtl/>
              </w:rPr>
              <w:instrText xml:space="preserve"> </w:instrText>
            </w:r>
            <w:r>
              <w:rPr>
                <w:rStyle w:val="ab"/>
                <w:sz w:val="18"/>
                <w:szCs w:val="20"/>
                <w:rtl/>
              </w:rPr>
            </w:r>
            <w:r>
              <w:rPr>
                <w:rStyle w:val="ab"/>
                <w:sz w:val="18"/>
                <w:szCs w:val="20"/>
                <w:rtl/>
              </w:rPr>
              <w:fldChar w:fldCharType="separate"/>
            </w:r>
            <w:r w:rsidR="00942B77">
              <w:rPr>
                <w:rStyle w:val="ab"/>
                <w:rtl/>
              </w:rPr>
              <w:t>2</w:t>
            </w:r>
            <w:r>
              <w:rPr>
                <w:rStyle w:val="ab"/>
                <w:sz w:val="18"/>
                <w:szCs w:val="20"/>
                <w:rtl/>
              </w:rPr>
              <w:fldChar w:fldCharType="end"/>
            </w:r>
          </w:p>
        </w:tc>
        <w:tc>
          <w:tcPr>
            <w:tcW w:w="113" w:type="dxa"/>
            <w:shd w:val="clear" w:color="auto" w:fill="auto"/>
            <w:vAlign w:val="bottom"/>
          </w:tcPr>
          <w:p w14:paraId="2455D6F5" w14:textId="77777777" w:rsidR="00E8550C" w:rsidRPr="007D64FF" w:rsidRDefault="00E8550C" w:rsidP="00845F02">
            <w:pPr>
              <w:tabs>
                <w:tab w:val="left" w:pos="0"/>
                <w:tab w:val="left" w:pos="397"/>
                <w:tab w:val="left" w:pos="510"/>
              </w:tabs>
              <w:spacing w:line="200" w:lineRule="exact"/>
              <w:rPr>
                <w:szCs w:val="22"/>
              </w:rPr>
            </w:pPr>
          </w:p>
        </w:tc>
        <w:tc>
          <w:tcPr>
            <w:tcW w:w="1089" w:type="dxa"/>
            <w:vAlign w:val="bottom"/>
          </w:tcPr>
          <w:p w14:paraId="0C242B1B" w14:textId="77777777" w:rsidR="00E8550C" w:rsidRPr="007D64FF" w:rsidRDefault="00E8550C" w:rsidP="00845F02">
            <w:pPr>
              <w:tabs>
                <w:tab w:val="decimal" w:pos="113"/>
              </w:tabs>
              <w:spacing w:line="200" w:lineRule="exact"/>
              <w:jc w:val="left"/>
              <w:rPr>
                <w:szCs w:val="22"/>
              </w:rPr>
            </w:pPr>
          </w:p>
        </w:tc>
        <w:tc>
          <w:tcPr>
            <w:tcW w:w="138" w:type="dxa"/>
            <w:gridSpan w:val="2"/>
            <w:vAlign w:val="bottom"/>
          </w:tcPr>
          <w:p w14:paraId="629663D4" w14:textId="77777777" w:rsidR="00E8550C" w:rsidRPr="007D64FF" w:rsidRDefault="00E8550C" w:rsidP="00845F02">
            <w:pPr>
              <w:tabs>
                <w:tab w:val="decimal" w:pos="113"/>
              </w:tabs>
              <w:spacing w:line="200" w:lineRule="exact"/>
              <w:jc w:val="left"/>
              <w:rPr>
                <w:szCs w:val="22"/>
              </w:rPr>
            </w:pPr>
          </w:p>
        </w:tc>
        <w:tc>
          <w:tcPr>
            <w:tcW w:w="1089" w:type="dxa"/>
            <w:vAlign w:val="bottom"/>
          </w:tcPr>
          <w:p w14:paraId="3E809E9F" w14:textId="77777777" w:rsidR="00E8550C" w:rsidRPr="007D64FF" w:rsidRDefault="00E8550C" w:rsidP="00845F02">
            <w:pPr>
              <w:tabs>
                <w:tab w:val="decimal" w:pos="113"/>
              </w:tabs>
              <w:spacing w:line="200" w:lineRule="exact"/>
              <w:jc w:val="left"/>
              <w:rPr>
                <w:szCs w:val="22"/>
              </w:rPr>
            </w:pPr>
          </w:p>
        </w:tc>
        <w:tc>
          <w:tcPr>
            <w:tcW w:w="108" w:type="dxa"/>
          </w:tcPr>
          <w:p w14:paraId="67521519" w14:textId="77777777" w:rsidR="00E8550C" w:rsidRPr="007D64FF" w:rsidRDefault="00E8550C" w:rsidP="00845F02">
            <w:pPr>
              <w:tabs>
                <w:tab w:val="decimal" w:pos="113"/>
              </w:tabs>
              <w:spacing w:line="200" w:lineRule="exact"/>
              <w:jc w:val="left"/>
              <w:rPr>
                <w:szCs w:val="22"/>
              </w:rPr>
            </w:pPr>
          </w:p>
        </w:tc>
        <w:tc>
          <w:tcPr>
            <w:tcW w:w="1089" w:type="dxa"/>
          </w:tcPr>
          <w:p w14:paraId="53004A08" w14:textId="77777777" w:rsidR="00E8550C" w:rsidRPr="007D64FF" w:rsidRDefault="00E8550C" w:rsidP="00845F02">
            <w:pPr>
              <w:tabs>
                <w:tab w:val="decimal" w:pos="113"/>
              </w:tabs>
              <w:spacing w:line="200" w:lineRule="exact"/>
              <w:jc w:val="left"/>
              <w:rPr>
                <w:szCs w:val="22"/>
              </w:rPr>
            </w:pPr>
          </w:p>
        </w:tc>
      </w:tr>
      <w:tr w:rsidR="00845F02" w:rsidRPr="007D64FF" w14:paraId="13438668" w14:textId="77777777" w:rsidTr="001521F8">
        <w:tc>
          <w:tcPr>
            <w:tcW w:w="1572" w:type="dxa"/>
            <w:vMerge w:val="restart"/>
            <w:tcBorders>
              <w:top w:val="single" w:sz="6" w:space="0" w:color="auto"/>
              <w:bottom w:val="single" w:sz="6" w:space="0" w:color="auto"/>
              <w:right w:val="single" w:sz="6" w:space="0" w:color="auto"/>
            </w:tcBorders>
            <w:vAlign w:val="center"/>
          </w:tcPr>
          <w:p w14:paraId="049E511C"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1.55</w:t>
            </w:r>
          </w:p>
        </w:tc>
        <w:tc>
          <w:tcPr>
            <w:tcW w:w="4480" w:type="dxa"/>
            <w:tcBorders>
              <w:left w:val="single" w:sz="6" w:space="0" w:color="auto"/>
            </w:tcBorders>
            <w:vAlign w:val="bottom"/>
          </w:tcPr>
          <w:p w14:paraId="489A41B7"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 xml:space="preserve">התחייבויות אחרות </w:t>
            </w:r>
          </w:p>
        </w:tc>
        <w:tc>
          <w:tcPr>
            <w:tcW w:w="113" w:type="dxa"/>
            <w:shd w:val="clear" w:color="auto" w:fill="auto"/>
            <w:vAlign w:val="bottom"/>
          </w:tcPr>
          <w:p w14:paraId="60D7D934"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53B483EB"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4F35BB04" w14:textId="77777777" w:rsidR="00845F02" w:rsidRPr="007D64FF" w:rsidRDefault="00845F02" w:rsidP="00845F02">
            <w:pPr>
              <w:tabs>
                <w:tab w:val="decimal" w:pos="113"/>
              </w:tabs>
              <w:spacing w:line="200" w:lineRule="exact"/>
              <w:jc w:val="left"/>
              <w:rPr>
                <w:szCs w:val="22"/>
              </w:rPr>
            </w:pPr>
          </w:p>
        </w:tc>
        <w:tc>
          <w:tcPr>
            <w:tcW w:w="1089" w:type="dxa"/>
            <w:vAlign w:val="bottom"/>
          </w:tcPr>
          <w:p w14:paraId="5B5470D4" w14:textId="77777777" w:rsidR="00845F02" w:rsidRPr="007D64FF" w:rsidRDefault="00845F02" w:rsidP="00845F02">
            <w:pPr>
              <w:tabs>
                <w:tab w:val="decimal" w:pos="113"/>
              </w:tabs>
              <w:spacing w:line="200" w:lineRule="exact"/>
              <w:jc w:val="left"/>
              <w:rPr>
                <w:szCs w:val="22"/>
              </w:rPr>
            </w:pPr>
          </w:p>
        </w:tc>
        <w:tc>
          <w:tcPr>
            <w:tcW w:w="108" w:type="dxa"/>
          </w:tcPr>
          <w:p w14:paraId="51794FD4" w14:textId="77777777" w:rsidR="00845F02" w:rsidRPr="007D64FF" w:rsidRDefault="00845F02" w:rsidP="00845F02">
            <w:pPr>
              <w:tabs>
                <w:tab w:val="decimal" w:pos="113"/>
              </w:tabs>
              <w:spacing w:line="200" w:lineRule="exact"/>
              <w:jc w:val="left"/>
              <w:rPr>
                <w:szCs w:val="22"/>
              </w:rPr>
            </w:pPr>
          </w:p>
        </w:tc>
        <w:tc>
          <w:tcPr>
            <w:tcW w:w="1089" w:type="dxa"/>
          </w:tcPr>
          <w:p w14:paraId="35F8578D" w14:textId="77777777" w:rsidR="00845F02" w:rsidRPr="007D64FF" w:rsidRDefault="00845F02" w:rsidP="00845F02">
            <w:pPr>
              <w:tabs>
                <w:tab w:val="decimal" w:pos="113"/>
              </w:tabs>
              <w:spacing w:line="200" w:lineRule="exact"/>
              <w:jc w:val="left"/>
              <w:rPr>
                <w:szCs w:val="22"/>
              </w:rPr>
            </w:pPr>
          </w:p>
        </w:tc>
      </w:tr>
      <w:tr w:rsidR="00845F02" w:rsidRPr="007D64FF" w14:paraId="02C27B56" w14:textId="77777777" w:rsidTr="001521F8">
        <w:tc>
          <w:tcPr>
            <w:tcW w:w="1572" w:type="dxa"/>
            <w:vMerge/>
            <w:tcBorders>
              <w:bottom w:val="single" w:sz="6" w:space="0" w:color="auto"/>
              <w:right w:val="single" w:sz="6" w:space="0" w:color="auto"/>
            </w:tcBorders>
          </w:tcPr>
          <w:p w14:paraId="2087F084"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p>
        </w:tc>
        <w:tc>
          <w:tcPr>
            <w:tcW w:w="4480" w:type="dxa"/>
            <w:tcBorders>
              <w:left w:val="single" w:sz="6" w:space="0" w:color="auto"/>
            </w:tcBorders>
            <w:vAlign w:val="bottom"/>
          </w:tcPr>
          <w:p w14:paraId="1A22BC4A"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עודף הפסדים על השקעות בחברות מוחזקות המטופלות לפי שיטת השווי המאזני</w:t>
            </w:r>
          </w:p>
        </w:tc>
        <w:tc>
          <w:tcPr>
            <w:tcW w:w="113" w:type="dxa"/>
            <w:shd w:val="clear" w:color="auto" w:fill="auto"/>
            <w:vAlign w:val="bottom"/>
          </w:tcPr>
          <w:p w14:paraId="419E2F89"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6C926DA3"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4885025F" w14:textId="77777777" w:rsidR="00845F02" w:rsidRPr="007D64FF" w:rsidRDefault="00845F02" w:rsidP="00845F02">
            <w:pPr>
              <w:tabs>
                <w:tab w:val="decimal" w:pos="113"/>
              </w:tabs>
              <w:spacing w:line="200" w:lineRule="exact"/>
              <w:jc w:val="left"/>
              <w:rPr>
                <w:szCs w:val="22"/>
              </w:rPr>
            </w:pPr>
          </w:p>
        </w:tc>
        <w:tc>
          <w:tcPr>
            <w:tcW w:w="1089" w:type="dxa"/>
            <w:vAlign w:val="bottom"/>
          </w:tcPr>
          <w:p w14:paraId="31B8CF9A" w14:textId="77777777" w:rsidR="00845F02" w:rsidRPr="007D64FF" w:rsidRDefault="00845F02" w:rsidP="00845F02">
            <w:pPr>
              <w:tabs>
                <w:tab w:val="decimal" w:pos="113"/>
              </w:tabs>
              <w:spacing w:line="200" w:lineRule="exact"/>
              <w:jc w:val="left"/>
              <w:rPr>
                <w:szCs w:val="22"/>
              </w:rPr>
            </w:pPr>
          </w:p>
        </w:tc>
        <w:tc>
          <w:tcPr>
            <w:tcW w:w="108" w:type="dxa"/>
          </w:tcPr>
          <w:p w14:paraId="1A011FAA" w14:textId="77777777" w:rsidR="00845F02" w:rsidRPr="007D64FF" w:rsidRDefault="00845F02" w:rsidP="00845F02">
            <w:pPr>
              <w:tabs>
                <w:tab w:val="decimal" w:pos="113"/>
              </w:tabs>
              <w:spacing w:line="200" w:lineRule="exact"/>
              <w:jc w:val="left"/>
              <w:rPr>
                <w:szCs w:val="22"/>
              </w:rPr>
            </w:pPr>
          </w:p>
        </w:tc>
        <w:tc>
          <w:tcPr>
            <w:tcW w:w="1089" w:type="dxa"/>
          </w:tcPr>
          <w:p w14:paraId="382872A2" w14:textId="77777777" w:rsidR="00845F02" w:rsidRPr="007D64FF" w:rsidRDefault="00845F02" w:rsidP="00845F02">
            <w:pPr>
              <w:tabs>
                <w:tab w:val="decimal" w:pos="113"/>
              </w:tabs>
              <w:spacing w:line="200" w:lineRule="exact"/>
              <w:jc w:val="left"/>
              <w:rPr>
                <w:szCs w:val="22"/>
              </w:rPr>
            </w:pPr>
          </w:p>
        </w:tc>
      </w:tr>
      <w:tr w:rsidR="00845F02" w:rsidRPr="007D64FF" w14:paraId="4AC49737" w14:textId="77777777" w:rsidTr="001521F8">
        <w:tc>
          <w:tcPr>
            <w:tcW w:w="1572" w:type="dxa"/>
            <w:tcBorders>
              <w:top w:val="single" w:sz="6" w:space="0" w:color="auto"/>
              <w:bottom w:val="single" w:sz="6" w:space="0" w:color="auto"/>
              <w:right w:val="single" w:sz="6" w:space="0" w:color="auto"/>
            </w:tcBorders>
          </w:tcPr>
          <w:p w14:paraId="7A02347B"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1.78(d); IAS 1.55</w:t>
            </w:r>
          </w:p>
        </w:tc>
        <w:tc>
          <w:tcPr>
            <w:tcW w:w="4480" w:type="dxa"/>
            <w:tcBorders>
              <w:left w:val="single" w:sz="6" w:space="0" w:color="auto"/>
            </w:tcBorders>
            <w:vAlign w:val="bottom"/>
          </w:tcPr>
          <w:p w14:paraId="41A45343"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התחייבויות בשל הטבות לעובדים</w:t>
            </w:r>
          </w:p>
        </w:tc>
        <w:tc>
          <w:tcPr>
            <w:tcW w:w="113" w:type="dxa"/>
            <w:shd w:val="clear" w:color="auto" w:fill="auto"/>
            <w:vAlign w:val="bottom"/>
          </w:tcPr>
          <w:p w14:paraId="581B1691"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223DA1BA"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3172295F" w14:textId="77777777" w:rsidR="00845F02" w:rsidRPr="007D64FF" w:rsidRDefault="00845F02" w:rsidP="00845F02">
            <w:pPr>
              <w:tabs>
                <w:tab w:val="decimal" w:pos="113"/>
              </w:tabs>
              <w:spacing w:line="200" w:lineRule="exact"/>
              <w:jc w:val="left"/>
              <w:rPr>
                <w:szCs w:val="22"/>
              </w:rPr>
            </w:pPr>
          </w:p>
        </w:tc>
        <w:tc>
          <w:tcPr>
            <w:tcW w:w="1089" w:type="dxa"/>
            <w:vAlign w:val="bottom"/>
          </w:tcPr>
          <w:p w14:paraId="03AA0253" w14:textId="77777777" w:rsidR="00845F02" w:rsidRPr="007D64FF" w:rsidRDefault="00845F02" w:rsidP="00845F02">
            <w:pPr>
              <w:tabs>
                <w:tab w:val="decimal" w:pos="113"/>
              </w:tabs>
              <w:spacing w:line="200" w:lineRule="exact"/>
              <w:jc w:val="left"/>
              <w:rPr>
                <w:szCs w:val="22"/>
              </w:rPr>
            </w:pPr>
          </w:p>
        </w:tc>
        <w:tc>
          <w:tcPr>
            <w:tcW w:w="108" w:type="dxa"/>
          </w:tcPr>
          <w:p w14:paraId="2C27D157" w14:textId="77777777" w:rsidR="00845F02" w:rsidRPr="007D64FF" w:rsidRDefault="00845F02" w:rsidP="00845F02">
            <w:pPr>
              <w:tabs>
                <w:tab w:val="decimal" w:pos="113"/>
              </w:tabs>
              <w:spacing w:line="200" w:lineRule="exact"/>
              <w:jc w:val="left"/>
              <w:rPr>
                <w:szCs w:val="22"/>
              </w:rPr>
            </w:pPr>
          </w:p>
        </w:tc>
        <w:tc>
          <w:tcPr>
            <w:tcW w:w="1089" w:type="dxa"/>
          </w:tcPr>
          <w:p w14:paraId="0E96D05F" w14:textId="77777777" w:rsidR="00845F02" w:rsidRPr="007D64FF" w:rsidRDefault="00845F02" w:rsidP="00845F02">
            <w:pPr>
              <w:tabs>
                <w:tab w:val="decimal" w:pos="113"/>
              </w:tabs>
              <w:spacing w:line="200" w:lineRule="exact"/>
              <w:jc w:val="left"/>
              <w:rPr>
                <w:szCs w:val="22"/>
              </w:rPr>
            </w:pPr>
          </w:p>
        </w:tc>
      </w:tr>
      <w:tr w:rsidR="00845F02" w:rsidRPr="007D64FF" w14:paraId="1938B6F3" w14:textId="77777777" w:rsidTr="001521F8">
        <w:tc>
          <w:tcPr>
            <w:tcW w:w="1572" w:type="dxa"/>
            <w:tcBorders>
              <w:top w:val="single" w:sz="6" w:space="0" w:color="auto"/>
              <w:bottom w:val="single" w:sz="6" w:space="0" w:color="auto"/>
              <w:right w:val="single" w:sz="6" w:space="0" w:color="auto"/>
            </w:tcBorders>
          </w:tcPr>
          <w:p w14:paraId="72E9F67D"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1.78(d); IAS 1.54(l)</w:t>
            </w:r>
          </w:p>
        </w:tc>
        <w:tc>
          <w:tcPr>
            <w:tcW w:w="4480" w:type="dxa"/>
            <w:tcBorders>
              <w:left w:val="single" w:sz="6" w:space="0" w:color="auto"/>
            </w:tcBorders>
            <w:vAlign w:val="bottom"/>
          </w:tcPr>
          <w:p w14:paraId="14A20DA0"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הפרשות</w:t>
            </w:r>
          </w:p>
        </w:tc>
        <w:tc>
          <w:tcPr>
            <w:tcW w:w="113" w:type="dxa"/>
            <w:shd w:val="clear" w:color="auto" w:fill="auto"/>
            <w:vAlign w:val="bottom"/>
          </w:tcPr>
          <w:p w14:paraId="27F1827A"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77274381"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3855AD1E" w14:textId="77777777" w:rsidR="00845F02" w:rsidRPr="007D64FF" w:rsidRDefault="00845F02" w:rsidP="00845F02">
            <w:pPr>
              <w:tabs>
                <w:tab w:val="decimal" w:pos="113"/>
              </w:tabs>
              <w:spacing w:line="200" w:lineRule="exact"/>
              <w:jc w:val="left"/>
              <w:rPr>
                <w:szCs w:val="22"/>
              </w:rPr>
            </w:pPr>
          </w:p>
        </w:tc>
        <w:tc>
          <w:tcPr>
            <w:tcW w:w="1089" w:type="dxa"/>
            <w:vAlign w:val="bottom"/>
          </w:tcPr>
          <w:p w14:paraId="49DF181D" w14:textId="77777777" w:rsidR="00845F02" w:rsidRPr="007D64FF" w:rsidRDefault="00845F02" w:rsidP="00845F02">
            <w:pPr>
              <w:tabs>
                <w:tab w:val="decimal" w:pos="113"/>
              </w:tabs>
              <w:spacing w:line="200" w:lineRule="exact"/>
              <w:jc w:val="left"/>
              <w:rPr>
                <w:szCs w:val="22"/>
              </w:rPr>
            </w:pPr>
          </w:p>
        </w:tc>
        <w:tc>
          <w:tcPr>
            <w:tcW w:w="108" w:type="dxa"/>
          </w:tcPr>
          <w:p w14:paraId="0EACDD91" w14:textId="77777777" w:rsidR="00845F02" w:rsidRPr="007D64FF" w:rsidRDefault="00845F02" w:rsidP="00845F02">
            <w:pPr>
              <w:tabs>
                <w:tab w:val="decimal" w:pos="113"/>
              </w:tabs>
              <w:spacing w:line="200" w:lineRule="exact"/>
              <w:jc w:val="left"/>
              <w:rPr>
                <w:szCs w:val="22"/>
              </w:rPr>
            </w:pPr>
          </w:p>
        </w:tc>
        <w:tc>
          <w:tcPr>
            <w:tcW w:w="1089" w:type="dxa"/>
          </w:tcPr>
          <w:p w14:paraId="18BCACAA" w14:textId="77777777" w:rsidR="00845F02" w:rsidRPr="007D64FF" w:rsidRDefault="00845F02" w:rsidP="00845F02">
            <w:pPr>
              <w:tabs>
                <w:tab w:val="decimal" w:pos="113"/>
              </w:tabs>
              <w:spacing w:line="200" w:lineRule="exact"/>
              <w:jc w:val="left"/>
              <w:rPr>
                <w:szCs w:val="22"/>
              </w:rPr>
            </w:pPr>
          </w:p>
        </w:tc>
      </w:tr>
      <w:tr w:rsidR="00845F02" w:rsidRPr="007D64FF" w14:paraId="53F7C1F9" w14:textId="77777777" w:rsidTr="001521F8">
        <w:tc>
          <w:tcPr>
            <w:tcW w:w="1572" w:type="dxa"/>
            <w:tcBorders>
              <w:top w:val="single" w:sz="6" w:space="0" w:color="auto"/>
              <w:bottom w:val="single" w:sz="6" w:space="0" w:color="auto"/>
              <w:right w:val="single" w:sz="6" w:space="0" w:color="auto"/>
            </w:tcBorders>
          </w:tcPr>
          <w:p w14:paraId="2FCF3CCE"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1.54(m); IFRS 7.8(e)</w:t>
            </w:r>
          </w:p>
        </w:tc>
        <w:tc>
          <w:tcPr>
            <w:tcW w:w="4480" w:type="dxa"/>
            <w:tcBorders>
              <w:left w:val="single" w:sz="6" w:space="0" w:color="auto"/>
            </w:tcBorders>
            <w:vAlign w:val="bottom"/>
          </w:tcPr>
          <w:p w14:paraId="3C5C6AFA"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נגזרים פיננסיים אחרים</w:t>
            </w:r>
          </w:p>
        </w:tc>
        <w:tc>
          <w:tcPr>
            <w:tcW w:w="113" w:type="dxa"/>
            <w:shd w:val="clear" w:color="auto" w:fill="auto"/>
            <w:vAlign w:val="bottom"/>
          </w:tcPr>
          <w:p w14:paraId="4080BEE1"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top w:val="nil"/>
              <w:left w:val="nil"/>
              <w:right w:val="nil"/>
            </w:tcBorders>
            <w:vAlign w:val="bottom"/>
          </w:tcPr>
          <w:p w14:paraId="26279136"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56FA856E"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right w:val="nil"/>
            </w:tcBorders>
            <w:vAlign w:val="bottom"/>
          </w:tcPr>
          <w:p w14:paraId="63DDAB5E" w14:textId="77777777" w:rsidR="00845F02" w:rsidRPr="007D64FF" w:rsidRDefault="00845F02" w:rsidP="00845F02">
            <w:pPr>
              <w:tabs>
                <w:tab w:val="decimal" w:pos="113"/>
              </w:tabs>
              <w:spacing w:line="200" w:lineRule="exact"/>
              <w:jc w:val="left"/>
              <w:rPr>
                <w:szCs w:val="22"/>
              </w:rPr>
            </w:pPr>
          </w:p>
        </w:tc>
        <w:tc>
          <w:tcPr>
            <w:tcW w:w="108" w:type="dxa"/>
            <w:tcBorders>
              <w:top w:val="nil"/>
              <w:left w:val="nil"/>
              <w:right w:val="nil"/>
            </w:tcBorders>
            <w:shd w:val="clear" w:color="auto" w:fill="auto"/>
          </w:tcPr>
          <w:p w14:paraId="4A043041"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right w:val="nil"/>
            </w:tcBorders>
          </w:tcPr>
          <w:p w14:paraId="1DBC182A" w14:textId="77777777" w:rsidR="00845F02" w:rsidRPr="007D64FF" w:rsidRDefault="00845F02" w:rsidP="00845F02">
            <w:pPr>
              <w:tabs>
                <w:tab w:val="decimal" w:pos="113"/>
              </w:tabs>
              <w:spacing w:line="200" w:lineRule="exact"/>
              <w:jc w:val="left"/>
              <w:rPr>
                <w:szCs w:val="22"/>
              </w:rPr>
            </w:pPr>
          </w:p>
        </w:tc>
      </w:tr>
      <w:tr w:rsidR="00845F02" w:rsidRPr="007D64FF" w14:paraId="0870094A" w14:textId="77777777" w:rsidTr="001521F8">
        <w:tc>
          <w:tcPr>
            <w:tcW w:w="1572" w:type="dxa"/>
            <w:tcBorders>
              <w:top w:val="single" w:sz="6" w:space="0" w:color="auto"/>
              <w:bottom w:val="single" w:sz="6" w:space="0" w:color="auto"/>
              <w:right w:val="single" w:sz="6" w:space="0" w:color="auto"/>
            </w:tcBorders>
          </w:tcPr>
          <w:p w14:paraId="62D94891"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1.54(o); IAS 1.56</w:t>
            </w:r>
          </w:p>
        </w:tc>
        <w:tc>
          <w:tcPr>
            <w:tcW w:w="4480" w:type="dxa"/>
            <w:tcBorders>
              <w:left w:val="single" w:sz="6" w:space="0" w:color="auto"/>
            </w:tcBorders>
            <w:vAlign w:val="bottom"/>
          </w:tcPr>
          <w:p w14:paraId="44C1DE15"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מסים נדחים</w:t>
            </w:r>
          </w:p>
        </w:tc>
        <w:tc>
          <w:tcPr>
            <w:tcW w:w="113" w:type="dxa"/>
            <w:shd w:val="clear" w:color="auto" w:fill="auto"/>
            <w:vAlign w:val="bottom"/>
          </w:tcPr>
          <w:p w14:paraId="5C71ABB0"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left w:val="nil"/>
              <w:bottom w:val="single" w:sz="6" w:space="0" w:color="auto"/>
              <w:right w:val="nil"/>
            </w:tcBorders>
            <w:vAlign w:val="bottom"/>
          </w:tcPr>
          <w:p w14:paraId="0FD45389"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5F956504" w14:textId="77777777" w:rsidR="00845F02" w:rsidRPr="007D64FF" w:rsidRDefault="00845F02" w:rsidP="00845F02">
            <w:pPr>
              <w:tabs>
                <w:tab w:val="decimal" w:pos="113"/>
              </w:tabs>
              <w:spacing w:line="200" w:lineRule="exact"/>
              <w:jc w:val="left"/>
              <w:rPr>
                <w:szCs w:val="22"/>
              </w:rPr>
            </w:pPr>
          </w:p>
        </w:tc>
        <w:tc>
          <w:tcPr>
            <w:tcW w:w="1089" w:type="dxa"/>
            <w:tcBorders>
              <w:left w:val="nil"/>
              <w:bottom w:val="single" w:sz="6" w:space="0" w:color="auto"/>
              <w:right w:val="nil"/>
            </w:tcBorders>
            <w:vAlign w:val="bottom"/>
          </w:tcPr>
          <w:p w14:paraId="015137C7" w14:textId="77777777" w:rsidR="00845F02" w:rsidRPr="007D64FF" w:rsidRDefault="00845F02" w:rsidP="00845F02">
            <w:pPr>
              <w:tabs>
                <w:tab w:val="decimal" w:pos="113"/>
              </w:tabs>
              <w:spacing w:line="200" w:lineRule="exact"/>
              <w:jc w:val="left"/>
              <w:rPr>
                <w:szCs w:val="22"/>
              </w:rPr>
            </w:pPr>
          </w:p>
        </w:tc>
        <w:tc>
          <w:tcPr>
            <w:tcW w:w="108" w:type="dxa"/>
            <w:tcBorders>
              <w:left w:val="nil"/>
              <w:right w:val="nil"/>
            </w:tcBorders>
            <w:shd w:val="clear" w:color="auto" w:fill="auto"/>
          </w:tcPr>
          <w:p w14:paraId="23D5814C" w14:textId="77777777" w:rsidR="00845F02" w:rsidRPr="007D64FF" w:rsidRDefault="00845F02" w:rsidP="00845F02">
            <w:pPr>
              <w:tabs>
                <w:tab w:val="decimal" w:pos="113"/>
              </w:tabs>
              <w:spacing w:line="200" w:lineRule="exact"/>
              <w:jc w:val="left"/>
              <w:rPr>
                <w:szCs w:val="22"/>
              </w:rPr>
            </w:pPr>
          </w:p>
        </w:tc>
        <w:tc>
          <w:tcPr>
            <w:tcW w:w="1089" w:type="dxa"/>
            <w:tcBorders>
              <w:left w:val="nil"/>
              <w:bottom w:val="single" w:sz="6" w:space="0" w:color="auto"/>
              <w:right w:val="nil"/>
            </w:tcBorders>
          </w:tcPr>
          <w:p w14:paraId="50CDF655" w14:textId="77777777" w:rsidR="00845F02" w:rsidRPr="007D64FF" w:rsidRDefault="00845F02" w:rsidP="00845F02">
            <w:pPr>
              <w:tabs>
                <w:tab w:val="decimal" w:pos="113"/>
              </w:tabs>
              <w:spacing w:line="200" w:lineRule="exact"/>
              <w:jc w:val="left"/>
              <w:rPr>
                <w:szCs w:val="22"/>
              </w:rPr>
            </w:pPr>
          </w:p>
        </w:tc>
      </w:tr>
      <w:tr w:rsidR="00845F02" w:rsidRPr="007D64FF" w14:paraId="09CE1463" w14:textId="77777777" w:rsidTr="001521F8">
        <w:tc>
          <w:tcPr>
            <w:tcW w:w="1572" w:type="dxa"/>
          </w:tcPr>
          <w:p w14:paraId="23BA5C41"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p>
        </w:tc>
        <w:tc>
          <w:tcPr>
            <w:tcW w:w="4480" w:type="dxa"/>
            <w:vAlign w:val="bottom"/>
          </w:tcPr>
          <w:p w14:paraId="3F71FF1B" w14:textId="77777777" w:rsidR="00845F02" w:rsidRPr="00376906" w:rsidRDefault="00845F02" w:rsidP="00845F02">
            <w:pPr>
              <w:pStyle w:val="a3"/>
              <w:tabs>
                <w:tab w:val="left" w:pos="227"/>
                <w:tab w:val="left" w:pos="397"/>
                <w:tab w:val="left" w:pos="567"/>
              </w:tabs>
              <w:spacing w:line="200" w:lineRule="exact"/>
              <w:ind w:left="227" w:hanging="170"/>
              <w:rPr>
                <w:sz w:val="18"/>
                <w:szCs w:val="20"/>
                <w:u w:val="single"/>
              </w:rPr>
            </w:pPr>
          </w:p>
        </w:tc>
        <w:tc>
          <w:tcPr>
            <w:tcW w:w="113" w:type="dxa"/>
            <w:shd w:val="clear" w:color="auto" w:fill="auto"/>
            <w:vAlign w:val="bottom"/>
          </w:tcPr>
          <w:p w14:paraId="13549251"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top w:val="nil"/>
              <w:left w:val="nil"/>
              <w:bottom w:val="single" w:sz="6" w:space="0" w:color="auto"/>
              <w:right w:val="nil"/>
            </w:tcBorders>
            <w:vAlign w:val="bottom"/>
          </w:tcPr>
          <w:p w14:paraId="2E7DE94B"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2F6BC11B"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bottom w:val="single" w:sz="6" w:space="0" w:color="auto"/>
              <w:right w:val="nil"/>
            </w:tcBorders>
            <w:vAlign w:val="bottom"/>
          </w:tcPr>
          <w:p w14:paraId="53DC0100" w14:textId="77777777" w:rsidR="00845F02" w:rsidRPr="007D64FF" w:rsidRDefault="00845F02" w:rsidP="00845F02">
            <w:pPr>
              <w:tabs>
                <w:tab w:val="decimal" w:pos="113"/>
              </w:tabs>
              <w:spacing w:line="200" w:lineRule="exact"/>
              <w:jc w:val="left"/>
              <w:rPr>
                <w:szCs w:val="22"/>
              </w:rPr>
            </w:pPr>
          </w:p>
        </w:tc>
        <w:tc>
          <w:tcPr>
            <w:tcW w:w="108" w:type="dxa"/>
            <w:tcBorders>
              <w:top w:val="nil"/>
              <w:left w:val="nil"/>
              <w:right w:val="nil"/>
            </w:tcBorders>
            <w:shd w:val="clear" w:color="auto" w:fill="auto"/>
          </w:tcPr>
          <w:p w14:paraId="3A1F2ED3"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bottom w:val="single" w:sz="6" w:space="0" w:color="auto"/>
              <w:right w:val="nil"/>
            </w:tcBorders>
          </w:tcPr>
          <w:p w14:paraId="5954159D" w14:textId="77777777" w:rsidR="00845F02" w:rsidRPr="007D64FF" w:rsidRDefault="00845F02" w:rsidP="00845F02">
            <w:pPr>
              <w:tabs>
                <w:tab w:val="decimal" w:pos="113"/>
              </w:tabs>
              <w:spacing w:line="200" w:lineRule="exact"/>
              <w:jc w:val="left"/>
              <w:rPr>
                <w:szCs w:val="22"/>
              </w:rPr>
            </w:pPr>
          </w:p>
        </w:tc>
      </w:tr>
      <w:tr w:rsidR="00845F02" w:rsidRPr="007D64FF" w14:paraId="3E8488A1" w14:textId="77777777" w:rsidTr="001521F8">
        <w:tc>
          <w:tcPr>
            <w:tcW w:w="1572" w:type="dxa"/>
            <w:tcBorders>
              <w:bottom w:val="single" w:sz="4" w:space="0" w:color="auto"/>
              <w:right w:val="single" w:sz="4" w:space="0" w:color="auto"/>
            </w:tcBorders>
          </w:tcPr>
          <w:p w14:paraId="41F0C01B"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1.54(r)</w:t>
            </w:r>
          </w:p>
        </w:tc>
        <w:tc>
          <w:tcPr>
            <w:tcW w:w="4480" w:type="dxa"/>
            <w:tcBorders>
              <w:left w:val="single" w:sz="4" w:space="0" w:color="auto"/>
            </w:tcBorders>
            <w:vAlign w:val="bottom"/>
          </w:tcPr>
          <w:p w14:paraId="4C0690BE" w14:textId="77777777" w:rsidR="00845F02" w:rsidRPr="00376906" w:rsidRDefault="00845F02" w:rsidP="00845F02">
            <w:pPr>
              <w:pStyle w:val="a3"/>
              <w:tabs>
                <w:tab w:val="left" w:pos="227"/>
                <w:tab w:val="left" w:pos="397"/>
                <w:tab w:val="left" w:pos="567"/>
              </w:tabs>
              <w:spacing w:line="200" w:lineRule="exact"/>
              <w:ind w:left="227" w:hanging="170"/>
              <w:rPr>
                <w:sz w:val="18"/>
                <w:szCs w:val="20"/>
                <w:u w:val="single"/>
              </w:rPr>
            </w:pPr>
            <w:r w:rsidRPr="00376906">
              <w:rPr>
                <w:rFonts w:hint="cs"/>
                <w:sz w:val="18"/>
                <w:szCs w:val="20"/>
                <w:u w:val="single"/>
                <w:rtl/>
              </w:rPr>
              <w:t>הון (גרעון בהון) המיוחס לבעלי מניות החברה</w:t>
            </w:r>
          </w:p>
        </w:tc>
        <w:tc>
          <w:tcPr>
            <w:tcW w:w="113" w:type="dxa"/>
            <w:shd w:val="clear" w:color="auto" w:fill="auto"/>
            <w:vAlign w:val="bottom"/>
          </w:tcPr>
          <w:p w14:paraId="32EBA70F"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1574C2B8"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3B5EBF45" w14:textId="77777777" w:rsidR="00845F02" w:rsidRPr="007D64FF" w:rsidRDefault="00845F02" w:rsidP="00845F02">
            <w:pPr>
              <w:tabs>
                <w:tab w:val="decimal" w:pos="113"/>
              </w:tabs>
              <w:spacing w:line="200" w:lineRule="exact"/>
              <w:jc w:val="left"/>
              <w:rPr>
                <w:szCs w:val="22"/>
              </w:rPr>
            </w:pPr>
          </w:p>
        </w:tc>
        <w:tc>
          <w:tcPr>
            <w:tcW w:w="1089" w:type="dxa"/>
            <w:vAlign w:val="bottom"/>
          </w:tcPr>
          <w:p w14:paraId="3CDC9D46" w14:textId="77777777" w:rsidR="00845F02" w:rsidRPr="007D64FF" w:rsidRDefault="00845F02" w:rsidP="00845F02">
            <w:pPr>
              <w:tabs>
                <w:tab w:val="decimal" w:pos="113"/>
              </w:tabs>
              <w:spacing w:line="200" w:lineRule="exact"/>
              <w:jc w:val="left"/>
              <w:rPr>
                <w:szCs w:val="22"/>
              </w:rPr>
            </w:pPr>
          </w:p>
        </w:tc>
        <w:tc>
          <w:tcPr>
            <w:tcW w:w="108" w:type="dxa"/>
          </w:tcPr>
          <w:p w14:paraId="768A4CC9" w14:textId="77777777" w:rsidR="00845F02" w:rsidRPr="007D64FF" w:rsidRDefault="00845F02" w:rsidP="00845F02">
            <w:pPr>
              <w:tabs>
                <w:tab w:val="decimal" w:pos="113"/>
              </w:tabs>
              <w:spacing w:line="200" w:lineRule="exact"/>
              <w:jc w:val="left"/>
              <w:rPr>
                <w:szCs w:val="22"/>
              </w:rPr>
            </w:pPr>
          </w:p>
        </w:tc>
        <w:tc>
          <w:tcPr>
            <w:tcW w:w="1089" w:type="dxa"/>
          </w:tcPr>
          <w:p w14:paraId="32B0AA5D" w14:textId="77777777" w:rsidR="00845F02" w:rsidRPr="007D64FF" w:rsidRDefault="00845F02" w:rsidP="00845F02">
            <w:pPr>
              <w:tabs>
                <w:tab w:val="decimal" w:pos="113"/>
              </w:tabs>
              <w:spacing w:line="200" w:lineRule="exact"/>
              <w:jc w:val="left"/>
              <w:rPr>
                <w:szCs w:val="22"/>
              </w:rPr>
            </w:pPr>
          </w:p>
        </w:tc>
      </w:tr>
      <w:tr w:rsidR="00845F02" w:rsidRPr="007D64FF" w14:paraId="205A4EF1" w14:textId="77777777" w:rsidTr="001521F8">
        <w:tc>
          <w:tcPr>
            <w:tcW w:w="1572" w:type="dxa"/>
            <w:vMerge w:val="restart"/>
            <w:tcBorders>
              <w:bottom w:val="single" w:sz="6" w:space="0" w:color="auto"/>
              <w:right w:val="single" w:sz="6" w:space="0" w:color="auto"/>
            </w:tcBorders>
            <w:vAlign w:val="center"/>
          </w:tcPr>
          <w:p w14:paraId="7D7A4FF7"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1.54(r); IAS 1.78(e),(f)</w:t>
            </w:r>
          </w:p>
        </w:tc>
        <w:tc>
          <w:tcPr>
            <w:tcW w:w="4480" w:type="dxa"/>
            <w:tcBorders>
              <w:left w:val="single" w:sz="6" w:space="0" w:color="auto"/>
            </w:tcBorders>
            <w:vAlign w:val="bottom"/>
          </w:tcPr>
          <w:p w14:paraId="585AC1DF"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 xml:space="preserve">הון מניות </w:t>
            </w:r>
          </w:p>
        </w:tc>
        <w:tc>
          <w:tcPr>
            <w:tcW w:w="113" w:type="dxa"/>
            <w:shd w:val="clear" w:color="auto" w:fill="auto"/>
            <w:vAlign w:val="bottom"/>
          </w:tcPr>
          <w:p w14:paraId="2CCC6DB1"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3998E56F"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39A6ADC3" w14:textId="77777777" w:rsidR="00845F02" w:rsidRPr="007D64FF" w:rsidRDefault="00845F02" w:rsidP="00845F02">
            <w:pPr>
              <w:tabs>
                <w:tab w:val="decimal" w:pos="113"/>
              </w:tabs>
              <w:spacing w:line="200" w:lineRule="exact"/>
              <w:jc w:val="left"/>
              <w:rPr>
                <w:szCs w:val="22"/>
              </w:rPr>
            </w:pPr>
          </w:p>
        </w:tc>
        <w:tc>
          <w:tcPr>
            <w:tcW w:w="1089" w:type="dxa"/>
            <w:vAlign w:val="bottom"/>
          </w:tcPr>
          <w:p w14:paraId="4A64F4E5" w14:textId="77777777" w:rsidR="00845F02" w:rsidRPr="007D64FF" w:rsidRDefault="00845F02" w:rsidP="00845F02">
            <w:pPr>
              <w:tabs>
                <w:tab w:val="decimal" w:pos="113"/>
              </w:tabs>
              <w:spacing w:line="200" w:lineRule="exact"/>
              <w:jc w:val="left"/>
              <w:rPr>
                <w:szCs w:val="22"/>
              </w:rPr>
            </w:pPr>
          </w:p>
        </w:tc>
        <w:tc>
          <w:tcPr>
            <w:tcW w:w="108" w:type="dxa"/>
          </w:tcPr>
          <w:p w14:paraId="1E13D3FA" w14:textId="77777777" w:rsidR="00845F02" w:rsidRPr="007D64FF" w:rsidRDefault="00845F02" w:rsidP="00845F02">
            <w:pPr>
              <w:tabs>
                <w:tab w:val="decimal" w:pos="113"/>
              </w:tabs>
              <w:spacing w:line="200" w:lineRule="exact"/>
              <w:jc w:val="left"/>
              <w:rPr>
                <w:szCs w:val="22"/>
              </w:rPr>
            </w:pPr>
          </w:p>
        </w:tc>
        <w:tc>
          <w:tcPr>
            <w:tcW w:w="1089" w:type="dxa"/>
          </w:tcPr>
          <w:p w14:paraId="79B7EF0A" w14:textId="77777777" w:rsidR="00845F02" w:rsidRPr="007D64FF" w:rsidRDefault="00845F02" w:rsidP="00845F02">
            <w:pPr>
              <w:tabs>
                <w:tab w:val="decimal" w:pos="113"/>
              </w:tabs>
              <w:spacing w:line="200" w:lineRule="exact"/>
              <w:jc w:val="left"/>
              <w:rPr>
                <w:szCs w:val="22"/>
              </w:rPr>
            </w:pPr>
          </w:p>
        </w:tc>
      </w:tr>
      <w:tr w:rsidR="00845F02" w:rsidRPr="007D64FF" w14:paraId="7BE87F7C" w14:textId="77777777" w:rsidTr="001521F8">
        <w:tc>
          <w:tcPr>
            <w:tcW w:w="1572" w:type="dxa"/>
            <w:vMerge/>
            <w:tcBorders>
              <w:bottom w:val="single" w:sz="6" w:space="0" w:color="auto"/>
              <w:right w:val="single" w:sz="6" w:space="0" w:color="auto"/>
            </w:tcBorders>
            <w:vAlign w:val="center"/>
          </w:tcPr>
          <w:p w14:paraId="43933437"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p>
        </w:tc>
        <w:tc>
          <w:tcPr>
            <w:tcW w:w="4480" w:type="dxa"/>
            <w:tcBorders>
              <w:left w:val="single" w:sz="6" w:space="0" w:color="auto"/>
            </w:tcBorders>
            <w:vAlign w:val="bottom"/>
          </w:tcPr>
          <w:p w14:paraId="0146F275"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פרמיה על מניות</w:t>
            </w:r>
          </w:p>
        </w:tc>
        <w:tc>
          <w:tcPr>
            <w:tcW w:w="113" w:type="dxa"/>
            <w:shd w:val="clear" w:color="auto" w:fill="auto"/>
            <w:vAlign w:val="bottom"/>
          </w:tcPr>
          <w:p w14:paraId="19D02921"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61C69A6C"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1B1F18DC" w14:textId="77777777" w:rsidR="00845F02" w:rsidRPr="007D64FF" w:rsidRDefault="00845F02" w:rsidP="00845F02">
            <w:pPr>
              <w:tabs>
                <w:tab w:val="decimal" w:pos="113"/>
              </w:tabs>
              <w:spacing w:line="200" w:lineRule="exact"/>
              <w:jc w:val="left"/>
              <w:rPr>
                <w:szCs w:val="22"/>
              </w:rPr>
            </w:pPr>
          </w:p>
        </w:tc>
        <w:tc>
          <w:tcPr>
            <w:tcW w:w="1089" w:type="dxa"/>
            <w:vAlign w:val="bottom"/>
          </w:tcPr>
          <w:p w14:paraId="13097635" w14:textId="77777777" w:rsidR="00845F02" w:rsidRPr="007D64FF" w:rsidRDefault="00845F02" w:rsidP="00845F02">
            <w:pPr>
              <w:tabs>
                <w:tab w:val="decimal" w:pos="113"/>
              </w:tabs>
              <w:spacing w:line="200" w:lineRule="exact"/>
              <w:jc w:val="left"/>
              <w:rPr>
                <w:szCs w:val="22"/>
              </w:rPr>
            </w:pPr>
          </w:p>
        </w:tc>
        <w:tc>
          <w:tcPr>
            <w:tcW w:w="108" w:type="dxa"/>
          </w:tcPr>
          <w:p w14:paraId="6D089143" w14:textId="77777777" w:rsidR="00845F02" w:rsidRPr="007D64FF" w:rsidRDefault="00845F02" w:rsidP="00845F02">
            <w:pPr>
              <w:tabs>
                <w:tab w:val="decimal" w:pos="113"/>
              </w:tabs>
              <w:spacing w:line="200" w:lineRule="exact"/>
              <w:jc w:val="left"/>
              <w:rPr>
                <w:szCs w:val="22"/>
              </w:rPr>
            </w:pPr>
          </w:p>
        </w:tc>
        <w:tc>
          <w:tcPr>
            <w:tcW w:w="1089" w:type="dxa"/>
          </w:tcPr>
          <w:p w14:paraId="7CB9B883" w14:textId="77777777" w:rsidR="00845F02" w:rsidRPr="007D64FF" w:rsidRDefault="00845F02" w:rsidP="00845F02">
            <w:pPr>
              <w:tabs>
                <w:tab w:val="decimal" w:pos="113"/>
              </w:tabs>
              <w:spacing w:line="200" w:lineRule="exact"/>
              <w:jc w:val="left"/>
              <w:rPr>
                <w:szCs w:val="22"/>
              </w:rPr>
            </w:pPr>
          </w:p>
        </w:tc>
      </w:tr>
      <w:tr w:rsidR="00845F02" w:rsidRPr="007D64FF" w14:paraId="06989BA7" w14:textId="77777777" w:rsidTr="001521F8">
        <w:tc>
          <w:tcPr>
            <w:tcW w:w="1572" w:type="dxa"/>
            <w:tcBorders>
              <w:top w:val="single" w:sz="6" w:space="0" w:color="auto"/>
              <w:bottom w:val="single" w:sz="6" w:space="0" w:color="auto"/>
              <w:right w:val="single" w:sz="6" w:space="0" w:color="auto"/>
            </w:tcBorders>
            <w:vAlign w:val="center"/>
          </w:tcPr>
          <w:p w14:paraId="216FA8AB"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1.55</w:t>
            </w:r>
          </w:p>
        </w:tc>
        <w:tc>
          <w:tcPr>
            <w:tcW w:w="4480" w:type="dxa"/>
            <w:tcBorders>
              <w:left w:val="single" w:sz="6" w:space="0" w:color="auto"/>
            </w:tcBorders>
            <w:vAlign w:val="bottom"/>
          </w:tcPr>
          <w:p w14:paraId="53A65BE5"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כתבי אופציה</w:t>
            </w:r>
          </w:p>
        </w:tc>
        <w:tc>
          <w:tcPr>
            <w:tcW w:w="113" w:type="dxa"/>
            <w:shd w:val="clear" w:color="auto" w:fill="auto"/>
            <w:vAlign w:val="bottom"/>
          </w:tcPr>
          <w:p w14:paraId="30204DBD"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62531490"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2848CE67" w14:textId="77777777" w:rsidR="00845F02" w:rsidRPr="007D64FF" w:rsidRDefault="00845F02" w:rsidP="00845F02">
            <w:pPr>
              <w:tabs>
                <w:tab w:val="decimal" w:pos="113"/>
              </w:tabs>
              <w:spacing w:line="200" w:lineRule="exact"/>
              <w:jc w:val="left"/>
              <w:rPr>
                <w:szCs w:val="22"/>
              </w:rPr>
            </w:pPr>
          </w:p>
        </w:tc>
        <w:tc>
          <w:tcPr>
            <w:tcW w:w="1089" w:type="dxa"/>
            <w:vAlign w:val="bottom"/>
          </w:tcPr>
          <w:p w14:paraId="0C230316" w14:textId="77777777" w:rsidR="00845F02" w:rsidRPr="007D64FF" w:rsidRDefault="00845F02" w:rsidP="00845F02">
            <w:pPr>
              <w:tabs>
                <w:tab w:val="decimal" w:pos="113"/>
              </w:tabs>
              <w:spacing w:line="200" w:lineRule="exact"/>
              <w:jc w:val="left"/>
              <w:rPr>
                <w:szCs w:val="22"/>
              </w:rPr>
            </w:pPr>
          </w:p>
        </w:tc>
        <w:tc>
          <w:tcPr>
            <w:tcW w:w="108" w:type="dxa"/>
          </w:tcPr>
          <w:p w14:paraId="363A2947" w14:textId="77777777" w:rsidR="00845F02" w:rsidRPr="007D64FF" w:rsidRDefault="00845F02" w:rsidP="00845F02">
            <w:pPr>
              <w:tabs>
                <w:tab w:val="decimal" w:pos="113"/>
              </w:tabs>
              <w:spacing w:line="200" w:lineRule="exact"/>
              <w:jc w:val="left"/>
              <w:rPr>
                <w:szCs w:val="22"/>
              </w:rPr>
            </w:pPr>
          </w:p>
        </w:tc>
        <w:tc>
          <w:tcPr>
            <w:tcW w:w="1089" w:type="dxa"/>
          </w:tcPr>
          <w:p w14:paraId="704E4ACD" w14:textId="77777777" w:rsidR="00845F02" w:rsidRPr="007D64FF" w:rsidRDefault="00845F02" w:rsidP="00845F02">
            <w:pPr>
              <w:tabs>
                <w:tab w:val="decimal" w:pos="113"/>
              </w:tabs>
              <w:spacing w:line="200" w:lineRule="exact"/>
              <w:jc w:val="left"/>
              <w:rPr>
                <w:szCs w:val="22"/>
              </w:rPr>
            </w:pPr>
          </w:p>
        </w:tc>
      </w:tr>
      <w:tr w:rsidR="00845F02" w:rsidRPr="007D64FF" w14:paraId="00D0F555" w14:textId="77777777" w:rsidTr="001521F8">
        <w:tc>
          <w:tcPr>
            <w:tcW w:w="1572" w:type="dxa"/>
            <w:tcBorders>
              <w:top w:val="single" w:sz="6" w:space="0" w:color="auto"/>
              <w:bottom w:val="single" w:sz="6" w:space="0" w:color="auto"/>
              <w:right w:val="single" w:sz="6" w:space="0" w:color="auto"/>
            </w:tcBorders>
          </w:tcPr>
          <w:p w14:paraId="27980ED7"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1.55</w:t>
            </w:r>
          </w:p>
        </w:tc>
        <w:tc>
          <w:tcPr>
            <w:tcW w:w="4480" w:type="dxa"/>
            <w:tcBorders>
              <w:left w:val="single" w:sz="6" w:space="0" w:color="auto"/>
            </w:tcBorders>
            <w:vAlign w:val="bottom"/>
          </w:tcPr>
          <w:p w14:paraId="0F7E184A"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תקבולים בגין אופציית המרה</w:t>
            </w:r>
          </w:p>
        </w:tc>
        <w:tc>
          <w:tcPr>
            <w:tcW w:w="113" w:type="dxa"/>
            <w:shd w:val="clear" w:color="auto" w:fill="auto"/>
            <w:vAlign w:val="bottom"/>
          </w:tcPr>
          <w:p w14:paraId="73767B9D"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237120BC"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460198F3" w14:textId="77777777" w:rsidR="00845F02" w:rsidRPr="007D64FF" w:rsidRDefault="00845F02" w:rsidP="00845F02">
            <w:pPr>
              <w:tabs>
                <w:tab w:val="decimal" w:pos="113"/>
              </w:tabs>
              <w:spacing w:line="200" w:lineRule="exact"/>
              <w:jc w:val="left"/>
              <w:rPr>
                <w:szCs w:val="22"/>
              </w:rPr>
            </w:pPr>
          </w:p>
        </w:tc>
        <w:tc>
          <w:tcPr>
            <w:tcW w:w="1089" w:type="dxa"/>
            <w:vAlign w:val="bottom"/>
          </w:tcPr>
          <w:p w14:paraId="46557526" w14:textId="77777777" w:rsidR="00845F02" w:rsidRPr="007D64FF" w:rsidRDefault="00845F02" w:rsidP="00845F02">
            <w:pPr>
              <w:tabs>
                <w:tab w:val="decimal" w:pos="113"/>
              </w:tabs>
              <w:spacing w:line="200" w:lineRule="exact"/>
              <w:jc w:val="left"/>
              <w:rPr>
                <w:szCs w:val="22"/>
              </w:rPr>
            </w:pPr>
          </w:p>
        </w:tc>
        <w:tc>
          <w:tcPr>
            <w:tcW w:w="108" w:type="dxa"/>
          </w:tcPr>
          <w:p w14:paraId="577C0899" w14:textId="77777777" w:rsidR="00845F02" w:rsidRPr="007D64FF" w:rsidRDefault="00845F02" w:rsidP="00845F02">
            <w:pPr>
              <w:tabs>
                <w:tab w:val="decimal" w:pos="113"/>
              </w:tabs>
              <w:spacing w:line="200" w:lineRule="exact"/>
              <w:jc w:val="left"/>
              <w:rPr>
                <w:szCs w:val="22"/>
              </w:rPr>
            </w:pPr>
          </w:p>
        </w:tc>
        <w:tc>
          <w:tcPr>
            <w:tcW w:w="1089" w:type="dxa"/>
          </w:tcPr>
          <w:p w14:paraId="4C62AE99" w14:textId="77777777" w:rsidR="00845F02" w:rsidRPr="007D64FF" w:rsidRDefault="00845F02" w:rsidP="00845F02">
            <w:pPr>
              <w:tabs>
                <w:tab w:val="decimal" w:pos="113"/>
              </w:tabs>
              <w:spacing w:line="200" w:lineRule="exact"/>
              <w:jc w:val="left"/>
              <w:rPr>
                <w:szCs w:val="22"/>
              </w:rPr>
            </w:pPr>
          </w:p>
        </w:tc>
      </w:tr>
      <w:tr w:rsidR="00845F02" w:rsidRPr="007D64FF" w14:paraId="46C8F3CE" w14:textId="77777777" w:rsidTr="001521F8">
        <w:tc>
          <w:tcPr>
            <w:tcW w:w="1572" w:type="dxa"/>
            <w:tcBorders>
              <w:top w:val="single" w:sz="6" w:space="0" w:color="auto"/>
              <w:bottom w:val="single" w:sz="6" w:space="0" w:color="auto"/>
              <w:right w:val="single" w:sz="6" w:space="0" w:color="auto"/>
            </w:tcBorders>
          </w:tcPr>
          <w:p w14:paraId="6B6077DF"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1.78(e); IAS 1.54(r)</w:t>
            </w:r>
          </w:p>
        </w:tc>
        <w:tc>
          <w:tcPr>
            <w:tcW w:w="4480" w:type="dxa"/>
            <w:tcBorders>
              <w:left w:val="single" w:sz="6" w:space="0" w:color="auto"/>
            </w:tcBorders>
            <w:vAlign w:val="bottom"/>
          </w:tcPr>
          <w:p w14:paraId="6EE3967A"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מניות אוצר</w:t>
            </w:r>
          </w:p>
        </w:tc>
        <w:tc>
          <w:tcPr>
            <w:tcW w:w="113" w:type="dxa"/>
            <w:shd w:val="clear" w:color="auto" w:fill="auto"/>
            <w:vAlign w:val="bottom"/>
          </w:tcPr>
          <w:p w14:paraId="2C10C46D"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1A4C580D"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7DDAA503" w14:textId="77777777" w:rsidR="00845F02" w:rsidRPr="007D64FF" w:rsidRDefault="00845F02" w:rsidP="00845F02">
            <w:pPr>
              <w:tabs>
                <w:tab w:val="decimal" w:pos="113"/>
              </w:tabs>
              <w:spacing w:line="200" w:lineRule="exact"/>
              <w:jc w:val="left"/>
              <w:rPr>
                <w:szCs w:val="22"/>
              </w:rPr>
            </w:pPr>
          </w:p>
        </w:tc>
        <w:tc>
          <w:tcPr>
            <w:tcW w:w="1089" w:type="dxa"/>
            <w:vAlign w:val="bottom"/>
          </w:tcPr>
          <w:p w14:paraId="47F9706E" w14:textId="77777777" w:rsidR="00845F02" w:rsidRPr="007D64FF" w:rsidRDefault="00845F02" w:rsidP="00845F02">
            <w:pPr>
              <w:tabs>
                <w:tab w:val="decimal" w:pos="113"/>
              </w:tabs>
              <w:spacing w:line="200" w:lineRule="exact"/>
              <w:jc w:val="left"/>
              <w:rPr>
                <w:szCs w:val="22"/>
              </w:rPr>
            </w:pPr>
          </w:p>
        </w:tc>
        <w:tc>
          <w:tcPr>
            <w:tcW w:w="108" w:type="dxa"/>
          </w:tcPr>
          <w:p w14:paraId="475B0E0B" w14:textId="77777777" w:rsidR="00845F02" w:rsidRPr="007D64FF" w:rsidRDefault="00845F02" w:rsidP="00845F02">
            <w:pPr>
              <w:tabs>
                <w:tab w:val="decimal" w:pos="113"/>
              </w:tabs>
              <w:spacing w:line="200" w:lineRule="exact"/>
              <w:jc w:val="left"/>
              <w:rPr>
                <w:szCs w:val="22"/>
              </w:rPr>
            </w:pPr>
          </w:p>
        </w:tc>
        <w:tc>
          <w:tcPr>
            <w:tcW w:w="1089" w:type="dxa"/>
          </w:tcPr>
          <w:p w14:paraId="0B368CEC" w14:textId="77777777" w:rsidR="00845F02" w:rsidRPr="007D64FF" w:rsidRDefault="00845F02" w:rsidP="00845F02">
            <w:pPr>
              <w:tabs>
                <w:tab w:val="decimal" w:pos="113"/>
              </w:tabs>
              <w:spacing w:line="200" w:lineRule="exact"/>
              <w:jc w:val="left"/>
              <w:rPr>
                <w:szCs w:val="22"/>
              </w:rPr>
            </w:pPr>
          </w:p>
        </w:tc>
      </w:tr>
      <w:tr w:rsidR="00845F02" w:rsidRPr="007D64FF" w14:paraId="7E7281E0" w14:textId="77777777" w:rsidTr="001521F8">
        <w:tc>
          <w:tcPr>
            <w:tcW w:w="1572" w:type="dxa"/>
            <w:tcBorders>
              <w:top w:val="single" w:sz="6" w:space="0" w:color="auto"/>
              <w:bottom w:val="single" w:sz="6" w:space="0" w:color="auto"/>
              <w:right w:val="single" w:sz="6" w:space="0" w:color="auto"/>
            </w:tcBorders>
          </w:tcPr>
          <w:p w14:paraId="263DF6E9" w14:textId="77777777" w:rsidR="00845F02" w:rsidRPr="000B1730" w:rsidRDefault="00845F02" w:rsidP="00845F02">
            <w:pPr>
              <w:tabs>
                <w:tab w:val="left" w:pos="227"/>
                <w:tab w:val="left" w:pos="397"/>
                <w:tab w:val="left" w:pos="567"/>
              </w:tabs>
              <w:bidi w:val="0"/>
              <w:spacing w:line="200" w:lineRule="exact"/>
              <w:ind w:right="28"/>
              <w:jc w:val="right"/>
              <w:rPr>
                <w:i/>
                <w:iCs/>
                <w:sz w:val="13"/>
                <w:szCs w:val="13"/>
              </w:rPr>
            </w:pPr>
            <w:r>
              <w:rPr>
                <w:i/>
                <w:iCs/>
                <w:sz w:val="13"/>
                <w:szCs w:val="13"/>
              </w:rPr>
              <w:t>IAS 1.55</w:t>
            </w:r>
          </w:p>
        </w:tc>
        <w:tc>
          <w:tcPr>
            <w:tcW w:w="4480" w:type="dxa"/>
            <w:tcBorders>
              <w:left w:val="single" w:sz="6" w:space="0" w:color="auto"/>
            </w:tcBorders>
            <w:vAlign w:val="bottom"/>
          </w:tcPr>
          <w:p w14:paraId="323610A7"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קרן בגין עסקה עם בעל שליטה</w:t>
            </w:r>
          </w:p>
        </w:tc>
        <w:tc>
          <w:tcPr>
            <w:tcW w:w="113" w:type="dxa"/>
            <w:shd w:val="clear" w:color="auto" w:fill="auto"/>
            <w:vAlign w:val="bottom"/>
          </w:tcPr>
          <w:p w14:paraId="5F299F7F"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5AD8BA41"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476E37C3" w14:textId="77777777" w:rsidR="00845F02" w:rsidRPr="007D64FF" w:rsidRDefault="00845F02" w:rsidP="00845F02">
            <w:pPr>
              <w:tabs>
                <w:tab w:val="decimal" w:pos="113"/>
              </w:tabs>
              <w:spacing w:line="200" w:lineRule="exact"/>
              <w:jc w:val="left"/>
              <w:rPr>
                <w:szCs w:val="22"/>
              </w:rPr>
            </w:pPr>
          </w:p>
        </w:tc>
        <w:tc>
          <w:tcPr>
            <w:tcW w:w="1089" w:type="dxa"/>
            <w:vAlign w:val="bottom"/>
          </w:tcPr>
          <w:p w14:paraId="6A5E201C" w14:textId="77777777" w:rsidR="00845F02" w:rsidRPr="007D64FF" w:rsidRDefault="00845F02" w:rsidP="00845F02">
            <w:pPr>
              <w:tabs>
                <w:tab w:val="decimal" w:pos="113"/>
              </w:tabs>
              <w:spacing w:line="200" w:lineRule="exact"/>
              <w:jc w:val="left"/>
              <w:rPr>
                <w:szCs w:val="22"/>
              </w:rPr>
            </w:pPr>
          </w:p>
        </w:tc>
        <w:tc>
          <w:tcPr>
            <w:tcW w:w="108" w:type="dxa"/>
          </w:tcPr>
          <w:p w14:paraId="3802BE12" w14:textId="77777777" w:rsidR="00845F02" w:rsidRPr="007D64FF" w:rsidRDefault="00845F02" w:rsidP="00845F02">
            <w:pPr>
              <w:tabs>
                <w:tab w:val="decimal" w:pos="113"/>
              </w:tabs>
              <w:spacing w:line="200" w:lineRule="exact"/>
              <w:jc w:val="left"/>
              <w:rPr>
                <w:szCs w:val="22"/>
              </w:rPr>
            </w:pPr>
          </w:p>
        </w:tc>
        <w:tc>
          <w:tcPr>
            <w:tcW w:w="1089" w:type="dxa"/>
          </w:tcPr>
          <w:p w14:paraId="5C428198" w14:textId="77777777" w:rsidR="00845F02" w:rsidRPr="007D64FF" w:rsidRDefault="00845F02" w:rsidP="00845F02">
            <w:pPr>
              <w:tabs>
                <w:tab w:val="decimal" w:pos="113"/>
              </w:tabs>
              <w:spacing w:line="200" w:lineRule="exact"/>
              <w:jc w:val="left"/>
              <w:rPr>
                <w:szCs w:val="22"/>
              </w:rPr>
            </w:pPr>
          </w:p>
        </w:tc>
      </w:tr>
      <w:tr w:rsidR="00845F02" w:rsidRPr="007D64FF" w14:paraId="11E39D10" w14:textId="77777777" w:rsidTr="001521F8">
        <w:tc>
          <w:tcPr>
            <w:tcW w:w="1572" w:type="dxa"/>
            <w:tcBorders>
              <w:top w:val="single" w:sz="6" w:space="0" w:color="auto"/>
              <w:bottom w:val="single" w:sz="6" w:space="0" w:color="auto"/>
              <w:right w:val="single" w:sz="6" w:space="0" w:color="auto"/>
            </w:tcBorders>
          </w:tcPr>
          <w:p w14:paraId="09ED7087"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1.55</w:t>
            </w:r>
          </w:p>
        </w:tc>
        <w:tc>
          <w:tcPr>
            <w:tcW w:w="4480" w:type="dxa"/>
            <w:tcBorders>
              <w:left w:val="single" w:sz="6" w:space="0" w:color="auto"/>
            </w:tcBorders>
            <w:vAlign w:val="bottom"/>
          </w:tcPr>
          <w:p w14:paraId="7502B226"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קרן בגין עסקאות תשלום מבוסס מניות</w:t>
            </w:r>
            <w:r w:rsidRPr="00376906">
              <w:rPr>
                <w:rStyle w:val="ab"/>
                <w:sz w:val="18"/>
                <w:szCs w:val="20"/>
                <w:rtl/>
              </w:rPr>
              <w:footnoteReference w:id="7"/>
            </w:r>
          </w:p>
        </w:tc>
        <w:tc>
          <w:tcPr>
            <w:tcW w:w="113" w:type="dxa"/>
            <w:shd w:val="clear" w:color="auto" w:fill="auto"/>
            <w:vAlign w:val="bottom"/>
          </w:tcPr>
          <w:p w14:paraId="0379441C"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5E3693A7"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6ECB5152" w14:textId="77777777" w:rsidR="00845F02" w:rsidRPr="007D64FF" w:rsidRDefault="00845F02" w:rsidP="00845F02">
            <w:pPr>
              <w:tabs>
                <w:tab w:val="decimal" w:pos="113"/>
              </w:tabs>
              <w:spacing w:line="200" w:lineRule="exact"/>
              <w:jc w:val="left"/>
              <w:rPr>
                <w:szCs w:val="22"/>
              </w:rPr>
            </w:pPr>
          </w:p>
        </w:tc>
        <w:tc>
          <w:tcPr>
            <w:tcW w:w="1089" w:type="dxa"/>
            <w:vAlign w:val="bottom"/>
          </w:tcPr>
          <w:p w14:paraId="08FBA6F6" w14:textId="77777777" w:rsidR="00845F02" w:rsidRPr="007D64FF" w:rsidRDefault="00845F02" w:rsidP="00845F02">
            <w:pPr>
              <w:tabs>
                <w:tab w:val="decimal" w:pos="113"/>
              </w:tabs>
              <w:spacing w:line="200" w:lineRule="exact"/>
              <w:jc w:val="left"/>
              <w:rPr>
                <w:szCs w:val="22"/>
              </w:rPr>
            </w:pPr>
          </w:p>
        </w:tc>
        <w:tc>
          <w:tcPr>
            <w:tcW w:w="108" w:type="dxa"/>
          </w:tcPr>
          <w:p w14:paraId="3940DBB2" w14:textId="77777777" w:rsidR="00845F02" w:rsidRPr="007D64FF" w:rsidRDefault="00845F02" w:rsidP="00845F02">
            <w:pPr>
              <w:tabs>
                <w:tab w:val="decimal" w:pos="113"/>
              </w:tabs>
              <w:spacing w:line="200" w:lineRule="exact"/>
              <w:jc w:val="left"/>
              <w:rPr>
                <w:szCs w:val="22"/>
              </w:rPr>
            </w:pPr>
          </w:p>
        </w:tc>
        <w:tc>
          <w:tcPr>
            <w:tcW w:w="1089" w:type="dxa"/>
          </w:tcPr>
          <w:p w14:paraId="08391B93" w14:textId="77777777" w:rsidR="00845F02" w:rsidRPr="007D64FF" w:rsidRDefault="00845F02" w:rsidP="00845F02">
            <w:pPr>
              <w:tabs>
                <w:tab w:val="decimal" w:pos="113"/>
              </w:tabs>
              <w:spacing w:line="200" w:lineRule="exact"/>
              <w:jc w:val="left"/>
              <w:rPr>
                <w:szCs w:val="22"/>
              </w:rPr>
            </w:pPr>
          </w:p>
        </w:tc>
      </w:tr>
      <w:tr w:rsidR="00845F02" w:rsidRPr="007D64FF" w14:paraId="54EE909D" w14:textId="77777777" w:rsidTr="001521F8">
        <w:tc>
          <w:tcPr>
            <w:tcW w:w="1572" w:type="dxa"/>
            <w:tcBorders>
              <w:top w:val="single" w:sz="6" w:space="0" w:color="auto"/>
              <w:bottom w:val="single" w:sz="6" w:space="0" w:color="auto"/>
              <w:right w:val="single" w:sz="6" w:space="0" w:color="auto"/>
            </w:tcBorders>
          </w:tcPr>
          <w:p w14:paraId="640D2D4D"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1.54(r); IAS 1.78(e)</w:t>
            </w:r>
          </w:p>
        </w:tc>
        <w:tc>
          <w:tcPr>
            <w:tcW w:w="4480" w:type="dxa"/>
            <w:tcBorders>
              <w:left w:val="single" w:sz="6" w:space="0" w:color="auto"/>
            </w:tcBorders>
            <w:vAlign w:val="bottom"/>
          </w:tcPr>
          <w:p w14:paraId="688FCF8B"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יתרת רווח (הפסד)</w:t>
            </w:r>
          </w:p>
        </w:tc>
        <w:tc>
          <w:tcPr>
            <w:tcW w:w="113" w:type="dxa"/>
            <w:shd w:val="clear" w:color="auto" w:fill="auto"/>
            <w:vAlign w:val="bottom"/>
          </w:tcPr>
          <w:p w14:paraId="7019E8E6"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2D08C4DB"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4474BE6E" w14:textId="77777777" w:rsidR="00845F02" w:rsidRPr="007D64FF" w:rsidRDefault="00845F02" w:rsidP="00845F02">
            <w:pPr>
              <w:tabs>
                <w:tab w:val="decimal" w:pos="113"/>
              </w:tabs>
              <w:spacing w:line="200" w:lineRule="exact"/>
              <w:jc w:val="left"/>
              <w:rPr>
                <w:szCs w:val="22"/>
              </w:rPr>
            </w:pPr>
          </w:p>
        </w:tc>
        <w:tc>
          <w:tcPr>
            <w:tcW w:w="1089" w:type="dxa"/>
            <w:vAlign w:val="bottom"/>
          </w:tcPr>
          <w:p w14:paraId="4DBA56A1" w14:textId="77777777" w:rsidR="00845F02" w:rsidRPr="007D64FF" w:rsidRDefault="00845F02" w:rsidP="00845F02">
            <w:pPr>
              <w:tabs>
                <w:tab w:val="decimal" w:pos="113"/>
              </w:tabs>
              <w:spacing w:line="200" w:lineRule="exact"/>
              <w:jc w:val="left"/>
              <w:rPr>
                <w:szCs w:val="22"/>
              </w:rPr>
            </w:pPr>
          </w:p>
        </w:tc>
        <w:tc>
          <w:tcPr>
            <w:tcW w:w="108" w:type="dxa"/>
          </w:tcPr>
          <w:p w14:paraId="009A4212" w14:textId="77777777" w:rsidR="00845F02" w:rsidRPr="007D64FF" w:rsidRDefault="00845F02" w:rsidP="00845F02">
            <w:pPr>
              <w:tabs>
                <w:tab w:val="decimal" w:pos="113"/>
              </w:tabs>
              <w:spacing w:line="200" w:lineRule="exact"/>
              <w:jc w:val="left"/>
              <w:rPr>
                <w:szCs w:val="22"/>
              </w:rPr>
            </w:pPr>
          </w:p>
        </w:tc>
        <w:tc>
          <w:tcPr>
            <w:tcW w:w="1089" w:type="dxa"/>
          </w:tcPr>
          <w:p w14:paraId="38E56F60" w14:textId="77777777" w:rsidR="00845F02" w:rsidRPr="007D64FF" w:rsidRDefault="00845F02" w:rsidP="00845F02">
            <w:pPr>
              <w:tabs>
                <w:tab w:val="decimal" w:pos="113"/>
              </w:tabs>
              <w:spacing w:line="200" w:lineRule="exact"/>
              <w:jc w:val="left"/>
              <w:rPr>
                <w:szCs w:val="22"/>
              </w:rPr>
            </w:pPr>
          </w:p>
        </w:tc>
      </w:tr>
      <w:tr w:rsidR="00845F02" w:rsidRPr="007D64FF" w14:paraId="3EDF15CE" w14:textId="77777777" w:rsidTr="001521F8">
        <w:tc>
          <w:tcPr>
            <w:tcW w:w="1572" w:type="dxa"/>
            <w:tcBorders>
              <w:top w:val="single" w:sz="6" w:space="0" w:color="auto"/>
              <w:bottom w:val="single" w:sz="6" w:space="0" w:color="auto"/>
              <w:right w:val="single" w:sz="6" w:space="0" w:color="auto"/>
            </w:tcBorders>
          </w:tcPr>
          <w:p w14:paraId="5F2EBB10"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1.54(r); IAS 1.78(e)</w:t>
            </w:r>
          </w:p>
        </w:tc>
        <w:tc>
          <w:tcPr>
            <w:tcW w:w="4480" w:type="dxa"/>
            <w:tcBorders>
              <w:left w:val="single" w:sz="6" w:space="0" w:color="auto"/>
            </w:tcBorders>
            <w:vAlign w:val="bottom"/>
          </w:tcPr>
          <w:p w14:paraId="1ECB4176"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קרנות אחרות</w:t>
            </w:r>
          </w:p>
        </w:tc>
        <w:tc>
          <w:tcPr>
            <w:tcW w:w="113" w:type="dxa"/>
            <w:shd w:val="clear" w:color="auto" w:fill="auto"/>
            <w:vAlign w:val="bottom"/>
          </w:tcPr>
          <w:p w14:paraId="769B0DE0"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35704B8D"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300F3FC2" w14:textId="77777777" w:rsidR="00845F02" w:rsidRPr="007D64FF" w:rsidRDefault="00845F02" w:rsidP="00845F02">
            <w:pPr>
              <w:tabs>
                <w:tab w:val="decimal" w:pos="113"/>
              </w:tabs>
              <w:spacing w:line="200" w:lineRule="exact"/>
              <w:jc w:val="left"/>
              <w:rPr>
                <w:szCs w:val="22"/>
              </w:rPr>
            </w:pPr>
          </w:p>
        </w:tc>
        <w:tc>
          <w:tcPr>
            <w:tcW w:w="1089" w:type="dxa"/>
            <w:vAlign w:val="bottom"/>
          </w:tcPr>
          <w:p w14:paraId="540DBFA8" w14:textId="77777777" w:rsidR="00845F02" w:rsidRPr="007D64FF" w:rsidRDefault="00845F02" w:rsidP="00845F02">
            <w:pPr>
              <w:tabs>
                <w:tab w:val="decimal" w:pos="113"/>
              </w:tabs>
              <w:spacing w:line="200" w:lineRule="exact"/>
              <w:jc w:val="left"/>
              <w:rPr>
                <w:szCs w:val="22"/>
              </w:rPr>
            </w:pPr>
          </w:p>
        </w:tc>
        <w:tc>
          <w:tcPr>
            <w:tcW w:w="108" w:type="dxa"/>
          </w:tcPr>
          <w:p w14:paraId="2E7E6321" w14:textId="77777777" w:rsidR="00845F02" w:rsidRPr="007D64FF" w:rsidRDefault="00845F02" w:rsidP="00845F02">
            <w:pPr>
              <w:tabs>
                <w:tab w:val="decimal" w:pos="113"/>
              </w:tabs>
              <w:spacing w:line="200" w:lineRule="exact"/>
              <w:jc w:val="left"/>
              <w:rPr>
                <w:szCs w:val="22"/>
              </w:rPr>
            </w:pPr>
          </w:p>
        </w:tc>
        <w:tc>
          <w:tcPr>
            <w:tcW w:w="1089" w:type="dxa"/>
          </w:tcPr>
          <w:p w14:paraId="41ADAD53" w14:textId="77777777" w:rsidR="00845F02" w:rsidRPr="007D64FF" w:rsidRDefault="00845F02" w:rsidP="00845F02">
            <w:pPr>
              <w:tabs>
                <w:tab w:val="decimal" w:pos="113"/>
              </w:tabs>
              <w:spacing w:line="200" w:lineRule="exact"/>
              <w:jc w:val="left"/>
              <w:rPr>
                <w:szCs w:val="22"/>
              </w:rPr>
            </w:pPr>
          </w:p>
        </w:tc>
      </w:tr>
      <w:tr w:rsidR="00845F02" w:rsidRPr="007D64FF" w14:paraId="726D10EA" w14:textId="77777777" w:rsidTr="001521F8">
        <w:tc>
          <w:tcPr>
            <w:tcW w:w="1572" w:type="dxa"/>
            <w:tcBorders>
              <w:top w:val="single" w:sz="6" w:space="0" w:color="auto"/>
              <w:bottom w:val="single" w:sz="6" w:space="0" w:color="auto"/>
              <w:right w:val="single" w:sz="6" w:space="0" w:color="auto"/>
            </w:tcBorders>
          </w:tcPr>
          <w:p w14:paraId="0F5452B6" w14:textId="77777777" w:rsidR="00845F02" w:rsidRPr="00F2585A" w:rsidRDefault="00845F02" w:rsidP="00845F02">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1.78(e)</w:t>
            </w:r>
          </w:p>
        </w:tc>
        <w:tc>
          <w:tcPr>
            <w:tcW w:w="4480" w:type="dxa"/>
            <w:tcBorders>
              <w:left w:val="single" w:sz="6" w:space="0" w:color="auto"/>
            </w:tcBorders>
            <w:vAlign w:val="bottom"/>
          </w:tcPr>
          <w:p w14:paraId="30F5BF8C"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קרן בגין מדידה מחדש בשל תכנית להטבה מוגדרת</w:t>
            </w:r>
            <w:r w:rsidRPr="00376906">
              <w:rPr>
                <w:rStyle w:val="ab"/>
                <w:sz w:val="18"/>
                <w:szCs w:val="20"/>
                <w:rtl/>
              </w:rPr>
              <w:footnoteReference w:id="8"/>
            </w:r>
          </w:p>
        </w:tc>
        <w:tc>
          <w:tcPr>
            <w:tcW w:w="113" w:type="dxa"/>
            <w:shd w:val="clear" w:color="auto" w:fill="auto"/>
            <w:vAlign w:val="bottom"/>
          </w:tcPr>
          <w:p w14:paraId="5EC236DF"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5BC0011F"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6FF7E29E" w14:textId="77777777" w:rsidR="00845F02" w:rsidRPr="007D64FF" w:rsidRDefault="00845F02" w:rsidP="00845F02">
            <w:pPr>
              <w:tabs>
                <w:tab w:val="decimal" w:pos="113"/>
              </w:tabs>
              <w:spacing w:line="200" w:lineRule="exact"/>
              <w:jc w:val="left"/>
              <w:rPr>
                <w:szCs w:val="22"/>
              </w:rPr>
            </w:pPr>
          </w:p>
        </w:tc>
        <w:tc>
          <w:tcPr>
            <w:tcW w:w="1089" w:type="dxa"/>
            <w:vAlign w:val="bottom"/>
          </w:tcPr>
          <w:p w14:paraId="13BDB7DE" w14:textId="77777777" w:rsidR="00845F02" w:rsidRPr="007D64FF" w:rsidRDefault="00845F02" w:rsidP="00845F02">
            <w:pPr>
              <w:tabs>
                <w:tab w:val="decimal" w:pos="113"/>
              </w:tabs>
              <w:spacing w:line="200" w:lineRule="exact"/>
              <w:jc w:val="left"/>
              <w:rPr>
                <w:szCs w:val="22"/>
              </w:rPr>
            </w:pPr>
          </w:p>
        </w:tc>
        <w:tc>
          <w:tcPr>
            <w:tcW w:w="108" w:type="dxa"/>
          </w:tcPr>
          <w:p w14:paraId="70438BD9" w14:textId="77777777" w:rsidR="00845F02" w:rsidRPr="007D64FF" w:rsidRDefault="00845F02" w:rsidP="00845F02">
            <w:pPr>
              <w:tabs>
                <w:tab w:val="decimal" w:pos="113"/>
              </w:tabs>
              <w:spacing w:line="200" w:lineRule="exact"/>
              <w:jc w:val="left"/>
              <w:rPr>
                <w:szCs w:val="22"/>
              </w:rPr>
            </w:pPr>
          </w:p>
        </w:tc>
        <w:tc>
          <w:tcPr>
            <w:tcW w:w="1089" w:type="dxa"/>
          </w:tcPr>
          <w:p w14:paraId="6A58F99E" w14:textId="77777777" w:rsidR="00845F02" w:rsidRPr="007D64FF" w:rsidRDefault="00845F02" w:rsidP="00845F02">
            <w:pPr>
              <w:tabs>
                <w:tab w:val="decimal" w:pos="113"/>
              </w:tabs>
              <w:spacing w:line="200" w:lineRule="exact"/>
              <w:jc w:val="left"/>
              <w:rPr>
                <w:szCs w:val="22"/>
              </w:rPr>
            </w:pPr>
          </w:p>
        </w:tc>
      </w:tr>
      <w:tr w:rsidR="00845F02" w:rsidRPr="007D64FF" w14:paraId="1B908386" w14:textId="77777777" w:rsidTr="001521F8">
        <w:tc>
          <w:tcPr>
            <w:tcW w:w="1572" w:type="dxa"/>
            <w:tcBorders>
              <w:top w:val="single" w:sz="6" w:space="0" w:color="auto"/>
              <w:bottom w:val="single" w:sz="6" w:space="0" w:color="auto"/>
              <w:right w:val="single" w:sz="6" w:space="0" w:color="auto"/>
            </w:tcBorders>
          </w:tcPr>
          <w:p w14:paraId="5D2EDE23"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1.55</w:t>
            </w:r>
          </w:p>
        </w:tc>
        <w:tc>
          <w:tcPr>
            <w:tcW w:w="4480" w:type="dxa"/>
            <w:tcBorders>
              <w:left w:val="single" w:sz="6" w:space="0" w:color="auto"/>
            </w:tcBorders>
            <w:vAlign w:val="bottom"/>
          </w:tcPr>
          <w:p w14:paraId="6A0CCBBD"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קרן בגין עסקאות עם בעלי זכויות שאינן מקנות שליטה</w:t>
            </w:r>
            <w:r w:rsidRPr="00376906">
              <w:rPr>
                <w:rStyle w:val="ab"/>
                <w:sz w:val="18"/>
                <w:szCs w:val="20"/>
                <w:rtl/>
              </w:rPr>
              <w:footnoteReference w:id="9"/>
            </w:r>
          </w:p>
        </w:tc>
        <w:tc>
          <w:tcPr>
            <w:tcW w:w="113" w:type="dxa"/>
            <w:shd w:val="clear" w:color="auto" w:fill="auto"/>
            <w:vAlign w:val="bottom"/>
          </w:tcPr>
          <w:p w14:paraId="07F10880"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44DFCD1F"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58CD080F" w14:textId="77777777" w:rsidR="00845F02" w:rsidRPr="007D64FF" w:rsidRDefault="00845F02" w:rsidP="00845F02">
            <w:pPr>
              <w:tabs>
                <w:tab w:val="decimal" w:pos="113"/>
              </w:tabs>
              <w:spacing w:line="200" w:lineRule="exact"/>
              <w:jc w:val="left"/>
              <w:rPr>
                <w:szCs w:val="22"/>
              </w:rPr>
            </w:pPr>
          </w:p>
        </w:tc>
        <w:tc>
          <w:tcPr>
            <w:tcW w:w="1089" w:type="dxa"/>
            <w:vAlign w:val="bottom"/>
          </w:tcPr>
          <w:p w14:paraId="4CBB1392" w14:textId="77777777" w:rsidR="00845F02" w:rsidRPr="007D64FF" w:rsidRDefault="00845F02" w:rsidP="00845F02">
            <w:pPr>
              <w:tabs>
                <w:tab w:val="decimal" w:pos="113"/>
              </w:tabs>
              <w:spacing w:line="200" w:lineRule="exact"/>
              <w:jc w:val="left"/>
              <w:rPr>
                <w:szCs w:val="22"/>
              </w:rPr>
            </w:pPr>
          </w:p>
        </w:tc>
        <w:tc>
          <w:tcPr>
            <w:tcW w:w="108" w:type="dxa"/>
          </w:tcPr>
          <w:p w14:paraId="3FEAA600" w14:textId="77777777" w:rsidR="00845F02" w:rsidRPr="007D64FF" w:rsidRDefault="00845F02" w:rsidP="00845F02">
            <w:pPr>
              <w:tabs>
                <w:tab w:val="decimal" w:pos="113"/>
              </w:tabs>
              <w:spacing w:line="200" w:lineRule="exact"/>
              <w:jc w:val="left"/>
              <w:rPr>
                <w:szCs w:val="22"/>
              </w:rPr>
            </w:pPr>
          </w:p>
        </w:tc>
        <w:tc>
          <w:tcPr>
            <w:tcW w:w="1089" w:type="dxa"/>
          </w:tcPr>
          <w:p w14:paraId="27EF1F4D" w14:textId="77777777" w:rsidR="00845F02" w:rsidRPr="007D64FF" w:rsidRDefault="00845F02" w:rsidP="00845F02">
            <w:pPr>
              <w:tabs>
                <w:tab w:val="decimal" w:pos="113"/>
              </w:tabs>
              <w:spacing w:line="200" w:lineRule="exact"/>
              <w:jc w:val="left"/>
              <w:rPr>
                <w:szCs w:val="22"/>
              </w:rPr>
            </w:pPr>
          </w:p>
        </w:tc>
      </w:tr>
      <w:tr w:rsidR="00845F02" w:rsidRPr="007D64FF" w14:paraId="24561452" w14:textId="77777777" w:rsidTr="001521F8">
        <w:tc>
          <w:tcPr>
            <w:tcW w:w="1572" w:type="dxa"/>
            <w:tcBorders>
              <w:top w:val="single" w:sz="6" w:space="0" w:color="auto"/>
              <w:bottom w:val="single" w:sz="6" w:space="0" w:color="auto"/>
              <w:right w:val="single" w:sz="6" w:space="0" w:color="auto"/>
            </w:tcBorders>
          </w:tcPr>
          <w:p w14:paraId="12126826" w14:textId="77777777" w:rsidR="00845F02" w:rsidRPr="000B1730" w:rsidRDefault="00845F02" w:rsidP="00845F02">
            <w:pPr>
              <w:tabs>
                <w:tab w:val="left" w:pos="227"/>
                <w:tab w:val="left" w:pos="397"/>
                <w:tab w:val="left" w:pos="567"/>
              </w:tabs>
              <w:bidi w:val="0"/>
              <w:spacing w:line="200" w:lineRule="exact"/>
              <w:ind w:right="28"/>
              <w:jc w:val="right"/>
              <w:rPr>
                <w:i/>
                <w:iCs/>
                <w:sz w:val="13"/>
                <w:szCs w:val="13"/>
              </w:rPr>
            </w:pPr>
            <w:r w:rsidRPr="00F2585A">
              <w:rPr>
                <w:i/>
                <w:iCs/>
                <w:sz w:val="13"/>
                <w:szCs w:val="13"/>
              </w:rPr>
              <w:t>IAS 1.54(p)</w:t>
            </w:r>
          </w:p>
        </w:tc>
        <w:tc>
          <w:tcPr>
            <w:tcW w:w="4480" w:type="dxa"/>
            <w:tcBorders>
              <w:left w:val="single" w:sz="6" w:space="0" w:color="auto"/>
            </w:tcBorders>
            <w:vAlign w:val="bottom"/>
          </w:tcPr>
          <w:p w14:paraId="673243AF" w14:textId="77777777" w:rsidR="00845F02" w:rsidRPr="00376906" w:rsidRDefault="00845F02" w:rsidP="00845F02">
            <w:pPr>
              <w:tabs>
                <w:tab w:val="left" w:pos="227"/>
                <w:tab w:val="left" w:pos="397"/>
                <w:tab w:val="left" w:pos="567"/>
              </w:tabs>
              <w:spacing w:line="200" w:lineRule="exact"/>
              <w:ind w:left="227" w:hanging="227"/>
              <w:rPr>
                <w:sz w:val="18"/>
                <w:szCs w:val="20"/>
                <w:u w:val="single"/>
              </w:rPr>
            </w:pPr>
            <w:r w:rsidRPr="00376906">
              <w:rPr>
                <w:rFonts w:hint="cs"/>
                <w:sz w:val="18"/>
                <w:szCs w:val="20"/>
                <w:rtl/>
              </w:rPr>
              <w:t xml:space="preserve"> קרנות בגין פעילות שהופסקה</w:t>
            </w:r>
          </w:p>
        </w:tc>
        <w:tc>
          <w:tcPr>
            <w:tcW w:w="113" w:type="dxa"/>
            <w:shd w:val="clear" w:color="auto" w:fill="auto"/>
            <w:vAlign w:val="bottom"/>
          </w:tcPr>
          <w:p w14:paraId="0E5B6E2A"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bottom w:val="single" w:sz="6" w:space="0" w:color="auto"/>
            </w:tcBorders>
            <w:shd w:val="clear" w:color="auto" w:fill="auto"/>
            <w:vAlign w:val="bottom"/>
          </w:tcPr>
          <w:p w14:paraId="649DEFB6"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1A020AA3" w14:textId="77777777" w:rsidR="00845F02" w:rsidRPr="007D64FF" w:rsidRDefault="00845F02" w:rsidP="00845F02">
            <w:pPr>
              <w:tabs>
                <w:tab w:val="decimal" w:pos="113"/>
              </w:tabs>
              <w:spacing w:line="200" w:lineRule="exact"/>
              <w:jc w:val="left"/>
              <w:rPr>
                <w:szCs w:val="22"/>
              </w:rPr>
            </w:pPr>
          </w:p>
        </w:tc>
        <w:tc>
          <w:tcPr>
            <w:tcW w:w="1089" w:type="dxa"/>
            <w:tcBorders>
              <w:bottom w:val="single" w:sz="6" w:space="0" w:color="auto"/>
            </w:tcBorders>
            <w:shd w:val="clear" w:color="auto" w:fill="auto"/>
            <w:vAlign w:val="bottom"/>
          </w:tcPr>
          <w:p w14:paraId="5B5EC9CF" w14:textId="77777777" w:rsidR="00845F02" w:rsidRPr="007D64FF" w:rsidRDefault="00845F02" w:rsidP="00845F02">
            <w:pPr>
              <w:tabs>
                <w:tab w:val="decimal" w:pos="113"/>
              </w:tabs>
              <w:spacing w:line="200" w:lineRule="exact"/>
              <w:jc w:val="left"/>
              <w:rPr>
                <w:szCs w:val="22"/>
              </w:rPr>
            </w:pPr>
          </w:p>
        </w:tc>
        <w:tc>
          <w:tcPr>
            <w:tcW w:w="108" w:type="dxa"/>
          </w:tcPr>
          <w:p w14:paraId="5E70E5AF" w14:textId="77777777" w:rsidR="00845F02" w:rsidRPr="007D64FF" w:rsidRDefault="00845F02" w:rsidP="00845F02">
            <w:pPr>
              <w:tabs>
                <w:tab w:val="decimal" w:pos="113"/>
              </w:tabs>
              <w:spacing w:line="200" w:lineRule="exact"/>
              <w:jc w:val="left"/>
              <w:rPr>
                <w:szCs w:val="22"/>
              </w:rPr>
            </w:pPr>
          </w:p>
        </w:tc>
        <w:tc>
          <w:tcPr>
            <w:tcW w:w="1089" w:type="dxa"/>
            <w:tcBorders>
              <w:bottom w:val="single" w:sz="6" w:space="0" w:color="auto"/>
            </w:tcBorders>
            <w:shd w:val="clear" w:color="auto" w:fill="auto"/>
          </w:tcPr>
          <w:p w14:paraId="2C286276" w14:textId="77777777" w:rsidR="00845F02" w:rsidRPr="007D64FF" w:rsidRDefault="00845F02" w:rsidP="00845F02">
            <w:pPr>
              <w:tabs>
                <w:tab w:val="decimal" w:pos="113"/>
              </w:tabs>
              <w:spacing w:line="200" w:lineRule="exact"/>
              <w:jc w:val="left"/>
              <w:rPr>
                <w:szCs w:val="22"/>
              </w:rPr>
            </w:pPr>
          </w:p>
        </w:tc>
      </w:tr>
      <w:tr w:rsidR="00845F02" w:rsidRPr="007D64FF" w14:paraId="0889B372" w14:textId="77777777" w:rsidTr="001521F8">
        <w:tc>
          <w:tcPr>
            <w:tcW w:w="1572" w:type="dxa"/>
            <w:tcBorders>
              <w:top w:val="single" w:sz="6" w:space="0" w:color="auto"/>
            </w:tcBorders>
          </w:tcPr>
          <w:p w14:paraId="15566442" w14:textId="77777777" w:rsidR="00845F02" w:rsidRPr="000B1730" w:rsidRDefault="00845F02" w:rsidP="00845F02">
            <w:pPr>
              <w:pStyle w:val="a3"/>
              <w:widowControl/>
              <w:tabs>
                <w:tab w:val="left" w:pos="227"/>
                <w:tab w:val="left" w:pos="397"/>
                <w:tab w:val="left" w:pos="567"/>
              </w:tabs>
              <w:spacing w:line="120" w:lineRule="auto"/>
              <w:ind w:left="0"/>
              <w:jc w:val="right"/>
              <w:rPr>
                <w:i/>
                <w:iCs/>
                <w:sz w:val="13"/>
                <w:szCs w:val="13"/>
                <w:rtl/>
              </w:rPr>
            </w:pPr>
          </w:p>
        </w:tc>
        <w:tc>
          <w:tcPr>
            <w:tcW w:w="4480" w:type="dxa"/>
            <w:vAlign w:val="bottom"/>
          </w:tcPr>
          <w:p w14:paraId="2E5102FB" w14:textId="77777777" w:rsidR="00845F02" w:rsidRPr="00376906" w:rsidRDefault="00845F02" w:rsidP="00845F02">
            <w:pPr>
              <w:pStyle w:val="a3"/>
              <w:widowControl/>
              <w:tabs>
                <w:tab w:val="left" w:pos="227"/>
                <w:tab w:val="left" w:pos="397"/>
                <w:tab w:val="left" w:pos="567"/>
              </w:tabs>
              <w:spacing w:line="120" w:lineRule="auto"/>
              <w:ind w:left="0"/>
              <w:rPr>
                <w:sz w:val="18"/>
                <w:szCs w:val="20"/>
                <w:u w:val="single"/>
                <w:rtl/>
              </w:rPr>
            </w:pPr>
          </w:p>
        </w:tc>
        <w:tc>
          <w:tcPr>
            <w:tcW w:w="113" w:type="dxa"/>
            <w:shd w:val="clear" w:color="auto" w:fill="auto"/>
            <w:vAlign w:val="bottom"/>
          </w:tcPr>
          <w:p w14:paraId="74EC2A34" w14:textId="77777777" w:rsidR="00845F02" w:rsidRPr="007D64FF" w:rsidRDefault="00845F02" w:rsidP="00845F02">
            <w:pPr>
              <w:widowControl/>
              <w:tabs>
                <w:tab w:val="left" w:pos="0"/>
                <w:tab w:val="left" w:pos="397"/>
                <w:tab w:val="left" w:pos="510"/>
              </w:tabs>
              <w:spacing w:line="120" w:lineRule="auto"/>
              <w:rPr>
                <w:szCs w:val="22"/>
              </w:rPr>
            </w:pPr>
          </w:p>
        </w:tc>
        <w:tc>
          <w:tcPr>
            <w:tcW w:w="1089" w:type="dxa"/>
            <w:tcBorders>
              <w:top w:val="single" w:sz="6" w:space="0" w:color="auto"/>
              <w:left w:val="nil"/>
              <w:right w:val="nil"/>
            </w:tcBorders>
            <w:vAlign w:val="bottom"/>
          </w:tcPr>
          <w:p w14:paraId="231BF09F" w14:textId="77777777" w:rsidR="00845F02" w:rsidRPr="007D64FF" w:rsidRDefault="00845F02" w:rsidP="00845F02">
            <w:pPr>
              <w:widowControl/>
              <w:tabs>
                <w:tab w:val="decimal" w:pos="113"/>
              </w:tabs>
              <w:spacing w:line="120" w:lineRule="auto"/>
              <w:jc w:val="left"/>
              <w:rPr>
                <w:szCs w:val="22"/>
              </w:rPr>
            </w:pPr>
          </w:p>
        </w:tc>
        <w:tc>
          <w:tcPr>
            <w:tcW w:w="138" w:type="dxa"/>
            <w:gridSpan w:val="2"/>
            <w:vAlign w:val="bottom"/>
          </w:tcPr>
          <w:p w14:paraId="01EAD49D" w14:textId="77777777" w:rsidR="00845F02" w:rsidRPr="007D64FF" w:rsidRDefault="00845F02" w:rsidP="00845F02">
            <w:pPr>
              <w:widowControl/>
              <w:tabs>
                <w:tab w:val="decimal" w:pos="113"/>
              </w:tabs>
              <w:spacing w:line="120" w:lineRule="auto"/>
              <w:jc w:val="left"/>
              <w:rPr>
                <w:szCs w:val="22"/>
              </w:rPr>
            </w:pPr>
          </w:p>
        </w:tc>
        <w:tc>
          <w:tcPr>
            <w:tcW w:w="1089" w:type="dxa"/>
            <w:tcBorders>
              <w:top w:val="single" w:sz="6" w:space="0" w:color="auto"/>
              <w:left w:val="nil"/>
              <w:right w:val="nil"/>
            </w:tcBorders>
            <w:vAlign w:val="bottom"/>
          </w:tcPr>
          <w:p w14:paraId="28EB3E23" w14:textId="77777777" w:rsidR="00845F02" w:rsidRPr="007D64FF" w:rsidRDefault="00845F02" w:rsidP="00845F02">
            <w:pPr>
              <w:widowControl/>
              <w:tabs>
                <w:tab w:val="decimal" w:pos="113"/>
              </w:tabs>
              <w:spacing w:line="120" w:lineRule="auto"/>
              <w:jc w:val="left"/>
              <w:rPr>
                <w:szCs w:val="22"/>
              </w:rPr>
            </w:pPr>
          </w:p>
        </w:tc>
        <w:tc>
          <w:tcPr>
            <w:tcW w:w="108" w:type="dxa"/>
            <w:tcBorders>
              <w:top w:val="nil"/>
              <w:left w:val="nil"/>
              <w:right w:val="nil"/>
            </w:tcBorders>
            <w:shd w:val="clear" w:color="auto" w:fill="auto"/>
          </w:tcPr>
          <w:p w14:paraId="63BB99E9" w14:textId="77777777" w:rsidR="00845F02" w:rsidRPr="007D64FF" w:rsidRDefault="00845F02" w:rsidP="00845F02">
            <w:pPr>
              <w:widowControl/>
              <w:tabs>
                <w:tab w:val="decimal" w:pos="113"/>
              </w:tabs>
              <w:spacing w:line="120" w:lineRule="auto"/>
              <w:jc w:val="left"/>
              <w:rPr>
                <w:szCs w:val="22"/>
              </w:rPr>
            </w:pPr>
          </w:p>
        </w:tc>
        <w:tc>
          <w:tcPr>
            <w:tcW w:w="1089" w:type="dxa"/>
            <w:tcBorders>
              <w:top w:val="single" w:sz="6" w:space="0" w:color="auto"/>
              <w:left w:val="nil"/>
              <w:right w:val="nil"/>
            </w:tcBorders>
          </w:tcPr>
          <w:p w14:paraId="2F0C5E48" w14:textId="77777777" w:rsidR="00845F02" w:rsidRPr="007D64FF" w:rsidRDefault="00845F02" w:rsidP="00845F02">
            <w:pPr>
              <w:widowControl/>
              <w:tabs>
                <w:tab w:val="decimal" w:pos="113"/>
              </w:tabs>
              <w:spacing w:line="120" w:lineRule="auto"/>
              <w:jc w:val="left"/>
              <w:rPr>
                <w:szCs w:val="22"/>
              </w:rPr>
            </w:pPr>
          </w:p>
        </w:tc>
      </w:tr>
      <w:tr w:rsidR="00845F02" w:rsidRPr="007D64FF" w14:paraId="741AF316" w14:textId="77777777" w:rsidTr="001521F8">
        <w:tc>
          <w:tcPr>
            <w:tcW w:w="1572" w:type="dxa"/>
            <w:tcBorders>
              <w:bottom w:val="single" w:sz="6" w:space="0" w:color="auto"/>
              <w:right w:val="single" w:sz="6" w:space="0" w:color="auto"/>
            </w:tcBorders>
          </w:tcPr>
          <w:p w14:paraId="25B5D43D"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1.54(q); IAS 27.27</w:t>
            </w:r>
          </w:p>
        </w:tc>
        <w:tc>
          <w:tcPr>
            <w:tcW w:w="4480" w:type="dxa"/>
            <w:tcBorders>
              <w:left w:val="single" w:sz="6" w:space="0" w:color="auto"/>
            </w:tcBorders>
            <w:vAlign w:val="bottom"/>
          </w:tcPr>
          <w:p w14:paraId="4B9BE800" w14:textId="77777777" w:rsidR="00845F02" w:rsidRPr="00376906" w:rsidRDefault="00845F02" w:rsidP="00845F02">
            <w:pPr>
              <w:pStyle w:val="a3"/>
              <w:tabs>
                <w:tab w:val="left" w:pos="227"/>
                <w:tab w:val="left" w:pos="397"/>
                <w:tab w:val="left" w:pos="567"/>
              </w:tabs>
              <w:spacing w:line="200" w:lineRule="exact"/>
              <w:ind w:left="227" w:hanging="170"/>
              <w:rPr>
                <w:sz w:val="18"/>
                <w:szCs w:val="20"/>
                <w:u w:val="single"/>
              </w:rPr>
            </w:pPr>
            <w:r w:rsidRPr="00376906">
              <w:rPr>
                <w:rFonts w:hint="cs"/>
                <w:sz w:val="18"/>
                <w:szCs w:val="20"/>
                <w:u w:val="single"/>
                <w:rtl/>
              </w:rPr>
              <w:t>זכויות שאינן מקנות שליטה</w:t>
            </w:r>
          </w:p>
        </w:tc>
        <w:tc>
          <w:tcPr>
            <w:tcW w:w="113" w:type="dxa"/>
            <w:shd w:val="clear" w:color="auto" w:fill="auto"/>
            <w:vAlign w:val="bottom"/>
          </w:tcPr>
          <w:p w14:paraId="3720188C"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left w:val="nil"/>
              <w:bottom w:val="single" w:sz="6" w:space="0" w:color="auto"/>
              <w:right w:val="nil"/>
            </w:tcBorders>
            <w:shd w:val="clear" w:color="auto" w:fill="auto"/>
            <w:vAlign w:val="bottom"/>
          </w:tcPr>
          <w:p w14:paraId="655A96D0"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5F588F3D" w14:textId="77777777" w:rsidR="00845F02" w:rsidRPr="007D64FF" w:rsidRDefault="00845F02" w:rsidP="00845F02">
            <w:pPr>
              <w:tabs>
                <w:tab w:val="decimal" w:pos="113"/>
              </w:tabs>
              <w:spacing w:line="200" w:lineRule="exact"/>
              <w:jc w:val="left"/>
              <w:rPr>
                <w:szCs w:val="22"/>
              </w:rPr>
            </w:pPr>
          </w:p>
        </w:tc>
        <w:tc>
          <w:tcPr>
            <w:tcW w:w="1089" w:type="dxa"/>
            <w:tcBorders>
              <w:left w:val="nil"/>
              <w:bottom w:val="single" w:sz="6" w:space="0" w:color="auto"/>
              <w:right w:val="nil"/>
            </w:tcBorders>
            <w:shd w:val="clear" w:color="auto" w:fill="auto"/>
            <w:vAlign w:val="bottom"/>
          </w:tcPr>
          <w:p w14:paraId="637C03A8" w14:textId="77777777" w:rsidR="00845F02" w:rsidRPr="007D64FF" w:rsidRDefault="00845F02" w:rsidP="00845F02">
            <w:pPr>
              <w:tabs>
                <w:tab w:val="decimal" w:pos="113"/>
              </w:tabs>
              <w:spacing w:line="200" w:lineRule="exact"/>
              <w:jc w:val="left"/>
              <w:rPr>
                <w:szCs w:val="22"/>
              </w:rPr>
            </w:pPr>
          </w:p>
        </w:tc>
        <w:tc>
          <w:tcPr>
            <w:tcW w:w="108" w:type="dxa"/>
            <w:tcBorders>
              <w:left w:val="nil"/>
              <w:right w:val="nil"/>
            </w:tcBorders>
            <w:shd w:val="clear" w:color="auto" w:fill="auto"/>
          </w:tcPr>
          <w:p w14:paraId="27A51E79" w14:textId="77777777" w:rsidR="00845F02" w:rsidRPr="007D64FF" w:rsidRDefault="00845F02" w:rsidP="00845F02">
            <w:pPr>
              <w:tabs>
                <w:tab w:val="decimal" w:pos="113"/>
              </w:tabs>
              <w:spacing w:line="200" w:lineRule="exact"/>
              <w:jc w:val="left"/>
              <w:rPr>
                <w:szCs w:val="22"/>
              </w:rPr>
            </w:pPr>
          </w:p>
        </w:tc>
        <w:tc>
          <w:tcPr>
            <w:tcW w:w="1089" w:type="dxa"/>
            <w:tcBorders>
              <w:left w:val="nil"/>
              <w:bottom w:val="single" w:sz="6" w:space="0" w:color="auto"/>
              <w:right w:val="nil"/>
            </w:tcBorders>
            <w:shd w:val="clear" w:color="auto" w:fill="auto"/>
          </w:tcPr>
          <w:p w14:paraId="048EC4A7" w14:textId="77777777" w:rsidR="00845F02" w:rsidRPr="007D64FF" w:rsidRDefault="00845F02" w:rsidP="00845F02">
            <w:pPr>
              <w:tabs>
                <w:tab w:val="decimal" w:pos="113"/>
              </w:tabs>
              <w:spacing w:line="200" w:lineRule="exact"/>
              <w:jc w:val="left"/>
              <w:rPr>
                <w:szCs w:val="22"/>
              </w:rPr>
            </w:pPr>
          </w:p>
        </w:tc>
      </w:tr>
      <w:tr w:rsidR="00845F02" w:rsidRPr="007D64FF" w14:paraId="24307A5F" w14:textId="77777777" w:rsidTr="001521F8">
        <w:tc>
          <w:tcPr>
            <w:tcW w:w="1572" w:type="dxa"/>
            <w:tcBorders>
              <w:top w:val="single" w:sz="6" w:space="0" w:color="auto"/>
            </w:tcBorders>
          </w:tcPr>
          <w:p w14:paraId="48EC8A94" w14:textId="77777777" w:rsidR="00845F02" w:rsidRPr="000B1730" w:rsidRDefault="00845F02" w:rsidP="00845F02">
            <w:pPr>
              <w:pStyle w:val="a3"/>
              <w:widowControl/>
              <w:tabs>
                <w:tab w:val="left" w:pos="227"/>
                <w:tab w:val="left" w:pos="397"/>
                <w:tab w:val="left" w:pos="567"/>
              </w:tabs>
              <w:spacing w:line="200" w:lineRule="exact"/>
              <w:ind w:left="0"/>
              <w:jc w:val="right"/>
              <w:rPr>
                <w:i/>
                <w:iCs/>
                <w:sz w:val="13"/>
                <w:szCs w:val="13"/>
                <w:rtl/>
              </w:rPr>
            </w:pPr>
          </w:p>
        </w:tc>
        <w:tc>
          <w:tcPr>
            <w:tcW w:w="4480" w:type="dxa"/>
            <w:vAlign w:val="bottom"/>
          </w:tcPr>
          <w:p w14:paraId="358D25B6" w14:textId="77777777" w:rsidR="00845F02" w:rsidRPr="00376906" w:rsidRDefault="00845F02" w:rsidP="00845F02">
            <w:pPr>
              <w:widowControl/>
              <w:tabs>
                <w:tab w:val="left" w:pos="227"/>
                <w:tab w:val="left" w:pos="397"/>
                <w:tab w:val="left" w:pos="567"/>
              </w:tabs>
              <w:spacing w:line="200" w:lineRule="exact"/>
              <w:rPr>
                <w:sz w:val="18"/>
                <w:szCs w:val="20"/>
                <w:u w:val="single"/>
              </w:rPr>
            </w:pPr>
          </w:p>
        </w:tc>
        <w:tc>
          <w:tcPr>
            <w:tcW w:w="113" w:type="dxa"/>
            <w:shd w:val="clear" w:color="auto" w:fill="auto"/>
            <w:vAlign w:val="bottom"/>
          </w:tcPr>
          <w:p w14:paraId="02EC77B6" w14:textId="77777777" w:rsidR="00845F02" w:rsidRPr="007D64FF" w:rsidRDefault="00845F02" w:rsidP="00845F02">
            <w:pPr>
              <w:widowControl/>
              <w:tabs>
                <w:tab w:val="left" w:pos="0"/>
                <w:tab w:val="left" w:pos="397"/>
                <w:tab w:val="left" w:pos="510"/>
              </w:tabs>
              <w:spacing w:line="200" w:lineRule="exact"/>
              <w:rPr>
                <w:szCs w:val="22"/>
              </w:rPr>
            </w:pPr>
          </w:p>
        </w:tc>
        <w:tc>
          <w:tcPr>
            <w:tcW w:w="1089" w:type="dxa"/>
            <w:tcBorders>
              <w:top w:val="single" w:sz="6" w:space="0" w:color="auto"/>
              <w:left w:val="nil"/>
              <w:bottom w:val="nil"/>
              <w:right w:val="nil"/>
            </w:tcBorders>
            <w:vAlign w:val="bottom"/>
          </w:tcPr>
          <w:p w14:paraId="44B92442" w14:textId="77777777" w:rsidR="00845F02" w:rsidRPr="007D64FF" w:rsidRDefault="00845F02" w:rsidP="00845F02">
            <w:pPr>
              <w:widowControl/>
              <w:tabs>
                <w:tab w:val="decimal" w:pos="113"/>
              </w:tabs>
              <w:spacing w:line="200" w:lineRule="exact"/>
              <w:jc w:val="left"/>
              <w:rPr>
                <w:szCs w:val="22"/>
              </w:rPr>
            </w:pPr>
          </w:p>
        </w:tc>
        <w:tc>
          <w:tcPr>
            <w:tcW w:w="138" w:type="dxa"/>
            <w:gridSpan w:val="2"/>
            <w:vAlign w:val="bottom"/>
          </w:tcPr>
          <w:p w14:paraId="0DB0D917" w14:textId="77777777" w:rsidR="00845F02" w:rsidRPr="007D64FF" w:rsidRDefault="00845F02" w:rsidP="00845F02">
            <w:pPr>
              <w:widowControl/>
              <w:tabs>
                <w:tab w:val="decimal" w:pos="113"/>
              </w:tabs>
              <w:spacing w:line="200" w:lineRule="exact"/>
              <w:jc w:val="left"/>
              <w:rPr>
                <w:szCs w:val="22"/>
              </w:rPr>
            </w:pPr>
          </w:p>
        </w:tc>
        <w:tc>
          <w:tcPr>
            <w:tcW w:w="1089" w:type="dxa"/>
            <w:tcBorders>
              <w:top w:val="single" w:sz="6" w:space="0" w:color="auto"/>
              <w:left w:val="nil"/>
              <w:bottom w:val="nil"/>
              <w:right w:val="nil"/>
            </w:tcBorders>
            <w:vAlign w:val="bottom"/>
          </w:tcPr>
          <w:p w14:paraId="5484FB0E" w14:textId="77777777" w:rsidR="00845F02" w:rsidRPr="007D64FF" w:rsidRDefault="00845F02" w:rsidP="00845F02">
            <w:pPr>
              <w:widowControl/>
              <w:tabs>
                <w:tab w:val="decimal" w:pos="113"/>
              </w:tabs>
              <w:spacing w:line="200" w:lineRule="exact"/>
              <w:jc w:val="left"/>
              <w:rPr>
                <w:szCs w:val="22"/>
              </w:rPr>
            </w:pPr>
          </w:p>
        </w:tc>
        <w:tc>
          <w:tcPr>
            <w:tcW w:w="108" w:type="dxa"/>
            <w:tcBorders>
              <w:left w:val="nil"/>
              <w:right w:val="nil"/>
            </w:tcBorders>
          </w:tcPr>
          <w:p w14:paraId="0CA02EAB" w14:textId="77777777" w:rsidR="00845F02" w:rsidRPr="007D64FF" w:rsidRDefault="00845F02" w:rsidP="00845F02">
            <w:pPr>
              <w:widowControl/>
              <w:tabs>
                <w:tab w:val="decimal" w:pos="113"/>
              </w:tabs>
              <w:spacing w:line="200" w:lineRule="exact"/>
              <w:jc w:val="left"/>
              <w:rPr>
                <w:szCs w:val="22"/>
              </w:rPr>
            </w:pPr>
          </w:p>
        </w:tc>
        <w:tc>
          <w:tcPr>
            <w:tcW w:w="1089" w:type="dxa"/>
            <w:tcBorders>
              <w:top w:val="single" w:sz="6" w:space="0" w:color="auto"/>
              <w:left w:val="nil"/>
              <w:bottom w:val="nil"/>
              <w:right w:val="nil"/>
            </w:tcBorders>
          </w:tcPr>
          <w:p w14:paraId="782AFCC8" w14:textId="77777777" w:rsidR="00845F02" w:rsidRPr="007D64FF" w:rsidRDefault="00845F02" w:rsidP="00845F02">
            <w:pPr>
              <w:widowControl/>
              <w:tabs>
                <w:tab w:val="decimal" w:pos="113"/>
              </w:tabs>
              <w:spacing w:line="200" w:lineRule="exact"/>
              <w:jc w:val="left"/>
              <w:rPr>
                <w:szCs w:val="22"/>
              </w:rPr>
            </w:pPr>
          </w:p>
        </w:tc>
      </w:tr>
      <w:tr w:rsidR="00845F02" w:rsidRPr="007D64FF" w14:paraId="717B4797" w14:textId="77777777" w:rsidTr="001521F8">
        <w:tc>
          <w:tcPr>
            <w:tcW w:w="1572" w:type="dxa"/>
          </w:tcPr>
          <w:p w14:paraId="72D34FC6" w14:textId="77777777" w:rsidR="00845F02" w:rsidRPr="000B1730" w:rsidRDefault="00845F02" w:rsidP="00845F02">
            <w:pPr>
              <w:widowControl/>
              <w:tabs>
                <w:tab w:val="left" w:pos="227"/>
                <w:tab w:val="left" w:pos="397"/>
                <w:tab w:val="left" w:pos="567"/>
              </w:tabs>
              <w:bidi w:val="0"/>
              <w:spacing w:line="200" w:lineRule="exact"/>
              <w:jc w:val="right"/>
              <w:rPr>
                <w:i/>
                <w:iCs/>
                <w:sz w:val="13"/>
                <w:szCs w:val="13"/>
              </w:rPr>
            </w:pPr>
          </w:p>
        </w:tc>
        <w:tc>
          <w:tcPr>
            <w:tcW w:w="4480" w:type="dxa"/>
            <w:vAlign w:val="bottom"/>
          </w:tcPr>
          <w:p w14:paraId="2FA840CA" w14:textId="77777777" w:rsidR="00845F02" w:rsidRPr="00376906" w:rsidRDefault="00845F02" w:rsidP="00845F02">
            <w:pPr>
              <w:pStyle w:val="a3"/>
              <w:tabs>
                <w:tab w:val="left" w:pos="227"/>
                <w:tab w:val="left" w:pos="397"/>
                <w:tab w:val="left" w:pos="567"/>
              </w:tabs>
              <w:spacing w:line="200" w:lineRule="exact"/>
              <w:ind w:left="227" w:hanging="170"/>
              <w:rPr>
                <w:sz w:val="18"/>
                <w:szCs w:val="20"/>
                <w:u w:val="single"/>
              </w:rPr>
            </w:pPr>
            <w:r w:rsidRPr="00376906">
              <w:rPr>
                <w:rFonts w:hint="cs"/>
                <w:sz w:val="18"/>
                <w:szCs w:val="20"/>
                <w:u w:val="single"/>
                <w:rtl/>
              </w:rPr>
              <w:t>סה"כ הון (גרעון בהון)</w:t>
            </w:r>
          </w:p>
        </w:tc>
        <w:tc>
          <w:tcPr>
            <w:tcW w:w="113" w:type="dxa"/>
            <w:shd w:val="clear" w:color="auto" w:fill="auto"/>
            <w:vAlign w:val="bottom"/>
          </w:tcPr>
          <w:p w14:paraId="64CA418C"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top w:val="nil"/>
              <w:left w:val="nil"/>
              <w:bottom w:val="single" w:sz="6" w:space="0" w:color="auto"/>
              <w:right w:val="nil"/>
            </w:tcBorders>
            <w:vAlign w:val="bottom"/>
          </w:tcPr>
          <w:p w14:paraId="3E419298"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74A198EC"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bottom w:val="single" w:sz="6" w:space="0" w:color="auto"/>
              <w:right w:val="nil"/>
            </w:tcBorders>
            <w:vAlign w:val="bottom"/>
          </w:tcPr>
          <w:p w14:paraId="76748F6A" w14:textId="77777777" w:rsidR="00845F02" w:rsidRPr="007D64FF" w:rsidRDefault="00845F02" w:rsidP="00845F02">
            <w:pPr>
              <w:tabs>
                <w:tab w:val="decimal" w:pos="113"/>
              </w:tabs>
              <w:spacing w:line="200" w:lineRule="exact"/>
              <w:jc w:val="left"/>
              <w:rPr>
                <w:szCs w:val="22"/>
              </w:rPr>
            </w:pPr>
          </w:p>
        </w:tc>
        <w:tc>
          <w:tcPr>
            <w:tcW w:w="108" w:type="dxa"/>
            <w:tcBorders>
              <w:top w:val="nil"/>
              <w:left w:val="nil"/>
              <w:right w:val="nil"/>
            </w:tcBorders>
            <w:shd w:val="clear" w:color="auto" w:fill="auto"/>
          </w:tcPr>
          <w:p w14:paraId="70AED51C"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bottom w:val="single" w:sz="6" w:space="0" w:color="auto"/>
              <w:right w:val="nil"/>
            </w:tcBorders>
          </w:tcPr>
          <w:p w14:paraId="7E3279E5" w14:textId="77777777" w:rsidR="00845F02" w:rsidRPr="007D64FF" w:rsidRDefault="00845F02" w:rsidP="00845F02">
            <w:pPr>
              <w:tabs>
                <w:tab w:val="decimal" w:pos="113"/>
              </w:tabs>
              <w:spacing w:line="200" w:lineRule="exact"/>
              <w:jc w:val="left"/>
              <w:rPr>
                <w:szCs w:val="22"/>
              </w:rPr>
            </w:pPr>
          </w:p>
        </w:tc>
      </w:tr>
      <w:tr w:rsidR="00845F02" w:rsidRPr="007D64FF" w14:paraId="61AE0C86" w14:textId="77777777" w:rsidTr="001521F8">
        <w:tc>
          <w:tcPr>
            <w:tcW w:w="1572" w:type="dxa"/>
          </w:tcPr>
          <w:p w14:paraId="4722B1F5" w14:textId="77777777" w:rsidR="00845F02" w:rsidRPr="000B1730" w:rsidRDefault="00845F02" w:rsidP="00845F02">
            <w:pPr>
              <w:tabs>
                <w:tab w:val="left" w:pos="227"/>
                <w:tab w:val="left" w:pos="397"/>
                <w:tab w:val="left" w:pos="567"/>
              </w:tabs>
              <w:spacing w:line="200" w:lineRule="exact"/>
              <w:ind w:left="227" w:hanging="227"/>
              <w:rPr>
                <w:sz w:val="13"/>
                <w:szCs w:val="13"/>
              </w:rPr>
            </w:pPr>
          </w:p>
        </w:tc>
        <w:tc>
          <w:tcPr>
            <w:tcW w:w="4480" w:type="dxa"/>
            <w:vAlign w:val="bottom"/>
          </w:tcPr>
          <w:p w14:paraId="1911E7F6" w14:textId="77777777" w:rsidR="00845F02" w:rsidRPr="00376906" w:rsidRDefault="00845F02" w:rsidP="00845F02">
            <w:pPr>
              <w:tabs>
                <w:tab w:val="left" w:pos="227"/>
                <w:tab w:val="left" w:pos="397"/>
                <w:tab w:val="left" w:pos="567"/>
              </w:tabs>
              <w:spacing w:line="200" w:lineRule="exact"/>
              <w:ind w:left="227" w:hanging="227"/>
              <w:rPr>
                <w:sz w:val="18"/>
                <w:szCs w:val="20"/>
              </w:rPr>
            </w:pPr>
          </w:p>
        </w:tc>
        <w:tc>
          <w:tcPr>
            <w:tcW w:w="113" w:type="dxa"/>
            <w:shd w:val="clear" w:color="auto" w:fill="auto"/>
            <w:vAlign w:val="bottom"/>
          </w:tcPr>
          <w:p w14:paraId="5EFC87AE"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top w:val="nil"/>
              <w:left w:val="nil"/>
              <w:bottom w:val="double" w:sz="6" w:space="0" w:color="auto"/>
              <w:right w:val="nil"/>
            </w:tcBorders>
            <w:vAlign w:val="bottom"/>
          </w:tcPr>
          <w:p w14:paraId="18EE0AB6"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7F1D9C30"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bottom w:val="double" w:sz="6" w:space="0" w:color="auto"/>
              <w:right w:val="nil"/>
            </w:tcBorders>
            <w:vAlign w:val="bottom"/>
          </w:tcPr>
          <w:p w14:paraId="2DFDE6DC" w14:textId="77777777" w:rsidR="00845F02" w:rsidRPr="007D64FF" w:rsidRDefault="00845F02" w:rsidP="00845F02">
            <w:pPr>
              <w:tabs>
                <w:tab w:val="decimal" w:pos="113"/>
              </w:tabs>
              <w:spacing w:line="200" w:lineRule="exact"/>
              <w:jc w:val="left"/>
              <w:rPr>
                <w:szCs w:val="22"/>
              </w:rPr>
            </w:pPr>
          </w:p>
        </w:tc>
        <w:tc>
          <w:tcPr>
            <w:tcW w:w="108" w:type="dxa"/>
            <w:tcBorders>
              <w:top w:val="nil"/>
              <w:left w:val="nil"/>
              <w:right w:val="nil"/>
            </w:tcBorders>
            <w:shd w:val="clear" w:color="auto" w:fill="auto"/>
          </w:tcPr>
          <w:p w14:paraId="008E3E7F"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bottom w:val="double" w:sz="6" w:space="0" w:color="auto"/>
              <w:right w:val="nil"/>
            </w:tcBorders>
          </w:tcPr>
          <w:p w14:paraId="6C0046EE" w14:textId="77777777" w:rsidR="00845F02" w:rsidRPr="007D64FF" w:rsidRDefault="00845F02" w:rsidP="00845F02">
            <w:pPr>
              <w:tabs>
                <w:tab w:val="decimal" w:pos="113"/>
              </w:tabs>
              <w:spacing w:line="200" w:lineRule="exact"/>
              <w:jc w:val="left"/>
              <w:rPr>
                <w:szCs w:val="22"/>
              </w:rPr>
            </w:pPr>
          </w:p>
        </w:tc>
      </w:tr>
    </w:tbl>
    <w:p w14:paraId="6D2363FE" w14:textId="77777777" w:rsidR="008D22FA" w:rsidRPr="00E8550C" w:rsidRDefault="00F2585A">
      <w:pPr>
        <w:rPr>
          <w:sz w:val="12"/>
          <w:szCs w:val="16"/>
          <w:rtl/>
        </w:rPr>
      </w:pPr>
      <w:r w:rsidRPr="00E8550C">
        <w:rPr>
          <w:sz w:val="12"/>
          <w:szCs w:val="16"/>
          <w:rtl/>
        </w:rPr>
        <w:t>*)</w:t>
      </w:r>
      <w:r w:rsidRPr="00E8550C">
        <w:rPr>
          <w:sz w:val="12"/>
          <w:szCs w:val="16"/>
          <w:rtl/>
        </w:rPr>
        <w:tab/>
      </w:r>
      <w:r w:rsidRPr="00E8550C">
        <w:rPr>
          <w:rFonts w:hint="eastAsia"/>
          <w:sz w:val="12"/>
          <w:szCs w:val="16"/>
          <w:rtl/>
        </w:rPr>
        <w:t>הוצג</w:t>
      </w:r>
      <w:r w:rsidRPr="00E8550C">
        <w:rPr>
          <w:sz w:val="12"/>
          <w:szCs w:val="16"/>
          <w:rtl/>
        </w:rPr>
        <w:t xml:space="preserve"> מחדש, ראה באור </w:t>
      </w:r>
      <w:r w:rsidRPr="00E8550C">
        <w:rPr>
          <w:sz w:val="12"/>
          <w:szCs w:val="16"/>
          <w:shd w:val="clear" w:color="auto" w:fill="D9D9D9" w:themeFill="background1" w:themeFillShade="D9"/>
          <w:rtl/>
        </w:rPr>
        <w:t>___</w:t>
      </w:r>
      <w:r w:rsidRPr="00E8550C">
        <w:rPr>
          <w:sz w:val="12"/>
          <w:szCs w:val="16"/>
          <w:rtl/>
        </w:rPr>
        <w:t>.</w:t>
      </w:r>
    </w:p>
    <w:p w14:paraId="01BFF606" w14:textId="77777777" w:rsidR="00E53258" w:rsidRPr="00E8550C" w:rsidRDefault="00E53258" w:rsidP="00E53258">
      <w:pPr>
        <w:ind w:left="567" w:hanging="567"/>
        <w:rPr>
          <w:sz w:val="16"/>
          <w:szCs w:val="16"/>
          <w:rtl/>
        </w:rPr>
      </w:pPr>
      <w:r w:rsidRPr="00E8550C">
        <w:rPr>
          <w:rFonts w:hint="cs"/>
          <w:sz w:val="16"/>
          <w:szCs w:val="16"/>
          <w:rtl/>
        </w:rPr>
        <w:t>**)</w:t>
      </w:r>
      <w:r w:rsidRPr="00E8550C">
        <w:rPr>
          <w:sz w:val="16"/>
          <w:szCs w:val="16"/>
          <w:rtl/>
        </w:rPr>
        <w:tab/>
      </w:r>
      <w:r w:rsidRPr="00E8550C">
        <w:rPr>
          <w:rFonts w:hint="cs"/>
          <w:sz w:val="16"/>
          <w:szCs w:val="16"/>
          <w:rtl/>
        </w:rPr>
        <w:t xml:space="preserve">יושם למפרע, ראה באור </w:t>
      </w:r>
      <w:r w:rsidRPr="00E8550C">
        <w:rPr>
          <w:rFonts w:hint="cs"/>
          <w:sz w:val="12"/>
          <w:szCs w:val="16"/>
          <w:shd w:val="clear" w:color="auto" w:fill="D9D9D9" w:themeFill="background1" w:themeFillShade="D9"/>
          <w:rtl/>
        </w:rPr>
        <w:t>_</w:t>
      </w:r>
      <w:r w:rsidR="00376906" w:rsidRPr="00E8550C">
        <w:rPr>
          <w:rFonts w:hint="cs"/>
          <w:sz w:val="12"/>
          <w:szCs w:val="16"/>
          <w:shd w:val="clear" w:color="auto" w:fill="D9D9D9" w:themeFill="background1" w:themeFillShade="D9"/>
          <w:rtl/>
        </w:rPr>
        <w:t>_</w:t>
      </w:r>
      <w:r w:rsidRPr="00E8550C">
        <w:rPr>
          <w:rFonts w:hint="cs"/>
          <w:sz w:val="12"/>
          <w:szCs w:val="16"/>
          <w:shd w:val="clear" w:color="auto" w:fill="D9D9D9" w:themeFill="background1" w:themeFillShade="D9"/>
          <w:rtl/>
        </w:rPr>
        <w:t>__</w:t>
      </w:r>
      <w:r w:rsidRPr="00E8550C">
        <w:rPr>
          <w:rFonts w:hint="cs"/>
          <w:sz w:val="12"/>
          <w:szCs w:val="16"/>
          <w:rtl/>
        </w:rPr>
        <w:t>.</w:t>
      </w:r>
    </w:p>
    <w:p w14:paraId="3C4DE347" w14:textId="77777777" w:rsidR="00D765A9" w:rsidRPr="00E8550C" w:rsidRDefault="00D765A9" w:rsidP="002D2FBD">
      <w:pPr>
        <w:ind w:left="567" w:hanging="567"/>
        <w:rPr>
          <w:sz w:val="16"/>
          <w:szCs w:val="16"/>
          <w:rtl/>
        </w:rPr>
      </w:pPr>
      <w:r w:rsidRPr="00E8550C">
        <w:rPr>
          <w:rFonts w:hint="cs"/>
          <w:sz w:val="16"/>
          <w:szCs w:val="16"/>
          <w:rtl/>
        </w:rPr>
        <w:t>**</w:t>
      </w:r>
      <w:r w:rsidR="00E53258" w:rsidRPr="00E8550C">
        <w:rPr>
          <w:rFonts w:hint="cs"/>
          <w:sz w:val="16"/>
          <w:szCs w:val="16"/>
          <w:rtl/>
        </w:rPr>
        <w:t>*</w:t>
      </w:r>
      <w:r w:rsidRPr="00E8550C">
        <w:rPr>
          <w:rFonts w:hint="cs"/>
          <w:sz w:val="16"/>
          <w:szCs w:val="16"/>
          <w:rtl/>
        </w:rPr>
        <w:t>)</w:t>
      </w:r>
      <w:r w:rsidRPr="00E8550C">
        <w:rPr>
          <w:sz w:val="16"/>
          <w:szCs w:val="16"/>
          <w:rtl/>
        </w:rPr>
        <w:tab/>
      </w:r>
      <w:r w:rsidRPr="00E8550C">
        <w:rPr>
          <w:rFonts w:hint="cs"/>
          <w:sz w:val="16"/>
          <w:szCs w:val="16"/>
          <w:rtl/>
        </w:rPr>
        <w:t xml:space="preserve">התאמה לא מהותית של מספרי השוואה, ראה </w:t>
      </w:r>
      <w:r w:rsidR="002D2FBD" w:rsidRPr="00E8550C">
        <w:rPr>
          <w:rFonts w:hint="cs"/>
          <w:sz w:val="16"/>
          <w:szCs w:val="16"/>
          <w:rtl/>
        </w:rPr>
        <w:t>באור</w:t>
      </w:r>
      <w:r w:rsidRPr="00E8550C">
        <w:rPr>
          <w:rFonts w:hint="cs"/>
          <w:sz w:val="16"/>
          <w:szCs w:val="16"/>
          <w:rtl/>
        </w:rPr>
        <w:t xml:space="preserve"> ___.</w:t>
      </w:r>
    </w:p>
    <w:p w14:paraId="226A9C86" w14:textId="77777777" w:rsidR="00AB7D68" w:rsidRPr="00E8550C" w:rsidRDefault="00F2585A" w:rsidP="00605DC8">
      <w:pPr>
        <w:rPr>
          <w:sz w:val="2"/>
          <w:szCs w:val="6"/>
          <w:rtl/>
        </w:rPr>
      </w:pPr>
      <w:r w:rsidRPr="00E8550C">
        <w:rPr>
          <w:rFonts w:hint="eastAsia"/>
          <w:sz w:val="12"/>
          <w:szCs w:val="16"/>
          <w:rtl/>
        </w:rPr>
        <w:t>הבאורים</w:t>
      </w:r>
      <w:r w:rsidRPr="00E8550C">
        <w:rPr>
          <w:sz w:val="12"/>
          <w:szCs w:val="16"/>
          <w:rtl/>
        </w:rPr>
        <w:t xml:space="preserve"> המצורפים מהווים חלק בלתי נפרד מהדוחות הכספיים ביניים מאוחדים.</w:t>
      </w:r>
    </w:p>
    <w:tbl>
      <w:tblPr>
        <w:bidiVisual/>
        <w:tblW w:w="9788" w:type="dxa"/>
        <w:tblInd w:w="112" w:type="dxa"/>
        <w:tblLayout w:type="fixed"/>
        <w:tblCellMar>
          <w:left w:w="107" w:type="dxa"/>
          <w:right w:w="107" w:type="dxa"/>
        </w:tblCellMar>
        <w:tblLook w:val="0000" w:firstRow="0" w:lastRow="0" w:firstColumn="0" w:lastColumn="0" w:noHBand="0" w:noVBand="0"/>
      </w:tblPr>
      <w:tblGrid>
        <w:gridCol w:w="2438"/>
        <w:gridCol w:w="238"/>
        <w:gridCol w:w="2085"/>
        <w:gridCol w:w="238"/>
        <w:gridCol w:w="1722"/>
        <w:gridCol w:w="234"/>
        <w:gridCol w:w="2833"/>
      </w:tblGrid>
      <w:tr w:rsidR="00AB7D68" w:rsidRPr="00376906" w14:paraId="6A050663" w14:textId="77777777" w:rsidTr="004B60E0">
        <w:trPr>
          <w:cantSplit/>
        </w:trPr>
        <w:tc>
          <w:tcPr>
            <w:tcW w:w="2438" w:type="dxa"/>
            <w:tcBorders>
              <w:top w:val="nil"/>
              <w:left w:val="nil"/>
              <w:bottom w:val="single" w:sz="6" w:space="0" w:color="auto"/>
              <w:right w:val="nil"/>
            </w:tcBorders>
          </w:tcPr>
          <w:p w14:paraId="6F039306" w14:textId="19D747E7" w:rsidR="008D22FA" w:rsidRPr="00376906" w:rsidRDefault="000944A8" w:rsidP="00E21527">
            <w:pPr>
              <w:spacing w:line="220" w:lineRule="exact"/>
              <w:jc w:val="center"/>
              <w:rPr>
                <w:sz w:val="16"/>
                <w:szCs w:val="20"/>
              </w:rPr>
            </w:pPr>
            <w:r w:rsidRPr="00376906">
              <w:rPr>
                <w:rFonts w:hint="cs"/>
                <w:sz w:val="16"/>
                <w:szCs w:val="20"/>
                <w:rtl/>
              </w:rPr>
              <w:t xml:space="preserve">, </w:t>
            </w:r>
            <w:r w:rsidR="004A4A6B">
              <w:rPr>
                <w:rFonts w:hint="cs"/>
                <w:sz w:val="16"/>
                <w:szCs w:val="20"/>
                <w:rtl/>
              </w:rPr>
              <w:t>201</w:t>
            </w:r>
            <w:r w:rsidR="00E21527">
              <w:rPr>
                <w:rFonts w:hint="cs"/>
                <w:sz w:val="16"/>
                <w:szCs w:val="20"/>
                <w:rtl/>
              </w:rPr>
              <w:t>9</w:t>
            </w:r>
          </w:p>
        </w:tc>
        <w:tc>
          <w:tcPr>
            <w:tcW w:w="238" w:type="dxa"/>
          </w:tcPr>
          <w:p w14:paraId="772C3EEB" w14:textId="77777777" w:rsidR="00AB7D68" w:rsidRPr="00376906" w:rsidRDefault="00AB7D68" w:rsidP="00B305E0">
            <w:pPr>
              <w:spacing w:line="220" w:lineRule="exact"/>
              <w:jc w:val="center"/>
              <w:rPr>
                <w:sz w:val="16"/>
                <w:szCs w:val="20"/>
              </w:rPr>
            </w:pPr>
          </w:p>
        </w:tc>
        <w:tc>
          <w:tcPr>
            <w:tcW w:w="2085" w:type="dxa"/>
            <w:tcBorders>
              <w:top w:val="nil"/>
              <w:left w:val="nil"/>
              <w:bottom w:val="single" w:sz="6" w:space="0" w:color="auto"/>
              <w:right w:val="nil"/>
            </w:tcBorders>
          </w:tcPr>
          <w:p w14:paraId="7776B361" w14:textId="77777777" w:rsidR="00AB7D68" w:rsidRPr="00376906" w:rsidRDefault="00AB7D68" w:rsidP="00B305E0">
            <w:pPr>
              <w:spacing w:line="220" w:lineRule="exact"/>
              <w:jc w:val="center"/>
              <w:rPr>
                <w:sz w:val="16"/>
                <w:szCs w:val="20"/>
              </w:rPr>
            </w:pPr>
          </w:p>
        </w:tc>
        <w:tc>
          <w:tcPr>
            <w:tcW w:w="238" w:type="dxa"/>
          </w:tcPr>
          <w:p w14:paraId="1FCC93BD" w14:textId="77777777" w:rsidR="00AB7D68" w:rsidRPr="00376906" w:rsidRDefault="00AB7D68" w:rsidP="00B305E0">
            <w:pPr>
              <w:spacing w:line="220" w:lineRule="exact"/>
              <w:jc w:val="center"/>
              <w:rPr>
                <w:sz w:val="16"/>
                <w:szCs w:val="20"/>
              </w:rPr>
            </w:pPr>
          </w:p>
        </w:tc>
        <w:tc>
          <w:tcPr>
            <w:tcW w:w="1722" w:type="dxa"/>
            <w:tcBorders>
              <w:top w:val="nil"/>
              <w:left w:val="nil"/>
              <w:bottom w:val="single" w:sz="4" w:space="0" w:color="auto"/>
              <w:right w:val="nil"/>
            </w:tcBorders>
          </w:tcPr>
          <w:p w14:paraId="064C8B1C" w14:textId="77777777" w:rsidR="00AB7D68" w:rsidRPr="00376906" w:rsidRDefault="00AB7D68" w:rsidP="00B305E0">
            <w:pPr>
              <w:spacing w:line="220" w:lineRule="exact"/>
              <w:jc w:val="center"/>
              <w:rPr>
                <w:sz w:val="16"/>
                <w:szCs w:val="20"/>
              </w:rPr>
            </w:pPr>
          </w:p>
        </w:tc>
        <w:tc>
          <w:tcPr>
            <w:tcW w:w="234" w:type="dxa"/>
          </w:tcPr>
          <w:p w14:paraId="418175A8" w14:textId="77777777" w:rsidR="00AB7D68" w:rsidRPr="00376906" w:rsidRDefault="00AB7D68" w:rsidP="00B305E0">
            <w:pPr>
              <w:spacing w:line="220" w:lineRule="exact"/>
              <w:jc w:val="center"/>
              <w:rPr>
                <w:sz w:val="16"/>
                <w:szCs w:val="20"/>
              </w:rPr>
            </w:pPr>
          </w:p>
        </w:tc>
        <w:tc>
          <w:tcPr>
            <w:tcW w:w="2833" w:type="dxa"/>
            <w:tcBorders>
              <w:top w:val="nil"/>
              <w:left w:val="nil"/>
              <w:bottom w:val="single" w:sz="6" w:space="0" w:color="auto"/>
              <w:right w:val="nil"/>
            </w:tcBorders>
          </w:tcPr>
          <w:p w14:paraId="1E8B889F" w14:textId="77777777" w:rsidR="00AB7D68" w:rsidRPr="00376906" w:rsidRDefault="00AB7D68" w:rsidP="00B305E0">
            <w:pPr>
              <w:spacing w:line="220" w:lineRule="exact"/>
              <w:jc w:val="center"/>
              <w:rPr>
                <w:sz w:val="16"/>
                <w:szCs w:val="20"/>
              </w:rPr>
            </w:pPr>
          </w:p>
        </w:tc>
      </w:tr>
      <w:tr w:rsidR="00AB7D68" w:rsidRPr="00376906" w14:paraId="772CF10D" w14:textId="77777777" w:rsidTr="004B60E0">
        <w:trPr>
          <w:cantSplit/>
        </w:trPr>
        <w:tc>
          <w:tcPr>
            <w:tcW w:w="2438" w:type="dxa"/>
          </w:tcPr>
          <w:p w14:paraId="5DD300DE" w14:textId="77777777" w:rsidR="00AB7D68" w:rsidRPr="00376906" w:rsidRDefault="00AB7D68" w:rsidP="00B305E0">
            <w:pPr>
              <w:spacing w:line="220" w:lineRule="exact"/>
              <w:jc w:val="center"/>
              <w:rPr>
                <w:sz w:val="16"/>
                <w:szCs w:val="20"/>
              </w:rPr>
            </w:pPr>
            <w:r w:rsidRPr="00376906">
              <w:rPr>
                <w:rFonts w:hint="cs"/>
                <w:sz w:val="16"/>
                <w:szCs w:val="20"/>
                <w:rtl/>
              </w:rPr>
              <w:t>תאריך אישור הדוחות הכספיים</w:t>
            </w:r>
          </w:p>
        </w:tc>
        <w:tc>
          <w:tcPr>
            <w:tcW w:w="238" w:type="dxa"/>
          </w:tcPr>
          <w:p w14:paraId="02D53CFD" w14:textId="77777777" w:rsidR="00AB7D68" w:rsidRPr="00376906" w:rsidRDefault="00AB7D68" w:rsidP="00B305E0">
            <w:pPr>
              <w:spacing w:line="220" w:lineRule="exact"/>
              <w:jc w:val="center"/>
              <w:rPr>
                <w:sz w:val="16"/>
                <w:szCs w:val="20"/>
              </w:rPr>
            </w:pPr>
          </w:p>
        </w:tc>
        <w:tc>
          <w:tcPr>
            <w:tcW w:w="2085" w:type="dxa"/>
          </w:tcPr>
          <w:p w14:paraId="49915E72" w14:textId="77777777" w:rsidR="00AB7D68" w:rsidRPr="00376906" w:rsidRDefault="00AB7D68" w:rsidP="00B305E0">
            <w:pPr>
              <w:spacing w:line="220" w:lineRule="exact"/>
              <w:jc w:val="center"/>
              <w:rPr>
                <w:sz w:val="16"/>
                <w:szCs w:val="20"/>
                <w:rtl/>
              </w:rPr>
            </w:pPr>
            <w:r w:rsidRPr="00376906">
              <w:rPr>
                <w:rFonts w:hint="cs"/>
                <w:sz w:val="16"/>
                <w:szCs w:val="20"/>
                <w:rtl/>
              </w:rPr>
              <w:t>שם</w:t>
            </w:r>
          </w:p>
          <w:p w14:paraId="68E11F85" w14:textId="77777777" w:rsidR="00AB7D68" w:rsidRPr="00376906" w:rsidRDefault="00AB7D68" w:rsidP="00B305E0">
            <w:pPr>
              <w:spacing w:line="220" w:lineRule="exact"/>
              <w:jc w:val="center"/>
              <w:rPr>
                <w:sz w:val="16"/>
                <w:szCs w:val="20"/>
              </w:rPr>
            </w:pPr>
            <w:r w:rsidRPr="00376906">
              <w:rPr>
                <w:rFonts w:hint="cs"/>
                <w:sz w:val="16"/>
                <w:szCs w:val="20"/>
                <w:rtl/>
              </w:rPr>
              <w:t>יו"ר הדירקטוריון</w:t>
            </w:r>
            <w:r w:rsidRPr="00376906">
              <w:rPr>
                <w:rStyle w:val="ab"/>
                <w:sz w:val="16"/>
                <w:szCs w:val="20"/>
                <w:rtl/>
              </w:rPr>
              <w:footnoteReference w:id="10"/>
            </w:r>
          </w:p>
        </w:tc>
        <w:tc>
          <w:tcPr>
            <w:tcW w:w="238" w:type="dxa"/>
          </w:tcPr>
          <w:p w14:paraId="1F831593" w14:textId="77777777" w:rsidR="00AB7D68" w:rsidRPr="00376906" w:rsidRDefault="00AB7D68" w:rsidP="00B305E0">
            <w:pPr>
              <w:spacing w:line="220" w:lineRule="exact"/>
              <w:jc w:val="center"/>
              <w:rPr>
                <w:sz w:val="16"/>
                <w:szCs w:val="20"/>
              </w:rPr>
            </w:pPr>
          </w:p>
        </w:tc>
        <w:tc>
          <w:tcPr>
            <w:tcW w:w="1722" w:type="dxa"/>
            <w:tcBorders>
              <w:top w:val="single" w:sz="4" w:space="0" w:color="auto"/>
              <w:left w:val="nil"/>
              <w:bottom w:val="nil"/>
              <w:right w:val="nil"/>
            </w:tcBorders>
          </w:tcPr>
          <w:p w14:paraId="02DF5D3B" w14:textId="77777777" w:rsidR="00F41C12" w:rsidRPr="00376906" w:rsidRDefault="00AB7D68" w:rsidP="00B305E0">
            <w:pPr>
              <w:spacing w:line="220" w:lineRule="exact"/>
              <w:jc w:val="center"/>
              <w:rPr>
                <w:sz w:val="16"/>
                <w:szCs w:val="20"/>
                <w:rtl/>
              </w:rPr>
            </w:pPr>
            <w:r w:rsidRPr="00376906">
              <w:rPr>
                <w:rFonts w:hint="cs"/>
                <w:sz w:val="16"/>
                <w:szCs w:val="20"/>
                <w:rtl/>
              </w:rPr>
              <w:t>שם</w:t>
            </w:r>
          </w:p>
          <w:p w14:paraId="4E085615" w14:textId="77777777" w:rsidR="00F41C12" w:rsidRPr="00376906" w:rsidRDefault="00AB7D68" w:rsidP="005063E4">
            <w:pPr>
              <w:spacing w:line="220" w:lineRule="exact"/>
              <w:jc w:val="center"/>
              <w:rPr>
                <w:sz w:val="16"/>
                <w:szCs w:val="20"/>
              </w:rPr>
            </w:pPr>
            <w:r w:rsidRPr="00376906">
              <w:rPr>
                <w:rFonts w:hint="cs"/>
                <w:sz w:val="16"/>
                <w:szCs w:val="20"/>
                <w:rtl/>
              </w:rPr>
              <w:t>מנ</w:t>
            </w:r>
            <w:r w:rsidR="00B02560" w:rsidRPr="00376906">
              <w:rPr>
                <w:rFonts w:hint="cs"/>
                <w:sz w:val="16"/>
                <w:szCs w:val="20"/>
                <w:rtl/>
              </w:rPr>
              <w:t xml:space="preserve">הל </w:t>
            </w:r>
            <w:r w:rsidRPr="00376906">
              <w:rPr>
                <w:rFonts w:hint="cs"/>
                <w:sz w:val="16"/>
                <w:szCs w:val="20"/>
                <w:rtl/>
              </w:rPr>
              <w:t>כל</w:t>
            </w:r>
            <w:r w:rsidR="00B02560" w:rsidRPr="00376906">
              <w:rPr>
                <w:rFonts w:hint="cs"/>
                <w:sz w:val="16"/>
                <w:szCs w:val="20"/>
                <w:rtl/>
              </w:rPr>
              <w:t>לי</w:t>
            </w:r>
            <w:r w:rsidR="005063E4" w:rsidRPr="00376906">
              <w:rPr>
                <w:rFonts w:hint="cs"/>
                <w:sz w:val="16"/>
                <w:szCs w:val="20"/>
                <w:vertAlign w:val="superscript"/>
                <w:rtl/>
              </w:rPr>
              <w:t>5</w:t>
            </w:r>
          </w:p>
        </w:tc>
        <w:tc>
          <w:tcPr>
            <w:tcW w:w="234" w:type="dxa"/>
          </w:tcPr>
          <w:p w14:paraId="30DB3F92" w14:textId="77777777" w:rsidR="00AB7D68" w:rsidRPr="00376906" w:rsidRDefault="00AB7D68" w:rsidP="00B305E0">
            <w:pPr>
              <w:spacing w:line="220" w:lineRule="exact"/>
              <w:jc w:val="center"/>
              <w:rPr>
                <w:sz w:val="16"/>
                <w:szCs w:val="20"/>
              </w:rPr>
            </w:pPr>
          </w:p>
        </w:tc>
        <w:tc>
          <w:tcPr>
            <w:tcW w:w="2833" w:type="dxa"/>
          </w:tcPr>
          <w:p w14:paraId="662289A5" w14:textId="77777777" w:rsidR="00F41C12" w:rsidRPr="00376906" w:rsidRDefault="00AB7D68" w:rsidP="00B305E0">
            <w:pPr>
              <w:spacing w:line="220" w:lineRule="exact"/>
              <w:jc w:val="center"/>
              <w:rPr>
                <w:sz w:val="16"/>
                <w:szCs w:val="20"/>
                <w:rtl/>
              </w:rPr>
            </w:pPr>
            <w:r w:rsidRPr="00376906">
              <w:rPr>
                <w:rFonts w:hint="cs"/>
                <w:sz w:val="16"/>
                <w:szCs w:val="20"/>
                <w:rtl/>
              </w:rPr>
              <w:t>שם</w:t>
            </w:r>
          </w:p>
          <w:p w14:paraId="56077554" w14:textId="77777777" w:rsidR="00F41C12" w:rsidRPr="00376906" w:rsidRDefault="00AB7D68" w:rsidP="005063E4">
            <w:pPr>
              <w:spacing w:line="220" w:lineRule="exact"/>
              <w:jc w:val="center"/>
              <w:rPr>
                <w:sz w:val="16"/>
                <w:szCs w:val="20"/>
              </w:rPr>
            </w:pPr>
            <w:r w:rsidRPr="00376906">
              <w:rPr>
                <w:rFonts w:hint="cs"/>
                <w:sz w:val="16"/>
                <w:szCs w:val="20"/>
                <w:rtl/>
              </w:rPr>
              <w:t>האחראי הבכיר לתחום הכספים</w:t>
            </w:r>
            <w:r w:rsidR="005063E4" w:rsidRPr="00376906">
              <w:rPr>
                <w:rFonts w:hint="cs"/>
                <w:sz w:val="16"/>
                <w:szCs w:val="20"/>
                <w:vertAlign w:val="superscript"/>
                <w:rtl/>
              </w:rPr>
              <w:t>5</w:t>
            </w:r>
          </w:p>
        </w:tc>
      </w:tr>
    </w:tbl>
    <w:p w14:paraId="371994E9" w14:textId="77777777" w:rsidR="00F41C12" w:rsidRDefault="00AB7D68">
      <w:pPr>
        <w:pBdr>
          <w:bottom w:val="single" w:sz="12" w:space="1" w:color="auto"/>
        </w:pBdr>
        <w:rPr>
          <w:b/>
          <w:bCs/>
          <w:rtl/>
        </w:rPr>
      </w:pPr>
      <w:bookmarkStart w:id="19" w:name="_Toc60984410"/>
      <w:bookmarkStart w:id="20" w:name="_Toc29797698"/>
      <w:bookmarkStart w:id="21" w:name="_Toc29797470"/>
      <w:bookmarkStart w:id="22" w:name="_Toc29796631"/>
      <w:bookmarkStart w:id="23" w:name="_Toc26614783"/>
      <w:bookmarkStart w:id="24" w:name="_Toc26607710"/>
      <w:bookmarkStart w:id="25" w:name="_Toc26607181"/>
      <w:bookmarkStart w:id="26" w:name="_Toc535127675"/>
      <w:bookmarkStart w:id="27" w:name="_Toc532800355"/>
      <w:r w:rsidRPr="00785F4C">
        <w:rPr>
          <w:rFonts w:hint="cs"/>
          <w:b/>
          <w:bCs/>
          <w:rtl/>
        </w:rPr>
        <w:lastRenderedPageBreak/>
        <w:t xml:space="preserve">דוחות </w:t>
      </w:r>
      <w:r w:rsidR="00BD72AA">
        <w:rPr>
          <w:rFonts w:hint="cs"/>
          <w:b/>
          <w:bCs/>
          <w:rtl/>
        </w:rPr>
        <w:t xml:space="preserve">מאוחדים על </w:t>
      </w:r>
      <w:r w:rsidRPr="00785F4C">
        <w:rPr>
          <w:rFonts w:hint="cs"/>
          <w:b/>
          <w:bCs/>
          <w:rtl/>
        </w:rPr>
        <w:t xml:space="preserve">רווח </w:t>
      </w:r>
      <w:r w:rsidR="00EF5295">
        <w:rPr>
          <w:rFonts w:hint="cs"/>
          <w:b/>
          <w:bCs/>
          <w:rtl/>
        </w:rPr>
        <w:t>א</w:t>
      </w:r>
      <w:r w:rsidRPr="00785F4C">
        <w:rPr>
          <w:rFonts w:hint="cs"/>
          <w:b/>
          <w:bCs/>
          <w:rtl/>
        </w:rPr>
        <w:t>ו</w:t>
      </w:r>
      <w:r w:rsidR="00EF5295">
        <w:rPr>
          <w:rFonts w:hint="cs"/>
          <w:b/>
          <w:bCs/>
          <w:rtl/>
        </w:rPr>
        <w:t xml:space="preserve"> </w:t>
      </w:r>
      <w:r w:rsidRPr="00785F4C">
        <w:rPr>
          <w:rFonts w:hint="cs"/>
          <w:b/>
          <w:bCs/>
          <w:rtl/>
        </w:rPr>
        <w:t>הפסד</w:t>
      </w:r>
      <w:bookmarkEnd w:id="19"/>
      <w:bookmarkEnd w:id="20"/>
      <w:bookmarkEnd w:id="21"/>
      <w:bookmarkEnd w:id="22"/>
      <w:bookmarkEnd w:id="23"/>
      <w:bookmarkEnd w:id="24"/>
      <w:bookmarkEnd w:id="25"/>
      <w:bookmarkEnd w:id="26"/>
      <w:bookmarkEnd w:id="27"/>
    </w:p>
    <w:tbl>
      <w:tblPr>
        <w:bidiVisual/>
        <w:tblW w:w="9768" w:type="dxa"/>
        <w:tblInd w:w="-130" w:type="dxa"/>
        <w:tblLayout w:type="fixed"/>
        <w:tblCellMar>
          <w:left w:w="0" w:type="dxa"/>
          <w:right w:w="0" w:type="dxa"/>
        </w:tblCellMar>
        <w:tblLook w:val="01E0" w:firstRow="1" w:lastRow="1" w:firstColumn="1" w:lastColumn="1" w:noHBand="0" w:noVBand="0"/>
      </w:tblPr>
      <w:tblGrid>
        <w:gridCol w:w="1688"/>
        <w:gridCol w:w="2695"/>
        <w:gridCol w:w="113"/>
        <w:gridCol w:w="907"/>
        <w:gridCol w:w="113"/>
        <w:gridCol w:w="219"/>
        <w:gridCol w:w="688"/>
        <w:gridCol w:w="113"/>
        <w:gridCol w:w="907"/>
        <w:gridCol w:w="113"/>
        <w:gridCol w:w="907"/>
        <w:gridCol w:w="113"/>
        <w:gridCol w:w="1192"/>
      </w:tblGrid>
      <w:tr w:rsidR="00332B96" w:rsidRPr="001521F8" w14:paraId="4A515667" w14:textId="77777777" w:rsidTr="001521F8">
        <w:tc>
          <w:tcPr>
            <w:tcW w:w="1688" w:type="dxa"/>
            <w:tcBorders>
              <w:bottom w:val="single" w:sz="6" w:space="0" w:color="auto"/>
              <w:right w:val="single" w:sz="6" w:space="0" w:color="auto"/>
            </w:tcBorders>
            <w:vAlign w:val="center"/>
          </w:tcPr>
          <w:p w14:paraId="240A6D4C" w14:textId="77777777" w:rsidR="00332B96" w:rsidRPr="001521F8" w:rsidRDefault="00332B96" w:rsidP="00D31751">
            <w:pPr>
              <w:tabs>
                <w:tab w:val="left" w:pos="227"/>
                <w:tab w:val="left" w:pos="397"/>
                <w:tab w:val="left" w:pos="567"/>
              </w:tabs>
              <w:bidi w:val="0"/>
              <w:spacing w:line="180" w:lineRule="exact"/>
              <w:ind w:right="57"/>
              <w:jc w:val="right"/>
              <w:rPr>
                <w:i/>
                <w:iCs/>
                <w:sz w:val="14"/>
                <w:szCs w:val="14"/>
                <w:rtl/>
              </w:rPr>
            </w:pPr>
            <w:r w:rsidRPr="001521F8">
              <w:rPr>
                <w:i/>
                <w:iCs/>
                <w:sz w:val="14"/>
                <w:szCs w:val="14"/>
              </w:rPr>
              <w:t>IAS 1.10(b); IAS 1.51(b), (c); IAS 34.10</w:t>
            </w:r>
          </w:p>
        </w:tc>
        <w:tc>
          <w:tcPr>
            <w:tcW w:w="2695" w:type="dxa"/>
            <w:tcBorders>
              <w:left w:val="single" w:sz="6" w:space="0" w:color="auto"/>
            </w:tcBorders>
            <w:shd w:val="clear" w:color="auto" w:fill="auto"/>
            <w:vAlign w:val="bottom"/>
          </w:tcPr>
          <w:p w14:paraId="3F0FCF1B" w14:textId="77777777" w:rsidR="00332B96" w:rsidRPr="001521F8" w:rsidRDefault="00332B96" w:rsidP="00D31751">
            <w:pPr>
              <w:tabs>
                <w:tab w:val="left" w:pos="227"/>
                <w:tab w:val="left" w:pos="397"/>
                <w:tab w:val="left" w:pos="567"/>
              </w:tabs>
              <w:spacing w:line="180" w:lineRule="exact"/>
              <w:ind w:left="227" w:hanging="170"/>
              <w:jc w:val="left"/>
              <w:rPr>
                <w:szCs w:val="20"/>
                <w:rtl/>
              </w:rPr>
            </w:pPr>
          </w:p>
        </w:tc>
        <w:tc>
          <w:tcPr>
            <w:tcW w:w="113" w:type="dxa"/>
            <w:shd w:val="clear" w:color="auto" w:fill="auto"/>
            <w:vAlign w:val="bottom"/>
          </w:tcPr>
          <w:p w14:paraId="5C89181F" w14:textId="77777777" w:rsidR="00332B96" w:rsidRPr="001521F8" w:rsidRDefault="00332B96" w:rsidP="00D31751">
            <w:pPr>
              <w:spacing w:line="180" w:lineRule="exact"/>
              <w:rPr>
                <w:szCs w:val="20"/>
                <w:rtl/>
              </w:rPr>
            </w:pPr>
          </w:p>
        </w:tc>
        <w:tc>
          <w:tcPr>
            <w:tcW w:w="1927" w:type="dxa"/>
            <w:gridSpan w:val="4"/>
            <w:tcBorders>
              <w:bottom w:val="single" w:sz="6" w:space="0" w:color="auto"/>
            </w:tcBorders>
            <w:shd w:val="clear" w:color="auto" w:fill="auto"/>
            <w:vAlign w:val="bottom"/>
          </w:tcPr>
          <w:p w14:paraId="126F4AE3" w14:textId="77777777" w:rsidR="000B1730" w:rsidRPr="001521F8" w:rsidRDefault="00332B96" w:rsidP="00D31751">
            <w:pPr>
              <w:spacing w:line="180" w:lineRule="exact"/>
              <w:jc w:val="center"/>
              <w:rPr>
                <w:szCs w:val="20"/>
                <w:rtl/>
              </w:rPr>
            </w:pPr>
            <w:r w:rsidRPr="001521F8">
              <w:rPr>
                <w:rFonts w:hint="cs"/>
                <w:szCs w:val="20"/>
                <w:rtl/>
              </w:rPr>
              <w:t>ל-9 החודשים שהסתיימו ביום</w:t>
            </w:r>
          </w:p>
          <w:p w14:paraId="52988FF9" w14:textId="77777777" w:rsidR="00332B96" w:rsidRPr="001521F8" w:rsidRDefault="00332B96" w:rsidP="00D31751">
            <w:pPr>
              <w:spacing w:line="180" w:lineRule="exact"/>
              <w:jc w:val="center"/>
              <w:rPr>
                <w:szCs w:val="20"/>
                <w:rtl/>
              </w:rPr>
            </w:pPr>
            <w:r w:rsidRPr="001521F8">
              <w:rPr>
                <w:rFonts w:hint="cs"/>
                <w:szCs w:val="20"/>
                <w:rtl/>
              </w:rPr>
              <w:t>30 בספטמבר</w:t>
            </w:r>
          </w:p>
        </w:tc>
        <w:tc>
          <w:tcPr>
            <w:tcW w:w="113" w:type="dxa"/>
            <w:shd w:val="clear" w:color="auto" w:fill="auto"/>
            <w:vAlign w:val="bottom"/>
          </w:tcPr>
          <w:p w14:paraId="41D8356C" w14:textId="77777777" w:rsidR="00332B96" w:rsidRPr="001521F8" w:rsidRDefault="00332B96" w:rsidP="00D31751">
            <w:pPr>
              <w:spacing w:line="180" w:lineRule="exact"/>
              <w:jc w:val="center"/>
              <w:rPr>
                <w:szCs w:val="20"/>
              </w:rPr>
            </w:pPr>
          </w:p>
        </w:tc>
        <w:tc>
          <w:tcPr>
            <w:tcW w:w="1927" w:type="dxa"/>
            <w:gridSpan w:val="3"/>
            <w:tcBorders>
              <w:bottom w:val="single" w:sz="6" w:space="0" w:color="auto"/>
            </w:tcBorders>
            <w:shd w:val="clear" w:color="auto" w:fill="auto"/>
            <w:vAlign w:val="bottom"/>
          </w:tcPr>
          <w:p w14:paraId="1E8654A4" w14:textId="77777777" w:rsidR="000B1730" w:rsidRPr="001521F8" w:rsidRDefault="00332B96" w:rsidP="00D31751">
            <w:pPr>
              <w:spacing w:line="180" w:lineRule="exact"/>
              <w:jc w:val="center"/>
              <w:rPr>
                <w:szCs w:val="20"/>
                <w:rtl/>
              </w:rPr>
            </w:pPr>
            <w:r w:rsidRPr="001521F8">
              <w:rPr>
                <w:rFonts w:hint="cs"/>
                <w:szCs w:val="20"/>
                <w:rtl/>
              </w:rPr>
              <w:t>ל-3 החודשים שהסתיימו</w:t>
            </w:r>
          </w:p>
          <w:p w14:paraId="2269DA57" w14:textId="77777777" w:rsidR="00332B96" w:rsidRPr="001521F8" w:rsidRDefault="00332B96" w:rsidP="00D31751">
            <w:pPr>
              <w:spacing w:line="180" w:lineRule="exact"/>
              <w:jc w:val="center"/>
              <w:rPr>
                <w:szCs w:val="20"/>
                <w:rtl/>
              </w:rPr>
            </w:pPr>
            <w:r w:rsidRPr="001521F8">
              <w:rPr>
                <w:rFonts w:hint="cs"/>
                <w:szCs w:val="20"/>
                <w:rtl/>
              </w:rPr>
              <w:t>ביום 30 בספטמבר</w:t>
            </w:r>
          </w:p>
        </w:tc>
        <w:tc>
          <w:tcPr>
            <w:tcW w:w="113" w:type="dxa"/>
            <w:shd w:val="clear" w:color="auto" w:fill="auto"/>
            <w:vAlign w:val="bottom"/>
          </w:tcPr>
          <w:p w14:paraId="51EA0F60" w14:textId="77777777" w:rsidR="00332B96" w:rsidRPr="001521F8" w:rsidRDefault="00332B96" w:rsidP="00D31751">
            <w:pPr>
              <w:tabs>
                <w:tab w:val="decimal" w:pos="113"/>
              </w:tabs>
              <w:spacing w:line="180" w:lineRule="exact"/>
              <w:jc w:val="center"/>
              <w:rPr>
                <w:szCs w:val="20"/>
              </w:rPr>
            </w:pPr>
          </w:p>
        </w:tc>
        <w:tc>
          <w:tcPr>
            <w:tcW w:w="1192" w:type="dxa"/>
            <w:shd w:val="clear" w:color="auto" w:fill="auto"/>
            <w:vAlign w:val="bottom"/>
          </w:tcPr>
          <w:p w14:paraId="1B5CB290" w14:textId="77777777" w:rsidR="00332B96" w:rsidRPr="001521F8" w:rsidRDefault="00332B96" w:rsidP="00D31751">
            <w:pPr>
              <w:spacing w:line="180" w:lineRule="exact"/>
              <w:jc w:val="center"/>
              <w:rPr>
                <w:szCs w:val="20"/>
                <w:rtl/>
              </w:rPr>
            </w:pPr>
            <w:r w:rsidRPr="001521F8">
              <w:rPr>
                <w:rFonts w:hint="cs"/>
                <w:szCs w:val="20"/>
                <w:rtl/>
              </w:rPr>
              <w:t>לשנה שהסתיימה ביום</w:t>
            </w:r>
          </w:p>
          <w:p w14:paraId="4E3B0C3D" w14:textId="77777777" w:rsidR="00332B96" w:rsidRPr="001521F8" w:rsidRDefault="00332B96" w:rsidP="00D31751">
            <w:pPr>
              <w:spacing w:line="180" w:lineRule="exact"/>
              <w:jc w:val="center"/>
              <w:rPr>
                <w:szCs w:val="20"/>
                <w:rtl/>
              </w:rPr>
            </w:pPr>
            <w:r w:rsidRPr="001521F8">
              <w:rPr>
                <w:rFonts w:hint="cs"/>
                <w:szCs w:val="20"/>
                <w:rtl/>
              </w:rPr>
              <w:t>31 בדצמבר</w:t>
            </w:r>
          </w:p>
        </w:tc>
      </w:tr>
      <w:tr w:rsidR="00E21527" w:rsidRPr="001521F8" w14:paraId="3F484931" w14:textId="77777777" w:rsidTr="001521F8">
        <w:tc>
          <w:tcPr>
            <w:tcW w:w="1688" w:type="dxa"/>
            <w:tcBorders>
              <w:top w:val="single" w:sz="6" w:space="0" w:color="auto"/>
            </w:tcBorders>
          </w:tcPr>
          <w:p w14:paraId="2D6C89E2" w14:textId="77777777" w:rsidR="00E21527" w:rsidRPr="001521F8" w:rsidRDefault="00E21527" w:rsidP="00E21527">
            <w:pPr>
              <w:tabs>
                <w:tab w:val="left" w:pos="227"/>
                <w:tab w:val="left" w:pos="397"/>
                <w:tab w:val="left" w:pos="567"/>
              </w:tabs>
              <w:bidi w:val="0"/>
              <w:spacing w:line="180" w:lineRule="exact"/>
              <w:ind w:right="57"/>
              <w:jc w:val="right"/>
              <w:rPr>
                <w:i/>
                <w:iCs/>
                <w:sz w:val="14"/>
                <w:szCs w:val="14"/>
                <w:rtl/>
              </w:rPr>
            </w:pPr>
          </w:p>
        </w:tc>
        <w:tc>
          <w:tcPr>
            <w:tcW w:w="2695" w:type="dxa"/>
            <w:shd w:val="clear" w:color="auto" w:fill="auto"/>
            <w:vAlign w:val="bottom"/>
          </w:tcPr>
          <w:p w14:paraId="37F25C1F" w14:textId="77777777" w:rsidR="00E21527" w:rsidRPr="001521F8" w:rsidRDefault="00E21527" w:rsidP="00E21527">
            <w:pPr>
              <w:tabs>
                <w:tab w:val="left" w:pos="227"/>
                <w:tab w:val="left" w:pos="397"/>
                <w:tab w:val="left" w:pos="567"/>
              </w:tabs>
              <w:spacing w:line="180" w:lineRule="exact"/>
              <w:ind w:left="227" w:hanging="170"/>
              <w:jc w:val="left"/>
              <w:rPr>
                <w:szCs w:val="20"/>
                <w:rtl/>
              </w:rPr>
            </w:pPr>
          </w:p>
        </w:tc>
        <w:tc>
          <w:tcPr>
            <w:tcW w:w="113" w:type="dxa"/>
            <w:shd w:val="clear" w:color="auto" w:fill="auto"/>
            <w:vAlign w:val="bottom"/>
          </w:tcPr>
          <w:p w14:paraId="67C4F3DE" w14:textId="77777777" w:rsidR="00E21527" w:rsidRPr="001521F8" w:rsidRDefault="00E21527" w:rsidP="00E21527">
            <w:pPr>
              <w:spacing w:line="180" w:lineRule="exact"/>
              <w:rPr>
                <w:szCs w:val="20"/>
                <w:rtl/>
              </w:rPr>
            </w:pPr>
          </w:p>
        </w:tc>
        <w:tc>
          <w:tcPr>
            <w:tcW w:w="907" w:type="dxa"/>
            <w:tcBorders>
              <w:bottom w:val="single" w:sz="6" w:space="0" w:color="auto"/>
            </w:tcBorders>
            <w:shd w:val="clear" w:color="auto" w:fill="auto"/>
            <w:vAlign w:val="bottom"/>
          </w:tcPr>
          <w:p w14:paraId="09CC66FD" w14:textId="38394D06" w:rsidR="00E21527" w:rsidRPr="001521F8" w:rsidRDefault="00E21527" w:rsidP="00E21527">
            <w:pPr>
              <w:spacing w:line="180" w:lineRule="exact"/>
              <w:jc w:val="center"/>
              <w:rPr>
                <w:szCs w:val="20"/>
                <w:u w:val="single"/>
              </w:rPr>
            </w:pPr>
            <w:r w:rsidRPr="001521F8">
              <w:rPr>
                <w:rFonts w:hint="cs"/>
                <w:szCs w:val="20"/>
                <w:rtl/>
              </w:rPr>
              <w:t>2019</w:t>
            </w:r>
          </w:p>
        </w:tc>
        <w:tc>
          <w:tcPr>
            <w:tcW w:w="113" w:type="dxa"/>
            <w:vAlign w:val="bottom"/>
          </w:tcPr>
          <w:p w14:paraId="0197BB80" w14:textId="77777777" w:rsidR="00E21527" w:rsidRPr="001521F8" w:rsidRDefault="00E21527" w:rsidP="00E21527">
            <w:pPr>
              <w:spacing w:line="180" w:lineRule="exact"/>
              <w:jc w:val="center"/>
              <w:rPr>
                <w:szCs w:val="20"/>
              </w:rPr>
            </w:pPr>
          </w:p>
        </w:tc>
        <w:tc>
          <w:tcPr>
            <w:tcW w:w="907" w:type="dxa"/>
            <w:gridSpan w:val="2"/>
            <w:tcBorders>
              <w:bottom w:val="single" w:sz="6" w:space="0" w:color="auto"/>
            </w:tcBorders>
            <w:shd w:val="clear" w:color="auto" w:fill="auto"/>
            <w:vAlign w:val="bottom"/>
          </w:tcPr>
          <w:p w14:paraId="3500CAD5" w14:textId="5B9CF1F1" w:rsidR="00E21527" w:rsidRPr="001521F8" w:rsidRDefault="00E21527" w:rsidP="00E21527">
            <w:pPr>
              <w:spacing w:line="180" w:lineRule="exact"/>
              <w:jc w:val="center"/>
              <w:rPr>
                <w:szCs w:val="20"/>
                <w:u w:val="single"/>
              </w:rPr>
            </w:pPr>
            <w:r w:rsidRPr="001521F8">
              <w:rPr>
                <w:rFonts w:hint="cs"/>
                <w:szCs w:val="20"/>
                <w:rtl/>
              </w:rPr>
              <w:t>2018</w:t>
            </w:r>
          </w:p>
        </w:tc>
        <w:tc>
          <w:tcPr>
            <w:tcW w:w="113" w:type="dxa"/>
            <w:shd w:val="clear" w:color="auto" w:fill="auto"/>
            <w:vAlign w:val="bottom"/>
          </w:tcPr>
          <w:p w14:paraId="7A722318" w14:textId="77777777" w:rsidR="00E21527" w:rsidRPr="001521F8" w:rsidRDefault="00E21527" w:rsidP="00E21527">
            <w:pPr>
              <w:spacing w:line="180" w:lineRule="exact"/>
              <w:jc w:val="center"/>
              <w:rPr>
                <w:szCs w:val="20"/>
              </w:rPr>
            </w:pPr>
          </w:p>
        </w:tc>
        <w:tc>
          <w:tcPr>
            <w:tcW w:w="907" w:type="dxa"/>
            <w:tcBorders>
              <w:bottom w:val="single" w:sz="6" w:space="0" w:color="auto"/>
            </w:tcBorders>
            <w:shd w:val="clear" w:color="auto" w:fill="auto"/>
            <w:vAlign w:val="bottom"/>
          </w:tcPr>
          <w:p w14:paraId="07B953A2" w14:textId="0FA43993" w:rsidR="00E21527" w:rsidRPr="001521F8" w:rsidRDefault="00E21527" w:rsidP="00E21527">
            <w:pPr>
              <w:spacing w:line="180" w:lineRule="exact"/>
              <w:jc w:val="center"/>
              <w:rPr>
                <w:szCs w:val="20"/>
                <w:u w:val="single"/>
              </w:rPr>
            </w:pPr>
            <w:r w:rsidRPr="001521F8">
              <w:rPr>
                <w:rFonts w:hint="cs"/>
                <w:szCs w:val="20"/>
                <w:rtl/>
              </w:rPr>
              <w:t>2019</w:t>
            </w:r>
          </w:p>
        </w:tc>
        <w:tc>
          <w:tcPr>
            <w:tcW w:w="113" w:type="dxa"/>
            <w:shd w:val="clear" w:color="auto" w:fill="auto"/>
            <w:vAlign w:val="bottom"/>
          </w:tcPr>
          <w:p w14:paraId="6BCA2C1D" w14:textId="77777777" w:rsidR="00E21527" w:rsidRPr="001521F8" w:rsidRDefault="00E21527" w:rsidP="00E21527">
            <w:pPr>
              <w:spacing w:line="180" w:lineRule="exact"/>
              <w:jc w:val="center"/>
              <w:rPr>
                <w:szCs w:val="20"/>
              </w:rPr>
            </w:pPr>
          </w:p>
        </w:tc>
        <w:tc>
          <w:tcPr>
            <w:tcW w:w="907" w:type="dxa"/>
            <w:tcBorders>
              <w:bottom w:val="single" w:sz="6" w:space="0" w:color="auto"/>
            </w:tcBorders>
            <w:shd w:val="clear" w:color="auto" w:fill="auto"/>
            <w:vAlign w:val="bottom"/>
          </w:tcPr>
          <w:p w14:paraId="460B5291" w14:textId="2B17A04B" w:rsidR="00E21527" w:rsidRPr="001521F8" w:rsidRDefault="00E21527" w:rsidP="00E21527">
            <w:pPr>
              <w:spacing w:line="180" w:lineRule="exact"/>
              <w:jc w:val="center"/>
              <w:rPr>
                <w:szCs w:val="20"/>
                <w:u w:val="single"/>
              </w:rPr>
            </w:pPr>
            <w:r w:rsidRPr="001521F8">
              <w:rPr>
                <w:rFonts w:hint="cs"/>
                <w:szCs w:val="20"/>
                <w:rtl/>
              </w:rPr>
              <w:t>2018</w:t>
            </w:r>
          </w:p>
        </w:tc>
        <w:tc>
          <w:tcPr>
            <w:tcW w:w="113" w:type="dxa"/>
            <w:shd w:val="clear" w:color="auto" w:fill="auto"/>
            <w:vAlign w:val="bottom"/>
          </w:tcPr>
          <w:p w14:paraId="3B6B4C3C" w14:textId="77777777" w:rsidR="00E21527" w:rsidRPr="001521F8" w:rsidRDefault="00E21527" w:rsidP="00E21527">
            <w:pPr>
              <w:tabs>
                <w:tab w:val="decimal" w:pos="113"/>
              </w:tabs>
              <w:spacing w:line="180" w:lineRule="exact"/>
              <w:jc w:val="center"/>
              <w:rPr>
                <w:szCs w:val="20"/>
              </w:rPr>
            </w:pPr>
          </w:p>
        </w:tc>
        <w:tc>
          <w:tcPr>
            <w:tcW w:w="1192" w:type="dxa"/>
            <w:tcBorders>
              <w:bottom w:val="single" w:sz="6" w:space="0" w:color="auto"/>
            </w:tcBorders>
            <w:shd w:val="clear" w:color="auto" w:fill="auto"/>
            <w:vAlign w:val="bottom"/>
          </w:tcPr>
          <w:p w14:paraId="1E585F2F" w14:textId="285DCCEA" w:rsidR="00E21527" w:rsidRPr="001521F8" w:rsidRDefault="00E21527" w:rsidP="00E21527">
            <w:pPr>
              <w:spacing w:line="180" w:lineRule="exact"/>
              <w:jc w:val="center"/>
              <w:rPr>
                <w:szCs w:val="20"/>
                <w:u w:val="single"/>
                <w:rtl/>
              </w:rPr>
            </w:pPr>
            <w:r w:rsidRPr="001521F8">
              <w:rPr>
                <w:rFonts w:hint="cs"/>
                <w:szCs w:val="20"/>
                <w:rtl/>
              </w:rPr>
              <w:t>2018</w:t>
            </w:r>
          </w:p>
        </w:tc>
      </w:tr>
      <w:tr w:rsidR="00E21527" w:rsidRPr="001521F8" w14:paraId="0FB6016E" w14:textId="77777777" w:rsidTr="001521F8">
        <w:tc>
          <w:tcPr>
            <w:tcW w:w="1688" w:type="dxa"/>
          </w:tcPr>
          <w:p w14:paraId="532CC2B4" w14:textId="77777777" w:rsidR="00E21527" w:rsidRPr="001521F8" w:rsidRDefault="00E21527" w:rsidP="00E21527">
            <w:pPr>
              <w:tabs>
                <w:tab w:val="left" w:pos="227"/>
                <w:tab w:val="left" w:pos="397"/>
                <w:tab w:val="left" w:pos="567"/>
              </w:tabs>
              <w:bidi w:val="0"/>
              <w:spacing w:line="180" w:lineRule="exact"/>
              <w:ind w:right="57"/>
              <w:jc w:val="right"/>
              <w:rPr>
                <w:i/>
                <w:iCs/>
                <w:sz w:val="14"/>
                <w:szCs w:val="14"/>
                <w:rtl/>
              </w:rPr>
            </w:pPr>
          </w:p>
        </w:tc>
        <w:tc>
          <w:tcPr>
            <w:tcW w:w="2695" w:type="dxa"/>
            <w:shd w:val="clear" w:color="auto" w:fill="auto"/>
            <w:vAlign w:val="bottom"/>
          </w:tcPr>
          <w:p w14:paraId="77364E6D" w14:textId="77777777" w:rsidR="00E21527" w:rsidRPr="001521F8" w:rsidRDefault="00E21527" w:rsidP="00E21527">
            <w:pPr>
              <w:tabs>
                <w:tab w:val="left" w:pos="227"/>
                <w:tab w:val="left" w:pos="397"/>
                <w:tab w:val="left" w:pos="567"/>
              </w:tabs>
              <w:spacing w:line="180" w:lineRule="exact"/>
              <w:ind w:left="227" w:hanging="170"/>
              <w:jc w:val="left"/>
              <w:rPr>
                <w:szCs w:val="20"/>
                <w:rtl/>
              </w:rPr>
            </w:pPr>
          </w:p>
        </w:tc>
        <w:tc>
          <w:tcPr>
            <w:tcW w:w="113" w:type="dxa"/>
            <w:shd w:val="clear" w:color="auto" w:fill="auto"/>
            <w:vAlign w:val="bottom"/>
          </w:tcPr>
          <w:p w14:paraId="796BA008" w14:textId="77777777" w:rsidR="00E21527" w:rsidRPr="001521F8" w:rsidRDefault="00E21527" w:rsidP="00E21527">
            <w:pPr>
              <w:spacing w:line="180" w:lineRule="exact"/>
              <w:rPr>
                <w:szCs w:val="20"/>
                <w:rtl/>
              </w:rPr>
            </w:pPr>
          </w:p>
        </w:tc>
        <w:tc>
          <w:tcPr>
            <w:tcW w:w="3967" w:type="dxa"/>
            <w:gridSpan w:val="8"/>
            <w:tcBorders>
              <w:bottom w:val="single" w:sz="6" w:space="0" w:color="auto"/>
            </w:tcBorders>
            <w:shd w:val="clear" w:color="auto" w:fill="auto"/>
            <w:vAlign w:val="bottom"/>
          </w:tcPr>
          <w:p w14:paraId="30E75D9A" w14:textId="77777777" w:rsidR="00E21527" w:rsidRPr="001521F8" w:rsidRDefault="00E21527" w:rsidP="00E21527">
            <w:pPr>
              <w:spacing w:line="180" w:lineRule="exact"/>
              <w:jc w:val="center"/>
              <w:rPr>
                <w:szCs w:val="20"/>
              </w:rPr>
            </w:pPr>
            <w:r w:rsidRPr="001521F8">
              <w:rPr>
                <w:rFonts w:hint="cs"/>
                <w:szCs w:val="20"/>
                <w:rtl/>
              </w:rPr>
              <w:t>בלתי מבוקר</w:t>
            </w:r>
          </w:p>
        </w:tc>
        <w:tc>
          <w:tcPr>
            <w:tcW w:w="113" w:type="dxa"/>
            <w:shd w:val="clear" w:color="auto" w:fill="auto"/>
            <w:vAlign w:val="bottom"/>
          </w:tcPr>
          <w:p w14:paraId="36FE98D0" w14:textId="77777777" w:rsidR="00E21527" w:rsidRPr="001521F8" w:rsidRDefault="00E21527" w:rsidP="00E21527">
            <w:pPr>
              <w:tabs>
                <w:tab w:val="decimal" w:pos="113"/>
              </w:tabs>
              <w:spacing w:line="180" w:lineRule="exact"/>
              <w:jc w:val="center"/>
              <w:rPr>
                <w:szCs w:val="20"/>
              </w:rPr>
            </w:pPr>
          </w:p>
        </w:tc>
        <w:tc>
          <w:tcPr>
            <w:tcW w:w="1192" w:type="dxa"/>
            <w:tcBorders>
              <w:bottom w:val="single" w:sz="6" w:space="0" w:color="auto"/>
            </w:tcBorders>
            <w:shd w:val="clear" w:color="auto" w:fill="auto"/>
            <w:vAlign w:val="bottom"/>
          </w:tcPr>
          <w:p w14:paraId="6039426C" w14:textId="77777777" w:rsidR="00E21527" w:rsidRPr="001521F8" w:rsidRDefault="00E21527" w:rsidP="00E21527">
            <w:pPr>
              <w:spacing w:line="180" w:lineRule="exact"/>
              <w:jc w:val="center"/>
              <w:rPr>
                <w:szCs w:val="20"/>
              </w:rPr>
            </w:pPr>
            <w:r w:rsidRPr="001521F8">
              <w:rPr>
                <w:rFonts w:hint="cs"/>
                <w:szCs w:val="20"/>
                <w:rtl/>
              </w:rPr>
              <w:t>מבוקר</w:t>
            </w:r>
          </w:p>
        </w:tc>
      </w:tr>
      <w:tr w:rsidR="00E21527" w:rsidRPr="001521F8" w14:paraId="40322193" w14:textId="77777777" w:rsidTr="001521F8">
        <w:tc>
          <w:tcPr>
            <w:tcW w:w="1688" w:type="dxa"/>
          </w:tcPr>
          <w:p w14:paraId="5461846B" w14:textId="77777777" w:rsidR="00E21527" w:rsidRPr="001521F8" w:rsidRDefault="00E21527" w:rsidP="00E21527">
            <w:pPr>
              <w:pStyle w:val="a3"/>
              <w:tabs>
                <w:tab w:val="left" w:pos="227"/>
                <w:tab w:val="left" w:pos="397"/>
                <w:tab w:val="left" w:pos="567"/>
              </w:tabs>
              <w:bidi w:val="0"/>
              <w:spacing w:line="180" w:lineRule="exact"/>
              <w:ind w:left="0" w:right="57"/>
              <w:jc w:val="right"/>
              <w:rPr>
                <w:i/>
                <w:iCs/>
                <w:sz w:val="14"/>
                <w:szCs w:val="14"/>
                <w:rtl/>
              </w:rPr>
            </w:pPr>
          </w:p>
        </w:tc>
        <w:tc>
          <w:tcPr>
            <w:tcW w:w="2695" w:type="dxa"/>
            <w:shd w:val="clear" w:color="auto" w:fill="auto"/>
            <w:vAlign w:val="bottom"/>
          </w:tcPr>
          <w:p w14:paraId="3C21E433" w14:textId="77777777" w:rsidR="00E21527" w:rsidRPr="001521F8" w:rsidRDefault="00E21527" w:rsidP="00E21527">
            <w:pPr>
              <w:pStyle w:val="a3"/>
              <w:tabs>
                <w:tab w:val="left" w:pos="227"/>
                <w:tab w:val="left" w:pos="397"/>
                <w:tab w:val="left" w:pos="567"/>
              </w:tabs>
              <w:spacing w:line="180" w:lineRule="exact"/>
              <w:ind w:left="227" w:hanging="170"/>
              <w:rPr>
                <w:szCs w:val="20"/>
                <w:rtl/>
              </w:rPr>
            </w:pPr>
          </w:p>
        </w:tc>
        <w:tc>
          <w:tcPr>
            <w:tcW w:w="113" w:type="dxa"/>
            <w:shd w:val="clear" w:color="auto" w:fill="auto"/>
            <w:vAlign w:val="bottom"/>
          </w:tcPr>
          <w:p w14:paraId="7B3C3E82" w14:textId="77777777" w:rsidR="00E21527" w:rsidRPr="001521F8" w:rsidRDefault="00E21527" w:rsidP="00E21527">
            <w:pPr>
              <w:tabs>
                <w:tab w:val="decimal" w:pos="113"/>
              </w:tabs>
              <w:spacing w:line="180" w:lineRule="exact"/>
              <w:ind w:left="57"/>
              <w:rPr>
                <w:szCs w:val="20"/>
              </w:rPr>
            </w:pPr>
          </w:p>
        </w:tc>
        <w:tc>
          <w:tcPr>
            <w:tcW w:w="1239" w:type="dxa"/>
            <w:gridSpan w:val="3"/>
            <w:tcBorders>
              <w:bottom w:val="single" w:sz="6" w:space="0" w:color="auto"/>
            </w:tcBorders>
            <w:shd w:val="clear" w:color="auto" w:fill="auto"/>
            <w:vAlign w:val="bottom"/>
          </w:tcPr>
          <w:p w14:paraId="5136F417" w14:textId="77777777" w:rsidR="00E21527" w:rsidRPr="001521F8" w:rsidRDefault="00E21527" w:rsidP="00E21527">
            <w:pPr>
              <w:tabs>
                <w:tab w:val="decimal" w:pos="113"/>
              </w:tabs>
              <w:spacing w:line="220" w:lineRule="exact"/>
              <w:jc w:val="center"/>
              <w:rPr>
                <w:i/>
                <w:iCs/>
                <w:sz w:val="15"/>
                <w:szCs w:val="15"/>
              </w:rPr>
            </w:pPr>
            <w:r w:rsidRPr="001521F8">
              <w:rPr>
                <w:i/>
                <w:iCs/>
                <w:sz w:val="15"/>
                <w:szCs w:val="15"/>
              </w:rPr>
              <w:t>IAS 1.51(d), (e)</w:t>
            </w:r>
          </w:p>
        </w:tc>
        <w:tc>
          <w:tcPr>
            <w:tcW w:w="4033" w:type="dxa"/>
            <w:gridSpan w:val="7"/>
            <w:tcBorders>
              <w:bottom w:val="single" w:sz="6" w:space="0" w:color="auto"/>
            </w:tcBorders>
            <w:shd w:val="clear" w:color="auto" w:fill="auto"/>
            <w:vAlign w:val="bottom"/>
          </w:tcPr>
          <w:p w14:paraId="443F01BA" w14:textId="77777777" w:rsidR="00E21527" w:rsidRPr="001521F8" w:rsidRDefault="00E21527" w:rsidP="00E21527">
            <w:pPr>
              <w:spacing w:line="180" w:lineRule="exact"/>
              <w:ind w:left="260"/>
              <w:jc w:val="left"/>
              <w:rPr>
                <w:szCs w:val="20"/>
                <w:u w:val="single"/>
              </w:rPr>
            </w:pPr>
            <w:r w:rsidRPr="001521F8">
              <w:rPr>
                <w:rFonts w:hint="cs"/>
                <w:szCs w:val="20"/>
                <w:rtl/>
              </w:rPr>
              <w:t>אלפי ש"ח (למעט נתוני רווח נקי (הפסד) למניה)</w:t>
            </w:r>
          </w:p>
        </w:tc>
      </w:tr>
      <w:tr w:rsidR="00E21527" w:rsidRPr="001521F8" w14:paraId="51F5E65E" w14:textId="77777777" w:rsidTr="001521F8">
        <w:tc>
          <w:tcPr>
            <w:tcW w:w="1688" w:type="dxa"/>
          </w:tcPr>
          <w:p w14:paraId="5E3ED88C" w14:textId="77777777" w:rsidR="00E21527" w:rsidRPr="001521F8" w:rsidRDefault="00E21527" w:rsidP="00E21527">
            <w:pPr>
              <w:widowControl/>
              <w:tabs>
                <w:tab w:val="left" w:pos="227"/>
                <w:tab w:val="left" w:pos="397"/>
                <w:tab w:val="left" w:pos="567"/>
              </w:tabs>
              <w:spacing w:line="120" w:lineRule="auto"/>
              <w:jc w:val="right"/>
              <w:rPr>
                <w:i/>
                <w:iCs/>
                <w:sz w:val="14"/>
                <w:szCs w:val="14"/>
                <w:rtl/>
              </w:rPr>
            </w:pPr>
          </w:p>
        </w:tc>
        <w:tc>
          <w:tcPr>
            <w:tcW w:w="2695" w:type="dxa"/>
            <w:shd w:val="clear" w:color="auto" w:fill="auto"/>
            <w:vAlign w:val="bottom"/>
          </w:tcPr>
          <w:p w14:paraId="2C064C07" w14:textId="77777777" w:rsidR="00E21527" w:rsidRPr="001521F8" w:rsidRDefault="00E21527" w:rsidP="00E21527">
            <w:pPr>
              <w:widowControl/>
              <w:tabs>
                <w:tab w:val="left" w:pos="227"/>
                <w:tab w:val="left" w:pos="397"/>
                <w:tab w:val="left" w:pos="567"/>
              </w:tabs>
              <w:spacing w:line="120" w:lineRule="auto"/>
              <w:jc w:val="left"/>
              <w:rPr>
                <w:szCs w:val="20"/>
                <w:rtl/>
              </w:rPr>
            </w:pPr>
          </w:p>
        </w:tc>
        <w:tc>
          <w:tcPr>
            <w:tcW w:w="113" w:type="dxa"/>
            <w:shd w:val="clear" w:color="auto" w:fill="auto"/>
            <w:vAlign w:val="bottom"/>
          </w:tcPr>
          <w:p w14:paraId="089F61DE" w14:textId="77777777" w:rsidR="00E21527" w:rsidRPr="001521F8" w:rsidRDefault="00E21527" w:rsidP="00E21527">
            <w:pPr>
              <w:widowControl/>
              <w:spacing w:line="120" w:lineRule="auto"/>
              <w:rPr>
                <w:szCs w:val="20"/>
              </w:rPr>
            </w:pPr>
          </w:p>
        </w:tc>
        <w:tc>
          <w:tcPr>
            <w:tcW w:w="907" w:type="dxa"/>
            <w:tcBorders>
              <w:top w:val="single" w:sz="6" w:space="0" w:color="auto"/>
            </w:tcBorders>
            <w:vAlign w:val="bottom"/>
          </w:tcPr>
          <w:p w14:paraId="657A3366" w14:textId="77777777" w:rsidR="00E21527" w:rsidRPr="001521F8" w:rsidRDefault="00E21527" w:rsidP="00E21527">
            <w:pPr>
              <w:widowControl/>
              <w:tabs>
                <w:tab w:val="decimal" w:pos="113"/>
              </w:tabs>
              <w:spacing w:line="120" w:lineRule="auto"/>
              <w:rPr>
                <w:szCs w:val="20"/>
                <w:rtl/>
              </w:rPr>
            </w:pPr>
          </w:p>
        </w:tc>
        <w:tc>
          <w:tcPr>
            <w:tcW w:w="113" w:type="dxa"/>
            <w:tcBorders>
              <w:top w:val="single" w:sz="6" w:space="0" w:color="auto"/>
            </w:tcBorders>
            <w:vAlign w:val="bottom"/>
          </w:tcPr>
          <w:p w14:paraId="1C12C146" w14:textId="77777777" w:rsidR="00E21527" w:rsidRPr="001521F8" w:rsidRDefault="00E21527" w:rsidP="00E21527">
            <w:pPr>
              <w:widowControl/>
              <w:tabs>
                <w:tab w:val="decimal" w:pos="113"/>
              </w:tabs>
              <w:spacing w:line="120" w:lineRule="auto"/>
              <w:rPr>
                <w:szCs w:val="20"/>
              </w:rPr>
            </w:pPr>
          </w:p>
        </w:tc>
        <w:tc>
          <w:tcPr>
            <w:tcW w:w="907" w:type="dxa"/>
            <w:gridSpan w:val="2"/>
            <w:tcBorders>
              <w:top w:val="single" w:sz="6" w:space="0" w:color="auto"/>
            </w:tcBorders>
            <w:shd w:val="clear" w:color="auto" w:fill="auto"/>
            <w:vAlign w:val="bottom"/>
          </w:tcPr>
          <w:p w14:paraId="168D5F84" w14:textId="77777777" w:rsidR="00E21527" w:rsidRPr="001521F8" w:rsidRDefault="00E21527" w:rsidP="00E21527">
            <w:pPr>
              <w:widowControl/>
              <w:tabs>
                <w:tab w:val="decimal" w:pos="113"/>
              </w:tabs>
              <w:spacing w:line="120" w:lineRule="auto"/>
              <w:rPr>
                <w:szCs w:val="20"/>
              </w:rPr>
            </w:pPr>
          </w:p>
        </w:tc>
        <w:tc>
          <w:tcPr>
            <w:tcW w:w="113" w:type="dxa"/>
            <w:tcBorders>
              <w:top w:val="single" w:sz="6" w:space="0" w:color="auto"/>
            </w:tcBorders>
            <w:shd w:val="clear" w:color="auto" w:fill="auto"/>
            <w:vAlign w:val="bottom"/>
          </w:tcPr>
          <w:p w14:paraId="48961090" w14:textId="77777777" w:rsidR="00E21527" w:rsidRPr="001521F8" w:rsidRDefault="00E21527" w:rsidP="00E21527">
            <w:pPr>
              <w:widowControl/>
              <w:tabs>
                <w:tab w:val="decimal" w:pos="113"/>
              </w:tabs>
              <w:spacing w:line="120" w:lineRule="auto"/>
              <w:rPr>
                <w:szCs w:val="20"/>
              </w:rPr>
            </w:pPr>
          </w:p>
        </w:tc>
        <w:tc>
          <w:tcPr>
            <w:tcW w:w="907" w:type="dxa"/>
            <w:tcBorders>
              <w:top w:val="single" w:sz="6" w:space="0" w:color="auto"/>
            </w:tcBorders>
            <w:shd w:val="clear" w:color="auto" w:fill="auto"/>
            <w:vAlign w:val="bottom"/>
          </w:tcPr>
          <w:p w14:paraId="40063456" w14:textId="77777777" w:rsidR="00E21527" w:rsidRPr="001521F8" w:rsidRDefault="00E21527" w:rsidP="00E21527">
            <w:pPr>
              <w:widowControl/>
              <w:tabs>
                <w:tab w:val="decimal" w:pos="113"/>
              </w:tabs>
              <w:spacing w:line="120" w:lineRule="auto"/>
              <w:rPr>
                <w:szCs w:val="20"/>
                <w:rtl/>
              </w:rPr>
            </w:pPr>
          </w:p>
        </w:tc>
        <w:tc>
          <w:tcPr>
            <w:tcW w:w="113" w:type="dxa"/>
            <w:tcBorders>
              <w:top w:val="single" w:sz="6" w:space="0" w:color="auto"/>
            </w:tcBorders>
            <w:shd w:val="clear" w:color="auto" w:fill="auto"/>
            <w:vAlign w:val="bottom"/>
          </w:tcPr>
          <w:p w14:paraId="4912A0C8" w14:textId="77777777" w:rsidR="00E21527" w:rsidRPr="001521F8" w:rsidRDefault="00E21527" w:rsidP="00E21527">
            <w:pPr>
              <w:widowControl/>
              <w:tabs>
                <w:tab w:val="decimal" w:pos="113"/>
              </w:tabs>
              <w:spacing w:line="120" w:lineRule="auto"/>
              <w:rPr>
                <w:szCs w:val="20"/>
              </w:rPr>
            </w:pPr>
          </w:p>
        </w:tc>
        <w:tc>
          <w:tcPr>
            <w:tcW w:w="907" w:type="dxa"/>
            <w:tcBorders>
              <w:top w:val="single" w:sz="6" w:space="0" w:color="auto"/>
            </w:tcBorders>
            <w:shd w:val="clear" w:color="auto" w:fill="auto"/>
            <w:vAlign w:val="bottom"/>
          </w:tcPr>
          <w:p w14:paraId="6AAEF4D1" w14:textId="77777777" w:rsidR="00E21527" w:rsidRPr="001521F8" w:rsidRDefault="00E21527" w:rsidP="00E21527">
            <w:pPr>
              <w:widowControl/>
              <w:tabs>
                <w:tab w:val="decimal" w:pos="113"/>
              </w:tabs>
              <w:spacing w:line="120" w:lineRule="auto"/>
              <w:rPr>
                <w:szCs w:val="20"/>
              </w:rPr>
            </w:pPr>
          </w:p>
        </w:tc>
        <w:tc>
          <w:tcPr>
            <w:tcW w:w="113" w:type="dxa"/>
            <w:tcBorders>
              <w:top w:val="single" w:sz="6" w:space="0" w:color="auto"/>
            </w:tcBorders>
            <w:shd w:val="clear" w:color="auto" w:fill="auto"/>
            <w:vAlign w:val="bottom"/>
          </w:tcPr>
          <w:p w14:paraId="54F2DFCC" w14:textId="77777777" w:rsidR="00E21527" w:rsidRPr="001521F8" w:rsidRDefault="00E21527" w:rsidP="00E21527">
            <w:pPr>
              <w:widowControl/>
              <w:tabs>
                <w:tab w:val="decimal" w:pos="113"/>
              </w:tabs>
              <w:spacing w:line="120" w:lineRule="auto"/>
              <w:rPr>
                <w:szCs w:val="20"/>
              </w:rPr>
            </w:pPr>
          </w:p>
        </w:tc>
        <w:tc>
          <w:tcPr>
            <w:tcW w:w="1192" w:type="dxa"/>
            <w:tcBorders>
              <w:top w:val="single" w:sz="6" w:space="0" w:color="auto"/>
            </w:tcBorders>
            <w:shd w:val="clear" w:color="auto" w:fill="auto"/>
            <w:vAlign w:val="bottom"/>
          </w:tcPr>
          <w:p w14:paraId="04808834" w14:textId="77777777" w:rsidR="00E21527" w:rsidRPr="001521F8" w:rsidRDefault="00E21527" w:rsidP="00E21527">
            <w:pPr>
              <w:widowControl/>
              <w:tabs>
                <w:tab w:val="decimal" w:pos="113"/>
              </w:tabs>
              <w:spacing w:line="120" w:lineRule="auto"/>
              <w:rPr>
                <w:szCs w:val="20"/>
                <w:rtl/>
              </w:rPr>
            </w:pPr>
          </w:p>
        </w:tc>
      </w:tr>
      <w:tr w:rsidR="00DD74D5" w:rsidRPr="001521F8" w14:paraId="7852F29E" w14:textId="77777777" w:rsidTr="001521F8">
        <w:tc>
          <w:tcPr>
            <w:tcW w:w="1688" w:type="dxa"/>
            <w:vMerge w:val="restart"/>
            <w:tcBorders>
              <w:right w:val="single" w:sz="6" w:space="0" w:color="auto"/>
            </w:tcBorders>
          </w:tcPr>
          <w:p w14:paraId="619375D2" w14:textId="28AA7BBA" w:rsidR="00DD74D5" w:rsidRPr="001521F8" w:rsidRDefault="00DD74D5" w:rsidP="001521F8">
            <w:pPr>
              <w:pStyle w:val="a3"/>
              <w:bidi w:val="0"/>
              <w:spacing w:line="180" w:lineRule="exact"/>
              <w:ind w:left="0" w:right="57"/>
              <w:jc w:val="right"/>
              <w:rPr>
                <w:i/>
                <w:iCs/>
                <w:sz w:val="16"/>
                <w:szCs w:val="16"/>
              </w:rPr>
            </w:pPr>
            <w:r w:rsidRPr="001521F8">
              <w:rPr>
                <w:i/>
                <w:iCs/>
                <w:sz w:val="16"/>
                <w:szCs w:val="16"/>
              </w:rPr>
              <w:t>IFRS 15.46;IFRS 15.35; IFRS 15.38;</w:t>
            </w:r>
          </w:p>
        </w:tc>
        <w:tc>
          <w:tcPr>
            <w:tcW w:w="2695" w:type="dxa"/>
            <w:tcBorders>
              <w:left w:val="single" w:sz="6" w:space="0" w:color="auto"/>
            </w:tcBorders>
            <w:shd w:val="clear" w:color="auto" w:fill="auto"/>
            <w:vAlign w:val="bottom"/>
          </w:tcPr>
          <w:p w14:paraId="711BD2AD" w14:textId="77777777" w:rsidR="00DD74D5" w:rsidRPr="001521F8" w:rsidRDefault="00DD74D5" w:rsidP="00E21527">
            <w:pPr>
              <w:pStyle w:val="a3"/>
              <w:spacing w:line="180" w:lineRule="exact"/>
              <w:ind w:left="227" w:hanging="170"/>
              <w:rPr>
                <w:sz w:val="18"/>
                <w:szCs w:val="18"/>
              </w:rPr>
            </w:pPr>
            <w:r w:rsidRPr="001521F8">
              <w:rPr>
                <w:rFonts w:hint="cs"/>
                <w:sz w:val="18"/>
                <w:szCs w:val="18"/>
                <w:rtl/>
              </w:rPr>
              <w:t>הכנסות ממכירות</w:t>
            </w:r>
          </w:p>
        </w:tc>
        <w:tc>
          <w:tcPr>
            <w:tcW w:w="113" w:type="dxa"/>
            <w:shd w:val="clear" w:color="auto" w:fill="auto"/>
            <w:vAlign w:val="bottom"/>
          </w:tcPr>
          <w:p w14:paraId="536E2B6F" w14:textId="77777777" w:rsidR="00DD74D5" w:rsidRPr="001521F8" w:rsidRDefault="00DD74D5" w:rsidP="00E21527">
            <w:pPr>
              <w:spacing w:line="180" w:lineRule="exact"/>
              <w:rPr>
                <w:sz w:val="16"/>
                <w:szCs w:val="16"/>
              </w:rPr>
            </w:pPr>
          </w:p>
        </w:tc>
        <w:tc>
          <w:tcPr>
            <w:tcW w:w="907" w:type="dxa"/>
            <w:vAlign w:val="bottom"/>
          </w:tcPr>
          <w:p w14:paraId="44853371" w14:textId="77777777" w:rsidR="00DD74D5" w:rsidRPr="001521F8" w:rsidRDefault="00DD74D5" w:rsidP="00E21527">
            <w:pPr>
              <w:tabs>
                <w:tab w:val="decimal" w:pos="113"/>
              </w:tabs>
              <w:spacing w:line="180" w:lineRule="exact"/>
              <w:rPr>
                <w:sz w:val="16"/>
                <w:szCs w:val="16"/>
                <w:rtl/>
              </w:rPr>
            </w:pPr>
          </w:p>
        </w:tc>
        <w:tc>
          <w:tcPr>
            <w:tcW w:w="113" w:type="dxa"/>
            <w:vAlign w:val="bottom"/>
          </w:tcPr>
          <w:p w14:paraId="45134207" w14:textId="77777777" w:rsidR="00DD74D5" w:rsidRPr="001521F8" w:rsidRDefault="00DD74D5" w:rsidP="00E21527">
            <w:pPr>
              <w:tabs>
                <w:tab w:val="decimal" w:pos="113"/>
              </w:tabs>
              <w:spacing w:line="180" w:lineRule="exact"/>
              <w:rPr>
                <w:sz w:val="16"/>
                <w:szCs w:val="16"/>
              </w:rPr>
            </w:pPr>
          </w:p>
        </w:tc>
        <w:tc>
          <w:tcPr>
            <w:tcW w:w="907" w:type="dxa"/>
            <w:gridSpan w:val="2"/>
            <w:shd w:val="clear" w:color="auto" w:fill="auto"/>
            <w:vAlign w:val="bottom"/>
          </w:tcPr>
          <w:p w14:paraId="0ED8E76E" w14:textId="77777777" w:rsidR="00DD74D5" w:rsidRPr="001521F8" w:rsidRDefault="00DD74D5" w:rsidP="00E21527">
            <w:pPr>
              <w:tabs>
                <w:tab w:val="decimal" w:pos="113"/>
              </w:tabs>
              <w:spacing w:line="180" w:lineRule="exact"/>
              <w:rPr>
                <w:sz w:val="16"/>
                <w:szCs w:val="16"/>
              </w:rPr>
            </w:pPr>
          </w:p>
        </w:tc>
        <w:tc>
          <w:tcPr>
            <w:tcW w:w="113" w:type="dxa"/>
            <w:shd w:val="clear" w:color="auto" w:fill="auto"/>
            <w:vAlign w:val="bottom"/>
          </w:tcPr>
          <w:p w14:paraId="3233151E" w14:textId="77777777" w:rsidR="00DD74D5" w:rsidRPr="001521F8" w:rsidRDefault="00DD74D5" w:rsidP="00E21527">
            <w:pPr>
              <w:tabs>
                <w:tab w:val="decimal" w:pos="113"/>
              </w:tabs>
              <w:spacing w:line="180" w:lineRule="exact"/>
              <w:rPr>
                <w:sz w:val="16"/>
                <w:szCs w:val="16"/>
              </w:rPr>
            </w:pPr>
          </w:p>
        </w:tc>
        <w:tc>
          <w:tcPr>
            <w:tcW w:w="907" w:type="dxa"/>
            <w:shd w:val="clear" w:color="auto" w:fill="auto"/>
            <w:vAlign w:val="bottom"/>
          </w:tcPr>
          <w:p w14:paraId="6CBDF58A" w14:textId="77777777" w:rsidR="00DD74D5" w:rsidRPr="001521F8" w:rsidRDefault="00DD74D5" w:rsidP="00E21527">
            <w:pPr>
              <w:tabs>
                <w:tab w:val="decimal" w:pos="113"/>
              </w:tabs>
              <w:spacing w:line="180" w:lineRule="exact"/>
              <w:rPr>
                <w:sz w:val="16"/>
                <w:szCs w:val="16"/>
                <w:rtl/>
              </w:rPr>
            </w:pPr>
          </w:p>
        </w:tc>
        <w:tc>
          <w:tcPr>
            <w:tcW w:w="113" w:type="dxa"/>
            <w:shd w:val="clear" w:color="auto" w:fill="auto"/>
            <w:vAlign w:val="bottom"/>
          </w:tcPr>
          <w:p w14:paraId="4E81A093" w14:textId="77777777" w:rsidR="00DD74D5" w:rsidRPr="001521F8" w:rsidRDefault="00DD74D5" w:rsidP="00E21527">
            <w:pPr>
              <w:tabs>
                <w:tab w:val="decimal" w:pos="113"/>
              </w:tabs>
              <w:spacing w:line="180" w:lineRule="exact"/>
              <w:rPr>
                <w:sz w:val="16"/>
                <w:szCs w:val="16"/>
              </w:rPr>
            </w:pPr>
          </w:p>
        </w:tc>
        <w:tc>
          <w:tcPr>
            <w:tcW w:w="907" w:type="dxa"/>
            <w:shd w:val="clear" w:color="auto" w:fill="auto"/>
            <w:vAlign w:val="bottom"/>
          </w:tcPr>
          <w:p w14:paraId="5DFA018A" w14:textId="77777777" w:rsidR="00DD74D5" w:rsidRPr="001521F8" w:rsidRDefault="00DD74D5" w:rsidP="00E21527">
            <w:pPr>
              <w:tabs>
                <w:tab w:val="decimal" w:pos="113"/>
              </w:tabs>
              <w:spacing w:line="180" w:lineRule="exact"/>
              <w:rPr>
                <w:sz w:val="16"/>
                <w:szCs w:val="16"/>
              </w:rPr>
            </w:pPr>
          </w:p>
        </w:tc>
        <w:tc>
          <w:tcPr>
            <w:tcW w:w="113" w:type="dxa"/>
            <w:shd w:val="clear" w:color="auto" w:fill="auto"/>
            <w:vAlign w:val="bottom"/>
          </w:tcPr>
          <w:p w14:paraId="5B19F8AD" w14:textId="77777777" w:rsidR="00DD74D5" w:rsidRPr="001521F8" w:rsidRDefault="00DD74D5" w:rsidP="00E21527">
            <w:pPr>
              <w:tabs>
                <w:tab w:val="decimal" w:pos="113"/>
              </w:tabs>
              <w:spacing w:line="180" w:lineRule="exact"/>
              <w:rPr>
                <w:sz w:val="16"/>
                <w:szCs w:val="16"/>
              </w:rPr>
            </w:pPr>
          </w:p>
        </w:tc>
        <w:tc>
          <w:tcPr>
            <w:tcW w:w="1192" w:type="dxa"/>
            <w:shd w:val="clear" w:color="auto" w:fill="auto"/>
            <w:vAlign w:val="bottom"/>
          </w:tcPr>
          <w:p w14:paraId="0E65F41F" w14:textId="77777777" w:rsidR="00DD74D5" w:rsidRPr="001521F8" w:rsidRDefault="00DD74D5" w:rsidP="00E21527">
            <w:pPr>
              <w:tabs>
                <w:tab w:val="decimal" w:pos="113"/>
              </w:tabs>
              <w:spacing w:line="180" w:lineRule="exact"/>
              <w:rPr>
                <w:sz w:val="16"/>
                <w:szCs w:val="16"/>
                <w:rtl/>
              </w:rPr>
            </w:pPr>
          </w:p>
        </w:tc>
      </w:tr>
      <w:tr w:rsidR="00DD74D5" w:rsidRPr="001521F8" w14:paraId="6F690456" w14:textId="77777777" w:rsidTr="001521F8">
        <w:tc>
          <w:tcPr>
            <w:tcW w:w="1688" w:type="dxa"/>
            <w:vMerge/>
            <w:tcBorders>
              <w:right w:val="single" w:sz="6" w:space="0" w:color="auto"/>
            </w:tcBorders>
          </w:tcPr>
          <w:p w14:paraId="2132A1CB" w14:textId="6A25831B" w:rsidR="00DD74D5" w:rsidRPr="001521F8" w:rsidRDefault="00DD74D5" w:rsidP="00E21527">
            <w:pPr>
              <w:pStyle w:val="a3"/>
              <w:bidi w:val="0"/>
              <w:spacing w:line="180" w:lineRule="exact"/>
              <w:ind w:left="0" w:right="57"/>
              <w:jc w:val="right"/>
              <w:rPr>
                <w:i/>
                <w:iCs/>
                <w:sz w:val="16"/>
                <w:szCs w:val="16"/>
                <w:rtl/>
              </w:rPr>
            </w:pPr>
          </w:p>
        </w:tc>
        <w:tc>
          <w:tcPr>
            <w:tcW w:w="2695" w:type="dxa"/>
            <w:tcBorders>
              <w:left w:val="single" w:sz="6" w:space="0" w:color="auto"/>
            </w:tcBorders>
            <w:shd w:val="clear" w:color="auto" w:fill="auto"/>
            <w:vAlign w:val="bottom"/>
          </w:tcPr>
          <w:p w14:paraId="2E75AF1B" w14:textId="77777777" w:rsidR="00DD74D5" w:rsidRPr="001521F8" w:rsidRDefault="00DD74D5" w:rsidP="00E21527">
            <w:pPr>
              <w:pStyle w:val="a3"/>
              <w:spacing w:line="180" w:lineRule="exact"/>
              <w:ind w:left="227" w:hanging="170"/>
              <w:rPr>
                <w:sz w:val="18"/>
                <w:szCs w:val="18"/>
              </w:rPr>
            </w:pPr>
            <w:r w:rsidRPr="001521F8">
              <w:rPr>
                <w:rFonts w:hint="cs"/>
                <w:sz w:val="18"/>
                <w:szCs w:val="18"/>
                <w:rtl/>
              </w:rPr>
              <w:t>הכנסות ממתן שירותים</w:t>
            </w:r>
          </w:p>
        </w:tc>
        <w:tc>
          <w:tcPr>
            <w:tcW w:w="113" w:type="dxa"/>
            <w:shd w:val="clear" w:color="auto" w:fill="auto"/>
            <w:vAlign w:val="bottom"/>
          </w:tcPr>
          <w:p w14:paraId="73CB67C9" w14:textId="77777777" w:rsidR="00DD74D5" w:rsidRPr="001521F8" w:rsidRDefault="00DD74D5" w:rsidP="00E21527">
            <w:pPr>
              <w:spacing w:line="180" w:lineRule="exact"/>
              <w:rPr>
                <w:sz w:val="16"/>
                <w:szCs w:val="16"/>
              </w:rPr>
            </w:pPr>
          </w:p>
        </w:tc>
        <w:tc>
          <w:tcPr>
            <w:tcW w:w="907" w:type="dxa"/>
            <w:vAlign w:val="bottom"/>
          </w:tcPr>
          <w:p w14:paraId="5D598713" w14:textId="77777777" w:rsidR="00DD74D5" w:rsidRPr="001521F8" w:rsidRDefault="00DD74D5" w:rsidP="00E21527">
            <w:pPr>
              <w:tabs>
                <w:tab w:val="decimal" w:pos="113"/>
              </w:tabs>
              <w:spacing w:line="180" w:lineRule="exact"/>
              <w:rPr>
                <w:sz w:val="16"/>
                <w:szCs w:val="16"/>
                <w:rtl/>
              </w:rPr>
            </w:pPr>
          </w:p>
        </w:tc>
        <w:tc>
          <w:tcPr>
            <w:tcW w:w="113" w:type="dxa"/>
            <w:vAlign w:val="bottom"/>
          </w:tcPr>
          <w:p w14:paraId="4E9FC3E3" w14:textId="77777777" w:rsidR="00DD74D5" w:rsidRPr="001521F8" w:rsidRDefault="00DD74D5" w:rsidP="00E21527">
            <w:pPr>
              <w:tabs>
                <w:tab w:val="decimal" w:pos="113"/>
              </w:tabs>
              <w:spacing w:line="180" w:lineRule="exact"/>
              <w:rPr>
                <w:sz w:val="16"/>
                <w:szCs w:val="16"/>
              </w:rPr>
            </w:pPr>
          </w:p>
        </w:tc>
        <w:tc>
          <w:tcPr>
            <w:tcW w:w="907" w:type="dxa"/>
            <w:gridSpan w:val="2"/>
            <w:shd w:val="clear" w:color="auto" w:fill="auto"/>
            <w:vAlign w:val="bottom"/>
          </w:tcPr>
          <w:p w14:paraId="622AA917" w14:textId="77777777" w:rsidR="00DD74D5" w:rsidRPr="001521F8" w:rsidRDefault="00DD74D5" w:rsidP="00E21527">
            <w:pPr>
              <w:tabs>
                <w:tab w:val="decimal" w:pos="113"/>
              </w:tabs>
              <w:spacing w:line="180" w:lineRule="exact"/>
              <w:rPr>
                <w:sz w:val="16"/>
                <w:szCs w:val="16"/>
              </w:rPr>
            </w:pPr>
          </w:p>
        </w:tc>
        <w:tc>
          <w:tcPr>
            <w:tcW w:w="113" w:type="dxa"/>
            <w:shd w:val="clear" w:color="auto" w:fill="auto"/>
            <w:vAlign w:val="bottom"/>
          </w:tcPr>
          <w:p w14:paraId="19A5B817" w14:textId="77777777" w:rsidR="00DD74D5" w:rsidRPr="001521F8" w:rsidRDefault="00DD74D5" w:rsidP="00E21527">
            <w:pPr>
              <w:tabs>
                <w:tab w:val="decimal" w:pos="113"/>
              </w:tabs>
              <w:spacing w:line="180" w:lineRule="exact"/>
              <w:rPr>
                <w:sz w:val="16"/>
                <w:szCs w:val="16"/>
              </w:rPr>
            </w:pPr>
          </w:p>
        </w:tc>
        <w:tc>
          <w:tcPr>
            <w:tcW w:w="907" w:type="dxa"/>
            <w:shd w:val="clear" w:color="auto" w:fill="auto"/>
            <w:vAlign w:val="bottom"/>
          </w:tcPr>
          <w:p w14:paraId="059410F1" w14:textId="77777777" w:rsidR="00DD74D5" w:rsidRPr="001521F8" w:rsidRDefault="00DD74D5" w:rsidP="00E21527">
            <w:pPr>
              <w:tabs>
                <w:tab w:val="decimal" w:pos="113"/>
              </w:tabs>
              <w:spacing w:line="180" w:lineRule="exact"/>
              <w:rPr>
                <w:sz w:val="16"/>
                <w:szCs w:val="16"/>
                <w:rtl/>
              </w:rPr>
            </w:pPr>
          </w:p>
        </w:tc>
        <w:tc>
          <w:tcPr>
            <w:tcW w:w="113" w:type="dxa"/>
            <w:shd w:val="clear" w:color="auto" w:fill="auto"/>
            <w:vAlign w:val="bottom"/>
          </w:tcPr>
          <w:p w14:paraId="1C5AA513" w14:textId="77777777" w:rsidR="00DD74D5" w:rsidRPr="001521F8" w:rsidRDefault="00DD74D5" w:rsidP="00E21527">
            <w:pPr>
              <w:tabs>
                <w:tab w:val="decimal" w:pos="113"/>
              </w:tabs>
              <w:spacing w:line="180" w:lineRule="exact"/>
              <w:rPr>
                <w:sz w:val="16"/>
                <w:szCs w:val="16"/>
              </w:rPr>
            </w:pPr>
          </w:p>
        </w:tc>
        <w:tc>
          <w:tcPr>
            <w:tcW w:w="907" w:type="dxa"/>
            <w:shd w:val="clear" w:color="auto" w:fill="auto"/>
            <w:vAlign w:val="bottom"/>
          </w:tcPr>
          <w:p w14:paraId="5C7B943B" w14:textId="77777777" w:rsidR="00DD74D5" w:rsidRPr="001521F8" w:rsidRDefault="00DD74D5" w:rsidP="00E21527">
            <w:pPr>
              <w:tabs>
                <w:tab w:val="decimal" w:pos="113"/>
              </w:tabs>
              <w:spacing w:line="180" w:lineRule="exact"/>
              <w:rPr>
                <w:sz w:val="16"/>
                <w:szCs w:val="16"/>
              </w:rPr>
            </w:pPr>
          </w:p>
        </w:tc>
        <w:tc>
          <w:tcPr>
            <w:tcW w:w="113" w:type="dxa"/>
            <w:shd w:val="clear" w:color="auto" w:fill="auto"/>
            <w:vAlign w:val="bottom"/>
          </w:tcPr>
          <w:p w14:paraId="0BF27C78" w14:textId="77777777" w:rsidR="00DD74D5" w:rsidRPr="001521F8" w:rsidRDefault="00DD74D5" w:rsidP="00E21527">
            <w:pPr>
              <w:tabs>
                <w:tab w:val="decimal" w:pos="113"/>
              </w:tabs>
              <w:spacing w:line="180" w:lineRule="exact"/>
              <w:rPr>
                <w:sz w:val="16"/>
                <w:szCs w:val="16"/>
              </w:rPr>
            </w:pPr>
          </w:p>
        </w:tc>
        <w:tc>
          <w:tcPr>
            <w:tcW w:w="1192" w:type="dxa"/>
            <w:shd w:val="clear" w:color="auto" w:fill="auto"/>
            <w:vAlign w:val="bottom"/>
          </w:tcPr>
          <w:p w14:paraId="709DC3AF" w14:textId="77777777" w:rsidR="00DD74D5" w:rsidRPr="001521F8" w:rsidRDefault="00DD74D5" w:rsidP="00E21527">
            <w:pPr>
              <w:tabs>
                <w:tab w:val="decimal" w:pos="113"/>
              </w:tabs>
              <w:spacing w:line="180" w:lineRule="exact"/>
              <w:rPr>
                <w:sz w:val="16"/>
                <w:szCs w:val="16"/>
                <w:rtl/>
              </w:rPr>
            </w:pPr>
          </w:p>
        </w:tc>
      </w:tr>
      <w:tr w:rsidR="00E21527" w:rsidRPr="001521F8" w14:paraId="797D4D5C" w14:textId="77777777" w:rsidTr="001521F8">
        <w:tc>
          <w:tcPr>
            <w:tcW w:w="1688" w:type="dxa"/>
            <w:tcBorders>
              <w:top w:val="single" w:sz="4" w:space="0" w:color="auto"/>
              <w:bottom w:val="single" w:sz="4" w:space="0" w:color="auto"/>
              <w:right w:val="single" w:sz="6" w:space="0" w:color="auto"/>
            </w:tcBorders>
          </w:tcPr>
          <w:p w14:paraId="03D3AA23" w14:textId="5EF9F529" w:rsidR="00E21527" w:rsidRPr="001521F8" w:rsidRDefault="00DD74D5" w:rsidP="00DD74D5">
            <w:pPr>
              <w:pStyle w:val="a3"/>
              <w:bidi w:val="0"/>
              <w:spacing w:line="180" w:lineRule="exact"/>
              <w:ind w:left="0" w:right="57"/>
              <w:jc w:val="right"/>
              <w:rPr>
                <w:i/>
                <w:iCs/>
                <w:sz w:val="16"/>
                <w:szCs w:val="16"/>
                <w:rtl/>
              </w:rPr>
            </w:pPr>
            <w:r w:rsidRPr="001521F8">
              <w:rPr>
                <w:i/>
                <w:iCs/>
                <w:sz w:val="15"/>
                <w:szCs w:val="15"/>
              </w:rPr>
              <w:t>IFRS 16.81</w:t>
            </w:r>
          </w:p>
        </w:tc>
        <w:tc>
          <w:tcPr>
            <w:tcW w:w="2695" w:type="dxa"/>
            <w:tcBorders>
              <w:left w:val="single" w:sz="6" w:space="0" w:color="auto"/>
            </w:tcBorders>
            <w:shd w:val="clear" w:color="auto" w:fill="auto"/>
            <w:vAlign w:val="bottom"/>
          </w:tcPr>
          <w:p w14:paraId="6A32AB59" w14:textId="77777777" w:rsidR="00E21527" w:rsidRPr="001521F8" w:rsidRDefault="00E21527" w:rsidP="00E21527">
            <w:pPr>
              <w:pStyle w:val="a3"/>
              <w:spacing w:line="180" w:lineRule="exact"/>
              <w:ind w:left="227" w:hanging="170"/>
              <w:rPr>
                <w:sz w:val="18"/>
                <w:szCs w:val="18"/>
              </w:rPr>
            </w:pPr>
            <w:r w:rsidRPr="001521F8">
              <w:rPr>
                <w:rFonts w:hint="cs"/>
                <w:sz w:val="18"/>
                <w:szCs w:val="18"/>
                <w:rtl/>
              </w:rPr>
              <w:t>הכנסות מהשכרת נכסים</w:t>
            </w:r>
          </w:p>
        </w:tc>
        <w:tc>
          <w:tcPr>
            <w:tcW w:w="113" w:type="dxa"/>
            <w:shd w:val="clear" w:color="auto" w:fill="auto"/>
            <w:vAlign w:val="bottom"/>
          </w:tcPr>
          <w:p w14:paraId="34E45CBC" w14:textId="77777777" w:rsidR="00E21527" w:rsidRPr="001521F8" w:rsidRDefault="00E21527" w:rsidP="00E21527">
            <w:pPr>
              <w:spacing w:line="180" w:lineRule="exact"/>
              <w:rPr>
                <w:sz w:val="16"/>
                <w:szCs w:val="16"/>
              </w:rPr>
            </w:pPr>
          </w:p>
        </w:tc>
        <w:tc>
          <w:tcPr>
            <w:tcW w:w="907" w:type="dxa"/>
            <w:vAlign w:val="bottom"/>
          </w:tcPr>
          <w:p w14:paraId="37C66540" w14:textId="77777777" w:rsidR="00E21527" w:rsidRPr="001521F8" w:rsidRDefault="00E21527" w:rsidP="00E21527">
            <w:pPr>
              <w:tabs>
                <w:tab w:val="decimal" w:pos="113"/>
              </w:tabs>
              <w:spacing w:line="180" w:lineRule="exact"/>
              <w:rPr>
                <w:sz w:val="16"/>
                <w:szCs w:val="16"/>
                <w:rtl/>
              </w:rPr>
            </w:pPr>
          </w:p>
        </w:tc>
        <w:tc>
          <w:tcPr>
            <w:tcW w:w="113" w:type="dxa"/>
            <w:vAlign w:val="bottom"/>
          </w:tcPr>
          <w:p w14:paraId="512710A1" w14:textId="77777777" w:rsidR="00E21527" w:rsidRPr="001521F8" w:rsidRDefault="00E21527" w:rsidP="00E21527">
            <w:pPr>
              <w:tabs>
                <w:tab w:val="decimal" w:pos="113"/>
              </w:tabs>
              <w:spacing w:line="180" w:lineRule="exact"/>
              <w:rPr>
                <w:sz w:val="16"/>
                <w:szCs w:val="16"/>
              </w:rPr>
            </w:pPr>
          </w:p>
        </w:tc>
        <w:tc>
          <w:tcPr>
            <w:tcW w:w="907" w:type="dxa"/>
            <w:gridSpan w:val="2"/>
            <w:shd w:val="clear" w:color="auto" w:fill="auto"/>
            <w:vAlign w:val="bottom"/>
          </w:tcPr>
          <w:p w14:paraId="62B5DC29" w14:textId="77777777" w:rsidR="00E21527" w:rsidRPr="001521F8" w:rsidRDefault="00E21527" w:rsidP="00E21527">
            <w:pPr>
              <w:tabs>
                <w:tab w:val="decimal" w:pos="113"/>
              </w:tabs>
              <w:spacing w:line="180" w:lineRule="exact"/>
              <w:rPr>
                <w:sz w:val="16"/>
                <w:szCs w:val="16"/>
              </w:rPr>
            </w:pPr>
          </w:p>
        </w:tc>
        <w:tc>
          <w:tcPr>
            <w:tcW w:w="113" w:type="dxa"/>
            <w:shd w:val="clear" w:color="auto" w:fill="auto"/>
            <w:vAlign w:val="bottom"/>
          </w:tcPr>
          <w:p w14:paraId="75CBEB68" w14:textId="77777777" w:rsidR="00E21527" w:rsidRPr="001521F8" w:rsidRDefault="00E21527" w:rsidP="00E21527">
            <w:pPr>
              <w:tabs>
                <w:tab w:val="decimal" w:pos="113"/>
              </w:tabs>
              <w:spacing w:line="180" w:lineRule="exact"/>
              <w:rPr>
                <w:sz w:val="16"/>
                <w:szCs w:val="16"/>
              </w:rPr>
            </w:pPr>
          </w:p>
        </w:tc>
        <w:tc>
          <w:tcPr>
            <w:tcW w:w="907" w:type="dxa"/>
            <w:shd w:val="clear" w:color="auto" w:fill="auto"/>
            <w:vAlign w:val="bottom"/>
          </w:tcPr>
          <w:p w14:paraId="2B12DECE" w14:textId="77777777" w:rsidR="00E21527" w:rsidRPr="001521F8" w:rsidRDefault="00E21527" w:rsidP="00E21527">
            <w:pPr>
              <w:tabs>
                <w:tab w:val="decimal" w:pos="113"/>
              </w:tabs>
              <w:spacing w:line="180" w:lineRule="exact"/>
              <w:rPr>
                <w:sz w:val="16"/>
                <w:szCs w:val="16"/>
                <w:rtl/>
              </w:rPr>
            </w:pPr>
          </w:p>
        </w:tc>
        <w:tc>
          <w:tcPr>
            <w:tcW w:w="113" w:type="dxa"/>
            <w:shd w:val="clear" w:color="auto" w:fill="auto"/>
            <w:vAlign w:val="bottom"/>
          </w:tcPr>
          <w:p w14:paraId="0DFA5F94" w14:textId="77777777" w:rsidR="00E21527" w:rsidRPr="001521F8" w:rsidRDefault="00E21527" w:rsidP="00E21527">
            <w:pPr>
              <w:tabs>
                <w:tab w:val="decimal" w:pos="113"/>
              </w:tabs>
              <w:spacing w:line="180" w:lineRule="exact"/>
              <w:rPr>
                <w:sz w:val="16"/>
                <w:szCs w:val="16"/>
              </w:rPr>
            </w:pPr>
          </w:p>
        </w:tc>
        <w:tc>
          <w:tcPr>
            <w:tcW w:w="907" w:type="dxa"/>
            <w:shd w:val="clear" w:color="auto" w:fill="auto"/>
            <w:vAlign w:val="bottom"/>
          </w:tcPr>
          <w:p w14:paraId="593162F7" w14:textId="77777777" w:rsidR="00E21527" w:rsidRPr="001521F8" w:rsidRDefault="00E21527" w:rsidP="00E21527">
            <w:pPr>
              <w:tabs>
                <w:tab w:val="decimal" w:pos="113"/>
              </w:tabs>
              <w:spacing w:line="180" w:lineRule="exact"/>
              <w:rPr>
                <w:sz w:val="16"/>
                <w:szCs w:val="16"/>
              </w:rPr>
            </w:pPr>
          </w:p>
        </w:tc>
        <w:tc>
          <w:tcPr>
            <w:tcW w:w="113" w:type="dxa"/>
            <w:shd w:val="clear" w:color="auto" w:fill="auto"/>
            <w:vAlign w:val="bottom"/>
          </w:tcPr>
          <w:p w14:paraId="56AE9265" w14:textId="77777777" w:rsidR="00E21527" w:rsidRPr="001521F8" w:rsidRDefault="00E21527" w:rsidP="00E21527">
            <w:pPr>
              <w:tabs>
                <w:tab w:val="decimal" w:pos="113"/>
              </w:tabs>
              <w:spacing w:line="180" w:lineRule="exact"/>
              <w:rPr>
                <w:sz w:val="16"/>
                <w:szCs w:val="16"/>
              </w:rPr>
            </w:pPr>
          </w:p>
        </w:tc>
        <w:tc>
          <w:tcPr>
            <w:tcW w:w="1192" w:type="dxa"/>
            <w:shd w:val="clear" w:color="auto" w:fill="auto"/>
            <w:vAlign w:val="bottom"/>
          </w:tcPr>
          <w:p w14:paraId="0232FF6B" w14:textId="77777777" w:rsidR="00E21527" w:rsidRPr="001521F8" w:rsidRDefault="00E21527" w:rsidP="00E21527">
            <w:pPr>
              <w:tabs>
                <w:tab w:val="decimal" w:pos="113"/>
              </w:tabs>
              <w:spacing w:line="180" w:lineRule="exact"/>
              <w:rPr>
                <w:sz w:val="16"/>
                <w:szCs w:val="16"/>
                <w:rtl/>
              </w:rPr>
            </w:pPr>
          </w:p>
        </w:tc>
      </w:tr>
      <w:tr w:rsidR="00E21527" w:rsidRPr="001521F8" w14:paraId="223AD390" w14:textId="77777777" w:rsidTr="001521F8">
        <w:tc>
          <w:tcPr>
            <w:tcW w:w="1688" w:type="dxa"/>
            <w:tcBorders>
              <w:top w:val="single" w:sz="4" w:space="0" w:color="auto"/>
              <w:bottom w:val="single" w:sz="6" w:space="0" w:color="auto"/>
              <w:right w:val="single" w:sz="6" w:space="0" w:color="auto"/>
            </w:tcBorders>
          </w:tcPr>
          <w:p w14:paraId="570DCA0B" w14:textId="6336035D" w:rsidR="00E21527" w:rsidRPr="001521F8" w:rsidRDefault="00E21527" w:rsidP="00E21527">
            <w:pPr>
              <w:pStyle w:val="a3"/>
              <w:bidi w:val="0"/>
              <w:spacing w:line="180" w:lineRule="exact"/>
              <w:ind w:left="0" w:right="57"/>
              <w:jc w:val="right"/>
              <w:rPr>
                <w:i/>
                <w:iCs/>
                <w:sz w:val="16"/>
                <w:szCs w:val="16"/>
              </w:rPr>
            </w:pPr>
          </w:p>
        </w:tc>
        <w:tc>
          <w:tcPr>
            <w:tcW w:w="2695" w:type="dxa"/>
            <w:tcBorders>
              <w:left w:val="single" w:sz="6" w:space="0" w:color="auto"/>
            </w:tcBorders>
            <w:shd w:val="clear" w:color="auto" w:fill="auto"/>
            <w:vAlign w:val="bottom"/>
          </w:tcPr>
          <w:p w14:paraId="470CF012" w14:textId="77777777" w:rsidR="00E21527" w:rsidRPr="001521F8" w:rsidRDefault="00E21527" w:rsidP="00E21527">
            <w:pPr>
              <w:pStyle w:val="a3"/>
              <w:spacing w:line="180" w:lineRule="exact"/>
              <w:ind w:left="227" w:hanging="170"/>
              <w:rPr>
                <w:sz w:val="18"/>
                <w:szCs w:val="18"/>
              </w:rPr>
            </w:pPr>
            <w:r w:rsidRPr="001521F8">
              <w:rPr>
                <w:rFonts w:hint="cs"/>
                <w:sz w:val="18"/>
                <w:szCs w:val="18"/>
                <w:rtl/>
              </w:rPr>
              <w:t>הכנסות מעמלות</w:t>
            </w:r>
          </w:p>
        </w:tc>
        <w:tc>
          <w:tcPr>
            <w:tcW w:w="113" w:type="dxa"/>
            <w:shd w:val="clear" w:color="auto" w:fill="auto"/>
            <w:vAlign w:val="bottom"/>
          </w:tcPr>
          <w:p w14:paraId="5662C7D7" w14:textId="77777777" w:rsidR="00E21527" w:rsidRPr="001521F8" w:rsidRDefault="00E21527" w:rsidP="00E21527">
            <w:pPr>
              <w:spacing w:line="180" w:lineRule="exact"/>
              <w:rPr>
                <w:sz w:val="16"/>
                <w:szCs w:val="16"/>
              </w:rPr>
            </w:pPr>
          </w:p>
        </w:tc>
        <w:tc>
          <w:tcPr>
            <w:tcW w:w="907" w:type="dxa"/>
            <w:tcBorders>
              <w:bottom w:val="single" w:sz="6" w:space="0" w:color="auto"/>
            </w:tcBorders>
            <w:shd w:val="clear" w:color="auto" w:fill="auto"/>
            <w:vAlign w:val="bottom"/>
          </w:tcPr>
          <w:p w14:paraId="26997320" w14:textId="77777777" w:rsidR="00E21527" w:rsidRPr="001521F8" w:rsidRDefault="00E21527" w:rsidP="00E21527">
            <w:pPr>
              <w:tabs>
                <w:tab w:val="decimal" w:pos="113"/>
              </w:tabs>
              <w:spacing w:line="180" w:lineRule="exact"/>
              <w:rPr>
                <w:sz w:val="16"/>
                <w:szCs w:val="16"/>
                <w:rtl/>
              </w:rPr>
            </w:pPr>
          </w:p>
        </w:tc>
        <w:tc>
          <w:tcPr>
            <w:tcW w:w="113" w:type="dxa"/>
            <w:vAlign w:val="bottom"/>
          </w:tcPr>
          <w:p w14:paraId="67E25B4E" w14:textId="77777777" w:rsidR="00E21527" w:rsidRPr="001521F8" w:rsidRDefault="00E21527" w:rsidP="00E21527">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71D5A084" w14:textId="77777777" w:rsidR="00E21527" w:rsidRPr="001521F8" w:rsidRDefault="00E21527" w:rsidP="00E21527">
            <w:pPr>
              <w:tabs>
                <w:tab w:val="decimal" w:pos="113"/>
              </w:tabs>
              <w:spacing w:line="180" w:lineRule="exact"/>
              <w:rPr>
                <w:sz w:val="16"/>
                <w:szCs w:val="16"/>
              </w:rPr>
            </w:pPr>
          </w:p>
        </w:tc>
        <w:tc>
          <w:tcPr>
            <w:tcW w:w="113" w:type="dxa"/>
            <w:shd w:val="clear" w:color="auto" w:fill="auto"/>
            <w:vAlign w:val="bottom"/>
          </w:tcPr>
          <w:p w14:paraId="2B7BD859" w14:textId="77777777" w:rsidR="00E21527" w:rsidRPr="001521F8" w:rsidRDefault="00E21527" w:rsidP="00E21527">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4927937E" w14:textId="77777777" w:rsidR="00E21527" w:rsidRPr="001521F8" w:rsidRDefault="00E21527" w:rsidP="00E21527">
            <w:pPr>
              <w:tabs>
                <w:tab w:val="decimal" w:pos="113"/>
              </w:tabs>
              <w:spacing w:line="180" w:lineRule="exact"/>
              <w:rPr>
                <w:sz w:val="16"/>
                <w:szCs w:val="16"/>
                <w:rtl/>
              </w:rPr>
            </w:pPr>
          </w:p>
        </w:tc>
        <w:tc>
          <w:tcPr>
            <w:tcW w:w="113" w:type="dxa"/>
            <w:shd w:val="clear" w:color="auto" w:fill="auto"/>
            <w:vAlign w:val="bottom"/>
          </w:tcPr>
          <w:p w14:paraId="0E52155A" w14:textId="77777777" w:rsidR="00E21527" w:rsidRPr="001521F8" w:rsidRDefault="00E21527" w:rsidP="00E21527">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7E09E998" w14:textId="77777777" w:rsidR="00E21527" w:rsidRPr="001521F8" w:rsidRDefault="00E21527" w:rsidP="00E21527">
            <w:pPr>
              <w:tabs>
                <w:tab w:val="decimal" w:pos="113"/>
              </w:tabs>
              <w:spacing w:line="180" w:lineRule="exact"/>
              <w:rPr>
                <w:sz w:val="16"/>
                <w:szCs w:val="16"/>
              </w:rPr>
            </w:pPr>
          </w:p>
        </w:tc>
        <w:tc>
          <w:tcPr>
            <w:tcW w:w="113" w:type="dxa"/>
            <w:shd w:val="clear" w:color="auto" w:fill="auto"/>
            <w:vAlign w:val="bottom"/>
          </w:tcPr>
          <w:p w14:paraId="5D536C7F" w14:textId="77777777" w:rsidR="00E21527" w:rsidRPr="001521F8" w:rsidRDefault="00E21527" w:rsidP="00E21527">
            <w:pPr>
              <w:tabs>
                <w:tab w:val="decimal" w:pos="113"/>
              </w:tabs>
              <w:spacing w:line="180" w:lineRule="exact"/>
              <w:rPr>
                <w:sz w:val="16"/>
                <w:szCs w:val="16"/>
              </w:rPr>
            </w:pPr>
          </w:p>
        </w:tc>
        <w:tc>
          <w:tcPr>
            <w:tcW w:w="1192" w:type="dxa"/>
            <w:tcBorders>
              <w:bottom w:val="single" w:sz="6" w:space="0" w:color="auto"/>
            </w:tcBorders>
            <w:shd w:val="clear" w:color="auto" w:fill="auto"/>
            <w:vAlign w:val="bottom"/>
          </w:tcPr>
          <w:p w14:paraId="64761CC6" w14:textId="77777777" w:rsidR="00E21527" w:rsidRPr="001521F8" w:rsidRDefault="00E21527" w:rsidP="00E21527">
            <w:pPr>
              <w:tabs>
                <w:tab w:val="decimal" w:pos="113"/>
              </w:tabs>
              <w:spacing w:line="180" w:lineRule="exact"/>
              <w:rPr>
                <w:sz w:val="16"/>
                <w:szCs w:val="16"/>
                <w:rtl/>
              </w:rPr>
            </w:pPr>
          </w:p>
        </w:tc>
      </w:tr>
      <w:tr w:rsidR="00E21527" w:rsidRPr="001521F8" w14:paraId="0A485BAE" w14:textId="77777777" w:rsidTr="001521F8">
        <w:tc>
          <w:tcPr>
            <w:tcW w:w="1688" w:type="dxa"/>
            <w:tcBorders>
              <w:top w:val="single" w:sz="6" w:space="0" w:color="auto"/>
            </w:tcBorders>
          </w:tcPr>
          <w:p w14:paraId="45D309EA" w14:textId="77777777" w:rsidR="00E21527" w:rsidRPr="001521F8" w:rsidRDefault="00E21527" w:rsidP="00E21527">
            <w:pPr>
              <w:pStyle w:val="a3"/>
              <w:widowControl/>
              <w:spacing w:line="120" w:lineRule="auto"/>
              <w:ind w:left="0"/>
              <w:jc w:val="right"/>
              <w:rPr>
                <w:i/>
                <w:iCs/>
                <w:sz w:val="16"/>
                <w:szCs w:val="16"/>
              </w:rPr>
            </w:pPr>
          </w:p>
        </w:tc>
        <w:tc>
          <w:tcPr>
            <w:tcW w:w="2695" w:type="dxa"/>
            <w:shd w:val="clear" w:color="auto" w:fill="auto"/>
            <w:vAlign w:val="bottom"/>
          </w:tcPr>
          <w:p w14:paraId="4C301E3D" w14:textId="77777777" w:rsidR="00E21527" w:rsidRPr="001521F8" w:rsidRDefault="00E21527" w:rsidP="00E21527">
            <w:pPr>
              <w:pStyle w:val="a3"/>
              <w:widowControl/>
              <w:spacing w:line="120" w:lineRule="auto"/>
              <w:ind w:left="0"/>
              <w:rPr>
                <w:sz w:val="18"/>
                <w:szCs w:val="18"/>
              </w:rPr>
            </w:pPr>
          </w:p>
        </w:tc>
        <w:tc>
          <w:tcPr>
            <w:tcW w:w="113" w:type="dxa"/>
            <w:shd w:val="clear" w:color="auto" w:fill="auto"/>
            <w:vAlign w:val="bottom"/>
          </w:tcPr>
          <w:p w14:paraId="6D04E7E5" w14:textId="77777777" w:rsidR="00E21527" w:rsidRPr="001521F8" w:rsidRDefault="00E21527" w:rsidP="00E21527">
            <w:pPr>
              <w:widowControl/>
              <w:spacing w:line="120" w:lineRule="auto"/>
              <w:rPr>
                <w:sz w:val="16"/>
                <w:szCs w:val="16"/>
              </w:rPr>
            </w:pPr>
          </w:p>
        </w:tc>
        <w:tc>
          <w:tcPr>
            <w:tcW w:w="907" w:type="dxa"/>
            <w:tcBorders>
              <w:top w:val="single" w:sz="6" w:space="0" w:color="auto"/>
            </w:tcBorders>
            <w:vAlign w:val="bottom"/>
          </w:tcPr>
          <w:p w14:paraId="70411EF2" w14:textId="77777777" w:rsidR="00E21527" w:rsidRPr="001521F8" w:rsidRDefault="00E21527" w:rsidP="00E21527">
            <w:pPr>
              <w:widowControl/>
              <w:tabs>
                <w:tab w:val="decimal" w:pos="113"/>
              </w:tabs>
              <w:spacing w:line="120" w:lineRule="auto"/>
              <w:rPr>
                <w:sz w:val="16"/>
                <w:szCs w:val="16"/>
                <w:rtl/>
              </w:rPr>
            </w:pPr>
          </w:p>
        </w:tc>
        <w:tc>
          <w:tcPr>
            <w:tcW w:w="113" w:type="dxa"/>
            <w:vAlign w:val="bottom"/>
          </w:tcPr>
          <w:p w14:paraId="0D4D1357" w14:textId="77777777" w:rsidR="00E21527" w:rsidRPr="001521F8" w:rsidRDefault="00E21527" w:rsidP="00E21527">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60EBB9F5" w14:textId="77777777" w:rsidR="00E21527" w:rsidRPr="001521F8" w:rsidRDefault="00E21527" w:rsidP="00E21527">
            <w:pPr>
              <w:widowControl/>
              <w:tabs>
                <w:tab w:val="decimal" w:pos="113"/>
              </w:tabs>
              <w:spacing w:line="120" w:lineRule="auto"/>
              <w:rPr>
                <w:sz w:val="16"/>
                <w:szCs w:val="16"/>
              </w:rPr>
            </w:pPr>
          </w:p>
        </w:tc>
        <w:tc>
          <w:tcPr>
            <w:tcW w:w="113" w:type="dxa"/>
            <w:shd w:val="clear" w:color="auto" w:fill="auto"/>
            <w:vAlign w:val="bottom"/>
          </w:tcPr>
          <w:p w14:paraId="4E49E589" w14:textId="77777777" w:rsidR="00E21527" w:rsidRPr="001521F8" w:rsidRDefault="00E21527" w:rsidP="00E21527">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03F7AA71" w14:textId="77777777" w:rsidR="00E21527" w:rsidRPr="001521F8" w:rsidRDefault="00E21527" w:rsidP="00E21527">
            <w:pPr>
              <w:widowControl/>
              <w:tabs>
                <w:tab w:val="decimal" w:pos="113"/>
              </w:tabs>
              <w:spacing w:line="120" w:lineRule="auto"/>
              <w:rPr>
                <w:sz w:val="16"/>
                <w:szCs w:val="16"/>
                <w:rtl/>
              </w:rPr>
            </w:pPr>
          </w:p>
        </w:tc>
        <w:tc>
          <w:tcPr>
            <w:tcW w:w="113" w:type="dxa"/>
            <w:shd w:val="clear" w:color="auto" w:fill="auto"/>
            <w:vAlign w:val="bottom"/>
          </w:tcPr>
          <w:p w14:paraId="4F525338" w14:textId="77777777" w:rsidR="00E21527" w:rsidRPr="001521F8" w:rsidRDefault="00E21527" w:rsidP="00E21527">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244F5E97" w14:textId="77777777" w:rsidR="00E21527" w:rsidRPr="001521F8" w:rsidRDefault="00E21527" w:rsidP="00E21527">
            <w:pPr>
              <w:widowControl/>
              <w:tabs>
                <w:tab w:val="decimal" w:pos="113"/>
              </w:tabs>
              <w:spacing w:line="120" w:lineRule="auto"/>
              <w:rPr>
                <w:sz w:val="16"/>
                <w:szCs w:val="16"/>
              </w:rPr>
            </w:pPr>
          </w:p>
        </w:tc>
        <w:tc>
          <w:tcPr>
            <w:tcW w:w="113" w:type="dxa"/>
            <w:shd w:val="clear" w:color="auto" w:fill="auto"/>
            <w:vAlign w:val="bottom"/>
          </w:tcPr>
          <w:p w14:paraId="13EC9921" w14:textId="77777777" w:rsidR="00E21527" w:rsidRPr="001521F8" w:rsidRDefault="00E21527" w:rsidP="00E21527">
            <w:pPr>
              <w:widowControl/>
              <w:tabs>
                <w:tab w:val="decimal" w:pos="113"/>
              </w:tabs>
              <w:spacing w:line="120" w:lineRule="auto"/>
              <w:rPr>
                <w:sz w:val="16"/>
                <w:szCs w:val="16"/>
              </w:rPr>
            </w:pPr>
          </w:p>
        </w:tc>
        <w:tc>
          <w:tcPr>
            <w:tcW w:w="1192" w:type="dxa"/>
            <w:tcBorders>
              <w:top w:val="single" w:sz="6" w:space="0" w:color="auto"/>
            </w:tcBorders>
            <w:shd w:val="clear" w:color="auto" w:fill="auto"/>
            <w:vAlign w:val="bottom"/>
          </w:tcPr>
          <w:p w14:paraId="76BB4B65" w14:textId="77777777" w:rsidR="00E21527" w:rsidRPr="001521F8" w:rsidRDefault="00E21527" w:rsidP="00E21527">
            <w:pPr>
              <w:widowControl/>
              <w:tabs>
                <w:tab w:val="decimal" w:pos="113"/>
              </w:tabs>
              <w:spacing w:line="120" w:lineRule="auto"/>
              <w:rPr>
                <w:sz w:val="16"/>
                <w:szCs w:val="16"/>
                <w:rtl/>
              </w:rPr>
            </w:pPr>
          </w:p>
        </w:tc>
      </w:tr>
      <w:tr w:rsidR="00E21527" w:rsidRPr="001521F8" w14:paraId="1EA08653" w14:textId="77777777" w:rsidTr="001521F8">
        <w:tc>
          <w:tcPr>
            <w:tcW w:w="1688" w:type="dxa"/>
            <w:tcBorders>
              <w:bottom w:val="single" w:sz="6" w:space="0" w:color="auto"/>
              <w:right w:val="single" w:sz="6" w:space="0" w:color="auto"/>
            </w:tcBorders>
          </w:tcPr>
          <w:p w14:paraId="14F1CA9A" w14:textId="56297B9C" w:rsidR="00E21527" w:rsidRPr="001521F8" w:rsidRDefault="00E21527" w:rsidP="00E21527">
            <w:pPr>
              <w:pStyle w:val="a3"/>
              <w:bidi w:val="0"/>
              <w:spacing w:line="180" w:lineRule="exact"/>
              <w:ind w:left="0" w:right="57"/>
              <w:jc w:val="right"/>
              <w:rPr>
                <w:i/>
                <w:iCs/>
                <w:sz w:val="16"/>
                <w:szCs w:val="16"/>
                <w:rtl/>
              </w:rPr>
            </w:pPr>
            <w:r w:rsidRPr="001521F8">
              <w:rPr>
                <w:i/>
                <w:iCs/>
                <w:sz w:val="16"/>
                <w:szCs w:val="16"/>
              </w:rPr>
              <w:t>IAS 1.82(a)</w:t>
            </w:r>
          </w:p>
        </w:tc>
        <w:tc>
          <w:tcPr>
            <w:tcW w:w="2695" w:type="dxa"/>
            <w:tcBorders>
              <w:left w:val="single" w:sz="6" w:space="0" w:color="auto"/>
            </w:tcBorders>
            <w:shd w:val="clear" w:color="auto" w:fill="auto"/>
            <w:vAlign w:val="bottom"/>
          </w:tcPr>
          <w:p w14:paraId="1AF625C1" w14:textId="77777777" w:rsidR="00E21527" w:rsidRPr="001521F8" w:rsidRDefault="00E21527" w:rsidP="00E21527">
            <w:pPr>
              <w:pStyle w:val="a3"/>
              <w:spacing w:line="180" w:lineRule="exact"/>
              <w:ind w:left="227" w:hanging="170"/>
              <w:rPr>
                <w:sz w:val="18"/>
                <w:szCs w:val="18"/>
              </w:rPr>
            </w:pPr>
            <w:r w:rsidRPr="001521F8">
              <w:rPr>
                <w:rFonts w:hint="cs"/>
                <w:sz w:val="18"/>
                <w:szCs w:val="18"/>
                <w:rtl/>
              </w:rPr>
              <w:t>סה"כ הכנסות</w:t>
            </w:r>
          </w:p>
        </w:tc>
        <w:tc>
          <w:tcPr>
            <w:tcW w:w="113" w:type="dxa"/>
            <w:shd w:val="clear" w:color="auto" w:fill="auto"/>
            <w:vAlign w:val="bottom"/>
          </w:tcPr>
          <w:p w14:paraId="70130C3E" w14:textId="77777777" w:rsidR="00E21527" w:rsidRPr="001521F8" w:rsidRDefault="00E21527" w:rsidP="00E21527">
            <w:pPr>
              <w:spacing w:line="180" w:lineRule="exact"/>
              <w:rPr>
                <w:sz w:val="16"/>
                <w:szCs w:val="16"/>
              </w:rPr>
            </w:pPr>
          </w:p>
        </w:tc>
        <w:tc>
          <w:tcPr>
            <w:tcW w:w="907" w:type="dxa"/>
            <w:tcBorders>
              <w:bottom w:val="single" w:sz="6" w:space="0" w:color="auto"/>
            </w:tcBorders>
            <w:shd w:val="clear" w:color="auto" w:fill="auto"/>
            <w:vAlign w:val="bottom"/>
          </w:tcPr>
          <w:p w14:paraId="25C98A08" w14:textId="77777777" w:rsidR="00E21527" w:rsidRPr="001521F8" w:rsidRDefault="00E21527" w:rsidP="00E21527">
            <w:pPr>
              <w:tabs>
                <w:tab w:val="decimal" w:pos="113"/>
              </w:tabs>
              <w:spacing w:line="180" w:lineRule="exact"/>
              <w:rPr>
                <w:sz w:val="16"/>
                <w:szCs w:val="16"/>
                <w:rtl/>
              </w:rPr>
            </w:pPr>
          </w:p>
        </w:tc>
        <w:tc>
          <w:tcPr>
            <w:tcW w:w="113" w:type="dxa"/>
            <w:vAlign w:val="bottom"/>
          </w:tcPr>
          <w:p w14:paraId="3FC110C6" w14:textId="77777777" w:rsidR="00E21527" w:rsidRPr="001521F8" w:rsidRDefault="00E21527" w:rsidP="00E21527">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6CAD5AC9" w14:textId="77777777" w:rsidR="00E21527" w:rsidRPr="001521F8" w:rsidRDefault="00E21527" w:rsidP="00E21527">
            <w:pPr>
              <w:tabs>
                <w:tab w:val="decimal" w:pos="113"/>
              </w:tabs>
              <w:spacing w:line="180" w:lineRule="exact"/>
              <w:rPr>
                <w:sz w:val="16"/>
                <w:szCs w:val="16"/>
              </w:rPr>
            </w:pPr>
          </w:p>
        </w:tc>
        <w:tc>
          <w:tcPr>
            <w:tcW w:w="113" w:type="dxa"/>
            <w:shd w:val="clear" w:color="auto" w:fill="auto"/>
            <w:vAlign w:val="bottom"/>
          </w:tcPr>
          <w:p w14:paraId="5180CF93" w14:textId="77777777" w:rsidR="00E21527" w:rsidRPr="001521F8" w:rsidRDefault="00E21527" w:rsidP="00E21527">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55A80C4C" w14:textId="77777777" w:rsidR="00E21527" w:rsidRPr="001521F8" w:rsidRDefault="00E21527" w:rsidP="00E21527">
            <w:pPr>
              <w:tabs>
                <w:tab w:val="decimal" w:pos="113"/>
              </w:tabs>
              <w:spacing w:line="180" w:lineRule="exact"/>
              <w:rPr>
                <w:sz w:val="16"/>
                <w:szCs w:val="16"/>
                <w:rtl/>
              </w:rPr>
            </w:pPr>
          </w:p>
        </w:tc>
        <w:tc>
          <w:tcPr>
            <w:tcW w:w="113" w:type="dxa"/>
            <w:shd w:val="clear" w:color="auto" w:fill="auto"/>
            <w:vAlign w:val="bottom"/>
          </w:tcPr>
          <w:p w14:paraId="2AECADE8" w14:textId="77777777" w:rsidR="00E21527" w:rsidRPr="001521F8" w:rsidRDefault="00E21527" w:rsidP="00E21527">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54D85F24" w14:textId="77777777" w:rsidR="00E21527" w:rsidRPr="001521F8" w:rsidRDefault="00E21527" w:rsidP="00E21527">
            <w:pPr>
              <w:tabs>
                <w:tab w:val="decimal" w:pos="113"/>
              </w:tabs>
              <w:spacing w:line="180" w:lineRule="exact"/>
              <w:rPr>
                <w:sz w:val="16"/>
                <w:szCs w:val="16"/>
              </w:rPr>
            </w:pPr>
          </w:p>
        </w:tc>
        <w:tc>
          <w:tcPr>
            <w:tcW w:w="113" w:type="dxa"/>
            <w:shd w:val="clear" w:color="auto" w:fill="auto"/>
            <w:vAlign w:val="bottom"/>
          </w:tcPr>
          <w:p w14:paraId="0BC6DB52" w14:textId="77777777" w:rsidR="00E21527" w:rsidRPr="001521F8" w:rsidRDefault="00E21527" w:rsidP="00E21527">
            <w:pPr>
              <w:tabs>
                <w:tab w:val="decimal" w:pos="113"/>
              </w:tabs>
              <w:spacing w:line="180" w:lineRule="exact"/>
              <w:rPr>
                <w:sz w:val="16"/>
                <w:szCs w:val="16"/>
              </w:rPr>
            </w:pPr>
          </w:p>
        </w:tc>
        <w:tc>
          <w:tcPr>
            <w:tcW w:w="1192" w:type="dxa"/>
            <w:tcBorders>
              <w:bottom w:val="single" w:sz="6" w:space="0" w:color="auto"/>
            </w:tcBorders>
            <w:shd w:val="clear" w:color="auto" w:fill="auto"/>
            <w:vAlign w:val="bottom"/>
          </w:tcPr>
          <w:p w14:paraId="66D89A33" w14:textId="77777777" w:rsidR="00E21527" w:rsidRPr="001521F8" w:rsidRDefault="00E21527" w:rsidP="00E21527">
            <w:pPr>
              <w:tabs>
                <w:tab w:val="decimal" w:pos="113"/>
              </w:tabs>
              <w:spacing w:line="180" w:lineRule="exact"/>
              <w:rPr>
                <w:sz w:val="16"/>
                <w:szCs w:val="16"/>
                <w:rtl/>
              </w:rPr>
            </w:pPr>
          </w:p>
        </w:tc>
      </w:tr>
      <w:tr w:rsidR="00E21527" w:rsidRPr="001521F8" w14:paraId="753D7621" w14:textId="77777777" w:rsidTr="001521F8">
        <w:tc>
          <w:tcPr>
            <w:tcW w:w="1688" w:type="dxa"/>
            <w:tcBorders>
              <w:top w:val="single" w:sz="6" w:space="0" w:color="auto"/>
            </w:tcBorders>
          </w:tcPr>
          <w:p w14:paraId="0F4DD1EE" w14:textId="77777777" w:rsidR="00E21527" w:rsidRPr="001521F8" w:rsidRDefault="00E21527" w:rsidP="00E21527">
            <w:pPr>
              <w:pStyle w:val="a3"/>
              <w:bidi w:val="0"/>
              <w:spacing w:line="180" w:lineRule="exact"/>
              <w:ind w:left="0" w:right="57"/>
              <w:jc w:val="right"/>
              <w:rPr>
                <w:i/>
                <w:iCs/>
                <w:sz w:val="16"/>
                <w:szCs w:val="16"/>
              </w:rPr>
            </w:pPr>
          </w:p>
        </w:tc>
        <w:tc>
          <w:tcPr>
            <w:tcW w:w="2695" w:type="dxa"/>
            <w:shd w:val="clear" w:color="auto" w:fill="auto"/>
            <w:vAlign w:val="bottom"/>
          </w:tcPr>
          <w:p w14:paraId="377B5EA5" w14:textId="77777777" w:rsidR="00E21527" w:rsidRPr="001521F8" w:rsidRDefault="00E21527" w:rsidP="00E21527">
            <w:pPr>
              <w:pStyle w:val="a3"/>
              <w:spacing w:line="180" w:lineRule="exact"/>
              <w:ind w:left="0"/>
              <w:rPr>
                <w:sz w:val="18"/>
                <w:szCs w:val="18"/>
              </w:rPr>
            </w:pPr>
          </w:p>
        </w:tc>
        <w:tc>
          <w:tcPr>
            <w:tcW w:w="113" w:type="dxa"/>
            <w:shd w:val="clear" w:color="auto" w:fill="auto"/>
            <w:vAlign w:val="bottom"/>
          </w:tcPr>
          <w:p w14:paraId="12EAA8DA" w14:textId="77777777" w:rsidR="00E21527" w:rsidRPr="001521F8" w:rsidRDefault="00E21527" w:rsidP="00E21527">
            <w:pPr>
              <w:spacing w:line="180" w:lineRule="exact"/>
              <w:rPr>
                <w:sz w:val="16"/>
                <w:szCs w:val="16"/>
              </w:rPr>
            </w:pPr>
          </w:p>
        </w:tc>
        <w:tc>
          <w:tcPr>
            <w:tcW w:w="907" w:type="dxa"/>
            <w:tcBorders>
              <w:top w:val="single" w:sz="6" w:space="0" w:color="auto"/>
            </w:tcBorders>
            <w:vAlign w:val="bottom"/>
          </w:tcPr>
          <w:p w14:paraId="4F5C5C8E" w14:textId="77777777" w:rsidR="00E21527" w:rsidRPr="001521F8" w:rsidRDefault="00E21527" w:rsidP="00E21527">
            <w:pPr>
              <w:tabs>
                <w:tab w:val="decimal" w:pos="113"/>
              </w:tabs>
              <w:spacing w:line="180" w:lineRule="exact"/>
              <w:rPr>
                <w:sz w:val="16"/>
                <w:szCs w:val="16"/>
                <w:rtl/>
              </w:rPr>
            </w:pPr>
          </w:p>
        </w:tc>
        <w:tc>
          <w:tcPr>
            <w:tcW w:w="113" w:type="dxa"/>
            <w:vAlign w:val="bottom"/>
          </w:tcPr>
          <w:p w14:paraId="2557979E" w14:textId="77777777" w:rsidR="00E21527" w:rsidRPr="001521F8" w:rsidRDefault="00E21527" w:rsidP="00E21527">
            <w:pPr>
              <w:tabs>
                <w:tab w:val="decimal" w:pos="113"/>
              </w:tabs>
              <w:spacing w:line="180" w:lineRule="exact"/>
              <w:rPr>
                <w:sz w:val="16"/>
                <w:szCs w:val="16"/>
              </w:rPr>
            </w:pPr>
          </w:p>
        </w:tc>
        <w:tc>
          <w:tcPr>
            <w:tcW w:w="907" w:type="dxa"/>
            <w:gridSpan w:val="2"/>
            <w:tcBorders>
              <w:top w:val="single" w:sz="6" w:space="0" w:color="auto"/>
            </w:tcBorders>
            <w:shd w:val="clear" w:color="auto" w:fill="auto"/>
            <w:vAlign w:val="bottom"/>
          </w:tcPr>
          <w:p w14:paraId="2C604EAF" w14:textId="77777777" w:rsidR="00E21527" w:rsidRPr="001521F8" w:rsidRDefault="00E21527" w:rsidP="00E21527">
            <w:pPr>
              <w:tabs>
                <w:tab w:val="decimal" w:pos="113"/>
              </w:tabs>
              <w:spacing w:line="180" w:lineRule="exact"/>
              <w:rPr>
                <w:sz w:val="16"/>
                <w:szCs w:val="16"/>
              </w:rPr>
            </w:pPr>
          </w:p>
        </w:tc>
        <w:tc>
          <w:tcPr>
            <w:tcW w:w="113" w:type="dxa"/>
            <w:shd w:val="clear" w:color="auto" w:fill="auto"/>
            <w:vAlign w:val="bottom"/>
          </w:tcPr>
          <w:p w14:paraId="05B75197" w14:textId="77777777" w:rsidR="00E21527" w:rsidRPr="001521F8" w:rsidRDefault="00E21527" w:rsidP="00E21527">
            <w:pPr>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64C1C24E" w14:textId="77777777" w:rsidR="00E21527" w:rsidRPr="001521F8" w:rsidRDefault="00E21527" w:rsidP="00E21527">
            <w:pPr>
              <w:tabs>
                <w:tab w:val="decimal" w:pos="113"/>
              </w:tabs>
              <w:spacing w:line="180" w:lineRule="exact"/>
              <w:rPr>
                <w:sz w:val="16"/>
                <w:szCs w:val="16"/>
                <w:rtl/>
              </w:rPr>
            </w:pPr>
          </w:p>
        </w:tc>
        <w:tc>
          <w:tcPr>
            <w:tcW w:w="113" w:type="dxa"/>
            <w:shd w:val="clear" w:color="auto" w:fill="auto"/>
            <w:vAlign w:val="bottom"/>
          </w:tcPr>
          <w:p w14:paraId="784809DE" w14:textId="77777777" w:rsidR="00E21527" w:rsidRPr="001521F8" w:rsidRDefault="00E21527" w:rsidP="00E21527">
            <w:pPr>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7EAF7A30" w14:textId="77777777" w:rsidR="00E21527" w:rsidRPr="001521F8" w:rsidRDefault="00E21527" w:rsidP="00E21527">
            <w:pPr>
              <w:tabs>
                <w:tab w:val="decimal" w:pos="113"/>
              </w:tabs>
              <w:spacing w:line="180" w:lineRule="exact"/>
              <w:rPr>
                <w:sz w:val="16"/>
                <w:szCs w:val="16"/>
              </w:rPr>
            </w:pPr>
          </w:p>
        </w:tc>
        <w:tc>
          <w:tcPr>
            <w:tcW w:w="113" w:type="dxa"/>
            <w:shd w:val="clear" w:color="auto" w:fill="auto"/>
            <w:vAlign w:val="bottom"/>
          </w:tcPr>
          <w:p w14:paraId="2CEF7D0C" w14:textId="77777777" w:rsidR="00E21527" w:rsidRPr="001521F8" w:rsidRDefault="00E21527" w:rsidP="00E21527">
            <w:pPr>
              <w:tabs>
                <w:tab w:val="decimal" w:pos="113"/>
              </w:tabs>
              <w:spacing w:line="180" w:lineRule="exact"/>
              <w:rPr>
                <w:sz w:val="16"/>
                <w:szCs w:val="16"/>
              </w:rPr>
            </w:pPr>
          </w:p>
        </w:tc>
        <w:tc>
          <w:tcPr>
            <w:tcW w:w="1192" w:type="dxa"/>
            <w:tcBorders>
              <w:top w:val="single" w:sz="6" w:space="0" w:color="auto"/>
            </w:tcBorders>
            <w:shd w:val="clear" w:color="auto" w:fill="auto"/>
            <w:vAlign w:val="bottom"/>
          </w:tcPr>
          <w:p w14:paraId="7A9D07B4" w14:textId="77777777" w:rsidR="00E21527" w:rsidRPr="001521F8" w:rsidRDefault="00E21527" w:rsidP="00E21527">
            <w:pPr>
              <w:tabs>
                <w:tab w:val="decimal" w:pos="113"/>
              </w:tabs>
              <w:spacing w:line="180" w:lineRule="exact"/>
              <w:rPr>
                <w:sz w:val="16"/>
                <w:szCs w:val="16"/>
                <w:rtl/>
              </w:rPr>
            </w:pPr>
          </w:p>
        </w:tc>
      </w:tr>
      <w:tr w:rsidR="00DD74D5" w:rsidRPr="001521F8" w14:paraId="76094C92" w14:textId="77777777" w:rsidTr="001521F8">
        <w:tc>
          <w:tcPr>
            <w:tcW w:w="1688" w:type="dxa"/>
            <w:vMerge w:val="restart"/>
            <w:tcBorders>
              <w:right w:val="single" w:sz="6" w:space="0" w:color="auto"/>
            </w:tcBorders>
            <w:vAlign w:val="center"/>
          </w:tcPr>
          <w:p w14:paraId="51E9C600" w14:textId="77777777" w:rsidR="00DD74D5" w:rsidRPr="001521F8" w:rsidRDefault="00DD74D5" w:rsidP="00E21527">
            <w:pPr>
              <w:pStyle w:val="a3"/>
              <w:bidi w:val="0"/>
              <w:spacing w:line="180" w:lineRule="exact"/>
              <w:ind w:left="0" w:right="57"/>
              <w:jc w:val="right"/>
              <w:rPr>
                <w:i/>
                <w:iCs/>
                <w:sz w:val="16"/>
                <w:szCs w:val="16"/>
              </w:rPr>
            </w:pPr>
            <w:r w:rsidRPr="001521F8">
              <w:rPr>
                <w:rFonts w:hint="cs"/>
                <w:i/>
                <w:iCs/>
                <w:sz w:val="16"/>
                <w:szCs w:val="16"/>
              </w:rPr>
              <w:t>IAS 1.10</w:t>
            </w:r>
            <w:r w:rsidRPr="001521F8">
              <w:rPr>
                <w:i/>
                <w:iCs/>
                <w:sz w:val="16"/>
                <w:szCs w:val="16"/>
              </w:rPr>
              <w:t xml:space="preserve">3; </w:t>
            </w:r>
          </w:p>
          <w:p w14:paraId="105DCB24" w14:textId="77777777" w:rsidR="00DD74D5" w:rsidRPr="001521F8" w:rsidRDefault="00DD74D5" w:rsidP="00E21527">
            <w:pPr>
              <w:pStyle w:val="a3"/>
              <w:bidi w:val="0"/>
              <w:spacing w:line="180" w:lineRule="exact"/>
              <w:ind w:left="0" w:right="57"/>
              <w:jc w:val="right"/>
              <w:rPr>
                <w:i/>
                <w:iCs/>
                <w:sz w:val="16"/>
                <w:szCs w:val="16"/>
              </w:rPr>
            </w:pPr>
            <w:r w:rsidRPr="001521F8">
              <w:rPr>
                <w:rFonts w:hint="cs"/>
                <w:i/>
                <w:iCs/>
                <w:sz w:val="16"/>
                <w:szCs w:val="16"/>
              </w:rPr>
              <w:t>IAS 1.104</w:t>
            </w:r>
          </w:p>
        </w:tc>
        <w:tc>
          <w:tcPr>
            <w:tcW w:w="2695" w:type="dxa"/>
            <w:tcBorders>
              <w:left w:val="single" w:sz="6" w:space="0" w:color="auto"/>
            </w:tcBorders>
            <w:shd w:val="clear" w:color="auto" w:fill="auto"/>
            <w:vAlign w:val="bottom"/>
          </w:tcPr>
          <w:p w14:paraId="7946CF15" w14:textId="77777777" w:rsidR="00DD74D5" w:rsidRPr="001521F8" w:rsidRDefault="00DD74D5" w:rsidP="00E21527">
            <w:pPr>
              <w:pStyle w:val="a3"/>
              <w:spacing w:line="180" w:lineRule="exact"/>
              <w:ind w:left="227" w:hanging="170"/>
              <w:rPr>
                <w:sz w:val="18"/>
                <w:szCs w:val="18"/>
              </w:rPr>
            </w:pPr>
            <w:r w:rsidRPr="001521F8">
              <w:rPr>
                <w:rFonts w:hint="cs"/>
                <w:sz w:val="18"/>
                <w:szCs w:val="18"/>
                <w:rtl/>
              </w:rPr>
              <w:t>עלות המכירות</w:t>
            </w:r>
          </w:p>
        </w:tc>
        <w:tc>
          <w:tcPr>
            <w:tcW w:w="113" w:type="dxa"/>
            <w:shd w:val="clear" w:color="auto" w:fill="auto"/>
            <w:vAlign w:val="bottom"/>
          </w:tcPr>
          <w:p w14:paraId="2C8362E0" w14:textId="77777777" w:rsidR="00DD74D5" w:rsidRPr="001521F8" w:rsidRDefault="00DD74D5" w:rsidP="00E21527">
            <w:pPr>
              <w:spacing w:line="180" w:lineRule="exact"/>
              <w:rPr>
                <w:sz w:val="16"/>
                <w:szCs w:val="16"/>
              </w:rPr>
            </w:pPr>
          </w:p>
        </w:tc>
        <w:tc>
          <w:tcPr>
            <w:tcW w:w="907" w:type="dxa"/>
            <w:vAlign w:val="bottom"/>
          </w:tcPr>
          <w:p w14:paraId="4774E3CC" w14:textId="77777777" w:rsidR="00DD74D5" w:rsidRPr="001521F8" w:rsidRDefault="00DD74D5" w:rsidP="00E21527">
            <w:pPr>
              <w:tabs>
                <w:tab w:val="decimal" w:pos="113"/>
              </w:tabs>
              <w:spacing w:line="180" w:lineRule="exact"/>
              <w:rPr>
                <w:sz w:val="16"/>
                <w:szCs w:val="16"/>
                <w:rtl/>
              </w:rPr>
            </w:pPr>
          </w:p>
        </w:tc>
        <w:tc>
          <w:tcPr>
            <w:tcW w:w="113" w:type="dxa"/>
            <w:vAlign w:val="bottom"/>
          </w:tcPr>
          <w:p w14:paraId="6A53DA54" w14:textId="77777777" w:rsidR="00DD74D5" w:rsidRPr="001521F8" w:rsidRDefault="00DD74D5" w:rsidP="00E21527">
            <w:pPr>
              <w:tabs>
                <w:tab w:val="decimal" w:pos="113"/>
              </w:tabs>
              <w:spacing w:line="180" w:lineRule="exact"/>
              <w:rPr>
                <w:sz w:val="16"/>
                <w:szCs w:val="16"/>
              </w:rPr>
            </w:pPr>
          </w:p>
        </w:tc>
        <w:tc>
          <w:tcPr>
            <w:tcW w:w="907" w:type="dxa"/>
            <w:gridSpan w:val="2"/>
            <w:shd w:val="clear" w:color="auto" w:fill="auto"/>
            <w:vAlign w:val="bottom"/>
          </w:tcPr>
          <w:p w14:paraId="2DEBC4D3" w14:textId="77777777" w:rsidR="00DD74D5" w:rsidRPr="001521F8" w:rsidRDefault="00DD74D5" w:rsidP="00E21527">
            <w:pPr>
              <w:tabs>
                <w:tab w:val="decimal" w:pos="113"/>
              </w:tabs>
              <w:spacing w:line="180" w:lineRule="exact"/>
              <w:rPr>
                <w:sz w:val="16"/>
                <w:szCs w:val="16"/>
              </w:rPr>
            </w:pPr>
          </w:p>
        </w:tc>
        <w:tc>
          <w:tcPr>
            <w:tcW w:w="113" w:type="dxa"/>
            <w:shd w:val="clear" w:color="auto" w:fill="auto"/>
            <w:vAlign w:val="bottom"/>
          </w:tcPr>
          <w:p w14:paraId="48EA933E" w14:textId="77777777" w:rsidR="00DD74D5" w:rsidRPr="001521F8" w:rsidRDefault="00DD74D5" w:rsidP="00E21527">
            <w:pPr>
              <w:tabs>
                <w:tab w:val="decimal" w:pos="113"/>
              </w:tabs>
              <w:spacing w:line="180" w:lineRule="exact"/>
              <w:rPr>
                <w:sz w:val="16"/>
                <w:szCs w:val="16"/>
              </w:rPr>
            </w:pPr>
          </w:p>
        </w:tc>
        <w:tc>
          <w:tcPr>
            <w:tcW w:w="907" w:type="dxa"/>
            <w:shd w:val="clear" w:color="auto" w:fill="auto"/>
            <w:vAlign w:val="bottom"/>
          </w:tcPr>
          <w:p w14:paraId="6A1F7B07" w14:textId="77777777" w:rsidR="00DD74D5" w:rsidRPr="001521F8" w:rsidRDefault="00DD74D5" w:rsidP="00E21527">
            <w:pPr>
              <w:tabs>
                <w:tab w:val="decimal" w:pos="113"/>
              </w:tabs>
              <w:spacing w:line="180" w:lineRule="exact"/>
              <w:rPr>
                <w:sz w:val="16"/>
                <w:szCs w:val="16"/>
                <w:rtl/>
              </w:rPr>
            </w:pPr>
          </w:p>
        </w:tc>
        <w:tc>
          <w:tcPr>
            <w:tcW w:w="113" w:type="dxa"/>
            <w:shd w:val="clear" w:color="auto" w:fill="auto"/>
            <w:vAlign w:val="bottom"/>
          </w:tcPr>
          <w:p w14:paraId="54BF9CA6" w14:textId="77777777" w:rsidR="00DD74D5" w:rsidRPr="001521F8" w:rsidRDefault="00DD74D5" w:rsidP="00E21527">
            <w:pPr>
              <w:tabs>
                <w:tab w:val="decimal" w:pos="113"/>
              </w:tabs>
              <w:spacing w:line="180" w:lineRule="exact"/>
              <w:rPr>
                <w:sz w:val="16"/>
                <w:szCs w:val="16"/>
              </w:rPr>
            </w:pPr>
          </w:p>
        </w:tc>
        <w:tc>
          <w:tcPr>
            <w:tcW w:w="907" w:type="dxa"/>
            <w:shd w:val="clear" w:color="auto" w:fill="auto"/>
            <w:vAlign w:val="bottom"/>
          </w:tcPr>
          <w:p w14:paraId="55E975BA" w14:textId="77777777" w:rsidR="00DD74D5" w:rsidRPr="001521F8" w:rsidRDefault="00DD74D5" w:rsidP="00E21527">
            <w:pPr>
              <w:tabs>
                <w:tab w:val="decimal" w:pos="113"/>
              </w:tabs>
              <w:spacing w:line="180" w:lineRule="exact"/>
              <w:rPr>
                <w:sz w:val="16"/>
                <w:szCs w:val="16"/>
              </w:rPr>
            </w:pPr>
          </w:p>
        </w:tc>
        <w:tc>
          <w:tcPr>
            <w:tcW w:w="113" w:type="dxa"/>
            <w:shd w:val="clear" w:color="auto" w:fill="auto"/>
            <w:vAlign w:val="bottom"/>
          </w:tcPr>
          <w:p w14:paraId="78565036" w14:textId="77777777" w:rsidR="00DD74D5" w:rsidRPr="001521F8" w:rsidRDefault="00DD74D5" w:rsidP="00E21527">
            <w:pPr>
              <w:tabs>
                <w:tab w:val="decimal" w:pos="113"/>
              </w:tabs>
              <w:spacing w:line="180" w:lineRule="exact"/>
              <w:rPr>
                <w:sz w:val="16"/>
                <w:szCs w:val="16"/>
              </w:rPr>
            </w:pPr>
          </w:p>
        </w:tc>
        <w:tc>
          <w:tcPr>
            <w:tcW w:w="1192" w:type="dxa"/>
            <w:shd w:val="clear" w:color="auto" w:fill="auto"/>
            <w:vAlign w:val="bottom"/>
          </w:tcPr>
          <w:p w14:paraId="22501A2F" w14:textId="77777777" w:rsidR="00DD74D5" w:rsidRPr="001521F8" w:rsidRDefault="00DD74D5" w:rsidP="00E21527">
            <w:pPr>
              <w:tabs>
                <w:tab w:val="decimal" w:pos="113"/>
              </w:tabs>
              <w:spacing w:line="180" w:lineRule="exact"/>
              <w:rPr>
                <w:sz w:val="16"/>
                <w:szCs w:val="16"/>
                <w:rtl/>
              </w:rPr>
            </w:pPr>
          </w:p>
        </w:tc>
      </w:tr>
      <w:tr w:rsidR="00DD74D5" w:rsidRPr="001521F8" w14:paraId="4227CBCE" w14:textId="77777777" w:rsidTr="001521F8">
        <w:tc>
          <w:tcPr>
            <w:tcW w:w="1688" w:type="dxa"/>
            <w:vMerge/>
            <w:tcBorders>
              <w:right w:val="single" w:sz="6" w:space="0" w:color="auto"/>
            </w:tcBorders>
            <w:vAlign w:val="center"/>
          </w:tcPr>
          <w:p w14:paraId="5DCB7286" w14:textId="77777777" w:rsidR="00DD74D5" w:rsidRPr="001521F8" w:rsidRDefault="00DD74D5" w:rsidP="00E21527">
            <w:pPr>
              <w:pStyle w:val="a3"/>
              <w:bidi w:val="0"/>
              <w:spacing w:line="180" w:lineRule="exact"/>
              <w:ind w:left="0" w:right="57"/>
              <w:jc w:val="right"/>
              <w:rPr>
                <w:i/>
                <w:iCs/>
                <w:sz w:val="16"/>
                <w:szCs w:val="16"/>
                <w:rtl/>
              </w:rPr>
            </w:pPr>
          </w:p>
        </w:tc>
        <w:tc>
          <w:tcPr>
            <w:tcW w:w="2695" w:type="dxa"/>
            <w:tcBorders>
              <w:left w:val="single" w:sz="6" w:space="0" w:color="auto"/>
            </w:tcBorders>
            <w:shd w:val="clear" w:color="auto" w:fill="auto"/>
            <w:vAlign w:val="bottom"/>
          </w:tcPr>
          <w:p w14:paraId="60F577B0" w14:textId="77777777" w:rsidR="00DD74D5" w:rsidRPr="001521F8" w:rsidRDefault="00DD74D5" w:rsidP="00E21527">
            <w:pPr>
              <w:pStyle w:val="a3"/>
              <w:spacing w:line="180" w:lineRule="exact"/>
              <w:ind w:left="227" w:hanging="170"/>
              <w:rPr>
                <w:sz w:val="18"/>
                <w:szCs w:val="18"/>
              </w:rPr>
            </w:pPr>
            <w:r w:rsidRPr="001521F8">
              <w:rPr>
                <w:rFonts w:hint="cs"/>
                <w:sz w:val="18"/>
                <w:szCs w:val="18"/>
                <w:rtl/>
              </w:rPr>
              <w:t>עלות מתן שירותים</w:t>
            </w:r>
          </w:p>
        </w:tc>
        <w:tc>
          <w:tcPr>
            <w:tcW w:w="113" w:type="dxa"/>
            <w:shd w:val="clear" w:color="auto" w:fill="auto"/>
            <w:vAlign w:val="bottom"/>
          </w:tcPr>
          <w:p w14:paraId="43FD8230" w14:textId="77777777" w:rsidR="00DD74D5" w:rsidRPr="001521F8" w:rsidRDefault="00DD74D5" w:rsidP="00E21527">
            <w:pPr>
              <w:spacing w:line="180" w:lineRule="exact"/>
              <w:rPr>
                <w:sz w:val="16"/>
                <w:szCs w:val="16"/>
              </w:rPr>
            </w:pPr>
          </w:p>
        </w:tc>
        <w:tc>
          <w:tcPr>
            <w:tcW w:w="907" w:type="dxa"/>
            <w:vAlign w:val="bottom"/>
          </w:tcPr>
          <w:p w14:paraId="6F7850D0" w14:textId="77777777" w:rsidR="00DD74D5" w:rsidRPr="001521F8" w:rsidRDefault="00DD74D5" w:rsidP="00E21527">
            <w:pPr>
              <w:tabs>
                <w:tab w:val="decimal" w:pos="113"/>
              </w:tabs>
              <w:spacing w:line="180" w:lineRule="exact"/>
              <w:rPr>
                <w:sz w:val="16"/>
                <w:szCs w:val="16"/>
                <w:rtl/>
              </w:rPr>
            </w:pPr>
          </w:p>
        </w:tc>
        <w:tc>
          <w:tcPr>
            <w:tcW w:w="113" w:type="dxa"/>
            <w:vAlign w:val="bottom"/>
          </w:tcPr>
          <w:p w14:paraId="75C1328C" w14:textId="77777777" w:rsidR="00DD74D5" w:rsidRPr="001521F8" w:rsidRDefault="00DD74D5" w:rsidP="00E21527">
            <w:pPr>
              <w:tabs>
                <w:tab w:val="decimal" w:pos="113"/>
              </w:tabs>
              <w:spacing w:line="180" w:lineRule="exact"/>
              <w:rPr>
                <w:sz w:val="16"/>
                <w:szCs w:val="16"/>
              </w:rPr>
            </w:pPr>
          </w:p>
        </w:tc>
        <w:tc>
          <w:tcPr>
            <w:tcW w:w="907" w:type="dxa"/>
            <w:gridSpan w:val="2"/>
            <w:shd w:val="clear" w:color="auto" w:fill="auto"/>
            <w:vAlign w:val="bottom"/>
          </w:tcPr>
          <w:p w14:paraId="0FBD0FC9" w14:textId="77777777" w:rsidR="00DD74D5" w:rsidRPr="001521F8" w:rsidRDefault="00DD74D5" w:rsidP="00E21527">
            <w:pPr>
              <w:tabs>
                <w:tab w:val="decimal" w:pos="113"/>
              </w:tabs>
              <w:spacing w:line="180" w:lineRule="exact"/>
              <w:rPr>
                <w:sz w:val="16"/>
                <w:szCs w:val="16"/>
              </w:rPr>
            </w:pPr>
          </w:p>
        </w:tc>
        <w:tc>
          <w:tcPr>
            <w:tcW w:w="113" w:type="dxa"/>
            <w:shd w:val="clear" w:color="auto" w:fill="auto"/>
            <w:vAlign w:val="bottom"/>
          </w:tcPr>
          <w:p w14:paraId="63134D49" w14:textId="77777777" w:rsidR="00DD74D5" w:rsidRPr="001521F8" w:rsidRDefault="00DD74D5" w:rsidP="00E21527">
            <w:pPr>
              <w:tabs>
                <w:tab w:val="decimal" w:pos="113"/>
              </w:tabs>
              <w:spacing w:line="180" w:lineRule="exact"/>
              <w:rPr>
                <w:sz w:val="16"/>
                <w:szCs w:val="16"/>
              </w:rPr>
            </w:pPr>
          </w:p>
        </w:tc>
        <w:tc>
          <w:tcPr>
            <w:tcW w:w="907" w:type="dxa"/>
            <w:shd w:val="clear" w:color="auto" w:fill="auto"/>
            <w:vAlign w:val="bottom"/>
          </w:tcPr>
          <w:p w14:paraId="7688DD5B" w14:textId="77777777" w:rsidR="00DD74D5" w:rsidRPr="001521F8" w:rsidRDefault="00DD74D5" w:rsidP="00E21527">
            <w:pPr>
              <w:tabs>
                <w:tab w:val="decimal" w:pos="113"/>
              </w:tabs>
              <w:spacing w:line="180" w:lineRule="exact"/>
              <w:rPr>
                <w:sz w:val="16"/>
                <w:szCs w:val="16"/>
                <w:rtl/>
              </w:rPr>
            </w:pPr>
          </w:p>
        </w:tc>
        <w:tc>
          <w:tcPr>
            <w:tcW w:w="113" w:type="dxa"/>
            <w:shd w:val="clear" w:color="auto" w:fill="auto"/>
            <w:vAlign w:val="bottom"/>
          </w:tcPr>
          <w:p w14:paraId="7BA0E537" w14:textId="77777777" w:rsidR="00DD74D5" w:rsidRPr="001521F8" w:rsidRDefault="00DD74D5" w:rsidP="00E21527">
            <w:pPr>
              <w:tabs>
                <w:tab w:val="decimal" w:pos="113"/>
              </w:tabs>
              <w:spacing w:line="180" w:lineRule="exact"/>
              <w:rPr>
                <w:sz w:val="16"/>
                <w:szCs w:val="16"/>
              </w:rPr>
            </w:pPr>
          </w:p>
        </w:tc>
        <w:tc>
          <w:tcPr>
            <w:tcW w:w="907" w:type="dxa"/>
            <w:shd w:val="clear" w:color="auto" w:fill="auto"/>
            <w:vAlign w:val="bottom"/>
          </w:tcPr>
          <w:p w14:paraId="6686643E" w14:textId="77777777" w:rsidR="00DD74D5" w:rsidRPr="001521F8" w:rsidRDefault="00DD74D5" w:rsidP="00E21527">
            <w:pPr>
              <w:tabs>
                <w:tab w:val="decimal" w:pos="113"/>
              </w:tabs>
              <w:spacing w:line="180" w:lineRule="exact"/>
              <w:rPr>
                <w:sz w:val="16"/>
                <w:szCs w:val="16"/>
              </w:rPr>
            </w:pPr>
          </w:p>
        </w:tc>
        <w:tc>
          <w:tcPr>
            <w:tcW w:w="113" w:type="dxa"/>
            <w:shd w:val="clear" w:color="auto" w:fill="auto"/>
            <w:vAlign w:val="bottom"/>
          </w:tcPr>
          <w:p w14:paraId="4CC082B4" w14:textId="77777777" w:rsidR="00DD74D5" w:rsidRPr="001521F8" w:rsidRDefault="00DD74D5" w:rsidP="00E21527">
            <w:pPr>
              <w:tabs>
                <w:tab w:val="decimal" w:pos="113"/>
              </w:tabs>
              <w:spacing w:line="180" w:lineRule="exact"/>
              <w:rPr>
                <w:sz w:val="16"/>
                <w:szCs w:val="16"/>
              </w:rPr>
            </w:pPr>
          </w:p>
        </w:tc>
        <w:tc>
          <w:tcPr>
            <w:tcW w:w="1192" w:type="dxa"/>
            <w:shd w:val="clear" w:color="auto" w:fill="auto"/>
            <w:vAlign w:val="bottom"/>
          </w:tcPr>
          <w:p w14:paraId="1063079D" w14:textId="77777777" w:rsidR="00DD74D5" w:rsidRPr="001521F8" w:rsidRDefault="00DD74D5" w:rsidP="00E21527">
            <w:pPr>
              <w:tabs>
                <w:tab w:val="decimal" w:pos="113"/>
              </w:tabs>
              <w:spacing w:line="180" w:lineRule="exact"/>
              <w:rPr>
                <w:sz w:val="16"/>
                <w:szCs w:val="16"/>
                <w:rtl/>
              </w:rPr>
            </w:pPr>
          </w:p>
        </w:tc>
      </w:tr>
      <w:tr w:rsidR="00DD74D5" w:rsidRPr="001521F8" w14:paraId="694E7CCD" w14:textId="77777777" w:rsidTr="001521F8">
        <w:tc>
          <w:tcPr>
            <w:tcW w:w="1688" w:type="dxa"/>
            <w:tcBorders>
              <w:bottom w:val="single" w:sz="6" w:space="0" w:color="auto"/>
              <w:right w:val="single" w:sz="6" w:space="0" w:color="auto"/>
            </w:tcBorders>
          </w:tcPr>
          <w:p w14:paraId="4F1F6DD6" w14:textId="04F088FF" w:rsidR="00DD74D5" w:rsidRPr="001521F8" w:rsidRDefault="00DD74D5" w:rsidP="00DD74D5">
            <w:pPr>
              <w:pStyle w:val="a3"/>
              <w:bidi w:val="0"/>
              <w:spacing w:line="180" w:lineRule="exact"/>
              <w:ind w:left="0" w:right="57"/>
              <w:jc w:val="right"/>
              <w:rPr>
                <w:i/>
                <w:iCs/>
                <w:sz w:val="16"/>
                <w:szCs w:val="16"/>
                <w:rtl/>
              </w:rPr>
            </w:pPr>
            <w:r w:rsidRPr="001521F8">
              <w:rPr>
                <w:i/>
                <w:iCs/>
                <w:sz w:val="15"/>
                <w:szCs w:val="15"/>
              </w:rPr>
              <w:t>IFRS 16.82</w:t>
            </w:r>
          </w:p>
        </w:tc>
        <w:tc>
          <w:tcPr>
            <w:tcW w:w="2695" w:type="dxa"/>
            <w:tcBorders>
              <w:left w:val="single" w:sz="6" w:space="0" w:color="auto"/>
            </w:tcBorders>
            <w:shd w:val="clear" w:color="auto" w:fill="auto"/>
            <w:vAlign w:val="bottom"/>
          </w:tcPr>
          <w:p w14:paraId="03C59764"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עלות אחזקת נכסים מושכרים</w:t>
            </w:r>
          </w:p>
        </w:tc>
        <w:tc>
          <w:tcPr>
            <w:tcW w:w="113" w:type="dxa"/>
            <w:shd w:val="clear" w:color="auto" w:fill="auto"/>
            <w:vAlign w:val="bottom"/>
          </w:tcPr>
          <w:p w14:paraId="4E4D9957" w14:textId="77777777" w:rsidR="00DD74D5" w:rsidRPr="001521F8" w:rsidRDefault="00DD74D5" w:rsidP="00DD74D5">
            <w:pPr>
              <w:spacing w:line="180" w:lineRule="exact"/>
              <w:rPr>
                <w:sz w:val="16"/>
                <w:szCs w:val="16"/>
              </w:rPr>
            </w:pPr>
          </w:p>
        </w:tc>
        <w:tc>
          <w:tcPr>
            <w:tcW w:w="907" w:type="dxa"/>
            <w:vAlign w:val="bottom"/>
          </w:tcPr>
          <w:p w14:paraId="1200796C"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373EDD68"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01C0A8F7"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571EB876"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50977191"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5CECAB54"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7E75A5AE"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02620132"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04D48DBF" w14:textId="77777777" w:rsidR="00DD74D5" w:rsidRPr="001521F8" w:rsidRDefault="00DD74D5" w:rsidP="00DD74D5">
            <w:pPr>
              <w:tabs>
                <w:tab w:val="decimal" w:pos="113"/>
              </w:tabs>
              <w:spacing w:line="180" w:lineRule="exact"/>
              <w:rPr>
                <w:sz w:val="16"/>
                <w:szCs w:val="16"/>
                <w:rtl/>
              </w:rPr>
            </w:pPr>
          </w:p>
        </w:tc>
      </w:tr>
      <w:tr w:rsidR="00DD74D5" w:rsidRPr="001521F8" w14:paraId="62043FAA" w14:textId="77777777" w:rsidTr="001521F8">
        <w:tc>
          <w:tcPr>
            <w:tcW w:w="1688" w:type="dxa"/>
            <w:tcBorders>
              <w:bottom w:val="single" w:sz="6" w:space="0" w:color="auto"/>
              <w:right w:val="single" w:sz="6" w:space="0" w:color="auto"/>
            </w:tcBorders>
          </w:tcPr>
          <w:p w14:paraId="0316BFF3" w14:textId="77777777" w:rsidR="00DD74D5" w:rsidRPr="001521F8" w:rsidRDefault="00DD74D5" w:rsidP="00DD74D5">
            <w:pPr>
              <w:pStyle w:val="a3"/>
              <w:bidi w:val="0"/>
              <w:spacing w:line="180" w:lineRule="exact"/>
              <w:ind w:left="0" w:right="57"/>
              <w:jc w:val="right"/>
              <w:rPr>
                <w:i/>
                <w:iCs/>
                <w:sz w:val="16"/>
                <w:szCs w:val="16"/>
                <w:rtl/>
              </w:rPr>
            </w:pPr>
          </w:p>
        </w:tc>
        <w:tc>
          <w:tcPr>
            <w:tcW w:w="2695" w:type="dxa"/>
            <w:tcBorders>
              <w:left w:val="single" w:sz="6" w:space="0" w:color="auto"/>
            </w:tcBorders>
            <w:shd w:val="clear" w:color="auto" w:fill="auto"/>
            <w:vAlign w:val="bottom"/>
          </w:tcPr>
          <w:p w14:paraId="1ACE7EA8"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עלות בגין עמלות</w:t>
            </w:r>
          </w:p>
        </w:tc>
        <w:tc>
          <w:tcPr>
            <w:tcW w:w="113" w:type="dxa"/>
            <w:shd w:val="clear" w:color="auto" w:fill="auto"/>
            <w:vAlign w:val="bottom"/>
          </w:tcPr>
          <w:p w14:paraId="7EDDC168" w14:textId="77777777" w:rsidR="00DD74D5" w:rsidRPr="001521F8" w:rsidRDefault="00DD74D5" w:rsidP="00DD74D5">
            <w:pPr>
              <w:spacing w:line="180" w:lineRule="exact"/>
              <w:rPr>
                <w:sz w:val="16"/>
                <w:szCs w:val="16"/>
              </w:rPr>
            </w:pPr>
          </w:p>
        </w:tc>
        <w:tc>
          <w:tcPr>
            <w:tcW w:w="907" w:type="dxa"/>
            <w:tcBorders>
              <w:bottom w:val="single" w:sz="6" w:space="0" w:color="auto"/>
            </w:tcBorders>
            <w:shd w:val="clear" w:color="auto" w:fill="auto"/>
            <w:vAlign w:val="bottom"/>
          </w:tcPr>
          <w:p w14:paraId="1C51A37A"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02F939FE" w14:textId="77777777" w:rsidR="00DD74D5" w:rsidRPr="001521F8" w:rsidRDefault="00DD74D5" w:rsidP="00DD74D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2E32815E"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6299C08D"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3F7CC40E"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307A16F7"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56CFDF51"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7FB6FB3E" w14:textId="77777777" w:rsidR="00DD74D5" w:rsidRPr="001521F8" w:rsidRDefault="00DD74D5" w:rsidP="00DD74D5">
            <w:pPr>
              <w:tabs>
                <w:tab w:val="decimal" w:pos="113"/>
              </w:tabs>
              <w:spacing w:line="180" w:lineRule="exact"/>
              <w:rPr>
                <w:sz w:val="16"/>
                <w:szCs w:val="16"/>
              </w:rPr>
            </w:pPr>
          </w:p>
        </w:tc>
        <w:tc>
          <w:tcPr>
            <w:tcW w:w="1192" w:type="dxa"/>
            <w:tcBorders>
              <w:bottom w:val="single" w:sz="6" w:space="0" w:color="auto"/>
            </w:tcBorders>
            <w:shd w:val="clear" w:color="auto" w:fill="auto"/>
            <w:vAlign w:val="bottom"/>
          </w:tcPr>
          <w:p w14:paraId="29D16B0B" w14:textId="77777777" w:rsidR="00DD74D5" w:rsidRPr="001521F8" w:rsidRDefault="00DD74D5" w:rsidP="00DD74D5">
            <w:pPr>
              <w:tabs>
                <w:tab w:val="decimal" w:pos="113"/>
              </w:tabs>
              <w:spacing w:line="180" w:lineRule="exact"/>
              <w:rPr>
                <w:sz w:val="16"/>
                <w:szCs w:val="16"/>
                <w:rtl/>
              </w:rPr>
            </w:pPr>
          </w:p>
        </w:tc>
      </w:tr>
      <w:tr w:rsidR="00DD74D5" w:rsidRPr="001521F8" w14:paraId="35BFC416" w14:textId="77777777" w:rsidTr="001521F8">
        <w:tc>
          <w:tcPr>
            <w:tcW w:w="1688" w:type="dxa"/>
            <w:tcBorders>
              <w:top w:val="single" w:sz="6" w:space="0" w:color="auto"/>
            </w:tcBorders>
          </w:tcPr>
          <w:p w14:paraId="580B3F36" w14:textId="77777777" w:rsidR="00DD74D5" w:rsidRPr="001521F8" w:rsidRDefault="00DD74D5" w:rsidP="00DD74D5">
            <w:pPr>
              <w:pStyle w:val="a3"/>
              <w:widowControl/>
              <w:spacing w:line="120" w:lineRule="auto"/>
              <w:ind w:left="0"/>
              <w:jc w:val="right"/>
              <w:rPr>
                <w:i/>
                <w:iCs/>
                <w:sz w:val="16"/>
                <w:szCs w:val="16"/>
              </w:rPr>
            </w:pPr>
          </w:p>
        </w:tc>
        <w:tc>
          <w:tcPr>
            <w:tcW w:w="2695" w:type="dxa"/>
            <w:shd w:val="clear" w:color="auto" w:fill="auto"/>
            <w:vAlign w:val="bottom"/>
          </w:tcPr>
          <w:p w14:paraId="4284EE62" w14:textId="77777777" w:rsidR="00DD74D5" w:rsidRPr="001521F8" w:rsidRDefault="00DD74D5" w:rsidP="00DD74D5">
            <w:pPr>
              <w:pStyle w:val="a3"/>
              <w:widowControl/>
              <w:spacing w:line="120" w:lineRule="auto"/>
              <w:ind w:left="0"/>
              <w:rPr>
                <w:sz w:val="18"/>
                <w:szCs w:val="18"/>
              </w:rPr>
            </w:pPr>
          </w:p>
        </w:tc>
        <w:tc>
          <w:tcPr>
            <w:tcW w:w="113" w:type="dxa"/>
            <w:shd w:val="clear" w:color="auto" w:fill="auto"/>
            <w:vAlign w:val="bottom"/>
          </w:tcPr>
          <w:p w14:paraId="00B9F16F" w14:textId="77777777" w:rsidR="00DD74D5" w:rsidRPr="001521F8" w:rsidRDefault="00DD74D5" w:rsidP="00DD74D5">
            <w:pPr>
              <w:widowControl/>
              <w:spacing w:line="120" w:lineRule="auto"/>
              <w:rPr>
                <w:sz w:val="16"/>
                <w:szCs w:val="16"/>
              </w:rPr>
            </w:pPr>
          </w:p>
        </w:tc>
        <w:tc>
          <w:tcPr>
            <w:tcW w:w="907" w:type="dxa"/>
            <w:tcBorders>
              <w:top w:val="single" w:sz="6" w:space="0" w:color="auto"/>
            </w:tcBorders>
            <w:vAlign w:val="bottom"/>
          </w:tcPr>
          <w:p w14:paraId="786FDBE7"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7654300A" w14:textId="77777777" w:rsidR="00DD74D5" w:rsidRPr="001521F8" w:rsidRDefault="00DD74D5" w:rsidP="00DD74D5">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16C3F66F"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76D1AB1B"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649E2025"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214416AA"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4C264ED3"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74AAD109" w14:textId="77777777" w:rsidR="00DD74D5" w:rsidRPr="001521F8" w:rsidRDefault="00DD74D5" w:rsidP="00DD74D5">
            <w:pPr>
              <w:widowControl/>
              <w:tabs>
                <w:tab w:val="decimal" w:pos="113"/>
              </w:tabs>
              <w:spacing w:line="120" w:lineRule="auto"/>
              <w:rPr>
                <w:sz w:val="16"/>
                <w:szCs w:val="16"/>
              </w:rPr>
            </w:pPr>
          </w:p>
        </w:tc>
        <w:tc>
          <w:tcPr>
            <w:tcW w:w="1192" w:type="dxa"/>
            <w:tcBorders>
              <w:top w:val="single" w:sz="6" w:space="0" w:color="auto"/>
            </w:tcBorders>
            <w:shd w:val="clear" w:color="auto" w:fill="auto"/>
            <w:vAlign w:val="bottom"/>
          </w:tcPr>
          <w:p w14:paraId="5822450C" w14:textId="77777777" w:rsidR="00DD74D5" w:rsidRPr="001521F8" w:rsidRDefault="00DD74D5" w:rsidP="00DD74D5">
            <w:pPr>
              <w:widowControl/>
              <w:tabs>
                <w:tab w:val="decimal" w:pos="113"/>
              </w:tabs>
              <w:spacing w:line="120" w:lineRule="auto"/>
              <w:rPr>
                <w:sz w:val="16"/>
                <w:szCs w:val="16"/>
                <w:rtl/>
              </w:rPr>
            </w:pPr>
          </w:p>
        </w:tc>
      </w:tr>
      <w:tr w:rsidR="00DD74D5" w:rsidRPr="001521F8" w14:paraId="0C3E6504" w14:textId="77777777" w:rsidTr="001521F8">
        <w:tc>
          <w:tcPr>
            <w:tcW w:w="1688" w:type="dxa"/>
          </w:tcPr>
          <w:p w14:paraId="18D25AF5" w14:textId="77777777" w:rsidR="00DD74D5" w:rsidRPr="001521F8" w:rsidRDefault="00DD74D5" w:rsidP="00DD74D5">
            <w:pPr>
              <w:pStyle w:val="a3"/>
              <w:bidi w:val="0"/>
              <w:spacing w:line="180" w:lineRule="exact"/>
              <w:ind w:left="0" w:right="57"/>
              <w:jc w:val="right"/>
              <w:rPr>
                <w:i/>
                <w:iCs/>
                <w:sz w:val="16"/>
                <w:szCs w:val="16"/>
                <w:rtl/>
              </w:rPr>
            </w:pPr>
          </w:p>
        </w:tc>
        <w:tc>
          <w:tcPr>
            <w:tcW w:w="2695" w:type="dxa"/>
            <w:shd w:val="clear" w:color="auto" w:fill="auto"/>
            <w:vAlign w:val="bottom"/>
          </w:tcPr>
          <w:p w14:paraId="58F8301C"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סה"כ עלות המכירות והשירותים</w:t>
            </w:r>
          </w:p>
        </w:tc>
        <w:tc>
          <w:tcPr>
            <w:tcW w:w="113" w:type="dxa"/>
            <w:shd w:val="clear" w:color="auto" w:fill="auto"/>
            <w:vAlign w:val="bottom"/>
          </w:tcPr>
          <w:p w14:paraId="445A8A79" w14:textId="77777777" w:rsidR="00DD74D5" w:rsidRPr="001521F8" w:rsidRDefault="00DD74D5" w:rsidP="00DD74D5">
            <w:pPr>
              <w:spacing w:line="180" w:lineRule="exact"/>
              <w:rPr>
                <w:sz w:val="16"/>
                <w:szCs w:val="16"/>
              </w:rPr>
            </w:pPr>
          </w:p>
        </w:tc>
        <w:tc>
          <w:tcPr>
            <w:tcW w:w="907" w:type="dxa"/>
            <w:tcBorders>
              <w:bottom w:val="single" w:sz="6" w:space="0" w:color="auto"/>
            </w:tcBorders>
            <w:shd w:val="clear" w:color="auto" w:fill="auto"/>
            <w:vAlign w:val="bottom"/>
          </w:tcPr>
          <w:p w14:paraId="607F17CD"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06C0F722" w14:textId="77777777" w:rsidR="00DD74D5" w:rsidRPr="001521F8" w:rsidRDefault="00DD74D5" w:rsidP="00DD74D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33D576CB"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1F3B205E"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3A5568BA"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799F7258"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74F2A4CF"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1BA9895F" w14:textId="77777777" w:rsidR="00DD74D5" w:rsidRPr="001521F8" w:rsidRDefault="00DD74D5" w:rsidP="00DD74D5">
            <w:pPr>
              <w:tabs>
                <w:tab w:val="decimal" w:pos="113"/>
              </w:tabs>
              <w:spacing w:line="180" w:lineRule="exact"/>
              <w:rPr>
                <w:sz w:val="16"/>
                <w:szCs w:val="16"/>
              </w:rPr>
            </w:pPr>
          </w:p>
        </w:tc>
        <w:tc>
          <w:tcPr>
            <w:tcW w:w="1192" w:type="dxa"/>
            <w:tcBorders>
              <w:bottom w:val="single" w:sz="6" w:space="0" w:color="auto"/>
            </w:tcBorders>
            <w:shd w:val="clear" w:color="auto" w:fill="auto"/>
            <w:vAlign w:val="bottom"/>
          </w:tcPr>
          <w:p w14:paraId="5207B1D7" w14:textId="77777777" w:rsidR="00DD74D5" w:rsidRPr="001521F8" w:rsidRDefault="00DD74D5" w:rsidP="00DD74D5">
            <w:pPr>
              <w:tabs>
                <w:tab w:val="decimal" w:pos="113"/>
              </w:tabs>
              <w:spacing w:line="180" w:lineRule="exact"/>
              <w:rPr>
                <w:sz w:val="16"/>
                <w:szCs w:val="16"/>
                <w:rtl/>
              </w:rPr>
            </w:pPr>
          </w:p>
        </w:tc>
      </w:tr>
      <w:tr w:rsidR="00DD74D5" w:rsidRPr="001521F8" w14:paraId="50BE3DB2" w14:textId="77777777" w:rsidTr="001521F8">
        <w:tc>
          <w:tcPr>
            <w:tcW w:w="1688" w:type="dxa"/>
          </w:tcPr>
          <w:p w14:paraId="50B6111C" w14:textId="77777777" w:rsidR="00DD74D5" w:rsidRPr="001521F8" w:rsidRDefault="00DD74D5" w:rsidP="00DD74D5">
            <w:pPr>
              <w:pStyle w:val="a3"/>
              <w:widowControl/>
              <w:spacing w:line="120" w:lineRule="auto"/>
              <w:ind w:left="0"/>
              <w:jc w:val="right"/>
              <w:rPr>
                <w:i/>
                <w:iCs/>
                <w:sz w:val="16"/>
                <w:szCs w:val="16"/>
              </w:rPr>
            </w:pPr>
          </w:p>
        </w:tc>
        <w:tc>
          <w:tcPr>
            <w:tcW w:w="2695" w:type="dxa"/>
            <w:shd w:val="clear" w:color="auto" w:fill="auto"/>
            <w:vAlign w:val="bottom"/>
          </w:tcPr>
          <w:p w14:paraId="73BB4406" w14:textId="77777777" w:rsidR="00DD74D5" w:rsidRPr="001521F8" w:rsidRDefault="00DD74D5" w:rsidP="00DD74D5">
            <w:pPr>
              <w:pStyle w:val="a3"/>
              <w:widowControl/>
              <w:spacing w:line="120" w:lineRule="auto"/>
              <w:ind w:left="0"/>
              <w:rPr>
                <w:sz w:val="18"/>
                <w:szCs w:val="18"/>
              </w:rPr>
            </w:pPr>
          </w:p>
        </w:tc>
        <w:tc>
          <w:tcPr>
            <w:tcW w:w="113" w:type="dxa"/>
            <w:shd w:val="clear" w:color="auto" w:fill="auto"/>
            <w:vAlign w:val="bottom"/>
          </w:tcPr>
          <w:p w14:paraId="722D86C0" w14:textId="77777777" w:rsidR="00DD74D5" w:rsidRPr="001521F8" w:rsidRDefault="00DD74D5" w:rsidP="00DD74D5">
            <w:pPr>
              <w:widowControl/>
              <w:spacing w:line="120" w:lineRule="auto"/>
              <w:rPr>
                <w:sz w:val="16"/>
                <w:szCs w:val="16"/>
              </w:rPr>
            </w:pPr>
          </w:p>
        </w:tc>
        <w:tc>
          <w:tcPr>
            <w:tcW w:w="907" w:type="dxa"/>
            <w:tcBorders>
              <w:top w:val="single" w:sz="6" w:space="0" w:color="auto"/>
            </w:tcBorders>
            <w:vAlign w:val="bottom"/>
          </w:tcPr>
          <w:p w14:paraId="5797553B"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63AD9E69" w14:textId="77777777" w:rsidR="00DD74D5" w:rsidRPr="001521F8" w:rsidRDefault="00DD74D5" w:rsidP="00DD74D5">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16A30427"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06E31620"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50D487D1"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046B2DA1"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1EC21EA8"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181ECA1B" w14:textId="77777777" w:rsidR="00DD74D5" w:rsidRPr="001521F8" w:rsidRDefault="00DD74D5" w:rsidP="00DD74D5">
            <w:pPr>
              <w:widowControl/>
              <w:tabs>
                <w:tab w:val="decimal" w:pos="113"/>
              </w:tabs>
              <w:spacing w:line="120" w:lineRule="auto"/>
              <w:rPr>
                <w:sz w:val="16"/>
                <w:szCs w:val="16"/>
              </w:rPr>
            </w:pPr>
          </w:p>
        </w:tc>
        <w:tc>
          <w:tcPr>
            <w:tcW w:w="1192" w:type="dxa"/>
            <w:tcBorders>
              <w:top w:val="single" w:sz="6" w:space="0" w:color="auto"/>
            </w:tcBorders>
            <w:shd w:val="clear" w:color="auto" w:fill="auto"/>
            <w:vAlign w:val="bottom"/>
          </w:tcPr>
          <w:p w14:paraId="703C34B0" w14:textId="77777777" w:rsidR="00DD74D5" w:rsidRPr="001521F8" w:rsidRDefault="00DD74D5" w:rsidP="00DD74D5">
            <w:pPr>
              <w:widowControl/>
              <w:tabs>
                <w:tab w:val="decimal" w:pos="113"/>
              </w:tabs>
              <w:spacing w:line="120" w:lineRule="auto"/>
              <w:rPr>
                <w:sz w:val="16"/>
                <w:szCs w:val="16"/>
                <w:rtl/>
              </w:rPr>
            </w:pPr>
          </w:p>
        </w:tc>
      </w:tr>
      <w:tr w:rsidR="00DD74D5" w:rsidRPr="001521F8" w14:paraId="7452F975" w14:textId="77777777" w:rsidTr="001521F8">
        <w:tc>
          <w:tcPr>
            <w:tcW w:w="1688" w:type="dxa"/>
            <w:tcBorders>
              <w:bottom w:val="single" w:sz="6" w:space="0" w:color="auto"/>
              <w:right w:val="single" w:sz="6" w:space="0" w:color="auto"/>
            </w:tcBorders>
          </w:tcPr>
          <w:p w14:paraId="2D51B5F3" w14:textId="77777777" w:rsidR="00DD74D5" w:rsidRPr="001521F8" w:rsidRDefault="00DD74D5" w:rsidP="00DD74D5">
            <w:pPr>
              <w:pStyle w:val="a3"/>
              <w:bidi w:val="0"/>
              <w:spacing w:line="180" w:lineRule="exact"/>
              <w:ind w:left="0" w:right="57"/>
              <w:jc w:val="right"/>
              <w:rPr>
                <w:i/>
                <w:iCs/>
                <w:sz w:val="16"/>
                <w:szCs w:val="16"/>
              </w:rPr>
            </w:pPr>
            <w:r w:rsidRPr="001521F8">
              <w:rPr>
                <w:i/>
                <w:iCs/>
                <w:sz w:val="16"/>
                <w:szCs w:val="16"/>
              </w:rPr>
              <w:t>IAS 1.85; IAS 1.104</w:t>
            </w:r>
          </w:p>
        </w:tc>
        <w:tc>
          <w:tcPr>
            <w:tcW w:w="2695" w:type="dxa"/>
            <w:tcBorders>
              <w:left w:val="single" w:sz="6" w:space="0" w:color="auto"/>
            </w:tcBorders>
            <w:shd w:val="clear" w:color="auto" w:fill="auto"/>
            <w:vAlign w:val="bottom"/>
          </w:tcPr>
          <w:p w14:paraId="32BDEE6A"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רווח (הפסד) גולמי</w:t>
            </w:r>
          </w:p>
        </w:tc>
        <w:tc>
          <w:tcPr>
            <w:tcW w:w="113" w:type="dxa"/>
            <w:shd w:val="clear" w:color="auto" w:fill="auto"/>
            <w:vAlign w:val="bottom"/>
          </w:tcPr>
          <w:p w14:paraId="3B7028C2" w14:textId="77777777" w:rsidR="00DD74D5" w:rsidRPr="001521F8" w:rsidRDefault="00DD74D5" w:rsidP="00DD74D5">
            <w:pPr>
              <w:spacing w:line="180" w:lineRule="exact"/>
              <w:rPr>
                <w:sz w:val="16"/>
                <w:szCs w:val="16"/>
              </w:rPr>
            </w:pPr>
          </w:p>
        </w:tc>
        <w:tc>
          <w:tcPr>
            <w:tcW w:w="907" w:type="dxa"/>
            <w:shd w:val="clear" w:color="auto" w:fill="auto"/>
            <w:vAlign w:val="bottom"/>
          </w:tcPr>
          <w:p w14:paraId="58D8628E"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0049D7C1"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2BE6A563"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4A638921"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679087C2"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2EB51656"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7426BA8E"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0CCFC736"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1A1A0C34" w14:textId="77777777" w:rsidR="00DD74D5" w:rsidRPr="001521F8" w:rsidRDefault="00DD74D5" w:rsidP="00DD74D5">
            <w:pPr>
              <w:tabs>
                <w:tab w:val="decimal" w:pos="113"/>
              </w:tabs>
              <w:spacing w:line="180" w:lineRule="exact"/>
              <w:rPr>
                <w:sz w:val="16"/>
                <w:szCs w:val="16"/>
                <w:rtl/>
              </w:rPr>
            </w:pPr>
          </w:p>
        </w:tc>
      </w:tr>
      <w:tr w:rsidR="00DD74D5" w:rsidRPr="001521F8" w14:paraId="28F9E9D4" w14:textId="77777777" w:rsidTr="001521F8">
        <w:tc>
          <w:tcPr>
            <w:tcW w:w="1688" w:type="dxa"/>
            <w:tcBorders>
              <w:top w:val="single" w:sz="6" w:space="0" w:color="auto"/>
            </w:tcBorders>
          </w:tcPr>
          <w:p w14:paraId="2E390427" w14:textId="77777777" w:rsidR="00DD74D5" w:rsidRPr="001521F8" w:rsidRDefault="00DD74D5" w:rsidP="00DD74D5">
            <w:pPr>
              <w:pStyle w:val="a3"/>
              <w:widowControl/>
              <w:spacing w:line="120" w:lineRule="auto"/>
              <w:ind w:left="0"/>
              <w:jc w:val="right"/>
              <w:rPr>
                <w:i/>
                <w:iCs/>
                <w:sz w:val="16"/>
                <w:szCs w:val="16"/>
              </w:rPr>
            </w:pPr>
          </w:p>
        </w:tc>
        <w:tc>
          <w:tcPr>
            <w:tcW w:w="2695" w:type="dxa"/>
            <w:shd w:val="clear" w:color="auto" w:fill="auto"/>
            <w:vAlign w:val="bottom"/>
          </w:tcPr>
          <w:p w14:paraId="5C610F61" w14:textId="77777777" w:rsidR="00DD74D5" w:rsidRPr="001521F8" w:rsidRDefault="00DD74D5" w:rsidP="00DD74D5">
            <w:pPr>
              <w:pStyle w:val="a3"/>
              <w:widowControl/>
              <w:spacing w:line="120" w:lineRule="auto"/>
              <w:ind w:left="0"/>
              <w:rPr>
                <w:sz w:val="18"/>
                <w:szCs w:val="18"/>
              </w:rPr>
            </w:pPr>
          </w:p>
        </w:tc>
        <w:tc>
          <w:tcPr>
            <w:tcW w:w="113" w:type="dxa"/>
            <w:shd w:val="clear" w:color="auto" w:fill="auto"/>
            <w:vAlign w:val="bottom"/>
          </w:tcPr>
          <w:p w14:paraId="1297D375" w14:textId="77777777" w:rsidR="00DD74D5" w:rsidRPr="001521F8" w:rsidRDefault="00DD74D5" w:rsidP="00DD74D5">
            <w:pPr>
              <w:widowControl/>
              <w:spacing w:line="120" w:lineRule="auto"/>
              <w:rPr>
                <w:sz w:val="16"/>
                <w:szCs w:val="16"/>
              </w:rPr>
            </w:pPr>
          </w:p>
        </w:tc>
        <w:tc>
          <w:tcPr>
            <w:tcW w:w="907" w:type="dxa"/>
            <w:vAlign w:val="bottom"/>
          </w:tcPr>
          <w:p w14:paraId="6597F376"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1163EC68" w14:textId="77777777" w:rsidR="00DD74D5" w:rsidRPr="001521F8" w:rsidRDefault="00DD74D5" w:rsidP="00DD74D5">
            <w:pPr>
              <w:widowControl/>
              <w:tabs>
                <w:tab w:val="decimal" w:pos="113"/>
              </w:tabs>
              <w:spacing w:line="120" w:lineRule="auto"/>
              <w:rPr>
                <w:sz w:val="16"/>
                <w:szCs w:val="16"/>
              </w:rPr>
            </w:pPr>
          </w:p>
        </w:tc>
        <w:tc>
          <w:tcPr>
            <w:tcW w:w="907" w:type="dxa"/>
            <w:gridSpan w:val="2"/>
            <w:shd w:val="clear" w:color="auto" w:fill="auto"/>
            <w:vAlign w:val="bottom"/>
          </w:tcPr>
          <w:p w14:paraId="417112E5"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29EEAF1D" w14:textId="77777777" w:rsidR="00DD74D5" w:rsidRPr="001521F8" w:rsidRDefault="00DD74D5" w:rsidP="00DD74D5">
            <w:pPr>
              <w:widowControl/>
              <w:tabs>
                <w:tab w:val="decimal" w:pos="113"/>
              </w:tabs>
              <w:spacing w:line="120" w:lineRule="auto"/>
              <w:rPr>
                <w:sz w:val="16"/>
                <w:szCs w:val="16"/>
              </w:rPr>
            </w:pPr>
          </w:p>
        </w:tc>
        <w:tc>
          <w:tcPr>
            <w:tcW w:w="907" w:type="dxa"/>
            <w:shd w:val="clear" w:color="auto" w:fill="auto"/>
            <w:vAlign w:val="bottom"/>
          </w:tcPr>
          <w:p w14:paraId="44C0AFCB"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2F24EACB" w14:textId="77777777" w:rsidR="00DD74D5" w:rsidRPr="001521F8" w:rsidRDefault="00DD74D5" w:rsidP="00DD74D5">
            <w:pPr>
              <w:widowControl/>
              <w:tabs>
                <w:tab w:val="decimal" w:pos="113"/>
              </w:tabs>
              <w:spacing w:line="120" w:lineRule="auto"/>
              <w:rPr>
                <w:sz w:val="16"/>
                <w:szCs w:val="16"/>
              </w:rPr>
            </w:pPr>
          </w:p>
        </w:tc>
        <w:tc>
          <w:tcPr>
            <w:tcW w:w="907" w:type="dxa"/>
            <w:shd w:val="clear" w:color="auto" w:fill="auto"/>
            <w:vAlign w:val="bottom"/>
          </w:tcPr>
          <w:p w14:paraId="365044BD"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4069DC14" w14:textId="77777777" w:rsidR="00DD74D5" w:rsidRPr="001521F8" w:rsidRDefault="00DD74D5" w:rsidP="00DD74D5">
            <w:pPr>
              <w:widowControl/>
              <w:tabs>
                <w:tab w:val="decimal" w:pos="113"/>
              </w:tabs>
              <w:spacing w:line="120" w:lineRule="auto"/>
              <w:rPr>
                <w:sz w:val="16"/>
                <w:szCs w:val="16"/>
              </w:rPr>
            </w:pPr>
          </w:p>
        </w:tc>
        <w:tc>
          <w:tcPr>
            <w:tcW w:w="1192" w:type="dxa"/>
            <w:shd w:val="clear" w:color="auto" w:fill="auto"/>
            <w:vAlign w:val="bottom"/>
          </w:tcPr>
          <w:p w14:paraId="382CC7CE" w14:textId="77777777" w:rsidR="00DD74D5" w:rsidRPr="001521F8" w:rsidRDefault="00DD74D5" w:rsidP="00DD74D5">
            <w:pPr>
              <w:widowControl/>
              <w:tabs>
                <w:tab w:val="decimal" w:pos="113"/>
              </w:tabs>
              <w:spacing w:line="120" w:lineRule="auto"/>
              <w:rPr>
                <w:sz w:val="16"/>
                <w:szCs w:val="16"/>
                <w:rtl/>
              </w:rPr>
            </w:pPr>
          </w:p>
        </w:tc>
      </w:tr>
      <w:tr w:rsidR="00DD74D5" w:rsidRPr="001521F8" w14:paraId="5C3C0823" w14:textId="77777777" w:rsidTr="001521F8">
        <w:tc>
          <w:tcPr>
            <w:tcW w:w="1688" w:type="dxa"/>
            <w:vMerge w:val="restart"/>
            <w:tcBorders>
              <w:right w:val="single" w:sz="6" w:space="0" w:color="auto"/>
            </w:tcBorders>
            <w:vAlign w:val="center"/>
          </w:tcPr>
          <w:p w14:paraId="5F7094B1" w14:textId="77777777" w:rsidR="00DD74D5" w:rsidRPr="001521F8" w:rsidRDefault="00DD74D5" w:rsidP="00DD74D5">
            <w:pPr>
              <w:pStyle w:val="a3"/>
              <w:bidi w:val="0"/>
              <w:spacing w:line="170" w:lineRule="exact"/>
              <w:ind w:left="0" w:right="28"/>
              <w:jc w:val="right"/>
              <w:rPr>
                <w:i/>
                <w:iCs/>
                <w:sz w:val="15"/>
                <w:szCs w:val="15"/>
              </w:rPr>
            </w:pPr>
            <w:r w:rsidRPr="001521F8">
              <w:rPr>
                <w:i/>
                <w:iCs/>
                <w:sz w:val="15"/>
                <w:szCs w:val="15"/>
              </w:rPr>
              <w:t>IAS 1.85;</w:t>
            </w:r>
          </w:p>
          <w:p w14:paraId="7D053BF7" w14:textId="77777777" w:rsidR="00DD74D5" w:rsidRPr="001521F8" w:rsidRDefault="00DD74D5" w:rsidP="00DD74D5">
            <w:pPr>
              <w:pStyle w:val="a3"/>
              <w:bidi w:val="0"/>
              <w:spacing w:line="170" w:lineRule="exact"/>
              <w:ind w:left="0" w:right="28"/>
              <w:jc w:val="right"/>
              <w:rPr>
                <w:i/>
                <w:iCs/>
                <w:sz w:val="15"/>
                <w:szCs w:val="15"/>
              </w:rPr>
            </w:pPr>
            <w:r w:rsidRPr="001521F8">
              <w:rPr>
                <w:i/>
                <w:iCs/>
                <w:sz w:val="15"/>
                <w:szCs w:val="15"/>
              </w:rPr>
              <w:t xml:space="preserve">IAS 1.103; </w:t>
            </w:r>
          </w:p>
          <w:p w14:paraId="4CDA61A0" w14:textId="77777777" w:rsidR="00DD74D5" w:rsidRPr="001521F8" w:rsidRDefault="00DD74D5" w:rsidP="00DD74D5">
            <w:pPr>
              <w:pStyle w:val="a3"/>
              <w:bidi w:val="0"/>
              <w:spacing w:line="170" w:lineRule="exact"/>
              <w:ind w:left="0" w:right="28"/>
              <w:jc w:val="right"/>
              <w:rPr>
                <w:i/>
                <w:iCs/>
                <w:sz w:val="15"/>
                <w:szCs w:val="15"/>
              </w:rPr>
            </w:pPr>
            <w:r w:rsidRPr="001521F8">
              <w:rPr>
                <w:i/>
                <w:iCs/>
                <w:sz w:val="15"/>
                <w:szCs w:val="15"/>
              </w:rPr>
              <w:t>IAS 1.104</w:t>
            </w:r>
          </w:p>
          <w:p w14:paraId="1906746E" w14:textId="70E00A5E" w:rsidR="00DD74D5" w:rsidRPr="001521F8" w:rsidRDefault="00DD74D5" w:rsidP="00DD74D5">
            <w:pPr>
              <w:pStyle w:val="a3"/>
              <w:bidi w:val="0"/>
              <w:spacing w:line="180" w:lineRule="exact"/>
              <w:ind w:left="0" w:right="57"/>
              <w:jc w:val="right"/>
              <w:rPr>
                <w:i/>
                <w:iCs/>
                <w:sz w:val="16"/>
                <w:szCs w:val="16"/>
              </w:rPr>
            </w:pPr>
            <w:r w:rsidRPr="001521F8">
              <w:rPr>
                <w:i/>
                <w:iCs/>
                <w:sz w:val="16"/>
                <w:szCs w:val="16"/>
              </w:rPr>
              <w:t>IAS 1.82(ba</w:t>
            </w:r>
            <w:r w:rsidRPr="001521F8">
              <w:rPr>
                <w:i/>
                <w:iCs/>
                <w:sz w:val="15"/>
                <w:szCs w:val="15"/>
              </w:rPr>
              <w:t>)</w:t>
            </w:r>
          </w:p>
        </w:tc>
        <w:tc>
          <w:tcPr>
            <w:tcW w:w="2695" w:type="dxa"/>
            <w:tcBorders>
              <w:left w:val="single" w:sz="6" w:space="0" w:color="auto"/>
            </w:tcBorders>
            <w:shd w:val="clear" w:color="auto" w:fill="auto"/>
            <w:vAlign w:val="bottom"/>
          </w:tcPr>
          <w:p w14:paraId="27AD6007"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עליית (ירידת) ערך נדל"ן להשקעה</w:t>
            </w:r>
          </w:p>
        </w:tc>
        <w:tc>
          <w:tcPr>
            <w:tcW w:w="113" w:type="dxa"/>
            <w:shd w:val="clear" w:color="auto" w:fill="auto"/>
            <w:vAlign w:val="bottom"/>
          </w:tcPr>
          <w:p w14:paraId="4149ABA2" w14:textId="77777777" w:rsidR="00DD74D5" w:rsidRPr="001521F8" w:rsidRDefault="00DD74D5" w:rsidP="00DD74D5">
            <w:pPr>
              <w:spacing w:line="180" w:lineRule="exact"/>
              <w:rPr>
                <w:sz w:val="16"/>
                <w:szCs w:val="16"/>
              </w:rPr>
            </w:pPr>
          </w:p>
        </w:tc>
        <w:tc>
          <w:tcPr>
            <w:tcW w:w="907" w:type="dxa"/>
            <w:vAlign w:val="bottom"/>
          </w:tcPr>
          <w:p w14:paraId="424A3D71"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3523FEDA"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40F4D320"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0B545BFA"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3E594822"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023110AE"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2F598BE6"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1958C23D"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7D2053CE" w14:textId="77777777" w:rsidR="00DD74D5" w:rsidRPr="001521F8" w:rsidRDefault="00DD74D5" w:rsidP="00DD74D5">
            <w:pPr>
              <w:tabs>
                <w:tab w:val="decimal" w:pos="113"/>
              </w:tabs>
              <w:spacing w:line="180" w:lineRule="exact"/>
              <w:rPr>
                <w:sz w:val="16"/>
                <w:szCs w:val="16"/>
                <w:rtl/>
              </w:rPr>
            </w:pPr>
          </w:p>
        </w:tc>
      </w:tr>
      <w:tr w:rsidR="00DD74D5" w:rsidRPr="001521F8" w14:paraId="54F556B3" w14:textId="77777777" w:rsidTr="001521F8">
        <w:tc>
          <w:tcPr>
            <w:tcW w:w="1688" w:type="dxa"/>
            <w:vMerge/>
            <w:tcBorders>
              <w:right w:val="single" w:sz="6" w:space="0" w:color="auto"/>
            </w:tcBorders>
            <w:vAlign w:val="center"/>
          </w:tcPr>
          <w:p w14:paraId="0610FBC3" w14:textId="77777777" w:rsidR="00DD74D5" w:rsidRPr="001521F8" w:rsidRDefault="00DD74D5" w:rsidP="00DD74D5">
            <w:pPr>
              <w:pStyle w:val="a3"/>
              <w:bidi w:val="0"/>
              <w:spacing w:line="180" w:lineRule="exact"/>
              <w:ind w:left="0" w:right="57"/>
              <w:jc w:val="right"/>
              <w:rPr>
                <w:i/>
                <w:iCs/>
                <w:sz w:val="16"/>
                <w:szCs w:val="16"/>
                <w:rtl/>
              </w:rPr>
            </w:pPr>
          </w:p>
        </w:tc>
        <w:tc>
          <w:tcPr>
            <w:tcW w:w="2695" w:type="dxa"/>
            <w:tcBorders>
              <w:left w:val="single" w:sz="6" w:space="0" w:color="auto"/>
            </w:tcBorders>
            <w:shd w:val="clear" w:color="auto" w:fill="auto"/>
            <w:vAlign w:val="bottom"/>
          </w:tcPr>
          <w:p w14:paraId="54972189"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הוצאות מכירה ושיווק</w:t>
            </w:r>
          </w:p>
        </w:tc>
        <w:tc>
          <w:tcPr>
            <w:tcW w:w="113" w:type="dxa"/>
            <w:shd w:val="clear" w:color="auto" w:fill="auto"/>
            <w:vAlign w:val="bottom"/>
          </w:tcPr>
          <w:p w14:paraId="44EE595D" w14:textId="77777777" w:rsidR="00DD74D5" w:rsidRPr="001521F8" w:rsidRDefault="00DD74D5" w:rsidP="00DD74D5">
            <w:pPr>
              <w:spacing w:line="180" w:lineRule="exact"/>
              <w:rPr>
                <w:sz w:val="16"/>
                <w:szCs w:val="16"/>
              </w:rPr>
            </w:pPr>
          </w:p>
        </w:tc>
        <w:tc>
          <w:tcPr>
            <w:tcW w:w="907" w:type="dxa"/>
            <w:vAlign w:val="bottom"/>
          </w:tcPr>
          <w:p w14:paraId="06E72166"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6BF90D02"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4C750674"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40856C61"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599B8FB7"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3FE54E73"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5AFF6BFD"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13DEBD6D"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6315C361" w14:textId="77777777" w:rsidR="00DD74D5" w:rsidRPr="001521F8" w:rsidRDefault="00DD74D5" w:rsidP="00DD74D5">
            <w:pPr>
              <w:tabs>
                <w:tab w:val="decimal" w:pos="113"/>
              </w:tabs>
              <w:spacing w:line="180" w:lineRule="exact"/>
              <w:rPr>
                <w:sz w:val="16"/>
                <w:szCs w:val="16"/>
                <w:rtl/>
              </w:rPr>
            </w:pPr>
          </w:p>
        </w:tc>
      </w:tr>
      <w:tr w:rsidR="00DD74D5" w:rsidRPr="001521F8" w14:paraId="7AB90A18" w14:textId="77777777" w:rsidTr="001521F8">
        <w:tc>
          <w:tcPr>
            <w:tcW w:w="1688" w:type="dxa"/>
            <w:vMerge/>
            <w:tcBorders>
              <w:right w:val="single" w:sz="6" w:space="0" w:color="auto"/>
            </w:tcBorders>
          </w:tcPr>
          <w:p w14:paraId="630BF188" w14:textId="77777777" w:rsidR="00DD74D5" w:rsidRPr="001521F8" w:rsidRDefault="00DD74D5" w:rsidP="00DD74D5">
            <w:pPr>
              <w:pStyle w:val="a3"/>
              <w:bidi w:val="0"/>
              <w:spacing w:line="180" w:lineRule="exact"/>
              <w:ind w:left="0" w:right="57"/>
              <w:jc w:val="right"/>
              <w:rPr>
                <w:i/>
                <w:iCs/>
                <w:sz w:val="16"/>
                <w:szCs w:val="16"/>
                <w:rtl/>
              </w:rPr>
            </w:pPr>
          </w:p>
        </w:tc>
        <w:tc>
          <w:tcPr>
            <w:tcW w:w="2695" w:type="dxa"/>
            <w:tcBorders>
              <w:left w:val="single" w:sz="6" w:space="0" w:color="auto"/>
            </w:tcBorders>
            <w:shd w:val="clear" w:color="auto" w:fill="auto"/>
            <w:vAlign w:val="bottom"/>
          </w:tcPr>
          <w:p w14:paraId="5C3DECCF"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הוצאות הנהלה וכלליות</w:t>
            </w:r>
          </w:p>
        </w:tc>
        <w:tc>
          <w:tcPr>
            <w:tcW w:w="113" w:type="dxa"/>
            <w:shd w:val="clear" w:color="auto" w:fill="auto"/>
            <w:vAlign w:val="bottom"/>
          </w:tcPr>
          <w:p w14:paraId="4EB2AB72" w14:textId="77777777" w:rsidR="00DD74D5" w:rsidRPr="001521F8" w:rsidRDefault="00DD74D5" w:rsidP="00DD74D5">
            <w:pPr>
              <w:spacing w:line="180" w:lineRule="exact"/>
              <w:rPr>
                <w:sz w:val="16"/>
                <w:szCs w:val="16"/>
              </w:rPr>
            </w:pPr>
          </w:p>
        </w:tc>
        <w:tc>
          <w:tcPr>
            <w:tcW w:w="907" w:type="dxa"/>
            <w:vAlign w:val="bottom"/>
          </w:tcPr>
          <w:p w14:paraId="376823FC"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31393FC8"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7C50AF33"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3E5E25AC"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3CD811EC"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48346DCA"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1E64BD2B"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19B9EBD9"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0C99936A" w14:textId="77777777" w:rsidR="00DD74D5" w:rsidRPr="001521F8" w:rsidRDefault="00DD74D5" w:rsidP="00DD74D5">
            <w:pPr>
              <w:tabs>
                <w:tab w:val="decimal" w:pos="113"/>
              </w:tabs>
              <w:spacing w:line="180" w:lineRule="exact"/>
              <w:rPr>
                <w:sz w:val="16"/>
                <w:szCs w:val="16"/>
                <w:rtl/>
              </w:rPr>
            </w:pPr>
          </w:p>
        </w:tc>
      </w:tr>
      <w:tr w:rsidR="00DD74D5" w:rsidRPr="001521F8" w14:paraId="6285AC40" w14:textId="77777777" w:rsidTr="001521F8">
        <w:tc>
          <w:tcPr>
            <w:tcW w:w="1688" w:type="dxa"/>
            <w:vMerge/>
            <w:tcBorders>
              <w:right w:val="single" w:sz="6" w:space="0" w:color="auto"/>
            </w:tcBorders>
          </w:tcPr>
          <w:p w14:paraId="77877EDE" w14:textId="77777777" w:rsidR="00DD74D5" w:rsidRPr="001521F8" w:rsidRDefault="00DD74D5" w:rsidP="00DD74D5">
            <w:pPr>
              <w:pStyle w:val="a3"/>
              <w:bidi w:val="0"/>
              <w:spacing w:line="180" w:lineRule="exact"/>
              <w:ind w:left="0" w:right="57"/>
              <w:jc w:val="right"/>
              <w:rPr>
                <w:i/>
                <w:iCs/>
                <w:sz w:val="16"/>
                <w:szCs w:val="16"/>
                <w:rtl/>
              </w:rPr>
            </w:pPr>
          </w:p>
        </w:tc>
        <w:tc>
          <w:tcPr>
            <w:tcW w:w="2695" w:type="dxa"/>
            <w:tcBorders>
              <w:left w:val="single" w:sz="6" w:space="0" w:color="auto"/>
            </w:tcBorders>
            <w:shd w:val="clear" w:color="auto" w:fill="auto"/>
            <w:vAlign w:val="bottom"/>
          </w:tcPr>
          <w:p w14:paraId="241B090E" w14:textId="094C27B4" w:rsidR="00DD74D5" w:rsidRPr="001521F8" w:rsidRDefault="00DD74D5" w:rsidP="00DD74D5">
            <w:pPr>
              <w:pStyle w:val="a3"/>
              <w:spacing w:line="180" w:lineRule="exact"/>
              <w:ind w:left="227" w:hanging="170"/>
              <w:rPr>
                <w:sz w:val="18"/>
                <w:szCs w:val="18"/>
                <w:rtl/>
              </w:rPr>
            </w:pPr>
            <w:r w:rsidRPr="001521F8">
              <w:rPr>
                <w:rFonts w:hint="cs"/>
                <w:sz w:val="18"/>
                <w:szCs w:val="18"/>
                <w:rtl/>
              </w:rPr>
              <w:t>ירידת ערך (ביטול ירידת ערך) לקוחות, חייבים ויתרות חובה ונכסי חוזה</w:t>
            </w:r>
          </w:p>
        </w:tc>
        <w:tc>
          <w:tcPr>
            <w:tcW w:w="113" w:type="dxa"/>
            <w:shd w:val="clear" w:color="auto" w:fill="auto"/>
            <w:vAlign w:val="bottom"/>
          </w:tcPr>
          <w:p w14:paraId="3C37220C" w14:textId="77777777" w:rsidR="00DD74D5" w:rsidRPr="001521F8" w:rsidRDefault="00DD74D5" w:rsidP="00DD74D5">
            <w:pPr>
              <w:spacing w:line="180" w:lineRule="exact"/>
              <w:rPr>
                <w:sz w:val="16"/>
                <w:szCs w:val="16"/>
              </w:rPr>
            </w:pPr>
          </w:p>
        </w:tc>
        <w:tc>
          <w:tcPr>
            <w:tcW w:w="907" w:type="dxa"/>
            <w:vAlign w:val="bottom"/>
          </w:tcPr>
          <w:p w14:paraId="2A21F689"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73FBA6E1"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183E0006"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1D93AA71"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44FE76BC"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711DE149"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2258A94E"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3E63CB82"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15832095" w14:textId="77777777" w:rsidR="00DD74D5" w:rsidRPr="001521F8" w:rsidRDefault="00DD74D5" w:rsidP="00DD74D5">
            <w:pPr>
              <w:tabs>
                <w:tab w:val="decimal" w:pos="113"/>
              </w:tabs>
              <w:spacing w:line="180" w:lineRule="exact"/>
              <w:rPr>
                <w:sz w:val="16"/>
                <w:szCs w:val="16"/>
                <w:rtl/>
              </w:rPr>
            </w:pPr>
          </w:p>
        </w:tc>
      </w:tr>
      <w:tr w:rsidR="00DD74D5" w:rsidRPr="001521F8" w14:paraId="66DA5EF1" w14:textId="77777777" w:rsidTr="001521F8">
        <w:tc>
          <w:tcPr>
            <w:tcW w:w="1688" w:type="dxa"/>
            <w:vMerge/>
            <w:tcBorders>
              <w:right w:val="single" w:sz="6" w:space="0" w:color="auto"/>
            </w:tcBorders>
          </w:tcPr>
          <w:p w14:paraId="27C52A97" w14:textId="77777777" w:rsidR="00DD74D5" w:rsidRPr="001521F8" w:rsidRDefault="00DD74D5" w:rsidP="00DD74D5">
            <w:pPr>
              <w:pStyle w:val="a3"/>
              <w:bidi w:val="0"/>
              <w:spacing w:line="180" w:lineRule="exact"/>
              <w:ind w:left="0" w:right="57"/>
              <w:jc w:val="right"/>
              <w:rPr>
                <w:i/>
                <w:iCs/>
                <w:sz w:val="16"/>
                <w:szCs w:val="16"/>
                <w:rtl/>
              </w:rPr>
            </w:pPr>
          </w:p>
        </w:tc>
        <w:tc>
          <w:tcPr>
            <w:tcW w:w="2695" w:type="dxa"/>
            <w:tcBorders>
              <w:left w:val="single" w:sz="6" w:space="0" w:color="auto"/>
            </w:tcBorders>
            <w:shd w:val="clear" w:color="auto" w:fill="auto"/>
            <w:vAlign w:val="bottom"/>
          </w:tcPr>
          <w:p w14:paraId="51FF9DAC"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הוצאות מחקר ופיתוח</w:t>
            </w:r>
          </w:p>
        </w:tc>
        <w:tc>
          <w:tcPr>
            <w:tcW w:w="113" w:type="dxa"/>
            <w:shd w:val="clear" w:color="auto" w:fill="auto"/>
            <w:vAlign w:val="bottom"/>
          </w:tcPr>
          <w:p w14:paraId="5650BFE0" w14:textId="77777777" w:rsidR="00DD74D5" w:rsidRPr="001521F8" w:rsidRDefault="00DD74D5" w:rsidP="00DD74D5">
            <w:pPr>
              <w:spacing w:line="180" w:lineRule="exact"/>
              <w:rPr>
                <w:sz w:val="16"/>
                <w:szCs w:val="16"/>
              </w:rPr>
            </w:pPr>
          </w:p>
        </w:tc>
        <w:tc>
          <w:tcPr>
            <w:tcW w:w="907" w:type="dxa"/>
            <w:vAlign w:val="bottom"/>
          </w:tcPr>
          <w:p w14:paraId="72DDDFE5"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44E34722"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5E2CAF67"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7351EA44"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28952977"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7D649052"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16018EAE"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54CB6A79"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1AC085D1" w14:textId="77777777" w:rsidR="00DD74D5" w:rsidRPr="001521F8" w:rsidRDefault="00DD74D5" w:rsidP="00DD74D5">
            <w:pPr>
              <w:tabs>
                <w:tab w:val="decimal" w:pos="113"/>
              </w:tabs>
              <w:spacing w:line="180" w:lineRule="exact"/>
              <w:rPr>
                <w:sz w:val="16"/>
                <w:szCs w:val="16"/>
                <w:rtl/>
              </w:rPr>
            </w:pPr>
          </w:p>
        </w:tc>
      </w:tr>
      <w:tr w:rsidR="00DD74D5" w:rsidRPr="001521F8" w14:paraId="7D6B557F" w14:textId="77777777" w:rsidTr="001521F8">
        <w:tc>
          <w:tcPr>
            <w:tcW w:w="1688" w:type="dxa"/>
            <w:vMerge/>
            <w:tcBorders>
              <w:right w:val="single" w:sz="6" w:space="0" w:color="auto"/>
            </w:tcBorders>
          </w:tcPr>
          <w:p w14:paraId="62793058" w14:textId="77777777" w:rsidR="00DD74D5" w:rsidRPr="001521F8" w:rsidRDefault="00DD74D5" w:rsidP="00DD74D5">
            <w:pPr>
              <w:pStyle w:val="a3"/>
              <w:bidi w:val="0"/>
              <w:spacing w:line="180" w:lineRule="exact"/>
              <w:ind w:left="0" w:right="57"/>
              <w:jc w:val="right"/>
              <w:rPr>
                <w:i/>
                <w:iCs/>
                <w:sz w:val="16"/>
                <w:szCs w:val="16"/>
                <w:rtl/>
              </w:rPr>
            </w:pPr>
          </w:p>
        </w:tc>
        <w:tc>
          <w:tcPr>
            <w:tcW w:w="2695" w:type="dxa"/>
            <w:tcBorders>
              <w:left w:val="single" w:sz="6" w:space="0" w:color="auto"/>
            </w:tcBorders>
            <w:shd w:val="clear" w:color="auto" w:fill="auto"/>
            <w:vAlign w:val="bottom"/>
          </w:tcPr>
          <w:p w14:paraId="5E409647" w14:textId="77777777" w:rsidR="00DD74D5" w:rsidRPr="001521F8" w:rsidRDefault="00DD74D5" w:rsidP="00DD74D5">
            <w:pPr>
              <w:pStyle w:val="a3"/>
              <w:spacing w:line="180" w:lineRule="exact"/>
              <w:ind w:left="227" w:hanging="170"/>
              <w:rPr>
                <w:sz w:val="18"/>
                <w:szCs w:val="18"/>
                <w:rtl/>
              </w:rPr>
            </w:pPr>
            <w:r w:rsidRPr="001521F8">
              <w:rPr>
                <w:rFonts w:hint="cs"/>
                <w:sz w:val="18"/>
                <w:szCs w:val="18"/>
                <w:rtl/>
              </w:rPr>
              <w:t>הכנסות אחרות</w:t>
            </w:r>
            <w:r w:rsidRPr="001521F8">
              <w:rPr>
                <w:rStyle w:val="ab"/>
                <w:sz w:val="18"/>
                <w:szCs w:val="18"/>
                <w:rtl/>
              </w:rPr>
              <w:footnoteReference w:id="11"/>
            </w:r>
          </w:p>
        </w:tc>
        <w:tc>
          <w:tcPr>
            <w:tcW w:w="113" w:type="dxa"/>
            <w:shd w:val="clear" w:color="auto" w:fill="auto"/>
            <w:vAlign w:val="bottom"/>
          </w:tcPr>
          <w:p w14:paraId="6ED21ABA" w14:textId="77777777" w:rsidR="00DD74D5" w:rsidRPr="001521F8" w:rsidRDefault="00DD74D5" w:rsidP="00DD74D5">
            <w:pPr>
              <w:spacing w:line="180" w:lineRule="exact"/>
              <w:rPr>
                <w:sz w:val="16"/>
                <w:szCs w:val="16"/>
              </w:rPr>
            </w:pPr>
          </w:p>
        </w:tc>
        <w:tc>
          <w:tcPr>
            <w:tcW w:w="907" w:type="dxa"/>
            <w:shd w:val="clear" w:color="auto" w:fill="auto"/>
            <w:vAlign w:val="bottom"/>
          </w:tcPr>
          <w:p w14:paraId="0D5831DB"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0B7D61C6"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641C99C8"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384477FB"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35BBA85C"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7B369288"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77A065B0"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5F69FB8F"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7FE48911" w14:textId="77777777" w:rsidR="00DD74D5" w:rsidRPr="001521F8" w:rsidRDefault="00DD74D5" w:rsidP="00DD74D5">
            <w:pPr>
              <w:tabs>
                <w:tab w:val="decimal" w:pos="113"/>
              </w:tabs>
              <w:spacing w:line="180" w:lineRule="exact"/>
              <w:rPr>
                <w:sz w:val="16"/>
                <w:szCs w:val="16"/>
                <w:rtl/>
              </w:rPr>
            </w:pPr>
          </w:p>
        </w:tc>
      </w:tr>
      <w:tr w:rsidR="00DD74D5" w:rsidRPr="001521F8" w14:paraId="3A69197A" w14:textId="77777777" w:rsidTr="001521F8">
        <w:tc>
          <w:tcPr>
            <w:tcW w:w="1688" w:type="dxa"/>
            <w:vMerge/>
            <w:tcBorders>
              <w:bottom w:val="single" w:sz="6" w:space="0" w:color="auto"/>
              <w:right w:val="single" w:sz="6" w:space="0" w:color="auto"/>
            </w:tcBorders>
          </w:tcPr>
          <w:p w14:paraId="19BBE0F3" w14:textId="77777777" w:rsidR="00DD74D5" w:rsidRPr="001521F8" w:rsidRDefault="00DD74D5" w:rsidP="00DD74D5">
            <w:pPr>
              <w:pStyle w:val="a3"/>
              <w:bidi w:val="0"/>
              <w:spacing w:line="180" w:lineRule="exact"/>
              <w:ind w:left="0" w:right="57"/>
              <w:jc w:val="right"/>
              <w:rPr>
                <w:i/>
                <w:iCs/>
                <w:sz w:val="16"/>
                <w:szCs w:val="16"/>
                <w:rtl/>
              </w:rPr>
            </w:pPr>
          </w:p>
        </w:tc>
        <w:tc>
          <w:tcPr>
            <w:tcW w:w="2695" w:type="dxa"/>
            <w:tcBorders>
              <w:left w:val="single" w:sz="6" w:space="0" w:color="auto"/>
            </w:tcBorders>
            <w:shd w:val="clear" w:color="auto" w:fill="auto"/>
            <w:vAlign w:val="bottom"/>
          </w:tcPr>
          <w:p w14:paraId="57B18ED6"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הוצאות אחרות</w:t>
            </w:r>
            <w:r w:rsidRPr="001521F8">
              <w:rPr>
                <w:rStyle w:val="ab"/>
                <w:sz w:val="18"/>
                <w:szCs w:val="18"/>
              </w:rPr>
              <w:footnoteReference w:id="12"/>
            </w:r>
          </w:p>
        </w:tc>
        <w:tc>
          <w:tcPr>
            <w:tcW w:w="113" w:type="dxa"/>
            <w:shd w:val="clear" w:color="auto" w:fill="auto"/>
            <w:vAlign w:val="bottom"/>
          </w:tcPr>
          <w:p w14:paraId="51C1894C" w14:textId="77777777" w:rsidR="00DD74D5" w:rsidRPr="001521F8" w:rsidRDefault="00DD74D5" w:rsidP="00DD74D5">
            <w:pPr>
              <w:spacing w:line="180" w:lineRule="exact"/>
              <w:rPr>
                <w:sz w:val="16"/>
                <w:szCs w:val="16"/>
              </w:rPr>
            </w:pPr>
          </w:p>
        </w:tc>
        <w:tc>
          <w:tcPr>
            <w:tcW w:w="907" w:type="dxa"/>
            <w:shd w:val="clear" w:color="auto" w:fill="auto"/>
            <w:vAlign w:val="bottom"/>
          </w:tcPr>
          <w:p w14:paraId="08BD157C"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58EDE699"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39B47065"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5A48B359"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32154350"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74C40FB4"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209B5CB6"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03407063"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5A243744" w14:textId="77777777" w:rsidR="00DD74D5" w:rsidRPr="001521F8" w:rsidRDefault="00DD74D5" w:rsidP="00DD74D5">
            <w:pPr>
              <w:tabs>
                <w:tab w:val="decimal" w:pos="113"/>
              </w:tabs>
              <w:spacing w:line="180" w:lineRule="exact"/>
              <w:rPr>
                <w:sz w:val="16"/>
                <w:szCs w:val="16"/>
                <w:rtl/>
              </w:rPr>
            </w:pPr>
          </w:p>
        </w:tc>
      </w:tr>
      <w:tr w:rsidR="00DD74D5" w:rsidRPr="001521F8" w14:paraId="22BFF1A5" w14:textId="77777777" w:rsidTr="001521F8">
        <w:tc>
          <w:tcPr>
            <w:tcW w:w="1688" w:type="dxa"/>
            <w:tcBorders>
              <w:top w:val="single" w:sz="6" w:space="0" w:color="auto"/>
            </w:tcBorders>
          </w:tcPr>
          <w:p w14:paraId="7A2A6F65" w14:textId="5F2619E4" w:rsidR="00DD74D5" w:rsidRPr="001521F8" w:rsidRDefault="00DD74D5" w:rsidP="00DD74D5">
            <w:pPr>
              <w:pStyle w:val="a3"/>
              <w:spacing w:line="180" w:lineRule="exact"/>
              <w:ind w:left="227" w:hanging="170"/>
              <w:rPr>
                <w:sz w:val="16"/>
                <w:szCs w:val="16"/>
              </w:rPr>
            </w:pPr>
            <w:r w:rsidRPr="001521F8">
              <w:rPr>
                <w:i/>
                <w:iCs/>
                <w:sz w:val="16"/>
                <w:szCs w:val="16"/>
              </w:rPr>
              <w:t>IAS 1.82(ba)</w:t>
            </w:r>
          </w:p>
        </w:tc>
        <w:tc>
          <w:tcPr>
            <w:tcW w:w="2695" w:type="dxa"/>
            <w:shd w:val="clear" w:color="auto" w:fill="auto"/>
            <w:vAlign w:val="bottom"/>
          </w:tcPr>
          <w:p w14:paraId="49007645" w14:textId="19FFE59B" w:rsidR="00DD74D5" w:rsidRPr="001521F8" w:rsidRDefault="00DD74D5" w:rsidP="00DD74D5">
            <w:pPr>
              <w:pStyle w:val="a3"/>
              <w:spacing w:line="180" w:lineRule="exact"/>
              <w:ind w:left="227" w:hanging="170"/>
              <w:rPr>
                <w:sz w:val="18"/>
                <w:szCs w:val="18"/>
                <w:rtl/>
              </w:rPr>
            </w:pPr>
            <w:r w:rsidRPr="001521F8">
              <w:rPr>
                <w:rFonts w:hint="cs"/>
                <w:sz w:val="18"/>
                <w:szCs w:val="18"/>
                <w:rtl/>
              </w:rPr>
              <w:t>ירידת ערך (ביטול ירידת ערך) לקוחות, חייבים ויתרות חובה</w:t>
            </w:r>
            <w:r w:rsidR="001B1350" w:rsidRPr="001521F8">
              <w:rPr>
                <w:rFonts w:hint="cs"/>
                <w:sz w:val="18"/>
                <w:szCs w:val="18"/>
                <w:rtl/>
              </w:rPr>
              <w:t xml:space="preserve"> ונכסי חוזה</w:t>
            </w:r>
          </w:p>
        </w:tc>
        <w:tc>
          <w:tcPr>
            <w:tcW w:w="113" w:type="dxa"/>
            <w:shd w:val="clear" w:color="auto" w:fill="auto"/>
            <w:vAlign w:val="bottom"/>
          </w:tcPr>
          <w:p w14:paraId="31C60338" w14:textId="77777777" w:rsidR="00DD74D5" w:rsidRPr="001521F8" w:rsidRDefault="00DD74D5" w:rsidP="00DD74D5">
            <w:pPr>
              <w:widowControl/>
              <w:spacing w:line="120" w:lineRule="auto"/>
              <w:rPr>
                <w:sz w:val="16"/>
                <w:szCs w:val="16"/>
              </w:rPr>
            </w:pPr>
          </w:p>
        </w:tc>
        <w:tc>
          <w:tcPr>
            <w:tcW w:w="907" w:type="dxa"/>
            <w:vAlign w:val="bottom"/>
          </w:tcPr>
          <w:p w14:paraId="14764022"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17870217" w14:textId="77777777" w:rsidR="00DD74D5" w:rsidRPr="001521F8" w:rsidRDefault="00DD74D5" w:rsidP="00DD74D5">
            <w:pPr>
              <w:widowControl/>
              <w:tabs>
                <w:tab w:val="decimal" w:pos="113"/>
              </w:tabs>
              <w:spacing w:line="120" w:lineRule="auto"/>
              <w:rPr>
                <w:sz w:val="16"/>
                <w:szCs w:val="16"/>
              </w:rPr>
            </w:pPr>
          </w:p>
        </w:tc>
        <w:tc>
          <w:tcPr>
            <w:tcW w:w="907" w:type="dxa"/>
            <w:gridSpan w:val="2"/>
            <w:shd w:val="clear" w:color="auto" w:fill="auto"/>
            <w:vAlign w:val="bottom"/>
          </w:tcPr>
          <w:p w14:paraId="3167E680"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7A02948A" w14:textId="77777777" w:rsidR="00DD74D5" w:rsidRPr="001521F8" w:rsidRDefault="00DD74D5" w:rsidP="00DD74D5">
            <w:pPr>
              <w:widowControl/>
              <w:tabs>
                <w:tab w:val="decimal" w:pos="113"/>
              </w:tabs>
              <w:spacing w:line="120" w:lineRule="auto"/>
              <w:rPr>
                <w:sz w:val="16"/>
                <w:szCs w:val="16"/>
              </w:rPr>
            </w:pPr>
          </w:p>
        </w:tc>
        <w:tc>
          <w:tcPr>
            <w:tcW w:w="907" w:type="dxa"/>
            <w:shd w:val="clear" w:color="auto" w:fill="auto"/>
            <w:vAlign w:val="bottom"/>
          </w:tcPr>
          <w:p w14:paraId="50095C61"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1229E4F6" w14:textId="77777777" w:rsidR="00DD74D5" w:rsidRPr="001521F8" w:rsidRDefault="00DD74D5" w:rsidP="00DD74D5">
            <w:pPr>
              <w:widowControl/>
              <w:tabs>
                <w:tab w:val="decimal" w:pos="113"/>
              </w:tabs>
              <w:spacing w:line="120" w:lineRule="auto"/>
              <w:rPr>
                <w:sz w:val="16"/>
                <w:szCs w:val="16"/>
              </w:rPr>
            </w:pPr>
          </w:p>
        </w:tc>
        <w:tc>
          <w:tcPr>
            <w:tcW w:w="907" w:type="dxa"/>
            <w:shd w:val="clear" w:color="auto" w:fill="auto"/>
            <w:vAlign w:val="bottom"/>
          </w:tcPr>
          <w:p w14:paraId="6C415E2C"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22C6AFA7" w14:textId="77777777" w:rsidR="00DD74D5" w:rsidRPr="001521F8" w:rsidRDefault="00DD74D5" w:rsidP="00DD74D5">
            <w:pPr>
              <w:widowControl/>
              <w:tabs>
                <w:tab w:val="decimal" w:pos="113"/>
              </w:tabs>
              <w:spacing w:line="120" w:lineRule="auto"/>
              <w:rPr>
                <w:sz w:val="16"/>
                <w:szCs w:val="16"/>
              </w:rPr>
            </w:pPr>
          </w:p>
        </w:tc>
        <w:tc>
          <w:tcPr>
            <w:tcW w:w="1192" w:type="dxa"/>
            <w:shd w:val="clear" w:color="auto" w:fill="auto"/>
            <w:vAlign w:val="bottom"/>
          </w:tcPr>
          <w:p w14:paraId="3B4D6246" w14:textId="77777777" w:rsidR="00DD74D5" w:rsidRPr="001521F8" w:rsidRDefault="00DD74D5" w:rsidP="00DD74D5">
            <w:pPr>
              <w:widowControl/>
              <w:tabs>
                <w:tab w:val="decimal" w:pos="113"/>
              </w:tabs>
              <w:spacing w:line="120" w:lineRule="auto"/>
              <w:rPr>
                <w:sz w:val="16"/>
                <w:szCs w:val="16"/>
                <w:rtl/>
              </w:rPr>
            </w:pPr>
          </w:p>
        </w:tc>
      </w:tr>
      <w:tr w:rsidR="00DD74D5" w:rsidRPr="001521F8" w14:paraId="5C1A7A78" w14:textId="77777777" w:rsidTr="001521F8">
        <w:tc>
          <w:tcPr>
            <w:tcW w:w="1688" w:type="dxa"/>
            <w:tcBorders>
              <w:top w:val="single" w:sz="6" w:space="0" w:color="auto"/>
            </w:tcBorders>
          </w:tcPr>
          <w:p w14:paraId="6D032BC5" w14:textId="77777777" w:rsidR="00DD74D5" w:rsidRPr="001521F8" w:rsidRDefault="00DD74D5" w:rsidP="00DD74D5">
            <w:pPr>
              <w:pStyle w:val="a3"/>
              <w:widowControl/>
              <w:spacing w:line="120" w:lineRule="auto"/>
              <w:ind w:left="0"/>
              <w:jc w:val="right"/>
              <w:rPr>
                <w:i/>
                <w:iCs/>
                <w:sz w:val="16"/>
                <w:szCs w:val="16"/>
              </w:rPr>
            </w:pPr>
          </w:p>
        </w:tc>
        <w:tc>
          <w:tcPr>
            <w:tcW w:w="2695" w:type="dxa"/>
            <w:shd w:val="clear" w:color="auto" w:fill="auto"/>
            <w:vAlign w:val="bottom"/>
          </w:tcPr>
          <w:p w14:paraId="2DB3053A" w14:textId="77777777" w:rsidR="00DD74D5" w:rsidRPr="001521F8" w:rsidRDefault="00DD74D5" w:rsidP="00DD74D5">
            <w:pPr>
              <w:pStyle w:val="a3"/>
              <w:widowControl/>
              <w:spacing w:line="120" w:lineRule="auto"/>
              <w:ind w:left="0"/>
              <w:rPr>
                <w:sz w:val="18"/>
                <w:szCs w:val="18"/>
              </w:rPr>
            </w:pPr>
          </w:p>
        </w:tc>
        <w:tc>
          <w:tcPr>
            <w:tcW w:w="113" w:type="dxa"/>
            <w:shd w:val="clear" w:color="auto" w:fill="auto"/>
            <w:vAlign w:val="bottom"/>
          </w:tcPr>
          <w:p w14:paraId="47DC41D6" w14:textId="77777777" w:rsidR="00DD74D5" w:rsidRPr="001521F8" w:rsidRDefault="00DD74D5" w:rsidP="00DD74D5">
            <w:pPr>
              <w:widowControl/>
              <w:spacing w:line="120" w:lineRule="auto"/>
              <w:rPr>
                <w:sz w:val="16"/>
                <w:szCs w:val="16"/>
              </w:rPr>
            </w:pPr>
          </w:p>
        </w:tc>
        <w:tc>
          <w:tcPr>
            <w:tcW w:w="907" w:type="dxa"/>
            <w:tcBorders>
              <w:top w:val="single" w:sz="6" w:space="0" w:color="auto"/>
            </w:tcBorders>
            <w:vAlign w:val="bottom"/>
          </w:tcPr>
          <w:p w14:paraId="67D67852"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29D2C9DE" w14:textId="77777777" w:rsidR="00DD74D5" w:rsidRPr="001521F8" w:rsidRDefault="00DD74D5" w:rsidP="00DD74D5">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16970897"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3B315283"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6E373445"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56DD1C3F"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7B918D5A"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19E8A830" w14:textId="77777777" w:rsidR="00DD74D5" w:rsidRPr="001521F8" w:rsidRDefault="00DD74D5" w:rsidP="00DD74D5">
            <w:pPr>
              <w:widowControl/>
              <w:tabs>
                <w:tab w:val="decimal" w:pos="113"/>
              </w:tabs>
              <w:spacing w:line="120" w:lineRule="auto"/>
              <w:rPr>
                <w:sz w:val="16"/>
                <w:szCs w:val="16"/>
              </w:rPr>
            </w:pPr>
          </w:p>
        </w:tc>
        <w:tc>
          <w:tcPr>
            <w:tcW w:w="1192" w:type="dxa"/>
            <w:tcBorders>
              <w:top w:val="single" w:sz="6" w:space="0" w:color="auto"/>
            </w:tcBorders>
            <w:shd w:val="clear" w:color="auto" w:fill="auto"/>
            <w:vAlign w:val="bottom"/>
          </w:tcPr>
          <w:p w14:paraId="0D8901E6" w14:textId="77777777" w:rsidR="00DD74D5" w:rsidRPr="001521F8" w:rsidRDefault="00DD74D5" w:rsidP="00DD74D5">
            <w:pPr>
              <w:widowControl/>
              <w:tabs>
                <w:tab w:val="decimal" w:pos="113"/>
              </w:tabs>
              <w:spacing w:line="120" w:lineRule="auto"/>
              <w:rPr>
                <w:sz w:val="16"/>
                <w:szCs w:val="16"/>
                <w:rtl/>
              </w:rPr>
            </w:pPr>
          </w:p>
        </w:tc>
      </w:tr>
      <w:tr w:rsidR="00DD74D5" w:rsidRPr="001521F8" w14:paraId="3CAF2E68" w14:textId="77777777" w:rsidTr="001521F8">
        <w:tc>
          <w:tcPr>
            <w:tcW w:w="1688" w:type="dxa"/>
            <w:tcBorders>
              <w:bottom w:val="single" w:sz="6" w:space="0" w:color="auto"/>
              <w:right w:val="single" w:sz="6" w:space="0" w:color="auto"/>
            </w:tcBorders>
          </w:tcPr>
          <w:p w14:paraId="7ED923FC" w14:textId="77777777" w:rsidR="00DD74D5" w:rsidRPr="001521F8" w:rsidRDefault="00DD74D5" w:rsidP="00DD74D5">
            <w:pPr>
              <w:pStyle w:val="a3"/>
              <w:bidi w:val="0"/>
              <w:spacing w:line="180" w:lineRule="exact"/>
              <w:ind w:left="0" w:right="57"/>
              <w:jc w:val="right"/>
              <w:rPr>
                <w:i/>
                <w:iCs/>
                <w:sz w:val="16"/>
                <w:szCs w:val="16"/>
                <w:rtl/>
              </w:rPr>
            </w:pPr>
            <w:r w:rsidRPr="001521F8">
              <w:rPr>
                <w:i/>
                <w:iCs/>
                <w:sz w:val="16"/>
                <w:szCs w:val="16"/>
              </w:rPr>
              <w:t>IAS 1.85; IAS 1.BC 55-56</w:t>
            </w:r>
          </w:p>
        </w:tc>
        <w:tc>
          <w:tcPr>
            <w:tcW w:w="2695" w:type="dxa"/>
            <w:tcBorders>
              <w:left w:val="single" w:sz="6" w:space="0" w:color="auto"/>
            </w:tcBorders>
            <w:shd w:val="clear" w:color="auto" w:fill="auto"/>
            <w:vAlign w:val="bottom"/>
          </w:tcPr>
          <w:p w14:paraId="6B4664F1"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רווח (הפסד) תפעולי</w:t>
            </w:r>
          </w:p>
        </w:tc>
        <w:tc>
          <w:tcPr>
            <w:tcW w:w="113" w:type="dxa"/>
            <w:shd w:val="clear" w:color="auto" w:fill="auto"/>
            <w:vAlign w:val="bottom"/>
          </w:tcPr>
          <w:p w14:paraId="069B6F0F" w14:textId="77777777" w:rsidR="00DD74D5" w:rsidRPr="001521F8" w:rsidRDefault="00DD74D5" w:rsidP="00DD74D5">
            <w:pPr>
              <w:spacing w:line="180" w:lineRule="exact"/>
              <w:rPr>
                <w:sz w:val="16"/>
                <w:szCs w:val="16"/>
              </w:rPr>
            </w:pPr>
          </w:p>
        </w:tc>
        <w:tc>
          <w:tcPr>
            <w:tcW w:w="907" w:type="dxa"/>
            <w:shd w:val="clear" w:color="auto" w:fill="auto"/>
            <w:vAlign w:val="bottom"/>
          </w:tcPr>
          <w:p w14:paraId="14004F85"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6AF75637"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2DB35EF6"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554EDB42"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4D3E4F4A"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6A749B54"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1677D05E"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0D815A60"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3674DF81" w14:textId="77777777" w:rsidR="00DD74D5" w:rsidRPr="001521F8" w:rsidRDefault="00DD74D5" w:rsidP="00DD74D5">
            <w:pPr>
              <w:tabs>
                <w:tab w:val="decimal" w:pos="113"/>
              </w:tabs>
              <w:spacing w:line="180" w:lineRule="exact"/>
              <w:rPr>
                <w:sz w:val="16"/>
                <w:szCs w:val="16"/>
                <w:rtl/>
              </w:rPr>
            </w:pPr>
          </w:p>
        </w:tc>
      </w:tr>
      <w:tr w:rsidR="00DD74D5" w:rsidRPr="001521F8" w14:paraId="71FB9223" w14:textId="77777777" w:rsidTr="001521F8">
        <w:tc>
          <w:tcPr>
            <w:tcW w:w="1688" w:type="dxa"/>
            <w:tcBorders>
              <w:top w:val="single" w:sz="6" w:space="0" w:color="auto"/>
            </w:tcBorders>
          </w:tcPr>
          <w:p w14:paraId="27941DC1" w14:textId="77777777" w:rsidR="00DD74D5" w:rsidRPr="001521F8" w:rsidRDefault="00DD74D5" w:rsidP="00DD74D5">
            <w:pPr>
              <w:pStyle w:val="a3"/>
              <w:widowControl/>
              <w:spacing w:line="120" w:lineRule="auto"/>
              <w:ind w:left="0"/>
              <w:jc w:val="right"/>
              <w:rPr>
                <w:i/>
                <w:iCs/>
                <w:sz w:val="16"/>
                <w:szCs w:val="16"/>
              </w:rPr>
            </w:pPr>
          </w:p>
        </w:tc>
        <w:tc>
          <w:tcPr>
            <w:tcW w:w="2695" w:type="dxa"/>
            <w:shd w:val="clear" w:color="auto" w:fill="auto"/>
            <w:vAlign w:val="bottom"/>
          </w:tcPr>
          <w:p w14:paraId="78464402" w14:textId="77777777" w:rsidR="00DD74D5" w:rsidRPr="001521F8" w:rsidRDefault="00DD74D5" w:rsidP="00DD74D5">
            <w:pPr>
              <w:pStyle w:val="a3"/>
              <w:widowControl/>
              <w:spacing w:line="120" w:lineRule="auto"/>
              <w:ind w:left="0"/>
              <w:rPr>
                <w:sz w:val="18"/>
                <w:szCs w:val="18"/>
              </w:rPr>
            </w:pPr>
          </w:p>
        </w:tc>
        <w:tc>
          <w:tcPr>
            <w:tcW w:w="113" w:type="dxa"/>
            <w:shd w:val="clear" w:color="auto" w:fill="auto"/>
            <w:vAlign w:val="bottom"/>
          </w:tcPr>
          <w:p w14:paraId="3AAC0B32" w14:textId="77777777" w:rsidR="00DD74D5" w:rsidRPr="001521F8" w:rsidRDefault="00DD74D5" w:rsidP="00DD74D5">
            <w:pPr>
              <w:widowControl/>
              <w:spacing w:line="120" w:lineRule="auto"/>
              <w:rPr>
                <w:sz w:val="16"/>
                <w:szCs w:val="16"/>
              </w:rPr>
            </w:pPr>
          </w:p>
        </w:tc>
        <w:tc>
          <w:tcPr>
            <w:tcW w:w="907" w:type="dxa"/>
            <w:vAlign w:val="bottom"/>
          </w:tcPr>
          <w:p w14:paraId="75364A6A"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3ED1A8C3" w14:textId="77777777" w:rsidR="00DD74D5" w:rsidRPr="001521F8" w:rsidRDefault="00DD74D5" w:rsidP="00DD74D5">
            <w:pPr>
              <w:widowControl/>
              <w:tabs>
                <w:tab w:val="decimal" w:pos="113"/>
              </w:tabs>
              <w:spacing w:line="120" w:lineRule="auto"/>
              <w:rPr>
                <w:sz w:val="16"/>
                <w:szCs w:val="16"/>
              </w:rPr>
            </w:pPr>
          </w:p>
        </w:tc>
        <w:tc>
          <w:tcPr>
            <w:tcW w:w="907" w:type="dxa"/>
            <w:gridSpan w:val="2"/>
            <w:shd w:val="clear" w:color="auto" w:fill="auto"/>
            <w:vAlign w:val="bottom"/>
          </w:tcPr>
          <w:p w14:paraId="0C441C2E"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2BF9D44C" w14:textId="77777777" w:rsidR="00DD74D5" w:rsidRPr="001521F8" w:rsidRDefault="00DD74D5" w:rsidP="00DD74D5">
            <w:pPr>
              <w:widowControl/>
              <w:tabs>
                <w:tab w:val="decimal" w:pos="113"/>
              </w:tabs>
              <w:spacing w:line="120" w:lineRule="auto"/>
              <w:rPr>
                <w:sz w:val="16"/>
                <w:szCs w:val="16"/>
              </w:rPr>
            </w:pPr>
          </w:p>
        </w:tc>
        <w:tc>
          <w:tcPr>
            <w:tcW w:w="907" w:type="dxa"/>
            <w:shd w:val="clear" w:color="auto" w:fill="auto"/>
            <w:vAlign w:val="bottom"/>
          </w:tcPr>
          <w:p w14:paraId="2A523B4E"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2FB9F50E" w14:textId="77777777" w:rsidR="00DD74D5" w:rsidRPr="001521F8" w:rsidRDefault="00DD74D5" w:rsidP="00DD74D5">
            <w:pPr>
              <w:widowControl/>
              <w:tabs>
                <w:tab w:val="decimal" w:pos="113"/>
              </w:tabs>
              <w:spacing w:line="120" w:lineRule="auto"/>
              <w:rPr>
                <w:sz w:val="16"/>
                <w:szCs w:val="16"/>
              </w:rPr>
            </w:pPr>
          </w:p>
        </w:tc>
        <w:tc>
          <w:tcPr>
            <w:tcW w:w="907" w:type="dxa"/>
            <w:shd w:val="clear" w:color="auto" w:fill="auto"/>
            <w:vAlign w:val="bottom"/>
          </w:tcPr>
          <w:p w14:paraId="0BFAEC23"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3441AA38" w14:textId="77777777" w:rsidR="00DD74D5" w:rsidRPr="001521F8" w:rsidRDefault="00DD74D5" w:rsidP="00DD74D5">
            <w:pPr>
              <w:widowControl/>
              <w:tabs>
                <w:tab w:val="decimal" w:pos="113"/>
              </w:tabs>
              <w:spacing w:line="120" w:lineRule="auto"/>
              <w:rPr>
                <w:sz w:val="16"/>
                <w:szCs w:val="16"/>
              </w:rPr>
            </w:pPr>
          </w:p>
        </w:tc>
        <w:tc>
          <w:tcPr>
            <w:tcW w:w="1192" w:type="dxa"/>
            <w:shd w:val="clear" w:color="auto" w:fill="auto"/>
            <w:vAlign w:val="bottom"/>
          </w:tcPr>
          <w:p w14:paraId="562C0653" w14:textId="77777777" w:rsidR="00DD74D5" w:rsidRPr="001521F8" w:rsidRDefault="00DD74D5" w:rsidP="00DD74D5">
            <w:pPr>
              <w:widowControl/>
              <w:tabs>
                <w:tab w:val="decimal" w:pos="113"/>
              </w:tabs>
              <w:spacing w:line="120" w:lineRule="auto"/>
              <w:rPr>
                <w:sz w:val="16"/>
                <w:szCs w:val="16"/>
                <w:rtl/>
              </w:rPr>
            </w:pPr>
          </w:p>
        </w:tc>
      </w:tr>
      <w:tr w:rsidR="00DD74D5" w:rsidRPr="001521F8" w14:paraId="4D175E04" w14:textId="77777777" w:rsidTr="001521F8">
        <w:tc>
          <w:tcPr>
            <w:tcW w:w="1688" w:type="dxa"/>
            <w:tcBorders>
              <w:bottom w:val="single" w:sz="6" w:space="0" w:color="auto"/>
              <w:right w:val="single" w:sz="6" w:space="0" w:color="auto"/>
            </w:tcBorders>
          </w:tcPr>
          <w:p w14:paraId="5B224FCF" w14:textId="77777777" w:rsidR="00DD74D5" w:rsidRPr="001521F8" w:rsidRDefault="00DD74D5" w:rsidP="00DD74D5">
            <w:pPr>
              <w:pStyle w:val="a3"/>
              <w:bidi w:val="0"/>
              <w:spacing w:line="180" w:lineRule="exact"/>
              <w:ind w:left="0" w:right="57"/>
              <w:jc w:val="right"/>
              <w:rPr>
                <w:i/>
                <w:iCs/>
                <w:sz w:val="16"/>
                <w:szCs w:val="16"/>
                <w:rtl/>
              </w:rPr>
            </w:pPr>
            <w:r w:rsidRPr="001521F8">
              <w:rPr>
                <w:i/>
                <w:iCs/>
                <w:sz w:val="16"/>
                <w:szCs w:val="16"/>
              </w:rPr>
              <w:t>IAS 1.82(a)</w:t>
            </w:r>
          </w:p>
        </w:tc>
        <w:tc>
          <w:tcPr>
            <w:tcW w:w="2695" w:type="dxa"/>
            <w:tcBorders>
              <w:left w:val="single" w:sz="6" w:space="0" w:color="auto"/>
            </w:tcBorders>
            <w:shd w:val="clear" w:color="auto" w:fill="auto"/>
            <w:vAlign w:val="bottom"/>
          </w:tcPr>
          <w:p w14:paraId="4E5CA538"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הכנסות מימון</w:t>
            </w:r>
          </w:p>
        </w:tc>
        <w:tc>
          <w:tcPr>
            <w:tcW w:w="113" w:type="dxa"/>
            <w:shd w:val="clear" w:color="auto" w:fill="auto"/>
            <w:vAlign w:val="bottom"/>
          </w:tcPr>
          <w:p w14:paraId="533B3A32" w14:textId="77777777" w:rsidR="00DD74D5" w:rsidRPr="001521F8" w:rsidRDefault="00DD74D5" w:rsidP="00DD74D5">
            <w:pPr>
              <w:spacing w:line="180" w:lineRule="exact"/>
              <w:rPr>
                <w:sz w:val="16"/>
                <w:szCs w:val="16"/>
              </w:rPr>
            </w:pPr>
          </w:p>
        </w:tc>
        <w:tc>
          <w:tcPr>
            <w:tcW w:w="907" w:type="dxa"/>
            <w:vAlign w:val="bottom"/>
          </w:tcPr>
          <w:p w14:paraId="22347CBD"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52A219B4"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2FC0ED53"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175D6850"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757792C3"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07462A8B"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29DAD8F6"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4BC20D43"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6E83B082" w14:textId="77777777" w:rsidR="00DD74D5" w:rsidRPr="001521F8" w:rsidRDefault="00DD74D5" w:rsidP="00DD74D5">
            <w:pPr>
              <w:tabs>
                <w:tab w:val="decimal" w:pos="113"/>
              </w:tabs>
              <w:spacing w:line="180" w:lineRule="exact"/>
              <w:rPr>
                <w:sz w:val="16"/>
                <w:szCs w:val="16"/>
                <w:rtl/>
              </w:rPr>
            </w:pPr>
          </w:p>
        </w:tc>
      </w:tr>
      <w:tr w:rsidR="00DD74D5" w:rsidRPr="001521F8" w14:paraId="7C8EB1EC" w14:textId="77777777" w:rsidTr="001521F8">
        <w:tc>
          <w:tcPr>
            <w:tcW w:w="1688" w:type="dxa"/>
            <w:tcBorders>
              <w:top w:val="single" w:sz="6" w:space="0" w:color="auto"/>
              <w:bottom w:val="single" w:sz="6" w:space="0" w:color="auto"/>
              <w:right w:val="single" w:sz="6" w:space="0" w:color="auto"/>
            </w:tcBorders>
          </w:tcPr>
          <w:p w14:paraId="147EA3C9" w14:textId="77777777" w:rsidR="00DD74D5" w:rsidRPr="001521F8" w:rsidRDefault="00DD74D5" w:rsidP="00DD74D5">
            <w:pPr>
              <w:pStyle w:val="a3"/>
              <w:bidi w:val="0"/>
              <w:spacing w:line="180" w:lineRule="exact"/>
              <w:ind w:left="0" w:right="57"/>
              <w:jc w:val="right"/>
              <w:rPr>
                <w:i/>
                <w:iCs/>
                <w:sz w:val="16"/>
                <w:szCs w:val="16"/>
                <w:rtl/>
              </w:rPr>
            </w:pPr>
            <w:r w:rsidRPr="001521F8">
              <w:rPr>
                <w:i/>
                <w:iCs/>
                <w:sz w:val="16"/>
                <w:szCs w:val="16"/>
              </w:rPr>
              <w:t>IAS 1.82(b); IFRS 7.20</w:t>
            </w:r>
          </w:p>
        </w:tc>
        <w:tc>
          <w:tcPr>
            <w:tcW w:w="2695" w:type="dxa"/>
            <w:tcBorders>
              <w:left w:val="single" w:sz="6" w:space="0" w:color="auto"/>
            </w:tcBorders>
            <w:shd w:val="clear" w:color="auto" w:fill="auto"/>
            <w:vAlign w:val="bottom"/>
          </w:tcPr>
          <w:p w14:paraId="595E11D0"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הוצאות מימון</w:t>
            </w:r>
          </w:p>
        </w:tc>
        <w:tc>
          <w:tcPr>
            <w:tcW w:w="113" w:type="dxa"/>
            <w:shd w:val="clear" w:color="auto" w:fill="auto"/>
            <w:vAlign w:val="bottom"/>
          </w:tcPr>
          <w:p w14:paraId="08DE3075" w14:textId="77777777" w:rsidR="00DD74D5" w:rsidRPr="001521F8" w:rsidRDefault="00DD74D5" w:rsidP="00DD74D5">
            <w:pPr>
              <w:spacing w:line="180" w:lineRule="exact"/>
              <w:rPr>
                <w:sz w:val="16"/>
                <w:szCs w:val="16"/>
              </w:rPr>
            </w:pPr>
          </w:p>
        </w:tc>
        <w:tc>
          <w:tcPr>
            <w:tcW w:w="907" w:type="dxa"/>
            <w:vAlign w:val="bottom"/>
          </w:tcPr>
          <w:p w14:paraId="4EF5AE74"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42326996"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23098A58"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400D0632"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4EB376CB"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55E1204A"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38A088DB"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01AF0876"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32E4549C" w14:textId="77777777" w:rsidR="00DD74D5" w:rsidRPr="001521F8" w:rsidRDefault="00DD74D5" w:rsidP="00DD74D5">
            <w:pPr>
              <w:tabs>
                <w:tab w:val="decimal" w:pos="113"/>
              </w:tabs>
              <w:spacing w:line="180" w:lineRule="exact"/>
              <w:rPr>
                <w:sz w:val="16"/>
                <w:szCs w:val="16"/>
                <w:rtl/>
              </w:rPr>
            </w:pPr>
          </w:p>
        </w:tc>
      </w:tr>
      <w:tr w:rsidR="00DD74D5" w:rsidRPr="001521F8" w14:paraId="483081A0" w14:textId="77777777" w:rsidTr="001521F8">
        <w:tc>
          <w:tcPr>
            <w:tcW w:w="1688" w:type="dxa"/>
            <w:tcBorders>
              <w:top w:val="single" w:sz="6" w:space="0" w:color="auto"/>
              <w:bottom w:val="single" w:sz="6" w:space="0" w:color="auto"/>
              <w:right w:val="single" w:sz="6" w:space="0" w:color="auto"/>
            </w:tcBorders>
            <w:vAlign w:val="center"/>
          </w:tcPr>
          <w:p w14:paraId="363B396F" w14:textId="4803A83A" w:rsidR="00DD74D5" w:rsidRPr="001521F8" w:rsidRDefault="00DD74D5" w:rsidP="00DD74D5">
            <w:pPr>
              <w:bidi w:val="0"/>
              <w:spacing w:line="180" w:lineRule="exact"/>
              <w:ind w:right="57"/>
              <w:jc w:val="right"/>
              <w:rPr>
                <w:i/>
                <w:iCs/>
                <w:sz w:val="16"/>
                <w:szCs w:val="16"/>
              </w:rPr>
            </w:pPr>
            <w:r w:rsidRPr="001521F8">
              <w:rPr>
                <w:i/>
                <w:iCs/>
                <w:sz w:val="16"/>
                <w:szCs w:val="16"/>
              </w:rPr>
              <w:t>IAS 1.82(ba)</w:t>
            </w:r>
          </w:p>
        </w:tc>
        <w:tc>
          <w:tcPr>
            <w:tcW w:w="2695" w:type="dxa"/>
            <w:tcBorders>
              <w:left w:val="single" w:sz="6" w:space="0" w:color="auto"/>
            </w:tcBorders>
            <w:shd w:val="clear" w:color="auto" w:fill="auto"/>
            <w:vAlign w:val="bottom"/>
          </w:tcPr>
          <w:p w14:paraId="191718E4" w14:textId="2CCD3EF1" w:rsidR="00DD74D5" w:rsidRPr="001521F8" w:rsidRDefault="00DD74D5" w:rsidP="00DD74D5">
            <w:pPr>
              <w:spacing w:line="180" w:lineRule="exact"/>
              <w:ind w:left="227" w:hanging="170"/>
              <w:jc w:val="left"/>
              <w:rPr>
                <w:sz w:val="18"/>
                <w:szCs w:val="18"/>
                <w:rtl/>
              </w:rPr>
            </w:pPr>
            <w:r w:rsidRPr="001521F8">
              <w:rPr>
                <w:rFonts w:hint="cs"/>
                <w:sz w:val="18"/>
                <w:szCs w:val="18"/>
                <w:rtl/>
              </w:rPr>
              <w:t>ירידת ערך (ביטול ירידת ערך) השקעות במכשירי חוב</w:t>
            </w:r>
          </w:p>
        </w:tc>
        <w:tc>
          <w:tcPr>
            <w:tcW w:w="113" w:type="dxa"/>
            <w:shd w:val="clear" w:color="auto" w:fill="auto"/>
            <w:vAlign w:val="bottom"/>
          </w:tcPr>
          <w:p w14:paraId="262293D5" w14:textId="77777777" w:rsidR="00DD74D5" w:rsidRPr="001521F8" w:rsidRDefault="00DD74D5" w:rsidP="00DD74D5">
            <w:pPr>
              <w:spacing w:line="180" w:lineRule="exact"/>
              <w:rPr>
                <w:sz w:val="16"/>
                <w:szCs w:val="16"/>
              </w:rPr>
            </w:pPr>
          </w:p>
        </w:tc>
        <w:tc>
          <w:tcPr>
            <w:tcW w:w="907" w:type="dxa"/>
            <w:tcBorders>
              <w:bottom w:val="single" w:sz="6" w:space="0" w:color="auto"/>
            </w:tcBorders>
            <w:shd w:val="clear" w:color="auto" w:fill="auto"/>
            <w:vAlign w:val="bottom"/>
          </w:tcPr>
          <w:p w14:paraId="178E2447"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43127FB9" w14:textId="77777777" w:rsidR="00DD74D5" w:rsidRPr="001521F8" w:rsidRDefault="00DD74D5" w:rsidP="00DD74D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37BAC46F"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130EA334"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3397C34E"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602C50C4"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1F234958"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27C17C27" w14:textId="77777777" w:rsidR="00DD74D5" w:rsidRPr="001521F8" w:rsidRDefault="00DD74D5" w:rsidP="00DD74D5">
            <w:pPr>
              <w:tabs>
                <w:tab w:val="decimal" w:pos="113"/>
              </w:tabs>
              <w:spacing w:line="180" w:lineRule="exact"/>
              <w:rPr>
                <w:sz w:val="16"/>
                <w:szCs w:val="16"/>
              </w:rPr>
            </w:pPr>
          </w:p>
        </w:tc>
        <w:tc>
          <w:tcPr>
            <w:tcW w:w="1192" w:type="dxa"/>
            <w:tcBorders>
              <w:bottom w:val="single" w:sz="6" w:space="0" w:color="auto"/>
            </w:tcBorders>
            <w:shd w:val="clear" w:color="auto" w:fill="auto"/>
            <w:vAlign w:val="bottom"/>
          </w:tcPr>
          <w:p w14:paraId="44C4AD13" w14:textId="77777777" w:rsidR="00DD74D5" w:rsidRPr="001521F8" w:rsidRDefault="00DD74D5" w:rsidP="00DD74D5">
            <w:pPr>
              <w:tabs>
                <w:tab w:val="decimal" w:pos="113"/>
              </w:tabs>
              <w:spacing w:line="180" w:lineRule="exact"/>
              <w:rPr>
                <w:sz w:val="16"/>
                <w:szCs w:val="16"/>
                <w:rtl/>
              </w:rPr>
            </w:pPr>
          </w:p>
        </w:tc>
      </w:tr>
      <w:tr w:rsidR="00DD74D5" w:rsidRPr="001521F8" w14:paraId="44E39A7B" w14:textId="77777777" w:rsidTr="001521F8">
        <w:tc>
          <w:tcPr>
            <w:tcW w:w="1688" w:type="dxa"/>
            <w:tcBorders>
              <w:top w:val="single" w:sz="6" w:space="0" w:color="auto"/>
              <w:bottom w:val="single" w:sz="6" w:space="0" w:color="auto"/>
              <w:right w:val="single" w:sz="6" w:space="0" w:color="auto"/>
            </w:tcBorders>
            <w:vAlign w:val="center"/>
          </w:tcPr>
          <w:p w14:paraId="094CA5FF" w14:textId="77777777" w:rsidR="00DD74D5" w:rsidRPr="001521F8" w:rsidRDefault="00DD74D5" w:rsidP="00DD74D5">
            <w:pPr>
              <w:bidi w:val="0"/>
              <w:spacing w:line="180" w:lineRule="exact"/>
              <w:ind w:right="57"/>
              <w:jc w:val="right"/>
              <w:rPr>
                <w:i/>
                <w:iCs/>
                <w:sz w:val="16"/>
                <w:szCs w:val="16"/>
                <w:rtl/>
              </w:rPr>
            </w:pPr>
            <w:r w:rsidRPr="001521F8">
              <w:rPr>
                <w:i/>
                <w:iCs/>
                <w:sz w:val="16"/>
                <w:szCs w:val="16"/>
              </w:rPr>
              <w:t>IAS 1.82(c); IAS 28.38</w:t>
            </w:r>
          </w:p>
        </w:tc>
        <w:tc>
          <w:tcPr>
            <w:tcW w:w="2695" w:type="dxa"/>
            <w:tcBorders>
              <w:left w:val="single" w:sz="6" w:space="0" w:color="auto"/>
            </w:tcBorders>
            <w:shd w:val="clear" w:color="auto" w:fill="auto"/>
            <w:vAlign w:val="bottom"/>
          </w:tcPr>
          <w:p w14:paraId="5C88D378" w14:textId="4A0233CC" w:rsidR="00DD74D5" w:rsidRPr="001521F8" w:rsidRDefault="00DD74D5" w:rsidP="00DD74D5">
            <w:pPr>
              <w:spacing w:line="180" w:lineRule="exact"/>
              <w:ind w:left="227" w:hanging="170"/>
              <w:jc w:val="left"/>
              <w:rPr>
                <w:sz w:val="18"/>
                <w:szCs w:val="18"/>
              </w:rPr>
            </w:pPr>
            <w:r w:rsidRPr="001521F8">
              <w:rPr>
                <w:rFonts w:hint="cs"/>
                <w:sz w:val="18"/>
                <w:szCs w:val="18"/>
                <w:rtl/>
              </w:rPr>
              <w:t xml:space="preserve">חלק הקבוצה ברווחי (בהפסדי) חברות המטופלות לפי שיטת השווי </w:t>
            </w:r>
            <w:r w:rsidRPr="001521F8">
              <w:rPr>
                <w:rFonts w:hint="eastAsia"/>
                <w:sz w:val="18"/>
                <w:szCs w:val="18"/>
                <w:rtl/>
              </w:rPr>
              <w:t>המאזני</w:t>
            </w:r>
            <w:r w:rsidRPr="001521F8">
              <w:rPr>
                <w:sz w:val="18"/>
                <w:szCs w:val="18"/>
                <w:rtl/>
              </w:rPr>
              <w:t xml:space="preserve">, </w:t>
            </w:r>
            <w:r w:rsidRPr="001521F8">
              <w:rPr>
                <w:rFonts w:hint="eastAsia"/>
                <w:sz w:val="18"/>
                <w:szCs w:val="18"/>
                <w:rtl/>
              </w:rPr>
              <w:t>נטו</w:t>
            </w:r>
            <w:r w:rsidRPr="001521F8">
              <w:rPr>
                <w:rStyle w:val="ab"/>
                <w:sz w:val="18"/>
                <w:szCs w:val="18"/>
              </w:rPr>
              <w:footnoteReference w:id="13"/>
            </w:r>
          </w:p>
        </w:tc>
        <w:tc>
          <w:tcPr>
            <w:tcW w:w="113" w:type="dxa"/>
            <w:shd w:val="clear" w:color="auto" w:fill="auto"/>
            <w:vAlign w:val="bottom"/>
          </w:tcPr>
          <w:p w14:paraId="08258667" w14:textId="77777777" w:rsidR="00DD74D5" w:rsidRPr="001521F8" w:rsidRDefault="00DD74D5" w:rsidP="00DD74D5">
            <w:pPr>
              <w:spacing w:line="180" w:lineRule="exact"/>
              <w:rPr>
                <w:sz w:val="16"/>
                <w:szCs w:val="16"/>
              </w:rPr>
            </w:pPr>
          </w:p>
        </w:tc>
        <w:tc>
          <w:tcPr>
            <w:tcW w:w="907" w:type="dxa"/>
            <w:tcBorders>
              <w:bottom w:val="single" w:sz="6" w:space="0" w:color="auto"/>
            </w:tcBorders>
            <w:shd w:val="clear" w:color="auto" w:fill="auto"/>
            <w:vAlign w:val="bottom"/>
          </w:tcPr>
          <w:p w14:paraId="22A1CECC"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3487367C" w14:textId="77777777" w:rsidR="00DD74D5" w:rsidRPr="001521F8" w:rsidRDefault="00DD74D5" w:rsidP="00DD74D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42420CBC"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7AEF7264"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4F046E53"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780933B3"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14115A28"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78BC7B62" w14:textId="77777777" w:rsidR="00DD74D5" w:rsidRPr="001521F8" w:rsidRDefault="00DD74D5" w:rsidP="00DD74D5">
            <w:pPr>
              <w:tabs>
                <w:tab w:val="decimal" w:pos="113"/>
              </w:tabs>
              <w:spacing w:line="180" w:lineRule="exact"/>
              <w:rPr>
                <w:sz w:val="16"/>
                <w:szCs w:val="16"/>
              </w:rPr>
            </w:pPr>
          </w:p>
        </w:tc>
        <w:tc>
          <w:tcPr>
            <w:tcW w:w="1192" w:type="dxa"/>
            <w:tcBorders>
              <w:bottom w:val="single" w:sz="6" w:space="0" w:color="auto"/>
            </w:tcBorders>
            <w:shd w:val="clear" w:color="auto" w:fill="auto"/>
            <w:vAlign w:val="bottom"/>
          </w:tcPr>
          <w:p w14:paraId="71D64A0C" w14:textId="77777777" w:rsidR="00DD74D5" w:rsidRPr="001521F8" w:rsidRDefault="00DD74D5" w:rsidP="00DD74D5">
            <w:pPr>
              <w:tabs>
                <w:tab w:val="decimal" w:pos="113"/>
              </w:tabs>
              <w:spacing w:line="180" w:lineRule="exact"/>
              <w:rPr>
                <w:sz w:val="16"/>
                <w:szCs w:val="16"/>
                <w:rtl/>
              </w:rPr>
            </w:pPr>
          </w:p>
        </w:tc>
      </w:tr>
      <w:tr w:rsidR="00DD74D5" w:rsidRPr="001521F8" w14:paraId="13FF363C" w14:textId="77777777" w:rsidTr="001521F8">
        <w:tc>
          <w:tcPr>
            <w:tcW w:w="1688" w:type="dxa"/>
            <w:tcBorders>
              <w:top w:val="single" w:sz="6" w:space="0" w:color="auto"/>
            </w:tcBorders>
          </w:tcPr>
          <w:p w14:paraId="6AAA3EB7" w14:textId="77777777" w:rsidR="00DD74D5" w:rsidRPr="001521F8" w:rsidRDefault="00DD74D5" w:rsidP="00DD74D5">
            <w:pPr>
              <w:pStyle w:val="a3"/>
              <w:widowControl/>
              <w:spacing w:line="120" w:lineRule="auto"/>
              <w:ind w:left="0"/>
              <w:jc w:val="right"/>
              <w:rPr>
                <w:i/>
                <w:iCs/>
                <w:sz w:val="16"/>
                <w:szCs w:val="16"/>
              </w:rPr>
            </w:pPr>
          </w:p>
        </w:tc>
        <w:tc>
          <w:tcPr>
            <w:tcW w:w="2695" w:type="dxa"/>
            <w:shd w:val="clear" w:color="auto" w:fill="auto"/>
            <w:vAlign w:val="bottom"/>
          </w:tcPr>
          <w:p w14:paraId="2034F11D" w14:textId="77777777" w:rsidR="00DD74D5" w:rsidRPr="001521F8" w:rsidRDefault="00DD74D5" w:rsidP="00DD74D5">
            <w:pPr>
              <w:pStyle w:val="a3"/>
              <w:widowControl/>
              <w:spacing w:line="120" w:lineRule="auto"/>
              <w:ind w:left="0"/>
              <w:rPr>
                <w:sz w:val="18"/>
                <w:szCs w:val="18"/>
              </w:rPr>
            </w:pPr>
          </w:p>
        </w:tc>
        <w:tc>
          <w:tcPr>
            <w:tcW w:w="113" w:type="dxa"/>
            <w:shd w:val="clear" w:color="auto" w:fill="auto"/>
            <w:vAlign w:val="bottom"/>
          </w:tcPr>
          <w:p w14:paraId="2A1297F7" w14:textId="77777777" w:rsidR="00DD74D5" w:rsidRPr="001521F8" w:rsidRDefault="00DD74D5" w:rsidP="00DD74D5">
            <w:pPr>
              <w:widowControl/>
              <w:spacing w:line="120" w:lineRule="auto"/>
              <w:rPr>
                <w:sz w:val="16"/>
                <w:szCs w:val="16"/>
              </w:rPr>
            </w:pPr>
          </w:p>
        </w:tc>
        <w:tc>
          <w:tcPr>
            <w:tcW w:w="907" w:type="dxa"/>
            <w:tcBorders>
              <w:top w:val="single" w:sz="6" w:space="0" w:color="auto"/>
            </w:tcBorders>
            <w:vAlign w:val="bottom"/>
          </w:tcPr>
          <w:p w14:paraId="265C9B93"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49C91CC2" w14:textId="77777777" w:rsidR="00DD74D5" w:rsidRPr="001521F8" w:rsidRDefault="00DD74D5" w:rsidP="00DD74D5">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43612DD2"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0227A7FC"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46642817"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0B62E762"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6C5349BB"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52406E70" w14:textId="77777777" w:rsidR="00DD74D5" w:rsidRPr="001521F8" w:rsidRDefault="00DD74D5" w:rsidP="00DD74D5">
            <w:pPr>
              <w:widowControl/>
              <w:tabs>
                <w:tab w:val="decimal" w:pos="113"/>
              </w:tabs>
              <w:spacing w:line="120" w:lineRule="auto"/>
              <w:rPr>
                <w:sz w:val="16"/>
                <w:szCs w:val="16"/>
              </w:rPr>
            </w:pPr>
          </w:p>
        </w:tc>
        <w:tc>
          <w:tcPr>
            <w:tcW w:w="1192" w:type="dxa"/>
            <w:tcBorders>
              <w:top w:val="single" w:sz="6" w:space="0" w:color="auto"/>
            </w:tcBorders>
            <w:shd w:val="clear" w:color="auto" w:fill="auto"/>
            <w:vAlign w:val="bottom"/>
          </w:tcPr>
          <w:p w14:paraId="0CD9A0EC" w14:textId="77777777" w:rsidR="00DD74D5" w:rsidRPr="001521F8" w:rsidRDefault="00DD74D5" w:rsidP="00DD74D5">
            <w:pPr>
              <w:widowControl/>
              <w:tabs>
                <w:tab w:val="decimal" w:pos="113"/>
              </w:tabs>
              <w:spacing w:line="120" w:lineRule="auto"/>
              <w:rPr>
                <w:sz w:val="16"/>
                <w:szCs w:val="16"/>
                <w:rtl/>
              </w:rPr>
            </w:pPr>
          </w:p>
        </w:tc>
      </w:tr>
      <w:tr w:rsidR="00DD74D5" w:rsidRPr="001521F8" w14:paraId="7C179B19" w14:textId="77777777" w:rsidTr="001521F8">
        <w:tc>
          <w:tcPr>
            <w:tcW w:w="1688" w:type="dxa"/>
            <w:tcBorders>
              <w:bottom w:val="single" w:sz="6" w:space="0" w:color="auto"/>
              <w:right w:val="single" w:sz="6" w:space="0" w:color="auto"/>
            </w:tcBorders>
          </w:tcPr>
          <w:p w14:paraId="40D04DA0" w14:textId="77777777" w:rsidR="00DD74D5" w:rsidRPr="001521F8" w:rsidRDefault="00DD74D5" w:rsidP="00DD74D5">
            <w:pPr>
              <w:pStyle w:val="a3"/>
              <w:bidi w:val="0"/>
              <w:spacing w:line="180" w:lineRule="exact"/>
              <w:ind w:left="0" w:right="57"/>
              <w:jc w:val="right"/>
              <w:rPr>
                <w:i/>
                <w:iCs/>
                <w:sz w:val="16"/>
                <w:szCs w:val="16"/>
                <w:rtl/>
              </w:rPr>
            </w:pPr>
            <w:r w:rsidRPr="001521F8">
              <w:rPr>
                <w:i/>
                <w:iCs/>
                <w:sz w:val="16"/>
                <w:szCs w:val="16"/>
              </w:rPr>
              <w:t>IAS 1.85</w:t>
            </w:r>
          </w:p>
        </w:tc>
        <w:tc>
          <w:tcPr>
            <w:tcW w:w="2695" w:type="dxa"/>
            <w:tcBorders>
              <w:left w:val="single" w:sz="6" w:space="0" w:color="auto"/>
            </w:tcBorders>
            <w:shd w:val="clear" w:color="auto" w:fill="auto"/>
            <w:vAlign w:val="bottom"/>
          </w:tcPr>
          <w:p w14:paraId="123EC4F3"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רווח (הפסד) לפני מסים על ההכנסה</w:t>
            </w:r>
          </w:p>
        </w:tc>
        <w:tc>
          <w:tcPr>
            <w:tcW w:w="113" w:type="dxa"/>
            <w:shd w:val="clear" w:color="auto" w:fill="auto"/>
            <w:vAlign w:val="bottom"/>
          </w:tcPr>
          <w:p w14:paraId="0D165F3E" w14:textId="77777777" w:rsidR="00DD74D5" w:rsidRPr="001521F8" w:rsidRDefault="00DD74D5" w:rsidP="00DD74D5">
            <w:pPr>
              <w:spacing w:line="180" w:lineRule="exact"/>
              <w:rPr>
                <w:sz w:val="16"/>
                <w:szCs w:val="16"/>
              </w:rPr>
            </w:pPr>
          </w:p>
        </w:tc>
        <w:tc>
          <w:tcPr>
            <w:tcW w:w="907" w:type="dxa"/>
            <w:vAlign w:val="bottom"/>
          </w:tcPr>
          <w:p w14:paraId="2E509382"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6437AEBA"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473700DE"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242922AF"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59246BD7"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6549EFE5"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60850765"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6A799A69"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56259D7D" w14:textId="77777777" w:rsidR="00DD74D5" w:rsidRPr="001521F8" w:rsidRDefault="00DD74D5" w:rsidP="00DD74D5">
            <w:pPr>
              <w:tabs>
                <w:tab w:val="decimal" w:pos="113"/>
              </w:tabs>
              <w:spacing w:line="180" w:lineRule="exact"/>
              <w:rPr>
                <w:sz w:val="16"/>
                <w:szCs w:val="16"/>
                <w:rtl/>
              </w:rPr>
            </w:pPr>
          </w:p>
        </w:tc>
      </w:tr>
      <w:tr w:rsidR="00DD74D5" w:rsidRPr="001521F8" w14:paraId="59CEAE52" w14:textId="77777777" w:rsidTr="001521F8">
        <w:tc>
          <w:tcPr>
            <w:tcW w:w="1688" w:type="dxa"/>
            <w:tcBorders>
              <w:top w:val="single" w:sz="6" w:space="0" w:color="auto"/>
              <w:bottom w:val="single" w:sz="6" w:space="0" w:color="auto"/>
              <w:right w:val="single" w:sz="6" w:space="0" w:color="auto"/>
            </w:tcBorders>
          </w:tcPr>
          <w:p w14:paraId="30A6145B" w14:textId="77777777" w:rsidR="00DD74D5" w:rsidRPr="001521F8" w:rsidRDefault="00DD74D5" w:rsidP="00DD74D5">
            <w:pPr>
              <w:pStyle w:val="a3"/>
              <w:bidi w:val="0"/>
              <w:spacing w:line="180" w:lineRule="exact"/>
              <w:ind w:left="0" w:right="57"/>
              <w:jc w:val="right"/>
              <w:rPr>
                <w:i/>
                <w:iCs/>
                <w:sz w:val="16"/>
                <w:szCs w:val="16"/>
                <w:rtl/>
              </w:rPr>
            </w:pPr>
            <w:r w:rsidRPr="001521F8">
              <w:rPr>
                <w:i/>
                <w:iCs/>
                <w:sz w:val="16"/>
                <w:szCs w:val="16"/>
              </w:rPr>
              <w:t>IAS 1.82(d); IAS 12.77</w:t>
            </w:r>
          </w:p>
        </w:tc>
        <w:tc>
          <w:tcPr>
            <w:tcW w:w="2695" w:type="dxa"/>
            <w:tcBorders>
              <w:left w:val="single" w:sz="6" w:space="0" w:color="auto"/>
            </w:tcBorders>
            <w:shd w:val="clear" w:color="auto" w:fill="auto"/>
            <w:vAlign w:val="bottom"/>
          </w:tcPr>
          <w:p w14:paraId="6E67ADB7" w14:textId="77777777" w:rsidR="00DD74D5" w:rsidRPr="001521F8" w:rsidRDefault="00DD74D5" w:rsidP="00DD74D5">
            <w:pPr>
              <w:pStyle w:val="a3"/>
              <w:spacing w:line="180" w:lineRule="exact"/>
              <w:ind w:left="227" w:hanging="170"/>
              <w:rPr>
                <w:sz w:val="18"/>
                <w:szCs w:val="18"/>
              </w:rPr>
            </w:pPr>
            <w:r w:rsidRPr="001521F8">
              <w:rPr>
                <w:rFonts w:hint="cs"/>
                <w:sz w:val="18"/>
                <w:szCs w:val="18"/>
                <w:rtl/>
              </w:rPr>
              <w:t>מסים על ההכנסה (הטבת מס)</w:t>
            </w:r>
          </w:p>
        </w:tc>
        <w:tc>
          <w:tcPr>
            <w:tcW w:w="113" w:type="dxa"/>
            <w:shd w:val="clear" w:color="auto" w:fill="auto"/>
            <w:vAlign w:val="bottom"/>
          </w:tcPr>
          <w:p w14:paraId="1A802A56" w14:textId="77777777" w:rsidR="00DD74D5" w:rsidRPr="001521F8" w:rsidRDefault="00DD74D5" w:rsidP="00DD74D5">
            <w:pPr>
              <w:spacing w:line="180" w:lineRule="exact"/>
              <w:rPr>
                <w:sz w:val="16"/>
                <w:szCs w:val="16"/>
              </w:rPr>
            </w:pPr>
          </w:p>
        </w:tc>
        <w:tc>
          <w:tcPr>
            <w:tcW w:w="907" w:type="dxa"/>
            <w:tcBorders>
              <w:bottom w:val="single" w:sz="6" w:space="0" w:color="auto"/>
            </w:tcBorders>
            <w:shd w:val="clear" w:color="auto" w:fill="auto"/>
            <w:vAlign w:val="bottom"/>
          </w:tcPr>
          <w:p w14:paraId="41E4EB9A"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062F3BEE" w14:textId="77777777" w:rsidR="00DD74D5" w:rsidRPr="001521F8" w:rsidRDefault="00DD74D5" w:rsidP="00DD74D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5D1AC9CA"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67BC2A4A"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38AF45E7"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371993C6"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6B46D923"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1804F520" w14:textId="77777777" w:rsidR="00DD74D5" w:rsidRPr="001521F8" w:rsidRDefault="00DD74D5" w:rsidP="00DD74D5">
            <w:pPr>
              <w:tabs>
                <w:tab w:val="decimal" w:pos="113"/>
              </w:tabs>
              <w:spacing w:line="180" w:lineRule="exact"/>
              <w:rPr>
                <w:sz w:val="16"/>
                <w:szCs w:val="16"/>
              </w:rPr>
            </w:pPr>
          </w:p>
        </w:tc>
        <w:tc>
          <w:tcPr>
            <w:tcW w:w="1192" w:type="dxa"/>
            <w:tcBorders>
              <w:bottom w:val="single" w:sz="6" w:space="0" w:color="auto"/>
            </w:tcBorders>
            <w:shd w:val="clear" w:color="auto" w:fill="auto"/>
            <w:vAlign w:val="bottom"/>
          </w:tcPr>
          <w:p w14:paraId="113C8533" w14:textId="77777777" w:rsidR="00DD74D5" w:rsidRPr="001521F8" w:rsidRDefault="00DD74D5" w:rsidP="00DD74D5">
            <w:pPr>
              <w:tabs>
                <w:tab w:val="decimal" w:pos="113"/>
              </w:tabs>
              <w:spacing w:line="180" w:lineRule="exact"/>
              <w:rPr>
                <w:sz w:val="16"/>
                <w:szCs w:val="16"/>
                <w:rtl/>
              </w:rPr>
            </w:pPr>
          </w:p>
        </w:tc>
      </w:tr>
      <w:tr w:rsidR="00DD74D5" w:rsidRPr="001521F8" w14:paraId="3EA77204" w14:textId="77777777" w:rsidTr="001521F8">
        <w:tc>
          <w:tcPr>
            <w:tcW w:w="1688" w:type="dxa"/>
            <w:tcBorders>
              <w:top w:val="single" w:sz="6" w:space="0" w:color="auto"/>
            </w:tcBorders>
          </w:tcPr>
          <w:p w14:paraId="690273DA" w14:textId="77777777" w:rsidR="00DD74D5" w:rsidRPr="001521F8" w:rsidRDefault="00DD74D5" w:rsidP="00DD74D5">
            <w:pPr>
              <w:pStyle w:val="a3"/>
              <w:widowControl/>
              <w:spacing w:line="120" w:lineRule="auto"/>
              <w:ind w:left="0"/>
              <w:jc w:val="right"/>
              <w:rPr>
                <w:i/>
                <w:iCs/>
                <w:sz w:val="16"/>
                <w:szCs w:val="16"/>
              </w:rPr>
            </w:pPr>
          </w:p>
        </w:tc>
        <w:tc>
          <w:tcPr>
            <w:tcW w:w="2695" w:type="dxa"/>
            <w:shd w:val="clear" w:color="auto" w:fill="auto"/>
            <w:vAlign w:val="bottom"/>
          </w:tcPr>
          <w:p w14:paraId="1E2359E6" w14:textId="77777777" w:rsidR="00DD74D5" w:rsidRPr="001521F8" w:rsidRDefault="00DD74D5" w:rsidP="00DD74D5">
            <w:pPr>
              <w:pStyle w:val="a3"/>
              <w:widowControl/>
              <w:spacing w:line="120" w:lineRule="auto"/>
              <w:ind w:left="0"/>
              <w:rPr>
                <w:sz w:val="18"/>
                <w:szCs w:val="18"/>
              </w:rPr>
            </w:pPr>
          </w:p>
        </w:tc>
        <w:tc>
          <w:tcPr>
            <w:tcW w:w="113" w:type="dxa"/>
            <w:shd w:val="clear" w:color="auto" w:fill="auto"/>
            <w:vAlign w:val="bottom"/>
          </w:tcPr>
          <w:p w14:paraId="4D3C8F04" w14:textId="77777777" w:rsidR="00DD74D5" w:rsidRPr="001521F8" w:rsidRDefault="00DD74D5" w:rsidP="00DD74D5">
            <w:pPr>
              <w:widowControl/>
              <w:spacing w:line="120" w:lineRule="auto"/>
              <w:rPr>
                <w:sz w:val="16"/>
                <w:szCs w:val="16"/>
              </w:rPr>
            </w:pPr>
          </w:p>
        </w:tc>
        <w:tc>
          <w:tcPr>
            <w:tcW w:w="907" w:type="dxa"/>
            <w:tcBorders>
              <w:top w:val="single" w:sz="6" w:space="0" w:color="auto"/>
            </w:tcBorders>
            <w:vAlign w:val="bottom"/>
          </w:tcPr>
          <w:p w14:paraId="27476AB7"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79D5B549" w14:textId="77777777" w:rsidR="00DD74D5" w:rsidRPr="001521F8" w:rsidRDefault="00DD74D5" w:rsidP="00DD74D5">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1698A450"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78E44F06"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69B8A1B2"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6B202811"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4BADFE6C"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6D0664F3" w14:textId="77777777" w:rsidR="00DD74D5" w:rsidRPr="001521F8" w:rsidRDefault="00DD74D5" w:rsidP="00DD74D5">
            <w:pPr>
              <w:widowControl/>
              <w:tabs>
                <w:tab w:val="decimal" w:pos="113"/>
              </w:tabs>
              <w:spacing w:line="120" w:lineRule="auto"/>
              <w:rPr>
                <w:sz w:val="16"/>
                <w:szCs w:val="16"/>
              </w:rPr>
            </w:pPr>
          </w:p>
        </w:tc>
        <w:tc>
          <w:tcPr>
            <w:tcW w:w="1192" w:type="dxa"/>
            <w:tcBorders>
              <w:top w:val="single" w:sz="6" w:space="0" w:color="auto"/>
            </w:tcBorders>
            <w:shd w:val="clear" w:color="auto" w:fill="auto"/>
            <w:vAlign w:val="bottom"/>
          </w:tcPr>
          <w:p w14:paraId="295BB7D0" w14:textId="77777777" w:rsidR="00DD74D5" w:rsidRPr="001521F8" w:rsidRDefault="00DD74D5" w:rsidP="00DD74D5">
            <w:pPr>
              <w:widowControl/>
              <w:tabs>
                <w:tab w:val="decimal" w:pos="113"/>
              </w:tabs>
              <w:spacing w:line="120" w:lineRule="auto"/>
              <w:rPr>
                <w:sz w:val="16"/>
                <w:szCs w:val="16"/>
                <w:rtl/>
              </w:rPr>
            </w:pPr>
          </w:p>
        </w:tc>
      </w:tr>
      <w:tr w:rsidR="00DD74D5" w:rsidRPr="001521F8" w14:paraId="6D7AC37C" w14:textId="77777777" w:rsidTr="001521F8">
        <w:tc>
          <w:tcPr>
            <w:tcW w:w="1688" w:type="dxa"/>
            <w:tcBorders>
              <w:bottom w:val="single" w:sz="6" w:space="0" w:color="auto"/>
              <w:right w:val="single" w:sz="6" w:space="0" w:color="auto"/>
            </w:tcBorders>
          </w:tcPr>
          <w:p w14:paraId="38CDD9EC" w14:textId="77777777" w:rsidR="00DD74D5" w:rsidRPr="001521F8" w:rsidRDefault="00DD74D5" w:rsidP="00DD74D5">
            <w:pPr>
              <w:bidi w:val="0"/>
              <w:spacing w:line="180" w:lineRule="exact"/>
              <w:ind w:right="57"/>
              <w:jc w:val="right"/>
              <w:rPr>
                <w:i/>
                <w:iCs/>
                <w:sz w:val="16"/>
                <w:szCs w:val="16"/>
                <w:rtl/>
              </w:rPr>
            </w:pPr>
            <w:r w:rsidRPr="001521F8">
              <w:rPr>
                <w:i/>
                <w:iCs/>
                <w:sz w:val="16"/>
                <w:szCs w:val="16"/>
              </w:rPr>
              <w:t>IAS 1.85</w:t>
            </w:r>
          </w:p>
        </w:tc>
        <w:tc>
          <w:tcPr>
            <w:tcW w:w="2695" w:type="dxa"/>
            <w:tcBorders>
              <w:left w:val="single" w:sz="6" w:space="0" w:color="auto"/>
            </w:tcBorders>
            <w:shd w:val="clear" w:color="auto" w:fill="auto"/>
            <w:vAlign w:val="bottom"/>
          </w:tcPr>
          <w:p w14:paraId="4C2DFDBD" w14:textId="77777777" w:rsidR="00DD74D5" w:rsidRPr="001521F8" w:rsidRDefault="00DD74D5" w:rsidP="00DD74D5">
            <w:pPr>
              <w:spacing w:line="180" w:lineRule="exact"/>
              <w:ind w:left="227" w:hanging="170"/>
              <w:jc w:val="left"/>
              <w:rPr>
                <w:sz w:val="18"/>
                <w:szCs w:val="18"/>
              </w:rPr>
            </w:pPr>
            <w:r w:rsidRPr="001521F8">
              <w:rPr>
                <w:rFonts w:hint="cs"/>
                <w:sz w:val="18"/>
                <w:szCs w:val="18"/>
                <w:rtl/>
              </w:rPr>
              <w:t>רווח (הפסד) מפעילויות נמשכות</w:t>
            </w:r>
          </w:p>
        </w:tc>
        <w:tc>
          <w:tcPr>
            <w:tcW w:w="113" w:type="dxa"/>
            <w:shd w:val="clear" w:color="auto" w:fill="auto"/>
            <w:vAlign w:val="bottom"/>
          </w:tcPr>
          <w:p w14:paraId="1B6C0EAF" w14:textId="77777777" w:rsidR="00DD74D5" w:rsidRPr="001521F8" w:rsidRDefault="00DD74D5" w:rsidP="00DD74D5">
            <w:pPr>
              <w:spacing w:line="180" w:lineRule="exact"/>
              <w:rPr>
                <w:sz w:val="16"/>
                <w:szCs w:val="16"/>
              </w:rPr>
            </w:pPr>
          </w:p>
        </w:tc>
        <w:tc>
          <w:tcPr>
            <w:tcW w:w="907" w:type="dxa"/>
            <w:shd w:val="clear" w:color="auto" w:fill="auto"/>
            <w:vAlign w:val="bottom"/>
          </w:tcPr>
          <w:p w14:paraId="1B7C0CF1"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01094A54"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5C7524A6"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150BCDA0"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00DC1F7D"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17B09FE8"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6DF3422C"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283E94D9"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03E118A2" w14:textId="77777777" w:rsidR="00DD74D5" w:rsidRPr="001521F8" w:rsidRDefault="00DD74D5" w:rsidP="00DD74D5">
            <w:pPr>
              <w:tabs>
                <w:tab w:val="decimal" w:pos="113"/>
              </w:tabs>
              <w:spacing w:line="180" w:lineRule="exact"/>
              <w:rPr>
                <w:sz w:val="16"/>
                <w:szCs w:val="16"/>
                <w:rtl/>
              </w:rPr>
            </w:pPr>
          </w:p>
        </w:tc>
      </w:tr>
      <w:tr w:rsidR="00DD74D5" w:rsidRPr="001521F8" w14:paraId="2AD97E5E" w14:textId="77777777" w:rsidTr="001521F8">
        <w:tc>
          <w:tcPr>
            <w:tcW w:w="1688" w:type="dxa"/>
            <w:tcBorders>
              <w:top w:val="single" w:sz="6" w:space="0" w:color="auto"/>
              <w:bottom w:val="single" w:sz="6" w:space="0" w:color="auto"/>
              <w:right w:val="single" w:sz="6" w:space="0" w:color="auto"/>
            </w:tcBorders>
          </w:tcPr>
          <w:p w14:paraId="19AA5493" w14:textId="77777777" w:rsidR="00DD74D5" w:rsidRPr="001521F8" w:rsidRDefault="00DD74D5" w:rsidP="00DD74D5">
            <w:pPr>
              <w:widowControl/>
              <w:spacing w:line="180" w:lineRule="exact"/>
              <w:jc w:val="left"/>
              <w:rPr>
                <w:i/>
                <w:iCs/>
                <w:sz w:val="16"/>
                <w:szCs w:val="16"/>
                <w:rtl/>
              </w:rPr>
            </w:pPr>
            <w:r w:rsidRPr="001521F8">
              <w:rPr>
                <w:i/>
                <w:iCs/>
                <w:sz w:val="16"/>
                <w:szCs w:val="16"/>
              </w:rPr>
              <w:t>IAS 1.82(e); IFRS 5.33(a)</w:t>
            </w:r>
          </w:p>
        </w:tc>
        <w:tc>
          <w:tcPr>
            <w:tcW w:w="2695" w:type="dxa"/>
            <w:tcBorders>
              <w:left w:val="single" w:sz="6" w:space="0" w:color="auto"/>
            </w:tcBorders>
            <w:shd w:val="clear" w:color="auto" w:fill="auto"/>
            <w:vAlign w:val="bottom"/>
          </w:tcPr>
          <w:p w14:paraId="367B4DDD" w14:textId="77777777" w:rsidR="00DD74D5" w:rsidRPr="001521F8" w:rsidRDefault="00DD74D5" w:rsidP="00DD74D5">
            <w:pPr>
              <w:spacing w:line="180" w:lineRule="exact"/>
              <w:ind w:left="227" w:hanging="170"/>
              <w:jc w:val="left"/>
              <w:rPr>
                <w:sz w:val="18"/>
                <w:szCs w:val="18"/>
              </w:rPr>
            </w:pPr>
            <w:r w:rsidRPr="001521F8">
              <w:rPr>
                <w:rFonts w:hint="cs"/>
                <w:sz w:val="18"/>
                <w:szCs w:val="18"/>
                <w:rtl/>
              </w:rPr>
              <w:t>רווח (הפסד) מפעילויות שהופסקו, נטו</w:t>
            </w:r>
          </w:p>
        </w:tc>
        <w:tc>
          <w:tcPr>
            <w:tcW w:w="113" w:type="dxa"/>
            <w:shd w:val="clear" w:color="auto" w:fill="auto"/>
            <w:vAlign w:val="bottom"/>
          </w:tcPr>
          <w:p w14:paraId="3366F58C" w14:textId="77777777" w:rsidR="00DD74D5" w:rsidRPr="001521F8" w:rsidRDefault="00DD74D5" w:rsidP="00DD74D5">
            <w:pPr>
              <w:spacing w:line="180" w:lineRule="exact"/>
              <w:rPr>
                <w:sz w:val="16"/>
                <w:szCs w:val="16"/>
              </w:rPr>
            </w:pPr>
          </w:p>
        </w:tc>
        <w:tc>
          <w:tcPr>
            <w:tcW w:w="907" w:type="dxa"/>
            <w:tcBorders>
              <w:bottom w:val="single" w:sz="6" w:space="0" w:color="auto"/>
            </w:tcBorders>
            <w:shd w:val="clear" w:color="auto" w:fill="auto"/>
            <w:vAlign w:val="bottom"/>
          </w:tcPr>
          <w:p w14:paraId="0FE6C2AB"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22C6E68D" w14:textId="77777777" w:rsidR="00DD74D5" w:rsidRPr="001521F8" w:rsidRDefault="00DD74D5" w:rsidP="00DD74D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43876D30"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3D74AC98"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400E1B1C"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7832DD7B"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5267AF7E"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6EC45FB2" w14:textId="77777777" w:rsidR="00DD74D5" w:rsidRPr="001521F8" w:rsidRDefault="00DD74D5" w:rsidP="00DD74D5">
            <w:pPr>
              <w:tabs>
                <w:tab w:val="decimal" w:pos="113"/>
              </w:tabs>
              <w:spacing w:line="180" w:lineRule="exact"/>
              <w:rPr>
                <w:sz w:val="16"/>
                <w:szCs w:val="16"/>
              </w:rPr>
            </w:pPr>
          </w:p>
        </w:tc>
        <w:tc>
          <w:tcPr>
            <w:tcW w:w="1192" w:type="dxa"/>
            <w:tcBorders>
              <w:bottom w:val="single" w:sz="6" w:space="0" w:color="auto"/>
            </w:tcBorders>
            <w:shd w:val="clear" w:color="auto" w:fill="auto"/>
            <w:vAlign w:val="bottom"/>
          </w:tcPr>
          <w:p w14:paraId="7E981138" w14:textId="77777777" w:rsidR="00DD74D5" w:rsidRPr="001521F8" w:rsidRDefault="00DD74D5" w:rsidP="00DD74D5">
            <w:pPr>
              <w:tabs>
                <w:tab w:val="decimal" w:pos="113"/>
              </w:tabs>
              <w:spacing w:line="180" w:lineRule="exact"/>
              <w:rPr>
                <w:sz w:val="16"/>
                <w:szCs w:val="16"/>
                <w:rtl/>
              </w:rPr>
            </w:pPr>
          </w:p>
        </w:tc>
      </w:tr>
      <w:tr w:rsidR="00DD74D5" w:rsidRPr="001521F8" w14:paraId="377D3919" w14:textId="77777777" w:rsidTr="001521F8">
        <w:tc>
          <w:tcPr>
            <w:tcW w:w="1688" w:type="dxa"/>
            <w:tcBorders>
              <w:top w:val="single" w:sz="6" w:space="0" w:color="auto"/>
            </w:tcBorders>
          </w:tcPr>
          <w:p w14:paraId="74D19AB6" w14:textId="77777777" w:rsidR="00DD74D5" w:rsidRPr="001521F8" w:rsidRDefault="00DD74D5" w:rsidP="00DD74D5">
            <w:pPr>
              <w:widowControl/>
              <w:spacing w:line="120" w:lineRule="auto"/>
              <w:jc w:val="right"/>
              <w:rPr>
                <w:i/>
                <w:iCs/>
                <w:sz w:val="16"/>
                <w:szCs w:val="16"/>
                <w:rtl/>
              </w:rPr>
            </w:pPr>
          </w:p>
        </w:tc>
        <w:tc>
          <w:tcPr>
            <w:tcW w:w="2695" w:type="dxa"/>
            <w:shd w:val="clear" w:color="auto" w:fill="auto"/>
            <w:vAlign w:val="bottom"/>
          </w:tcPr>
          <w:p w14:paraId="28292BA9" w14:textId="77777777" w:rsidR="00DD74D5" w:rsidRPr="001521F8" w:rsidRDefault="00DD74D5" w:rsidP="00DD74D5">
            <w:pPr>
              <w:widowControl/>
              <w:spacing w:line="120" w:lineRule="auto"/>
              <w:jc w:val="left"/>
              <w:rPr>
                <w:sz w:val="18"/>
                <w:szCs w:val="18"/>
                <w:rtl/>
              </w:rPr>
            </w:pPr>
          </w:p>
        </w:tc>
        <w:tc>
          <w:tcPr>
            <w:tcW w:w="113" w:type="dxa"/>
            <w:shd w:val="clear" w:color="auto" w:fill="auto"/>
            <w:vAlign w:val="bottom"/>
          </w:tcPr>
          <w:p w14:paraId="4E7CA977" w14:textId="77777777" w:rsidR="00DD74D5" w:rsidRPr="001521F8" w:rsidRDefault="00DD74D5" w:rsidP="00DD74D5">
            <w:pPr>
              <w:widowControl/>
              <w:spacing w:line="120" w:lineRule="auto"/>
              <w:rPr>
                <w:sz w:val="16"/>
                <w:szCs w:val="16"/>
              </w:rPr>
            </w:pPr>
          </w:p>
        </w:tc>
        <w:tc>
          <w:tcPr>
            <w:tcW w:w="907" w:type="dxa"/>
            <w:tcBorders>
              <w:top w:val="single" w:sz="6" w:space="0" w:color="auto"/>
            </w:tcBorders>
            <w:vAlign w:val="bottom"/>
          </w:tcPr>
          <w:p w14:paraId="1F7E277A"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45BD46B7" w14:textId="77777777" w:rsidR="00DD74D5" w:rsidRPr="001521F8" w:rsidRDefault="00DD74D5" w:rsidP="00DD74D5">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094EBAB1"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2C5CD478"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004FD3F8"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11837271"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7ACA0602"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33556256" w14:textId="77777777" w:rsidR="00DD74D5" w:rsidRPr="001521F8" w:rsidRDefault="00DD74D5" w:rsidP="00DD74D5">
            <w:pPr>
              <w:widowControl/>
              <w:tabs>
                <w:tab w:val="decimal" w:pos="113"/>
              </w:tabs>
              <w:spacing w:line="120" w:lineRule="auto"/>
              <w:rPr>
                <w:sz w:val="16"/>
                <w:szCs w:val="16"/>
              </w:rPr>
            </w:pPr>
          </w:p>
        </w:tc>
        <w:tc>
          <w:tcPr>
            <w:tcW w:w="1192" w:type="dxa"/>
            <w:tcBorders>
              <w:top w:val="single" w:sz="6" w:space="0" w:color="auto"/>
            </w:tcBorders>
            <w:shd w:val="clear" w:color="auto" w:fill="auto"/>
            <w:vAlign w:val="bottom"/>
          </w:tcPr>
          <w:p w14:paraId="6DAA409A" w14:textId="77777777" w:rsidR="00DD74D5" w:rsidRPr="001521F8" w:rsidRDefault="00DD74D5" w:rsidP="00DD74D5">
            <w:pPr>
              <w:widowControl/>
              <w:tabs>
                <w:tab w:val="decimal" w:pos="113"/>
              </w:tabs>
              <w:spacing w:line="120" w:lineRule="auto"/>
              <w:rPr>
                <w:sz w:val="16"/>
                <w:szCs w:val="16"/>
                <w:rtl/>
              </w:rPr>
            </w:pPr>
          </w:p>
        </w:tc>
      </w:tr>
      <w:tr w:rsidR="00DD74D5" w:rsidRPr="001521F8" w14:paraId="03636279" w14:textId="77777777" w:rsidTr="001521F8">
        <w:tc>
          <w:tcPr>
            <w:tcW w:w="1688" w:type="dxa"/>
            <w:tcBorders>
              <w:bottom w:val="single" w:sz="6" w:space="0" w:color="auto"/>
              <w:right w:val="single" w:sz="6" w:space="0" w:color="auto"/>
            </w:tcBorders>
          </w:tcPr>
          <w:p w14:paraId="5A045650" w14:textId="77777777" w:rsidR="00DD74D5" w:rsidRPr="001521F8" w:rsidRDefault="00DD74D5" w:rsidP="00DD74D5">
            <w:pPr>
              <w:bidi w:val="0"/>
              <w:spacing w:line="180" w:lineRule="exact"/>
              <w:ind w:right="57"/>
              <w:jc w:val="right"/>
              <w:rPr>
                <w:i/>
                <w:iCs/>
                <w:sz w:val="16"/>
                <w:szCs w:val="16"/>
                <w:rtl/>
              </w:rPr>
            </w:pPr>
            <w:r w:rsidRPr="001521F8">
              <w:rPr>
                <w:i/>
                <w:iCs/>
                <w:sz w:val="16"/>
                <w:szCs w:val="16"/>
              </w:rPr>
              <w:t>IAS 1.82(f)</w:t>
            </w:r>
          </w:p>
        </w:tc>
        <w:tc>
          <w:tcPr>
            <w:tcW w:w="2695" w:type="dxa"/>
            <w:tcBorders>
              <w:left w:val="single" w:sz="6" w:space="0" w:color="auto"/>
            </w:tcBorders>
            <w:shd w:val="clear" w:color="auto" w:fill="auto"/>
            <w:vAlign w:val="bottom"/>
          </w:tcPr>
          <w:p w14:paraId="737019EB" w14:textId="77777777" w:rsidR="00DD74D5" w:rsidRPr="001521F8" w:rsidRDefault="00DD74D5" w:rsidP="00DD74D5">
            <w:pPr>
              <w:spacing w:line="180" w:lineRule="exact"/>
              <w:ind w:left="227" w:hanging="170"/>
              <w:jc w:val="left"/>
              <w:rPr>
                <w:sz w:val="18"/>
                <w:szCs w:val="18"/>
              </w:rPr>
            </w:pPr>
            <w:r w:rsidRPr="001521F8">
              <w:rPr>
                <w:rFonts w:hint="cs"/>
                <w:sz w:val="18"/>
                <w:szCs w:val="18"/>
                <w:rtl/>
              </w:rPr>
              <w:t xml:space="preserve">רווח נקי (הפסד) </w:t>
            </w:r>
          </w:p>
        </w:tc>
        <w:tc>
          <w:tcPr>
            <w:tcW w:w="113" w:type="dxa"/>
            <w:shd w:val="clear" w:color="auto" w:fill="auto"/>
            <w:vAlign w:val="bottom"/>
          </w:tcPr>
          <w:p w14:paraId="2E9F4AED" w14:textId="77777777" w:rsidR="00DD74D5" w:rsidRPr="001521F8" w:rsidRDefault="00DD74D5" w:rsidP="00DD74D5">
            <w:pPr>
              <w:spacing w:line="180" w:lineRule="exact"/>
              <w:rPr>
                <w:sz w:val="16"/>
                <w:szCs w:val="16"/>
              </w:rPr>
            </w:pPr>
          </w:p>
        </w:tc>
        <w:tc>
          <w:tcPr>
            <w:tcW w:w="907" w:type="dxa"/>
            <w:tcBorders>
              <w:bottom w:val="double" w:sz="6" w:space="0" w:color="auto"/>
            </w:tcBorders>
            <w:shd w:val="clear" w:color="auto" w:fill="auto"/>
            <w:vAlign w:val="bottom"/>
          </w:tcPr>
          <w:p w14:paraId="300A37FF"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1312F992" w14:textId="77777777" w:rsidR="00DD74D5" w:rsidRPr="001521F8" w:rsidRDefault="00DD74D5" w:rsidP="00DD74D5">
            <w:pPr>
              <w:tabs>
                <w:tab w:val="decimal" w:pos="113"/>
              </w:tabs>
              <w:spacing w:line="180" w:lineRule="exact"/>
              <w:rPr>
                <w:sz w:val="16"/>
                <w:szCs w:val="16"/>
              </w:rPr>
            </w:pPr>
          </w:p>
        </w:tc>
        <w:tc>
          <w:tcPr>
            <w:tcW w:w="907" w:type="dxa"/>
            <w:gridSpan w:val="2"/>
            <w:tcBorders>
              <w:bottom w:val="double" w:sz="6" w:space="0" w:color="auto"/>
            </w:tcBorders>
            <w:shd w:val="clear" w:color="auto" w:fill="auto"/>
            <w:vAlign w:val="bottom"/>
          </w:tcPr>
          <w:p w14:paraId="59FD17E6"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5D8AC5CB" w14:textId="77777777" w:rsidR="00DD74D5" w:rsidRPr="001521F8" w:rsidRDefault="00DD74D5" w:rsidP="00DD74D5">
            <w:pPr>
              <w:tabs>
                <w:tab w:val="decimal" w:pos="113"/>
              </w:tabs>
              <w:spacing w:line="180" w:lineRule="exact"/>
              <w:rPr>
                <w:sz w:val="16"/>
                <w:szCs w:val="16"/>
              </w:rPr>
            </w:pPr>
          </w:p>
        </w:tc>
        <w:tc>
          <w:tcPr>
            <w:tcW w:w="907" w:type="dxa"/>
            <w:tcBorders>
              <w:bottom w:val="double" w:sz="6" w:space="0" w:color="auto"/>
            </w:tcBorders>
            <w:shd w:val="clear" w:color="auto" w:fill="auto"/>
            <w:vAlign w:val="bottom"/>
          </w:tcPr>
          <w:p w14:paraId="2FD2E486"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4895B21C" w14:textId="77777777" w:rsidR="00DD74D5" w:rsidRPr="001521F8" w:rsidRDefault="00DD74D5" w:rsidP="00DD74D5">
            <w:pPr>
              <w:tabs>
                <w:tab w:val="decimal" w:pos="113"/>
              </w:tabs>
              <w:spacing w:line="180" w:lineRule="exact"/>
              <w:rPr>
                <w:sz w:val="16"/>
                <w:szCs w:val="16"/>
              </w:rPr>
            </w:pPr>
          </w:p>
        </w:tc>
        <w:tc>
          <w:tcPr>
            <w:tcW w:w="907" w:type="dxa"/>
            <w:tcBorders>
              <w:bottom w:val="double" w:sz="6" w:space="0" w:color="auto"/>
            </w:tcBorders>
            <w:shd w:val="clear" w:color="auto" w:fill="auto"/>
            <w:vAlign w:val="bottom"/>
          </w:tcPr>
          <w:p w14:paraId="31DEB650"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4804E23F" w14:textId="77777777" w:rsidR="00DD74D5" w:rsidRPr="001521F8" w:rsidRDefault="00DD74D5" w:rsidP="00DD74D5">
            <w:pPr>
              <w:tabs>
                <w:tab w:val="decimal" w:pos="113"/>
              </w:tabs>
              <w:spacing w:line="180" w:lineRule="exact"/>
              <w:rPr>
                <w:sz w:val="16"/>
                <w:szCs w:val="16"/>
              </w:rPr>
            </w:pPr>
          </w:p>
        </w:tc>
        <w:tc>
          <w:tcPr>
            <w:tcW w:w="1192" w:type="dxa"/>
            <w:tcBorders>
              <w:bottom w:val="double" w:sz="6" w:space="0" w:color="auto"/>
            </w:tcBorders>
            <w:shd w:val="clear" w:color="auto" w:fill="auto"/>
            <w:vAlign w:val="bottom"/>
          </w:tcPr>
          <w:p w14:paraId="7E6853CA" w14:textId="77777777" w:rsidR="00DD74D5" w:rsidRPr="001521F8" w:rsidRDefault="00DD74D5" w:rsidP="00DD74D5">
            <w:pPr>
              <w:tabs>
                <w:tab w:val="decimal" w:pos="113"/>
              </w:tabs>
              <w:spacing w:line="180" w:lineRule="exact"/>
              <w:rPr>
                <w:sz w:val="16"/>
                <w:szCs w:val="16"/>
                <w:rtl/>
              </w:rPr>
            </w:pPr>
          </w:p>
        </w:tc>
      </w:tr>
      <w:tr w:rsidR="00DD74D5" w:rsidRPr="001521F8" w14:paraId="6A6B702C" w14:textId="77777777" w:rsidTr="001521F8">
        <w:tc>
          <w:tcPr>
            <w:tcW w:w="1688" w:type="dxa"/>
            <w:tcBorders>
              <w:top w:val="single" w:sz="6" w:space="0" w:color="auto"/>
            </w:tcBorders>
          </w:tcPr>
          <w:p w14:paraId="16C579A0" w14:textId="77777777" w:rsidR="00DD74D5" w:rsidRPr="001521F8" w:rsidRDefault="00DD74D5" w:rsidP="00DD74D5">
            <w:pPr>
              <w:widowControl/>
              <w:spacing w:line="120" w:lineRule="auto"/>
              <w:jc w:val="right"/>
              <w:rPr>
                <w:i/>
                <w:iCs/>
                <w:sz w:val="16"/>
                <w:szCs w:val="16"/>
                <w:rtl/>
              </w:rPr>
            </w:pPr>
          </w:p>
        </w:tc>
        <w:tc>
          <w:tcPr>
            <w:tcW w:w="2695" w:type="dxa"/>
            <w:shd w:val="clear" w:color="auto" w:fill="auto"/>
            <w:vAlign w:val="bottom"/>
          </w:tcPr>
          <w:p w14:paraId="30D7B569" w14:textId="77777777" w:rsidR="00DD74D5" w:rsidRPr="001521F8" w:rsidRDefault="00DD74D5" w:rsidP="00DD74D5">
            <w:pPr>
              <w:pStyle w:val="a3"/>
              <w:widowControl/>
              <w:tabs>
                <w:tab w:val="left" w:pos="227"/>
                <w:tab w:val="left" w:pos="397"/>
                <w:tab w:val="left" w:pos="567"/>
              </w:tabs>
              <w:spacing w:line="120" w:lineRule="auto"/>
              <w:ind w:left="0"/>
              <w:rPr>
                <w:sz w:val="18"/>
                <w:szCs w:val="18"/>
                <w:u w:val="single"/>
              </w:rPr>
            </w:pPr>
          </w:p>
        </w:tc>
        <w:tc>
          <w:tcPr>
            <w:tcW w:w="113" w:type="dxa"/>
            <w:shd w:val="clear" w:color="auto" w:fill="auto"/>
            <w:vAlign w:val="bottom"/>
          </w:tcPr>
          <w:p w14:paraId="5E573F28" w14:textId="77777777" w:rsidR="00DD74D5" w:rsidRPr="001521F8" w:rsidRDefault="00DD74D5" w:rsidP="00DD74D5">
            <w:pPr>
              <w:widowControl/>
              <w:spacing w:line="120" w:lineRule="auto"/>
              <w:rPr>
                <w:sz w:val="16"/>
                <w:szCs w:val="16"/>
              </w:rPr>
            </w:pPr>
          </w:p>
        </w:tc>
        <w:tc>
          <w:tcPr>
            <w:tcW w:w="907" w:type="dxa"/>
            <w:tcBorders>
              <w:top w:val="double" w:sz="6" w:space="0" w:color="auto"/>
            </w:tcBorders>
            <w:vAlign w:val="bottom"/>
          </w:tcPr>
          <w:p w14:paraId="541EBC58"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3A2C5B81" w14:textId="77777777" w:rsidR="00DD74D5" w:rsidRPr="001521F8" w:rsidRDefault="00DD74D5" w:rsidP="00DD74D5">
            <w:pPr>
              <w:widowControl/>
              <w:tabs>
                <w:tab w:val="decimal" w:pos="113"/>
              </w:tabs>
              <w:spacing w:line="120" w:lineRule="auto"/>
              <w:rPr>
                <w:sz w:val="16"/>
                <w:szCs w:val="16"/>
              </w:rPr>
            </w:pPr>
          </w:p>
        </w:tc>
        <w:tc>
          <w:tcPr>
            <w:tcW w:w="907" w:type="dxa"/>
            <w:gridSpan w:val="2"/>
            <w:tcBorders>
              <w:top w:val="double" w:sz="6" w:space="0" w:color="auto"/>
            </w:tcBorders>
            <w:shd w:val="clear" w:color="auto" w:fill="auto"/>
            <w:vAlign w:val="bottom"/>
          </w:tcPr>
          <w:p w14:paraId="52BF2E0B"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0B562F18" w14:textId="77777777" w:rsidR="00DD74D5" w:rsidRPr="001521F8" w:rsidRDefault="00DD74D5" w:rsidP="00DD74D5">
            <w:pPr>
              <w:widowControl/>
              <w:tabs>
                <w:tab w:val="decimal" w:pos="113"/>
              </w:tabs>
              <w:spacing w:line="120" w:lineRule="auto"/>
              <w:rPr>
                <w:sz w:val="16"/>
                <w:szCs w:val="16"/>
              </w:rPr>
            </w:pPr>
          </w:p>
        </w:tc>
        <w:tc>
          <w:tcPr>
            <w:tcW w:w="907" w:type="dxa"/>
            <w:tcBorders>
              <w:top w:val="double" w:sz="6" w:space="0" w:color="auto"/>
            </w:tcBorders>
            <w:shd w:val="clear" w:color="auto" w:fill="auto"/>
            <w:vAlign w:val="bottom"/>
          </w:tcPr>
          <w:p w14:paraId="0459700F"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762C95BC" w14:textId="77777777" w:rsidR="00DD74D5" w:rsidRPr="001521F8" w:rsidRDefault="00DD74D5" w:rsidP="00DD74D5">
            <w:pPr>
              <w:widowControl/>
              <w:tabs>
                <w:tab w:val="decimal" w:pos="113"/>
              </w:tabs>
              <w:spacing w:line="120" w:lineRule="auto"/>
              <w:rPr>
                <w:sz w:val="16"/>
                <w:szCs w:val="16"/>
              </w:rPr>
            </w:pPr>
          </w:p>
        </w:tc>
        <w:tc>
          <w:tcPr>
            <w:tcW w:w="907" w:type="dxa"/>
            <w:tcBorders>
              <w:top w:val="double" w:sz="6" w:space="0" w:color="auto"/>
            </w:tcBorders>
            <w:shd w:val="clear" w:color="auto" w:fill="auto"/>
            <w:vAlign w:val="bottom"/>
          </w:tcPr>
          <w:p w14:paraId="27794688"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7293A559" w14:textId="77777777" w:rsidR="00DD74D5" w:rsidRPr="001521F8" w:rsidRDefault="00DD74D5" w:rsidP="00DD74D5">
            <w:pPr>
              <w:widowControl/>
              <w:tabs>
                <w:tab w:val="decimal" w:pos="113"/>
              </w:tabs>
              <w:spacing w:line="120" w:lineRule="auto"/>
              <w:rPr>
                <w:sz w:val="16"/>
                <w:szCs w:val="16"/>
              </w:rPr>
            </w:pPr>
          </w:p>
        </w:tc>
        <w:tc>
          <w:tcPr>
            <w:tcW w:w="1192" w:type="dxa"/>
            <w:tcBorders>
              <w:top w:val="double" w:sz="6" w:space="0" w:color="auto"/>
            </w:tcBorders>
            <w:shd w:val="clear" w:color="auto" w:fill="auto"/>
            <w:vAlign w:val="bottom"/>
          </w:tcPr>
          <w:p w14:paraId="253B2E49" w14:textId="77777777" w:rsidR="00DD74D5" w:rsidRPr="001521F8" w:rsidRDefault="00DD74D5" w:rsidP="00DD74D5">
            <w:pPr>
              <w:widowControl/>
              <w:tabs>
                <w:tab w:val="decimal" w:pos="113"/>
              </w:tabs>
              <w:spacing w:line="120" w:lineRule="auto"/>
              <w:rPr>
                <w:sz w:val="16"/>
                <w:szCs w:val="16"/>
                <w:rtl/>
              </w:rPr>
            </w:pPr>
          </w:p>
        </w:tc>
      </w:tr>
      <w:tr w:rsidR="00DD74D5" w:rsidRPr="001521F8" w14:paraId="38E0775F" w14:textId="77777777" w:rsidTr="001521F8">
        <w:tc>
          <w:tcPr>
            <w:tcW w:w="1688" w:type="dxa"/>
          </w:tcPr>
          <w:p w14:paraId="36BB3707" w14:textId="77777777" w:rsidR="00DD74D5" w:rsidRPr="001521F8" w:rsidRDefault="00DD74D5" w:rsidP="00DD74D5">
            <w:pPr>
              <w:bidi w:val="0"/>
              <w:spacing w:line="180" w:lineRule="exact"/>
              <w:ind w:right="57"/>
              <w:jc w:val="right"/>
              <w:rPr>
                <w:i/>
                <w:iCs/>
                <w:sz w:val="16"/>
                <w:szCs w:val="16"/>
                <w:rtl/>
              </w:rPr>
            </w:pPr>
          </w:p>
        </w:tc>
        <w:tc>
          <w:tcPr>
            <w:tcW w:w="2695" w:type="dxa"/>
            <w:shd w:val="clear" w:color="auto" w:fill="auto"/>
            <w:vAlign w:val="bottom"/>
          </w:tcPr>
          <w:p w14:paraId="473AE8BA" w14:textId="77777777" w:rsidR="00DD74D5" w:rsidRPr="001521F8" w:rsidRDefault="00DD74D5" w:rsidP="00DD74D5">
            <w:pPr>
              <w:spacing w:line="180" w:lineRule="exact"/>
              <w:ind w:left="227" w:hanging="170"/>
              <w:jc w:val="left"/>
              <w:rPr>
                <w:sz w:val="18"/>
                <w:szCs w:val="18"/>
              </w:rPr>
            </w:pPr>
            <w:r w:rsidRPr="001521F8">
              <w:rPr>
                <w:rFonts w:hint="cs"/>
                <w:sz w:val="18"/>
                <w:szCs w:val="18"/>
                <w:rtl/>
              </w:rPr>
              <w:t>מיוחס ל:</w:t>
            </w:r>
          </w:p>
        </w:tc>
        <w:tc>
          <w:tcPr>
            <w:tcW w:w="113" w:type="dxa"/>
            <w:shd w:val="clear" w:color="auto" w:fill="auto"/>
            <w:vAlign w:val="bottom"/>
          </w:tcPr>
          <w:p w14:paraId="39FEF19A" w14:textId="77777777" w:rsidR="00DD74D5" w:rsidRPr="001521F8" w:rsidRDefault="00DD74D5" w:rsidP="00DD74D5">
            <w:pPr>
              <w:spacing w:line="180" w:lineRule="exact"/>
              <w:rPr>
                <w:sz w:val="16"/>
                <w:szCs w:val="16"/>
              </w:rPr>
            </w:pPr>
          </w:p>
        </w:tc>
        <w:tc>
          <w:tcPr>
            <w:tcW w:w="907" w:type="dxa"/>
            <w:vAlign w:val="bottom"/>
          </w:tcPr>
          <w:p w14:paraId="0487661C"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5964E662"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0EE72FDF"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56243190"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458E39F4"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7C521AE8"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74DF2B3E"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308AD832"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5994B494" w14:textId="77777777" w:rsidR="00DD74D5" w:rsidRPr="001521F8" w:rsidRDefault="00DD74D5" w:rsidP="00DD74D5">
            <w:pPr>
              <w:tabs>
                <w:tab w:val="decimal" w:pos="113"/>
              </w:tabs>
              <w:spacing w:line="180" w:lineRule="exact"/>
              <w:rPr>
                <w:sz w:val="16"/>
                <w:szCs w:val="16"/>
                <w:rtl/>
              </w:rPr>
            </w:pPr>
          </w:p>
        </w:tc>
      </w:tr>
      <w:tr w:rsidR="00DD74D5" w:rsidRPr="001521F8" w14:paraId="17EB4E0E" w14:textId="77777777" w:rsidTr="001521F8">
        <w:tc>
          <w:tcPr>
            <w:tcW w:w="1688" w:type="dxa"/>
            <w:tcBorders>
              <w:bottom w:val="single" w:sz="6" w:space="0" w:color="auto"/>
              <w:right w:val="single" w:sz="6" w:space="0" w:color="auto"/>
            </w:tcBorders>
          </w:tcPr>
          <w:p w14:paraId="165036AE" w14:textId="77777777" w:rsidR="00DD74D5" w:rsidRPr="001521F8" w:rsidRDefault="00DD74D5" w:rsidP="00DD74D5">
            <w:pPr>
              <w:bidi w:val="0"/>
              <w:spacing w:line="180" w:lineRule="exact"/>
              <w:ind w:right="57"/>
              <w:jc w:val="right"/>
              <w:rPr>
                <w:i/>
                <w:iCs/>
                <w:sz w:val="16"/>
                <w:szCs w:val="16"/>
              </w:rPr>
            </w:pPr>
            <w:r w:rsidRPr="001521F8">
              <w:rPr>
                <w:i/>
                <w:iCs/>
                <w:sz w:val="16"/>
                <w:szCs w:val="16"/>
              </w:rPr>
              <w:t>IAS 1.83(a)(ii)</w:t>
            </w:r>
          </w:p>
        </w:tc>
        <w:tc>
          <w:tcPr>
            <w:tcW w:w="2695" w:type="dxa"/>
            <w:tcBorders>
              <w:left w:val="single" w:sz="6" w:space="0" w:color="auto"/>
            </w:tcBorders>
            <w:shd w:val="clear" w:color="auto" w:fill="auto"/>
            <w:vAlign w:val="bottom"/>
          </w:tcPr>
          <w:p w14:paraId="1E4E6969" w14:textId="77777777" w:rsidR="00DD74D5" w:rsidRPr="001521F8" w:rsidRDefault="00DD74D5" w:rsidP="00DD74D5">
            <w:pPr>
              <w:spacing w:line="180" w:lineRule="exact"/>
              <w:ind w:left="227" w:hanging="170"/>
              <w:jc w:val="left"/>
              <w:rPr>
                <w:sz w:val="18"/>
                <w:szCs w:val="18"/>
              </w:rPr>
            </w:pPr>
            <w:r w:rsidRPr="001521F8">
              <w:rPr>
                <w:rFonts w:hint="cs"/>
                <w:sz w:val="18"/>
                <w:szCs w:val="18"/>
                <w:rtl/>
              </w:rPr>
              <w:t xml:space="preserve">בעלי מניות החברה </w:t>
            </w:r>
          </w:p>
        </w:tc>
        <w:tc>
          <w:tcPr>
            <w:tcW w:w="113" w:type="dxa"/>
            <w:shd w:val="clear" w:color="auto" w:fill="auto"/>
            <w:vAlign w:val="bottom"/>
          </w:tcPr>
          <w:p w14:paraId="412E9D76" w14:textId="77777777" w:rsidR="00DD74D5" w:rsidRPr="001521F8" w:rsidRDefault="00DD74D5" w:rsidP="00DD74D5">
            <w:pPr>
              <w:spacing w:line="180" w:lineRule="exact"/>
              <w:rPr>
                <w:sz w:val="16"/>
                <w:szCs w:val="16"/>
              </w:rPr>
            </w:pPr>
          </w:p>
        </w:tc>
        <w:tc>
          <w:tcPr>
            <w:tcW w:w="907" w:type="dxa"/>
            <w:vAlign w:val="bottom"/>
          </w:tcPr>
          <w:p w14:paraId="345B9A2D"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39366FD0"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786C52A1"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6EAAE30C"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2CD5273E"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084F2DF3"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60A26E22"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52680AA8"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7C6DB5FB" w14:textId="77777777" w:rsidR="00DD74D5" w:rsidRPr="001521F8" w:rsidRDefault="00DD74D5" w:rsidP="00DD74D5">
            <w:pPr>
              <w:tabs>
                <w:tab w:val="decimal" w:pos="113"/>
              </w:tabs>
              <w:spacing w:line="180" w:lineRule="exact"/>
              <w:rPr>
                <w:sz w:val="16"/>
                <w:szCs w:val="16"/>
                <w:rtl/>
              </w:rPr>
            </w:pPr>
          </w:p>
        </w:tc>
      </w:tr>
      <w:tr w:rsidR="00DD74D5" w:rsidRPr="001521F8" w14:paraId="46780AD0" w14:textId="77777777" w:rsidTr="001521F8">
        <w:tc>
          <w:tcPr>
            <w:tcW w:w="1688" w:type="dxa"/>
            <w:tcBorders>
              <w:top w:val="single" w:sz="6" w:space="0" w:color="auto"/>
              <w:bottom w:val="single" w:sz="6" w:space="0" w:color="auto"/>
              <w:right w:val="single" w:sz="6" w:space="0" w:color="auto"/>
            </w:tcBorders>
          </w:tcPr>
          <w:p w14:paraId="391E29E8" w14:textId="77777777" w:rsidR="00DD74D5" w:rsidRPr="001521F8" w:rsidRDefault="00DD74D5" w:rsidP="00DD74D5">
            <w:pPr>
              <w:bidi w:val="0"/>
              <w:spacing w:line="180" w:lineRule="exact"/>
              <w:ind w:right="57"/>
              <w:jc w:val="right"/>
              <w:rPr>
                <w:i/>
                <w:iCs/>
                <w:sz w:val="16"/>
                <w:szCs w:val="16"/>
                <w:rtl/>
              </w:rPr>
            </w:pPr>
            <w:r w:rsidRPr="001521F8">
              <w:rPr>
                <w:i/>
                <w:iCs/>
                <w:sz w:val="16"/>
                <w:szCs w:val="16"/>
              </w:rPr>
              <w:t>IAS 1.83(a)(i); IAS 27.27</w:t>
            </w:r>
          </w:p>
        </w:tc>
        <w:tc>
          <w:tcPr>
            <w:tcW w:w="2695" w:type="dxa"/>
            <w:tcBorders>
              <w:left w:val="single" w:sz="6" w:space="0" w:color="auto"/>
            </w:tcBorders>
            <w:shd w:val="clear" w:color="auto" w:fill="auto"/>
            <w:vAlign w:val="bottom"/>
          </w:tcPr>
          <w:p w14:paraId="553A734F" w14:textId="77777777" w:rsidR="00DD74D5" w:rsidRPr="001521F8" w:rsidRDefault="00DD74D5" w:rsidP="00DD74D5">
            <w:pPr>
              <w:spacing w:line="180" w:lineRule="exact"/>
              <w:ind w:left="227" w:hanging="170"/>
              <w:jc w:val="left"/>
              <w:rPr>
                <w:sz w:val="18"/>
                <w:szCs w:val="18"/>
              </w:rPr>
            </w:pPr>
            <w:r w:rsidRPr="001521F8">
              <w:rPr>
                <w:rFonts w:hint="cs"/>
                <w:sz w:val="18"/>
                <w:szCs w:val="18"/>
                <w:rtl/>
              </w:rPr>
              <w:t>זכויות שאינן מקנות שליטה</w:t>
            </w:r>
          </w:p>
        </w:tc>
        <w:tc>
          <w:tcPr>
            <w:tcW w:w="113" w:type="dxa"/>
            <w:shd w:val="clear" w:color="auto" w:fill="auto"/>
            <w:vAlign w:val="bottom"/>
          </w:tcPr>
          <w:p w14:paraId="3E668939" w14:textId="77777777" w:rsidR="00DD74D5" w:rsidRPr="001521F8" w:rsidRDefault="00DD74D5" w:rsidP="00DD74D5">
            <w:pPr>
              <w:spacing w:line="180" w:lineRule="exact"/>
              <w:rPr>
                <w:sz w:val="16"/>
                <w:szCs w:val="16"/>
              </w:rPr>
            </w:pPr>
          </w:p>
        </w:tc>
        <w:tc>
          <w:tcPr>
            <w:tcW w:w="907" w:type="dxa"/>
            <w:tcBorders>
              <w:bottom w:val="single" w:sz="6" w:space="0" w:color="auto"/>
            </w:tcBorders>
            <w:shd w:val="clear" w:color="auto" w:fill="auto"/>
            <w:vAlign w:val="bottom"/>
          </w:tcPr>
          <w:p w14:paraId="7EAB1C48"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0568E86D" w14:textId="77777777" w:rsidR="00DD74D5" w:rsidRPr="001521F8" w:rsidRDefault="00DD74D5" w:rsidP="00DD74D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24A9513A"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0E9DD752"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585A0F92"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12144961"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2F4FD2F3"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245C7D69" w14:textId="77777777" w:rsidR="00DD74D5" w:rsidRPr="001521F8" w:rsidRDefault="00DD74D5" w:rsidP="00DD74D5">
            <w:pPr>
              <w:tabs>
                <w:tab w:val="decimal" w:pos="113"/>
              </w:tabs>
              <w:spacing w:line="180" w:lineRule="exact"/>
              <w:rPr>
                <w:sz w:val="16"/>
                <w:szCs w:val="16"/>
              </w:rPr>
            </w:pPr>
          </w:p>
        </w:tc>
        <w:tc>
          <w:tcPr>
            <w:tcW w:w="1192" w:type="dxa"/>
            <w:tcBorders>
              <w:bottom w:val="single" w:sz="6" w:space="0" w:color="auto"/>
            </w:tcBorders>
            <w:shd w:val="clear" w:color="auto" w:fill="auto"/>
            <w:vAlign w:val="bottom"/>
          </w:tcPr>
          <w:p w14:paraId="0B43E36A" w14:textId="77777777" w:rsidR="00DD74D5" w:rsidRPr="001521F8" w:rsidRDefault="00DD74D5" w:rsidP="00DD74D5">
            <w:pPr>
              <w:tabs>
                <w:tab w:val="decimal" w:pos="113"/>
              </w:tabs>
              <w:spacing w:line="180" w:lineRule="exact"/>
              <w:rPr>
                <w:sz w:val="16"/>
                <w:szCs w:val="16"/>
                <w:rtl/>
              </w:rPr>
            </w:pPr>
          </w:p>
        </w:tc>
      </w:tr>
      <w:tr w:rsidR="00DD74D5" w:rsidRPr="001521F8" w14:paraId="2E5A48A2" w14:textId="77777777" w:rsidTr="001521F8">
        <w:tc>
          <w:tcPr>
            <w:tcW w:w="1688" w:type="dxa"/>
            <w:tcBorders>
              <w:top w:val="single" w:sz="6" w:space="0" w:color="auto"/>
            </w:tcBorders>
          </w:tcPr>
          <w:p w14:paraId="064394F9" w14:textId="77777777" w:rsidR="00DD74D5" w:rsidRPr="001521F8" w:rsidRDefault="00DD74D5" w:rsidP="00DD74D5">
            <w:pPr>
              <w:widowControl/>
              <w:spacing w:line="180" w:lineRule="exact"/>
              <w:jc w:val="right"/>
              <w:rPr>
                <w:i/>
                <w:iCs/>
                <w:sz w:val="16"/>
                <w:szCs w:val="16"/>
              </w:rPr>
            </w:pPr>
          </w:p>
        </w:tc>
        <w:tc>
          <w:tcPr>
            <w:tcW w:w="2695" w:type="dxa"/>
            <w:shd w:val="clear" w:color="auto" w:fill="auto"/>
            <w:vAlign w:val="bottom"/>
          </w:tcPr>
          <w:p w14:paraId="69B6CBE7" w14:textId="77777777" w:rsidR="00DD74D5" w:rsidRPr="001521F8" w:rsidRDefault="00DD74D5" w:rsidP="00DD74D5">
            <w:pPr>
              <w:spacing w:line="180" w:lineRule="exact"/>
              <w:jc w:val="left"/>
              <w:rPr>
                <w:sz w:val="18"/>
                <w:szCs w:val="18"/>
              </w:rPr>
            </w:pPr>
          </w:p>
        </w:tc>
        <w:tc>
          <w:tcPr>
            <w:tcW w:w="113" w:type="dxa"/>
            <w:shd w:val="clear" w:color="auto" w:fill="auto"/>
            <w:vAlign w:val="bottom"/>
          </w:tcPr>
          <w:p w14:paraId="24B946A5" w14:textId="77777777" w:rsidR="00DD74D5" w:rsidRPr="001521F8" w:rsidRDefault="00DD74D5" w:rsidP="00DD74D5">
            <w:pPr>
              <w:spacing w:line="180" w:lineRule="exact"/>
              <w:rPr>
                <w:sz w:val="16"/>
                <w:szCs w:val="16"/>
              </w:rPr>
            </w:pPr>
          </w:p>
        </w:tc>
        <w:tc>
          <w:tcPr>
            <w:tcW w:w="907" w:type="dxa"/>
            <w:tcBorders>
              <w:top w:val="single" w:sz="6" w:space="0" w:color="auto"/>
            </w:tcBorders>
            <w:vAlign w:val="bottom"/>
          </w:tcPr>
          <w:p w14:paraId="72D7E6BB"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5FBB7603" w14:textId="77777777" w:rsidR="00DD74D5" w:rsidRPr="001521F8" w:rsidRDefault="00DD74D5" w:rsidP="00DD74D5">
            <w:pPr>
              <w:tabs>
                <w:tab w:val="decimal" w:pos="113"/>
              </w:tabs>
              <w:spacing w:line="180" w:lineRule="exact"/>
              <w:rPr>
                <w:sz w:val="16"/>
                <w:szCs w:val="16"/>
              </w:rPr>
            </w:pPr>
          </w:p>
        </w:tc>
        <w:tc>
          <w:tcPr>
            <w:tcW w:w="907" w:type="dxa"/>
            <w:gridSpan w:val="2"/>
            <w:tcBorders>
              <w:top w:val="single" w:sz="6" w:space="0" w:color="auto"/>
            </w:tcBorders>
            <w:shd w:val="clear" w:color="auto" w:fill="auto"/>
            <w:vAlign w:val="bottom"/>
          </w:tcPr>
          <w:p w14:paraId="35AB4874"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07074B2F" w14:textId="77777777" w:rsidR="00DD74D5" w:rsidRPr="001521F8" w:rsidRDefault="00DD74D5" w:rsidP="00DD74D5">
            <w:pPr>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3DDBF0AA"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39AC7224" w14:textId="77777777" w:rsidR="00DD74D5" w:rsidRPr="001521F8" w:rsidRDefault="00DD74D5" w:rsidP="00DD74D5">
            <w:pPr>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27A39463"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4980747A" w14:textId="77777777" w:rsidR="00DD74D5" w:rsidRPr="001521F8" w:rsidRDefault="00DD74D5" w:rsidP="00DD74D5">
            <w:pPr>
              <w:tabs>
                <w:tab w:val="decimal" w:pos="113"/>
              </w:tabs>
              <w:spacing w:line="180" w:lineRule="exact"/>
              <w:rPr>
                <w:sz w:val="16"/>
                <w:szCs w:val="16"/>
              </w:rPr>
            </w:pPr>
          </w:p>
        </w:tc>
        <w:tc>
          <w:tcPr>
            <w:tcW w:w="1192" w:type="dxa"/>
            <w:tcBorders>
              <w:top w:val="single" w:sz="6" w:space="0" w:color="auto"/>
            </w:tcBorders>
            <w:shd w:val="clear" w:color="auto" w:fill="auto"/>
            <w:vAlign w:val="bottom"/>
          </w:tcPr>
          <w:p w14:paraId="60015658" w14:textId="77777777" w:rsidR="00DD74D5" w:rsidRPr="001521F8" w:rsidRDefault="00DD74D5" w:rsidP="00DD74D5">
            <w:pPr>
              <w:tabs>
                <w:tab w:val="decimal" w:pos="113"/>
              </w:tabs>
              <w:spacing w:line="180" w:lineRule="exact"/>
              <w:rPr>
                <w:sz w:val="16"/>
                <w:szCs w:val="16"/>
                <w:rtl/>
              </w:rPr>
            </w:pPr>
          </w:p>
        </w:tc>
      </w:tr>
      <w:tr w:rsidR="00DD74D5" w:rsidRPr="001521F8" w14:paraId="00EEDAC8" w14:textId="77777777" w:rsidTr="001521F8">
        <w:tc>
          <w:tcPr>
            <w:tcW w:w="1688" w:type="dxa"/>
            <w:tcBorders>
              <w:bottom w:val="single" w:sz="6" w:space="0" w:color="auto"/>
              <w:right w:val="single" w:sz="6" w:space="0" w:color="auto"/>
            </w:tcBorders>
            <w:vAlign w:val="center"/>
          </w:tcPr>
          <w:p w14:paraId="58A14073" w14:textId="77777777" w:rsidR="00DD74D5" w:rsidRPr="001521F8" w:rsidRDefault="00DD74D5" w:rsidP="00DD74D5">
            <w:pPr>
              <w:bidi w:val="0"/>
              <w:spacing w:line="180" w:lineRule="exact"/>
              <w:ind w:right="57"/>
              <w:jc w:val="right"/>
              <w:rPr>
                <w:i/>
                <w:iCs/>
                <w:sz w:val="16"/>
                <w:szCs w:val="16"/>
                <w:rtl/>
              </w:rPr>
            </w:pPr>
            <w:r w:rsidRPr="001521F8">
              <w:rPr>
                <w:i/>
                <w:iCs/>
                <w:sz w:val="16"/>
                <w:szCs w:val="16"/>
              </w:rPr>
              <w:t>IAS 34.11; IAS 33.66, 68</w:t>
            </w:r>
          </w:p>
        </w:tc>
        <w:tc>
          <w:tcPr>
            <w:tcW w:w="2695" w:type="dxa"/>
            <w:tcBorders>
              <w:left w:val="single" w:sz="6" w:space="0" w:color="auto"/>
            </w:tcBorders>
            <w:shd w:val="clear" w:color="auto" w:fill="auto"/>
            <w:vAlign w:val="bottom"/>
          </w:tcPr>
          <w:p w14:paraId="3D324E33" w14:textId="77777777" w:rsidR="00DD74D5" w:rsidRPr="001521F8" w:rsidRDefault="00DD74D5" w:rsidP="00DD74D5">
            <w:pPr>
              <w:spacing w:line="180" w:lineRule="exact"/>
              <w:ind w:left="227" w:hanging="170"/>
              <w:jc w:val="left"/>
              <w:rPr>
                <w:sz w:val="18"/>
                <w:szCs w:val="18"/>
                <w:u w:val="single"/>
              </w:rPr>
            </w:pPr>
            <w:r w:rsidRPr="001521F8">
              <w:rPr>
                <w:rFonts w:hint="cs"/>
                <w:b/>
                <w:bCs/>
                <w:sz w:val="18"/>
                <w:szCs w:val="18"/>
                <w:u w:val="single"/>
                <w:rtl/>
              </w:rPr>
              <w:t>רווח נקי (הפסד) למניה המיוחס לבעלי מניות החברה (בש"ח)</w:t>
            </w:r>
            <w:r w:rsidRPr="001521F8">
              <w:rPr>
                <w:rStyle w:val="ab"/>
                <w:sz w:val="18"/>
                <w:szCs w:val="18"/>
                <w:u w:val="single"/>
              </w:rPr>
              <w:footnoteReference w:id="14"/>
            </w:r>
          </w:p>
        </w:tc>
        <w:tc>
          <w:tcPr>
            <w:tcW w:w="113" w:type="dxa"/>
            <w:shd w:val="clear" w:color="auto" w:fill="auto"/>
            <w:vAlign w:val="bottom"/>
          </w:tcPr>
          <w:p w14:paraId="4DEECCDF" w14:textId="77777777" w:rsidR="00DD74D5" w:rsidRPr="001521F8" w:rsidRDefault="00DD74D5" w:rsidP="00DD74D5">
            <w:pPr>
              <w:spacing w:line="180" w:lineRule="exact"/>
              <w:rPr>
                <w:sz w:val="16"/>
                <w:szCs w:val="16"/>
              </w:rPr>
            </w:pPr>
          </w:p>
        </w:tc>
        <w:tc>
          <w:tcPr>
            <w:tcW w:w="907" w:type="dxa"/>
            <w:tcBorders>
              <w:top w:val="double" w:sz="6" w:space="0" w:color="auto"/>
            </w:tcBorders>
            <w:shd w:val="clear" w:color="auto" w:fill="auto"/>
            <w:vAlign w:val="bottom"/>
          </w:tcPr>
          <w:p w14:paraId="5D3678C0"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0DC3539E" w14:textId="77777777" w:rsidR="00DD74D5" w:rsidRPr="001521F8" w:rsidRDefault="00DD74D5" w:rsidP="00DD74D5">
            <w:pPr>
              <w:tabs>
                <w:tab w:val="decimal" w:pos="113"/>
              </w:tabs>
              <w:spacing w:line="180" w:lineRule="exact"/>
              <w:rPr>
                <w:sz w:val="16"/>
                <w:szCs w:val="16"/>
              </w:rPr>
            </w:pPr>
          </w:p>
        </w:tc>
        <w:tc>
          <w:tcPr>
            <w:tcW w:w="907" w:type="dxa"/>
            <w:gridSpan w:val="2"/>
            <w:tcBorders>
              <w:top w:val="double" w:sz="6" w:space="0" w:color="auto"/>
            </w:tcBorders>
            <w:shd w:val="clear" w:color="auto" w:fill="auto"/>
            <w:vAlign w:val="bottom"/>
          </w:tcPr>
          <w:p w14:paraId="196B7D2A"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4BAD608A" w14:textId="77777777" w:rsidR="00DD74D5" w:rsidRPr="001521F8" w:rsidRDefault="00DD74D5" w:rsidP="00DD74D5">
            <w:pPr>
              <w:tabs>
                <w:tab w:val="decimal" w:pos="113"/>
              </w:tabs>
              <w:spacing w:line="180" w:lineRule="exact"/>
              <w:rPr>
                <w:sz w:val="16"/>
                <w:szCs w:val="16"/>
              </w:rPr>
            </w:pPr>
          </w:p>
        </w:tc>
        <w:tc>
          <w:tcPr>
            <w:tcW w:w="907" w:type="dxa"/>
            <w:tcBorders>
              <w:top w:val="double" w:sz="6" w:space="0" w:color="auto"/>
            </w:tcBorders>
            <w:shd w:val="clear" w:color="auto" w:fill="auto"/>
            <w:vAlign w:val="bottom"/>
          </w:tcPr>
          <w:p w14:paraId="555D7562"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7D6D15FA" w14:textId="77777777" w:rsidR="00DD74D5" w:rsidRPr="001521F8" w:rsidRDefault="00DD74D5" w:rsidP="00DD74D5">
            <w:pPr>
              <w:tabs>
                <w:tab w:val="decimal" w:pos="113"/>
              </w:tabs>
              <w:spacing w:line="180" w:lineRule="exact"/>
              <w:rPr>
                <w:sz w:val="16"/>
                <w:szCs w:val="16"/>
              </w:rPr>
            </w:pPr>
          </w:p>
        </w:tc>
        <w:tc>
          <w:tcPr>
            <w:tcW w:w="907" w:type="dxa"/>
            <w:tcBorders>
              <w:top w:val="double" w:sz="6" w:space="0" w:color="auto"/>
            </w:tcBorders>
            <w:shd w:val="clear" w:color="auto" w:fill="auto"/>
            <w:vAlign w:val="bottom"/>
          </w:tcPr>
          <w:p w14:paraId="5CF10ECE"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26D1DFC3" w14:textId="77777777" w:rsidR="00DD74D5" w:rsidRPr="001521F8" w:rsidRDefault="00DD74D5" w:rsidP="00DD74D5">
            <w:pPr>
              <w:tabs>
                <w:tab w:val="decimal" w:pos="113"/>
              </w:tabs>
              <w:spacing w:line="180" w:lineRule="exact"/>
              <w:rPr>
                <w:sz w:val="16"/>
                <w:szCs w:val="16"/>
              </w:rPr>
            </w:pPr>
          </w:p>
        </w:tc>
        <w:tc>
          <w:tcPr>
            <w:tcW w:w="1192" w:type="dxa"/>
            <w:tcBorders>
              <w:top w:val="double" w:sz="6" w:space="0" w:color="auto"/>
            </w:tcBorders>
            <w:shd w:val="clear" w:color="auto" w:fill="auto"/>
            <w:vAlign w:val="bottom"/>
          </w:tcPr>
          <w:p w14:paraId="5C81F708" w14:textId="77777777" w:rsidR="00DD74D5" w:rsidRPr="001521F8" w:rsidRDefault="00DD74D5" w:rsidP="00DD74D5">
            <w:pPr>
              <w:tabs>
                <w:tab w:val="decimal" w:pos="113"/>
              </w:tabs>
              <w:spacing w:line="180" w:lineRule="exact"/>
              <w:rPr>
                <w:sz w:val="16"/>
                <w:szCs w:val="16"/>
                <w:rtl/>
              </w:rPr>
            </w:pPr>
          </w:p>
        </w:tc>
      </w:tr>
      <w:tr w:rsidR="00DD74D5" w:rsidRPr="001521F8" w14:paraId="083F6024" w14:textId="77777777" w:rsidTr="001521F8">
        <w:tc>
          <w:tcPr>
            <w:tcW w:w="1688" w:type="dxa"/>
            <w:tcBorders>
              <w:top w:val="single" w:sz="6" w:space="0" w:color="auto"/>
            </w:tcBorders>
          </w:tcPr>
          <w:p w14:paraId="664BDB35" w14:textId="77777777" w:rsidR="00DD74D5" w:rsidRPr="001521F8" w:rsidRDefault="00DD74D5" w:rsidP="00DD74D5">
            <w:pPr>
              <w:pStyle w:val="a3"/>
              <w:widowControl/>
              <w:tabs>
                <w:tab w:val="left" w:pos="227"/>
                <w:tab w:val="left" w:pos="397"/>
                <w:tab w:val="left" w:pos="567"/>
              </w:tabs>
              <w:spacing w:line="120" w:lineRule="auto"/>
              <w:ind w:left="0"/>
              <w:jc w:val="right"/>
              <w:rPr>
                <w:i/>
                <w:iCs/>
                <w:sz w:val="16"/>
                <w:szCs w:val="16"/>
                <w:u w:val="single"/>
              </w:rPr>
            </w:pPr>
          </w:p>
        </w:tc>
        <w:tc>
          <w:tcPr>
            <w:tcW w:w="2695" w:type="dxa"/>
            <w:shd w:val="clear" w:color="auto" w:fill="auto"/>
            <w:vAlign w:val="bottom"/>
          </w:tcPr>
          <w:p w14:paraId="07257512" w14:textId="77777777" w:rsidR="00DD74D5" w:rsidRPr="001521F8" w:rsidRDefault="00DD74D5" w:rsidP="00DD74D5">
            <w:pPr>
              <w:pStyle w:val="a3"/>
              <w:widowControl/>
              <w:tabs>
                <w:tab w:val="left" w:pos="227"/>
                <w:tab w:val="left" w:pos="397"/>
                <w:tab w:val="left" w:pos="567"/>
              </w:tabs>
              <w:spacing w:line="120" w:lineRule="auto"/>
              <w:ind w:left="0"/>
              <w:rPr>
                <w:sz w:val="18"/>
                <w:szCs w:val="18"/>
                <w:u w:val="single"/>
              </w:rPr>
            </w:pPr>
          </w:p>
        </w:tc>
        <w:tc>
          <w:tcPr>
            <w:tcW w:w="113" w:type="dxa"/>
            <w:shd w:val="clear" w:color="auto" w:fill="auto"/>
            <w:vAlign w:val="bottom"/>
          </w:tcPr>
          <w:p w14:paraId="4308F94C" w14:textId="77777777" w:rsidR="00DD74D5" w:rsidRPr="001521F8" w:rsidRDefault="00DD74D5" w:rsidP="00DD74D5">
            <w:pPr>
              <w:widowControl/>
              <w:spacing w:line="120" w:lineRule="auto"/>
              <w:rPr>
                <w:sz w:val="16"/>
                <w:szCs w:val="16"/>
              </w:rPr>
            </w:pPr>
          </w:p>
        </w:tc>
        <w:tc>
          <w:tcPr>
            <w:tcW w:w="907" w:type="dxa"/>
            <w:vAlign w:val="bottom"/>
          </w:tcPr>
          <w:p w14:paraId="4A50B692"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1578D057" w14:textId="77777777" w:rsidR="00DD74D5" w:rsidRPr="001521F8" w:rsidRDefault="00DD74D5" w:rsidP="00DD74D5">
            <w:pPr>
              <w:widowControl/>
              <w:tabs>
                <w:tab w:val="decimal" w:pos="113"/>
              </w:tabs>
              <w:spacing w:line="120" w:lineRule="auto"/>
              <w:rPr>
                <w:sz w:val="16"/>
                <w:szCs w:val="16"/>
              </w:rPr>
            </w:pPr>
          </w:p>
        </w:tc>
        <w:tc>
          <w:tcPr>
            <w:tcW w:w="907" w:type="dxa"/>
            <w:gridSpan w:val="2"/>
            <w:shd w:val="clear" w:color="auto" w:fill="auto"/>
            <w:vAlign w:val="bottom"/>
          </w:tcPr>
          <w:p w14:paraId="56DD5027"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0358CB01" w14:textId="77777777" w:rsidR="00DD74D5" w:rsidRPr="001521F8" w:rsidRDefault="00DD74D5" w:rsidP="00DD74D5">
            <w:pPr>
              <w:widowControl/>
              <w:tabs>
                <w:tab w:val="decimal" w:pos="113"/>
              </w:tabs>
              <w:spacing w:line="120" w:lineRule="auto"/>
              <w:rPr>
                <w:sz w:val="16"/>
                <w:szCs w:val="16"/>
              </w:rPr>
            </w:pPr>
          </w:p>
        </w:tc>
        <w:tc>
          <w:tcPr>
            <w:tcW w:w="907" w:type="dxa"/>
            <w:shd w:val="clear" w:color="auto" w:fill="auto"/>
            <w:vAlign w:val="bottom"/>
          </w:tcPr>
          <w:p w14:paraId="007088E2"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783FFD52" w14:textId="77777777" w:rsidR="00DD74D5" w:rsidRPr="001521F8" w:rsidRDefault="00DD74D5" w:rsidP="00DD74D5">
            <w:pPr>
              <w:widowControl/>
              <w:tabs>
                <w:tab w:val="decimal" w:pos="113"/>
              </w:tabs>
              <w:spacing w:line="120" w:lineRule="auto"/>
              <w:rPr>
                <w:sz w:val="16"/>
                <w:szCs w:val="16"/>
              </w:rPr>
            </w:pPr>
          </w:p>
        </w:tc>
        <w:tc>
          <w:tcPr>
            <w:tcW w:w="907" w:type="dxa"/>
            <w:shd w:val="clear" w:color="auto" w:fill="auto"/>
            <w:vAlign w:val="bottom"/>
          </w:tcPr>
          <w:p w14:paraId="49E62DF9"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1E7E8027" w14:textId="77777777" w:rsidR="00DD74D5" w:rsidRPr="001521F8" w:rsidRDefault="00DD74D5" w:rsidP="00DD74D5">
            <w:pPr>
              <w:widowControl/>
              <w:tabs>
                <w:tab w:val="decimal" w:pos="113"/>
              </w:tabs>
              <w:spacing w:line="120" w:lineRule="auto"/>
              <w:rPr>
                <w:sz w:val="16"/>
                <w:szCs w:val="16"/>
              </w:rPr>
            </w:pPr>
          </w:p>
        </w:tc>
        <w:tc>
          <w:tcPr>
            <w:tcW w:w="1192" w:type="dxa"/>
            <w:shd w:val="clear" w:color="auto" w:fill="auto"/>
            <w:vAlign w:val="bottom"/>
          </w:tcPr>
          <w:p w14:paraId="760711B6" w14:textId="77777777" w:rsidR="00DD74D5" w:rsidRPr="001521F8" w:rsidRDefault="00DD74D5" w:rsidP="00DD74D5">
            <w:pPr>
              <w:widowControl/>
              <w:tabs>
                <w:tab w:val="decimal" w:pos="113"/>
              </w:tabs>
              <w:spacing w:line="120" w:lineRule="auto"/>
              <w:rPr>
                <w:sz w:val="16"/>
                <w:szCs w:val="16"/>
                <w:rtl/>
              </w:rPr>
            </w:pPr>
          </w:p>
        </w:tc>
      </w:tr>
      <w:tr w:rsidR="00DD74D5" w:rsidRPr="001521F8" w14:paraId="102BF51D" w14:textId="77777777" w:rsidTr="001521F8">
        <w:tc>
          <w:tcPr>
            <w:tcW w:w="1688" w:type="dxa"/>
          </w:tcPr>
          <w:p w14:paraId="025803A6" w14:textId="77777777" w:rsidR="00DD74D5" w:rsidRPr="001521F8" w:rsidRDefault="00DD74D5" w:rsidP="00DD74D5">
            <w:pPr>
              <w:bidi w:val="0"/>
              <w:spacing w:line="180" w:lineRule="exact"/>
              <w:ind w:right="57"/>
              <w:jc w:val="right"/>
              <w:rPr>
                <w:b/>
                <w:bCs/>
                <w:i/>
                <w:iCs/>
                <w:sz w:val="16"/>
                <w:szCs w:val="16"/>
                <w:rtl/>
              </w:rPr>
            </w:pPr>
          </w:p>
        </w:tc>
        <w:tc>
          <w:tcPr>
            <w:tcW w:w="2695" w:type="dxa"/>
            <w:shd w:val="clear" w:color="auto" w:fill="auto"/>
            <w:vAlign w:val="bottom"/>
          </w:tcPr>
          <w:p w14:paraId="05909E1F" w14:textId="77777777" w:rsidR="00DD74D5" w:rsidRPr="001521F8" w:rsidRDefault="00DD74D5" w:rsidP="00DD74D5">
            <w:pPr>
              <w:spacing w:line="180" w:lineRule="exact"/>
              <w:ind w:left="227" w:hanging="170"/>
              <w:jc w:val="left"/>
              <w:rPr>
                <w:b/>
                <w:bCs/>
                <w:sz w:val="18"/>
                <w:szCs w:val="18"/>
              </w:rPr>
            </w:pPr>
            <w:r w:rsidRPr="001521F8">
              <w:rPr>
                <w:rFonts w:hint="cs"/>
                <w:b/>
                <w:bCs/>
                <w:sz w:val="18"/>
                <w:szCs w:val="18"/>
                <w:rtl/>
              </w:rPr>
              <w:t>רווח נקי (הפסד) בסיסי</w:t>
            </w:r>
          </w:p>
        </w:tc>
        <w:tc>
          <w:tcPr>
            <w:tcW w:w="113" w:type="dxa"/>
            <w:shd w:val="clear" w:color="auto" w:fill="auto"/>
            <w:vAlign w:val="bottom"/>
          </w:tcPr>
          <w:p w14:paraId="180EC230" w14:textId="77777777" w:rsidR="00DD74D5" w:rsidRPr="001521F8" w:rsidRDefault="00DD74D5" w:rsidP="00DD74D5">
            <w:pPr>
              <w:spacing w:line="180" w:lineRule="exact"/>
              <w:rPr>
                <w:sz w:val="16"/>
                <w:szCs w:val="16"/>
              </w:rPr>
            </w:pPr>
          </w:p>
        </w:tc>
        <w:tc>
          <w:tcPr>
            <w:tcW w:w="907" w:type="dxa"/>
            <w:vAlign w:val="bottom"/>
          </w:tcPr>
          <w:p w14:paraId="093C7B61"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7055FB8F"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2DA091CD"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04063679"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7D6480FE"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13B58397"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35860050"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70C6C956"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1526E500" w14:textId="77777777" w:rsidR="00DD74D5" w:rsidRPr="001521F8" w:rsidRDefault="00DD74D5" w:rsidP="00DD74D5">
            <w:pPr>
              <w:tabs>
                <w:tab w:val="decimal" w:pos="113"/>
              </w:tabs>
              <w:spacing w:line="180" w:lineRule="exact"/>
              <w:rPr>
                <w:sz w:val="16"/>
                <w:szCs w:val="16"/>
                <w:rtl/>
              </w:rPr>
            </w:pPr>
          </w:p>
        </w:tc>
      </w:tr>
      <w:tr w:rsidR="00DD74D5" w:rsidRPr="001521F8" w14:paraId="431DC5C9" w14:textId="77777777" w:rsidTr="001521F8">
        <w:tc>
          <w:tcPr>
            <w:tcW w:w="1688" w:type="dxa"/>
          </w:tcPr>
          <w:p w14:paraId="01671149" w14:textId="77777777" w:rsidR="00DD74D5" w:rsidRPr="001521F8" w:rsidRDefault="00DD74D5" w:rsidP="00DD74D5">
            <w:pPr>
              <w:widowControl/>
              <w:spacing w:line="120" w:lineRule="auto"/>
              <w:jc w:val="right"/>
              <w:rPr>
                <w:i/>
                <w:iCs/>
                <w:sz w:val="16"/>
                <w:szCs w:val="16"/>
                <w:rtl/>
              </w:rPr>
            </w:pPr>
          </w:p>
        </w:tc>
        <w:tc>
          <w:tcPr>
            <w:tcW w:w="2695" w:type="dxa"/>
            <w:shd w:val="clear" w:color="auto" w:fill="auto"/>
            <w:vAlign w:val="bottom"/>
          </w:tcPr>
          <w:p w14:paraId="6A0ED663" w14:textId="77777777" w:rsidR="00DD74D5" w:rsidRPr="001521F8" w:rsidRDefault="00DD74D5" w:rsidP="00DD74D5">
            <w:pPr>
              <w:pStyle w:val="a3"/>
              <w:widowControl/>
              <w:tabs>
                <w:tab w:val="left" w:pos="227"/>
                <w:tab w:val="left" w:pos="397"/>
                <w:tab w:val="left" w:pos="567"/>
              </w:tabs>
              <w:spacing w:line="120" w:lineRule="auto"/>
              <w:ind w:left="0"/>
              <w:rPr>
                <w:sz w:val="18"/>
                <w:szCs w:val="18"/>
                <w:u w:val="single"/>
                <w:rtl/>
              </w:rPr>
            </w:pPr>
          </w:p>
        </w:tc>
        <w:tc>
          <w:tcPr>
            <w:tcW w:w="113" w:type="dxa"/>
            <w:shd w:val="clear" w:color="auto" w:fill="auto"/>
            <w:vAlign w:val="bottom"/>
          </w:tcPr>
          <w:p w14:paraId="56438EFF" w14:textId="77777777" w:rsidR="00DD74D5" w:rsidRPr="001521F8" w:rsidRDefault="00DD74D5" w:rsidP="00DD74D5">
            <w:pPr>
              <w:widowControl/>
              <w:spacing w:line="120" w:lineRule="auto"/>
              <w:rPr>
                <w:sz w:val="16"/>
                <w:szCs w:val="16"/>
              </w:rPr>
            </w:pPr>
          </w:p>
        </w:tc>
        <w:tc>
          <w:tcPr>
            <w:tcW w:w="907" w:type="dxa"/>
            <w:vAlign w:val="bottom"/>
          </w:tcPr>
          <w:p w14:paraId="78D1BBAD"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2119E365" w14:textId="77777777" w:rsidR="00DD74D5" w:rsidRPr="001521F8" w:rsidRDefault="00DD74D5" w:rsidP="00DD74D5">
            <w:pPr>
              <w:widowControl/>
              <w:tabs>
                <w:tab w:val="decimal" w:pos="113"/>
              </w:tabs>
              <w:spacing w:line="120" w:lineRule="auto"/>
              <w:rPr>
                <w:sz w:val="16"/>
                <w:szCs w:val="16"/>
              </w:rPr>
            </w:pPr>
          </w:p>
        </w:tc>
        <w:tc>
          <w:tcPr>
            <w:tcW w:w="907" w:type="dxa"/>
            <w:gridSpan w:val="2"/>
            <w:shd w:val="clear" w:color="auto" w:fill="auto"/>
            <w:vAlign w:val="bottom"/>
          </w:tcPr>
          <w:p w14:paraId="793563CB"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1042553D" w14:textId="77777777" w:rsidR="00DD74D5" w:rsidRPr="001521F8" w:rsidRDefault="00DD74D5" w:rsidP="00DD74D5">
            <w:pPr>
              <w:widowControl/>
              <w:tabs>
                <w:tab w:val="decimal" w:pos="113"/>
              </w:tabs>
              <w:spacing w:line="120" w:lineRule="auto"/>
              <w:rPr>
                <w:sz w:val="16"/>
                <w:szCs w:val="16"/>
              </w:rPr>
            </w:pPr>
          </w:p>
        </w:tc>
        <w:tc>
          <w:tcPr>
            <w:tcW w:w="907" w:type="dxa"/>
            <w:shd w:val="clear" w:color="auto" w:fill="auto"/>
            <w:vAlign w:val="bottom"/>
          </w:tcPr>
          <w:p w14:paraId="5BCCCD9D"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5AF8F2AD" w14:textId="77777777" w:rsidR="00DD74D5" w:rsidRPr="001521F8" w:rsidRDefault="00DD74D5" w:rsidP="00DD74D5">
            <w:pPr>
              <w:widowControl/>
              <w:tabs>
                <w:tab w:val="decimal" w:pos="113"/>
              </w:tabs>
              <w:spacing w:line="120" w:lineRule="auto"/>
              <w:rPr>
                <w:sz w:val="16"/>
                <w:szCs w:val="16"/>
              </w:rPr>
            </w:pPr>
          </w:p>
        </w:tc>
        <w:tc>
          <w:tcPr>
            <w:tcW w:w="907" w:type="dxa"/>
            <w:shd w:val="clear" w:color="auto" w:fill="auto"/>
            <w:vAlign w:val="bottom"/>
          </w:tcPr>
          <w:p w14:paraId="1B82AD3E"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7F3CE78E" w14:textId="77777777" w:rsidR="00DD74D5" w:rsidRPr="001521F8" w:rsidRDefault="00DD74D5" w:rsidP="00DD74D5">
            <w:pPr>
              <w:widowControl/>
              <w:tabs>
                <w:tab w:val="decimal" w:pos="113"/>
              </w:tabs>
              <w:spacing w:line="120" w:lineRule="auto"/>
              <w:rPr>
                <w:sz w:val="16"/>
                <w:szCs w:val="16"/>
              </w:rPr>
            </w:pPr>
          </w:p>
        </w:tc>
        <w:tc>
          <w:tcPr>
            <w:tcW w:w="1192" w:type="dxa"/>
            <w:shd w:val="clear" w:color="auto" w:fill="auto"/>
            <w:vAlign w:val="bottom"/>
          </w:tcPr>
          <w:p w14:paraId="5E8C3017" w14:textId="77777777" w:rsidR="00DD74D5" w:rsidRPr="001521F8" w:rsidRDefault="00DD74D5" w:rsidP="00DD74D5">
            <w:pPr>
              <w:widowControl/>
              <w:tabs>
                <w:tab w:val="decimal" w:pos="113"/>
              </w:tabs>
              <w:spacing w:line="120" w:lineRule="auto"/>
              <w:rPr>
                <w:sz w:val="16"/>
                <w:szCs w:val="16"/>
                <w:rtl/>
              </w:rPr>
            </w:pPr>
          </w:p>
        </w:tc>
      </w:tr>
      <w:tr w:rsidR="00DD74D5" w:rsidRPr="001521F8" w14:paraId="4662E302" w14:textId="77777777" w:rsidTr="001521F8">
        <w:tc>
          <w:tcPr>
            <w:tcW w:w="1688" w:type="dxa"/>
            <w:tcBorders>
              <w:bottom w:val="single" w:sz="6" w:space="0" w:color="auto"/>
              <w:right w:val="single" w:sz="6" w:space="0" w:color="auto"/>
            </w:tcBorders>
          </w:tcPr>
          <w:p w14:paraId="68398B48" w14:textId="77777777" w:rsidR="00DD74D5" w:rsidRPr="001521F8" w:rsidRDefault="00DD74D5" w:rsidP="00DD74D5">
            <w:pPr>
              <w:bidi w:val="0"/>
              <w:spacing w:line="180" w:lineRule="exact"/>
              <w:ind w:right="57"/>
              <w:jc w:val="right"/>
              <w:rPr>
                <w:i/>
                <w:iCs/>
                <w:sz w:val="16"/>
                <w:szCs w:val="16"/>
                <w:rtl/>
              </w:rPr>
            </w:pPr>
            <w:r w:rsidRPr="001521F8">
              <w:rPr>
                <w:i/>
                <w:iCs/>
                <w:sz w:val="16"/>
                <w:szCs w:val="16"/>
              </w:rPr>
              <w:t>IAS 33.66</w:t>
            </w:r>
          </w:p>
        </w:tc>
        <w:tc>
          <w:tcPr>
            <w:tcW w:w="2695" w:type="dxa"/>
            <w:tcBorders>
              <w:left w:val="single" w:sz="6" w:space="0" w:color="auto"/>
            </w:tcBorders>
            <w:shd w:val="clear" w:color="auto" w:fill="auto"/>
            <w:vAlign w:val="bottom"/>
          </w:tcPr>
          <w:p w14:paraId="02A12C24" w14:textId="77777777" w:rsidR="00DD74D5" w:rsidRPr="001521F8" w:rsidRDefault="00DD74D5" w:rsidP="00DD74D5">
            <w:pPr>
              <w:spacing w:line="180" w:lineRule="exact"/>
              <w:ind w:left="227" w:hanging="170"/>
              <w:jc w:val="left"/>
              <w:rPr>
                <w:sz w:val="18"/>
                <w:szCs w:val="18"/>
              </w:rPr>
            </w:pPr>
            <w:r w:rsidRPr="001521F8">
              <w:rPr>
                <w:rFonts w:hint="cs"/>
                <w:sz w:val="18"/>
                <w:szCs w:val="18"/>
                <w:rtl/>
              </w:rPr>
              <w:t>רווח (הפסד) מפעילויות נמשכות</w:t>
            </w:r>
          </w:p>
        </w:tc>
        <w:tc>
          <w:tcPr>
            <w:tcW w:w="113" w:type="dxa"/>
            <w:shd w:val="clear" w:color="auto" w:fill="auto"/>
            <w:vAlign w:val="bottom"/>
          </w:tcPr>
          <w:p w14:paraId="7C271287" w14:textId="77777777" w:rsidR="00DD74D5" w:rsidRPr="001521F8" w:rsidRDefault="00DD74D5" w:rsidP="00DD74D5">
            <w:pPr>
              <w:spacing w:line="180" w:lineRule="exact"/>
              <w:rPr>
                <w:sz w:val="16"/>
                <w:szCs w:val="16"/>
              </w:rPr>
            </w:pPr>
          </w:p>
        </w:tc>
        <w:tc>
          <w:tcPr>
            <w:tcW w:w="907" w:type="dxa"/>
            <w:vAlign w:val="bottom"/>
          </w:tcPr>
          <w:p w14:paraId="01FEC0C2"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25357253"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0E6F9534"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69BB9519"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5C53DC89"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184068A9"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79FBDCA7"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4E4CFAE3"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7A41B8FE" w14:textId="77777777" w:rsidR="00DD74D5" w:rsidRPr="001521F8" w:rsidRDefault="00DD74D5" w:rsidP="00DD74D5">
            <w:pPr>
              <w:tabs>
                <w:tab w:val="decimal" w:pos="113"/>
              </w:tabs>
              <w:spacing w:line="180" w:lineRule="exact"/>
              <w:rPr>
                <w:sz w:val="16"/>
                <w:szCs w:val="16"/>
                <w:rtl/>
              </w:rPr>
            </w:pPr>
          </w:p>
        </w:tc>
      </w:tr>
      <w:tr w:rsidR="00DD74D5" w:rsidRPr="001521F8" w14:paraId="464F818A" w14:textId="77777777" w:rsidTr="001521F8">
        <w:tc>
          <w:tcPr>
            <w:tcW w:w="1688" w:type="dxa"/>
            <w:tcBorders>
              <w:top w:val="single" w:sz="6" w:space="0" w:color="auto"/>
              <w:bottom w:val="single" w:sz="6" w:space="0" w:color="auto"/>
              <w:right w:val="single" w:sz="6" w:space="0" w:color="auto"/>
            </w:tcBorders>
          </w:tcPr>
          <w:p w14:paraId="5AAB8B95" w14:textId="77777777" w:rsidR="00DD74D5" w:rsidRPr="001521F8" w:rsidRDefault="00DD74D5" w:rsidP="00DD74D5">
            <w:pPr>
              <w:bidi w:val="0"/>
              <w:spacing w:line="180" w:lineRule="exact"/>
              <w:ind w:right="57"/>
              <w:jc w:val="right"/>
              <w:rPr>
                <w:i/>
                <w:iCs/>
                <w:sz w:val="16"/>
                <w:szCs w:val="16"/>
              </w:rPr>
            </w:pPr>
            <w:r w:rsidRPr="001521F8">
              <w:rPr>
                <w:i/>
                <w:iCs/>
                <w:sz w:val="16"/>
                <w:szCs w:val="16"/>
              </w:rPr>
              <w:t>IAS 33.68</w:t>
            </w:r>
          </w:p>
        </w:tc>
        <w:tc>
          <w:tcPr>
            <w:tcW w:w="2695" w:type="dxa"/>
            <w:tcBorders>
              <w:left w:val="single" w:sz="6" w:space="0" w:color="auto"/>
            </w:tcBorders>
            <w:shd w:val="clear" w:color="auto" w:fill="auto"/>
            <w:vAlign w:val="bottom"/>
          </w:tcPr>
          <w:p w14:paraId="0216B464" w14:textId="77777777" w:rsidR="00DD74D5" w:rsidRPr="001521F8" w:rsidRDefault="00DD74D5" w:rsidP="00DD74D5">
            <w:pPr>
              <w:spacing w:line="180" w:lineRule="exact"/>
              <w:ind w:left="227" w:hanging="170"/>
              <w:jc w:val="left"/>
              <w:rPr>
                <w:sz w:val="18"/>
                <w:szCs w:val="18"/>
              </w:rPr>
            </w:pPr>
            <w:r w:rsidRPr="001521F8">
              <w:rPr>
                <w:rFonts w:hint="cs"/>
                <w:sz w:val="18"/>
                <w:szCs w:val="18"/>
                <w:rtl/>
              </w:rPr>
              <w:t>רווח (הפסד) מפעילויות שהופסקו</w:t>
            </w:r>
          </w:p>
        </w:tc>
        <w:tc>
          <w:tcPr>
            <w:tcW w:w="113" w:type="dxa"/>
            <w:shd w:val="clear" w:color="auto" w:fill="auto"/>
            <w:vAlign w:val="bottom"/>
          </w:tcPr>
          <w:p w14:paraId="3C130AF7" w14:textId="77777777" w:rsidR="00DD74D5" w:rsidRPr="001521F8" w:rsidRDefault="00DD74D5" w:rsidP="00DD74D5">
            <w:pPr>
              <w:spacing w:line="180" w:lineRule="exact"/>
              <w:rPr>
                <w:sz w:val="16"/>
                <w:szCs w:val="16"/>
              </w:rPr>
            </w:pPr>
          </w:p>
        </w:tc>
        <w:tc>
          <w:tcPr>
            <w:tcW w:w="907" w:type="dxa"/>
            <w:tcBorders>
              <w:bottom w:val="single" w:sz="6" w:space="0" w:color="auto"/>
            </w:tcBorders>
            <w:shd w:val="clear" w:color="auto" w:fill="auto"/>
            <w:vAlign w:val="bottom"/>
          </w:tcPr>
          <w:p w14:paraId="419866C5"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0EAB7786" w14:textId="77777777" w:rsidR="00DD74D5" w:rsidRPr="001521F8" w:rsidRDefault="00DD74D5" w:rsidP="00DD74D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63150EFE"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39ED12C5"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56F5EA01"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331F0B6B"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4905E6A8"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026E8C42" w14:textId="77777777" w:rsidR="00DD74D5" w:rsidRPr="001521F8" w:rsidRDefault="00DD74D5" w:rsidP="00DD74D5">
            <w:pPr>
              <w:tabs>
                <w:tab w:val="decimal" w:pos="113"/>
              </w:tabs>
              <w:spacing w:line="180" w:lineRule="exact"/>
              <w:rPr>
                <w:sz w:val="16"/>
                <w:szCs w:val="16"/>
              </w:rPr>
            </w:pPr>
          </w:p>
        </w:tc>
        <w:tc>
          <w:tcPr>
            <w:tcW w:w="1192" w:type="dxa"/>
            <w:tcBorders>
              <w:bottom w:val="single" w:sz="6" w:space="0" w:color="auto"/>
            </w:tcBorders>
            <w:shd w:val="clear" w:color="auto" w:fill="auto"/>
            <w:vAlign w:val="bottom"/>
          </w:tcPr>
          <w:p w14:paraId="66076F8E" w14:textId="77777777" w:rsidR="00DD74D5" w:rsidRPr="001521F8" w:rsidRDefault="00DD74D5" w:rsidP="00DD74D5">
            <w:pPr>
              <w:tabs>
                <w:tab w:val="decimal" w:pos="113"/>
              </w:tabs>
              <w:spacing w:line="180" w:lineRule="exact"/>
              <w:rPr>
                <w:sz w:val="16"/>
                <w:szCs w:val="16"/>
                <w:rtl/>
              </w:rPr>
            </w:pPr>
          </w:p>
        </w:tc>
      </w:tr>
      <w:tr w:rsidR="00DD74D5" w:rsidRPr="001521F8" w14:paraId="68AF1A10" w14:textId="77777777" w:rsidTr="001521F8">
        <w:tc>
          <w:tcPr>
            <w:tcW w:w="1688" w:type="dxa"/>
            <w:tcBorders>
              <w:top w:val="single" w:sz="6" w:space="0" w:color="auto"/>
            </w:tcBorders>
          </w:tcPr>
          <w:p w14:paraId="73296BA3" w14:textId="77777777" w:rsidR="00DD74D5" w:rsidRPr="001521F8" w:rsidRDefault="00DD74D5" w:rsidP="00DD74D5">
            <w:pPr>
              <w:pStyle w:val="a3"/>
              <w:widowControl/>
              <w:spacing w:line="180" w:lineRule="exact"/>
              <w:ind w:left="0"/>
              <w:jc w:val="right"/>
              <w:rPr>
                <w:i/>
                <w:iCs/>
                <w:sz w:val="16"/>
                <w:szCs w:val="16"/>
              </w:rPr>
            </w:pPr>
          </w:p>
        </w:tc>
        <w:tc>
          <w:tcPr>
            <w:tcW w:w="2695" w:type="dxa"/>
            <w:shd w:val="clear" w:color="auto" w:fill="auto"/>
            <w:vAlign w:val="bottom"/>
          </w:tcPr>
          <w:p w14:paraId="17134A9F" w14:textId="77777777" w:rsidR="00DD74D5" w:rsidRPr="001521F8" w:rsidRDefault="00DD74D5" w:rsidP="00DD74D5">
            <w:pPr>
              <w:pStyle w:val="a3"/>
              <w:widowControl/>
              <w:spacing w:line="180" w:lineRule="exact"/>
              <w:ind w:left="0"/>
              <w:rPr>
                <w:sz w:val="18"/>
                <w:szCs w:val="18"/>
              </w:rPr>
            </w:pPr>
          </w:p>
        </w:tc>
        <w:tc>
          <w:tcPr>
            <w:tcW w:w="113" w:type="dxa"/>
            <w:shd w:val="clear" w:color="auto" w:fill="auto"/>
            <w:vAlign w:val="bottom"/>
          </w:tcPr>
          <w:p w14:paraId="5A2279B8" w14:textId="77777777" w:rsidR="00DD74D5" w:rsidRPr="001521F8" w:rsidRDefault="00DD74D5" w:rsidP="00DD74D5">
            <w:pPr>
              <w:widowControl/>
              <w:spacing w:line="180" w:lineRule="exact"/>
              <w:rPr>
                <w:sz w:val="16"/>
                <w:szCs w:val="16"/>
              </w:rPr>
            </w:pPr>
          </w:p>
        </w:tc>
        <w:tc>
          <w:tcPr>
            <w:tcW w:w="907" w:type="dxa"/>
            <w:tcBorders>
              <w:top w:val="single" w:sz="6" w:space="0" w:color="auto"/>
            </w:tcBorders>
            <w:vAlign w:val="bottom"/>
          </w:tcPr>
          <w:p w14:paraId="77A47E61" w14:textId="77777777" w:rsidR="00DD74D5" w:rsidRPr="001521F8" w:rsidRDefault="00DD74D5" w:rsidP="00DD74D5">
            <w:pPr>
              <w:widowControl/>
              <w:tabs>
                <w:tab w:val="decimal" w:pos="113"/>
              </w:tabs>
              <w:spacing w:line="180" w:lineRule="exact"/>
              <w:rPr>
                <w:sz w:val="16"/>
                <w:szCs w:val="16"/>
                <w:rtl/>
              </w:rPr>
            </w:pPr>
          </w:p>
        </w:tc>
        <w:tc>
          <w:tcPr>
            <w:tcW w:w="113" w:type="dxa"/>
            <w:vAlign w:val="bottom"/>
          </w:tcPr>
          <w:p w14:paraId="7C9136B6" w14:textId="77777777" w:rsidR="00DD74D5" w:rsidRPr="001521F8" w:rsidRDefault="00DD74D5" w:rsidP="00DD74D5">
            <w:pPr>
              <w:widowControl/>
              <w:tabs>
                <w:tab w:val="decimal" w:pos="113"/>
              </w:tabs>
              <w:spacing w:line="180" w:lineRule="exact"/>
              <w:rPr>
                <w:sz w:val="16"/>
                <w:szCs w:val="16"/>
              </w:rPr>
            </w:pPr>
          </w:p>
        </w:tc>
        <w:tc>
          <w:tcPr>
            <w:tcW w:w="907" w:type="dxa"/>
            <w:gridSpan w:val="2"/>
            <w:tcBorders>
              <w:top w:val="single" w:sz="6" w:space="0" w:color="auto"/>
            </w:tcBorders>
            <w:shd w:val="clear" w:color="auto" w:fill="auto"/>
            <w:vAlign w:val="bottom"/>
          </w:tcPr>
          <w:p w14:paraId="69ECDE79" w14:textId="77777777" w:rsidR="00DD74D5" w:rsidRPr="001521F8" w:rsidRDefault="00DD74D5" w:rsidP="00DD74D5">
            <w:pPr>
              <w:widowControl/>
              <w:tabs>
                <w:tab w:val="decimal" w:pos="113"/>
              </w:tabs>
              <w:spacing w:line="180" w:lineRule="exact"/>
              <w:rPr>
                <w:sz w:val="16"/>
                <w:szCs w:val="16"/>
              </w:rPr>
            </w:pPr>
          </w:p>
        </w:tc>
        <w:tc>
          <w:tcPr>
            <w:tcW w:w="113" w:type="dxa"/>
            <w:shd w:val="clear" w:color="auto" w:fill="auto"/>
            <w:vAlign w:val="bottom"/>
          </w:tcPr>
          <w:p w14:paraId="3F1FB9A0" w14:textId="77777777" w:rsidR="00DD74D5" w:rsidRPr="001521F8" w:rsidRDefault="00DD74D5" w:rsidP="00DD74D5">
            <w:pPr>
              <w:widowControl/>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3F20F7A8" w14:textId="77777777" w:rsidR="00DD74D5" w:rsidRPr="001521F8" w:rsidRDefault="00DD74D5" w:rsidP="00DD74D5">
            <w:pPr>
              <w:widowControl/>
              <w:tabs>
                <w:tab w:val="decimal" w:pos="113"/>
              </w:tabs>
              <w:spacing w:line="180" w:lineRule="exact"/>
              <w:rPr>
                <w:sz w:val="16"/>
                <w:szCs w:val="16"/>
                <w:rtl/>
              </w:rPr>
            </w:pPr>
          </w:p>
        </w:tc>
        <w:tc>
          <w:tcPr>
            <w:tcW w:w="113" w:type="dxa"/>
            <w:shd w:val="clear" w:color="auto" w:fill="auto"/>
            <w:vAlign w:val="bottom"/>
          </w:tcPr>
          <w:p w14:paraId="6EC9BB46" w14:textId="77777777" w:rsidR="00DD74D5" w:rsidRPr="001521F8" w:rsidRDefault="00DD74D5" w:rsidP="00DD74D5">
            <w:pPr>
              <w:widowControl/>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4C226510" w14:textId="77777777" w:rsidR="00DD74D5" w:rsidRPr="001521F8" w:rsidRDefault="00DD74D5" w:rsidP="00DD74D5">
            <w:pPr>
              <w:widowControl/>
              <w:tabs>
                <w:tab w:val="decimal" w:pos="113"/>
              </w:tabs>
              <w:spacing w:line="180" w:lineRule="exact"/>
              <w:rPr>
                <w:sz w:val="16"/>
                <w:szCs w:val="16"/>
              </w:rPr>
            </w:pPr>
          </w:p>
        </w:tc>
        <w:tc>
          <w:tcPr>
            <w:tcW w:w="113" w:type="dxa"/>
            <w:shd w:val="clear" w:color="auto" w:fill="auto"/>
            <w:vAlign w:val="bottom"/>
          </w:tcPr>
          <w:p w14:paraId="5E8C01BC" w14:textId="77777777" w:rsidR="00DD74D5" w:rsidRPr="001521F8" w:rsidRDefault="00DD74D5" w:rsidP="00DD74D5">
            <w:pPr>
              <w:widowControl/>
              <w:tabs>
                <w:tab w:val="decimal" w:pos="113"/>
              </w:tabs>
              <w:spacing w:line="180" w:lineRule="exact"/>
              <w:rPr>
                <w:sz w:val="16"/>
                <w:szCs w:val="16"/>
              </w:rPr>
            </w:pPr>
          </w:p>
        </w:tc>
        <w:tc>
          <w:tcPr>
            <w:tcW w:w="1192" w:type="dxa"/>
            <w:tcBorders>
              <w:top w:val="single" w:sz="6" w:space="0" w:color="auto"/>
            </w:tcBorders>
            <w:shd w:val="clear" w:color="auto" w:fill="auto"/>
            <w:vAlign w:val="bottom"/>
          </w:tcPr>
          <w:p w14:paraId="3C2B6ADB" w14:textId="77777777" w:rsidR="00DD74D5" w:rsidRPr="001521F8" w:rsidRDefault="00DD74D5" w:rsidP="00DD74D5">
            <w:pPr>
              <w:widowControl/>
              <w:tabs>
                <w:tab w:val="decimal" w:pos="113"/>
              </w:tabs>
              <w:spacing w:line="180" w:lineRule="exact"/>
              <w:rPr>
                <w:sz w:val="16"/>
                <w:szCs w:val="16"/>
                <w:rtl/>
              </w:rPr>
            </w:pPr>
          </w:p>
        </w:tc>
      </w:tr>
      <w:tr w:rsidR="00DD74D5" w:rsidRPr="001521F8" w14:paraId="32D78B89" w14:textId="77777777" w:rsidTr="001521F8">
        <w:tc>
          <w:tcPr>
            <w:tcW w:w="1688" w:type="dxa"/>
            <w:tcBorders>
              <w:bottom w:val="single" w:sz="6" w:space="0" w:color="auto"/>
              <w:right w:val="single" w:sz="6" w:space="0" w:color="auto"/>
            </w:tcBorders>
          </w:tcPr>
          <w:p w14:paraId="2087D518" w14:textId="77777777" w:rsidR="00DD74D5" w:rsidRPr="001521F8" w:rsidRDefault="00DD74D5" w:rsidP="00DD74D5">
            <w:pPr>
              <w:bidi w:val="0"/>
              <w:spacing w:line="180" w:lineRule="exact"/>
              <w:ind w:right="57"/>
              <w:jc w:val="right"/>
              <w:rPr>
                <w:i/>
                <w:iCs/>
                <w:sz w:val="16"/>
                <w:szCs w:val="16"/>
                <w:rtl/>
              </w:rPr>
            </w:pPr>
            <w:r w:rsidRPr="001521F8">
              <w:rPr>
                <w:i/>
                <w:iCs/>
                <w:sz w:val="16"/>
                <w:szCs w:val="16"/>
              </w:rPr>
              <w:t>IAS 33.66</w:t>
            </w:r>
          </w:p>
        </w:tc>
        <w:tc>
          <w:tcPr>
            <w:tcW w:w="2695" w:type="dxa"/>
            <w:tcBorders>
              <w:left w:val="single" w:sz="6" w:space="0" w:color="auto"/>
            </w:tcBorders>
            <w:shd w:val="clear" w:color="auto" w:fill="auto"/>
            <w:vAlign w:val="bottom"/>
          </w:tcPr>
          <w:p w14:paraId="1606C82C" w14:textId="77777777" w:rsidR="00DD74D5" w:rsidRPr="001521F8" w:rsidRDefault="00DD74D5" w:rsidP="00DD74D5">
            <w:pPr>
              <w:spacing w:line="180" w:lineRule="exact"/>
              <w:ind w:left="227" w:hanging="170"/>
              <w:jc w:val="left"/>
              <w:rPr>
                <w:sz w:val="18"/>
                <w:szCs w:val="18"/>
              </w:rPr>
            </w:pPr>
            <w:r w:rsidRPr="001521F8">
              <w:rPr>
                <w:rFonts w:hint="cs"/>
                <w:sz w:val="18"/>
                <w:szCs w:val="18"/>
                <w:rtl/>
              </w:rPr>
              <w:t xml:space="preserve">רווח נקי (הפסד) </w:t>
            </w:r>
          </w:p>
        </w:tc>
        <w:tc>
          <w:tcPr>
            <w:tcW w:w="113" w:type="dxa"/>
            <w:shd w:val="clear" w:color="auto" w:fill="auto"/>
            <w:vAlign w:val="bottom"/>
          </w:tcPr>
          <w:p w14:paraId="1D39FA48" w14:textId="77777777" w:rsidR="00DD74D5" w:rsidRPr="001521F8" w:rsidRDefault="00DD74D5" w:rsidP="00DD74D5">
            <w:pPr>
              <w:spacing w:line="180" w:lineRule="exact"/>
              <w:rPr>
                <w:sz w:val="16"/>
                <w:szCs w:val="16"/>
              </w:rPr>
            </w:pPr>
          </w:p>
        </w:tc>
        <w:tc>
          <w:tcPr>
            <w:tcW w:w="907" w:type="dxa"/>
            <w:tcBorders>
              <w:bottom w:val="double" w:sz="6" w:space="0" w:color="auto"/>
            </w:tcBorders>
            <w:shd w:val="clear" w:color="auto" w:fill="auto"/>
            <w:vAlign w:val="bottom"/>
          </w:tcPr>
          <w:p w14:paraId="54435BC5"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37247693" w14:textId="77777777" w:rsidR="00DD74D5" w:rsidRPr="001521F8" w:rsidRDefault="00DD74D5" w:rsidP="00DD74D5">
            <w:pPr>
              <w:tabs>
                <w:tab w:val="decimal" w:pos="113"/>
              </w:tabs>
              <w:spacing w:line="180" w:lineRule="exact"/>
              <w:rPr>
                <w:sz w:val="16"/>
                <w:szCs w:val="16"/>
              </w:rPr>
            </w:pPr>
          </w:p>
        </w:tc>
        <w:tc>
          <w:tcPr>
            <w:tcW w:w="907" w:type="dxa"/>
            <w:gridSpan w:val="2"/>
            <w:tcBorders>
              <w:bottom w:val="double" w:sz="6" w:space="0" w:color="auto"/>
            </w:tcBorders>
            <w:shd w:val="clear" w:color="auto" w:fill="auto"/>
            <w:vAlign w:val="bottom"/>
          </w:tcPr>
          <w:p w14:paraId="0CE5AF5C"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62851A9C" w14:textId="77777777" w:rsidR="00DD74D5" w:rsidRPr="001521F8" w:rsidRDefault="00DD74D5" w:rsidP="00DD74D5">
            <w:pPr>
              <w:tabs>
                <w:tab w:val="decimal" w:pos="113"/>
              </w:tabs>
              <w:spacing w:line="180" w:lineRule="exact"/>
              <w:rPr>
                <w:sz w:val="16"/>
                <w:szCs w:val="16"/>
              </w:rPr>
            </w:pPr>
          </w:p>
        </w:tc>
        <w:tc>
          <w:tcPr>
            <w:tcW w:w="907" w:type="dxa"/>
            <w:tcBorders>
              <w:bottom w:val="double" w:sz="6" w:space="0" w:color="auto"/>
            </w:tcBorders>
            <w:shd w:val="clear" w:color="auto" w:fill="auto"/>
            <w:vAlign w:val="bottom"/>
          </w:tcPr>
          <w:p w14:paraId="275AC9BC"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60F9FCD3" w14:textId="77777777" w:rsidR="00DD74D5" w:rsidRPr="001521F8" w:rsidRDefault="00DD74D5" w:rsidP="00DD74D5">
            <w:pPr>
              <w:tabs>
                <w:tab w:val="decimal" w:pos="113"/>
              </w:tabs>
              <w:spacing w:line="180" w:lineRule="exact"/>
              <w:rPr>
                <w:sz w:val="16"/>
                <w:szCs w:val="16"/>
              </w:rPr>
            </w:pPr>
          </w:p>
        </w:tc>
        <w:tc>
          <w:tcPr>
            <w:tcW w:w="907" w:type="dxa"/>
            <w:tcBorders>
              <w:bottom w:val="double" w:sz="6" w:space="0" w:color="auto"/>
            </w:tcBorders>
            <w:shd w:val="clear" w:color="auto" w:fill="auto"/>
            <w:vAlign w:val="bottom"/>
          </w:tcPr>
          <w:p w14:paraId="71650816"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4BF4213D" w14:textId="77777777" w:rsidR="00DD74D5" w:rsidRPr="001521F8" w:rsidRDefault="00DD74D5" w:rsidP="00DD74D5">
            <w:pPr>
              <w:tabs>
                <w:tab w:val="decimal" w:pos="113"/>
              </w:tabs>
              <w:spacing w:line="180" w:lineRule="exact"/>
              <w:rPr>
                <w:sz w:val="16"/>
                <w:szCs w:val="16"/>
              </w:rPr>
            </w:pPr>
          </w:p>
        </w:tc>
        <w:tc>
          <w:tcPr>
            <w:tcW w:w="1192" w:type="dxa"/>
            <w:tcBorders>
              <w:bottom w:val="double" w:sz="6" w:space="0" w:color="auto"/>
            </w:tcBorders>
            <w:shd w:val="clear" w:color="auto" w:fill="auto"/>
            <w:vAlign w:val="bottom"/>
          </w:tcPr>
          <w:p w14:paraId="6FABF4B4" w14:textId="77777777" w:rsidR="00DD74D5" w:rsidRPr="001521F8" w:rsidRDefault="00DD74D5" w:rsidP="00DD74D5">
            <w:pPr>
              <w:tabs>
                <w:tab w:val="decimal" w:pos="113"/>
              </w:tabs>
              <w:spacing w:line="180" w:lineRule="exact"/>
              <w:rPr>
                <w:sz w:val="16"/>
                <w:szCs w:val="16"/>
                <w:rtl/>
              </w:rPr>
            </w:pPr>
          </w:p>
        </w:tc>
      </w:tr>
      <w:tr w:rsidR="00DD74D5" w:rsidRPr="001521F8" w14:paraId="68883423" w14:textId="77777777" w:rsidTr="001521F8">
        <w:tc>
          <w:tcPr>
            <w:tcW w:w="1688" w:type="dxa"/>
            <w:tcBorders>
              <w:top w:val="single" w:sz="6" w:space="0" w:color="auto"/>
            </w:tcBorders>
          </w:tcPr>
          <w:p w14:paraId="1210E136" w14:textId="77777777" w:rsidR="00DD74D5" w:rsidRPr="001521F8" w:rsidRDefault="00DD74D5" w:rsidP="00DD74D5">
            <w:pPr>
              <w:pStyle w:val="a3"/>
              <w:widowControl/>
              <w:spacing w:line="120" w:lineRule="auto"/>
              <w:ind w:left="0"/>
              <w:jc w:val="right"/>
              <w:rPr>
                <w:i/>
                <w:iCs/>
                <w:sz w:val="16"/>
                <w:szCs w:val="16"/>
              </w:rPr>
            </w:pPr>
          </w:p>
        </w:tc>
        <w:tc>
          <w:tcPr>
            <w:tcW w:w="2695" w:type="dxa"/>
            <w:shd w:val="clear" w:color="auto" w:fill="auto"/>
            <w:vAlign w:val="bottom"/>
          </w:tcPr>
          <w:p w14:paraId="2C9C9150" w14:textId="77777777" w:rsidR="00DD74D5" w:rsidRPr="001521F8" w:rsidRDefault="00DD74D5" w:rsidP="00DD74D5">
            <w:pPr>
              <w:pStyle w:val="a3"/>
              <w:widowControl/>
              <w:spacing w:line="120" w:lineRule="auto"/>
              <w:ind w:left="0"/>
              <w:rPr>
                <w:sz w:val="18"/>
                <w:szCs w:val="18"/>
              </w:rPr>
            </w:pPr>
          </w:p>
        </w:tc>
        <w:tc>
          <w:tcPr>
            <w:tcW w:w="113" w:type="dxa"/>
            <w:shd w:val="clear" w:color="auto" w:fill="auto"/>
            <w:vAlign w:val="bottom"/>
          </w:tcPr>
          <w:p w14:paraId="0D7F627D" w14:textId="77777777" w:rsidR="00DD74D5" w:rsidRPr="001521F8" w:rsidRDefault="00DD74D5" w:rsidP="00DD74D5">
            <w:pPr>
              <w:widowControl/>
              <w:spacing w:line="120" w:lineRule="auto"/>
              <w:rPr>
                <w:sz w:val="16"/>
                <w:szCs w:val="16"/>
              </w:rPr>
            </w:pPr>
          </w:p>
        </w:tc>
        <w:tc>
          <w:tcPr>
            <w:tcW w:w="907" w:type="dxa"/>
            <w:tcBorders>
              <w:top w:val="double" w:sz="6" w:space="0" w:color="auto"/>
            </w:tcBorders>
            <w:vAlign w:val="bottom"/>
          </w:tcPr>
          <w:p w14:paraId="6AF20044"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61012D02" w14:textId="77777777" w:rsidR="00DD74D5" w:rsidRPr="001521F8" w:rsidRDefault="00DD74D5" w:rsidP="00DD74D5">
            <w:pPr>
              <w:widowControl/>
              <w:tabs>
                <w:tab w:val="decimal" w:pos="113"/>
              </w:tabs>
              <w:spacing w:line="120" w:lineRule="auto"/>
              <w:rPr>
                <w:sz w:val="16"/>
                <w:szCs w:val="16"/>
              </w:rPr>
            </w:pPr>
          </w:p>
        </w:tc>
        <w:tc>
          <w:tcPr>
            <w:tcW w:w="907" w:type="dxa"/>
            <w:gridSpan w:val="2"/>
            <w:tcBorders>
              <w:top w:val="double" w:sz="6" w:space="0" w:color="auto"/>
            </w:tcBorders>
            <w:shd w:val="clear" w:color="auto" w:fill="auto"/>
            <w:vAlign w:val="bottom"/>
          </w:tcPr>
          <w:p w14:paraId="05288CC2"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7FAC9895" w14:textId="77777777" w:rsidR="00DD74D5" w:rsidRPr="001521F8" w:rsidRDefault="00DD74D5" w:rsidP="00DD74D5">
            <w:pPr>
              <w:widowControl/>
              <w:tabs>
                <w:tab w:val="decimal" w:pos="113"/>
              </w:tabs>
              <w:spacing w:line="120" w:lineRule="auto"/>
              <w:rPr>
                <w:sz w:val="16"/>
                <w:szCs w:val="16"/>
              </w:rPr>
            </w:pPr>
          </w:p>
        </w:tc>
        <w:tc>
          <w:tcPr>
            <w:tcW w:w="907" w:type="dxa"/>
            <w:tcBorders>
              <w:top w:val="double" w:sz="6" w:space="0" w:color="auto"/>
            </w:tcBorders>
            <w:shd w:val="clear" w:color="auto" w:fill="auto"/>
            <w:vAlign w:val="bottom"/>
          </w:tcPr>
          <w:p w14:paraId="1B668F7B"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489B2532" w14:textId="77777777" w:rsidR="00DD74D5" w:rsidRPr="001521F8" w:rsidRDefault="00DD74D5" w:rsidP="00DD74D5">
            <w:pPr>
              <w:widowControl/>
              <w:tabs>
                <w:tab w:val="decimal" w:pos="113"/>
              </w:tabs>
              <w:spacing w:line="120" w:lineRule="auto"/>
              <w:rPr>
                <w:sz w:val="16"/>
                <w:szCs w:val="16"/>
              </w:rPr>
            </w:pPr>
          </w:p>
        </w:tc>
        <w:tc>
          <w:tcPr>
            <w:tcW w:w="907" w:type="dxa"/>
            <w:tcBorders>
              <w:top w:val="double" w:sz="6" w:space="0" w:color="auto"/>
            </w:tcBorders>
            <w:shd w:val="clear" w:color="auto" w:fill="auto"/>
            <w:vAlign w:val="bottom"/>
          </w:tcPr>
          <w:p w14:paraId="02EEBBE5"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1BAAF3AB" w14:textId="77777777" w:rsidR="00DD74D5" w:rsidRPr="001521F8" w:rsidRDefault="00DD74D5" w:rsidP="00DD74D5">
            <w:pPr>
              <w:widowControl/>
              <w:tabs>
                <w:tab w:val="decimal" w:pos="113"/>
              </w:tabs>
              <w:spacing w:line="120" w:lineRule="auto"/>
              <w:rPr>
                <w:sz w:val="16"/>
                <w:szCs w:val="16"/>
              </w:rPr>
            </w:pPr>
          </w:p>
        </w:tc>
        <w:tc>
          <w:tcPr>
            <w:tcW w:w="1192" w:type="dxa"/>
            <w:tcBorders>
              <w:top w:val="double" w:sz="6" w:space="0" w:color="auto"/>
            </w:tcBorders>
            <w:shd w:val="clear" w:color="auto" w:fill="auto"/>
            <w:vAlign w:val="bottom"/>
          </w:tcPr>
          <w:p w14:paraId="0852B8CD" w14:textId="77777777" w:rsidR="00DD74D5" w:rsidRPr="001521F8" w:rsidRDefault="00DD74D5" w:rsidP="00DD74D5">
            <w:pPr>
              <w:widowControl/>
              <w:tabs>
                <w:tab w:val="decimal" w:pos="113"/>
              </w:tabs>
              <w:spacing w:line="120" w:lineRule="auto"/>
              <w:rPr>
                <w:sz w:val="16"/>
                <w:szCs w:val="16"/>
                <w:rtl/>
              </w:rPr>
            </w:pPr>
          </w:p>
        </w:tc>
      </w:tr>
      <w:tr w:rsidR="00DD74D5" w:rsidRPr="001521F8" w14:paraId="27363186" w14:textId="77777777" w:rsidTr="001521F8">
        <w:tc>
          <w:tcPr>
            <w:tcW w:w="1688" w:type="dxa"/>
          </w:tcPr>
          <w:p w14:paraId="4C450E3D" w14:textId="77777777" w:rsidR="00DD74D5" w:rsidRPr="001521F8" w:rsidRDefault="00DD74D5" w:rsidP="00DD74D5">
            <w:pPr>
              <w:bidi w:val="0"/>
              <w:spacing w:line="180" w:lineRule="exact"/>
              <w:ind w:right="57"/>
              <w:jc w:val="right"/>
              <w:rPr>
                <w:b/>
                <w:bCs/>
                <w:i/>
                <w:iCs/>
                <w:sz w:val="16"/>
                <w:szCs w:val="16"/>
                <w:rtl/>
              </w:rPr>
            </w:pPr>
          </w:p>
        </w:tc>
        <w:tc>
          <w:tcPr>
            <w:tcW w:w="2695" w:type="dxa"/>
            <w:shd w:val="clear" w:color="auto" w:fill="auto"/>
            <w:vAlign w:val="bottom"/>
          </w:tcPr>
          <w:p w14:paraId="104006BD" w14:textId="77777777" w:rsidR="00DD74D5" w:rsidRPr="001521F8" w:rsidRDefault="00DD74D5" w:rsidP="00DD74D5">
            <w:pPr>
              <w:spacing w:line="180" w:lineRule="exact"/>
              <w:ind w:left="227" w:hanging="170"/>
              <w:jc w:val="left"/>
              <w:rPr>
                <w:b/>
                <w:bCs/>
                <w:sz w:val="18"/>
                <w:szCs w:val="18"/>
              </w:rPr>
            </w:pPr>
            <w:r w:rsidRPr="001521F8">
              <w:rPr>
                <w:rFonts w:hint="cs"/>
                <w:b/>
                <w:bCs/>
                <w:sz w:val="18"/>
                <w:szCs w:val="18"/>
                <w:rtl/>
              </w:rPr>
              <w:t>רווח נקי (הפסד) מדולל</w:t>
            </w:r>
          </w:p>
        </w:tc>
        <w:tc>
          <w:tcPr>
            <w:tcW w:w="113" w:type="dxa"/>
            <w:shd w:val="clear" w:color="auto" w:fill="auto"/>
            <w:vAlign w:val="bottom"/>
          </w:tcPr>
          <w:p w14:paraId="034F4C91" w14:textId="77777777" w:rsidR="00DD74D5" w:rsidRPr="001521F8" w:rsidRDefault="00DD74D5" w:rsidP="00DD74D5">
            <w:pPr>
              <w:spacing w:line="180" w:lineRule="exact"/>
              <w:rPr>
                <w:sz w:val="16"/>
                <w:szCs w:val="16"/>
              </w:rPr>
            </w:pPr>
          </w:p>
        </w:tc>
        <w:tc>
          <w:tcPr>
            <w:tcW w:w="907" w:type="dxa"/>
            <w:shd w:val="clear" w:color="auto" w:fill="auto"/>
            <w:vAlign w:val="bottom"/>
          </w:tcPr>
          <w:p w14:paraId="14390A3B"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6B4A2BB6"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177BD164"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041CAEF1"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5B6FFD36"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7251DA27"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492B0CB1"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1392CC54"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01B566D2" w14:textId="77777777" w:rsidR="00DD74D5" w:rsidRPr="001521F8" w:rsidRDefault="00DD74D5" w:rsidP="00DD74D5">
            <w:pPr>
              <w:tabs>
                <w:tab w:val="decimal" w:pos="113"/>
              </w:tabs>
              <w:spacing w:line="180" w:lineRule="exact"/>
              <w:rPr>
                <w:sz w:val="16"/>
                <w:szCs w:val="16"/>
                <w:rtl/>
              </w:rPr>
            </w:pPr>
          </w:p>
        </w:tc>
      </w:tr>
      <w:tr w:rsidR="00DD74D5" w:rsidRPr="001521F8" w14:paraId="2DFC4894" w14:textId="77777777" w:rsidTr="001521F8">
        <w:tc>
          <w:tcPr>
            <w:tcW w:w="1688" w:type="dxa"/>
          </w:tcPr>
          <w:p w14:paraId="6516B41A" w14:textId="77777777" w:rsidR="00DD74D5" w:rsidRPr="001521F8" w:rsidRDefault="00DD74D5" w:rsidP="00DD74D5">
            <w:pPr>
              <w:widowControl/>
              <w:spacing w:line="120" w:lineRule="auto"/>
              <w:jc w:val="right"/>
              <w:rPr>
                <w:i/>
                <w:iCs/>
                <w:sz w:val="16"/>
                <w:szCs w:val="16"/>
                <w:rtl/>
              </w:rPr>
            </w:pPr>
          </w:p>
        </w:tc>
        <w:tc>
          <w:tcPr>
            <w:tcW w:w="2695" w:type="dxa"/>
            <w:shd w:val="clear" w:color="auto" w:fill="auto"/>
            <w:vAlign w:val="bottom"/>
          </w:tcPr>
          <w:p w14:paraId="330832CC" w14:textId="77777777" w:rsidR="00DD74D5" w:rsidRPr="001521F8" w:rsidRDefault="00DD74D5" w:rsidP="00DD74D5">
            <w:pPr>
              <w:pStyle w:val="a3"/>
              <w:widowControl/>
              <w:tabs>
                <w:tab w:val="left" w:pos="227"/>
                <w:tab w:val="left" w:pos="397"/>
                <w:tab w:val="left" w:pos="567"/>
              </w:tabs>
              <w:spacing w:line="120" w:lineRule="auto"/>
              <w:ind w:left="0"/>
              <w:rPr>
                <w:sz w:val="18"/>
                <w:szCs w:val="18"/>
                <w:u w:val="single"/>
                <w:rtl/>
              </w:rPr>
            </w:pPr>
          </w:p>
        </w:tc>
        <w:tc>
          <w:tcPr>
            <w:tcW w:w="113" w:type="dxa"/>
            <w:shd w:val="clear" w:color="auto" w:fill="auto"/>
            <w:vAlign w:val="bottom"/>
          </w:tcPr>
          <w:p w14:paraId="5C917E6B" w14:textId="77777777" w:rsidR="00DD74D5" w:rsidRPr="001521F8" w:rsidRDefault="00DD74D5" w:rsidP="00DD74D5">
            <w:pPr>
              <w:widowControl/>
              <w:spacing w:line="120" w:lineRule="auto"/>
              <w:rPr>
                <w:sz w:val="16"/>
                <w:szCs w:val="16"/>
              </w:rPr>
            </w:pPr>
          </w:p>
        </w:tc>
        <w:tc>
          <w:tcPr>
            <w:tcW w:w="907" w:type="dxa"/>
            <w:vAlign w:val="bottom"/>
          </w:tcPr>
          <w:p w14:paraId="54ABC58E"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5CC6CDFF" w14:textId="77777777" w:rsidR="00DD74D5" w:rsidRPr="001521F8" w:rsidRDefault="00DD74D5" w:rsidP="00DD74D5">
            <w:pPr>
              <w:widowControl/>
              <w:tabs>
                <w:tab w:val="decimal" w:pos="113"/>
              </w:tabs>
              <w:spacing w:line="120" w:lineRule="auto"/>
              <w:rPr>
                <w:sz w:val="16"/>
                <w:szCs w:val="16"/>
              </w:rPr>
            </w:pPr>
          </w:p>
        </w:tc>
        <w:tc>
          <w:tcPr>
            <w:tcW w:w="907" w:type="dxa"/>
            <w:gridSpan w:val="2"/>
            <w:shd w:val="clear" w:color="auto" w:fill="auto"/>
            <w:vAlign w:val="bottom"/>
          </w:tcPr>
          <w:p w14:paraId="51D9A1AD"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251C5539" w14:textId="77777777" w:rsidR="00DD74D5" w:rsidRPr="001521F8" w:rsidRDefault="00DD74D5" w:rsidP="00DD74D5">
            <w:pPr>
              <w:widowControl/>
              <w:tabs>
                <w:tab w:val="decimal" w:pos="113"/>
              </w:tabs>
              <w:spacing w:line="120" w:lineRule="auto"/>
              <w:rPr>
                <w:sz w:val="16"/>
                <w:szCs w:val="16"/>
              </w:rPr>
            </w:pPr>
          </w:p>
        </w:tc>
        <w:tc>
          <w:tcPr>
            <w:tcW w:w="907" w:type="dxa"/>
            <w:shd w:val="clear" w:color="auto" w:fill="auto"/>
            <w:vAlign w:val="bottom"/>
          </w:tcPr>
          <w:p w14:paraId="4AFE2A59"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13AB6C7B" w14:textId="77777777" w:rsidR="00DD74D5" w:rsidRPr="001521F8" w:rsidRDefault="00DD74D5" w:rsidP="00DD74D5">
            <w:pPr>
              <w:widowControl/>
              <w:tabs>
                <w:tab w:val="decimal" w:pos="113"/>
              </w:tabs>
              <w:spacing w:line="120" w:lineRule="auto"/>
              <w:rPr>
                <w:sz w:val="16"/>
                <w:szCs w:val="16"/>
              </w:rPr>
            </w:pPr>
          </w:p>
        </w:tc>
        <w:tc>
          <w:tcPr>
            <w:tcW w:w="907" w:type="dxa"/>
            <w:shd w:val="clear" w:color="auto" w:fill="auto"/>
            <w:vAlign w:val="bottom"/>
          </w:tcPr>
          <w:p w14:paraId="326D5D7C"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28A83DBB" w14:textId="77777777" w:rsidR="00DD74D5" w:rsidRPr="001521F8" w:rsidRDefault="00DD74D5" w:rsidP="00DD74D5">
            <w:pPr>
              <w:widowControl/>
              <w:tabs>
                <w:tab w:val="decimal" w:pos="113"/>
              </w:tabs>
              <w:spacing w:line="120" w:lineRule="auto"/>
              <w:rPr>
                <w:sz w:val="16"/>
                <w:szCs w:val="16"/>
              </w:rPr>
            </w:pPr>
          </w:p>
        </w:tc>
        <w:tc>
          <w:tcPr>
            <w:tcW w:w="1192" w:type="dxa"/>
            <w:shd w:val="clear" w:color="auto" w:fill="auto"/>
            <w:vAlign w:val="bottom"/>
          </w:tcPr>
          <w:p w14:paraId="5955070C" w14:textId="77777777" w:rsidR="00DD74D5" w:rsidRPr="001521F8" w:rsidRDefault="00DD74D5" w:rsidP="00DD74D5">
            <w:pPr>
              <w:widowControl/>
              <w:tabs>
                <w:tab w:val="decimal" w:pos="113"/>
              </w:tabs>
              <w:spacing w:line="120" w:lineRule="auto"/>
              <w:rPr>
                <w:sz w:val="16"/>
                <w:szCs w:val="16"/>
                <w:rtl/>
              </w:rPr>
            </w:pPr>
          </w:p>
        </w:tc>
      </w:tr>
      <w:tr w:rsidR="00DD74D5" w:rsidRPr="001521F8" w14:paraId="765FC8E0" w14:textId="77777777" w:rsidTr="001521F8">
        <w:tc>
          <w:tcPr>
            <w:tcW w:w="1688" w:type="dxa"/>
            <w:tcBorders>
              <w:bottom w:val="single" w:sz="6" w:space="0" w:color="auto"/>
              <w:right w:val="single" w:sz="6" w:space="0" w:color="auto"/>
            </w:tcBorders>
          </w:tcPr>
          <w:p w14:paraId="42791ADA" w14:textId="77777777" w:rsidR="00DD74D5" w:rsidRPr="001521F8" w:rsidRDefault="00DD74D5" w:rsidP="00DD74D5">
            <w:pPr>
              <w:bidi w:val="0"/>
              <w:spacing w:line="180" w:lineRule="exact"/>
              <w:ind w:right="57"/>
              <w:jc w:val="right"/>
              <w:rPr>
                <w:i/>
                <w:iCs/>
                <w:sz w:val="16"/>
                <w:szCs w:val="16"/>
                <w:rtl/>
              </w:rPr>
            </w:pPr>
            <w:r w:rsidRPr="001521F8">
              <w:rPr>
                <w:i/>
                <w:iCs/>
                <w:sz w:val="16"/>
                <w:szCs w:val="16"/>
              </w:rPr>
              <w:t>IAS 33.66</w:t>
            </w:r>
          </w:p>
        </w:tc>
        <w:tc>
          <w:tcPr>
            <w:tcW w:w="2695" w:type="dxa"/>
            <w:tcBorders>
              <w:left w:val="single" w:sz="6" w:space="0" w:color="auto"/>
            </w:tcBorders>
            <w:shd w:val="clear" w:color="auto" w:fill="auto"/>
            <w:vAlign w:val="bottom"/>
          </w:tcPr>
          <w:p w14:paraId="3B07E2CE" w14:textId="77777777" w:rsidR="00DD74D5" w:rsidRPr="001521F8" w:rsidRDefault="00DD74D5" w:rsidP="00DD74D5">
            <w:pPr>
              <w:spacing w:line="180" w:lineRule="exact"/>
              <w:ind w:left="227" w:hanging="170"/>
              <w:jc w:val="left"/>
              <w:rPr>
                <w:sz w:val="18"/>
                <w:szCs w:val="18"/>
              </w:rPr>
            </w:pPr>
            <w:r w:rsidRPr="001521F8">
              <w:rPr>
                <w:rFonts w:hint="cs"/>
                <w:sz w:val="18"/>
                <w:szCs w:val="18"/>
                <w:rtl/>
              </w:rPr>
              <w:t>רווח (הפסד) מפעילויות נמשכות</w:t>
            </w:r>
          </w:p>
        </w:tc>
        <w:tc>
          <w:tcPr>
            <w:tcW w:w="113" w:type="dxa"/>
            <w:shd w:val="clear" w:color="auto" w:fill="auto"/>
            <w:vAlign w:val="bottom"/>
          </w:tcPr>
          <w:p w14:paraId="3894C8DC" w14:textId="77777777" w:rsidR="00DD74D5" w:rsidRPr="001521F8" w:rsidRDefault="00DD74D5" w:rsidP="00DD74D5">
            <w:pPr>
              <w:spacing w:line="180" w:lineRule="exact"/>
              <w:rPr>
                <w:sz w:val="16"/>
                <w:szCs w:val="16"/>
              </w:rPr>
            </w:pPr>
          </w:p>
        </w:tc>
        <w:tc>
          <w:tcPr>
            <w:tcW w:w="907" w:type="dxa"/>
            <w:vAlign w:val="bottom"/>
          </w:tcPr>
          <w:p w14:paraId="3EEA7976"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44428007" w14:textId="77777777" w:rsidR="00DD74D5" w:rsidRPr="001521F8" w:rsidRDefault="00DD74D5" w:rsidP="00DD74D5">
            <w:pPr>
              <w:tabs>
                <w:tab w:val="decimal" w:pos="113"/>
              </w:tabs>
              <w:spacing w:line="180" w:lineRule="exact"/>
              <w:rPr>
                <w:sz w:val="16"/>
                <w:szCs w:val="16"/>
              </w:rPr>
            </w:pPr>
          </w:p>
        </w:tc>
        <w:tc>
          <w:tcPr>
            <w:tcW w:w="907" w:type="dxa"/>
            <w:gridSpan w:val="2"/>
            <w:shd w:val="clear" w:color="auto" w:fill="auto"/>
            <w:vAlign w:val="bottom"/>
          </w:tcPr>
          <w:p w14:paraId="4636766B"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3269B399"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1C1BCE6C"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71CAD6E7" w14:textId="77777777" w:rsidR="00DD74D5" w:rsidRPr="001521F8" w:rsidRDefault="00DD74D5" w:rsidP="00DD74D5">
            <w:pPr>
              <w:tabs>
                <w:tab w:val="decimal" w:pos="113"/>
              </w:tabs>
              <w:spacing w:line="180" w:lineRule="exact"/>
              <w:rPr>
                <w:sz w:val="16"/>
                <w:szCs w:val="16"/>
              </w:rPr>
            </w:pPr>
          </w:p>
        </w:tc>
        <w:tc>
          <w:tcPr>
            <w:tcW w:w="907" w:type="dxa"/>
            <w:shd w:val="clear" w:color="auto" w:fill="auto"/>
            <w:vAlign w:val="bottom"/>
          </w:tcPr>
          <w:p w14:paraId="0DA35BAD"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4F00A3C9" w14:textId="77777777" w:rsidR="00DD74D5" w:rsidRPr="001521F8" w:rsidRDefault="00DD74D5" w:rsidP="00DD74D5">
            <w:pPr>
              <w:tabs>
                <w:tab w:val="decimal" w:pos="113"/>
              </w:tabs>
              <w:spacing w:line="180" w:lineRule="exact"/>
              <w:rPr>
                <w:sz w:val="16"/>
                <w:szCs w:val="16"/>
              </w:rPr>
            </w:pPr>
          </w:p>
        </w:tc>
        <w:tc>
          <w:tcPr>
            <w:tcW w:w="1192" w:type="dxa"/>
            <w:shd w:val="clear" w:color="auto" w:fill="auto"/>
            <w:vAlign w:val="bottom"/>
          </w:tcPr>
          <w:p w14:paraId="669828BD" w14:textId="77777777" w:rsidR="00DD74D5" w:rsidRPr="001521F8" w:rsidRDefault="00DD74D5" w:rsidP="00DD74D5">
            <w:pPr>
              <w:tabs>
                <w:tab w:val="decimal" w:pos="113"/>
              </w:tabs>
              <w:spacing w:line="180" w:lineRule="exact"/>
              <w:rPr>
                <w:sz w:val="16"/>
                <w:szCs w:val="16"/>
                <w:rtl/>
              </w:rPr>
            </w:pPr>
          </w:p>
        </w:tc>
      </w:tr>
      <w:tr w:rsidR="00DD74D5" w:rsidRPr="001521F8" w14:paraId="2E220A2F" w14:textId="77777777" w:rsidTr="001521F8">
        <w:tc>
          <w:tcPr>
            <w:tcW w:w="1688" w:type="dxa"/>
            <w:tcBorders>
              <w:top w:val="single" w:sz="6" w:space="0" w:color="auto"/>
              <w:bottom w:val="single" w:sz="6" w:space="0" w:color="auto"/>
              <w:right w:val="single" w:sz="6" w:space="0" w:color="auto"/>
            </w:tcBorders>
          </w:tcPr>
          <w:p w14:paraId="53AA40FF" w14:textId="77777777" w:rsidR="00DD74D5" w:rsidRPr="001521F8" w:rsidRDefault="00DD74D5" w:rsidP="00DD74D5">
            <w:pPr>
              <w:bidi w:val="0"/>
              <w:spacing w:line="180" w:lineRule="exact"/>
              <w:ind w:right="57"/>
              <w:jc w:val="right"/>
              <w:rPr>
                <w:i/>
                <w:iCs/>
                <w:sz w:val="16"/>
                <w:szCs w:val="16"/>
                <w:rtl/>
              </w:rPr>
            </w:pPr>
            <w:r w:rsidRPr="001521F8">
              <w:rPr>
                <w:i/>
                <w:iCs/>
                <w:sz w:val="16"/>
                <w:szCs w:val="16"/>
              </w:rPr>
              <w:t>IAS 33.68</w:t>
            </w:r>
          </w:p>
        </w:tc>
        <w:tc>
          <w:tcPr>
            <w:tcW w:w="2695" w:type="dxa"/>
            <w:tcBorders>
              <w:left w:val="single" w:sz="6" w:space="0" w:color="auto"/>
            </w:tcBorders>
            <w:shd w:val="clear" w:color="auto" w:fill="auto"/>
            <w:vAlign w:val="bottom"/>
          </w:tcPr>
          <w:p w14:paraId="458C47C9" w14:textId="77777777" w:rsidR="00DD74D5" w:rsidRPr="001521F8" w:rsidRDefault="00DD74D5" w:rsidP="00DD74D5">
            <w:pPr>
              <w:spacing w:line="180" w:lineRule="exact"/>
              <w:ind w:left="227" w:hanging="170"/>
              <w:jc w:val="left"/>
              <w:rPr>
                <w:sz w:val="18"/>
                <w:szCs w:val="18"/>
              </w:rPr>
            </w:pPr>
            <w:r w:rsidRPr="001521F8">
              <w:rPr>
                <w:rFonts w:hint="cs"/>
                <w:sz w:val="18"/>
                <w:szCs w:val="18"/>
                <w:rtl/>
              </w:rPr>
              <w:t>רווח (הפסד) מפעילויות שהופסקו</w:t>
            </w:r>
          </w:p>
        </w:tc>
        <w:tc>
          <w:tcPr>
            <w:tcW w:w="113" w:type="dxa"/>
            <w:shd w:val="clear" w:color="auto" w:fill="auto"/>
            <w:vAlign w:val="bottom"/>
          </w:tcPr>
          <w:p w14:paraId="31AAB8FF" w14:textId="77777777" w:rsidR="00DD74D5" w:rsidRPr="001521F8" w:rsidRDefault="00DD74D5" w:rsidP="00DD74D5">
            <w:pPr>
              <w:spacing w:line="180" w:lineRule="exact"/>
              <w:rPr>
                <w:sz w:val="16"/>
                <w:szCs w:val="16"/>
              </w:rPr>
            </w:pPr>
          </w:p>
        </w:tc>
        <w:tc>
          <w:tcPr>
            <w:tcW w:w="907" w:type="dxa"/>
            <w:tcBorders>
              <w:bottom w:val="single" w:sz="6" w:space="0" w:color="auto"/>
            </w:tcBorders>
            <w:shd w:val="clear" w:color="auto" w:fill="auto"/>
            <w:vAlign w:val="bottom"/>
          </w:tcPr>
          <w:p w14:paraId="7D87D358"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5EC3C676" w14:textId="77777777" w:rsidR="00DD74D5" w:rsidRPr="001521F8" w:rsidRDefault="00DD74D5" w:rsidP="00DD74D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17A18180"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29F1BCCE"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39E4F23E"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1F2E1256" w14:textId="77777777" w:rsidR="00DD74D5" w:rsidRPr="001521F8" w:rsidRDefault="00DD74D5" w:rsidP="00DD74D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4582309A"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2E8F691A" w14:textId="77777777" w:rsidR="00DD74D5" w:rsidRPr="001521F8" w:rsidRDefault="00DD74D5" w:rsidP="00DD74D5">
            <w:pPr>
              <w:tabs>
                <w:tab w:val="decimal" w:pos="113"/>
              </w:tabs>
              <w:spacing w:line="180" w:lineRule="exact"/>
              <w:rPr>
                <w:sz w:val="16"/>
                <w:szCs w:val="16"/>
              </w:rPr>
            </w:pPr>
          </w:p>
        </w:tc>
        <w:tc>
          <w:tcPr>
            <w:tcW w:w="1192" w:type="dxa"/>
            <w:tcBorders>
              <w:bottom w:val="single" w:sz="6" w:space="0" w:color="auto"/>
            </w:tcBorders>
            <w:shd w:val="clear" w:color="auto" w:fill="auto"/>
            <w:vAlign w:val="bottom"/>
          </w:tcPr>
          <w:p w14:paraId="4EBFC62A" w14:textId="77777777" w:rsidR="00DD74D5" w:rsidRPr="001521F8" w:rsidRDefault="00DD74D5" w:rsidP="00DD74D5">
            <w:pPr>
              <w:tabs>
                <w:tab w:val="decimal" w:pos="113"/>
              </w:tabs>
              <w:spacing w:line="180" w:lineRule="exact"/>
              <w:rPr>
                <w:sz w:val="16"/>
                <w:szCs w:val="16"/>
                <w:rtl/>
              </w:rPr>
            </w:pPr>
          </w:p>
        </w:tc>
      </w:tr>
      <w:tr w:rsidR="00DD74D5" w:rsidRPr="001521F8" w14:paraId="357F0DA6" w14:textId="77777777" w:rsidTr="001521F8">
        <w:tc>
          <w:tcPr>
            <w:tcW w:w="1688" w:type="dxa"/>
            <w:tcBorders>
              <w:top w:val="single" w:sz="6" w:space="0" w:color="auto"/>
            </w:tcBorders>
          </w:tcPr>
          <w:p w14:paraId="6AED6724" w14:textId="77777777" w:rsidR="00DD74D5" w:rsidRPr="001521F8" w:rsidRDefault="00DD74D5" w:rsidP="00DD74D5">
            <w:pPr>
              <w:pStyle w:val="a3"/>
              <w:widowControl/>
              <w:spacing w:line="120" w:lineRule="auto"/>
              <w:ind w:left="0"/>
              <w:jc w:val="right"/>
              <w:rPr>
                <w:i/>
                <w:iCs/>
                <w:sz w:val="16"/>
                <w:szCs w:val="16"/>
              </w:rPr>
            </w:pPr>
          </w:p>
        </w:tc>
        <w:tc>
          <w:tcPr>
            <w:tcW w:w="2695" w:type="dxa"/>
            <w:shd w:val="clear" w:color="auto" w:fill="auto"/>
            <w:vAlign w:val="bottom"/>
          </w:tcPr>
          <w:p w14:paraId="309AC784" w14:textId="77777777" w:rsidR="00DD74D5" w:rsidRPr="001521F8" w:rsidRDefault="00DD74D5" w:rsidP="00DD74D5">
            <w:pPr>
              <w:pStyle w:val="a3"/>
              <w:widowControl/>
              <w:spacing w:line="120" w:lineRule="auto"/>
              <w:ind w:left="0"/>
              <w:rPr>
                <w:sz w:val="18"/>
                <w:szCs w:val="18"/>
              </w:rPr>
            </w:pPr>
          </w:p>
        </w:tc>
        <w:tc>
          <w:tcPr>
            <w:tcW w:w="113" w:type="dxa"/>
            <w:shd w:val="clear" w:color="auto" w:fill="auto"/>
            <w:vAlign w:val="bottom"/>
          </w:tcPr>
          <w:p w14:paraId="3CE4DB1C" w14:textId="77777777" w:rsidR="00DD74D5" w:rsidRPr="001521F8" w:rsidRDefault="00DD74D5" w:rsidP="00DD74D5">
            <w:pPr>
              <w:widowControl/>
              <w:spacing w:line="120" w:lineRule="auto"/>
              <w:rPr>
                <w:sz w:val="16"/>
                <w:szCs w:val="16"/>
              </w:rPr>
            </w:pPr>
          </w:p>
        </w:tc>
        <w:tc>
          <w:tcPr>
            <w:tcW w:w="907" w:type="dxa"/>
            <w:tcBorders>
              <w:top w:val="single" w:sz="6" w:space="0" w:color="auto"/>
            </w:tcBorders>
            <w:vAlign w:val="bottom"/>
          </w:tcPr>
          <w:p w14:paraId="32B697F1" w14:textId="77777777" w:rsidR="00DD74D5" w:rsidRPr="001521F8" w:rsidRDefault="00DD74D5" w:rsidP="00DD74D5">
            <w:pPr>
              <w:widowControl/>
              <w:tabs>
                <w:tab w:val="decimal" w:pos="113"/>
              </w:tabs>
              <w:spacing w:line="120" w:lineRule="auto"/>
              <w:rPr>
                <w:sz w:val="16"/>
                <w:szCs w:val="16"/>
                <w:rtl/>
              </w:rPr>
            </w:pPr>
          </w:p>
        </w:tc>
        <w:tc>
          <w:tcPr>
            <w:tcW w:w="113" w:type="dxa"/>
            <w:vAlign w:val="bottom"/>
          </w:tcPr>
          <w:p w14:paraId="21EFB911" w14:textId="77777777" w:rsidR="00DD74D5" w:rsidRPr="001521F8" w:rsidRDefault="00DD74D5" w:rsidP="00DD74D5">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049B83B7"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5D18C258"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19E49305" w14:textId="77777777" w:rsidR="00DD74D5" w:rsidRPr="001521F8" w:rsidRDefault="00DD74D5" w:rsidP="00DD74D5">
            <w:pPr>
              <w:widowControl/>
              <w:tabs>
                <w:tab w:val="decimal" w:pos="113"/>
              </w:tabs>
              <w:spacing w:line="120" w:lineRule="auto"/>
              <w:rPr>
                <w:sz w:val="16"/>
                <w:szCs w:val="16"/>
                <w:rtl/>
              </w:rPr>
            </w:pPr>
          </w:p>
        </w:tc>
        <w:tc>
          <w:tcPr>
            <w:tcW w:w="113" w:type="dxa"/>
            <w:shd w:val="clear" w:color="auto" w:fill="auto"/>
            <w:vAlign w:val="bottom"/>
          </w:tcPr>
          <w:p w14:paraId="70E8F39E" w14:textId="77777777" w:rsidR="00DD74D5" w:rsidRPr="001521F8" w:rsidRDefault="00DD74D5" w:rsidP="00DD74D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33D6D535" w14:textId="77777777" w:rsidR="00DD74D5" w:rsidRPr="001521F8" w:rsidRDefault="00DD74D5" w:rsidP="00DD74D5">
            <w:pPr>
              <w:widowControl/>
              <w:tabs>
                <w:tab w:val="decimal" w:pos="113"/>
              </w:tabs>
              <w:spacing w:line="120" w:lineRule="auto"/>
              <w:rPr>
                <w:sz w:val="16"/>
                <w:szCs w:val="16"/>
              </w:rPr>
            </w:pPr>
          </w:p>
        </w:tc>
        <w:tc>
          <w:tcPr>
            <w:tcW w:w="113" w:type="dxa"/>
            <w:shd w:val="clear" w:color="auto" w:fill="auto"/>
            <w:vAlign w:val="bottom"/>
          </w:tcPr>
          <w:p w14:paraId="53BE1FCE" w14:textId="77777777" w:rsidR="00DD74D5" w:rsidRPr="001521F8" w:rsidRDefault="00DD74D5" w:rsidP="00DD74D5">
            <w:pPr>
              <w:widowControl/>
              <w:tabs>
                <w:tab w:val="decimal" w:pos="113"/>
              </w:tabs>
              <w:spacing w:line="120" w:lineRule="auto"/>
              <w:rPr>
                <w:sz w:val="16"/>
                <w:szCs w:val="16"/>
              </w:rPr>
            </w:pPr>
          </w:p>
        </w:tc>
        <w:tc>
          <w:tcPr>
            <w:tcW w:w="1192" w:type="dxa"/>
            <w:tcBorders>
              <w:top w:val="single" w:sz="6" w:space="0" w:color="auto"/>
            </w:tcBorders>
            <w:shd w:val="clear" w:color="auto" w:fill="auto"/>
            <w:vAlign w:val="bottom"/>
          </w:tcPr>
          <w:p w14:paraId="3FD6FB9A" w14:textId="77777777" w:rsidR="00DD74D5" w:rsidRPr="001521F8" w:rsidRDefault="00DD74D5" w:rsidP="00DD74D5">
            <w:pPr>
              <w:widowControl/>
              <w:tabs>
                <w:tab w:val="decimal" w:pos="113"/>
              </w:tabs>
              <w:spacing w:line="120" w:lineRule="auto"/>
              <w:rPr>
                <w:sz w:val="16"/>
                <w:szCs w:val="16"/>
                <w:rtl/>
              </w:rPr>
            </w:pPr>
          </w:p>
        </w:tc>
      </w:tr>
      <w:tr w:rsidR="00DD74D5" w:rsidRPr="001521F8" w14:paraId="5A18B5EA" w14:textId="77777777" w:rsidTr="001521F8">
        <w:tc>
          <w:tcPr>
            <w:tcW w:w="1688" w:type="dxa"/>
            <w:tcBorders>
              <w:bottom w:val="single" w:sz="6" w:space="0" w:color="auto"/>
              <w:right w:val="single" w:sz="6" w:space="0" w:color="auto"/>
            </w:tcBorders>
          </w:tcPr>
          <w:p w14:paraId="663B76D0" w14:textId="77777777" w:rsidR="00DD74D5" w:rsidRPr="001521F8" w:rsidRDefault="00DD74D5" w:rsidP="00DD74D5">
            <w:pPr>
              <w:bidi w:val="0"/>
              <w:spacing w:line="180" w:lineRule="exact"/>
              <w:ind w:right="57"/>
              <w:jc w:val="right"/>
              <w:rPr>
                <w:i/>
                <w:iCs/>
                <w:sz w:val="16"/>
                <w:szCs w:val="16"/>
                <w:rtl/>
              </w:rPr>
            </w:pPr>
            <w:r w:rsidRPr="001521F8">
              <w:rPr>
                <w:i/>
                <w:iCs/>
                <w:sz w:val="16"/>
                <w:szCs w:val="16"/>
              </w:rPr>
              <w:t>IAS 33.66</w:t>
            </w:r>
          </w:p>
        </w:tc>
        <w:tc>
          <w:tcPr>
            <w:tcW w:w="2695" w:type="dxa"/>
            <w:tcBorders>
              <w:left w:val="single" w:sz="6" w:space="0" w:color="auto"/>
            </w:tcBorders>
            <w:shd w:val="clear" w:color="auto" w:fill="auto"/>
            <w:vAlign w:val="bottom"/>
          </w:tcPr>
          <w:p w14:paraId="1249FDC8" w14:textId="77777777" w:rsidR="00DD74D5" w:rsidRPr="001521F8" w:rsidRDefault="00DD74D5" w:rsidP="00DD74D5">
            <w:pPr>
              <w:spacing w:line="180" w:lineRule="exact"/>
              <w:ind w:left="227" w:hanging="170"/>
              <w:jc w:val="left"/>
              <w:rPr>
                <w:sz w:val="18"/>
                <w:szCs w:val="18"/>
              </w:rPr>
            </w:pPr>
            <w:r w:rsidRPr="001521F8">
              <w:rPr>
                <w:rFonts w:hint="cs"/>
                <w:sz w:val="18"/>
                <w:szCs w:val="18"/>
                <w:rtl/>
              </w:rPr>
              <w:t xml:space="preserve">רווח נקי (הפסד) </w:t>
            </w:r>
          </w:p>
        </w:tc>
        <w:tc>
          <w:tcPr>
            <w:tcW w:w="113" w:type="dxa"/>
            <w:shd w:val="clear" w:color="auto" w:fill="auto"/>
            <w:vAlign w:val="bottom"/>
          </w:tcPr>
          <w:p w14:paraId="3B998A91" w14:textId="77777777" w:rsidR="00DD74D5" w:rsidRPr="001521F8" w:rsidRDefault="00DD74D5" w:rsidP="00DD74D5">
            <w:pPr>
              <w:spacing w:line="180" w:lineRule="exact"/>
              <w:rPr>
                <w:sz w:val="16"/>
                <w:szCs w:val="16"/>
              </w:rPr>
            </w:pPr>
          </w:p>
        </w:tc>
        <w:tc>
          <w:tcPr>
            <w:tcW w:w="907" w:type="dxa"/>
            <w:tcBorders>
              <w:bottom w:val="double" w:sz="6" w:space="0" w:color="auto"/>
            </w:tcBorders>
            <w:shd w:val="clear" w:color="auto" w:fill="auto"/>
            <w:vAlign w:val="bottom"/>
          </w:tcPr>
          <w:p w14:paraId="0C65BD43" w14:textId="77777777" w:rsidR="00DD74D5" w:rsidRPr="001521F8" w:rsidRDefault="00DD74D5" w:rsidP="00DD74D5">
            <w:pPr>
              <w:tabs>
                <w:tab w:val="decimal" w:pos="113"/>
              </w:tabs>
              <w:spacing w:line="180" w:lineRule="exact"/>
              <w:rPr>
                <w:sz w:val="16"/>
                <w:szCs w:val="16"/>
                <w:rtl/>
              </w:rPr>
            </w:pPr>
          </w:p>
        </w:tc>
        <w:tc>
          <w:tcPr>
            <w:tcW w:w="113" w:type="dxa"/>
            <w:vAlign w:val="bottom"/>
          </w:tcPr>
          <w:p w14:paraId="361A6BFD" w14:textId="77777777" w:rsidR="00DD74D5" w:rsidRPr="001521F8" w:rsidRDefault="00DD74D5" w:rsidP="00DD74D5">
            <w:pPr>
              <w:tabs>
                <w:tab w:val="decimal" w:pos="113"/>
              </w:tabs>
              <w:spacing w:line="180" w:lineRule="exact"/>
              <w:rPr>
                <w:sz w:val="16"/>
                <w:szCs w:val="16"/>
              </w:rPr>
            </w:pPr>
          </w:p>
        </w:tc>
        <w:tc>
          <w:tcPr>
            <w:tcW w:w="907" w:type="dxa"/>
            <w:gridSpan w:val="2"/>
            <w:tcBorders>
              <w:bottom w:val="double" w:sz="6" w:space="0" w:color="auto"/>
            </w:tcBorders>
            <w:shd w:val="clear" w:color="auto" w:fill="auto"/>
            <w:vAlign w:val="bottom"/>
          </w:tcPr>
          <w:p w14:paraId="2EAD88AD"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52611E6D" w14:textId="77777777" w:rsidR="00DD74D5" w:rsidRPr="001521F8" w:rsidRDefault="00DD74D5" w:rsidP="00DD74D5">
            <w:pPr>
              <w:tabs>
                <w:tab w:val="decimal" w:pos="113"/>
              </w:tabs>
              <w:spacing w:line="180" w:lineRule="exact"/>
              <w:rPr>
                <w:sz w:val="16"/>
                <w:szCs w:val="16"/>
              </w:rPr>
            </w:pPr>
          </w:p>
        </w:tc>
        <w:tc>
          <w:tcPr>
            <w:tcW w:w="907" w:type="dxa"/>
            <w:tcBorders>
              <w:bottom w:val="double" w:sz="6" w:space="0" w:color="auto"/>
            </w:tcBorders>
            <w:shd w:val="clear" w:color="auto" w:fill="auto"/>
            <w:vAlign w:val="bottom"/>
          </w:tcPr>
          <w:p w14:paraId="72D923AC" w14:textId="77777777" w:rsidR="00DD74D5" w:rsidRPr="001521F8" w:rsidRDefault="00DD74D5" w:rsidP="00DD74D5">
            <w:pPr>
              <w:tabs>
                <w:tab w:val="decimal" w:pos="113"/>
              </w:tabs>
              <w:spacing w:line="180" w:lineRule="exact"/>
              <w:rPr>
                <w:sz w:val="16"/>
                <w:szCs w:val="16"/>
                <w:rtl/>
              </w:rPr>
            </w:pPr>
          </w:p>
        </w:tc>
        <w:tc>
          <w:tcPr>
            <w:tcW w:w="113" w:type="dxa"/>
            <w:shd w:val="clear" w:color="auto" w:fill="auto"/>
            <w:vAlign w:val="bottom"/>
          </w:tcPr>
          <w:p w14:paraId="0F3A62CA" w14:textId="77777777" w:rsidR="00DD74D5" w:rsidRPr="001521F8" w:rsidRDefault="00DD74D5" w:rsidP="00DD74D5">
            <w:pPr>
              <w:tabs>
                <w:tab w:val="decimal" w:pos="113"/>
              </w:tabs>
              <w:spacing w:line="180" w:lineRule="exact"/>
              <w:rPr>
                <w:sz w:val="16"/>
                <w:szCs w:val="16"/>
              </w:rPr>
            </w:pPr>
          </w:p>
        </w:tc>
        <w:tc>
          <w:tcPr>
            <w:tcW w:w="907" w:type="dxa"/>
            <w:tcBorders>
              <w:bottom w:val="double" w:sz="6" w:space="0" w:color="auto"/>
            </w:tcBorders>
            <w:shd w:val="clear" w:color="auto" w:fill="auto"/>
            <w:vAlign w:val="bottom"/>
          </w:tcPr>
          <w:p w14:paraId="4DECA909" w14:textId="77777777" w:rsidR="00DD74D5" w:rsidRPr="001521F8" w:rsidRDefault="00DD74D5" w:rsidP="00DD74D5">
            <w:pPr>
              <w:tabs>
                <w:tab w:val="decimal" w:pos="113"/>
              </w:tabs>
              <w:spacing w:line="180" w:lineRule="exact"/>
              <w:rPr>
                <w:sz w:val="16"/>
                <w:szCs w:val="16"/>
              </w:rPr>
            </w:pPr>
          </w:p>
        </w:tc>
        <w:tc>
          <w:tcPr>
            <w:tcW w:w="113" w:type="dxa"/>
            <w:shd w:val="clear" w:color="auto" w:fill="auto"/>
            <w:vAlign w:val="bottom"/>
          </w:tcPr>
          <w:p w14:paraId="0B1DAD51" w14:textId="77777777" w:rsidR="00DD74D5" w:rsidRPr="001521F8" w:rsidRDefault="00DD74D5" w:rsidP="00DD74D5">
            <w:pPr>
              <w:tabs>
                <w:tab w:val="decimal" w:pos="113"/>
              </w:tabs>
              <w:spacing w:line="180" w:lineRule="exact"/>
              <w:rPr>
                <w:sz w:val="16"/>
                <w:szCs w:val="16"/>
              </w:rPr>
            </w:pPr>
          </w:p>
        </w:tc>
        <w:tc>
          <w:tcPr>
            <w:tcW w:w="1192" w:type="dxa"/>
            <w:tcBorders>
              <w:bottom w:val="double" w:sz="6" w:space="0" w:color="auto"/>
            </w:tcBorders>
            <w:shd w:val="clear" w:color="auto" w:fill="auto"/>
            <w:vAlign w:val="bottom"/>
          </w:tcPr>
          <w:p w14:paraId="0C8EB73F" w14:textId="77777777" w:rsidR="00DD74D5" w:rsidRPr="001521F8" w:rsidRDefault="00DD74D5" w:rsidP="00DD74D5">
            <w:pPr>
              <w:tabs>
                <w:tab w:val="decimal" w:pos="113"/>
              </w:tabs>
              <w:spacing w:line="180" w:lineRule="exact"/>
              <w:rPr>
                <w:sz w:val="16"/>
                <w:szCs w:val="16"/>
                <w:rtl/>
              </w:rPr>
            </w:pPr>
          </w:p>
        </w:tc>
      </w:tr>
    </w:tbl>
    <w:p w14:paraId="20FED6FC" w14:textId="77777777" w:rsidR="008D22FA" w:rsidRPr="001521F8" w:rsidRDefault="00365367" w:rsidP="00DB5346">
      <w:pPr>
        <w:spacing w:line="160" w:lineRule="exact"/>
        <w:rPr>
          <w:sz w:val="16"/>
          <w:szCs w:val="16"/>
          <w:rtl/>
        </w:rPr>
      </w:pPr>
      <w:r w:rsidRPr="001521F8">
        <w:rPr>
          <w:rFonts w:hint="cs"/>
          <w:sz w:val="16"/>
          <w:szCs w:val="16"/>
          <w:rtl/>
        </w:rPr>
        <w:t>*)</w:t>
      </w:r>
      <w:r w:rsidRPr="001521F8">
        <w:rPr>
          <w:rFonts w:hint="cs"/>
          <w:sz w:val="16"/>
          <w:szCs w:val="16"/>
          <w:rtl/>
        </w:rPr>
        <w:tab/>
        <w:t xml:space="preserve">הוצג מחדש, ראה באור </w:t>
      </w:r>
      <w:r w:rsidR="00391C9D" w:rsidRPr="001521F8">
        <w:rPr>
          <w:rFonts w:hint="cs"/>
          <w:sz w:val="16"/>
          <w:szCs w:val="16"/>
          <w:shd w:val="clear" w:color="auto" w:fill="D9D9D9" w:themeFill="background1" w:themeFillShade="D9"/>
          <w:rtl/>
        </w:rPr>
        <w:t>____</w:t>
      </w:r>
      <w:r w:rsidRPr="001521F8">
        <w:rPr>
          <w:rFonts w:hint="cs"/>
          <w:sz w:val="16"/>
          <w:szCs w:val="16"/>
          <w:rtl/>
        </w:rPr>
        <w:t>.</w:t>
      </w:r>
    </w:p>
    <w:p w14:paraId="6B8A4D73" w14:textId="77777777" w:rsidR="00E53258" w:rsidRPr="001521F8" w:rsidRDefault="00E53258" w:rsidP="00E53258">
      <w:pPr>
        <w:ind w:left="567" w:hanging="567"/>
        <w:rPr>
          <w:sz w:val="16"/>
          <w:szCs w:val="16"/>
          <w:rtl/>
        </w:rPr>
      </w:pPr>
      <w:r w:rsidRPr="001521F8">
        <w:rPr>
          <w:rFonts w:hint="cs"/>
          <w:sz w:val="16"/>
          <w:szCs w:val="16"/>
          <w:rtl/>
        </w:rPr>
        <w:t>**)</w:t>
      </w:r>
      <w:r w:rsidRPr="001521F8">
        <w:rPr>
          <w:sz w:val="16"/>
          <w:szCs w:val="16"/>
          <w:rtl/>
        </w:rPr>
        <w:tab/>
      </w:r>
      <w:r w:rsidRPr="001521F8">
        <w:rPr>
          <w:rFonts w:hint="cs"/>
          <w:sz w:val="16"/>
          <w:szCs w:val="16"/>
          <w:rtl/>
        </w:rPr>
        <w:t xml:space="preserve">יושם למפרע, ראה באור </w:t>
      </w:r>
      <w:r w:rsidRPr="001521F8">
        <w:rPr>
          <w:rFonts w:hint="cs"/>
          <w:sz w:val="16"/>
          <w:szCs w:val="16"/>
          <w:shd w:val="clear" w:color="auto" w:fill="D9D9D9" w:themeFill="background1" w:themeFillShade="D9"/>
          <w:rtl/>
        </w:rPr>
        <w:t>_</w:t>
      </w:r>
      <w:r w:rsidR="00376906" w:rsidRPr="001521F8">
        <w:rPr>
          <w:rFonts w:hint="cs"/>
          <w:sz w:val="16"/>
          <w:szCs w:val="16"/>
          <w:shd w:val="clear" w:color="auto" w:fill="D9D9D9" w:themeFill="background1" w:themeFillShade="D9"/>
          <w:rtl/>
        </w:rPr>
        <w:t>_</w:t>
      </w:r>
      <w:r w:rsidRPr="001521F8">
        <w:rPr>
          <w:rFonts w:hint="cs"/>
          <w:sz w:val="16"/>
          <w:szCs w:val="16"/>
          <w:shd w:val="clear" w:color="auto" w:fill="D9D9D9" w:themeFill="background1" w:themeFillShade="D9"/>
          <w:rtl/>
        </w:rPr>
        <w:t>__</w:t>
      </w:r>
      <w:r w:rsidRPr="001521F8">
        <w:rPr>
          <w:rFonts w:hint="cs"/>
          <w:sz w:val="16"/>
          <w:szCs w:val="16"/>
          <w:rtl/>
        </w:rPr>
        <w:t>.</w:t>
      </w:r>
    </w:p>
    <w:p w14:paraId="6B5BB120" w14:textId="5C96D0BC" w:rsidR="00DB5346" w:rsidRPr="001521F8" w:rsidRDefault="00D765A9" w:rsidP="00FF5796">
      <w:pPr>
        <w:spacing w:line="160" w:lineRule="exact"/>
        <w:ind w:left="567" w:hanging="567"/>
        <w:rPr>
          <w:sz w:val="16"/>
          <w:szCs w:val="16"/>
          <w:rtl/>
        </w:rPr>
      </w:pPr>
      <w:r w:rsidRPr="001521F8">
        <w:rPr>
          <w:rFonts w:hint="cs"/>
          <w:sz w:val="16"/>
          <w:szCs w:val="16"/>
          <w:rtl/>
        </w:rPr>
        <w:t>**</w:t>
      </w:r>
      <w:r w:rsidR="00E53258" w:rsidRPr="001521F8">
        <w:rPr>
          <w:rFonts w:hint="cs"/>
          <w:sz w:val="16"/>
          <w:szCs w:val="16"/>
          <w:rtl/>
        </w:rPr>
        <w:t>*</w:t>
      </w:r>
      <w:r w:rsidRPr="001521F8">
        <w:rPr>
          <w:rFonts w:hint="cs"/>
          <w:sz w:val="16"/>
          <w:szCs w:val="16"/>
          <w:rtl/>
        </w:rPr>
        <w:t>)</w:t>
      </w:r>
      <w:r w:rsidRPr="001521F8">
        <w:rPr>
          <w:sz w:val="16"/>
          <w:szCs w:val="16"/>
          <w:rtl/>
        </w:rPr>
        <w:tab/>
      </w:r>
      <w:r w:rsidRPr="001521F8">
        <w:rPr>
          <w:rFonts w:hint="cs"/>
          <w:sz w:val="16"/>
          <w:szCs w:val="16"/>
          <w:rtl/>
        </w:rPr>
        <w:t xml:space="preserve">התאמה לא מהותית של מספרי השוואה, ראה </w:t>
      </w:r>
      <w:r w:rsidR="002D2FBD" w:rsidRPr="001521F8">
        <w:rPr>
          <w:rFonts w:hint="cs"/>
          <w:sz w:val="16"/>
          <w:szCs w:val="16"/>
          <w:rtl/>
        </w:rPr>
        <w:t>באור</w:t>
      </w:r>
      <w:r w:rsidRPr="001521F8">
        <w:rPr>
          <w:rFonts w:hint="cs"/>
          <w:sz w:val="16"/>
          <w:szCs w:val="16"/>
          <w:rtl/>
        </w:rPr>
        <w:t xml:space="preserve"> ___.</w:t>
      </w:r>
    </w:p>
    <w:p w14:paraId="37A704F9" w14:textId="77777777" w:rsidR="00AB7D68" w:rsidRPr="001521F8" w:rsidRDefault="00AB7D68">
      <w:pPr>
        <w:rPr>
          <w:sz w:val="16"/>
          <w:szCs w:val="16"/>
          <w:rtl/>
        </w:rPr>
      </w:pPr>
      <w:r w:rsidRPr="001521F8">
        <w:rPr>
          <w:rFonts w:hint="cs"/>
          <w:sz w:val="16"/>
          <w:szCs w:val="16"/>
          <w:rtl/>
        </w:rPr>
        <w:t>הבאורים המצורפים מהווים חלק בלתי נפרד מהדוחות הכספיים ביניים מאוחדים.</w:t>
      </w:r>
    </w:p>
    <w:p w14:paraId="1D76911C" w14:textId="77777777" w:rsidR="00F41C12" w:rsidRDefault="00AB7D68" w:rsidP="00B305E0">
      <w:pPr>
        <w:pBdr>
          <w:bottom w:val="single" w:sz="12" w:space="1" w:color="auto"/>
        </w:pBdr>
        <w:spacing w:line="240" w:lineRule="auto"/>
        <w:rPr>
          <w:b/>
          <w:bCs/>
          <w:rtl/>
        </w:rPr>
      </w:pPr>
      <w:r>
        <w:rPr>
          <w:sz w:val="18"/>
          <w:szCs w:val="20"/>
          <w:rtl/>
        </w:rPr>
        <w:br w:type="page"/>
      </w:r>
      <w:r w:rsidRPr="00785F4C">
        <w:rPr>
          <w:b/>
          <w:bCs/>
          <w:rtl/>
        </w:rPr>
        <w:lastRenderedPageBreak/>
        <w:t xml:space="preserve">דוחות </w:t>
      </w:r>
      <w:r w:rsidR="00BD72AA">
        <w:rPr>
          <w:rFonts w:hint="cs"/>
          <w:b/>
          <w:bCs/>
          <w:rtl/>
        </w:rPr>
        <w:t xml:space="preserve">מאוחדים על </w:t>
      </w:r>
      <w:r w:rsidRPr="00785F4C">
        <w:rPr>
          <w:b/>
          <w:bCs/>
          <w:rtl/>
        </w:rPr>
        <w:t xml:space="preserve">רווח </w:t>
      </w:r>
      <w:r w:rsidR="00EF5295">
        <w:rPr>
          <w:rFonts w:hint="cs"/>
          <w:b/>
          <w:bCs/>
          <w:rtl/>
        </w:rPr>
        <w:t>א</w:t>
      </w:r>
      <w:r w:rsidRPr="00785F4C">
        <w:rPr>
          <w:b/>
          <w:bCs/>
          <w:rtl/>
        </w:rPr>
        <w:t>ו</w:t>
      </w:r>
      <w:r w:rsidR="00EF5295">
        <w:rPr>
          <w:rFonts w:hint="cs"/>
          <w:b/>
          <w:bCs/>
          <w:rtl/>
        </w:rPr>
        <w:t xml:space="preserve"> </w:t>
      </w:r>
      <w:r w:rsidRPr="00785F4C">
        <w:rPr>
          <w:b/>
          <w:bCs/>
          <w:rtl/>
        </w:rPr>
        <w:t>הפסד</w:t>
      </w:r>
      <w:r w:rsidR="00B75923" w:rsidRPr="00785F4C">
        <w:rPr>
          <w:rFonts w:hint="cs"/>
          <w:b/>
          <w:bCs/>
          <w:rtl/>
        </w:rPr>
        <w:t xml:space="preserve"> </w:t>
      </w:r>
    </w:p>
    <w:p w14:paraId="512025CA" w14:textId="6A8B1258" w:rsidR="00607ED9" w:rsidRDefault="00607ED9" w:rsidP="009C5FD1">
      <w:pPr>
        <w:rPr>
          <w:rtl/>
        </w:rPr>
      </w:pPr>
    </w:p>
    <w:tbl>
      <w:tblPr>
        <w:bidiVisual/>
        <w:tblW w:w="9827" w:type="dxa"/>
        <w:tblInd w:w="-32" w:type="dxa"/>
        <w:tblLayout w:type="fixed"/>
        <w:tblCellMar>
          <w:left w:w="0" w:type="dxa"/>
          <w:right w:w="0" w:type="dxa"/>
        </w:tblCellMar>
        <w:tblLook w:val="01E0" w:firstRow="1" w:lastRow="1" w:firstColumn="1" w:lastColumn="1" w:noHBand="0" w:noVBand="0"/>
      </w:tblPr>
      <w:tblGrid>
        <w:gridCol w:w="1546"/>
        <w:gridCol w:w="3027"/>
        <w:gridCol w:w="113"/>
        <w:gridCol w:w="907"/>
        <w:gridCol w:w="113"/>
        <w:gridCol w:w="127"/>
        <w:gridCol w:w="780"/>
        <w:gridCol w:w="113"/>
        <w:gridCol w:w="907"/>
        <w:gridCol w:w="113"/>
        <w:gridCol w:w="907"/>
        <w:gridCol w:w="113"/>
        <w:gridCol w:w="1061"/>
      </w:tblGrid>
      <w:tr w:rsidR="00D31751" w:rsidRPr="00B305E0" w14:paraId="46685E2F" w14:textId="77777777" w:rsidTr="00AF4CE7">
        <w:tc>
          <w:tcPr>
            <w:tcW w:w="1546" w:type="dxa"/>
            <w:tcBorders>
              <w:bottom w:val="single" w:sz="6" w:space="0" w:color="auto"/>
              <w:right w:val="single" w:sz="6" w:space="0" w:color="auto"/>
            </w:tcBorders>
          </w:tcPr>
          <w:p w14:paraId="68C80DCD" w14:textId="62F0EB64" w:rsidR="00D31751" w:rsidRPr="00EC1438" w:rsidRDefault="00D31751" w:rsidP="00D765A9">
            <w:pPr>
              <w:tabs>
                <w:tab w:val="left" w:pos="227"/>
                <w:tab w:val="left" w:pos="397"/>
                <w:tab w:val="left" w:pos="567"/>
              </w:tabs>
              <w:bidi w:val="0"/>
              <w:spacing w:line="180" w:lineRule="exact"/>
              <w:ind w:left="227" w:right="113"/>
              <w:jc w:val="right"/>
              <w:rPr>
                <w:i/>
                <w:iCs/>
                <w:sz w:val="13"/>
                <w:szCs w:val="13"/>
              </w:rPr>
            </w:pPr>
            <w:r w:rsidRPr="00EC1438">
              <w:rPr>
                <w:i/>
                <w:iCs/>
                <w:sz w:val="13"/>
                <w:szCs w:val="13"/>
              </w:rPr>
              <w:t>IAS 1.10(b);IAS 1.51(b), (c); IAS 34.10</w:t>
            </w:r>
          </w:p>
        </w:tc>
        <w:tc>
          <w:tcPr>
            <w:tcW w:w="3027" w:type="dxa"/>
            <w:tcBorders>
              <w:left w:val="single" w:sz="6" w:space="0" w:color="auto"/>
            </w:tcBorders>
            <w:shd w:val="clear" w:color="auto" w:fill="auto"/>
            <w:vAlign w:val="bottom"/>
          </w:tcPr>
          <w:p w14:paraId="5DC651D4" w14:textId="77777777" w:rsidR="00D31751" w:rsidRPr="008257D7" w:rsidRDefault="00D31751" w:rsidP="00D765A9">
            <w:pPr>
              <w:tabs>
                <w:tab w:val="left" w:pos="227"/>
                <w:tab w:val="left" w:pos="397"/>
                <w:tab w:val="left" w:pos="567"/>
              </w:tabs>
              <w:spacing w:line="180" w:lineRule="exact"/>
              <w:ind w:left="227" w:hanging="170"/>
              <w:rPr>
                <w:sz w:val="13"/>
                <w:szCs w:val="13"/>
                <w:rtl/>
              </w:rPr>
            </w:pPr>
          </w:p>
        </w:tc>
        <w:tc>
          <w:tcPr>
            <w:tcW w:w="113" w:type="dxa"/>
            <w:shd w:val="clear" w:color="auto" w:fill="auto"/>
            <w:vAlign w:val="bottom"/>
          </w:tcPr>
          <w:p w14:paraId="1C3E227C" w14:textId="77777777" w:rsidR="00D31751" w:rsidRPr="00B305E0" w:rsidRDefault="00D31751" w:rsidP="00D765A9">
            <w:pPr>
              <w:spacing w:line="180" w:lineRule="exact"/>
              <w:rPr>
                <w:sz w:val="18"/>
                <w:szCs w:val="18"/>
                <w:rtl/>
              </w:rPr>
            </w:pPr>
          </w:p>
        </w:tc>
        <w:tc>
          <w:tcPr>
            <w:tcW w:w="1927" w:type="dxa"/>
            <w:gridSpan w:val="4"/>
            <w:tcBorders>
              <w:bottom w:val="single" w:sz="6" w:space="0" w:color="auto"/>
            </w:tcBorders>
            <w:shd w:val="clear" w:color="auto" w:fill="auto"/>
            <w:vAlign w:val="bottom"/>
          </w:tcPr>
          <w:p w14:paraId="16BDBB2D" w14:textId="77777777" w:rsidR="000B1730" w:rsidRDefault="00D31751" w:rsidP="00D765A9">
            <w:pPr>
              <w:spacing w:line="180" w:lineRule="exact"/>
              <w:jc w:val="center"/>
              <w:rPr>
                <w:sz w:val="18"/>
                <w:szCs w:val="18"/>
                <w:rtl/>
              </w:rPr>
            </w:pPr>
            <w:r w:rsidRPr="00B305E0">
              <w:rPr>
                <w:rFonts w:hint="cs"/>
                <w:sz w:val="18"/>
                <w:szCs w:val="18"/>
                <w:rtl/>
              </w:rPr>
              <w:t>ל-9 החודשים שהסתיימו</w:t>
            </w:r>
          </w:p>
          <w:p w14:paraId="07C275CF" w14:textId="77777777" w:rsidR="00D31751" w:rsidRPr="00B305E0" w:rsidRDefault="00D31751" w:rsidP="00D765A9">
            <w:pPr>
              <w:spacing w:line="180" w:lineRule="exact"/>
              <w:jc w:val="center"/>
              <w:rPr>
                <w:sz w:val="18"/>
                <w:szCs w:val="18"/>
                <w:rtl/>
              </w:rPr>
            </w:pPr>
            <w:r w:rsidRPr="00B305E0">
              <w:rPr>
                <w:rFonts w:hint="cs"/>
                <w:sz w:val="18"/>
                <w:szCs w:val="18"/>
                <w:rtl/>
              </w:rPr>
              <w:t>ביום 30 בספטמבר</w:t>
            </w:r>
          </w:p>
        </w:tc>
        <w:tc>
          <w:tcPr>
            <w:tcW w:w="113" w:type="dxa"/>
            <w:shd w:val="clear" w:color="auto" w:fill="auto"/>
            <w:vAlign w:val="bottom"/>
          </w:tcPr>
          <w:p w14:paraId="4A2E2C1D" w14:textId="77777777" w:rsidR="00D31751" w:rsidRPr="00B305E0" w:rsidRDefault="00D31751" w:rsidP="00D765A9">
            <w:pPr>
              <w:spacing w:line="180" w:lineRule="exact"/>
              <w:jc w:val="center"/>
              <w:rPr>
                <w:sz w:val="18"/>
                <w:szCs w:val="18"/>
              </w:rPr>
            </w:pPr>
          </w:p>
        </w:tc>
        <w:tc>
          <w:tcPr>
            <w:tcW w:w="1927" w:type="dxa"/>
            <w:gridSpan w:val="3"/>
            <w:tcBorders>
              <w:bottom w:val="single" w:sz="6" w:space="0" w:color="auto"/>
            </w:tcBorders>
            <w:shd w:val="clear" w:color="auto" w:fill="auto"/>
            <w:vAlign w:val="bottom"/>
          </w:tcPr>
          <w:p w14:paraId="685F2AED" w14:textId="77777777" w:rsidR="000B1730" w:rsidRDefault="00D31751" w:rsidP="00D765A9">
            <w:pPr>
              <w:spacing w:line="180" w:lineRule="exact"/>
              <w:jc w:val="center"/>
              <w:rPr>
                <w:sz w:val="18"/>
                <w:szCs w:val="18"/>
                <w:rtl/>
              </w:rPr>
            </w:pPr>
            <w:r w:rsidRPr="00B305E0">
              <w:rPr>
                <w:rFonts w:hint="cs"/>
                <w:sz w:val="18"/>
                <w:szCs w:val="18"/>
                <w:rtl/>
              </w:rPr>
              <w:t>ל-3 החודשים שהסתיימו</w:t>
            </w:r>
          </w:p>
          <w:p w14:paraId="25FEB07F" w14:textId="77777777" w:rsidR="00D31751" w:rsidRPr="00B305E0" w:rsidRDefault="00D31751" w:rsidP="00D765A9">
            <w:pPr>
              <w:spacing w:line="180" w:lineRule="exact"/>
              <w:jc w:val="center"/>
              <w:rPr>
                <w:sz w:val="18"/>
                <w:szCs w:val="18"/>
                <w:rtl/>
              </w:rPr>
            </w:pPr>
            <w:r w:rsidRPr="00B305E0">
              <w:rPr>
                <w:rFonts w:hint="cs"/>
                <w:sz w:val="18"/>
                <w:szCs w:val="18"/>
                <w:rtl/>
              </w:rPr>
              <w:t>ביום 30 בספטמבר</w:t>
            </w:r>
          </w:p>
        </w:tc>
        <w:tc>
          <w:tcPr>
            <w:tcW w:w="113" w:type="dxa"/>
            <w:shd w:val="clear" w:color="auto" w:fill="auto"/>
            <w:vAlign w:val="bottom"/>
          </w:tcPr>
          <w:p w14:paraId="36C5CF47" w14:textId="77777777" w:rsidR="00D31751" w:rsidRPr="00B305E0" w:rsidRDefault="00D31751" w:rsidP="00D765A9">
            <w:pPr>
              <w:tabs>
                <w:tab w:val="decimal" w:pos="113"/>
              </w:tabs>
              <w:spacing w:line="180" w:lineRule="exact"/>
              <w:jc w:val="center"/>
              <w:rPr>
                <w:sz w:val="18"/>
                <w:szCs w:val="18"/>
              </w:rPr>
            </w:pPr>
          </w:p>
        </w:tc>
        <w:tc>
          <w:tcPr>
            <w:tcW w:w="1061" w:type="dxa"/>
            <w:shd w:val="clear" w:color="auto" w:fill="auto"/>
            <w:vAlign w:val="bottom"/>
          </w:tcPr>
          <w:p w14:paraId="5DADBA25" w14:textId="77777777" w:rsidR="00D31751" w:rsidRPr="00B305E0" w:rsidRDefault="00D31751" w:rsidP="00D765A9">
            <w:pPr>
              <w:spacing w:line="180" w:lineRule="exact"/>
              <w:jc w:val="center"/>
              <w:rPr>
                <w:sz w:val="18"/>
                <w:szCs w:val="18"/>
                <w:rtl/>
              </w:rPr>
            </w:pPr>
            <w:r w:rsidRPr="00B305E0">
              <w:rPr>
                <w:rFonts w:hint="cs"/>
                <w:sz w:val="18"/>
                <w:szCs w:val="18"/>
                <w:rtl/>
              </w:rPr>
              <w:t>לשנה שהסתיימה ביום</w:t>
            </w:r>
          </w:p>
          <w:p w14:paraId="6CCB1819" w14:textId="77777777" w:rsidR="00D31751" w:rsidRPr="00B305E0" w:rsidRDefault="00D31751" w:rsidP="00D765A9">
            <w:pPr>
              <w:spacing w:line="180" w:lineRule="exact"/>
              <w:jc w:val="center"/>
              <w:rPr>
                <w:sz w:val="18"/>
                <w:szCs w:val="18"/>
                <w:rtl/>
              </w:rPr>
            </w:pPr>
            <w:r w:rsidRPr="00B305E0">
              <w:rPr>
                <w:rFonts w:hint="cs"/>
                <w:sz w:val="18"/>
                <w:szCs w:val="18"/>
                <w:rtl/>
              </w:rPr>
              <w:t>31 בדצמבר</w:t>
            </w:r>
          </w:p>
        </w:tc>
      </w:tr>
      <w:tr w:rsidR="00AF4CE7" w:rsidRPr="00B305E0" w14:paraId="021F175F" w14:textId="77777777" w:rsidTr="00AF4CE7">
        <w:tc>
          <w:tcPr>
            <w:tcW w:w="1546" w:type="dxa"/>
            <w:tcBorders>
              <w:top w:val="single" w:sz="6" w:space="0" w:color="auto"/>
            </w:tcBorders>
          </w:tcPr>
          <w:p w14:paraId="2CF20884" w14:textId="77777777" w:rsidR="00AF4CE7" w:rsidRPr="00EC1438" w:rsidRDefault="00AF4CE7" w:rsidP="00AF4CE7">
            <w:pPr>
              <w:tabs>
                <w:tab w:val="left" w:pos="227"/>
                <w:tab w:val="left" w:pos="397"/>
                <w:tab w:val="left" w:pos="567"/>
              </w:tabs>
              <w:bidi w:val="0"/>
              <w:spacing w:line="180" w:lineRule="exact"/>
              <w:ind w:left="227" w:right="113"/>
              <w:jc w:val="right"/>
              <w:rPr>
                <w:i/>
                <w:iCs/>
                <w:sz w:val="13"/>
                <w:szCs w:val="13"/>
                <w:rtl/>
              </w:rPr>
            </w:pPr>
          </w:p>
        </w:tc>
        <w:tc>
          <w:tcPr>
            <w:tcW w:w="3027" w:type="dxa"/>
            <w:shd w:val="clear" w:color="auto" w:fill="auto"/>
            <w:vAlign w:val="bottom"/>
          </w:tcPr>
          <w:p w14:paraId="5C3D88D1" w14:textId="77777777" w:rsidR="00AF4CE7" w:rsidRPr="00EC1438" w:rsidRDefault="00AF4CE7" w:rsidP="00AF4CE7">
            <w:pPr>
              <w:tabs>
                <w:tab w:val="left" w:pos="227"/>
                <w:tab w:val="left" w:pos="397"/>
                <w:tab w:val="left" w:pos="567"/>
              </w:tabs>
              <w:spacing w:line="180" w:lineRule="exact"/>
              <w:ind w:left="227" w:hanging="170"/>
              <w:rPr>
                <w:sz w:val="13"/>
                <w:szCs w:val="13"/>
                <w:rtl/>
              </w:rPr>
            </w:pPr>
          </w:p>
        </w:tc>
        <w:tc>
          <w:tcPr>
            <w:tcW w:w="113" w:type="dxa"/>
            <w:shd w:val="clear" w:color="auto" w:fill="auto"/>
            <w:vAlign w:val="bottom"/>
          </w:tcPr>
          <w:p w14:paraId="3FB6A419" w14:textId="77777777" w:rsidR="00AF4CE7" w:rsidRPr="00B305E0" w:rsidRDefault="00AF4CE7" w:rsidP="00AF4CE7">
            <w:pPr>
              <w:spacing w:line="180" w:lineRule="exact"/>
              <w:rPr>
                <w:sz w:val="18"/>
                <w:szCs w:val="18"/>
                <w:rtl/>
              </w:rPr>
            </w:pPr>
          </w:p>
        </w:tc>
        <w:tc>
          <w:tcPr>
            <w:tcW w:w="907" w:type="dxa"/>
            <w:tcBorders>
              <w:bottom w:val="single" w:sz="6" w:space="0" w:color="auto"/>
            </w:tcBorders>
            <w:shd w:val="clear" w:color="auto" w:fill="auto"/>
            <w:vAlign w:val="bottom"/>
          </w:tcPr>
          <w:p w14:paraId="5CC23BAE" w14:textId="4222A6FE" w:rsidR="00AF4CE7" w:rsidRDefault="00AF4CE7" w:rsidP="00AF4CE7">
            <w:pPr>
              <w:spacing w:line="180" w:lineRule="exact"/>
              <w:jc w:val="center"/>
              <w:rPr>
                <w:sz w:val="18"/>
                <w:szCs w:val="18"/>
                <w:u w:val="single"/>
              </w:rPr>
            </w:pPr>
            <w:r>
              <w:rPr>
                <w:rFonts w:hint="cs"/>
                <w:sz w:val="18"/>
                <w:szCs w:val="18"/>
                <w:rtl/>
              </w:rPr>
              <w:t>2019</w:t>
            </w:r>
          </w:p>
        </w:tc>
        <w:tc>
          <w:tcPr>
            <w:tcW w:w="113" w:type="dxa"/>
            <w:vAlign w:val="bottom"/>
          </w:tcPr>
          <w:p w14:paraId="227871EE" w14:textId="77777777" w:rsidR="00AF4CE7" w:rsidRPr="00D31751" w:rsidRDefault="00AF4CE7" w:rsidP="00AF4CE7">
            <w:pPr>
              <w:spacing w:line="180" w:lineRule="exact"/>
              <w:jc w:val="center"/>
              <w:rPr>
                <w:sz w:val="18"/>
                <w:szCs w:val="18"/>
              </w:rPr>
            </w:pPr>
          </w:p>
        </w:tc>
        <w:tc>
          <w:tcPr>
            <w:tcW w:w="907" w:type="dxa"/>
            <w:gridSpan w:val="2"/>
            <w:tcBorders>
              <w:bottom w:val="single" w:sz="6" w:space="0" w:color="auto"/>
            </w:tcBorders>
            <w:shd w:val="clear" w:color="auto" w:fill="auto"/>
            <w:vAlign w:val="bottom"/>
          </w:tcPr>
          <w:p w14:paraId="01B78AA3" w14:textId="64C41C96" w:rsidR="00AF4CE7" w:rsidRDefault="00AF4CE7" w:rsidP="00AF4CE7">
            <w:pPr>
              <w:spacing w:line="180" w:lineRule="exact"/>
              <w:jc w:val="center"/>
              <w:rPr>
                <w:sz w:val="18"/>
                <w:szCs w:val="18"/>
                <w:u w:val="single"/>
              </w:rPr>
            </w:pPr>
            <w:r>
              <w:rPr>
                <w:rFonts w:hint="cs"/>
                <w:sz w:val="18"/>
                <w:szCs w:val="18"/>
                <w:rtl/>
              </w:rPr>
              <w:t>2018</w:t>
            </w:r>
          </w:p>
        </w:tc>
        <w:tc>
          <w:tcPr>
            <w:tcW w:w="113" w:type="dxa"/>
            <w:shd w:val="clear" w:color="auto" w:fill="auto"/>
            <w:vAlign w:val="bottom"/>
          </w:tcPr>
          <w:p w14:paraId="794E3427" w14:textId="77777777" w:rsidR="00AF4CE7" w:rsidRPr="00B305E0" w:rsidRDefault="00AF4CE7" w:rsidP="00AF4CE7">
            <w:pPr>
              <w:spacing w:line="180" w:lineRule="exact"/>
              <w:jc w:val="center"/>
              <w:rPr>
                <w:sz w:val="18"/>
                <w:szCs w:val="18"/>
              </w:rPr>
            </w:pPr>
          </w:p>
        </w:tc>
        <w:tc>
          <w:tcPr>
            <w:tcW w:w="907" w:type="dxa"/>
            <w:tcBorders>
              <w:bottom w:val="single" w:sz="6" w:space="0" w:color="auto"/>
            </w:tcBorders>
            <w:shd w:val="clear" w:color="auto" w:fill="auto"/>
            <w:vAlign w:val="bottom"/>
          </w:tcPr>
          <w:p w14:paraId="4833AB10" w14:textId="053D12CE" w:rsidR="00AF4CE7" w:rsidRDefault="00AF4CE7" w:rsidP="00AF4CE7">
            <w:pPr>
              <w:spacing w:line="180" w:lineRule="exact"/>
              <w:jc w:val="center"/>
              <w:rPr>
                <w:sz w:val="18"/>
                <w:szCs w:val="18"/>
                <w:u w:val="single"/>
              </w:rPr>
            </w:pPr>
            <w:r>
              <w:rPr>
                <w:rFonts w:hint="cs"/>
                <w:sz w:val="18"/>
                <w:szCs w:val="18"/>
                <w:rtl/>
              </w:rPr>
              <w:t>2019</w:t>
            </w:r>
          </w:p>
        </w:tc>
        <w:tc>
          <w:tcPr>
            <w:tcW w:w="113" w:type="dxa"/>
            <w:shd w:val="clear" w:color="auto" w:fill="auto"/>
            <w:vAlign w:val="bottom"/>
          </w:tcPr>
          <w:p w14:paraId="01366F24" w14:textId="77777777" w:rsidR="00AF4CE7" w:rsidRPr="00D31751" w:rsidRDefault="00AF4CE7" w:rsidP="00AF4CE7">
            <w:pPr>
              <w:spacing w:line="180" w:lineRule="exact"/>
              <w:jc w:val="center"/>
              <w:rPr>
                <w:sz w:val="18"/>
                <w:szCs w:val="18"/>
              </w:rPr>
            </w:pPr>
          </w:p>
        </w:tc>
        <w:tc>
          <w:tcPr>
            <w:tcW w:w="907" w:type="dxa"/>
            <w:tcBorders>
              <w:bottom w:val="single" w:sz="6" w:space="0" w:color="auto"/>
            </w:tcBorders>
            <w:shd w:val="clear" w:color="auto" w:fill="auto"/>
            <w:vAlign w:val="bottom"/>
          </w:tcPr>
          <w:p w14:paraId="205261E4" w14:textId="14E6E2F1" w:rsidR="00AF4CE7" w:rsidRDefault="00AF4CE7" w:rsidP="00AF4CE7">
            <w:pPr>
              <w:spacing w:line="180" w:lineRule="exact"/>
              <w:jc w:val="center"/>
              <w:rPr>
                <w:sz w:val="18"/>
                <w:szCs w:val="18"/>
                <w:u w:val="single"/>
              </w:rPr>
            </w:pPr>
            <w:r>
              <w:rPr>
                <w:rFonts w:hint="cs"/>
                <w:sz w:val="18"/>
                <w:szCs w:val="18"/>
                <w:rtl/>
              </w:rPr>
              <w:t>2018</w:t>
            </w:r>
          </w:p>
        </w:tc>
        <w:tc>
          <w:tcPr>
            <w:tcW w:w="113" w:type="dxa"/>
            <w:shd w:val="clear" w:color="auto" w:fill="auto"/>
            <w:vAlign w:val="bottom"/>
          </w:tcPr>
          <w:p w14:paraId="138228F2" w14:textId="77777777" w:rsidR="00AF4CE7" w:rsidRPr="00B305E0" w:rsidRDefault="00AF4CE7" w:rsidP="00AF4CE7">
            <w:pPr>
              <w:tabs>
                <w:tab w:val="decimal" w:pos="113"/>
              </w:tabs>
              <w:spacing w:line="180" w:lineRule="exact"/>
              <w:jc w:val="center"/>
              <w:rPr>
                <w:sz w:val="18"/>
                <w:szCs w:val="18"/>
              </w:rPr>
            </w:pPr>
          </w:p>
        </w:tc>
        <w:tc>
          <w:tcPr>
            <w:tcW w:w="1061" w:type="dxa"/>
            <w:tcBorders>
              <w:bottom w:val="single" w:sz="6" w:space="0" w:color="auto"/>
            </w:tcBorders>
            <w:shd w:val="clear" w:color="auto" w:fill="auto"/>
            <w:vAlign w:val="bottom"/>
          </w:tcPr>
          <w:p w14:paraId="036984FA" w14:textId="3838EE79" w:rsidR="00AF4CE7" w:rsidRPr="00635E27" w:rsidRDefault="00AF4CE7" w:rsidP="00AF4CE7">
            <w:pPr>
              <w:spacing w:line="180" w:lineRule="exact"/>
              <w:jc w:val="center"/>
              <w:rPr>
                <w:sz w:val="18"/>
                <w:szCs w:val="18"/>
                <w:rtl/>
              </w:rPr>
            </w:pPr>
            <w:r>
              <w:rPr>
                <w:rFonts w:hint="cs"/>
                <w:sz w:val="18"/>
                <w:szCs w:val="18"/>
                <w:rtl/>
              </w:rPr>
              <w:t>2018</w:t>
            </w:r>
          </w:p>
        </w:tc>
      </w:tr>
      <w:tr w:rsidR="00AF4CE7" w:rsidRPr="00B305E0" w14:paraId="09DFD439" w14:textId="77777777" w:rsidTr="00AF4CE7">
        <w:tc>
          <w:tcPr>
            <w:tcW w:w="1546" w:type="dxa"/>
          </w:tcPr>
          <w:p w14:paraId="7DD0373E" w14:textId="77777777" w:rsidR="00AF4CE7" w:rsidRPr="00EC1438" w:rsidRDefault="00AF4CE7" w:rsidP="00AF4CE7">
            <w:pPr>
              <w:tabs>
                <w:tab w:val="left" w:pos="227"/>
                <w:tab w:val="left" w:pos="397"/>
                <w:tab w:val="left" w:pos="567"/>
              </w:tabs>
              <w:bidi w:val="0"/>
              <w:spacing w:line="180" w:lineRule="exact"/>
              <w:ind w:left="227" w:right="113"/>
              <w:jc w:val="right"/>
              <w:rPr>
                <w:i/>
                <w:iCs/>
                <w:sz w:val="13"/>
                <w:szCs w:val="13"/>
                <w:rtl/>
              </w:rPr>
            </w:pPr>
          </w:p>
        </w:tc>
        <w:tc>
          <w:tcPr>
            <w:tcW w:w="3027" w:type="dxa"/>
            <w:shd w:val="clear" w:color="auto" w:fill="auto"/>
            <w:vAlign w:val="bottom"/>
          </w:tcPr>
          <w:p w14:paraId="37E42FAA" w14:textId="77777777" w:rsidR="00AF4CE7" w:rsidRPr="00EC1438" w:rsidRDefault="00AF4CE7" w:rsidP="00AF4CE7">
            <w:pPr>
              <w:tabs>
                <w:tab w:val="left" w:pos="227"/>
                <w:tab w:val="left" w:pos="397"/>
                <w:tab w:val="left" w:pos="567"/>
              </w:tabs>
              <w:spacing w:line="180" w:lineRule="exact"/>
              <w:ind w:left="227" w:hanging="170"/>
              <w:rPr>
                <w:sz w:val="13"/>
                <w:szCs w:val="13"/>
                <w:rtl/>
              </w:rPr>
            </w:pPr>
          </w:p>
        </w:tc>
        <w:tc>
          <w:tcPr>
            <w:tcW w:w="113" w:type="dxa"/>
            <w:shd w:val="clear" w:color="auto" w:fill="auto"/>
            <w:vAlign w:val="bottom"/>
          </w:tcPr>
          <w:p w14:paraId="48054F5E" w14:textId="77777777" w:rsidR="00AF4CE7" w:rsidRPr="00B305E0" w:rsidRDefault="00AF4CE7" w:rsidP="00AF4CE7">
            <w:pPr>
              <w:spacing w:line="180" w:lineRule="exact"/>
              <w:rPr>
                <w:sz w:val="18"/>
                <w:szCs w:val="18"/>
                <w:rtl/>
              </w:rPr>
            </w:pPr>
          </w:p>
        </w:tc>
        <w:tc>
          <w:tcPr>
            <w:tcW w:w="3967" w:type="dxa"/>
            <w:gridSpan w:val="8"/>
            <w:tcBorders>
              <w:bottom w:val="single" w:sz="6" w:space="0" w:color="auto"/>
            </w:tcBorders>
            <w:shd w:val="clear" w:color="auto" w:fill="auto"/>
            <w:vAlign w:val="bottom"/>
          </w:tcPr>
          <w:p w14:paraId="0EC2B559" w14:textId="77777777" w:rsidR="00AF4CE7" w:rsidRPr="00B305E0" w:rsidRDefault="00AF4CE7" w:rsidP="00AF4CE7">
            <w:pPr>
              <w:spacing w:line="180" w:lineRule="exact"/>
              <w:jc w:val="center"/>
              <w:rPr>
                <w:sz w:val="18"/>
                <w:szCs w:val="18"/>
              </w:rPr>
            </w:pPr>
            <w:r w:rsidRPr="00B305E0">
              <w:rPr>
                <w:rFonts w:hint="cs"/>
                <w:sz w:val="18"/>
                <w:szCs w:val="18"/>
                <w:rtl/>
              </w:rPr>
              <w:t>בלתי מבוקר</w:t>
            </w:r>
          </w:p>
        </w:tc>
        <w:tc>
          <w:tcPr>
            <w:tcW w:w="113" w:type="dxa"/>
            <w:shd w:val="clear" w:color="auto" w:fill="auto"/>
            <w:vAlign w:val="bottom"/>
          </w:tcPr>
          <w:p w14:paraId="5EB3D5E5" w14:textId="77777777" w:rsidR="00AF4CE7" w:rsidRPr="00B305E0" w:rsidRDefault="00AF4CE7" w:rsidP="00AF4CE7">
            <w:pPr>
              <w:tabs>
                <w:tab w:val="decimal" w:pos="113"/>
              </w:tabs>
              <w:spacing w:line="180" w:lineRule="exact"/>
              <w:jc w:val="center"/>
              <w:rPr>
                <w:sz w:val="18"/>
                <w:szCs w:val="18"/>
              </w:rPr>
            </w:pPr>
          </w:p>
        </w:tc>
        <w:tc>
          <w:tcPr>
            <w:tcW w:w="1061" w:type="dxa"/>
            <w:tcBorders>
              <w:bottom w:val="single" w:sz="6" w:space="0" w:color="auto"/>
            </w:tcBorders>
            <w:shd w:val="clear" w:color="auto" w:fill="auto"/>
            <w:vAlign w:val="bottom"/>
          </w:tcPr>
          <w:p w14:paraId="3421A5BB" w14:textId="77777777" w:rsidR="00AF4CE7" w:rsidRPr="00B305E0" w:rsidRDefault="00AF4CE7" w:rsidP="00AF4CE7">
            <w:pPr>
              <w:spacing w:line="180" w:lineRule="exact"/>
              <w:jc w:val="center"/>
              <w:rPr>
                <w:sz w:val="18"/>
                <w:szCs w:val="18"/>
              </w:rPr>
            </w:pPr>
            <w:r w:rsidRPr="00B305E0">
              <w:rPr>
                <w:rFonts w:hint="cs"/>
                <w:sz w:val="18"/>
                <w:szCs w:val="18"/>
                <w:rtl/>
              </w:rPr>
              <w:t>מבוקר</w:t>
            </w:r>
          </w:p>
        </w:tc>
      </w:tr>
      <w:tr w:rsidR="00AF4CE7" w:rsidRPr="00B305E0" w14:paraId="5C3422F6" w14:textId="77777777" w:rsidTr="00AF4CE7">
        <w:tc>
          <w:tcPr>
            <w:tcW w:w="1546" w:type="dxa"/>
          </w:tcPr>
          <w:p w14:paraId="6ADD47A6" w14:textId="77777777" w:rsidR="00AF4CE7" w:rsidRPr="00EC1438" w:rsidRDefault="00AF4CE7" w:rsidP="00AF4CE7">
            <w:pPr>
              <w:pStyle w:val="a3"/>
              <w:tabs>
                <w:tab w:val="left" w:pos="227"/>
                <w:tab w:val="left" w:pos="397"/>
                <w:tab w:val="left" w:pos="567"/>
              </w:tabs>
              <w:bidi w:val="0"/>
              <w:spacing w:line="180" w:lineRule="exact"/>
              <w:ind w:left="227" w:right="113"/>
              <w:jc w:val="right"/>
              <w:rPr>
                <w:i/>
                <w:iCs/>
                <w:sz w:val="13"/>
                <w:szCs w:val="13"/>
                <w:rtl/>
              </w:rPr>
            </w:pPr>
          </w:p>
        </w:tc>
        <w:tc>
          <w:tcPr>
            <w:tcW w:w="3027" w:type="dxa"/>
            <w:shd w:val="clear" w:color="auto" w:fill="auto"/>
            <w:vAlign w:val="bottom"/>
          </w:tcPr>
          <w:p w14:paraId="4612AD4E" w14:textId="77777777" w:rsidR="00AF4CE7" w:rsidRPr="00EC1438" w:rsidRDefault="00AF4CE7" w:rsidP="00AF4CE7">
            <w:pPr>
              <w:pStyle w:val="a3"/>
              <w:tabs>
                <w:tab w:val="left" w:pos="227"/>
                <w:tab w:val="left" w:pos="397"/>
                <w:tab w:val="left" w:pos="567"/>
              </w:tabs>
              <w:spacing w:line="180" w:lineRule="exact"/>
              <w:ind w:left="227" w:hanging="170"/>
              <w:rPr>
                <w:sz w:val="13"/>
                <w:szCs w:val="13"/>
                <w:rtl/>
              </w:rPr>
            </w:pPr>
          </w:p>
        </w:tc>
        <w:tc>
          <w:tcPr>
            <w:tcW w:w="113" w:type="dxa"/>
            <w:shd w:val="clear" w:color="auto" w:fill="auto"/>
            <w:vAlign w:val="bottom"/>
          </w:tcPr>
          <w:p w14:paraId="558F68DE" w14:textId="77777777" w:rsidR="00AF4CE7" w:rsidRPr="00B305E0" w:rsidRDefault="00AF4CE7" w:rsidP="00AF4CE7">
            <w:pPr>
              <w:tabs>
                <w:tab w:val="decimal" w:pos="113"/>
              </w:tabs>
              <w:spacing w:line="180" w:lineRule="exact"/>
              <w:ind w:left="57"/>
              <w:rPr>
                <w:sz w:val="18"/>
                <w:szCs w:val="18"/>
              </w:rPr>
            </w:pPr>
          </w:p>
        </w:tc>
        <w:tc>
          <w:tcPr>
            <w:tcW w:w="1147" w:type="dxa"/>
            <w:gridSpan w:val="3"/>
            <w:tcBorders>
              <w:bottom w:val="single" w:sz="6" w:space="0" w:color="auto"/>
            </w:tcBorders>
            <w:shd w:val="clear" w:color="auto" w:fill="auto"/>
            <w:vAlign w:val="bottom"/>
          </w:tcPr>
          <w:p w14:paraId="79B6FD30" w14:textId="77777777" w:rsidR="00AF4CE7" w:rsidRPr="005E7774" w:rsidRDefault="00AF4CE7" w:rsidP="00AF4CE7">
            <w:pPr>
              <w:spacing w:line="180" w:lineRule="exact"/>
              <w:jc w:val="center"/>
              <w:rPr>
                <w:i/>
                <w:iCs/>
                <w:sz w:val="18"/>
                <w:szCs w:val="20"/>
              </w:rPr>
            </w:pPr>
            <w:r w:rsidRPr="005E7774">
              <w:rPr>
                <w:i/>
                <w:iCs/>
                <w:sz w:val="14"/>
                <w:szCs w:val="16"/>
              </w:rPr>
              <w:t>IAS</w:t>
            </w:r>
            <w:r>
              <w:rPr>
                <w:i/>
                <w:iCs/>
                <w:sz w:val="14"/>
                <w:szCs w:val="16"/>
              </w:rPr>
              <w:t> </w:t>
            </w:r>
            <w:r w:rsidRPr="005E7774">
              <w:rPr>
                <w:i/>
                <w:iCs/>
                <w:sz w:val="14"/>
                <w:szCs w:val="16"/>
              </w:rPr>
              <w:t>1.51(d), (e)</w:t>
            </w:r>
          </w:p>
        </w:tc>
        <w:tc>
          <w:tcPr>
            <w:tcW w:w="3994" w:type="dxa"/>
            <w:gridSpan w:val="7"/>
            <w:tcBorders>
              <w:bottom w:val="single" w:sz="6" w:space="0" w:color="auto"/>
            </w:tcBorders>
            <w:shd w:val="clear" w:color="auto" w:fill="auto"/>
            <w:vAlign w:val="bottom"/>
          </w:tcPr>
          <w:p w14:paraId="7C1C13E5" w14:textId="77777777" w:rsidR="00AF4CE7" w:rsidRPr="00B305E0" w:rsidRDefault="00AF4CE7" w:rsidP="00AF4CE7">
            <w:pPr>
              <w:spacing w:line="180" w:lineRule="exact"/>
              <w:ind w:left="190"/>
              <w:jc w:val="left"/>
              <w:rPr>
                <w:sz w:val="18"/>
                <w:szCs w:val="18"/>
                <w:u w:val="single"/>
              </w:rPr>
            </w:pPr>
            <w:r w:rsidRPr="00B305E0">
              <w:rPr>
                <w:rFonts w:hint="cs"/>
                <w:sz w:val="18"/>
                <w:szCs w:val="18"/>
                <w:rtl/>
              </w:rPr>
              <w:t>אלפי ש"ח (למעט נתוני רווח נקי (הפסד) למניה)</w:t>
            </w:r>
          </w:p>
        </w:tc>
      </w:tr>
      <w:tr w:rsidR="00AF4CE7" w:rsidRPr="00B305E0" w14:paraId="22EC6717" w14:textId="77777777" w:rsidTr="00AF4CE7">
        <w:tc>
          <w:tcPr>
            <w:tcW w:w="1546" w:type="dxa"/>
            <w:vMerge w:val="restart"/>
          </w:tcPr>
          <w:p w14:paraId="09DC0220" w14:textId="677CF11B" w:rsidR="00AF4CE7" w:rsidRPr="008257D7" w:rsidRDefault="00AF4CE7" w:rsidP="00AF4CE7">
            <w:pPr>
              <w:pStyle w:val="a3"/>
              <w:bidi w:val="0"/>
              <w:spacing w:line="180" w:lineRule="exact"/>
              <w:ind w:left="0" w:right="57"/>
              <w:jc w:val="right"/>
              <w:rPr>
                <w:i/>
                <w:iCs/>
                <w:sz w:val="14"/>
                <w:szCs w:val="14"/>
              </w:rPr>
            </w:pPr>
            <w:r w:rsidRPr="008257D7">
              <w:rPr>
                <w:i/>
                <w:iCs/>
                <w:sz w:val="14"/>
                <w:szCs w:val="14"/>
              </w:rPr>
              <w:t>IFRS 15.46;IFRS 15.35</w:t>
            </w:r>
          </w:p>
          <w:p w14:paraId="1C283F1F" w14:textId="7C4A4DFF" w:rsidR="00DD74D5" w:rsidRPr="008257D7" w:rsidRDefault="00AF4CE7" w:rsidP="00DD74D5">
            <w:pPr>
              <w:pStyle w:val="a3"/>
              <w:bidi w:val="0"/>
              <w:spacing w:line="180" w:lineRule="exact"/>
              <w:ind w:left="0" w:right="57"/>
              <w:jc w:val="right"/>
              <w:rPr>
                <w:i/>
                <w:iCs/>
                <w:sz w:val="14"/>
                <w:szCs w:val="14"/>
                <w:u w:val="single"/>
              </w:rPr>
            </w:pPr>
            <w:r w:rsidRPr="008257D7">
              <w:rPr>
                <w:i/>
                <w:iCs/>
                <w:sz w:val="14"/>
                <w:szCs w:val="14"/>
              </w:rPr>
              <w:t>IFRS 15.38;</w:t>
            </w:r>
          </w:p>
          <w:p w14:paraId="572E316D" w14:textId="6D38D40B" w:rsidR="00AF4CE7" w:rsidRPr="008257D7" w:rsidRDefault="00AF4CE7" w:rsidP="00AF4CE7">
            <w:pPr>
              <w:tabs>
                <w:tab w:val="left" w:pos="227"/>
                <w:tab w:val="left" w:pos="397"/>
                <w:tab w:val="left" w:pos="567"/>
              </w:tabs>
              <w:bidi w:val="0"/>
              <w:spacing w:line="180" w:lineRule="exact"/>
              <w:ind w:left="57" w:right="113"/>
              <w:jc w:val="right"/>
              <w:rPr>
                <w:i/>
                <w:iCs/>
                <w:sz w:val="14"/>
                <w:szCs w:val="14"/>
                <w:u w:val="single"/>
              </w:rPr>
            </w:pPr>
          </w:p>
        </w:tc>
        <w:tc>
          <w:tcPr>
            <w:tcW w:w="3027" w:type="dxa"/>
            <w:shd w:val="clear" w:color="auto" w:fill="auto"/>
            <w:vAlign w:val="bottom"/>
          </w:tcPr>
          <w:p w14:paraId="222AF851" w14:textId="77777777" w:rsidR="00AF4CE7" w:rsidRPr="001521F8" w:rsidRDefault="00AF4CE7" w:rsidP="00AF4CE7">
            <w:pPr>
              <w:widowControl/>
              <w:tabs>
                <w:tab w:val="left" w:pos="227"/>
                <w:tab w:val="left" w:pos="397"/>
                <w:tab w:val="left" w:pos="567"/>
              </w:tabs>
              <w:spacing w:line="180" w:lineRule="exact"/>
              <w:ind w:left="57"/>
              <w:jc w:val="left"/>
              <w:rPr>
                <w:b/>
                <w:sz w:val="16"/>
                <w:szCs w:val="16"/>
                <w:u w:val="single"/>
                <w:rtl/>
              </w:rPr>
            </w:pPr>
            <w:r w:rsidRPr="001521F8">
              <w:rPr>
                <w:rFonts w:hint="cs"/>
                <w:b/>
                <w:sz w:val="16"/>
                <w:szCs w:val="16"/>
                <w:u w:val="single"/>
                <w:rtl/>
              </w:rPr>
              <w:t>ה</w:t>
            </w:r>
            <w:r w:rsidRPr="001521F8">
              <w:rPr>
                <w:b/>
                <w:sz w:val="16"/>
                <w:szCs w:val="16"/>
                <w:u w:val="single"/>
                <w:rtl/>
              </w:rPr>
              <w:t>כנסות</w:t>
            </w:r>
          </w:p>
        </w:tc>
        <w:tc>
          <w:tcPr>
            <w:tcW w:w="113" w:type="dxa"/>
            <w:shd w:val="clear" w:color="auto" w:fill="auto"/>
            <w:vAlign w:val="bottom"/>
          </w:tcPr>
          <w:p w14:paraId="65850D78" w14:textId="77777777" w:rsidR="00AF4CE7" w:rsidRPr="00B305E0" w:rsidRDefault="00AF4CE7" w:rsidP="00AF4CE7">
            <w:pPr>
              <w:spacing w:line="180" w:lineRule="exact"/>
              <w:rPr>
                <w:sz w:val="18"/>
                <w:szCs w:val="18"/>
              </w:rPr>
            </w:pPr>
          </w:p>
        </w:tc>
        <w:tc>
          <w:tcPr>
            <w:tcW w:w="907" w:type="dxa"/>
            <w:vAlign w:val="bottom"/>
          </w:tcPr>
          <w:p w14:paraId="3C62B0D3"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31266EA3"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2A6F30D8"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6B188D7"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63DB66B0"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2FF4BD2"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70CA7FB"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B952937"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345B0570" w14:textId="77777777" w:rsidR="00AF4CE7" w:rsidRPr="00B305E0" w:rsidRDefault="00AF4CE7" w:rsidP="00AF4CE7">
            <w:pPr>
              <w:tabs>
                <w:tab w:val="decimal" w:pos="113"/>
              </w:tabs>
              <w:spacing w:line="180" w:lineRule="exact"/>
              <w:rPr>
                <w:sz w:val="18"/>
                <w:szCs w:val="18"/>
                <w:rtl/>
              </w:rPr>
            </w:pPr>
          </w:p>
        </w:tc>
      </w:tr>
      <w:tr w:rsidR="00AF4CE7" w:rsidRPr="00B305E0" w14:paraId="4C318CCB" w14:textId="77777777" w:rsidTr="00AF4CE7">
        <w:tc>
          <w:tcPr>
            <w:tcW w:w="1546" w:type="dxa"/>
            <w:vMerge/>
          </w:tcPr>
          <w:p w14:paraId="623BA92E" w14:textId="2E80BEE6" w:rsidR="00AF4CE7" w:rsidRPr="008257D7" w:rsidRDefault="00AF4CE7" w:rsidP="00AF4CE7">
            <w:pPr>
              <w:tabs>
                <w:tab w:val="left" w:pos="227"/>
                <w:tab w:val="left" w:pos="397"/>
                <w:tab w:val="left" w:pos="567"/>
              </w:tabs>
              <w:bidi w:val="0"/>
              <w:spacing w:line="180" w:lineRule="exact"/>
              <w:ind w:left="57" w:right="113"/>
              <w:jc w:val="right"/>
              <w:rPr>
                <w:i/>
                <w:iCs/>
                <w:sz w:val="14"/>
                <w:szCs w:val="14"/>
                <w:rtl/>
              </w:rPr>
            </w:pPr>
          </w:p>
        </w:tc>
        <w:tc>
          <w:tcPr>
            <w:tcW w:w="3027" w:type="dxa"/>
            <w:shd w:val="clear" w:color="auto" w:fill="auto"/>
            <w:vAlign w:val="bottom"/>
          </w:tcPr>
          <w:p w14:paraId="25D64306"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הכנסות מ</w:t>
            </w:r>
            <w:r w:rsidRPr="001521F8">
              <w:rPr>
                <w:b/>
                <w:sz w:val="16"/>
                <w:szCs w:val="16"/>
                <w:rtl/>
              </w:rPr>
              <w:t xml:space="preserve">מכירות </w:t>
            </w:r>
          </w:p>
        </w:tc>
        <w:tc>
          <w:tcPr>
            <w:tcW w:w="113" w:type="dxa"/>
            <w:shd w:val="clear" w:color="auto" w:fill="auto"/>
            <w:vAlign w:val="bottom"/>
          </w:tcPr>
          <w:p w14:paraId="27D5F394" w14:textId="77777777" w:rsidR="00AF4CE7" w:rsidRPr="00B305E0" w:rsidRDefault="00AF4CE7" w:rsidP="00AF4CE7">
            <w:pPr>
              <w:spacing w:line="180" w:lineRule="exact"/>
              <w:rPr>
                <w:sz w:val="18"/>
                <w:szCs w:val="18"/>
              </w:rPr>
            </w:pPr>
          </w:p>
        </w:tc>
        <w:tc>
          <w:tcPr>
            <w:tcW w:w="907" w:type="dxa"/>
            <w:vAlign w:val="bottom"/>
          </w:tcPr>
          <w:p w14:paraId="55EE49A9"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318CAA84"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7C7666C9"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5522F3E"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1CEB520A"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0AB70E6C"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2BB0EEF9"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DCC809A"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96E6BFC" w14:textId="77777777" w:rsidR="00AF4CE7" w:rsidRPr="00B305E0" w:rsidRDefault="00AF4CE7" w:rsidP="00AF4CE7">
            <w:pPr>
              <w:tabs>
                <w:tab w:val="decimal" w:pos="113"/>
              </w:tabs>
              <w:spacing w:line="180" w:lineRule="exact"/>
              <w:rPr>
                <w:sz w:val="18"/>
                <w:szCs w:val="18"/>
                <w:rtl/>
              </w:rPr>
            </w:pPr>
          </w:p>
        </w:tc>
      </w:tr>
      <w:tr w:rsidR="00AF4CE7" w:rsidRPr="00B305E0" w14:paraId="3BE7B6D1" w14:textId="77777777" w:rsidTr="00AF4CE7">
        <w:tc>
          <w:tcPr>
            <w:tcW w:w="1546" w:type="dxa"/>
            <w:vMerge/>
            <w:tcBorders>
              <w:bottom w:val="single" w:sz="6" w:space="0" w:color="auto"/>
            </w:tcBorders>
          </w:tcPr>
          <w:p w14:paraId="23F33751" w14:textId="6ABB91A4"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shd w:val="clear" w:color="auto" w:fill="auto"/>
            <w:vAlign w:val="bottom"/>
          </w:tcPr>
          <w:p w14:paraId="449DE3A9"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הכנסות ממתן שירותים</w:t>
            </w:r>
          </w:p>
        </w:tc>
        <w:tc>
          <w:tcPr>
            <w:tcW w:w="113" w:type="dxa"/>
            <w:shd w:val="clear" w:color="auto" w:fill="auto"/>
            <w:vAlign w:val="bottom"/>
          </w:tcPr>
          <w:p w14:paraId="78339DF0" w14:textId="77777777" w:rsidR="00AF4CE7" w:rsidRPr="00B305E0" w:rsidRDefault="00AF4CE7" w:rsidP="00AF4CE7">
            <w:pPr>
              <w:spacing w:line="180" w:lineRule="exact"/>
              <w:rPr>
                <w:sz w:val="18"/>
                <w:szCs w:val="18"/>
              </w:rPr>
            </w:pPr>
          </w:p>
        </w:tc>
        <w:tc>
          <w:tcPr>
            <w:tcW w:w="907" w:type="dxa"/>
            <w:vAlign w:val="bottom"/>
          </w:tcPr>
          <w:p w14:paraId="6F3EEE54"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C4A0D51"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1FEDBF8F"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EDA9056"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21E026B5"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2F39C426"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626A9D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44E7440"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70CE783D" w14:textId="77777777" w:rsidR="00AF4CE7" w:rsidRPr="00B305E0" w:rsidRDefault="00AF4CE7" w:rsidP="00AF4CE7">
            <w:pPr>
              <w:tabs>
                <w:tab w:val="decimal" w:pos="113"/>
              </w:tabs>
              <w:spacing w:line="180" w:lineRule="exact"/>
              <w:rPr>
                <w:sz w:val="18"/>
                <w:szCs w:val="18"/>
                <w:rtl/>
              </w:rPr>
            </w:pPr>
          </w:p>
        </w:tc>
      </w:tr>
      <w:tr w:rsidR="00AF4CE7" w:rsidRPr="00B305E0" w14:paraId="51CF3EBA" w14:textId="77777777" w:rsidTr="00AF4CE7">
        <w:tc>
          <w:tcPr>
            <w:tcW w:w="1546" w:type="dxa"/>
            <w:tcBorders>
              <w:top w:val="single" w:sz="6" w:space="0" w:color="auto"/>
              <w:bottom w:val="single" w:sz="6" w:space="0" w:color="auto"/>
              <w:right w:val="single" w:sz="6" w:space="0" w:color="auto"/>
            </w:tcBorders>
          </w:tcPr>
          <w:p w14:paraId="435D571A"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1.104</w:t>
            </w:r>
          </w:p>
        </w:tc>
        <w:tc>
          <w:tcPr>
            <w:tcW w:w="3027" w:type="dxa"/>
            <w:tcBorders>
              <w:left w:val="single" w:sz="6" w:space="0" w:color="auto"/>
            </w:tcBorders>
            <w:shd w:val="clear" w:color="auto" w:fill="auto"/>
            <w:vAlign w:val="bottom"/>
          </w:tcPr>
          <w:p w14:paraId="6EE35EDA"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עליית (ירידת) ערך נדל"ן להשקעה</w:t>
            </w:r>
          </w:p>
        </w:tc>
        <w:tc>
          <w:tcPr>
            <w:tcW w:w="113" w:type="dxa"/>
            <w:shd w:val="clear" w:color="auto" w:fill="auto"/>
            <w:vAlign w:val="bottom"/>
          </w:tcPr>
          <w:p w14:paraId="23BACC4E" w14:textId="77777777" w:rsidR="00AF4CE7" w:rsidRPr="00B305E0" w:rsidRDefault="00AF4CE7" w:rsidP="00AF4CE7">
            <w:pPr>
              <w:spacing w:line="180" w:lineRule="exact"/>
              <w:rPr>
                <w:sz w:val="18"/>
                <w:szCs w:val="18"/>
              </w:rPr>
            </w:pPr>
          </w:p>
        </w:tc>
        <w:tc>
          <w:tcPr>
            <w:tcW w:w="907" w:type="dxa"/>
            <w:vAlign w:val="bottom"/>
          </w:tcPr>
          <w:p w14:paraId="503C9098"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3E840344"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697E1EB1"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66C6816"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27E1CA2B"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1C15939D"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2CCA629"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00F283F"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087B8F3" w14:textId="77777777" w:rsidR="00AF4CE7" w:rsidRPr="00B305E0" w:rsidRDefault="00AF4CE7" w:rsidP="00AF4CE7">
            <w:pPr>
              <w:tabs>
                <w:tab w:val="decimal" w:pos="113"/>
              </w:tabs>
              <w:spacing w:line="180" w:lineRule="exact"/>
              <w:rPr>
                <w:sz w:val="18"/>
                <w:szCs w:val="18"/>
                <w:rtl/>
              </w:rPr>
            </w:pPr>
          </w:p>
        </w:tc>
      </w:tr>
      <w:tr w:rsidR="00AF4CE7" w:rsidRPr="00B305E0" w14:paraId="387C58A3" w14:textId="77777777" w:rsidTr="00AF4CE7">
        <w:tc>
          <w:tcPr>
            <w:tcW w:w="1546" w:type="dxa"/>
            <w:tcBorders>
              <w:top w:val="single" w:sz="6" w:space="0" w:color="auto"/>
              <w:bottom w:val="single" w:sz="6" w:space="0" w:color="auto"/>
              <w:right w:val="single" w:sz="6" w:space="0" w:color="auto"/>
            </w:tcBorders>
            <w:vAlign w:val="center"/>
          </w:tcPr>
          <w:p w14:paraId="16A64987"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1.82(c); IAS 28.38</w:t>
            </w:r>
          </w:p>
        </w:tc>
        <w:tc>
          <w:tcPr>
            <w:tcW w:w="3027" w:type="dxa"/>
            <w:tcBorders>
              <w:left w:val="single" w:sz="6" w:space="0" w:color="auto"/>
            </w:tcBorders>
            <w:shd w:val="clear" w:color="auto" w:fill="auto"/>
            <w:vAlign w:val="bottom"/>
          </w:tcPr>
          <w:p w14:paraId="045F7F5D" w14:textId="77777777" w:rsidR="00AF4CE7" w:rsidRPr="001521F8" w:rsidRDefault="00AF4CE7" w:rsidP="00AF4CE7">
            <w:pPr>
              <w:spacing w:line="180" w:lineRule="exact"/>
              <w:ind w:left="227" w:hanging="170"/>
              <w:jc w:val="left"/>
              <w:rPr>
                <w:sz w:val="16"/>
                <w:szCs w:val="16"/>
                <w:rtl/>
              </w:rPr>
            </w:pPr>
            <w:r w:rsidRPr="001521F8">
              <w:rPr>
                <w:sz w:val="16"/>
                <w:szCs w:val="16"/>
                <w:rtl/>
              </w:rPr>
              <w:t>חלק</w:t>
            </w:r>
            <w:r w:rsidRPr="001521F8">
              <w:rPr>
                <w:rFonts w:hint="cs"/>
                <w:sz w:val="16"/>
                <w:szCs w:val="16"/>
                <w:rtl/>
              </w:rPr>
              <w:t xml:space="preserve"> </w:t>
            </w:r>
            <w:r w:rsidRPr="001521F8">
              <w:rPr>
                <w:rFonts w:hint="eastAsia"/>
                <w:sz w:val="16"/>
                <w:szCs w:val="16"/>
                <w:rtl/>
              </w:rPr>
              <w:t>הקבוצה</w:t>
            </w:r>
            <w:r w:rsidRPr="001521F8">
              <w:rPr>
                <w:sz w:val="16"/>
                <w:szCs w:val="16"/>
                <w:rtl/>
              </w:rPr>
              <w:t xml:space="preserve"> ברווחי (בהפסדי) חברות </w:t>
            </w:r>
            <w:r w:rsidRPr="001521F8">
              <w:rPr>
                <w:rFonts w:hint="eastAsia"/>
                <w:sz w:val="16"/>
                <w:szCs w:val="16"/>
                <w:rtl/>
              </w:rPr>
              <w:t>המטופלות</w:t>
            </w:r>
            <w:r w:rsidRPr="001521F8">
              <w:rPr>
                <w:sz w:val="16"/>
                <w:szCs w:val="16"/>
                <w:rtl/>
              </w:rPr>
              <w:t xml:space="preserve"> </w:t>
            </w:r>
            <w:r w:rsidRPr="001521F8">
              <w:rPr>
                <w:rFonts w:hint="eastAsia"/>
                <w:sz w:val="16"/>
                <w:szCs w:val="16"/>
                <w:rtl/>
              </w:rPr>
              <w:t>לפי</w:t>
            </w:r>
            <w:r w:rsidRPr="001521F8">
              <w:rPr>
                <w:sz w:val="16"/>
                <w:szCs w:val="16"/>
                <w:rtl/>
              </w:rPr>
              <w:t xml:space="preserve"> </w:t>
            </w:r>
            <w:r w:rsidRPr="001521F8">
              <w:rPr>
                <w:rFonts w:hint="eastAsia"/>
                <w:sz w:val="16"/>
                <w:szCs w:val="16"/>
                <w:rtl/>
              </w:rPr>
              <w:t>שיטת</w:t>
            </w:r>
            <w:r w:rsidRPr="001521F8">
              <w:rPr>
                <w:sz w:val="16"/>
                <w:szCs w:val="16"/>
                <w:rtl/>
              </w:rPr>
              <w:t xml:space="preserve"> </w:t>
            </w:r>
            <w:r w:rsidRPr="001521F8">
              <w:rPr>
                <w:rFonts w:hint="eastAsia"/>
                <w:sz w:val="16"/>
                <w:szCs w:val="16"/>
                <w:rtl/>
              </w:rPr>
              <w:t>השווי</w:t>
            </w:r>
            <w:r w:rsidRPr="001521F8">
              <w:rPr>
                <w:sz w:val="16"/>
                <w:szCs w:val="16"/>
                <w:rtl/>
              </w:rPr>
              <w:t xml:space="preserve"> </w:t>
            </w:r>
            <w:r w:rsidRPr="001521F8">
              <w:rPr>
                <w:rFonts w:hint="eastAsia"/>
                <w:sz w:val="16"/>
                <w:szCs w:val="16"/>
                <w:rtl/>
              </w:rPr>
              <w:t>המאזני</w:t>
            </w:r>
            <w:r w:rsidRPr="001521F8">
              <w:rPr>
                <w:sz w:val="16"/>
                <w:szCs w:val="16"/>
                <w:rtl/>
              </w:rPr>
              <w:t xml:space="preserve">, </w:t>
            </w:r>
            <w:r w:rsidRPr="001521F8">
              <w:rPr>
                <w:rFonts w:hint="eastAsia"/>
                <w:sz w:val="16"/>
                <w:szCs w:val="16"/>
                <w:rtl/>
              </w:rPr>
              <w:t>נטו</w:t>
            </w:r>
          </w:p>
        </w:tc>
        <w:tc>
          <w:tcPr>
            <w:tcW w:w="113" w:type="dxa"/>
            <w:shd w:val="clear" w:color="auto" w:fill="auto"/>
            <w:vAlign w:val="bottom"/>
          </w:tcPr>
          <w:p w14:paraId="5EA5B28E" w14:textId="77777777" w:rsidR="00AF4CE7" w:rsidRPr="00B305E0" w:rsidRDefault="00AF4CE7" w:rsidP="00AF4CE7">
            <w:pPr>
              <w:spacing w:line="180" w:lineRule="exact"/>
              <w:rPr>
                <w:sz w:val="18"/>
                <w:szCs w:val="18"/>
              </w:rPr>
            </w:pPr>
          </w:p>
        </w:tc>
        <w:tc>
          <w:tcPr>
            <w:tcW w:w="907" w:type="dxa"/>
            <w:vAlign w:val="bottom"/>
          </w:tcPr>
          <w:p w14:paraId="15BFCC07"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7A02E53B"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5C210D94"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B12DE6C"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1DEBD883"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BDDD60E"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869C755"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D10BF40"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685DD01" w14:textId="77777777" w:rsidR="00AF4CE7" w:rsidRPr="00B305E0" w:rsidRDefault="00AF4CE7" w:rsidP="00AF4CE7">
            <w:pPr>
              <w:tabs>
                <w:tab w:val="decimal" w:pos="113"/>
              </w:tabs>
              <w:spacing w:line="180" w:lineRule="exact"/>
              <w:rPr>
                <w:sz w:val="18"/>
                <w:szCs w:val="18"/>
                <w:rtl/>
              </w:rPr>
            </w:pPr>
          </w:p>
        </w:tc>
      </w:tr>
      <w:tr w:rsidR="00AF4CE7" w:rsidRPr="00B305E0" w14:paraId="789A617E" w14:textId="77777777" w:rsidTr="00AF4CE7">
        <w:tc>
          <w:tcPr>
            <w:tcW w:w="1546" w:type="dxa"/>
            <w:tcBorders>
              <w:top w:val="single" w:sz="6" w:space="0" w:color="auto"/>
              <w:bottom w:val="single" w:sz="6" w:space="0" w:color="auto"/>
              <w:right w:val="single" w:sz="6" w:space="0" w:color="auto"/>
            </w:tcBorders>
          </w:tcPr>
          <w:p w14:paraId="156146ED" w14:textId="77777777" w:rsidR="00AF4CE7" w:rsidRPr="008257D7" w:rsidRDefault="00AF4CE7" w:rsidP="00AF4CE7">
            <w:pPr>
              <w:widowControl/>
              <w:tabs>
                <w:tab w:val="left" w:pos="227"/>
                <w:tab w:val="left" w:pos="397"/>
                <w:tab w:val="left" w:pos="567"/>
              </w:tabs>
              <w:bidi w:val="0"/>
              <w:spacing w:line="180" w:lineRule="exact"/>
              <w:ind w:left="284" w:right="113"/>
              <w:jc w:val="right"/>
              <w:rPr>
                <w:i/>
                <w:iCs/>
                <w:sz w:val="14"/>
                <w:szCs w:val="14"/>
                <w:rtl/>
              </w:rPr>
            </w:pPr>
            <w:r w:rsidRPr="008257D7">
              <w:rPr>
                <w:i/>
                <w:iCs/>
                <w:sz w:val="14"/>
                <w:szCs w:val="14"/>
              </w:rPr>
              <w:t>IFRS 3.B67(e)</w:t>
            </w:r>
          </w:p>
        </w:tc>
        <w:tc>
          <w:tcPr>
            <w:tcW w:w="3027" w:type="dxa"/>
            <w:tcBorders>
              <w:left w:val="single" w:sz="6" w:space="0" w:color="auto"/>
            </w:tcBorders>
            <w:shd w:val="clear" w:color="auto" w:fill="auto"/>
            <w:vAlign w:val="bottom"/>
          </w:tcPr>
          <w:p w14:paraId="4FEAA02E" w14:textId="77777777" w:rsidR="00AF4CE7" w:rsidRPr="001521F8" w:rsidRDefault="00AF4CE7" w:rsidP="00AF4CE7">
            <w:pPr>
              <w:widowControl/>
              <w:tabs>
                <w:tab w:val="left" w:pos="227"/>
                <w:tab w:val="left" w:pos="397"/>
                <w:tab w:val="left" w:pos="567"/>
              </w:tabs>
              <w:spacing w:line="180" w:lineRule="exact"/>
              <w:ind w:left="284" w:hanging="227"/>
              <w:jc w:val="left"/>
              <w:rPr>
                <w:b/>
                <w:sz w:val="16"/>
                <w:szCs w:val="16"/>
                <w:rtl/>
              </w:rPr>
            </w:pPr>
            <w:r w:rsidRPr="001521F8">
              <w:rPr>
                <w:rFonts w:hint="eastAsia"/>
                <w:b/>
                <w:sz w:val="16"/>
                <w:szCs w:val="16"/>
                <w:rtl/>
              </w:rPr>
              <w:t>רווח</w:t>
            </w:r>
            <w:r w:rsidRPr="001521F8">
              <w:rPr>
                <w:b/>
                <w:sz w:val="16"/>
                <w:szCs w:val="16"/>
                <w:rtl/>
              </w:rPr>
              <w:t xml:space="preserve"> </w:t>
            </w:r>
            <w:r w:rsidRPr="001521F8">
              <w:rPr>
                <w:rFonts w:hint="eastAsia"/>
                <w:b/>
                <w:sz w:val="16"/>
                <w:szCs w:val="16"/>
                <w:rtl/>
              </w:rPr>
              <w:t>מהנפקת</w:t>
            </w:r>
            <w:r w:rsidRPr="001521F8">
              <w:rPr>
                <w:b/>
                <w:sz w:val="16"/>
                <w:szCs w:val="16"/>
                <w:rtl/>
              </w:rPr>
              <w:t xml:space="preserve"> </w:t>
            </w:r>
            <w:r w:rsidRPr="001521F8">
              <w:rPr>
                <w:rFonts w:hint="eastAsia"/>
                <w:b/>
                <w:sz w:val="16"/>
                <w:szCs w:val="16"/>
                <w:rtl/>
              </w:rPr>
              <w:t>מניות</w:t>
            </w:r>
            <w:r w:rsidRPr="001521F8">
              <w:rPr>
                <w:b/>
                <w:sz w:val="16"/>
                <w:szCs w:val="16"/>
                <w:rtl/>
              </w:rPr>
              <w:t xml:space="preserve"> </w:t>
            </w:r>
            <w:r w:rsidRPr="001521F8">
              <w:rPr>
                <w:rFonts w:hint="eastAsia"/>
                <w:b/>
                <w:sz w:val="16"/>
                <w:szCs w:val="16"/>
                <w:rtl/>
              </w:rPr>
              <w:t>לצדדים</w:t>
            </w:r>
            <w:r w:rsidRPr="001521F8">
              <w:rPr>
                <w:b/>
                <w:sz w:val="16"/>
                <w:szCs w:val="16"/>
                <w:rtl/>
              </w:rPr>
              <w:t xml:space="preserve"> </w:t>
            </w:r>
            <w:r w:rsidRPr="001521F8">
              <w:rPr>
                <w:rFonts w:hint="eastAsia"/>
                <w:b/>
                <w:sz w:val="16"/>
                <w:szCs w:val="16"/>
                <w:rtl/>
              </w:rPr>
              <w:t>שלישיים</w:t>
            </w:r>
            <w:r w:rsidRPr="001521F8">
              <w:rPr>
                <w:b/>
                <w:sz w:val="16"/>
                <w:szCs w:val="16"/>
                <w:rtl/>
              </w:rPr>
              <w:t xml:space="preserve"> </w:t>
            </w:r>
            <w:r w:rsidRPr="001521F8">
              <w:rPr>
                <w:rFonts w:hint="eastAsia"/>
                <w:b/>
                <w:sz w:val="16"/>
                <w:szCs w:val="16"/>
                <w:rtl/>
              </w:rPr>
              <w:t>בחברות</w:t>
            </w:r>
            <w:r w:rsidRPr="001521F8">
              <w:rPr>
                <w:b/>
                <w:sz w:val="16"/>
                <w:szCs w:val="16"/>
                <w:rtl/>
              </w:rPr>
              <w:t xml:space="preserve"> </w:t>
            </w:r>
            <w:r w:rsidRPr="001521F8">
              <w:rPr>
                <w:rFonts w:hint="eastAsia"/>
                <w:b/>
                <w:sz w:val="16"/>
                <w:szCs w:val="16"/>
                <w:rtl/>
              </w:rPr>
              <w:t>מוחזקות</w:t>
            </w:r>
            <w:r w:rsidRPr="001521F8">
              <w:rPr>
                <w:b/>
                <w:sz w:val="16"/>
                <w:szCs w:val="16"/>
                <w:rtl/>
              </w:rPr>
              <w:t xml:space="preserve">, </w:t>
            </w:r>
            <w:r w:rsidRPr="001521F8">
              <w:rPr>
                <w:rFonts w:hint="eastAsia"/>
                <w:b/>
                <w:sz w:val="16"/>
                <w:szCs w:val="16"/>
                <w:rtl/>
              </w:rPr>
              <w:t>נטו</w:t>
            </w:r>
          </w:p>
        </w:tc>
        <w:tc>
          <w:tcPr>
            <w:tcW w:w="113" w:type="dxa"/>
            <w:shd w:val="clear" w:color="auto" w:fill="auto"/>
            <w:vAlign w:val="bottom"/>
          </w:tcPr>
          <w:p w14:paraId="770FD362" w14:textId="77777777" w:rsidR="00AF4CE7" w:rsidRPr="00B305E0" w:rsidRDefault="00AF4CE7" w:rsidP="00AF4CE7">
            <w:pPr>
              <w:spacing w:line="180" w:lineRule="exact"/>
              <w:rPr>
                <w:sz w:val="18"/>
                <w:szCs w:val="18"/>
              </w:rPr>
            </w:pPr>
          </w:p>
        </w:tc>
        <w:tc>
          <w:tcPr>
            <w:tcW w:w="907" w:type="dxa"/>
            <w:vAlign w:val="bottom"/>
          </w:tcPr>
          <w:p w14:paraId="352D4C2A"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25CFC0F3"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2E29EE04"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99CCAB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2F19E8AF"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10005460"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7B18F55"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1D4B360"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07F261B0" w14:textId="77777777" w:rsidR="00AF4CE7" w:rsidRPr="00B305E0" w:rsidRDefault="00AF4CE7" w:rsidP="00AF4CE7">
            <w:pPr>
              <w:tabs>
                <w:tab w:val="decimal" w:pos="113"/>
              </w:tabs>
              <w:spacing w:line="180" w:lineRule="exact"/>
              <w:rPr>
                <w:sz w:val="18"/>
                <w:szCs w:val="18"/>
                <w:rtl/>
              </w:rPr>
            </w:pPr>
          </w:p>
        </w:tc>
      </w:tr>
      <w:tr w:rsidR="00AF4CE7" w:rsidRPr="00B305E0" w14:paraId="101671C7" w14:textId="77777777" w:rsidTr="00AF4CE7">
        <w:tc>
          <w:tcPr>
            <w:tcW w:w="1546" w:type="dxa"/>
            <w:tcBorders>
              <w:top w:val="single" w:sz="6" w:space="0" w:color="auto"/>
              <w:bottom w:val="single" w:sz="6" w:space="0" w:color="auto"/>
              <w:right w:val="single" w:sz="6" w:space="0" w:color="auto"/>
            </w:tcBorders>
            <w:vAlign w:val="center"/>
          </w:tcPr>
          <w:p w14:paraId="559B26B1" w14:textId="2385AB33" w:rsidR="00AF4CE7" w:rsidRPr="008257D7" w:rsidRDefault="00DD74D5" w:rsidP="00AF4CE7">
            <w:pPr>
              <w:widowControl/>
              <w:tabs>
                <w:tab w:val="left" w:pos="227"/>
                <w:tab w:val="left" w:pos="397"/>
                <w:tab w:val="left" w:pos="567"/>
              </w:tabs>
              <w:bidi w:val="0"/>
              <w:spacing w:line="180" w:lineRule="exact"/>
              <w:ind w:left="284" w:right="113"/>
              <w:jc w:val="right"/>
              <w:rPr>
                <w:i/>
                <w:iCs/>
                <w:sz w:val="14"/>
                <w:szCs w:val="14"/>
                <w:rtl/>
              </w:rPr>
            </w:pPr>
            <w:r w:rsidRPr="00255307">
              <w:rPr>
                <w:i/>
                <w:iCs/>
                <w:sz w:val="13"/>
                <w:szCs w:val="13"/>
              </w:rPr>
              <w:t>IFRS </w:t>
            </w:r>
            <w:r>
              <w:rPr>
                <w:i/>
                <w:iCs/>
                <w:sz w:val="13"/>
                <w:szCs w:val="13"/>
              </w:rPr>
              <w:t>16</w:t>
            </w:r>
            <w:r w:rsidRPr="00255307">
              <w:rPr>
                <w:i/>
                <w:iCs/>
                <w:sz w:val="13"/>
                <w:szCs w:val="13"/>
              </w:rPr>
              <w:t>.</w:t>
            </w:r>
            <w:r>
              <w:rPr>
                <w:i/>
                <w:iCs/>
                <w:sz w:val="13"/>
                <w:szCs w:val="13"/>
              </w:rPr>
              <w:t>81</w:t>
            </w:r>
          </w:p>
        </w:tc>
        <w:tc>
          <w:tcPr>
            <w:tcW w:w="3027" w:type="dxa"/>
            <w:tcBorders>
              <w:left w:val="single" w:sz="6" w:space="0" w:color="auto"/>
            </w:tcBorders>
            <w:shd w:val="clear" w:color="auto" w:fill="auto"/>
            <w:vAlign w:val="bottom"/>
          </w:tcPr>
          <w:p w14:paraId="3C284152"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הכנסות מהשכרת נכסים</w:t>
            </w:r>
          </w:p>
        </w:tc>
        <w:tc>
          <w:tcPr>
            <w:tcW w:w="113" w:type="dxa"/>
            <w:shd w:val="clear" w:color="auto" w:fill="auto"/>
            <w:vAlign w:val="bottom"/>
          </w:tcPr>
          <w:p w14:paraId="6F5ECBA4" w14:textId="77777777" w:rsidR="00AF4CE7" w:rsidRPr="00B305E0" w:rsidRDefault="00AF4CE7" w:rsidP="00AF4CE7">
            <w:pPr>
              <w:spacing w:line="180" w:lineRule="exact"/>
              <w:rPr>
                <w:sz w:val="18"/>
                <w:szCs w:val="18"/>
              </w:rPr>
            </w:pPr>
          </w:p>
        </w:tc>
        <w:tc>
          <w:tcPr>
            <w:tcW w:w="907" w:type="dxa"/>
            <w:vAlign w:val="bottom"/>
          </w:tcPr>
          <w:p w14:paraId="22B73F27"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6AFE7649"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3F0CB46C"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5726E45"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1FD4181"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1BC6D60C"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60E384B"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A9255FC"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3AF97BFD" w14:textId="77777777" w:rsidR="00AF4CE7" w:rsidRPr="00B305E0" w:rsidRDefault="00AF4CE7" w:rsidP="00AF4CE7">
            <w:pPr>
              <w:tabs>
                <w:tab w:val="decimal" w:pos="113"/>
              </w:tabs>
              <w:spacing w:line="180" w:lineRule="exact"/>
              <w:rPr>
                <w:sz w:val="18"/>
                <w:szCs w:val="18"/>
                <w:rtl/>
              </w:rPr>
            </w:pPr>
          </w:p>
        </w:tc>
      </w:tr>
      <w:tr w:rsidR="00AF4CE7" w:rsidRPr="00B305E0" w14:paraId="15FC1A68" w14:textId="77777777" w:rsidTr="00AF4CE7">
        <w:tc>
          <w:tcPr>
            <w:tcW w:w="1546" w:type="dxa"/>
            <w:tcBorders>
              <w:top w:val="single" w:sz="6" w:space="0" w:color="auto"/>
              <w:bottom w:val="single" w:sz="6" w:space="0" w:color="auto"/>
              <w:right w:val="single" w:sz="6" w:space="0" w:color="auto"/>
            </w:tcBorders>
          </w:tcPr>
          <w:p w14:paraId="4817A31A"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18.35(b)(ii)</w:t>
            </w:r>
          </w:p>
        </w:tc>
        <w:tc>
          <w:tcPr>
            <w:tcW w:w="3027" w:type="dxa"/>
            <w:tcBorders>
              <w:left w:val="single" w:sz="6" w:space="0" w:color="auto"/>
            </w:tcBorders>
            <w:shd w:val="clear" w:color="auto" w:fill="auto"/>
            <w:vAlign w:val="bottom"/>
          </w:tcPr>
          <w:p w14:paraId="4DD9050B"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b/>
                <w:sz w:val="16"/>
                <w:szCs w:val="16"/>
                <w:rtl/>
              </w:rPr>
              <w:t>דמי ניהול</w:t>
            </w:r>
            <w:r w:rsidRPr="001521F8">
              <w:rPr>
                <w:rFonts w:hint="cs"/>
                <w:b/>
                <w:sz w:val="16"/>
                <w:szCs w:val="16"/>
                <w:rtl/>
              </w:rPr>
              <w:t xml:space="preserve"> מחברות המטופלות לפי שיטת השווי המאזני</w:t>
            </w:r>
          </w:p>
        </w:tc>
        <w:tc>
          <w:tcPr>
            <w:tcW w:w="113" w:type="dxa"/>
            <w:shd w:val="clear" w:color="auto" w:fill="auto"/>
            <w:vAlign w:val="bottom"/>
          </w:tcPr>
          <w:p w14:paraId="19A366B8" w14:textId="77777777" w:rsidR="00AF4CE7" w:rsidRPr="00B305E0" w:rsidRDefault="00AF4CE7" w:rsidP="00AF4CE7">
            <w:pPr>
              <w:spacing w:line="180" w:lineRule="exact"/>
              <w:rPr>
                <w:sz w:val="18"/>
                <w:szCs w:val="18"/>
              </w:rPr>
            </w:pPr>
          </w:p>
        </w:tc>
        <w:tc>
          <w:tcPr>
            <w:tcW w:w="907" w:type="dxa"/>
            <w:vAlign w:val="bottom"/>
          </w:tcPr>
          <w:p w14:paraId="2CA84DA7"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FB7CAF8"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58F27AFD"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9650F27"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650343CD"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494CFA3F"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2929168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85147FA"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514317FD" w14:textId="77777777" w:rsidR="00AF4CE7" w:rsidRPr="00B305E0" w:rsidRDefault="00AF4CE7" w:rsidP="00AF4CE7">
            <w:pPr>
              <w:tabs>
                <w:tab w:val="decimal" w:pos="113"/>
              </w:tabs>
              <w:spacing w:line="180" w:lineRule="exact"/>
              <w:rPr>
                <w:sz w:val="18"/>
                <w:szCs w:val="18"/>
                <w:rtl/>
              </w:rPr>
            </w:pPr>
          </w:p>
        </w:tc>
      </w:tr>
      <w:tr w:rsidR="00AF4CE7" w:rsidRPr="00B305E0" w14:paraId="732AE57C" w14:textId="77777777" w:rsidTr="00AF4CE7">
        <w:tc>
          <w:tcPr>
            <w:tcW w:w="1546" w:type="dxa"/>
            <w:tcBorders>
              <w:top w:val="single" w:sz="6" w:space="0" w:color="auto"/>
            </w:tcBorders>
          </w:tcPr>
          <w:p w14:paraId="038DC4ED"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nil"/>
            </w:tcBorders>
            <w:shd w:val="clear" w:color="auto" w:fill="auto"/>
            <w:vAlign w:val="bottom"/>
          </w:tcPr>
          <w:p w14:paraId="70C873F6"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b/>
                <w:sz w:val="16"/>
                <w:szCs w:val="16"/>
                <w:rtl/>
              </w:rPr>
              <w:t>רווח ממימוש נכסים</w:t>
            </w:r>
          </w:p>
        </w:tc>
        <w:tc>
          <w:tcPr>
            <w:tcW w:w="113" w:type="dxa"/>
            <w:shd w:val="clear" w:color="auto" w:fill="auto"/>
            <w:vAlign w:val="bottom"/>
          </w:tcPr>
          <w:p w14:paraId="5515A997" w14:textId="77777777" w:rsidR="00AF4CE7" w:rsidRPr="00B305E0" w:rsidRDefault="00AF4CE7" w:rsidP="00AF4CE7">
            <w:pPr>
              <w:spacing w:line="180" w:lineRule="exact"/>
              <w:rPr>
                <w:sz w:val="18"/>
                <w:szCs w:val="18"/>
              </w:rPr>
            </w:pPr>
          </w:p>
        </w:tc>
        <w:tc>
          <w:tcPr>
            <w:tcW w:w="907" w:type="dxa"/>
            <w:vAlign w:val="bottom"/>
          </w:tcPr>
          <w:p w14:paraId="3B17DE32"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1DB403ED"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1E0753D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A276606"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481B9A3"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2FBB8AAB"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8C37DB0"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EB9B24A"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04F98333" w14:textId="77777777" w:rsidR="00AF4CE7" w:rsidRPr="00B305E0" w:rsidRDefault="00AF4CE7" w:rsidP="00AF4CE7">
            <w:pPr>
              <w:tabs>
                <w:tab w:val="decimal" w:pos="113"/>
              </w:tabs>
              <w:spacing w:line="180" w:lineRule="exact"/>
              <w:rPr>
                <w:sz w:val="18"/>
                <w:szCs w:val="18"/>
                <w:rtl/>
              </w:rPr>
            </w:pPr>
          </w:p>
        </w:tc>
      </w:tr>
      <w:tr w:rsidR="00AF4CE7" w:rsidRPr="00B305E0" w14:paraId="5DDC87DD" w14:textId="77777777" w:rsidTr="00AF4CE7">
        <w:tc>
          <w:tcPr>
            <w:tcW w:w="1546" w:type="dxa"/>
            <w:tcBorders>
              <w:bottom w:val="single" w:sz="6" w:space="0" w:color="auto"/>
              <w:right w:val="single" w:sz="6" w:space="0" w:color="auto"/>
            </w:tcBorders>
          </w:tcPr>
          <w:p w14:paraId="4FB2BB75"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1.103; IAS 1.104</w:t>
            </w:r>
          </w:p>
        </w:tc>
        <w:tc>
          <w:tcPr>
            <w:tcW w:w="3027" w:type="dxa"/>
            <w:tcBorders>
              <w:left w:val="single" w:sz="6" w:space="0" w:color="auto"/>
            </w:tcBorders>
            <w:shd w:val="clear" w:color="auto" w:fill="auto"/>
            <w:vAlign w:val="bottom"/>
          </w:tcPr>
          <w:p w14:paraId="16CE699F"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הכנסות אחרות</w:t>
            </w:r>
            <w:r w:rsidRPr="001521F8">
              <w:rPr>
                <w:rStyle w:val="ab"/>
                <w:b/>
                <w:sz w:val="16"/>
                <w:szCs w:val="16"/>
                <w:rtl/>
              </w:rPr>
              <w:footnoteReference w:id="15"/>
            </w:r>
          </w:p>
        </w:tc>
        <w:tc>
          <w:tcPr>
            <w:tcW w:w="113" w:type="dxa"/>
            <w:shd w:val="clear" w:color="auto" w:fill="auto"/>
            <w:vAlign w:val="bottom"/>
          </w:tcPr>
          <w:p w14:paraId="07B6C4BE" w14:textId="77777777" w:rsidR="00AF4CE7" w:rsidRPr="00B305E0" w:rsidRDefault="00AF4CE7" w:rsidP="00AF4CE7">
            <w:pPr>
              <w:spacing w:line="180" w:lineRule="exact"/>
              <w:rPr>
                <w:sz w:val="18"/>
                <w:szCs w:val="18"/>
              </w:rPr>
            </w:pPr>
          </w:p>
        </w:tc>
        <w:tc>
          <w:tcPr>
            <w:tcW w:w="907" w:type="dxa"/>
            <w:vAlign w:val="bottom"/>
          </w:tcPr>
          <w:p w14:paraId="09A6678C"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FDF1404"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3C0FB319"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156912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10BABE2"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27CDDCB6"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1F990344"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C1F16AD"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5FB5D5EB" w14:textId="77777777" w:rsidR="00AF4CE7" w:rsidRPr="00B305E0" w:rsidRDefault="00AF4CE7" w:rsidP="00AF4CE7">
            <w:pPr>
              <w:tabs>
                <w:tab w:val="decimal" w:pos="113"/>
              </w:tabs>
              <w:spacing w:line="180" w:lineRule="exact"/>
              <w:rPr>
                <w:sz w:val="18"/>
                <w:szCs w:val="18"/>
                <w:rtl/>
              </w:rPr>
            </w:pPr>
          </w:p>
        </w:tc>
      </w:tr>
      <w:tr w:rsidR="00AF4CE7" w:rsidRPr="00B305E0" w14:paraId="38CCF95A" w14:textId="77777777" w:rsidTr="00AF4CE7">
        <w:tc>
          <w:tcPr>
            <w:tcW w:w="1546" w:type="dxa"/>
            <w:tcBorders>
              <w:top w:val="single" w:sz="6" w:space="0" w:color="auto"/>
              <w:bottom w:val="single" w:sz="6" w:space="0" w:color="auto"/>
              <w:right w:val="single" w:sz="6" w:space="0" w:color="auto"/>
            </w:tcBorders>
          </w:tcPr>
          <w:p w14:paraId="4468C4AF" w14:textId="46907354"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1.82(ba)</w:t>
            </w:r>
          </w:p>
        </w:tc>
        <w:tc>
          <w:tcPr>
            <w:tcW w:w="3027" w:type="dxa"/>
            <w:tcBorders>
              <w:left w:val="single" w:sz="6" w:space="0" w:color="auto"/>
            </w:tcBorders>
            <w:shd w:val="clear" w:color="auto" w:fill="auto"/>
            <w:vAlign w:val="bottom"/>
          </w:tcPr>
          <w:p w14:paraId="024E50C9" w14:textId="0FB11EA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ביטול ירידת ערך נכסים פיננסים הנמדדים בעלות מופחתת או בשווי הוגן דרך רווח כולל אחר</w:t>
            </w:r>
          </w:p>
        </w:tc>
        <w:tc>
          <w:tcPr>
            <w:tcW w:w="113" w:type="dxa"/>
            <w:shd w:val="clear" w:color="auto" w:fill="auto"/>
            <w:vAlign w:val="bottom"/>
          </w:tcPr>
          <w:p w14:paraId="117DE605" w14:textId="77777777" w:rsidR="00AF4CE7" w:rsidRPr="00B305E0" w:rsidRDefault="00AF4CE7" w:rsidP="00AF4CE7">
            <w:pPr>
              <w:spacing w:line="180" w:lineRule="exact"/>
              <w:rPr>
                <w:sz w:val="18"/>
                <w:szCs w:val="18"/>
              </w:rPr>
            </w:pPr>
          </w:p>
        </w:tc>
        <w:tc>
          <w:tcPr>
            <w:tcW w:w="907" w:type="dxa"/>
            <w:shd w:val="clear" w:color="auto" w:fill="auto"/>
            <w:vAlign w:val="bottom"/>
          </w:tcPr>
          <w:p w14:paraId="25EE0DBC"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3891AD74"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47B811E8"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B93D828"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1D85F6E"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14D1E431"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32BEE90"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76BDE15"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033A850" w14:textId="77777777" w:rsidR="00AF4CE7" w:rsidRPr="00B305E0" w:rsidRDefault="00AF4CE7" w:rsidP="00AF4CE7">
            <w:pPr>
              <w:tabs>
                <w:tab w:val="decimal" w:pos="113"/>
              </w:tabs>
              <w:spacing w:line="180" w:lineRule="exact"/>
              <w:rPr>
                <w:sz w:val="18"/>
                <w:szCs w:val="18"/>
                <w:rtl/>
              </w:rPr>
            </w:pPr>
          </w:p>
        </w:tc>
      </w:tr>
      <w:tr w:rsidR="00AF4CE7" w:rsidRPr="00B305E0" w14:paraId="291C4887" w14:textId="77777777" w:rsidTr="00AF4CE7">
        <w:tc>
          <w:tcPr>
            <w:tcW w:w="1546" w:type="dxa"/>
            <w:tcBorders>
              <w:top w:val="single" w:sz="6" w:space="0" w:color="auto"/>
              <w:bottom w:val="single" w:sz="6" w:space="0" w:color="auto"/>
              <w:right w:val="single" w:sz="6" w:space="0" w:color="auto"/>
            </w:tcBorders>
          </w:tcPr>
          <w:p w14:paraId="70550DE9"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1.82(a)</w:t>
            </w:r>
          </w:p>
        </w:tc>
        <w:tc>
          <w:tcPr>
            <w:tcW w:w="3027" w:type="dxa"/>
            <w:tcBorders>
              <w:left w:val="single" w:sz="6" w:space="0" w:color="auto"/>
            </w:tcBorders>
            <w:shd w:val="clear" w:color="auto" w:fill="auto"/>
            <w:vAlign w:val="bottom"/>
          </w:tcPr>
          <w:p w14:paraId="0A03A1AD"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הכנסות מימון</w:t>
            </w:r>
          </w:p>
        </w:tc>
        <w:tc>
          <w:tcPr>
            <w:tcW w:w="113" w:type="dxa"/>
            <w:shd w:val="clear" w:color="auto" w:fill="auto"/>
            <w:vAlign w:val="bottom"/>
          </w:tcPr>
          <w:p w14:paraId="485E3167"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609A282A"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1503B4BE"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4A399C90"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F381B5A"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467E19C5"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EAF7EBE"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5D9E399B"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A14CF72"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2B66FD9D" w14:textId="77777777" w:rsidR="00AF4CE7" w:rsidRPr="00B305E0" w:rsidRDefault="00AF4CE7" w:rsidP="00AF4CE7">
            <w:pPr>
              <w:tabs>
                <w:tab w:val="decimal" w:pos="113"/>
              </w:tabs>
              <w:spacing w:line="180" w:lineRule="exact"/>
              <w:rPr>
                <w:sz w:val="18"/>
                <w:szCs w:val="18"/>
                <w:rtl/>
              </w:rPr>
            </w:pPr>
          </w:p>
        </w:tc>
      </w:tr>
      <w:tr w:rsidR="00AF4CE7" w:rsidRPr="00B305E0" w14:paraId="152E6B7B" w14:textId="77777777" w:rsidTr="00AF4CE7">
        <w:tc>
          <w:tcPr>
            <w:tcW w:w="1546" w:type="dxa"/>
            <w:tcBorders>
              <w:top w:val="single" w:sz="6" w:space="0" w:color="auto"/>
            </w:tcBorders>
          </w:tcPr>
          <w:p w14:paraId="3D172A60"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3CC17BB8" w14:textId="77777777" w:rsidR="00AF4CE7" w:rsidRPr="001521F8" w:rsidRDefault="00AF4CE7" w:rsidP="00AF4CE7">
            <w:pPr>
              <w:widowControl/>
              <w:tabs>
                <w:tab w:val="left" w:pos="227"/>
                <w:tab w:val="left" w:pos="397"/>
                <w:tab w:val="left" w:pos="567"/>
              </w:tabs>
              <w:spacing w:line="120" w:lineRule="auto"/>
              <w:jc w:val="left"/>
              <w:rPr>
                <w:b/>
                <w:sz w:val="16"/>
                <w:szCs w:val="16"/>
                <w:rtl/>
              </w:rPr>
            </w:pPr>
          </w:p>
        </w:tc>
        <w:tc>
          <w:tcPr>
            <w:tcW w:w="113" w:type="dxa"/>
            <w:shd w:val="clear" w:color="auto" w:fill="auto"/>
            <w:vAlign w:val="bottom"/>
          </w:tcPr>
          <w:p w14:paraId="65B40953"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46D699EE"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31DC2511"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6586BC57"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7CF43429"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3F8211F0"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7BF70691"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4EC3D579"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49E152E8"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643660DA" w14:textId="77777777" w:rsidR="00AF4CE7" w:rsidRPr="00B305E0" w:rsidRDefault="00AF4CE7" w:rsidP="00AF4CE7">
            <w:pPr>
              <w:widowControl/>
              <w:tabs>
                <w:tab w:val="decimal" w:pos="113"/>
              </w:tabs>
              <w:spacing w:line="120" w:lineRule="auto"/>
              <w:rPr>
                <w:sz w:val="18"/>
                <w:szCs w:val="18"/>
                <w:rtl/>
              </w:rPr>
            </w:pPr>
          </w:p>
        </w:tc>
      </w:tr>
      <w:tr w:rsidR="00AF4CE7" w:rsidRPr="00B305E0" w14:paraId="0CF40254" w14:textId="77777777" w:rsidTr="00AF4CE7">
        <w:tc>
          <w:tcPr>
            <w:tcW w:w="1546" w:type="dxa"/>
            <w:tcBorders>
              <w:bottom w:val="single" w:sz="6" w:space="0" w:color="auto"/>
              <w:right w:val="single" w:sz="6" w:space="0" w:color="auto"/>
            </w:tcBorders>
          </w:tcPr>
          <w:p w14:paraId="30DE10D2"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1.82(a)</w:t>
            </w:r>
          </w:p>
        </w:tc>
        <w:tc>
          <w:tcPr>
            <w:tcW w:w="3027" w:type="dxa"/>
            <w:tcBorders>
              <w:left w:val="single" w:sz="6" w:space="0" w:color="auto"/>
            </w:tcBorders>
            <w:shd w:val="clear" w:color="auto" w:fill="auto"/>
            <w:vAlign w:val="bottom"/>
          </w:tcPr>
          <w:p w14:paraId="52381889"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סה"כ הכנסות</w:t>
            </w:r>
          </w:p>
        </w:tc>
        <w:tc>
          <w:tcPr>
            <w:tcW w:w="113" w:type="dxa"/>
            <w:shd w:val="clear" w:color="auto" w:fill="auto"/>
            <w:vAlign w:val="bottom"/>
          </w:tcPr>
          <w:p w14:paraId="4D122E37"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4D83C3C7"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2FA944A"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7217C368"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4B05589"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4BCE19D9"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3CC272B3"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0AB700D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9A7FA58"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2C3BCB53" w14:textId="77777777" w:rsidR="00AF4CE7" w:rsidRPr="00B305E0" w:rsidRDefault="00AF4CE7" w:rsidP="00AF4CE7">
            <w:pPr>
              <w:tabs>
                <w:tab w:val="decimal" w:pos="113"/>
              </w:tabs>
              <w:spacing w:line="180" w:lineRule="exact"/>
              <w:rPr>
                <w:sz w:val="18"/>
                <w:szCs w:val="18"/>
                <w:rtl/>
              </w:rPr>
            </w:pPr>
          </w:p>
        </w:tc>
      </w:tr>
      <w:tr w:rsidR="00AF4CE7" w:rsidRPr="00B305E0" w14:paraId="16544DC1" w14:textId="77777777" w:rsidTr="00AF4CE7">
        <w:tc>
          <w:tcPr>
            <w:tcW w:w="1546" w:type="dxa"/>
            <w:tcBorders>
              <w:top w:val="single" w:sz="6" w:space="0" w:color="auto"/>
            </w:tcBorders>
          </w:tcPr>
          <w:p w14:paraId="0809F576" w14:textId="77777777" w:rsidR="00AF4CE7" w:rsidRPr="008257D7" w:rsidRDefault="00AF4CE7" w:rsidP="00AF4CE7">
            <w:pPr>
              <w:widowControl/>
              <w:tabs>
                <w:tab w:val="left" w:pos="227"/>
                <w:tab w:val="left" w:pos="397"/>
                <w:tab w:val="left" w:pos="567"/>
              </w:tabs>
              <w:spacing w:line="120" w:lineRule="auto"/>
              <w:jc w:val="right"/>
              <w:rPr>
                <w:i/>
                <w:iCs/>
                <w:sz w:val="14"/>
                <w:szCs w:val="14"/>
                <w:u w:val="single"/>
                <w:rtl/>
              </w:rPr>
            </w:pPr>
          </w:p>
        </w:tc>
        <w:tc>
          <w:tcPr>
            <w:tcW w:w="3027" w:type="dxa"/>
            <w:shd w:val="clear" w:color="auto" w:fill="auto"/>
            <w:vAlign w:val="bottom"/>
          </w:tcPr>
          <w:p w14:paraId="011A520A" w14:textId="77777777" w:rsidR="00AF4CE7" w:rsidRPr="001521F8" w:rsidRDefault="00AF4CE7" w:rsidP="00AF4CE7">
            <w:pPr>
              <w:widowControl/>
              <w:tabs>
                <w:tab w:val="left" w:pos="227"/>
                <w:tab w:val="left" w:pos="397"/>
                <w:tab w:val="left" w:pos="567"/>
              </w:tabs>
              <w:spacing w:line="120" w:lineRule="auto"/>
              <w:jc w:val="left"/>
              <w:rPr>
                <w:b/>
                <w:sz w:val="16"/>
                <w:szCs w:val="16"/>
                <w:u w:val="single"/>
                <w:rtl/>
              </w:rPr>
            </w:pPr>
          </w:p>
        </w:tc>
        <w:tc>
          <w:tcPr>
            <w:tcW w:w="113" w:type="dxa"/>
            <w:shd w:val="clear" w:color="auto" w:fill="auto"/>
            <w:vAlign w:val="bottom"/>
          </w:tcPr>
          <w:p w14:paraId="69C9F683"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0402F83B"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00F998F3"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026D4785"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355D775C"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5DB8D2AE"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16774EFE"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7A1E261C"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71A8F715"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7A1BC4A8" w14:textId="77777777" w:rsidR="00AF4CE7" w:rsidRPr="00B305E0" w:rsidRDefault="00AF4CE7" w:rsidP="00AF4CE7">
            <w:pPr>
              <w:widowControl/>
              <w:tabs>
                <w:tab w:val="decimal" w:pos="113"/>
              </w:tabs>
              <w:spacing w:line="120" w:lineRule="auto"/>
              <w:rPr>
                <w:sz w:val="18"/>
                <w:szCs w:val="18"/>
                <w:rtl/>
              </w:rPr>
            </w:pPr>
          </w:p>
        </w:tc>
      </w:tr>
      <w:tr w:rsidR="00AF4CE7" w:rsidRPr="00B305E0" w14:paraId="66168B82" w14:textId="77777777" w:rsidTr="00AF4CE7">
        <w:tc>
          <w:tcPr>
            <w:tcW w:w="1546" w:type="dxa"/>
          </w:tcPr>
          <w:p w14:paraId="3B37AE2B"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u w:val="single"/>
                <w:rtl/>
              </w:rPr>
            </w:pPr>
          </w:p>
        </w:tc>
        <w:tc>
          <w:tcPr>
            <w:tcW w:w="3027" w:type="dxa"/>
            <w:shd w:val="clear" w:color="auto" w:fill="auto"/>
            <w:vAlign w:val="bottom"/>
          </w:tcPr>
          <w:p w14:paraId="62218548" w14:textId="77777777" w:rsidR="00AF4CE7" w:rsidRPr="001521F8" w:rsidRDefault="00AF4CE7" w:rsidP="00AF4CE7">
            <w:pPr>
              <w:widowControl/>
              <w:tabs>
                <w:tab w:val="left" w:pos="227"/>
                <w:tab w:val="left" w:pos="397"/>
                <w:tab w:val="left" w:pos="567"/>
              </w:tabs>
              <w:spacing w:line="180" w:lineRule="exact"/>
              <w:ind w:left="57"/>
              <w:jc w:val="left"/>
              <w:rPr>
                <w:b/>
                <w:sz w:val="16"/>
                <w:szCs w:val="16"/>
                <w:u w:val="single"/>
                <w:rtl/>
              </w:rPr>
            </w:pPr>
            <w:r w:rsidRPr="001521F8">
              <w:rPr>
                <w:b/>
                <w:sz w:val="16"/>
                <w:szCs w:val="16"/>
                <w:u w:val="single"/>
                <w:rtl/>
              </w:rPr>
              <w:t>הוצאות</w:t>
            </w:r>
          </w:p>
        </w:tc>
        <w:tc>
          <w:tcPr>
            <w:tcW w:w="113" w:type="dxa"/>
            <w:shd w:val="clear" w:color="auto" w:fill="auto"/>
            <w:vAlign w:val="bottom"/>
          </w:tcPr>
          <w:p w14:paraId="3B02F6F2" w14:textId="77777777" w:rsidR="00AF4CE7" w:rsidRPr="00B305E0" w:rsidRDefault="00AF4CE7" w:rsidP="00AF4CE7">
            <w:pPr>
              <w:spacing w:line="180" w:lineRule="exact"/>
              <w:rPr>
                <w:sz w:val="18"/>
                <w:szCs w:val="18"/>
              </w:rPr>
            </w:pPr>
          </w:p>
        </w:tc>
        <w:tc>
          <w:tcPr>
            <w:tcW w:w="907" w:type="dxa"/>
            <w:vAlign w:val="bottom"/>
          </w:tcPr>
          <w:p w14:paraId="7BC868F1"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26EED3F"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049061EE"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209AB5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7FF3E8A"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560EF95E"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17815EB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91A9A72"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CA3E1B3" w14:textId="77777777" w:rsidR="00AF4CE7" w:rsidRPr="00B305E0" w:rsidRDefault="00AF4CE7" w:rsidP="00AF4CE7">
            <w:pPr>
              <w:tabs>
                <w:tab w:val="decimal" w:pos="113"/>
              </w:tabs>
              <w:spacing w:line="180" w:lineRule="exact"/>
              <w:rPr>
                <w:sz w:val="18"/>
                <w:szCs w:val="18"/>
                <w:rtl/>
              </w:rPr>
            </w:pPr>
          </w:p>
        </w:tc>
      </w:tr>
      <w:tr w:rsidR="00AF4CE7" w:rsidRPr="00B305E0" w14:paraId="642873B3" w14:textId="77777777" w:rsidTr="00AF4CE7">
        <w:tc>
          <w:tcPr>
            <w:tcW w:w="1546" w:type="dxa"/>
            <w:vMerge w:val="restart"/>
            <w:tcBorders>
              <w:bottom w:val="single" w:sz="6" w:space="0" w:color="auto"/>
              <w:right w:val="single" w:sz="6" w:space="0" w:color="auto"/>
            </w:tcBorders>
            <w:vAlign w:val="center"/>
          </w:tcPr>
          <w:p w14:paraId="09F2E142"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1.103;</w:t>
            </w:r>
          </w:p>
          <w:p w14:paraId="5A05981F" w14:textId="77777777" w:rsidR="00AF4CE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1.104</w:t>
            </w:r>
          </w:p>
          <w:p w14:paraId="45B84B16" w14:textId="30D6D03E" w:rsidR="00DD74D5" w:rsidRPr="008257D7" w:rsidRDefault="00DD74D5" w:rsidP="00DD74D5">
            <w:pPr>
              <w:widowControl/>
              <w:tabs>
                <w:tab w:val="left" w:pos="227"/>
                <w:tab w:val="left" w:pos="397"/>
                <w:tab w:val="left" w:pos="567"/>
              </w:tabs>
              <w:bidi w:val="0"/>
              <w:spacing w:line="180" w:lineRule="exact"/>
              <w:ind w:left="57" w:right="113"/>
              <w:jc w:val="right"/>
              <w:rPr>
                <w:i/>
                <w:iCs/>
                <w:sz w:val="14"/>
                <w:szCs w:val="14"/>
                <w:rtl/>
              </w:rPr>
            </w:pPr>
            <w:r w:rsidRPr="00255307">
              <w:rPr>
                <w:i/>
                <w:iCs/>
                <w:sz w:val="13"/>
                <w:szCs w:val="13"/>
              </w:rPr>
              <w:t>IFRS </w:t>
            </w:r>
            <w:r>
              <w:rPr>
                <w:i/>
                <w:iCs/>
                <w:sz w:val="13"/>
                <w:szCs w:val="13"/>
              </w:rPr>
              <w:t>16</w:t>
            </w:r>
            <w:r w:rsidRPr="00255307">
              <w:rPr>
                <w:i/>
                <w:iCs/>
                <w:sz w:val="13"/>
                <w:szCs w:val="13"/>
              </w:rPr>
              <w:t>.</w:t>
            </w:r>
            <w:r>
              <w:rPr>
                <w:i/>
                <w:iCs/>
                <w:sz w:val="13"/>
                <w:szCs w:val="13"/>
              </w:rPr>
              <w:t>82</w:t>
            </w:r>
          </w:p>
        </w:tc>
        <w:tc>
          <w:tcPr>
            <w:tcW w:w="3027" w:type="dxa"/>
            <w:tcBorders>
              <w:left w:val="single" w:sz="6" w:space="0" w:color="auto"/>
            </w:tcBorders>
            <w:shd w:val="clear" w:color="auto" w:fill="auto"/>
            <w:vAlign w:val="bottom"/>
          </w:tcPr>
          <w:p w14:paraId="4A2567FA"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b/>
                <w:sz w:val="16"/>
                <w:szCs w:val="16"/>
                <w:rtl/>
              </w:rPr>
              <w:t xml:space="preserve">עלות המכירות </w:t>
            </w:r>
          </w:p>
        </w:tc>
        <w:tc>
          <w:tcPr>
            <w:tcW w:w="113" w:type="dxa"/>
            <w:shd w:val="clear" w:color="auto" w:fill="auto"/>
            <w:vAlign w:val="bottom"/>
          </w:tcPr>
          <w:p w14:paraId="1812CB9F" w14:textId="77777777" w:rsidR="00AF4CE7" w:rsidRPr="00B305E0" w:rsidRDefault="00AF4CE7" w:rsidP="00AF4CE7">
            <w:pPr>
              <w:spacing w:line="180" w:lineRule="exact"/>
              <w:rPr>
                <w:sz w:val="18"/>
                <w:szCs w:val="18"/>
              </w:rPr>
            </w:pPr>
          </w:p>
        </w:tc>
        <w:tc>
          <w:tcPr>
            <w:tcW w:w="907" w:type="dxa"/>
            <w:vAlign w:val="bottom"/>
          </w:tcPr>
          <w:p w14:paraId="241A5886"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21C2C447"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47F0A91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693B443"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1B777789"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51318CB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4F079C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87BFE8A"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57E0BFBC" w14:textId="77777777" w:rsidR="00AF4CE7" w:rsidRPr="00B305E0" w:rsidRDefault="00AF4CE7" w:rsidP="00AF4CE7">
            <w:pPr>
              <w:tabs>
                <w:tab w:val="decimal" w:pos="113"/>
              </w:tabs>
              <w:spacing w:line="180" w:lineRule="exact"/>
              <w:rPr>
                <w:sz w:val="18"/>
                <w:szCs w:val="18"/>
                <w:rtl/>
              </w:rPr>
            </w:pPr>
          </w:p>
        </w:tc>
      </w:tr>
      <w:tr w:rsidR="00AF4CE7" w:rsidRPr="00B305E0" w14:paraId="46467581" w14:textId="77777777" w:rsidTr="00AF4CE7">
        <w:tc>
          <w:tcPr>
            <w:tcW w:w="1546" w:type="dxa"/>
            <w:vMerge/>
            <w:tcBorders>
              <w:bottom w:val="single" w:sz="6" w:space="0" w:color="auto"/>
              <w:right w:val="single" w:sz="6" w:space="0" w:color="auto"/>
            </w:tcBorders>
          </w:tcPr>
          <w:p w14:paraId="7EEB8326"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6" w:space="0" w:color="auto"/>
            </w:tcBorders>
            <w:shd w:val="clear" w:color="auto" w:fill="auto"/>
            <w:vAlign w:val="bottom"/>
          </w:tcPr>
          <w:p w14:paraId="2C1342F0"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עלות מתן שירותים</w:t>
            </w:r>
          </w:p>
        </w:tc>
        <w:tc>
          <w:tcPr>
            <w:tcW w:w="113" w:type="dxa"/>
            <w:shd w:val="clear" w:color="auto" w:fill="auto"/>
            <w:vAlign w:val="bottom"/>
          </w:tcPr>
          <w:p w14:paraId="79FBCE05" w14:textId="77777777" w:rsidR="00AF4CE7" w:rsidRPr="00B305E0" w:rsidRDefault="00AF4CE7" w:rsidP="00AF4CE7">
            <w:pPr>
              <w:spacing w:line="180" w:lineRule="exact"/>
              <w:rPr>
                <w:sz w:val="18"/>
                <w:szCs w:val="18"/>
              </w:rPr>
            </w:pPr>
          </w:p>
        </w:tc>
        <w:tc>
          <w:tcPr>
            <w:tcW w:w="907" w:type="dxa"/>
            <w:vAlign w:val="bottom"/>
          </w:tcPr>
          <w:p w14:paraId="4C1B980B"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9A4AC25"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1D6CF29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7A35AF3"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0E52326"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018240D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CFE88B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BCFC40D"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7CA0F791" w14:textId="77777777" w:rsidR="00AF4CE7" w:rsidRPr="00B305E0" w:rsidRDefault="00AF4CE7" w:rsidP="00AF4CE7">
            <w:pPr>
              <w:tabs>
                <w:tab w:val="decimal" w:pos="113"/>
              </w:tabs>
              <w:spacing w:line="180" w:lineRule="exact"/>
              <w:rPr>
                <w:sz w:val="18"/>
                <w:szCs w:val="18"/>
                <w:rtl/>
              </w:rPr>
            </w:pPr>
          </w:p>
        </w:tc>
      </w:tr>
      <w:tr w:rsidR="00AF4CE7" w:rsidRPr="00B305E0" w14:paraId="39D5D8A4" w14:textId="77777777" w:rsidTr="00AF4CE7">
        <w:tc>
          <w:tcPr>
            <w:tcW w:w="1546" w:type="dxa"/>
            <w:vMerge/>
            <w:tcBorders>
              <w:bottom w:val="single" w:sz="6" w:space="0" w:color="auto"/>
              <w:right w:val="single" w:sz="6" w:space="0" w:color="auto"/>
            </w:tcBorders>
          </w:tcPr>
          <w:p w14:paraId="1816AB36"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6" w:space="0" w:color="auto"/>
            </w:tcBorders>
            <w:shd w:val="clear" w:color="auto" w:fill="auto"/>
            <w:vAlign w:val="bottom"/>
          </w:tcPr>
          <w:p w14:paraId="38B2E5D3" w14:textId="032E0350" w:rsidR="00AF4CE7" w:rsidRPr="001521F8" w:rsidRDefault="00DD74D5"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עלות אחזקת נכסים מושכרים</w:t>
            </w:r>
          </w:p>
        </w:tc>
        <w:tc>
          <w:tcPr>
            <w:tcW w:w="113" w:type="dxa"/>
            <w:shd w:val="clear" w:color="auto" w:fill="auto"/>
            <w:vAlign w:val="bottom"/>
          </w:tcPr>
          <w:p w14:paraId="422793C3" w14:textId="77777777" w:rsidR="00AF4CE7" w:rsidRPr="00B305E0" w:rsidRDefault="00AF4CE7" w:rsidP="00AF4CE7">
            <w:pPr>
              <w:spacing w:line="180" w:lineRule="exact"/>
              <w:rPr>
                <w:sz w:val="18"/>
                <w:szCs w:val="18"/>
              </w:rPr>
            </w:pPr>
          </w:p>
        </w:tc>
        <w:tc>
          <w:tcPr>
            <w:tcW w:w="907" w:type="dxa"/>
            <w:vAlign w:val="bottom"/>
          </w:tcPr>
          <w:p w14:paraId="035C7DF4"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0E58B284"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7BC52041"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473678E"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6A589BDC"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46028A0"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8037CEE"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8DCAB80"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4AC1CB3" w14:textId="77777777" w:rsidR="00AF4CE7" w:rsidRPr="00B305E0" w:rsidRDefault="00AF4CE7" w:rsidP="00AF4CE7">
            <w:pPr>
              <w:tabs>
                <w:tab w:val="decimal" w:pos="113"/>
              </w:tabs>
              <w:spacing w:line="180" w:lineRule="exact"/>
              <w:rPr>
                <w:sz w:val="18"/>
                <w:szCs w:val="18"/>
                <w:rtl/>
              </w:rPr>
            </w:pPr>
          </w:p>
        </w:tc>
      </w:tr>
      <w:tr w:rsidR="00AF4CE7" w:rsidRPr="00B305E0" w14:paraId="5C00CA3D" w14:textId="77777777" w:rsidTr="00AF4CE7">
        <w:tc>
          <w:tcPr>
            <w:tcW w:w="1546" w:type="dxa"/>
            <w:vMerge/>
            <w:tcBorders>
              <w:bottom w:val="single" w:sz="6" w:space="0" w:color="auto"/>
              <w:right w:val="single" w:sz="6" w:space="0" w:color="auto"/>
            </w:tcBorders>
          </w:tcPr>
          <w:p w14:paraId="5BE4EEB5"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6" w:space="0" w:color="auto"/>
            </w:tcBorders>
            <w:shd w:val="clear" w:color="auto" w:fill="auto"/>
            <w:vAlign w:val="bottom"/>
          </w:tcPr>
          <w:p w14:paraId="78A67B81"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b/>
                <w:sz w:val="16"/>
                <w:szCs w:val="16"/>
                <w:rtl/>
              </w:rPr>
              <w:t>הוצאות מכירה ושיווק</w:t>
            </w:r>
          </w:p>
        </w:tc>
        <w:tc>
          <w:tcPr>
            <w:tcW w:w="113" w:type="dxa"/>
            <w:shd w:val="clear" w:color="auto" w:fill="auto"/>
            <w:vAlign w:val="bottom"/>
          </w:tcPr>
          <w:p w14:paraId="25DCF754" w14:textId="77777777" w:rsidR="00AF4CE7" w:rsidRPr="00B305E0" w:rsidRDefault="00AF4CE7" w:rsidP="00AF4CE7">
            <w:pPr>
              <w:spacing w:line="180" w:lineRule="exact"/>
              <w:rPr>
                <w:sz w:val="18"/>
                <w:szCs w:val="18"/>
              </w:rPr>
            </w:pPr>
          </w:p>
        </w:tc>
        <w:tc>
          <w:tcPr>
            <w:tcW w:w="907" w:type="dxa"/>
            <w:vAlign w:val="bottom"/>
          </w:tcPr>
          <w:p w14:paraId="290927E9"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F4CD9AE"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2247BF5B"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584C30D"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13B9E04"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2729E68E"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D7EAD08"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FC0BE68"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305585F5" w14:textId="77777777" w:rsidR="00AF4CE7" w:rsidRPr="00B305E0" w:rsidRDefault="00AF4CE7" w:rsidP="00AF4CE7">
            <w:pPr>
              <w:tabs>
                <w:tab w:val="decimal" w:pos="113"/>
              </w:tabs>
              <w:spacing w:line="180" w:lineRule="exact"/>
              <w:rPr>
                <w:sz w:val="18"/>
                <w:szCs w:val="18"/>
                <w:rtl/>
              </w:rPr>
            </w:pPr>
          </w:p>
        </w:tc>
      </w:tr>
      <w:tr w:rsidR="00AF4CE7" w:rsidRPr="00B305E0" w14:paraId="3E5D39D0" w14:textId="77777777" w:rsidTr="00AF4CE7">
        <w:tc>
          <w:tcPr>
            <w:tcW w:w="1546" w:type="dxa"/>
            <w:vMerge/>
            <w:tcBorders>
              <w:bottom w:val="single" w:sz="6" w:space="0" w:color="auto"/>
              <w:right w:val="single" w:sz="6" w:space="0" w:color="auto"/>
            </w:tcBorders>
          </w:tcPr>
          <w:p w14:paraId="255B75E1"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6" w:space="0" w:color="auto"/>
            </w:tcBorders>
            <w:shd w:val="clear" w:color="auto" w:fill="auto"/>
            <w:vAlign w:val="bottom"/>
          </w:tcPr>
          <w:p w14:paraId="40C60BE9"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b/>
                <w:sz w:val="16"/>
                <w:szCs w:val="16"/>
                <w:rtl/>
              </w:rPr>
              <w:t>הוצאות הנהלה וכלליות</w:t>
            </w:r>
          </w:p>
        </w:tc>
        <w:tc>
          <w:tcPr>
            <w:tcW w:w="113" w:type="dxa"/>
            <w:shd w:val="clear" w:color="auto" w:fill="auto"/>
            <w:vAlign w:val="bottom"/>
          </w:tcPr>
          <w:p w14:paraId="08C3B4F3" w14:textId="77777777" w:rsidR="00AF4CE7" w:rsidRPr="00B305E0" w:rsidRDefault="00AF4CE7" w:rsidP="00AF4CE7">
            <w:pPr>
              <w:spacing w:line="180" w:lineRule="exact"/>
              <w:rPr>
                <w:sz w:val="18"/>
                <w:szCs w:val="18"/>
              </w:rPr>
            </w:pPr>
          </w:p>
        </w:tc>
        <w:tc>
          <w:tcPr>
            <w:tcW w:w="907" w:type="dxa"/>
            <w:vAlign w:val="bottom"/>
          </w:tcPr>
          <w:p w14:paraId="570196CF"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73035671"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621825AF"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36A957F"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AF60AB2"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0C05152D"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A0A0FE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F10DF5F"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3555F9CF" w14:textId="77777777" w:rsidR="00AF4CE7" w:rsidRPr="00B305E0" w:rsidRDefault="00AF4CE7" w:rsidP="00AF4CE7">
            <w:pPr>
              <w:tabs>
                <w:tab w:val="decimal" w:pos="113"/>
              </w:tabs>
              <w:spacing w:line="180" w:lineRule="exact"/>
              <w:rPr>
                <w:sz w:val="18"/>
                <w:szCs w:val="18"/>
                <w:rtl/>
              </w:rPr>
            </w:pPr>
          </w:p>
        </w:tc>
      </w:tr>
      <w:tr w:rsidR="00AF4CE7" w:rsidRPr="00B305E0" w14:paraId="719B496B" w14:textId="77777777" w:rsidTr="00AF4CE7">
        <w:tc>
          <w:tcPr>
            <w:tcW w:w="1546" w:type="dxa"/>
            <w:vMerge/>
            <w:tcBorders>
              <w:bottom w:val="single" w:sz="6" w:space="0" w:color="auto"/>
              <w:right w:val="single" w:sz="6" w:space="0" w:color="auto"/>
            </w:tcBorders>
          </w:tcPr>
          <w:p w14:paraId="197FC292"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6" w:space="0" w:color="auto"/>
            </w:tcBorders>
            <w:shd w:val="clear" w:color="auto" w:fill="auto"/>
            <w:vAlign w:val="bottom"/>
          </w:tcPr>
          <w:p w14:paraId="555824FE"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b/>
                <w:sz w:val="16"/>
                <w:szCs w:val="16"/>
                <w:rtl/>
              </w:rPr>
              <w:t>הוצאות אחרות</w:t>
            </w:r>
            <w:r w:rsidRPr="001521F8">
              <w:rPr>
                <w:rStyle w:val="ab"/>
                <w:b/>
                <w:sz w:val="16"/>
                <w:szCs w:val="16"/>
                <w:rtl/>
              </w:rPr>
              <w:footnoteReference w:id="16"/>
            </w:r>
          </w:p>
        </w:tc>
        <w:tc>
          <w:tcPr>
            <w:tcW w:w="113" w:type="dxa"/>
            <w:shd w:val="clear" w:color="auto" w:fill="auto"/>
            <w:vAlign w:val="bottom"/>
          </w:tcPr>
          <w:p w14:paraId="319008D4" w14:textId="77777777" w:rsidR="00AF4CE7" w:rsidRPr="00B305E0" w:rsidRDefault="00AF4CE7" w:rsidP="00AF4CE7">
            <w:pPr>
              <w:spacing w:line="180" w:lineRule="exact"/>
              <w:rPr>
                <w:sz w:val="18"/>
                <w:szCs w:val="18"/>
              </w:rPr>
            </w:pPr>
          </w:p>
        </w:tc>
        <w:tc>
          <w:tcPr>
            <w:tcW w:w="907" w:type="dxa"/>
            <w:vAlign w:val="bottom"/>
          </w:tcPr>
          <w:p w14:paraId="7DAF7DB6"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076A102"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720BA729"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418BD24"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41CE1A1"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3087EE8"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7F9649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5940A29"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B56878E" w14:textId="77777777" w:rsidR="00AF4CE7" w:rsidRPr="00B305E0" w:rsidRDefault="00AF4CE7" w:rsidP="00AF4CE7">
            <w:pPr>
              <w:tabs>
                <w:tab w:val="decimal" w:pos="113"/>
              </w:tabs>
              <w:spacing w:line="180" w:lineRule="exact"/>
              <w:rPr>
                <w:sz w:val="18"/>
                <w:szCs w:val="18"/>
                <w:rtl/>
              </w:rPr>
            </w:pPr>
          </w:p>
        </w:tc>
      </w:tr>
      <w:tr w:rsidR="00AF4CE7" w:rsidRPr="00B305E0" w14:paraId="0E98BB92" w14:textId="77777777" w:rsidTr="00AF4CE7">
        <w:tc>
          <w:tcPr>
            <w:tcW w:w="1546" w:type="dxa"/>
            <w:tcBorders>
              <w:top w:val="single" w:sz="6" w:space="0" w:color="auto"/>
              <w:bottom w:val="single" w:sz="6" w:space="0" w:color="auto"/>
              <w:right w:val="single" w:sz="6" w:space="0" w:color="auto"/>
            </w:tcBorders>
          </w:tcPr>
          <w:p w14:paraId="6DBD29FA" w14:textId="7803DDE6"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1.82(ba)</w:t>
            </w:r>
          </w:p>
        </w:tc>
        <w:tc>
          <w:tcPr>
            <w:tcW w:w="3027" w:type="dxa"/>
            <w:tcBorders>
              <w:left w:val="single" w:sz="6" w:space="0" w:color="auto"/>
            </w:tcBorders>
            <w:shd w:val="clear" w:color="auto" w:fill="auto"/>
            <w:vAlign w:val="bottom"/>
          </w:tcPr>
          <w:p w14:paraId="0D005B20" w14:textId="18F1A5B1"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ירידת ערך נכסים פיננסים הנמדדים בעלות מופחתת או בשווי הוגן דרך רווח כולל אחר</w:t>
            </w:r>
          </w:p>
        </w:tc>
        <w:tc>
          <w:tcPr>
            <w:tcW w:w="113" w:type="dxa"/>
            <w:shd w:val="clear" w:color="auto" w:fill="auto"/>
            <w:vAlign w:val="bottom"/>
          </w:tcPr>
          <w:p w14:paraId="61B4A57A" w14:textId="77777777" w:rsidR="00AF4CE7" w:rsidRPr="00B305E0" w:rsidRDefault="00AF4CE7" w:rsidP="00AF4CE7">
            <w:pPr>
              <w:spacing w:line="180" w:lineRule="exact"/>
              <w:rPr>
                <w:sz w:val="18"/>
                <w:szCs w:val="18"/>
              </w:rPr>
            </w:pPr>
          </w:p>
        </w:tc>
        <w:tc>
          <w:tcPr>
            <w:tcW w:w="907" w:type="dxa"/>
            <w:shd w:val="clear" w:color="auto" w:fill="auto"/>
            <w:vAlign w:val="bottom"/>
          </w:tcPr>
          <w:p w14:paraId="6A3D24C4"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6B85F2D"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2A28115F"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E2F430D"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62C25E2"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6B638F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7B49B8C"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6C023B2"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44265BB3" w14:textId="77777777" w:rsidR="00AF4CE7" w:rsidRPr="00B305E0" w:rsidRDefault="00AF4CE7" w:rsidP="00AF4CE7">
            <w:pPr>
              <w:tabs>
                <w:tab w:val="decimal" w:pos="113"/>
              </w:tabs>
              <w:spacing w:line="180" w:lineRule="exact"/>
              <w:rPr>
                <w:sz w:val="18"/>
                <w:szCs w:val="18"/>
                <w:rtl/>
              </w:rPr>
            </w:pPr>
          </w:p>
        </w:tc>
      </w:tr>
      <w:tr w:rsidR="00AF4CE7" w:rsidRPr="00B305E0" w14:paraId="6FB1D109" w14:textId="77777777" w:rsidTr="00AF4CE7">
        <w:tc>
          <w:tcPr>
            <w:tcW w:w="1546" w:type="dxa"/>
            <w:tcBorders>
              <w:top w:val="single" w:sz="6" w:space="0" w:color="auto"/>
              <w:bottom w:val="single" w:sz="6" w:space="0" w:color="auto"/>
              <w:right w:val="single" w:sz="6" w:space="0" w:color="auto"/>
            </w:tcBorders>
          </w:tcPr>
          <w:p w14:paraId="6D5C915E"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1.82(b); IFRS 7.20</w:t>
            </w:r>
          </w:p>
        </w:tc>
        <w:tc>
          <w:tcPr>
            <w:tcW w:w="3027" w:type="dxa"/>
            <w:tcBorders>
              <w:left w:val="single" w:sz="6" w:space="0" w:color="auto"/>
            </w:tcBorders>
            <w:shd w:val="clear" w:color="auto" w:fill="auto"/>
            <w:vAlign w:val="bottom"/>
          </w:tcPr>
          <w:p w14:paraId="1341BAF6"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הוצאות מימון</w:t>
            </w:r>
          </w:p>
        </w:tc>
        <w:tc>
          <w:tcPr>
            <w:tcW w:w="113" w:type="dxa"/>
            <w:shd w:val="clear" w:color="auto" w:fill="auto"/>
            <w:vAlign w:val="bottom"/>
          </w:tcPr>
          <w:p w14:paraId="5BAE33ED"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450AECA8"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F25AF8A"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73CC180C"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7C3792B"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210C6DB8"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4D9F280"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6838FD5A"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D5C526A"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09D29BDB" w14:textId="77777777" w:rsidR="00AF4CE7" w:rsidRPr="00B305E0" w:rsidRDefault="00AF4CE7" w:rsidP="00AF4CE7">
            <w:pPr>
              <w:tabs>
                <w:tab w:val="decimal" w:pos="113"/>
              </w:tabs>
              <w:spacing w:line="180" w:lineRule="exact"/>
              <w:rPr>
                <w:sz w:val="18"/>
                <w:szCs w:val="18"/>
                <w:rtl/>
              </w:rPr>
            </w:pPr>
          </w:p>
        </w:tc>
      </w:tr>
      <w:tr w:rsidR="00AF4CE7" w:rsidRPr="00B305E0" w14:paraId="651B5F11" w14:textId="77777777" w:rsidTr="00AF4CE7">
        <w:tc>
          <w:tcPr>
            <w:tcW w:w="1546" w:type="dxa"/>
            <w:tcBorders>
              <w:top w:val="single" w:sz="6" w:space="0" w:color="auto"/>
            </w:tcBorders>
          </w:tcPr>
          <w:p w14:paraId="13AD341E"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76B52176" w14:textId="77777777" w:rsidR="00AF4CE7" w:rsidRPr="001521F8" w:rsidRDefault="00AF4CE7" w:rsidP="00AF4CE7">
            <w:pPr>
              <w:widowControl/>
              <w:tabs>
                <w:tab w:val="left" w:pos="227"/>
                <w:tab w:val="left" w:pos="397"/>
                <w:tab w:val="left" w:pos="567"/>
              </w:tabs>
              <w:spacing w:line="120" w:lineRule="auto"/>
              <w:jc w:val="left"/>
              <w:rPr>
                <w:b/>
                <w:sz w:val="16"/>
                <w:szCs w:val="16"/>
                <w:rtl/>
              </w:rPr>
            </w:pPr>
          </w:p>
        </w:tc>
        <w:tc>
          <w:tcPr>
            <w:tcW w:w="113" w:type="dxa"/>
            <w:shd w:val="clear" w:color="auto" w:fill="auto"/>
            <w:vAlign w:val="bottom"/>
          </w:tcPr>
          <w:p w14:paraId="1DD19F69"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0DDD3638"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7A75C939"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13B58978"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36677A84"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3AD3DD17"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6CD58B9A"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57598163"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1FC5A947"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7CFBDB5C" w14:textId="77777777" w:rsidR="00AF4CE7" w:rsidRPr="00B305E0" w:rsidRDefault="00AF4CE7" w:rsidP="00AF4CE7">
            <w:pPr>
              <w:widowControl/>
              <w:tabs>
                <w:tab w:val="decimal" w:pos="113"/>
              </w:tabs>
              <w:spacing w:line="120" w:lineRule="auto"/>
              <w:rPr>
                <w:sz w:val="18"/>
                <w:szCs w:val="18"/>
                <w:rtl/>
              </w:rPr>
            </w:pPr>
          </w:p>
        </w:tc>
      </w:tr>
      <w:tr w:rsidR="00AF4CE7" w:rsidRPr="00B305E0" w14:paraId="334E85FA" w14:textId="77777777" w:rsidTr="00AF4CE7">
        <w:tc>
          <w:tcPr>
            <w:tcW w:w="1546" w:type="dxa"/>
            <w:vMerge w:val="restart"/>
            <w:tcBorders>
              <w:bottom w:val="single" w:sz="6" w:space="0" w:color="auto"/>
              <w:right w:val="single" w:sz="4" w:space="0" w:color="auto"/>
            </w:tcBorders>
          </w:tcPr>
          <w:p w14:paraId="661AF8BF" w14:textId="77777777" w:rsidR="00AF4CE7" w:rsidRPr="008257D7" w:rsidRDefault="00AF4CE7" w:rsidP="00AF4CE7">
            <w:pPr>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1.85</w:t>
            </w:r>
          </w:p>
        </w:tc>
        <w:tc>
          <w:tcPr>
            <w:tcW w:w="3027" w:type="dxa"/>
            <w:tcBorders>
              <w:left w:val="single" w:sz="4" w:space="0" w:color="auto"/>
            </w:tcBorders>
            <w:shd w:val="clear" w:color="auto" w:fill="auto"/>
            <w:vAlign w:val="bottom"/>
          </w:tcPr>
          <w:p w14:paraId="33C5B4F8"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סה"כ הוצאות</w:t>
            </w:r>
          </w:p>
        </w:tc>
        <w:tc>
          <w:tcPr>
            <w:tcW w:w="113" w:type="dxa"/>
            <w:shd w:val="clear" w:color="auto" w:fill="auto"/>
            <w:vAlign w:val="bottom"/>
          </w:tcPr>
          <w:p w14:paraId="42BC520E"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4DA4B342"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27DD274"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6FFF800F"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7E0AA13"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40E960A9"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542E115B"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065CA15C"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AA6FCF9"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634398EC" w14:textId="77777777" w:rsidR="00AF4CE7" w:rsidRPr="00B305E0" w:rsidRDefault="00AF4CE7" w:rsidP="00AF4CE7">
            <w:pPr>
              <w:tabs>
                <w:tab w:val="decimal" w:pos="113"/>
              </w:tabs>
              <w:spacing w:line="180" w:lineRule="exact"/>
              <w:rPr>
                <w:sz w:val="18"/>
                <w:szCs w:val="18"/>
                <w:rtl/>
              </w:rPr>
            </w:pPr>
          </w:p>
        </w:tc>
      </w:tr>
      <w:tr w:rsidR="00AF4CE7" w:rsidRPr="00B305E0" w14:paraId="4BB9CBB2" w14:textId="77777777" w:rsidTr="00AF4CE7">
        <w:tc>
          <w:tcPr>
            <w:tcW w:w="1546" w:type="dxa"/>
            <w:vMerge/>
            <w:tcBorders>
              <w:bottom w:val="single" w:sz="6" w:space="0" w:color="auto"/>
              <w:right w:val="single" w:sz="4" w:space="0" w:color="auto"/>
            </w:tcBorders>
          </w:tcPr>
          <w:p w14:paraId="6676A567" w14:textId="77777777" w:rsidR="00AF4CE7" w:rsidRPr="008257D7" w:rsidRDefault="00AF4CE7" w:rsidP="00AF4CE7">
            <w:pPr>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4" w:space="0" w:color="auto"/>
            </w:tcBorders>
            <w:shd w:val="clear" w:color="auto" w:fill="auto"/>
            <w:vAlign w:val="bottom"/>
          </w:tcPr>
          <w:p w14:paraId="70B45B99" w14:textId="77777777" w:rsidR="00AF4CE7" w:rsidRPr="001521F8" w:rsidRDefault="00AF4CE7" w:rsidP="00AF4CE7">
            <w:pPr>
              <w:widowControl/>
              <w:tabs>
                <w:tab w:val="left" w:pos="227"/>
                <w:tab w:val="left" w:pos="397"/>
                <w:tab w:val="left" w:pos="567"/>
              </w:tabs>
              <w:spacing w:line="120" w:lineRule="auto"/>
              <w:jc w:val="left"/>
              <w:rPr>
                <w:b/>
                <w:sz w:val="16"/>
                <w:szCs w:val="16"/>
                <w:rtl/>
              </w:rPr>
            </w:pPr>
          </w:p>
        </w:tc>
        <w:tc>
          <w:tcPr>
            <w:tcW w:w="113" w:type="dxa"/>
            <w:shd w:val="clear" w:color="auto" w:fill="auto"/>
            <w:vAlign w:val="bottom"/>
          </w:tcPr>
          <w:p w14:paraId="522AEE19"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53FD161D"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2F4638FE"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340535AD"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46E8F9AD"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72BF34CA"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2C592C82"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740D4C44"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3D33D320"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0837475F" w14:textId="77777777" w:rsidR="00AF4CE7" w:rsidRPr="00B305E0" w:rsidRDefault="00AF4CE7" w:rsidP="00AF4CE7">
            <w:pPr>
              <w:widowControl/>
              <w:tabs>
                <w:tab w:val="decimal" w:pos="113"/>
              </w:tabs>
              <w:spacing w:line="120" w:lineRule="auto"/>
              <w:rPr>
                <w:sz w:val="18"/>
                <w:szCs w:val="18"/>
                <w:rtl/>
              </w:rPr>
            </w:pPr>
          </w:p>
        </w:tc>
      </w:tr>
      <w:tr w:rsidR="00AF4CE7" w:rsidRPr="00B305E0" w14:paraId="3EB42729" w14:textId="77777777" w:rsidTr="00AF4CE7">
        <w:tc>
          <w:tcPr>
            <w:tcW w:w="1546" w:type="dxa"/>
            <w:vMerge/>
            <w:tcBorders>
              <w:bottom w:val="single" w:sz="6" w:space="0" w:color="auto"/>
              <w:right w:val="single" w:sz="4" w:space="0" w:color="auto"/>
            </w:tcBorders>
          </w:tcPr>
          <w:p w14:paraId="31C850BE"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4" w:space="0" w:color="auto"/>
            </w:tcBorders>
            <w:shd w:val="clear" w:color="auto" w:fill="auto"/>
            <w:vAlign w:val="bottom"/>
          </w:tcPr>
          <w:p w14:paraId="6CCE6422"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 xml:space="preserve">רווח (הפסד) </w:t>
            </w:r>
            <w:r w:rsidRPr="001521F8">
              <w:rPr>
                <w:b/>
                <w:sz w:val="16"/>
                <w:szCs w:val="16"/>
                <w:rtl/>
              </w:rPr>
              <w:t>לפני מסים על ההכנסה</w:t>
            </w:r>
          </w:p>
        </w:tc>
        <w:tc>
          <w:tcPr>
            <w:tcW w:w="113" w:type="dxa"/>
            <w:shd w:val="clear" w:color="auto" w:fill="auto"/>
            <w:vAlign w:val="bottom"/>
          </w:tcPr>
          <w:p w14:paraId="44E467C2" w14:textId="77777777" w:rsidR="00AF4CE7" w:rsidRPr="00B305E0" w:rsidRDefault="00AF4CE7" w:rsidP="00AF4CE7">
            <w:pPr>
              <w:spacing w:line="180" w:lineRule="exact"/>
              <w:rPr>
                <w:sz w:val="18"/>
                <w:szCs w:val="18"/>
              </w:rPr>
            </w:pPr>
          </w:p>
        </w:tc>
        <w:tc>
          <w:tcPr>
            <w:tcW w:w="907" w:type="dxa"/>
            <w:vAlign w:val="bottom"/>
          </w:tcPr>
          <w:p w14:paraId="096D5D9D"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3AD053C"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5FAEA749"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A548937"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2820D9D3"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0F513B23"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A566C21"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07F1398"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461F6D62" w14:textId="77777777" w:rsidR="00AF4CE7" w:rsidRPr="00B305E0" w:rsidRDefault="00AF4CE7" w:rsidP="00AF4CE7">
            <w:pPr>
              <w:tabs>
                <w:tab w:val="decimal" w:pos="113"/>
              </w:tabs>
              <w:spacing w:line="180" w:lineRule="exact"/>
              <w:rPr>
                <w:sz w:val="18"/>
                <w:szCs w:val="18"/>
                <w:rtl/>
              </w:rPr>
            </w:pPr>
          </w:p>
        </w:tc>
      </w:tr>
      <w:tr w:rsidR="00AF4CE7" w:rsidRPr="00B305E0" w14:paraId="46E82043" w14:textId="77777777" w:rsidTr="00AF4CE7">
        <w:tc>
          <w:tcPr>
            <w:tcW w:w="1546" w:type="dxa"/>
            <w:tcBorders>
              <w:top w:val="single" w:sz="6" w:space="0" w:color="auto"/>
              <w:bottom w:val="single" w:sz="6" w:space="0" w:color="auto"/>
              <w:right w:val="single" w:sz="6" w:space="0" w:color="auto"/>
            </w:tcBorders>
          </w:tcPr>
          <w:p w14:paraId="204F3294"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1.82(d); IAS 12.77</w:t>
            </w:r>
          </w:p>
        </w:tc>
        <w:tc>
          <w:tcPr>
            <w:tcW w:w="3027" w:type="dxa"/>
            <w:tcBorders>
              <w:left w:val="single" w:sz="6" w:space="0" w:color="auto"/>
            </w:tcBorders>
            <w:shd w:val="clear" w:color="auto" w:fill="auto"/>
            <w:vAlign w:val="bottom"/>
          </w:tcPr>
          <w:p w14:paraId="195413B6"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b/>
                <w:sz w:val="16"/>
                <w:szCs w:val="16"/>
                <w:rtl/>
              </w:rPr>
              <w:t>מסים על ההכנסה</w:t>
            </w:r>
            <w:r w:rsidRPr="001521F8">
              <w:rPr>
                <w:rFonts w:hint="cs"/>
                <w:b/>
                <w:sz w:val="16"/>
                <w:szCs w:val="16"/>
                <w:rtl/>
              </w:rPr>
              <w:t xml:space="preserve"> (הטבת מס)</w:t>
            </w:r>
          </w:p>
        </w:tc>
        <w:tc>
          <w:tcPr>
            <w:tcW w:w="113" w:type="dxa"/>
            <w:shd w:val="clear" w:color="auto" w:fill="auto"/>
            <w:vAlign w:val="bottom"/>
          </w:tcPr>
          <w:p w14:paraId="4984EC95"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0B74E434"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1E634ABA"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62367F0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FB36DD4"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018952C2"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0C388FCE"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70F1959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F03EF2B"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54FB4738" w14:textId="77777777" w:rsidR="00AF4CE7" w:rsidRPr="00B305E0" w:rsidRDefault="00AF4CE7" w:rsidP="00AF4CE7">
            <w:pPr>
              <w:tabs>
                <w:tab w:val="decimal" w:pos="113"/>
              </w:tabs>
              <w:spacing w:line="180" w:lineRule="exact"/>
              <w:rPr>
                <w:sz w:val="18"/>
                <w:szCs w:val="18"/>
                <w:rtl/>
              </w:rPr>
            </w:pPr>
          </w:p>
        </w:tc>
      </w:tr>
      <w:tr w:rsidR="00AF4CE7" w:rsidRPr="00B305E0" w14:paraId="6747A066" w14:textId="77777777" w:rsidTr="00AF4CE7">
        <w:tc>
          <w:tcPr>
            <w:tcW w:w="1546" w:type="dxa"/>
            <w:tcBorders>
              <w:top w:val="single" w:sz="6" w:space="0" w:color="auto"/>
            </w:tcBorders>
          </w:tcPr>
          <w:p w14:paraId="522A79EA"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4293DC1A" w14:textId="77777777" w:rsidR="00AF4CE7" w:rsidRPr="001521F8" w:rsidRDefault="00AF4CE7" w:rsidP="00AF4CE7">
            <w:pPr>
              <w:widowControl/>
              <w:tabs>
                <w:tab w:val="left" w:pos="227"/>
                <w:tab w:val="left" w:pos="397"/>
                <w:tab w:val="left" w:pos="567"/>
              </w:tabs>
              <w:spacing w:line="120" w:lineRule="auto"/>
              <w:jc w:val="left"/>
              <w:rPr>
                <w:b/>
                <w:sz w:val="16"/>
                <w:szCs w:val="16"/>
                <w:rtl/>
              </w:rPr>
            </w:pPr>
          </w:p>
        </w:tc>
        <w:tc>
          <w:tcPr>
            <w:tcW w:w="113" w:type="dxa"/>
            <w:shd w:val="clear" w:color="auto" w:fill="auto"/>
            <w:vAlign w:val="bottom"/>
          </w:tcPr>
          <w:p w14:paraId="3D6F9FF8"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7E58D4B7"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30E578B4"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6E544D8E"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33303B52"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5C6080A5"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7D341B32"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53044486"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65C5B027"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6C03C273" w14:textId="77777777" w:rsidR="00AF4CE7" w:rsidRPr="00B305E0" w:rsidRDefault="00AF4CE7" w:rsidP="00AF4CE7">
            <w:pPr>
              <w:widowControl/>
              <w:tabs>
                <w:tab w:val="decimal" w:pos="113"/>
              </w:tabs>
              <w:spacing w:line="120" w:lineRule="auto"/>
              <w:rPr>
                <w:sz w:val="18"/>
                <w:szCs w:val="18"/>
                <w:rtl/>
              </w:rPr>
            </w:pPr>
          </w:p>
        </w:tc>
      </w:tr>
      <w:tr w:rsidR="00AF4CE7" w:rsidRPr="00B305E0" w14:paraId="232EEC37" w14:textId="77777777" w:rsidTr="00AF4CE7">
        <w:tc>
          <w:tcPr>
            <w:tcW w:w="1546" w:type="dxa"/>
            <w:tcBorders>
              <w:bottom w:val="single" w:sz="6" w:space="0" w:color="auto"/>
              <w:right w:val="single" w:sz="6" w:space="0" w:color="auto"/>
            </w:tcBorders>
          </w:tcPr>
          <w:p w14:paraId="41E1552D" w14:textId="77777777" w:rsidR="00AF4CE7" w:rsidRPr="008257D7" w:rsidRDefault="00AF4CE7" w:rsidP="00AF4CE7">
            <w:pPr>
              <w:bidi w:val="0"/>
              <w:spacing w:line="180" w:lineRule="exact"/>
              <w:ind w:left="227" w:right="113"/>
              <w:jc w:val="right"/>
              <w:rPr>
                <w:i/>
                <w:iCs/>
                <w:sz w:val="14"/>
                <w:szCs w:val="14"/>
              </w:rPr>
            </w:pPr>
            <w:r w:rsidRPr="008257D7">
              <w:rPr>
                <w:i/>
                <w:iCs/>
                <w:sz w:val="14"/>
                <w:szCs w:val="14"/>
              </w:rPr>
              <w:t>IAS 1.85</w:t>
            </w:r>
          </w:p>
        </w:tc>
        <w:tc>
          <w:tcPr>
            <w:tcW w:w="3027" w:type="dxa"/>
            <w:tcBorders>
              <w:left w:val="single" w:sz="6" w:space="0" w:color="auto"/>
            </w:tcBorders>
            <w:shd w:val="clear" w:color="auto" w:fill="auto"/>
            <w:vAlign w:val="bottom"/>
          </w:tcPr>
          <w:p w14:paraId="7C8D7D4E" w14:textId="77777777" w:rsidR="00AF4CE7" w:rsidRPr="001521F8" w:rsidRDefault="00AF4CE7" w:rsidP="00AF4CE7">
            <w:pPr>
              <w:spacing w:line="180" w:lineRule="exact"/>
              <w:ind w:left="227" w:hanging="170"/>
              <w:rPr>
                <w:sz w:val="16"/>
                <w:szCs w:val="16"/>
              </w:rPr>
            </w:pPr>
            <w:r w:rsidRPr="001521F8">
              <w:rPr>
                <w:rFonts w:hint="cs"/>
                <w:sz w:val="16"/>
                <w:szCs w:val="16"/>
                <w:rtl/>
              </w:rPr>
              <w:t>רווח (הפסד) מפעילויות נמשכות</w:t>
            </w:r>
          </w:p>
        </w:tc>
        <w:tc>
          <w:tcPr>
            <w:tcW w:w="113" w:type="dxa"/>
            <w:shd w:val="clear" w:color="auto" w:fill="auto"/>
            <w:vAlign w:val="bottom"/>
          </w:tcPr>
          <w:p w14:paraId="5B0D10FF" w14:textId="77777777" w:rsidR="00AF4CE7" w:rsidRPr="00B305E0" w:rsidRDefault="00AF4CE7" w:rsidP="00AF4CE7">
            <w:pPr>
              <w:spacing w:line="180" w:lineRule="exact"/>
              <w:rPr>
                <w:sz w:val="18"/>
                <w:szCs w:val="18"/>
              </w:rPr>
            </w:pPr>
          </w:p>
        </w:tc>
        <w:tc>
          <w:tcPr>
            <w:tcW w:w="907" w:type="dxa"/>
            <w:vAlign w:val="bottom"/>
          </w:tcPr>
          <w:p w14:paraId="1F51E3A0"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23963490"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546B3E1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1391680"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620FDCB"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AB55805"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9FE9AA6"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77F9C2F"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059794AA" w14:textId="77777777" w:rsidR="00AF4CE7" w:rsidRPr="00B305E0" w:rsidRDefault="00AF4CE7" w:rsidP="00AF4CE7">
            <w:pPr>
              <w:tabs>
                <w:tab w:val="decimal" w:pos="113"/>
              </w:tabs>
              <w:spacing w:line="180" w:lineRule="exact"/>
              <w:rPr>
                <w:sz w:val="18"/>
                <w:szCs w:val="18"/>
                <w:rtl/>
              </w:rPr>
            </w:pPr>
          </w:p>
        </w:tc>
      </w:tr>
      <w:tr w:rsidR="00AF4CE7" w:rsidRPr="00B305E0" w14:paraId="357003D1" w14:textId="77777777" w:rsidTr="00AF4CE7">
        <w:tc>
          <w:tcPr>
            <w:tcW w:w="1546" w:type="dxa"/>
            <w:tcBorders>
              <w:top w:val="single" w:sz="6" w:space="0" w:color="auto"/>
            </w:tcBorders>
          </w:tcPr>
          <w:p w14:paraId="5A28C522" w14:textId="77777777" w:rsidR="00AF4CE7" w:rsidRPr="008257D7" w:rsidRDefault="00AF4CE7" w:rsidP="00AF4CE7">
            <w:pPr>
              <w:pStyle w:val="a3"/>
              <w:widowControl/>
              <w:spacing w:line="120" w:lineRule="auto"/>
              <w:ind w:left="0"/>
              <w:jc w:val="right"/>
              <w:rPr>
                <w:i/>
                <w:iCs/>
                <w:sz w:val="14"/>
                <w:szCs w:val="14"/>
              </w:rPr>
            </w:pPr>
          </w:p>
        </w:tc>
        <w:tc>
          <w:tcPr>
            <w:tcW w:w="3027" w:type="dxa"/>
            <w:shd w:val="clear" w:color="auto" w:fill="auto"/>
            <w:vAlign w:val="bottom"/>
          </w:tcPr>
          <w:p w14:paraId="691F8A4E" w14:textId="77777777" w:rsidR="00AF4CE7" w:rsidRPr="001521F8" w:rsidRDefault="00AF4CE7" w:rsidP="00AF4CE7">
            <w:pPr>
              <w:pStyle w:val="a3"/>
              <w:widowControl/>
              <w:spacing w:line="120" w:lineRule="auto"/>
              <w:ind w:left="0"/>
              <w:rPr>
                <w:sz w:val="16"/>
                <w:szCs w:val="16"/>
              </w:rPr>
            </w:pPr>
          </w:p>
        </w:tc>
        <w:tc>
          <w:tcPr>
            <w:tcW w:w="113" w:type="dxa"/>
            <w:shd w:val="clear" w:color="auto" w:fill="auto"/>
            <w:vAlign w:val="bottom"/>
          </w:tcPr>
          <w:p w14:paraId="7A09D42F" w14:textId="77777777" w:rsidR="00AF4CE7" w:rsidRDefault="00AF4CE7" w:rsidP="00AF4CE7">
            <w:pPr>
              <w:widowControl/>
              <w:spacing w:line="120" w:lineRule="auto"/>
              <w:rPr>
                <w:sz w:val="18"/>
                <w:szCs w:val="18"/>
              </w:rPr>
            </w:pPr>
          </w:p>
        </w:tc>
        <w:tc>
          <w:tcPr>
            <w:tcW w:w="907" w:type="dxa"/>
            <w:vAlign w:val="bottom"/>
          </w:tcPr>
          <w:p w14:paraId="661E06F5" w14:textId="77777777" w:rsidR="00AF4CE7" w:rsidRDefault="00AF4CE7" w:rsidP="00AF4CE7">
            <w:pPr>
              <w:widowControl/>
              <w:tabs>
                <w:tab w:val="decimal" w:pos="113"/>
              </w:tabs>
              <w:spacing w:line="120" w:lineRule="auto"/>
              <w:rPr>
                <w:sz w:val="18"/>
                <w:szCs w:val="18"/>
                <w:rtl/>
              </w:rPr>
            </w:pPr>
          </w:p>
        </w:tc>
        <w:tc>
          <w:tcPr>
            <w:tcW w:w="113" w:type="dxa"/>
            <w:vAlign w:val="bottom"/>
          </w:tcPr>
          <w:p w14:paraId="28FDD6D2" w14:textId="77777777" w:rsidR="00AF4CE7" w:rsidRDefault="00AF4CE7" w:rsidP="00AF4CE7">
            <w:pPr>
              <w:widowControl/>
              <w:tabs>
                <w:tab w:val="decimal" w:pos="113"/>
              </w:tabs>
              <w:spacing w:line="120" w:lineRule="auto"/>
              <w:rPr>
                <w:sz w:val="18"/>
                <w:szCs w:val="18"/>
              </w:rPr>
            </w:pPr>
          </w:p>
        </w:tc>
        <w:tc>
          <w:tcPr>
            <w:tcW w:w="907" w:type="dxa"/>
            <w:gridSpan w:val="2"/>
            <w:shd w:val="clear" w:color="auto" w:fill="auto"/>
            <w:vAlign w:val="bottom"/>
          </w:tcPr>
          <w:p w14:paraId="2D270CC2" w14:textId="77777777" w:rsidR="00AF4CE7" w:rsidRDefault="00AF4CE7" w:rsidP="00AF4CE7">
            <w:pPr>
              <w:widowControl/>
              <w:tabs>
                <w:tab w:val="decimal" w:pos="113"/>
              </w:tabs>
              <w:spacing w:line="120" w:lineRule="auto"/>
              <w:rPr>
                <w:sz w:val="18"/>
                <w:szCs w:val="18"/>
              </w:rPr>
            </w:pPr>
          </w:p>
        </w:tc>
        <w:tc>
          <w:tcPr>
            <w:tcW w:w="113" w:type="dxa"/>
            <w:shd w:val="clear" w:color="auto" w:fill="auto"/>
            <w:vAlign w:val="bottom"/>
          </w:tcPr>
          <w:p w14:paraId="4E21397B" w14:textId="77777777" w:rsidR="00AF4CE7" w:rsidRDefault="00AF4CE7" w:rsidP="00AF4CE7">
            <w:pPr>
              <w:widowControl/>
              <w:tabs>
                <w:tab w:val="decimal" w:pos="113"/>
              </w:tabs>
              <w:spacing w:line="120" w:lineRule="auto"/>
              <w:rPr>
                <w:sz w:val="18"/>
                <w:szCs w:val="18"/>
              </w:rPr>
            </w:pPr>
          </w:p>
        </w:tc>
        <w:tc>
          <w:tcPr>
            <w:tcW w:w="907" w:type="dxa"/>
            <w:shd w:val="clear" w:color="auto" w:fill="auto"/>
            <w:vAlign w:val="bottom"/>
          </w:tcPr>
          <w:p w14:paraId="6BA6F6B4" w14:textId="77777777" w:rsidR="00AF4CE7"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7F533B1E" w14:textId="77777777" w:rsidR="00AF4CE7" w:rsidRDefault="00AF4CE7" w:rsidP="00AF4CE7">
            <w:pPr>
              <w:widowControl/>
              <w:tabs>
                <w:tab w:val="decimal" w:pos="113"/>
              </w:tabs>
              <w:spacing w:line="120" w:lineRule="auto"/>
              <w:rPr>
                <w:sz w:val="18"/>
                <w:szCs w:val="18"/>
              </w:rPr>
            </w:pPr>
          </w:p>
        </w:tc>
        <w:tc>
          <w:tcPr>
            <w:tcW w:w="907" w:type="dxa"/>
            <w:shd w:val="clear" w:color="auto" w:fill="auto"/>
            <w:vAlign w:val="bottom"/>
          </w:tcPr>
          <w:p w14:paraId="370FE51C" w14:textId="77777777" w:rsidR="00AF4CE7" w:rsidRDefault="00AF4CE7" w:rsidP="00AF4CE7">
            <w:pPr>
              <w:widowControl/>
              <w:tabs>
                <w:tab w:val="decimal" w:pos="113"/>
              </w:tabs>
              <w:spacing w:line="120" w:lineRule="auto"/>
              <w:rPr>
                <w:sz w:val="18"/>
                <w:szCs w:val="18"/>
              </w:rPr>
            </w:pPr>
          </w:p>
        </w:tc>
        <w:tc>
          <w:tcPr>
            <w:tcW w:w="113" w:type="dxa"/>
            <w:shd w:val="clear" w:color="auto" w:fill="auto"/>
            <w:vAlign w:val="bottom"/>
          </w:tcPr>
          <w:p w14:paraId="77D53CB5" w14:textId="77777777" w:rsidR="00AF4CE7" w:rsidRDefault="00AF4CE7" w:rsidP="00AF4CE7">
            <w:pPr>
              <w:widowControl/>
              <w:tabs>
                <w:tab w:val="decimal" w:pos="113"/>
              </w:tabs>
              <w:spacing w:line="120" w:lineRule="auto"/>
              <w:rPr>
                <w:sz w:val="18"/>
                <w:szCs w:val="18"/>
              </w:rPr>
            </w:pPr>
          </w:p>
        </w:tc>
        <w:tc>
          <w:tcPr>
            <w:tcW w:w="1061" w:type="dxa"/>
            <w:shd w:val="clear" w:color="auto" w:fill="auto"/>
            <w:vAlign w:val="bottom"/>
          </w:tcPr>
          <w:p w14:paraId="4A86EE47" w14:textId="77777777" w:rsidR="00AF4CE7" w:rsidRDefault="00AF4CE7" w:rsidP="00AF4CE7">
            <w:pPr>
              <w:widowControl/>
              <w:tabs>
                <w:tab w:val="decimal" w:pos="113"/>
              </w:tabs>
              <w:spacing w:line="120" w:lineRule="auto"/>
              <w:rPr>
                <w:sz w:val="18"/>
                <w:szCs w:val="18"/>
                <w:rtl/>
              </w:rPr>
            </w:pPr>
          </w:p>
        </w:tc>
      </w:tr>
      <w:tr w:rsidR="00AF4CE7" w:rsidRPr="00B305E0" w14:paraId="30FDC72E" w14:textId="77777777" w:rsidTr="00AF4CE7">
        <w:tc>
          <w:tcPr>
            <w:tcW w:w="1546" w:type="dxa"/>
            <w:tcBorders>
              <w:bottom w:val="single" w:sz="6" w:space="0" w:color="auto"/>
              <w:right w:val="single" w:sz="6" w:space="0" w:color="auto"/>
            </w:tcBorders>
          </w:tcPr>
          <w:p w14:paraId="254F4397" w14:textId="77777777" w:rsidR="00AF4CE7" w:rsidRPr="008257D7" w:rsidRDefault="00AF4CE7" w:rsidP="00AF4CE7">
            <w:pPr>
              <w:bidi w:val="0"/>
              <w:spacing w:line="180" w:lineRule="exact"/>
              <w:jc w:val="right"/>
              <w:rPr>
                <w:rFonts w:asciiTheme="minorHAnsi" w:hAnsiTheme="minorHAnsi"/>
                <w:i/>
                <w:iCs/>
                <w:sz w:val="14"/>
                <w:szCs w:val="14"/>
                <w:rtl/>
              </w:rPr>
            </w:pPr>
            <w:r w:rsidRPr="008257D7">
              <w:rPr>
                <w:i/>
                <w:iCs/>
                <w:sz w:val="14"/>
                <w:szCs w:val="14"/>
              </w:rPr>
              <w:t xml:space="preserve">IAS 1.82(e);IFRS 5.33(a) </w:t>
            </w:r>
            <w:r w:rsidRPr="008257D7">
              <w:rPr>
                <w:rFonts w:hint="cs"/>
                <w:i/>
                <w:iCs/>
                <w:sz w:val="14"/>
                <w:szCs w:val="14"/>
                <w:rtl/>
              </w:rPr>
              <w:t xml:space="preserve"> </w:t>
            </w:r>
          </w:p>
        </w:tc>
        <w:tc>
          <w:tcPr>
            <w:tcW w:w="3027" w:type="dxa"/>
            <w:tcBorders>
              <w:left w:val="single" w:sz="6" w:space="0" w:color="auto"/>
            </w:tcBorders>
            <w:shd w:val="clear" w:color="auto" w:fill="auto"/>
            <w:vAlign w:val="bottom"/>
          </w:tcPr>
          <w:p w14:paraId="6CE0C973" w14:textId="77777777" w:rsidR="00AF4CE7" w:rsidRPr="001521F8" w:rsidRDefault="00AF4CE7" w:rsidP="00AF4CE7">
            <w:pPr>
              <w:spacing w:line="180" w:lineRule="exact"/>
              <w:ind w:left="227" w:hanging="170"/>
              <w:jc w:val="left"/>
              <w:rPr>
                <w:sz w:val="16"/>
                <w:szCs w:val="16"/>
              </w:rPr>
            </w:pPr>
            <w:r w:rsidRPr="001521F8">
              <w:rPr>
                <w:rFonts w:hint="cs"/>
                <w:sz w:val="16"/>
                <w:szCs w:val="16"/>
                <w:rtl/>
              </w:rPr>
              <w:t>רווח (הפסד) מפעילויות שהופסקו, נטו</w:t>
            </w:r>
          </w:p>
        </w:tc>
        <w:tc>
          <w:tcPr>
            <w:tcW w:w="113" w:type="dxa"/>
            <w:shd w:val="clear" w:color="auto" w:fill="auto"/>
            <w:vAlign w:val="bottom"/>
          </w:tcPr>
          <w:p w14:paraId="069D3991"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58B61BA8"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D4FEDC5"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5E61946D"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0880F15"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5EB791A3"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435B0177"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1554179D"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61A8C4B"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5385042B" w14:textId="77777777" w:rsidR="00AF4CE7" w:rsidRPr="00B305E0" w:rsidRDefault="00AF4CE7" w:rsidP="00AF4CE7">
            <w:pPr>
              <w:tabs>
                <w:tab w:val="decimal" w:pos="113"/>
              </w:tabs>
              <w:spacing w:line="180" w:lineRule="exact"/>
              <w:rPr>
                <w:sz w:val="18"/>
                <w:szCs w:val="18"/>
                <w:rtl/>
              </w:rPr>
            </w:pPr>
          </w:p>
        </w:tc>
      </w:tr>
      <w:tr w:rsidR="00AF4CE7" w:rsidRPr="00B305E0" w14:paraId="6A6F5F32" w14:textId="77777777" w:rsidTr="00AF4CE7">
        <w:tc>
          <w:tcPr>
            <w:tcW w:w="1546" w:type="dxa"/>
            <w:tcBorders>
              <w:top w:val="single" w:sz="6" w:space="0" w:color="auto"/>
            </w:tcBorders>
          </w:tcPr>
          <w:p w14:paraId="12CEF639" w14:textId="77777777" w:rsidR="00AF4CE7" w:rsidRPr="008257D7" w:rsidRDefault="00AF4CE7" w:rsidP="00AF4CE7">
            <w:pPr>
              <w:widowControl/>
              <w:spacing w:line="120" w:lineRule="auto"/>
              <w:jc w:val="right"/>
              <w:rPr>
                <w:i/>
                <w:iCs/>
                <w:sz w:val="14"/>
                <w:szCs w:val="14"/>
                <w:rtl/>
              </w:rPr>
            </w:pPr>
          </w:p>
        </w:tc>
        <w:tc>
          <w:tcPr>
            <w:tcW w:w="3027" w:type="dxa"/>
            <w:shd w:val="clear" w:color="auto" w:fill="auto"/>
            <w:vAlign w:val="bottom"/>
          </w:tcPr>
          <w:p w14:paraId="28C89943" w14:textId="77777777" w:rsidR="00AF4CE7" w:rsidRPr="001521F8" w:rsidRDefault="00AF4CE7" w:rsidP="00AF4CE7">
            <w:pPr>
              <w:widowControl/>
              <w:spacing w:line="120" w:lineRule="auto"/>
              <w:rPr>
                <w:sz w:val="16"/>
                <w:szCs w:val="16"/>
                <w:rtl/>
              </w:rPr>
            </w:pPr>
          </w:p>
        </w:tc>
        <w:tc>
          <w:tcPr>
            <w:tcW w:w="113" w:type="dxa"/>
            <w:shd w:val="clear" w:color="auto" w:fill="auto"/>
            <w:vAlign w:val="bottom"/>
          </w:tcPr>
          <w:p w14:paraId="32AC6DCA"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1BFCBF0B"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4A39C89C"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25D1EAAE"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0124DF2B"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7E9232CF"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49B42643"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1F2CAF7C"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1054E50B"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23E384EE" w14:textId="77777777" w:rsidR="00AF4CE7" w:rsidRPr="00B305E0" w:rsidRDefault="00AF4CE7" w:rsidP="00AF4CE7">
            <w:pPr>
              <w:widowControl/>
              <w:tabs>
                <w:tab w:val="decimal" w:pos="113"/>
              </w:tabs>
              <w:spacing w:line="120" w:lineRule="auto"/>
              <w:rPr>
                <w:sz w:val="18"/>
                <w:szCs w:val="18"/>
                <w:rtl/>
              </w:rPr>
            </w:pPr>
          </w:p>
        </w:tc>
      </w:tr>
      <w:tr w:rsidR="00AF4CE7" w:rsidRPr="00B305E0" w14:paraId="417D7B70" w14:textId="77777777" w:rsidTr="00AF4CE7">
        <w:tc>
          <w:tcPr>
            <w:tcW w:w="1546" w:type="dxa"/>
            <w:tcBorders>
              <w:bottom w:val="single" w:sz="6" w:space="0" w:color="auto"/>
              <w:right w:val="single" w:sz="6" w:space="0" w:color="auto"/>
            </w:tcBorders>
          </w:tcPr>
          <w:p w14:paraId="4DA3FEF8"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1.82(f)</w:t>
            </w:r>
          </w:p>
        </w:tc>
        <w:tc>
          <w:tcPr>
            <w:tcW w:w="3027" w:type="dxa"/>
            <w:tcBorders>
              <w:left w:val="single" w:sz="6" w:space="0" w:color="auto"/>
            </w:tcBorders>
            <w:shd w:val="clear" w:color="auto" w:fill="auto"/>
            <w:vAlign w:val="bottom"/>
          </w:tcPr>
          <w:p w14:paraId="277948F6" w14:textId="77777777" w:rsidR="00AF4CE7" w:rsidRPr="001521F8" w:rsidRDefault="00AF4CE7" w:rsidP="00AF4CE7">
            <w:pPr>
              <w:widowControl/>
              <w:tabs>
                <w:tab w:val="left" w:pos="227"/>
                <w:tab w:val="left" w:pos="397"/>
                <w:tab w:val="left" w:pos="567"/>
              </w:tabs>
              <w:spacing w:line="180" w:lineRule="exact"/>
              <w:ind w:left="57"/>
              <w:jc w:val="left"/>
              <w:rPr>
                <w:b/>
                <w:sz w:val="16"/>
                <w:szCs w:val="16"/>
                <w:rtl/>
              </w:rPr>
            </w:pPr>
            <w:r w:rsidRPr="001521F8">
              <w:rPr>
                <w:rFonts w:hint="cs"/>
                <w:b/>
                <w:sz w:val="16"/>
                <w:szCs w:val="16"/>
                <w:rtl/>
              </w:rPr>
              <w:t>רווח נקי (הפסד)</w:t>
            </w:r>
          </w:p>
        </w:tc>
        <w:tc>
          <w:tcPr>
            <w:tcW w:w="113" w:type="dxa"/>
            <w:shd w:val="clear" w:color="auto" w:fill="auto"/>
            <w:vAlign w:val="bottom"/>
          </w:tcPr>
          <w:p w14:paraId="72F0C92D" w14:textId="77777777" w:rsidR="00AF4CE7" w:rsidRPr="00B305E0" w:rsidRDefault="00AF4CE7" w:rsidP="00AF4CE7">
            <w:pPr>
              <w:spacing w:line="180" w:lineRule="exact"/>
              <w:rPr>
                <w:sz w:val="18"/>
                <w:szCs w:val="18"/>
              </w:rPr>
            </w:pPr>
          </w:p>
        </w:tc>
        <w:tc>
          <w:tcPr>
            <w:tcW w:w="907" w:type="dxa"/>
            <w:tcBorders>
              <w:bottom w:val="double" w:sz="6" w:space="0" w:color="auto"/>
            </w:tcBorders>
            <w:shd w:val="clear" w:color="auto" w:fill="auto"/>
            <w:vAlign w:val="bottom"/>
          </w:tcPr>
          <w:p w14:paraId="1A62ABF3"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66B52A2" w14:textId="77777777" w:rsidR="00AF4CE7" w:rsidRPr="00B305E0" w:rsidRDefault="00AF4CE7" w:rsidP="00AF4CE7">
            <w:pPr>
              <w:tabs>
                <w:tab w:val="decimal" w:pos="113"/>
              </w:tabs>
              <w:spacing w:line="180" w:lineRule="exact"/>
              <w:rPr>
                <w:sz w:val="18"/>
                <w:szCs w:val="18"/>
              </w:rPr>
            </w:pPr>
          </w:p>
        </w:tc>
        <w:tc>
          <w:tcPr>
            <w:tcW w:w="907" w:type="dxa"/>
            <w:gridSpan w:val="2"/>
            <w:tcBorders>
              <w:bottom w:val="double" w:sz="6" w:space="0" w:color="auto"/>
            </w:tcBorders>
            <w:shd w:val="clear" w:color="auto" w:fill="auto"/>
            <w:vAlign w:val="bottom"/>
          </w:tcPr>
          <w:p w14:paraId="6E4DE405"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D31857C"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2FDAAEA7"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36B16E1"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6E59AA40"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0E5447A" w14:textId="77777777" w:rsidR="00AF4CE7" w:rsidRPr="00B305E0" w:rsidRDefault="00AF4CE7" w:rsidP="00AF4CE7">
            <w:pPr>
              <w:tabs>
                <w:tab w:val="decimal" w:pos="113"/>
              </w:tabs>
              <w:spacing w:line="180" w:lineRule="exact"/>
              <w:rPr>
                <w:sz w:val="18"/>
                <w:szCs w:val="18"/>
              </w:rPr>
            </w:pPr>
          </w:p>
        </w:tc>
        <w:tc>
          <w:tcPr>
            <w:tcW w:w="1061" w:type="dxa"/>
            <w:tcBorders>
              <w:bottom w:val="double" w:sz="6" w:space="0" w:color="auto"/>
            </w:tcBorders>
            <w:shd w:val="clear" w:color="auto" w:fill="auto"/>
            <w:vAlign w:val="bottom"/>
          </w:tcPr>
          <w:p w14:paraId="7680AD18" w14:textId="77777777" w:rsidR="00AF4CE7" w:rsidRPr="00B305E0" w:rsidRDefault="00AF4CE7" w:rsidP="00AF4CE7">
            <w:pPr>
              <w:tabs>
                <w:tab w:val="decimal" w:pos="113"/>
              </w:tabs>
              <w:spacing w:line="180" w:lineRule="exact"/>
              <w:rPr>
                <w:sz w:val="18"/>
                <w:szCs w:val="18"/>
                <w:rtl/>
              </w:rPr>
            </w:pPr>
          </w:p>
        </w:tc>
      </w:tr>
      <w:tr w:rsidR="00AF4CE7" w:rsidRPr="00B305E0" w14:paraId="5759FAA0" w14:textId="77777777" w:rsidTr="00AF4CE7">
        <w:tc>
          <w:tcPr>
            <w:tcW w:w="1546" w:type="dxa"/>
            <w:tcBorders>
              <w:top w:val="single" w:sz="6" w:space="0" w:color="auto"/>
            </w:tcBorders>
          </w:tcPr>
          <w:p w14:paraId="05F55786"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302B6F5F" w14:textId="77777777" w:rsidR="00AF4CE7" w:rsidRPr="001521F8" w:rsidRDefault="00AF4CE7" w:rsidP="00AF4CE7">
            <w:pPr>
              <w:widowControl/>
              <w:tabs>
                <w:tab w:val="left" w:pos="227"/>
                <w:tab w:val="left" w:pos="397"/>
                <w:tab w:val="left" w:pos="567"/>
              </w:tabs>
              <w:spacing w:line="120" w:lineRule="auto"/>
              <w:jc w:val="left"/>
              <w:rPr>
                <w:b/>
                <w:sz w:val="16"/>
                <w:szCs w:val="16"/>
                <w:rtl/>
              </w:rPr>
            </w:pPr>
          </w:p>
        </w:tc>
        <w:tc>
          <w:tcPr>
            <w:tcW w:w="113" w:type="dxa"/>
            <w:shd w:val="clear" w:color="auto" w:fill="auto"/>
            <w:vAlign w:val="bottom"/>
          </w:tcPr>
          <w:p w14:paraId="0D5C5220" w14:textId="77777777" w:rsidR="00AF4CE7" w:rsidRPr="00B305E0" w:rsidRDefault="00AF4CE7" w:rsidP="00AF4CE7">
            <w:pPr>
              <w:widowControl/>
              <w:spacing w:line="120" w:lineRule="auto"/>
              <w:rPr>
                <w:sz w:val="18"/>
                <w:szCs w:val="18"/>
              </w:rPr>
            </w:pPr>
          </w:p>
        </w:tc>
        <w:tc>
          <w:tcPr>
            <w:tcW w:w="907" w:type="dxa"/>
            <w:tcBorders>
              <w:top w:val="double" w:sz="6" w:space="0" w:color="auto"/>
            </w:tcBorders>
            <w:vAlign w:val="bottom"/>
          </w:tcPr>
          <w:p w14:paraId="29C75B76"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600C7C6E"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double" w:sz="6" w:space="0" w:color="auto"/>
            </w:tcBorders>
            <w:shd w:val="clear" w:color="auto" w:fill="auto"/>
            <w:vAlign w:val="bottom"/>
          </w:tcPr>
          <w:p w14:paraId="5A0E7B80"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78A4BAC8" w14:textId="77777777" w:rsidR="00AF4CE7" w:rsidRPr="00B305E0" w:rsidRDefault="00AF4CE7" w:rsidP="00AF4CE7">
            <w:pPr>
              <w:widowControl/>
              <w:tabs>
                <w:tab w:val="decimal" w:pos="113"/>
              </w:tabs>
              <w:spacing w:line="120" w:lineRule="auto"/>
              <w:rPr>
                <w:sz w:val="18"/>
                <w:szCs w:val="18"/>
              </w:rPr>
            </w:pPr>
          </w:p>
        </w:tc>
        <w:tc>
          <w:tcPr>
            <w:tcW w:w="907" w:type="dxa"/>
            <w:tcBorders>
              <w:top w:val="double" w:sz="6" w:space="0" w:color="auto"/>
            </w:tcBorders>
            <w:shd w:val="clear" w:color="auto" w:fill="auto"/>
            <w:vAlign w:val="bottom"/>
          </w:tcPr>
          <w:p w14:paraId="629E9054"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7813C226" w14:textId="77777777" w:rsidR="00AF4CE7" w:rsidRPr="00B305E0" w:rsidRDefault="00AF4CE7" w:rsidP="00AF4CE7">
            <w:pPr>
              <w:widowControl/>
              <w:tabs>
                <w:tab w:val="decimal" w:pos="113"/>
              </w:tabs>
              <w:spacing w:line="120" w:lineRule="auto"/>
              <w:rPr>
                <w:sz w:val="18"/>
                <w:szCs w:val="18"/>
              </w:rPr>
            </w:pPr>
          </w:p>
        </w:tc>
        <w:tc>
          <w:tcPr>
            <w:tcW w:w="907" w:type="dxa"/>
            <w:tcBorders>
              <w:top w:val="double" w:sz="6" w:space="0" w:color="auto"/>
            </w:tcBorders>
            <w:shd w:val="clear" w:color="auto" w:fill="auto"/>
            <w:vAlign w:val="bottom"/>
          </w:tcPr>
          <w:p w14:paraId="290C31A1"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53D8B0D9" w14:textId="77777777" w:rsidR="00AF4CE7" w:rsidRPr="00B305E0" w:rsidRDefault="00AF4CE7" w:rsidP="00AF4CE7">
            <w:pPr>
              <w:widowControl/>
              <w:tabs>
                <w:tab w:val="decimal" w:pos="113"/>
              </w:tabs>
              <w:spacing w:line="120" w:lineRule="auto"/>
              <w:rPr>
                <w:sz w:val="18"/>
                <w:szCs w:val="18"/>
              </w:rPr>
            </w:pPr>
          </w:p>
        </w:tc>
        <w:tc>
          <w:tcPr>
            <w:tcW w:w="1061" w:type="dxa"/>
            <w:tcBorders>
              <w:top w:val="double" w:sz="6" w:space="0" w:color="auto"/>
            </w:tcBorders>
            <w:shd w:val="clear" w:color="auto" w:fill="auto"/>
            <w:vAlign w:val="bottom"/>
          </w:tcPr>
          <w:p w14:paraId="3B0559FC" w14:textId="77777777" w:rsidR="00AF4CE7" w:rsidRPr="00B305E0" w:rsidRDefault="00AF4CE7" w:rsidP="00AF4CE7">
            <w:pPr>
              <w:widowControl/>
              <w:tabs>
                <w:tab w:val="decimal" w:pos="113"/>
              </w:tabs>
              <w:spacing w:line="120" w:lineRule="auto"/>
              <w:rPr>
                <w:sz w:val="18"/>
                <w:szCs w:val="18"/>
                <w:rtl/>
              </w:rPr>
            </w:pPr>
          </w:p>
        </w:tc>
      </w:tr>
      <w:tr w:rsidR="00AF4CE7" w:rsidRPr="00B305E0" w14:paraId="606A7E88" w14:textId="77777777" w:rsidTr="00AF4CE7">
        <w:tc>
          <w:tcPr>
            <w:tcW w:w="1546" w:type="dxa"/>
          </w:tcPr>
          <w:p w14:paraId="31F0C369"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shd w:val="clear" w:color="auto" w:fill="auto"/>
            <w:vAlign w:val="bottom"/>
          </w:tcPr>
          <w:p w14:paraId="7C857393" w14:textId="77777777" w:rsidR="00AF4CE7" w:rsidRPr="001521F8" w:rsidRDefault="00AF4CE7" w:rsidP="00AF4CE7">
            <w:pPr>
              <w:widowControl/>
              <w:tabs>
                <w:tab w:val="left" w:pos="227"/>
                <w:tab w:val="left" w:pos="397"/>
                <w:tab w:val="left" w:pos="567"/>
              </w:tabs>
              <w:spacing w:line="180" w:lineRule="exact"/>
              <w:ind w:left="57"/>
              <w:jc w:val="left"/>
              <w:rPr>
                <w:sz w:val="16"/>
                <w:szCs w:val="16"/>
                <w:rtl/>
              </w:rPr>
            </w:pPr>
            <w:r w:rsidRPr="001521F8">
              <w:rPr>
                <w:rFonts w:hint="cs"/>
                <w:sz w:val="16"/>
                <w:szCs w:val="16"/>
                <w:rtl/>
              </w:rPr>
              <w:t>מיוחס ל:</w:t>
            </w:r>
          </w:p>
        </w:tc>
        <w:tc>
          <w:tcPr>
            <w:tcW w:w="113" w:type="dxa"/>
            <w:shd w:val="clear" w:color="auto" w:fill="auto"/>
            <w:vAlign w:val="bottom"/>
          </w:tcPr>
          <w:p w14:paraId="26AFC5D7" w14:textId="77777777" w:rsidR="00AF4CE7" w:rsidRPr="00B305E0" w:rsidRDefault="00AF4CE7" w:rsidP="00AF4CE7">
            <w:pPr>
              <w:spacing w:line="180" w:lineRule="exact"/>
              <w:rPr>
                <w:sz w:val="18"/>
                <w:szCs w:val="18"/>
              </w:rPr>
            </w:pPr>
          </w:p>
        </w:tc>
        <w:tc>
          <w:tcPr>
            <w:tcW w:w="907" w:type="dxa"/>
            <w:vAlign w:val="bottom"/>
          </w:tcPr>
          <w:p w14:paraId="40459143"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7E28E1B"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597288AF"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9F28A7A"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8B72930"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5B3D91F"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F9D6D6E"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57BCF7B"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19D37635" w14:textId="77777777" w:rsidR="00AF4CE7" w:rsidRPr="00B305E0" w:rsidRDefault="00AF4CE7" w:rsidP="00AF4CE7">
            <w:pPr>
              <w:tabs>
                <w:tab w:val="decimal" w:pos="113"/>
              </w:tabs>
              <w:spacing w:line="180" w:lineRule="exact"/>
              <w:rPr>
                <w:sz w:val="18"/>
                <w:szCs w:val="18"/>
                <w:rtl/>
              </w:rPr>
            </w:pPr>
          </w:p>
        </w:tc>
      </w:tr>
      <w:tr w:rsidR="00AF4CE7" w:rsidRPr="00B305E0" w14:paraId="7EF1B0A9" w14:textId="77777777" w:rsidTr="00AF4CE7">
        <w:tc>
          <w:tcPr>
            <w:tcW w:w="1546" w:type="dxa"/>
            <w:tcBorders>
              <w:bottom w:val="single" w:sz="6" w:space="0" w:color="auto"/>
              <w:right w:val="single" w:sz="6" w:space="0" w:color="auto"/>
            </w:tcBorders>
          </w:tcPr>
          <w:p w14:paraId="708518D8"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1.83(a)(ii)</w:t>
            </w:r>
          </w:p>
        </w:tc>
        <w:tc>
          <w:tcPr>
            <w:tcW w:w="3027" w:type="dxa"/>
            <w:tcBorders>
              <w:left w:val="single" w:sz="6" w:space="0" w:color="auto"/>
            </w:tcBorders>
            <w:shd w:val="clear" w:color="auto" w:fill="auto"/>
            <w:vAlign w:val="bottom"/>
          </w:tcPr>
          <w:p w14:paraId="3D1716D2" w14:textId="77777777" w:rsidR="00AF4CE7" w:rsidRPr="001521F8" w:rsidRDefault="00AF4CE7" w:rsidP="00AF4CE7">
            <w:pPr>
              <w:widowControl/>
              <w:tabs>
                <w:tab w:val="left" w:pos="227"/>
                <w:tab w:val="left" w:pos="397"/>
                <w:tab w:val="left" w:pos="567"/>
              </w:tabs>
              <w:spacing w:line="180" w:lineRule="exact"/>
              <w:ind w:left="57"/>
              <w:jc w:val="left"/>
              <w:rPr>
                <w:sz w:val="16"/>
                <w:szCs w:val="16"/>
                <w:rtl/>
              </w:rPr>
            </w:pPr>
            <w:r w:rsidRPr="001521F8">
              <w:rPr>
                <w:rFonts w:hint="cs"/>
                <w:sz w:val="16"/>
                <w:szCs w:val="16"/>
                <w:rtl/>
              </w:rPr>
              <w:t>בעלי מניות החברה</w:t>
            </w:r>
          </w:p>
        </w:tc>
        <w:tc>
          <w:tcPr>
            <w:tcW w:w="113" w:type="dxa"/>
            <w:shd w:val="clear" w:color="auto" w:fill="auto"/>
            <w:vAlign w:val="bottom"/>
          </w:tcPr>
          <w:p w14:paraId="39D355F9" w14:textId="77777777" w:rsidR="00AF4CE7" w:rsidRPr="00B305E0" w:rsidRDefault="00AF4CE7" w:rsidP="00AF4CE7">
            <w:pPr>
              <w:spacing w:line="180" w:lineRule="exact"/>
              <w:rPr>
                <w:sz w:val="18"/>
                <w:szCs w:val="18"/>
              </w:rPr>
            </w:pPr>
          </w:p>
        </w:tc>
        <w:tc>
          <w:tcPr>
            <w:tcW w:w="907" w:type="dxa"/>
            <w:vAlign w:val="bottom"/>
          </w:tcPr>
          <w:p w14:paraId="7B960992"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5FA1741"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265B0423"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CBA7F4C"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69B22C25"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35487B7"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CE7767D"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6B94864"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2D1AF9E6" w14:textId="77777777" w:rsidR="00AF4CE7" w:rsidRPr="00B305E0" w:rsidRDefault="00AF4CE7" w:rsidP="00AF4CE7">
            <w:pPr>
              <w:tabs>
                <w:tab w:val="decimal" w:pos="113"/>
              </w:tabs>
              <w:spacing w:line="180" w:lineRule="exact"/>
              <w:rPr>
                <w:sz w:val="18"/>
                <w:szCs w:val="18"/>
                <w:rtl/>
              </w:rPr>
            </w:pPr>
          </w:p>
        </w:tc>
      </w:tr>
      <w:tr w:rsidR="00AF4CE7" w:rsidRPr="00B305E0" w14:paraId="492BE843" w14:textId="77777777" w:rsidTr="00AF4CE7">
        <w:tc>
          <w:tcPr>
            <w:tcW w:w="1546" w:type="dxa"/>
            <w:tcBorders>
              <w:top w:val="single" w:sz="6" w:space="0" w:color="auto"/>
              <w:bottom w:val="single" w:sz="6" w:space="0" w:color="auto"/>
              <w:right w:val="single" w:sz="6" w:space="0" w:color="auto"/>
            </w:tcBorders>
          </w:tcPr>
          <w:p w14:paraId="191347DF"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1.83(a)(i); IAS 27.27</w:t>
            </w:r>
          </w:p>
        </w:tc>
        <w:tc>
          <w:tcPr>
            <w:tcW w:w="3027" w:type="dxa"/>
            <w:tcBorders>
              <w:left w:val="single" w:sz="6" w:space="0" w:color="auto"/>
            </w:tcBorders>
            <w:shd w:val="clear" w:color="auto" w:fill="auto"/>
          </w:tcPr>
          <w:p w14:paraId="13B8EEE3" w14:textId="77777777" w:rsidR="00AF4CE7" w:rsidRPr="001521F8" w:rsidRDefault="00AF4CE7" w:rsidP="00AF4CE7">
            <w:pPr>
              <w:widowControl/>
              <w:tabs>
                <w:tab w:val="left" w:pos="227"/>
                <w:tab w:val="left" w:pos="397"/>
                <w:tab w:val="left" w:pos="567"/>
              </w:tabs>
              <w:spacing w:line="180" w:lineRule="exact"/>
              <w:ind w:left="57"/>
              <w:jc w:val="left"/>
              <w:rPr>
                <w:sz w:val="16"/>
                <w:szCs w:val="16"/>
                <w:rtl/>
              </w:rPr>
            </w:pPr>
            <w:r w:rsidRPr="001521F8">
              <w:rPr>
                <w:rFonts w:hint="cs"/>
                <w:sz w:val="16"/>
                <w:szCs w:val="16"/>
                <w:rtl/>
              </w:rPr>
              <w:t>זכויות שאינן מקנות שליטה</w:t>
            </w:r>
          </w:p>
        </w:tc>
        <w:tc>
          <w:tcPr>
            <w:tcW w:w="113" w:type="dxa"/>
            <w:shd w:val="clear" w:color="auto" w:fill="auto"/>
            <w:vAlign w:val="bottom"/>
          </w:tcPr>
          <w:p w14:paraId="38B128C5"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7F75F124"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6AB101A3"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2398CB51"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7BCBAFE"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5E5E7092"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8118A1F"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03ECB57C"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AFB10F1"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7CC5BE8B" w14:textId="77777777" w:rsidR="00AF4CE7" w:rsidRPr="00B305E0" w:rsidRDefault="00AF4CE7" w:rsidP="00AF4CE7">
            <w:pPr>
              <w:tabs>
                <w:tab w:val="decimal" w:pos="113"/>
              </w:tabs>
              <w:spacing w:line="180" w:lineRule="exact"/>
              <w:rPr>
                <w:sz w:val="18"/>
                <w:szCs w:val="18"/>
                <w:rtl/>
              </w:rPr>
            </w:pPr>
          </w:p>
        </w:tc>
      </w:tr>
      <w:tr w:rsidR="00AF4CE7" w:rsidRPr="00B305E0" w14:paraId="68D420C4" w14:textId="77777777" w:rsidTr="00AF4CE7">
        <w:tc>
          <w:tcPr>
            <w:tcW w:w="1546" w:type="dxa"/>
            <w:tcBorders>
              <w:top w:val="single" w:sz="6" w:space="0" w:color="auto"/>
            </w:tcBorders>
          </w:tcPr>
          <w:p w14:paraId="347A1F4B"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4C0F48A0" w14:textId="77777777" w:rsidR="00AF4CE7" w:rsidRPr="001521F8" w:rsidRDefault="00AF4CE7" w:rsidP="00AF4CE7">
            <w:pPr>
              <w:widowControl/>
              <w:tabs>
                <w:tab w:val="left" w:pos="227"/>
                <w:tab w:val="left" w:pos="397"/>
                <w:tab w:val="left" w:pos="567"/>
              </w:tabs>
              <w:spacing w:line="120" w:lineRule="auto"/>
              <w:jc w:val="left"/>
              <w:rPr>
                <w:sz w:val="16"/>
                <w:szCs w:val="16"/>
                <w:rtl/>
              </w:rPr>
            </w:pPr>
          </w:p>
        </w:tc>
        <w:tc>
          <w:tcPr>
            <w:tcW w:w="113" w:type="dxa"/>
            <w:shd w:val="clear" w:color="auto" w:fill="auto"/>
            <w:vAlign w:val="bottom"/>
          </w:tcPr>
          <w:p w14:paraId="01620DCD"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29B825A0"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18882ECA"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3B77BB2F"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7B54DA51"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01484EAA"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4DFE7F56"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3767ED32"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29036C22"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03582D72" w14:textId="77777777" w:rsidR="00AF4CE7" w:rsidRPr="00B305E0" w:rsidRDefault="00AF4CE7" w:rsidP="00AF4CE7">
            <w:pPr>
              <w:widowControl/>
              <w:tabs>
                <w:tab w:val="decimal" w:pos="113"/>
              </w:tabs>
              <w:spacing w:line="120" w:lineRule="auto"/>
              <w:rPr>
                <w:sz w:val="18"/>
                <w:szCs w:val="18"/>
                <w:rtl/>
              </w:rPr>
            </w:pPr>
          </w:p>
        </w:tc>
      </w:tr>
      <w:tr w:rsidR="00AF4CE7" w:rsidRPr="00B305E0" w14:paraId="7A1DD543" w14:textId="77777777" w:rsidTr="00AF4CE7">
        <w:tc>
          <w:tcPr>
            <w:tcW w:w="1546" w:type="dxa"/>
          </w:tcPr>
          <w:p w14:paraId="2CF9DB71"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shd w:val="clear" w:color="auto" w:fill="auto"/>
            <w:vAlign w:val="bottom"/>
          </w:tcPr>
          <w:p w14:paraId="08644889" w14:textId="77777777" w:rsidR="00AF4CE7" w:rsidRPr="001521F8" w:rsidRDefault="00AF4CE7" w:rsidP="00AF4CE7">
            <w:pPr>
              <w:widowControl/>
              <w:tabs>
                <w:tab w:val="left" w:pos="227"/>
                <w:tab w:val="left" w:pos="397"/>
                <w:tab w:val="left" w:pos="567"/>
              </w:tabs>
              <w:spacing w:line="180" w:lineRule="exact"/>
              <w:ind w:left="57"/>
              <w:jc w:val="left"/>
              <w:rPr>
                <w:sz w:val="16"/>
                <w:szCs w:val="16"/>
                <w:rtl/>
              </w:rPr>
            </w:pPr>
          </w:p>
        </w:tc>
        <w:tc>
          <w:tcPr>
            <w:tcW w:w="113" w:type="dxa"/>
            <w:shd w:val="clear" w:color="auto" w:fill="auto"/>
            <w:vAlign w:val="bottom"/>
          </w:tcPr>
          <w:p w14:paraId="0A3F5204" w14:textId="77777777" w:rsidR="00AF4CE7" w:rsidRPr="00B305E0" w:rsidRDefault="00AF4CE7" w:rsidP="00AF4CE7">
            <w:pPr>
              <w:spacing w:line="180" w:lineRule="exact"/>
              <w:rPr>
                <w:sz w:val="18"/>
                <w:szCs w:val="18"/>
              </w:rPr>
            </w:pPr>
          </w:p>
        </w:tc>
        <w:tc>
          <w:tcPr>
            <w:tcW w:w="907" w:type="dxa"/>
            <w:tcBorders>
              <w:bottom w:val="double" w:sz="6" w:space="0" w:color="auto"/>
            </w:tcBorders>
            <w:shd w:val="clear" w:color="auto" w:fill="auto"/>
            <w:vAlign w:val="bottom"/>
          </w:tcPr>
          <w:p w14:paraId="3A3A174E"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619CD97C" w14:textId="77777777" w:rsidR="00AF4CE7" w:rsidRPr="00B305E0" w:rsidRDefault="00AF4CE7" w:rsidP="00AF4CE7">
            <w:pPr>
              <w:tabs>
                <w:tab w:val="decimal" w:pos="113"/>
              </w:tabs>
              <w:spacing w:line="180" w:lineRule="exact"/>
              <w:rPr>
                <w:sz w:val="18"/>
                <w:szCs w:val="18"/>
              </w:rPr>
            </w:pPr>
          </w:p>
        </w:tc>
        <w:tc>
          <w:tcPr>
            <w:tcW w:w="907" w:type="dxa"/>
            <w:gridSpan w:val="2"/>
            <w:tcBorders>
              <w:bottom w:val="double" w:sz="6" w:space="0" w:color="auto"/>
            </w:tcBorders>
            <w:shd w:val="clear" w:color="auto" w:fill="auto"/>
            <w:vAlign w:val="bottom"/>
          </w:tcPr>
          <w:p w14:paraId="59505531"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9E12F42"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4EDEFDD9"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5BBD45DF"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072E6644"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A15E18C" w14:textId="77777777" w:rsidR="00AF4CE7" w:rsidRPr="00B305E0" w:rsidRDefault="00AF4CE7" w:rsidP="00AF4CE7">
            <w:pPr>
              <w:tabs>
                <w:tab w:val="decimal" w:pos="113"/>
              </w:tabs>
              <w:spacing w:line="180" w:lineRule="exact"/>
              <w:rPr>
                <w:sz w:val="18"/>
                <w:szCs w:val="18"/>
              </w:rPr>
            </w:pPr>
          </w:p>
        </w:tc>
        <w:tc>
          <w:tcPr>
            <w:tcW w:w="1061" w:type="dxa"/>
            <w:tcBorders>
              <w:bottom w:val="double" w:sz="6" w:space="0" w:color="auto"/>
            </w:tcBorders>
            <w:shd w:val="clear" w:color="auto" w:fill="auto"/>
            <w:vAlign w:val="bottom"/>
          </w:tcPr>
          <w:p w14:paraId="547A7D18" w14:textId="77777777" w:rsidR="00AF4CE7" w:rsidRPr="00B305E0" w:rsidRDefault="00AF4CE7" w:rsidP="00AF4CE7">
            <w:pPr>
              <w:tabs>
                <w:tab w:val="decimal" w:pos="113"/>
              </w:tabs>
              <w:spacing w:line="180" w:lineRule="exact"/>
              <w:rPr>
                <w:sz w:val="18"/>
                <w:szCs w:val="18"/>
                <w:rtl/>
              </w:rPr>
            </w:pPr>
          </w:p>
        </w:tc>
      </w:tr>
      <w:tr w:rsidR="00AF4CE7" w:rsidRPr="00B305E0" w14:paraId="0EE956C7" w14:textId="77777777" w:rsidTr="00AF4CE7">
        <w:tc>
          <w:tcPr>
            <w:tcW w:w="1546" w:type="dxa"/>
            <w:tcBorders>
              <w:bottom w:val="single" w:sz="6" w:space="0" w:color="auto"/>
              <w:right w:val="single" w:sz="6" w:space="0" w:color="auto"/>
            </w:tcBorders>
          </w:tcPr>
          <w:p w14:paraId="658B597C" w14:textId="77777777" w:rsidR="00AF4CE7" w:rsidRPr="008257D7" w:rsidRDefault="00AF4CE7" w:rsidP="00AF4CE7">
            <w:pPr>
              <w:widowControl/>
              <w:tabs>
                <w:tab w:val="left" w:pos="227"/>
                <w:tab w:val="left" w:pos="397"/>
                <w:tab w:val="left" w:pos="567"/>
              </w:tabs>
              <w:bidi w:val="0"/>
              <w:spacing w:line="180" w:lineRule="exact"/>
              <w:ind w:left="227" w:right="113"/>
              <w:jc w:val="right"/>
              <w:rPr>
                <w:i/>
                <w:iCs/>
                <w:sz w:val="14"/>
                <w:szCs w:val="14"/>
                <w:u w:val="single"/>
                <w:rtl/>
              </w:rPr>
            </w:pPr>
            <w:r w:rsidRPr="008257D7">
              <w:rPr>
                <w:i/>
                <w:iCs/>
                <w:sz w:val="14"/>
                <w:szCs w:val="14"/>
              </w:rPr>
              <w:t>IAS 33.66, 68; IAS 34.11</w:t>
            </w:r>
          </w:p>
        </w:tc>
        <w:tc>
          <w:tcPr>
            <w:tcW w:w="3027" w:type="dxa"/>
            <w:tcBorders>
              <w:left w:val="single" w:sz="6" w:space="0" w:color="auto"/>
            </w:tcBorders>
            <w:shd w:val="clear" w:color="auto" w:fill="auto"/>
            <w:vAlign w:val="bottom"/>
          </w:tcPr>
          <w:p w14:paraId="2DF4C47D" w14:textId="77777777" w:rsidR="00AF4CE7" w:rsidRPr="001521F8" w:rsidRDefault="00AF4CE7" w:rsidP="00AF4CE7">
            <w:pPr>
              <w:widowControl/>
              <w:tabs>
                <w:tab w:val="left" w:pos="227"/>
                <w:tab w:val="left" w:pos="397"/>
                <w:tab w:val="left" w:pos="567"/>
              </w:tabs>
              <w:spacing w:line="180" w:lineRule="exact"/>
              <w:ind w:left="227" w:hanging="176"/>
              <w:jc w:val="left"/>
              <w:rPr>
                <w:sz w:val="16"/>
                <w:szCs w:val="16"/>
                <w:u w:val="single"/>
                <w:rtl/>
              </w:rPr>
            </w:pPr>
            <w:r w:rsidRPr="001521F8">
              <w:rPr>
                <w:b/>
                <w:bCs/>
                <w:sz w:val="16"/>
                <w:szCs w:val="16"/>
                <w:u w:val="single"/>
                <w:rtl/>
              </w:rPr>
              <w:t xml:space="preserve">רווח נקי (הפסד) </w:t>
            </w:r>
            <w:r w:rsidRPr="001521F8">
              <w:rPr>
                <w:rFonts w:hint="cs"/>
                <w:b/>
                <w:bCs/>
                <w:sz w:val="16"/>
                <w:szCs w:val="16"/>
                <w:u w:val="single"/>
                <w:rtl/>
              </w:rPr>
              <w:t>למניה</w:t>
            </w:r>
            <w:r w:rsidRPr="001521F8">
              <w:rPr>
                <w:b/>
                <w:bCs/>
                <w:sz w:val="16"/>
                <w:szCs w:val="16"/>
                <w:u w:val="single"/>
                <w:rtl/>
              </w:rPr>
              <w:t xml:space="preserve"> </w:t>
            </w:r>
            <w:r w:rsidRPr="001521F8">
              <w:rPr>
                <w:rFonts w:hint="cs"/>
                <w:b/>
                <w:bCs/>
                <w:sz w:val="16"/>
                <w:szCs w:val="16"/>
                <w:u w:val="single"/>
                <w:rtl/>
              </w:rPr>
              <w:t xml:space="preserve">המיוחס לבעלי מניות החברה </w:t>
            </w:r>
            <w:r w:rsidRPr="001521F8">
              <w:rPr>
                <w:b/>
                <w:bCs/>
                <w:sz w:val="16"/>
                <w:szCs w:val="16"/>
                <w:u w:val="single"/>
                <w:rtl/>
              </w:rPr>
              <w:t>(בש"ח)</w:t>
            </w:r>
            <w:r w:rsidRPr="001521F8">
              <w:rPr>
                <w:rStyle w:val="ab"/>
                <w:sz w:val="16"/>
                <w:szCs w:val="16"/>
                <w:u w:val="single"/>
                <w:rtl/>
              </w:rPr>
              <w:footnoteReference w:id="17"/>
            </w:r>
          </w:p>
        </w:tc>
        <w:tc>
          <w:tcPr>
            <w:tcW w:w="113" w:type="dxa"/>
            <w:shd w:val="clear" w:color="auto" w:fill="auto"/>
            <w:vAlign w:val="bottom"/>
          </w:tcPr>
          <w:p w14:paraId="2222AC1B" w14:textId="77777777" w:rsidR="00AF4CE7" w:rsidRPr="00B305E0" w:rsidRDefault="00AF4CE7" w:rsidP="00AF4CE7">
            <w:pPr>
              <w:spacing w:line="180" w:lineRule="exact"/>
              <w:rPr>
                <w:sz w:val="18"/>
                <w:szCs w:val="18"/>
              </w:rPr>
            </w:pPr>
          </w:p>
        </w:tc>
        <w:tc>
          <w:tcPr>
            <w:tcW w:w="907" w:type="dxa"/>
            <w:vAlign w:val="bottom"/>
          </w:tcPr>
          <w:p w14:paraId="2731403B"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2779E8A8"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0ADF4AFA"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34C196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9779AA7"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4C74B36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413AC9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1D02651"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595AE3FD" w14:textId="77777777" w:rsidR="00AF4CE7" w:rsidRPr="00B305E0" w:rsidRDefault="00AF4CE7" w:rsidP="00AF4CE7">
            <w:pPr>
              <w:tabs>
                <w:tab w:val="decimal" w:pos="113"/>
              </w:tabs>
              <w:spacing w:line="180" w:lineRule="exact"/>
              <w:rPr>
                <w:sz w:val="18"/>
                <w:szCs w:val="18"/>
                <w:rtl/>
              </w:rPr>
            </w:pPr>
          </w:p>
        </w:tc>
      </w:tr>
      <w:tr w:rsidR="00AF4CE7" w:rsidRPr="00B305E0" w14:paraId="02DD7A2D" w14:textId="77777777" w:rsidTr="00AF4CE7">
        <w:tc>
          <w:tcPr>
            <w:tcW w:w="1546" w:type="dxa"/>
            <w:tcBorders>
              <w:top w:val="single" w:sz="6" w:space="0" w:color="auto"/>
            </w:tcBorders>
          </w:tcPr>
          <w:p w14:paraId="28B2B90E"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6B7220BB" w14:textId="77777777" w:rsidR="00AF4CE7" w:rsidRPr="001521F8" w:rsidRDefault="00AF4CE7" w:rsidP="00AF4CE7">
            <w:pPr>
              <w:widowControl/>
              <w:tabs>
                <w:tab w:val="left" w:pos="227"/>
                <w:tab w:val="left" w:pos="397"/>
                <w:tab w:val="left" w:pos="567"/>
              </w:tabs>
              <w:spacing w:line="120" w:lineRule="auto"/>
              <w:jc w:val="left"/>
              <w:rPr>
                <w:b/>
                <w:bCs/>
                <w:sz w:val="16"/>
                <w:szCs w:val="16"/>
                <w:rtl/>
              </w:rPr>
            </w:pPr>
          </w:p>
        </w:tc>
        <w:tc>
          <w:tcPr>
            <w:tcW w:w="113" w:type="dxa"/>
            <w:shd w:val="clear" w:color="auto" w:fill="auto"/>
            <w:vAlign w:val="bottom"/>
          </w:tcPr>
          <w:p w14:paraId="145E8D30" w14:textId="77777777" w:rsidR="00AF4CE7" w:rsidRPr="00B305E0" w:rsidRDefault="00AF4CE7" w:rsidP="00AF4CE7">
            <w:pPr>
              <w:widowControl/>
              <w:spacing w:line="120" w:lineRule="auto"/>
              <w:rPr>
                <w:sz w:val="18"/>
                <w:szCs w:val="18"/>
              </w:rPr>
            </w:pPr>
          </w:p>
        </w:tc>
        <w:tc>
          <w:tcPr>
            <w:tcW w:w="907" w:type="dxa"/>
            <w:vAlign w:val="bottom"/>
          </w:tcPr>
          <w:p w14:paraId="0A5B299B"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6657D781" w14:textId="77777777" w:rsidR="00AF4CE7" w:rsidRPr="00B305E0" w:rsidRDefault="00AF4CE7" w:rsidP="00AF4CE7">
            <w:pPr>
              <w:widowControl/>
              <w:tabs>
                <w:tab w:val="decimal" w:pos="113"/>
              </w:tabs>
              <w:spacing w:line="120" w:lineRule="auto"/>
              <w:rPr>
                <w:sz w:val="18"/>
                <w:szCs w:val="18"/>
              </w:rPr>
            </w:pPr>
          </w:p>
        </w:tc>
        <w:tc>
          <w:tcPr>
            <w:tcW w:w="907" w:type="dxa"/>
            <w:gridSpan w:val="2"/>
            <w:shd w:val="clear" w:color="auto" w:fill="auto"/>
            <w:vAlign w:val="bottom"/>
          </w:tcPr>
          <w:p w14:paraId="52F3528B"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5BB280CD" w14:textId="77777777" w:rsidR="00AF4CE7" w:rsidRPr="00B305E0" w:rsidRDefault="00AF4CE7" w:rsidP="00AF4CE7">
            <w:pPr>
              <w:widowControl/>
              <w:tabs>
                <w:tab w:val="decimal" w:pos="113"/>
              </w:tabs>
              <w:spacing w:line="120" w:lineRule="auto"/>
              <w:rPr>
                <w:sz w:val="18"/>
                <w:szCs w:val="18"/>
              </w:rPr>
            </w:pPr>
          </w:p>
        </w:tc>
        <w:tc>
          <w:tcPr>
            <w:tcW w:w="907" w:type="dxa"/>
            <w:shd w:val="clear" w:color="auto" w:fill="auto"/>
            <w:vAlign w:val="bottom"/>
          </w:tcPr>
          <w:p w14:paraId="6A041E4C"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3B0B440B" w14:textId="77777777" w:rsidR="00AF4CE7" w:rsidRPr="00B305E0" w:rsidRDefault="00AF4CE7" w:rsidP="00AF4CE7">
            <w:pPr>
              <w:widowControl/>
              <w:tabs>
                <w:tab w:val="decimal" w:pos="113"/>
              </w:tabs>
              <w:spacing w:line="120" w:lineRule="auto"/>
              <w:rPr>
                <w:sz w:val="18"/>
                <w:szCs w:val="18"/>
              </w:rPr>
            </w:pPr>
          </w:p>
        </w:tc>
        <w:tc>
          <w:tcPr>
            <w:tcW w:w="907" w:type="dxa"/>
            <w:shd w:val="clear" w:color="auto" w:fill="auto"/>
            <w:vAlign w:val="bottom"/>
          </w:tcPr>
          <w:p w14:paraId="3A3E2C31"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7E32379A" w14:textId="77777777" w:rsidR="00AF4CE7" w:rsidRPr="00B305E0" w:rsidRDefault="00AF4CE7" w:rsidP="00AF4CE7">
            <w:pPr>
              <w:widowControl/>
              <w:tabs>
                <w:tab w:val="decimal" w:pos="113"/>
              </w:tabs>
              <w:spacing w:line="120" w:lineRule="auto"/>
              <w:rPr>
                <w:sz w:val="18"/>
                <w:szCs w:val="18"/>
              </w:rPr>
            </w:pPr>
          </w:p>
        </w:tc>
        <w:tc>
          <w:tcPr>
            <w:tcW w:w="1061" w:type="dxa"/>
            <w:shd w:val="clear" w:color="auto" w:fill="auto"/>
            <w:vAlign w:val="bottom"/>
          </w:tcPr>
          <w:p w14:paraId="678C0D0C" w14:textId="77777777" w:rsidR="00AF4CE7" w:rsidRPr="00B305E0" w:rsidRDefault="00AF4CE7" w:rsidP="00AF4CE7">
            <w:pPr>
              <w:widowControl/>
              <w:tabs>
                <w:tab w:val="decimal" w:pos="113"/>
              </w:tabs>
              <w:spacing w:line="120" w:lineRule="auto"/>
              <w:rPr>
                <w:sz w:val="18"/>
                <w:szCs w:val="18"/>
                <w:rtl/>
              </w:rPr>
            </w:pPr>
          </w:p>
        </w:tc>
      </w:tr>
      <w:tr w:rsidR="00AF4CE7" w:rsidRPr="00B305E0" w14:paraId="4EB0426E" w14:textId="77777777" w:rsidTr="00AF4CE7">
        <w:tc>
          <w:tcPr>
            <w:tcW w:w="1546" w:type="dxa"/>
          </w:tcPr>
          <w:p w14:paraId="05A4CAA5" w14:textId="77777777" w:rsidR="00AF4CE7" w:rsidRPr="008257D7" w:rsidRDefault="00AF4CE7" w:rsidP="00AF4CE7">
            <w:pPr>
              <w:bidi w:val="0"/>
              <w:spacing w:line="180" w:lineRule="exact"/>
              <w:ind w:left="227" w:right="113"/>
              <w:jc w:val="right"/>
              <w:rPr>
                <w:i/>
                <w:iCs/>
                <w:sz w:val="14"/>
                <w:szCs w:val="14"/>
                <w:rtl/>
              </w:rPr>
            </w:pPr>
          </w:p>
        </w:tc>
        <w:tc>
          <w:tcPr>
            <w:tcW w:w="3027" w:type="dxa"/>
            <w:shd w:val="clear" w:color="auto" w:fill="auto"/>
            <w:vAlign w:val="bottom"/>
          </w:tcPr>
          <w:p w14:paraId="1DFEDB8F" w14:textId="77777777" w:rsidR="00AF4CE7" w:rsidRPr="001521F8" w:rsidRDefault="00AF4CE7" w:rsidP="00AF4CE7">
            <w:pPr>
              <w:spacing w:line="180" w:lineRule="exact"/>
              <w:ind w:left="227" w:hanging="170"/>
              <w:rPr>
                <w:b/>
                <w:bCs/>
                <w:sz w:val="16"/>
                <w:szCs w:val="16"/>
                <w:rtl/>
              </w:rPr>
            </w:pPr>
            <w:r w:rsidRPr="001521F8">
              <w:rPr>
                <w:b/>
                <w:bCs/>
                <w:sz w:val="16"/>
                <w:szCs w:val="16"/>
                <w:rtl/>
              </w:rPr>
              <w:t>רווח נקי (הפסד) בסיסי</w:t>
            </w:r>
          </w:p>
        </w:tc>
        <w:tc>
          <w:tcPr>
            <w:tcW w:w="113" w:type="dxa"/>
            <w:shd w:val="clear" w:color="auto" w:fill="auto"/>
            <w:vAlign w:val="bottom"/>
          </w:tcPr>
          <w:p w14:paraId="5539CF96" w14:textId="77777777" w:rsidR="00AF4CE7" w:rsidRPr="00B305E0" w:rsidRDefault="00AF4CE7" w:rsidP="00AF4CE7">
            <w:pPr>
              <w:spacing w:line="180" w:lineRule="exact"/>
              <w:rPr>
                <w:sz w:val="18"/>
                <w:szCs w:val="18"/>
              </w:rPr>
            </w:pPr>
          </w:p>
        </w:tc>
        <w:tc>
          <w:tcPr>
            <w:tcW w:w="907" w:type="dxa"/>
            <w:shd w:val="clear" w:color="auto" w:fill="auto"/>
            <w:vAlign w:val="bottom"/>
          </w:tcPr>
          <w:p w14:paraId="25DD857F"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3E572CC2"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315CDD3A"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29FD03D"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80489A7"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4121AF2C"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44A0D3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7E9D5D6"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10BD714D" w14:textId="77777777" w:rsidR="00AF4CE7" w:rsidRPr="00B305E0" w:rsidRDefault="00AF4CE7" w:rsidP="00AF4CE7">
            <w:pPr>
              <w:tabs>
                <w:tab w:val="decimal" w:pos="113"/>
              </w:tabs>
              <w:spacing w:line="180" w:lineRule="exact"/>
              <w:rPr>
                <w:sz w:val="18"/>
                <w:szCs w:val="18"/>
                <w:rtl/>
              </w:rPr>
            </w:pPr>
          </w:p>
        </w:tc>
      </w:tr>
      <w:tr w:rsidR="00AF4CE7" w:rsidRPr="00B305E0" w14:paraId="2BE7CA07" w14:textId="77777777" w:rsidTr="00AF4CE7">
        <w:tc>
          <w:tcPr>
            <w:tcW w:w="1546" w:type="dxa"/>
            <w:tcBorders>
              <w:bottom w:val="single" w:sz="6" w:space="0" w:color="auto"/>
              <w:right w:val="single" w:sz="4" w:space="0" w:color="auto"/>
            </w:tcBorders>
          </w:tcPr>
          <w:p w14:paraId="5AF15D49" w14:textId="77777777" w:rsidR="00AF4CE7" w:rsidRPr="008257D7" w:rsidRDefault="00AF4CE7" w:rsidP="00AF4CE7">
            <w:pPr>
              <w:widowControl/>
              <w:tabs>
                <w:tab w:val="left" w:pos="227"/>
                <w:tab w:val="left" w:pos="397"/>
                <w:tab w:val="left" w:pos="567"/>
              </w:tabs>
              <w:bidi w:val="0"/>
              <w:spacing w:line="180" w:lineRule="exact"/>
              <w:ind w:left="193" w:right="113"/>
              <w:jc w:val="right"/>
              <w:rPr>
                <w:i/>
                <w:iCs/>
                <w:sz w:val="14"/>
                <w:szCs w:val="14"/>
                <w:rtl/>
              </w:rPr>
            </w:pPr>
            <w:r w:rsidRPr="008257D7">
              <w:rPr>
                <w:i/>
                <w:iCs/>
                <w:sz w:val="14"/>
                <w:szCs w:val="14"/>
              </w:rPr>
              <w:t>IAS 33.66</w:t>
            </w:r>
          </w:p>
        </w:tc>
        <w:tc>
          <w:tcPr>
            <w:tcW w:w="3027" w:type="dxa"/>
            <w:tcBorders>
              <w:left w:val="single" w:sz="4" w:space="0" w:color="auto"/>
            </w:tcBorders>
            <w:shd w:val="clear" w:color="auto" w:fill="auto"/>
            <w:vAlign w:val="bottom"/>
          </w:tcPr>
          <w:p w14:paraId="7894A5DD" w14:textId="77777777" w:rsidR="00AF4CE7" w:rsidRPr="001521F8" w:rsidRDefault="00AF4CE7" w:rsidP="00AF4CE7">
            <w:pPr>
              <w:widowControl/>
              <w:tabs>
                <w:tab w:val="left" w:pos="227"/>
                <w:tab w:val="left" w:pos="397"/>
                <w:tab w:val="left" w:pos="567"/>
              </w:tabs>
              <w:spacing w:line="180" w:lineRule="exact"/>
              <w:ind w:left="193" w:hanging="142"/>
              <w:jc w:val="left"/>
              <w:rPr>
                <w:sz w:val="16"/>
                <w:szCs w:val="16"/>
                <w:rtl/>
              </w:rPr>
            </w:pPr>
            <w:r w:rsidRPr="001521F8">
              <w:rPr>
                <w:sz w:val="16"/>
                <w:szCs w:val="16"/>
                <w:rtl/>
              </w:rPr>
              <w:t>רווח (הפסד) מפע</w:t>
            </w:r>
            <w:r w:rsidRPr="001521F8">
              <w:rPr>
                <w:rFonts w:hint="cs"/>
                <w:sz w:val="16"/>
                <w:szCs w:val="16"/>
                <w:rtl/>
              </w:rPr>
              <w:t>ילוי</w:t>
            </w:r>
            <w:r w:rsidRPr="001521F8">
              <w:rPr>
                <w:sz w:val="16"/>
                <w:szCs w:val="16"/>
                <w:rtl/>
              </w:rPr>
              <w:t>ות נמשכות</w:t>
            </w:r>
          </w:p>
        </w:tc>
        <w:tc>
          <w:tcPr>
            <w:tcW w:w="113" w:type="dxa"/>
            <w:shd w:val="clear" w:color="auto" w:fill="auto"/>
            <w:vAlign w:val="bottom"/>
          </w:tcPr>
          <w:p w14:paraId="79AC0226" w14:textId="77777777" w:rsidR="00AF4CE7" w:rsidRPr="00B305E0" w:rsidRDefault="00AF4CE7" w:rsidP="00AF4CE7">
            <w:pPr>
              <w:spacing w:line="180" w:lineRule="exact"/>
              <w:rPr>
                <w:sz w:val="18"/>
                <w:szCs w:val="18"/>
              </w:rPr>
            </w:pPr>
          </w:p>
        </w:tc>
        <w:tc>
          <w:tcPr>
            <w:tcW w:w="907" w:type="dxa"/>
            <w:vAlign w:val="bottom"/>
          </w:tcPr>
          <w:p w14:paraId="56DB572D"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37AC3E6D"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65E3B6B5"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BE5392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3CEB9F4"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3CC09A63"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3EF8C26"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7E072E2"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58A42337" w14:textId="77777777" w:rsidR="00AF4CE7" w:rsidRPr="00B305E0" w:rsidRDefault="00AF4CE7" w:rsidP="00AF4CE7">
            <w:pPr>
              <w:tabs>
                <w:tab w:val="decimal" w:pos="113"/>
              </w:tabs>
              <w:spacing w:line="180" w:lineRule="exact"/>
              <w:rPr>
                <w:sz w:val="18"/>
                <w:szCs w:val="18"/>
                <w:rtl/>
              </w:rPr>
            </w:pPr>
          </w:p>
        </w:tc>
      </w:tr>
      <w:tr w:rsidR="00AF4CE7" w:rsidRPr="00B305E0" w14:paraId="57294E9B" w14:textId="77777777" w:rsidTr="00AF4CE7">
        <w:tc>
          <w:tcPr>
            <w:tcW w:w="1546" w:type="dxa"/>
            <w:tcBorders>
              <w:top w:val="single" w:sz="6" w:space="0" w:color="auto"/>
              <w:bottom w:val="single" w:sz="6" w:space="0" w:color="auto"/>
              <w:right w:val="single" w:sz="4" w:space="0" w:color="auto"/>
            </w:tcBorders>
          </w:tcPr>
          <w:p w14:paraId="763E283C" w14:textId="77777777" w:rsidR="00AF4CE7" w:rsidRPr="008257D7" w:rsidRDefault="00AF4CE7" w:rsidP="00AF4CE7">
            <w:pPr>
              <w:widowControl/>
              <w:tabs>
                <w:tab w:val="left" w:pos="227"/>
                <w:tab w:val="left" w:pos="397"/>
                <w:tab w:val="left" w:pos="567"/>
              </w:tabs>
              <w:bidi w:val="0"/>
              <w:spacing w:line="180" w:lineRule="exact"/>
              <w:ind w:left="193" w:right="113"/>
              <w:jc w:val="right"/>
              <w:rPr>
                <w:i/>
                <w:iCs/>
                <w:sz w:val="14"/>
                <w:szCs w:val="14"/>
              </w:rPr>
            </w:pPr>
            <w:r w:rsidRPr="008257D7">
              <w:rPr>
                <w:i/>
                <w:iCs/>
                <w:sz w:val="14"/>
                <w:szCs w:val="14"/>
              </w:rPr>
              <w:t>IAS 33.68</w:t>
            </w:r>
          </w:p>
        </w:tc>
        <w:tc>
          <w:tcPr>
            <w:tcW w:w="3027" w:type="dxa"/>
            <w:tcBorders>
              <w:left w:val="single" w:sz="4" w:space="0" w:color="auto"/>
            </w:tcBorders>
            <w:shd w:val="clear" w:color="auto" w:fill="auto"/>
            <w:vAlign w:val="bottom"/>
          </w:tcPr>
          <w:p w14:paraId="499A80C1" w14:textId="77777777" w:rsidR="00AF4CE7" w:rsidRPr="001521F8" w:rsidRDefault="00AF4CE7" w:rsidP="00AF4CE7">
            <w:pPr>
              <w:widowControl/>
              <w:tabs>
                <w:tab w:val="left" w:pos="227"/>
                <w:tab w:val="left" w:pos="397"/>
                <w:tab w:val="left" w:pos="567"/>
              </w:tabs>
              <w:spacing w:line="180" w:lineRule="exact"/>
              <w:ind w:left="193" w:hanging="142"/>
              <w:jc w:val="left"/>
              <w:rPr>
                <w:sz w:val="16"/>
                <w:szCs w:val="16"/>
                <w:rtl/>
              </w:rPr>
            </w:pPr>
            <w:r w:rsidRPr="001521F8">
              <w:rPr>
                <w:rFonts w:hint="cs"/>
                <w:sz w:val="16"/>
                <w:szCs w:val="16"/>
                <w:rtl/>
              </w:rPr>
              <w:t>רווח (הפסד) מפעילויות שהופסקו</w:t>
            </w:r>
          </w:p>
        </w:tc>
        <w:tc>
          <w:tcPr>
            <w:tcW w:w="113" w:type="dxa"/>
            <w:shd w:val="clear" w:color="auto" w:fill="auto"/>
            <w:vAlign w:val="bottom"/>
          </w:tcPr>
          <w:p w14:paraId="474A48CD"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07D7AE67"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784A554B"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56B7211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A7C8F13"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27899615"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44F76B9"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578A81E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7A66DEE"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46D43CB2" w14:textId="77777777" w:rsidR="00AF4CE7" w:rsidRPr="00B305E0" w:rsidRDefault="00AF4CE7" w:rsidP="00AF4CE7">
            <w:pPr>
              <w:tabs>
                <w:tab w:val="decimal" w:pos="113"/>
              </w:tabs>
              <w:spacing w:line="180" w:lineRule="exact"/>
              <w:rPr>
                <w:sz w:val="18"/>
                <w:szCs w:val="18"/>
                <w:rtl/>
              </w:rPr>
            </w:pPr>
          </w:p>
        </w:tc>
      </w:tr>
      <w:tr w:rsidR="00AF4CE7" w:rsidRPr="00B305E0" w14:paraId="22DD4769" w14:textId="77777777" w:rsidTr="00AF4CE7">
        <w:tc>
          <w:tcPr>
            <w:tcW w:w="1546" w:type="dxa"/>
            <w:tcBorders>
              <w:top w:val="single" w:sz="6" w:space="0" w:color="auto"/>
            </w:tcBorders>
          </w:tcPr>
          <w:p w14:paraId="66B97742"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74210ED7" w14:textId="77777777" w:rsidR="00AF4CE7" w:rsidRPr="001521F8" w:rsidRDefault="00AF4CE7" w:rsidP="00AF4CE7">
            <w:pPr>
              <w:widowControl/>
              <w:tabs>
                <w:tab w:val="left" w:pos="227"/>
                <w:tab w:val="left" w:pos="397"/>
                <w:tab w:val="left" w:pos="567"/>
              </w:tabs>
              <w:spacing w:line="120" w:lineRule="auto"/>
              <w:jc w:val="left"/>
              <w:rPr>
                <w:sz w:val="16"/>
                <w:szCs w:val="16"/>
                <w:rtl/>
              </w:rPr>
            </w:pPr>
          </w:p>
        </w:tc>
        <w:tc>
          <w:tcPr>
            <w:tcW w:w="113" w:type="dxa"/>
            <w:shd w:val="clear" w:color="auto" w:fill="auto"/>
            <w:vAlign w:val="bottom"/>
          </w:tcPr>
          <w:p w14:paraId="33435594"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3936D1D4"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071C7B4D"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6AB2DECF"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6B1AA0FC"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779ED210"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22EDAD05"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13136060"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69650842"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63FAAD75" w14:textId="77777777" w:rsidR="00AF4CE7" w:rsidRPr="00B305E0" w:rsidRDefault="00AF4CE7" w:rsidP="00AF4CE7">
            <w:pPr>
              <w:widowControl/>
              <w:tabs>
                <w:tab w:val="decimal" w:pos="113"/>
              </w:tabs>
              <w:spacing w:line="120" w:lineRule="auto"/>
              <w:rPr>
                <w:sz w:val="18"/>
                <w:szCs w:val="18"/>
                <w:rtl/>
              </w:rPr>
            </w:pPr>
          </w:p>
        </w:tc>
      </w:tr>
      <w:tr w:rsidR="00AF4CE7" w:rsidRPr="00B305E0" w14:paraId="2E54E12E" w14:textId="77777777" w:rsidTr="00AF4CE7">
        <w:tc>
          <w:tcPr>
            <w:tcW w:w="1546" w:type="dxa"/>
            <w:tcBorders>
              <w:bottom w:val="single" w:sz="6" w:space="0" w:color="auto"/>
              <w:right w:val="single" w:sz="6" w:space="0" w:color="auto"/>
            </w:tcBorders>
          </w:tcPr>
          <w:p w14:paraId="1E093BD2" w14:textId="77777777" w:rsidR="00AF4CE7" w:rsidRPr="008257D7" w:rsidRDefault="00AF4CE7" w:rsidP="00AF4CE7">
            <w:pPr>
              <w:widowControl/>
              <w:tabs>
                <w:tab w:val="left" w:pos="227"/>
                <w:tab w:val="left" w:pos="397"/>
                <w:tab w:val="left" w:pos="567"/>
              </w:tabs>
              <w:bidi w:val="0"/>
              <w:spacing w:line="180" w:lineRule="exact"/>
              <w:ind w:left="193" w:right="113"/>
              <w:jc w:val="right"/>
              <w:rPr>
                <w:i/>
                <w:iCs/>
                <w:sz w:val="14"/>
                <w:szCs w:val="14"/>
                <w:rtl/>
              </w:rPr>
            </w:pPr>
            <w:r w:rsidRPr="008257D7">
              <w:rPr>
                <w:i/>
                <w:iCs/>
                <w:sz w:val="14"/>
                <w:szCs w:val="14"/>
              </w:rPr>
              <w:t>IAS 33.66</w:t>
            </w:r>
          </w:p>
        </w:tc>
        <w:tc>
          <w:tcPr>
            <w:tcW w:w="3027" w:type="dxa"/>
            <w:tcBorders>
              <w:left w:val="single" w:sz="6" w:space="0" w:color="auto"/>
            </w:tcBorders>
            <w:shd w:val="clear" w:color="auto" w:fill="auto"/>
            <w:vAlign w:val="bottom"/>
          </w:tcPr>
          <w:p w14:paraId="6348B55D" w14:textId="77777777" w:rsidR="00AF4CE7" w:rsidRPr="001521F8" w:rsidRDefault="00AF4CE7" w:rsidP="00AF4CE7">
            <w:pPr>
              <w:widowControl/>
              <w:tabs>
                <w:tab w:val="left" w:pos="227"/>
                <w:tab w:val="left" w:pos="397"/>
                <w:tab w:val="left" w:pos="567"/>
              </w:tabs>
              <w:spacing w:line="180" w:lineRule="exact"/>
              <w:ind w:left="193" w:hanging="142"/>
              <w:jc w:val="left"/>
              <w:rPr>
                <w:sz w:val="16"/>
                <w:szCs w:val="16"/>
                <w:rtl/>
              </w:rPr>
            </w:pPr>
            <w:r w:rsidRPr="001521F8">
              <w:rPr>
                <w:sz w:val="16"/>
                <w:szCs w:val="16"/>
                <w:rtl/>
              </w:rPr>
              <w:t xml:space="preserve">רווח </w:t>
            </w:r>
            <w:r w:rsidRPr="001521F8">
              <w:rPr>
                <w:rFonts w:hint="cs"/>
                <w:sz w:val="16"/>
                <w:szCs w:val="16"/>
                <w:rtl/>
              </w:rPr>
              <w:t xml:space="preserve">נקי </w:t>
            </w:r>
            <w:r w:rsidRPr="001521F8">
              <w:rPr>
                <w:sz w:val="16"/>
                <w:szCs w:val="16"/>
                <w:rtl/>
              </w:rPr>
              <w:t xml:space="preserve">(הפסד) </w:t>
            </w:r>
          </w:p>
        </w:tc>
        <w:tc>
          <w:tcPr>
            <w:tcW w:w="113" w:type="dxa"/>
            <w:shd w:val="clear" w:color="auto" w:fill="auto"/>
            <w:vAlign w:val="bottom"/>
          </w:tcPr>
          <w:p w14:paraId="776294F6" w14:textId="77777777" w:rsidR="00AF4CE7" w:rsidRPr="00B305E0" w:rsidRDefault="00AF4CE7" w:rsidP="00AF4CE7">
            <w:pPr>
              <w:spacing w:line="180" w:lineRule="exact"/>
              <w:rPr>
                <w:sz w:val="18"/>
                <w:szCs w:val="18"/>
              </w:rPr>
            </w:pPr>
          </w:p>
        </w:tc>
        <w:tc>
          <w:tcPr>
            <w:tcW w:w="907" w:type="dxa"/>
            <w:tcBorders>
              <w:bottom w:val="double" w:sz="6" w:space="0" w:color="auto"/>
            </w:tcBorders>
            <w:shd w:val="clear" w:color="auto" w:fill="auto"/>
            <w:vAlign w:val="bottom"/>
          </w:tcPr>
          <w:p w14:paraId="1BF99BF4"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1E09969" w14:textId="77777777" w:rsidR="00AF4CE7" w:rsidRPr="00B305E0" w:rsidRDefault="00AF4CE7" w:rsidP="00AF4CE7">
            <w:pPr>
              <w:tabs>
                <w:tab w:val="decimal" w:pos="113"/>
              </w:tabs>
              <w:spacing w:line="180" w:lineRule="exact"/>
              <w:rPr>
                <w:sz w:val="18"/>
                <w:szCs w:val="18"/>
              </w:rPr>
            </w:pPr>
          </w:p>
        </w:tc>
        <w:tc>
          <w:tcPr>
            <w:tcW w:w="907" w:type="dxa"/>
            <w:gridSpan w:val="2"/>
            <w:tcBorders>
              <w:bottom w:val="double" w:sz="6" w:space="0" w:color="auto"/>
            </w:tcBorders>
            <w:shd w:val="clear" w:color="auto" w:fill="auto"/>
            <w:vAlign w:val="bottom"/>
          </w:tcPr>
          <w:p w14:paraId="306A2CB5"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441F43E"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2143DC38"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43642730"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744023EB"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BAED326" w14:textId="77777777" w:rsidR="00AF4CE7" w:rsidRPr="00B305E0" w:rsidRDefault="00AF4CE7" w:rsidP="00AF4CE7">
            <w:pPr>
              <w:tabs>
                <w:tab w:val="decimal" w:pos="113"/>
              </w:tabs>
              <w:spacing w:line="180" w:lineRule="exact"/>
              <w:rPr>
                <w:sz w:val="18"/>
                <w:szCs w:val="18"/>
              </w:rPr>
            </w:pPr>
          </w:p>
        </w:tc>
        <w:tc>
          <w:tcPr>
            <w:tcW w:w="1061" w:type="dxa"/>
            <w:tcBorders>
              <w:bottom w:val="double" w:sz="6" w:space="0" w:color="auto"/>
            </w:tcBorders>
            <w:shd w:val="clear" w:color="auto" w:fill="auto"/>
            <w:vAlign w:val="bottom"/>
          </w:tcPr>
          <w:p w14:paraId="5CE73E7B" w14:textId="77777777" w:rsidR="00AF4CE7" w:rsidRPr="00B305E0" w:rsidRDefault="00AF4CE7" w:rsidP="00AF4CE7">
            <w:pPr>
              <w:tabs>
                <w:tab w:val="decimal" w:pos="113"/>
              </w:tabs>
              <w:spacing w:line="180" w:lineRule="exact"/>
              <w:rPr>
                <w:sz w:val="18"/>
                <w:szCs w:val="18"/>
                <w:rtl/>
              </w:rPr>
            </w:pPr>
          </w:p>
        </w:tc>
      </w:tr>
      <w:tr w:rsidR="00AF4CE7" w:rsidRPr="00B305E0" w14:paraId="76887F38" w14:textId="77777777" w:rsidTr="00AF4CE7">
        <w:tc>
          <w:tcPr>
            <w:tcW w:w="1546" w:type="dxa"/>
            <w:tcBorders>
              <w:top w:val="single" w:sz="6" w:space="0" w:color="auto"/>
            </w:tcBorders>
          </w:tcPr>
          <w:p w14:paraId="094F7C27"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495AA0DC" w14:textId="77777777" w:rsidR="00AF4CE7" w:rsidRPr="001521F8" w:rsidRDefault="00AF4CE7" w:rsidP="00AF4CE7">
            <w:pPr>
              <w:widowControl/>
              <w:tabs>
                <w:tab w:val="left" w:pos="227"/>
                <w:tab w:val="left" w:pos="397"/>
                <w:tab w:val="left" w:pos="567"/>
              </w:tabs>
              <w:spacing w:line="120" w:lineRule="auto"/>
              <w:jc w:val="left"/>
              <w:rPr>
                <w:b/>
                <w:bCs/>
                <w:sz w:val="16"/>
                <w:szCs w:val="16"/>
                <w:rtl/>
              </w:rPr>
            </w:pPr>
          </w:p>
        </w:tc>
        <w:tc>
          <w:tcPr>
            <w:tcW w:w="113" w:type="dxa"/>
            <w:shd w:val="clear" w:color="auto" w:fill="auto"/>
            <w:vAlign w:val="bottom"/>
          </w:tcPr>
          <w:p w14:paraId="34D9F6B5" w14:textId="77777777" w:rsidR="00AF4CE7" w:rsidRPr="00B305E0" w:rsidRDefault="00AF4CE7" w:rsidP="00AF4CE7">
            <w:pPr>
              <w:widowControl/>
              <w:spacing w:line="120" w:lineRule="auto"/>
              <w:rPr>
                <w:sz w:val="18"/>
                <w:szCs w:val="18"/>
              </w:rPr>
            </w:pPr>
          </w:p>
        </w:tc>
        <w:tc>
          <w:tcPr>
            <w:tcW w:w="907" w:type="dxa"/>
            <w:tcBorders>
              <w:top w:val="double" w:sz="6" w:space="0" w:color="auto"/>
            </w:tcBorders>
            <w:vAlign w:val="bottom"/>
          </w:tcPr>
          <w:p w14:paraId="28DA4EFA"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5A14A2C3"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double" w:sz="6" w:space="0" w:color="auto"/>
            </w:tcBorders>
            <w:shd w:val="clear" w:color="auto" w:fill="auto"/>
            <w:vAlign w:val="bottom"/>
          </w:tcPr>
          <w:p w14:paraId="64B4F9CA"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0DDFAA41" w14:textId="77777777" w:rsidR="00AF4CE7" w:rsidRPr="00B305E0" w:rsidRDefault="00AF4CE7" w:rsidP="00AF4CE7">
            <w:pPr>
              <w:widowControl/>
              <w:tabs>
                <w:tab w:val="decimal" w:pos="113"/>
              </w:tabs>
              <w:spacing w:line="120" w:lineRule="auto"/>
              <w:rPr>
                <w:sz w:val="18"/>
                <w:szCs w:val="18"/>
              </w:rPr>
            </w:pPr>
          </w:p>
        </w:tc>
        <w:tc>
          <w:tcPr>
            <w:tcW w:w="907" w:type="dxa"/>
            <w:tcBorders>
              <w:top w:val="double" w:sz="6" w:space="0" w:color="auto"/>
            </w:tcBorders>
            <w:shd w:val="clear" w:color="auto" w:fill="auto"/>
            <w:vAlign w:val="bottom"/>
          </w:tcPr>
          <w:p w14:paraId="58933A5B"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23329E7C" w14:textId="77777777" w:rsidR="00AF4CE7" w:rsidRPr="00B305E0" w:rsidRDefault="00AF4CE7" w:rsidP="00AF4CE7">
            <w:pPr>
              <w:widowControl/>
              <w:tabs>
                <w:tab w:val="decimal" w:pos="113"/>
              </w:tabs>
              <w:spacing w:line="120" w:lineRule="auto"/>
              <w:rPr>
                <w:sz w:val="18"/>
                <w:szCs w:val="18"/>
              </w:rPr>
            </w:pPr>
          </w:p>
        </w:tc>
        <w:tc>
          <w:tcPr>
            <w:tcW w:w="907" w:type="dxa"/>
            <w:tcBorders>
              <w:top w:val="double" w:sz="6" w:space="0" w:color="auto"/>
            </w:tcBorders>
            <w:shd w:val="clear" w:color="auto" w:fill="auto"/>
            <w:vAlign w:val="bottom"/>
          </w:tcPr>
          <w:p w14:paraId="67F6C453"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00D696B9" w14:textId="77777777" w:rsidR="00AF4CE7" w:rsidRPr="00B305E0" w:rsidRDefault="00AF4CE7" w:rsidP="00AF4CE7">
            <w:pPr>
              <w:widowControl/>
              <w:tabs>
                <w:tab w:val="decimal" w:pos="113"/>
              </w:tabs>
              <w:spacing w:line="120" w:lineRule="auto"/>
              <w:rPr>
                <w:sz w:val="18"/>
                <w:szCs w:val="18"/>
              </w:rPr>
            </w:pPr>
          </w:p>
        </w:tc>
        <w:tc>
          <w:tcPr>
            <w:tcW w:w="1061" w:type="dxa"/>
            <w:tcBorders>
              <w:top w:val="double" w:sz="6" w:space="0" w:color="auto"/>
            </w:tcBorders>
            <w:shd w:val="clear" w:color="auto" w:fill="auto"/>
            <w:vAlign w:val="bottom"/>
          </w:tcPr>
          <w:p w14:paraId="4360E045" w14:textId="77777777" w:rsidR="00AF4CE7" w:rsidRPr="00B305E0" w:rsidRDefault="00AF4CE7" w:rsidP="00AF4CE7">
            <w:pPr>
              <w:widowControl/>
              <w:tabs>
                <w:tab w:val="decimal" w:pos="113"/>
              </w:tabs>
              <w:spacing w:line="120" w:lineRule="auto"/>
              <w:rPr>
                <w:sz w:val="18"/>
                <w:szCs w:val="18"/>
                <w:rtl/>
              </w:rPr>
            </w:pPr>
          </w:p>
        </w:tc>
      </w:tr>
      <w:tr w:rsidR="00AF4CE7" w:rsidRPr="00B305E0" w14:paraId="700B70CD" w14:textId="77777777" w:rsidTr="00AF4CE7">
        <w:tc>
          <w:tcPr>
            <w:tcW w:w="1546" w:type="dxa"/>
          </w:tcPr>
          <w:p w14:paraId="6D858FF0" w14:textId="77777777" w:rsidR="00AF4CE7" w:rsidRPr="008257D7" w:rsidRDefault="00AF4CE7" w:rsidP="00AF4CE7">
            <w:pPr>
              <w:bidi w:val="0"/>
              <w:spacing w:line="180" w:lineRule="exact"/>
              <w:ind w:left="227" w:right="113"/>
              <w:jc w:val="right"/>
              <w:rPr>
                <w:i/>
                <w:iCs/>
                <w:sz w:val="14"/>
                <w:szCs w:val="14"/>
                <w:rtl/>
              </w:rPr>
            </w:pPr>
          </w:p>
        </w:tc>
        <w:tc>
          <w:tcPr>
            <w:tcW w:w="3027" w:type="dxa"/>
            <w:shd w:val="clear" w:color="auto" w:fill="auto"/>
            <w:vAlign w:val="bottom"/>
          </w:tcPr>
          <w:p w14:paraId="37EFC91F" w14:textId="77777777" w:rsidR="00AF4CE7" w:rsidRPr="001521F8" w:rsidRDefault="00AF4CE7" w:rsidP="00AF4CE7">
            <w:pPr>
              <w:spacing w:line="180" w:lineRule="exact"/>
              <w:ind w:left="227" w:hanging="170"/>
              <w:rPr>
                <w:b/>
                <w:bCs/>
                <w:sz w:val="16"/>
                <w:szCs w:val="16"/>
                <w:rtl/>
              </w:rPr>
            </w:pPr>
            <w:r w:rsidRPr="001521F8">
              <w:rPr>
                <w:b/>
                <w:bCs/>
                <w:sz w:val="16"/>
                <w:szCs w:val="16"/>
                <w:rtl/>
              </w:rPr>
              <w:t>רווח נקי (הפסד) מדולל</w:t>
            </w:r>
          </w:p>
        </w:tc>
        <w:tc>
          <w:tcPr>
            <w:tcW w:w="113" w:type="dxa"/>
            <w:shd w:val="clear" w:color="auto" w:fill="auto"/>
            <w:vAlign w:val="bottom"/>
          </w:tcPr>
          <w:p w14:paraId="05038980" w14:textId="77777777" w:rsidR="00AF4CE7" w:rsidRPr="00B305E0" w:rsidRDefault="00AF4CE7" w:rsidP="00AF4CE7">
            <w:pPr>
              <w:spacing w:line="180" w:lineRule="exact"/>
              <w:rPr>
                <w:sz w:val="18"/>
                <w:szCs w:val="18"/>
              </w:rPr>
            </w:pPr>
          </w:p>
        </w:tc>
        <w:tc>
          <w:tcPr>
            <w:tcW w:w="907" w:type="dxa"/>
            <w:shd w:val="clear" w:color="auto" w:fill="auto"/>
            <w:vAlign w:val="bottom"/>
          </w:tcPr>
          <w:p w14:paraId="73BEA1CE"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73523F6A"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3557AEC8"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FD9106F"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558741A"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D6AD3FF"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653D393"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8E884A5"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1B358A68" w14:textId="77777777" w:rsidR="00AF4CE7" w:rsidRPr="00B305E0" w:rsidRDefault="00AF4CE7" w:rsidP="00AF4CE7">
            <w:pPr>
              <w:tabs>
                <w:tab w:val="decimal" w:pos="113"/>
              </w:tabs>
              <w:spacing w:line="180" w:lineRule="exact"/>
              <w:rPr>
                <w:sz w:val="18"/>
                <w:szCs w:val="18"/>
                <w:rtl/>
              </w:rPr>
            </w:pPr>
          </w:p>
        </w:tc>
      </w:tr>
      <w:tr w:rsidR="00AF4CE7" w:rsidRPr="00B305E0" w14:paraId="141F5A36" w14:textId="77777777" w:rsidTr="00AF4CE7">
        <w:tc>
          <w:tcPr>
            <w:tcW w:w="1546" w:type="dxa"/>
          </w:tcPr>
          <w:p w14:paraId="01F34B15"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6D94199A" w14:textId="77777777" w:rsidR="00AF4CE7" w:rsidRPr="001521F8" w:rsidRDefault="00AF4CE7" w:rsidP="00AF4CE7">
            <w:pPr>
              <w:widowControl/>
              <w:tabs>
                <w:tab w:val="left" w:pos="227"/>
                <w:tab w:val="left" w:pos="397"/>
                <w:tab w:val="left" w:pos="567"/>
              </w:tabs>
              <w:spacing w:line="120" w:lineRule="auto"/>
              <w:jc w:val="left"/>
              <w:rPr>
                <w:b/>
                <w:bCs/>
                <w:sz w:val="16"/>
                <w:szCs w:val="16"/>
                <w:rtl/>
              </w:rPr>
            </w:pPr>
          </w:p>
        </w:tc>
        <w:tc>
          <w:tcPr>
            <w:tcW w:w="113" w:type="dxa"/>
            <w:shd w:val="clear" w:color="auto" w:fill="auto"/>
            <w:vAlign w:val="bottom"/>
          </w:tcPr>
          <w:p w14:paraId="65A712E5" w14:textId="77777777" w:rsidR="00AF4CE7" w:rsidRPr="00B305E0" w:rsidRDefault="00AF4CE7" w:rsidP="00AF4CE7">
            <w:pPr>
              <w:widowControl/>
              <w:spacing w:line="120" w:lineRule="auto"/>
              <w:rPr>
                <w:sz w:val="18"/>
                <w:szCs w:val="18"/>
              </w:rPr>
            </w:pPr>
          </w:p>
        </w:tc>
        <w:tc>
          <w:tcPr>
            <w:tcW w:w="907" w:type="dxa"/>
            <w:vAlign w:val="bottom"/>
          </w:tcPr>
          <w:p w14:paraId="558CC5F7"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1493685A" w14:textId="77777777" w:rsidR="00AF4CE7" w:rsidRPr="00B305E0" w:rsidRDefault="00AF4CE7" w:rsidP="00AF4CE7">
            <w:pPr>
              <w:widowControl/>
              <w:tabs>
                <w:tab w:val="decimal" w:pos="113"/>
              </w:tabs>
              <w:spacing w:line="120" w:lineRule="auto"/>
              <w:rPr>
                <w:sz w:val="18"/>
                <w:szCs w:val="18"/>
              </w:rPr>
            </w:pPr>
          </w:p>
        </w:tc>
        <w:tc>
          <w:tcPr>
            <w:tcW w:w="907" w:type="dxa"/>
            <w:gridSpan w:val="2"/>
            <w:shd w:val="clear" w:color="auto" w:fill="auto"/>
            <w:vAlign w:val="bottom"/>
          </w:tcPr>
          <w:p w14:paraId="76171371"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6E51D294" w14:textId="77777777" w:rsidR="00AF4CE7" w:rsidRPr="00B305E0" w:rsidRDefault="00AF4CE7" w:rsidP="00AF4CE7">
            <w:pPr>
              <w:widowControl/>
              <w:tabs>
                <w:tab w:val="decimal" w:pos="113"/>
              </w:tabs>
              <w:spacing w:line="120" w:lineRule="auto"/>
              <w:rPr>
                <w:sz w:val="18"/>
                <w:szCs w:val="18"/>
              </w:rPr>
            </w:pPr>
          </w:p>
        </w:tc>
        <w:tc>
          <w:tcPr>
            <w:tcW w:w="907" w:type="dxa"/>
            <w:shd w:val="clear" w:color="auto" w:fill="auto"/>
            <w:vAlign w:val="bottom"/>
          </w:tcPr>
          <w:p w14:paraId="540873C5"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634E3E15" w14:textId="77777777" w:rsidR="00AF4CE7" w:rsidRPr="00B305E0" w:rsidRDefault="00AF4CE7" w:rsidP="00AF4CE7">
            <w:pPr>
              <w:widowControl/>
              <w:tabs>
                <w:tab w:val="decimal" w:pos="113"/>
              </w:tabs>
              <w:spacing w:line="120" w:lineRule="auto"/>
              <w:rPr>
                <w:sz w:val="18"/>
                <w:szCs w:val="18"/>
              </w:rPr>
            </w:pPr>
          </w:p>
        </w:tc>
        <w:tc>
          <w:tcPr>
            <w:tcW w:w="907" w:type="dxa"/>
            <w:shd w:val="clear" w:color="auto" w:fill="auto"/>
            <w:vAlign w:val="bottom"/>
          </w:tcPr>
          <w:p w14:paraId="4BB08C96"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4F0E31FB" w14:textId="77777777" w:rsidR="00AF4CE7" w:rsidRPr="00B305E0" w:rsidRDefault="00AF4CE7" w:rsidP="00AF4CE7">
            <w:pPr>
              <w:widowControl/>
              <w:tabs>
                <w:tab w:val="decimal" w:pos="113"/>
              </w:tabs>
              <w:spacing w:line="120" w:lineRule="auto"/>
              <w:rPr>
                <w:sz w:val="18"/>
                <w:szCs w:val="18"/>
              </w:rPr>
            </w:pPr>
          </w:p>
        </w:tc>
        <w:tc>
          <w:tcPr>
            <w:tcW w:w="1061" w:type="dxa"/>
            <w:shd w:val="clear" w:color="auto" w:fill="auto"/>
            <w:vAlign w:val="bottom"/>
          </w:tcPr>
          <w:p w14:paraId="6EA03BB4" w14:textId="77777777" w:rsidR="00AF4CE7" w:rsidRPr="00B305E0" w:rsidRDefault="00AF4CE7" w:rsidP="00AF4CE7">
            <w:pPr>
              <w:widowControl/>
              <w:tabs>
                <w:tab w:val="decimal" w:pos="113"/>
              </w:tabs>
              <w:spacing w:line="120" w:lineRule="auto"/>
              <w:rPr>
                <w:sz w:val="18"/>
                <w:szCs w:val="18"/>
                <w:rtl/>
              </w:rPr>
            </w:pPr>
          </w:p>
        </w:tc>
      </w:tr>
      <w:tr w:rsidR="00AF4CE7" w:rsidRPr="00B305E0" w14:paraId="16CA5C83" w14:textId="77777777" w:rsidTr="00AF4CE7">
        <w:tc>
          <w:tcPr>
            <w:tcW w:w="1546" w:type="dxa"/>
            <w:tcBorders>
              <w:bottom w:val="single" w:sz="6" w:space="0" w:color="auto"/>
              <w:right w:val="single" w:sz="6" w:space="0" w:color="auto"/>
            </w:tcBorders>
          </w:tcPr>
          <w:p w14:paraId="11D479CD" w14:textId="77777777" w:rsidR="00AF4CE7" w:rsidRPr="008257D7" w:rsidRDefault="00AF4CE7" w:rsidP="00AF4CE7">
            <w:pPr>
              <w:widowControl/>
              <w:tabs>
                <w:tab w:val="left" w:pos="227"/>
                <w:tab w:val="left" w:pos="397"/>
                <w:tab w:val="left" w:pos="567"/>
              </w:tabs>
              <w:bidi w:val="0"/>
              <w:spacing w:line="180" w:lineRule="exact"/>
              <w:ind w:left="193" w:right="113"/>
              <w:jc w:val="right"/>
              <w:rPr>
                <w:i/>
                <w:iCs/>
                <w:sz w:val="14"/>
                <w:szCs w:val="14"/>
                <w:rtl/>
              </w:rPr>
            </w:pPr>
            <w:r w:rsidRPr="008257D7">
              <w:rPr>
                <w:i/>
                <w:iCs/>
                <w:sz w:val="14"/>
                <w:szCs w:val="14"/>
              </w:rPr>
              <w:t>IAS 33.66</w:t>
            </w:r>
          </w:p>
        </w:tc>
        <w:tc>
          <w:tcPr>
            <w:tcW w:w="3027" w:type="dxa"/>
            <w:tcBorders>
              <w:left w:val="single" w:sz="6" w:space="0" w:color="auto"/>
            </w:tcBorders>
            <w:shd w:val="clear" w:color="auto" w:fill="auto"/>
            <w:vAlign w:val="bottom"/>
          </w:tcPr>
          <w:p w14:paraId="1F515915" w14:textId="77777777" w:rsidR="00AF4CE7" w:rsidRPr="001521F8" w:rsidRDefault="00AF4CE7" w:rsidP="00AF4CE7">
            <w:pPr>
              <w:widowControl/>
              <w:tabs>
                <w:tab w:val="left" w:pos="227"/>
                <w:tab w:val="left" w:pos="397"/>
                <w:tab w:val="left" w:pos="567"/>
              </w:tabs>
              <w:spacing w:line="180" w:lineRule="exact"/>
              <w:ind w:left="193" w:hanging="142"/>
              <w:jc w:val="left"/>
              <w:rPr>
                <w:sz w:val="16"/>
                <w:szCs w:val="16"/>
                <w:rtl/>
              </w:rPr>
            </w:pPr>
            <w:r w:rsidRPr="001521F8">
              <w:rPr>
                <w:sz w:val="16"/>
                <w:szCs w:val="16"/>
                <w:rtl/>
              </w:rPr>
              <w:t>רווח (הפסד) מפע</w:t>
            </w:r>
            <w:r w:rsidRPr="001521F8">
              <w:rPr>
                <w:rFonts w:hint="cs"/>
                <w:sz w:val="16"/>
                <w:szCs w:val="16"/>
                <w:rtl/>
              </w:rPr>
              <w:t>ילוי</w:t>
            </w:r>
            <w:r w:rsidRPr="001521F8">
              <w:rPr>
                <w:sz w:val="16"/>
                <w:szCs w:val="16"/>
                <w:rtl/>
              </w:rPr>
              <w:t>ות נמשכות</w:t>
            </w:r>
          </w:p>
        </w:tc>
        <w:tc>
          <w:tcPr>
            <w:tcW w:w="113" w:type="dxa"/>
            <w:shd w:val="clear" w:color="auto" w:fill="auto"/>
            <w:vAlign w:val="bottom"/>
          </w:tcPr>
          <w:p w14:paraId="0ED34988" w14:textId="77777777" w:rsidR="00AF4CE7" w:rsidRPr="00B305E0" w:rsidRDefault="00AF4CE7" w:rsidP="00AF4CE7">
            <w:pPr>
              <w:spacing w:line="180" w:lineRule="exact"/>
              <w:rPr>
                <w:sz w:val="18"/>
                <w:szCs w:val="18"/>
              </w:rPr>
            </w:pPr>
          </w:p>
        </w:tc>
        <w:tc>
          <w:tcPr>
            <w:tcW w:w="907" w:type="dxa"/>
            <w:vAlign w:val="bottom"/>
          </w:tcPr>
          <w:p w14:paraId="5AB8A425"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787E130D"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17ADE458"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51DB8F2"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604CDF7F"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00270533"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3FF24E1"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E36C427"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360FCA22" w14:textId="77777777" w:rsidR="00AF4CE7" w:rsidRPr="00B305E0" w:rsidRDefault="00AF4CE7" w:rsidP="00AF4CE7">
            <w:pPr>
              <w:tabs>
                <w:tab w:val="decimal" w:pos="113"/>
              </w:tabs>
              <w:spacing w:line="180" w:lineRule="exact"/>
              <w:rPr>
                <w:sz w:val="18"/>
                <w:szCs w:val="18"/>
                <w:rtl/>
              </w:rPr>
            </w:pPr>
          </w:p>
        </w:tc>
      </w:tr>
      <w:tr w:rsidR="00AF4CE7" w:rsidRPr="00B305E0" w14:paraId="1EF224E4" w14:textId="77777777" w:rsidTr="00AF4CE7">
        <w:tc>
          <w:tcPr>
            <w:tcW w:w="1546" w:type="dxa"/>
            <w:tcBorders>
              <w:top w:val="single" w:sz="6" w:space="0" w:color="auto"/>
              <w:bottom w:val="single" w:sz="6" w:space="0" w:color="auto"/>
              <w:right w:val="single" w:sz="6" w:space="0" w:color="auto"/>
            </w:tcBorders>
          </w:tcPr>
          <w:p w14:paraId="6C4BBF1D" w14:textId="77777777" w:rsidR="00AF4CE7" w:rsidRPr="008257D7" w:rsidRDefault="00AF4CE7" w:rsidP="00AF4CE7">
            <w:pPr>
              <w:widowControl/>
              <w:tabs>
                <w:tab w:val="left" w:pos="227"/>
                <w:tab w:val="left" w:pos="397"/>
                <w:tab w:val="left" w:pos="567"/>
              </w:tabs>
              <w:bidi w:val="0"/>
              <w:spacing w:line="180" w:lineRule="exact"/>
              <w:ind w:left="193" w:right="113"/>
              <w:jc w:val="right"/>
              <w:rPr>
                <w:i/>
                <w:iCs/>
                <w:sz w:val="14"/>
                <w:szCs w:val="14"/>
                <w:rtl/>
              </w:rPr>
            </w:pPr>
            <w:r w:rsidRPr="008257D7">
              <w:rPr>
                <w:i/>
                <w:iCs/>
                <w:sz w:val="14"/>
                <w:szCs w:val="14"/>
              </w:rPr>
              <w:t>IAS 33.68</w:t>
            </w:r>
          </w:p>
        </w:tc>
        <w:tc>
          <w:tcPr>
            <w:tcW w:w="3027" w:type="dxa"/>
            <w:tcBorders>
              <w:left w:val="single" w:sz="6" w:space="0" w:color="auto"/>
            </w:tcBorders>
            <w:shd w:val="clear" w:color="auto" w:fill="auto"/>
            <w:vAlign w:val="bottom"/>
          </w:tcPr>
          <w:p w14:paraId="30EFBE36" w14:textId="77777777" w:rsidR="00AF4CE7" w:rsidRPr="001521F8" w:rsidRDefault="00AF4CE7" w:rsidP="00AF4CE7">
            <w:pPr>
              <w:widowControl/>
              <w:tabs>
                <w:tab w:val="left" w:pos="227"/>
                <w:tab w:val="left" w:pos="397"/>
                <w:tab w:val="left" w:pos="567"/>
              </w:tabs>
              <w:spacing w:line="180" w:lineRule="exact"/>
              <w:ind w:left="193" w:hanging="142"/>
              <w:jc w:val="left"/>
              <w:rPr>
                <w:sz w:val="16"/>
                <w:szCs w:val="16"/>
                <w:rtl/>
              </w:rPr>
            </w:pPr>
            <w:r w:rsidRPr="001521F8">
              <w:rPr>
                <w:rFonts w:hint="cs"/>
                <w:sz w:val="16"/>
                <w:szCs w:val="16"/>
                <w:rtl/>
              </w:rPr>
              <w:t>רווח (הפסד) מפעילויות שהופסקו</w:t>
            </w:r>
          </w:p>
        </w:tc>
        <w:tc>
          <w:tcPr>
            <w:tcW w:w="113" w:type="dxa"/>
            <w:shd w:val="clear" w:color="auto" w:fill="auto"/>
            <w:vAlign w:val="bottom"/>
          </w:tcPr>
          <w:p w14:paraId="7860EF10"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39C023A9"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1B24E523"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717721EA"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25D02AD"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453C5348"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3653BFFC"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45F8F453"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AC1DC74"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7A335934" w14:textId="77777777" w:rsidR="00AF4CE7" w:rsidRPr="00B305E0" w:rsidRDefault="00AF4CE7" w:rsidP="00AF4CE7">
            <w:pPr>
              <w:tabs>
                <w:tab w:val="decimal" w:pos="113"/>
              </w:tabs>
              <w:spacing w:line="180" w:lineRule="exact"/>
              <w:rPr>
                <w:sz w:val="18"/>
                <w:szCs w:val="18"/>
                <w:rtl/>
              </w:rPr>
            </w:pPr>
          </w:p>
        </w:tc>
      </w:tr>
      <w:tr w:rsidR="00AF4CE7" w:rsidRPr="00B305E0" w14:paraId="7073E284" w14:textId="77777777" w:rsidTr="00AF4CE7">
        <w:tc>
          <w:tcPr>
            <w:tcW w:w="1546" w:type="dxa"/>
            <w:tcBorders>
              <w:top w:val="single" w:sz="6" w:space="0" w:color="auto"/>
            </w:tcBorders>
          </w:tcPr>
          <w:p w14:paraId="4A7E0230" w14:textId="77777777" w:rsidR="00AF4CE7" w:rsidRPr="008257D7" w:rsidRDefault="00AF4CE7" w:rsidP="00AF4CE7">
            <w:pPr>
              <w:widowControl/>
              <w:tabs>
                <w:tab w:val="left" w:pos="227"/>
                <w:tab w:val="left" w:pos="397"/>
                <w:tab w:val="left" w:pos="567"/>
              </w:tabs>
              <w:spacing w:line="180" w:lineRule="exact"/>
              <w:jc w:val="right"/>
              <w:rPr>
                <w:i/>
                <w:iCs/>
                <w:sz w:val="16"/>
                <w:szCs w:val="16"/>
                <w:rtl/>
              </w:rPr>
            </w:pPr>
          </w:p>
        </w:tc>
        <w:tc>
          <w:tcPr>
            <w:tcW w:w="3027" w:type="dxa"/>
            <w:shd w:val="clear" w:color="auto" w:fill="auto"/>
            <w:vAlign w:val="bottom"/>
          </w:tcPr>
          <w:p w14:paraId="5F26D097" w14:textId="77777777" w:rsidR="00AF4CE7" w:rsidRPr="001521F8" w:rsidRDefault="00AF4CE7" w:rsidP="00AF4CE7">
            <w:pPr>
              <w:widowControl/>
              <w:tabs>
                <w:tab w:val="left" w:pos="227"/>
                <w:tab w:val="left" w:pos="397"/>
                <w:tab w:val="left" w:pos="567"/>
              </w:tabs>
              <w:spacing w:line="180" w:lineRule="exact"/>
              <w:jc w:val="left"/>
              <w:rPr>
                <w:sz w:val="16"/>
                <w:szCs w:val="16"/>
                <w:rtl/>
              </w:rPr>
            </w:pPr>
          </w:p>
        </w:tc>
        <w:tc>
          <w:tcPr>
            <w:tcW w:w="113" w:type="dxa"/>
            <w:shd w:val="clear" w:color="auto" w:fill="auto"/>
            <w:vAlign w:val="bottom"/>
          </w:tcPr>
          <w:p w14:paraId="6F1D12EF" w14:textId="77777777" w:rsidR="00AF4CE7" w:rsidRPr="00B305E0" w:rsidRDefault="00AF4CE7" w:rsidP="00AF4CE7">
            <w:pPr>
              <w:widowControl/>
              <w:spacing w:line="180" w:lineRule="exact"/>
              <w:rPr>
                <w:sz w:val="18"/>
                <w:szCs w:val="18"/>
              </w:rPr>
            </w:pPr>
          </w:p>
        </w:tc>
        <w:tc>
          <w:tcPr>
            <w:tcW w:w="907" w:type="dxa"/>
            <w:tcBorders>
              <w:top w:val="single" w:sz="6" w:space="0" w:color="auto"/>
            </w:tcBorders>
            <w:vAlign w:val="bottom"/>
          </w:tcPr>
          <w:p w14:paraId="496C521C" w14:textId="77777777" w:rsidR="00AF4CE7" w:rsidRPr="00B305E0" w:rsidRDefault="00AF4CE7" w:rsidP="00AF4CE7">
            <w:pPr>
              <w:widowControl/>
              <w:tabs>
                <w:tab w:val="decimal" w:pos="113"/>
              </w:tabs>
              <w:spacing w:line="180" w:lineRule="exact"/>
              <w:rPr>
                <w:sz w:val="18"/>
                <w:szCs w:val="18"/>
                <w:rtl/>
              </w:rPr>
            </w:pPr>
          </w:p>
        </w:tc>
        <w:tc>
          <w:tcPr>
            <w:tcW w:w="113" w:type="dxa"/>
            <w:vAlign w:val="bottom"/>
          </w:tcPr>
          <w:p w14:paraId="5B96DC9A" w14:textId="77777777" w:rsidR="00AF4CE7" w:rsidRPr="00B305E0" w:rsidRDefault="00AF4CE7" w:rsidP="00AF4CE7">
            <w:pPr>
              <w:widowControl/>
              <w:tabs>
                <w:tab w:val="decimal" w:pos="113"/>
              </w:tabs>
              <w:spacing w:line="180" w:lineRule="exact"/>
              <w:rPr>
                <w:sz w:val="18"/>
                <w:szCs w:val="18"/>
              </w:rPr>
            </w:pPr>
          </w:p>
        </w:tc>
        <w:tc>
          <w:tcPr>
            <w:tcW w:w="907" w:type="dxa"/>
            <w:gridSpan w:val="2"/>
            <w:tcBorders>
              <w:top w:val="single" w:sz="6" w:space="0" w:color="auto"/>
            </w:tcBorders>
            <w:shd w:val="clear" w:color="auto" w:fill="auto"/>
            <w:vAlign w:val="bottom"/>
          </w:tcPr>
          <w:p w14:paraId="4599F762" w14:textId="77777777" w:rsidR="00AF4CE7" w:rsidRPr="00B305E0" w:rsidRDefault="00AF4CE7" w:rsidP="00AF4CE7">
            <w:pPr>
              <w:widowControl/>
              <w:tabs>
                <w:tab w:val="decimal" w:pos="113"/>
              </w:tabs>
              <w:spacing w:line="180" w:lineRule="exact"/>
              <w:rPr>
                <w:sz w:val="18"/>
                <w:szCs w:val="18"/>
              </w:rPr>
            </w:pPr>
          </w:p>
        </w:tc>
        <w:tc>
          <w:tcPr>
            <w:tcW w:w="113" w:type="dxa"/>
            <w:shd w:val="clear" w:color="auto" w:fill="auto"/>
            <w:vAlign w:val="bottom"/>
          </w:tcPr>
          <w:p w14:paraId="3EB4329C" w14:textId="77777777" w:rsidR="00AF4CE7" w:rsidRPr="00B305E0" w:rsidRDefault="00AF4CE7" w:rsidP="00AF4CE7">
            <w:pPr>
              <w:widowControl/>
              <w:tabs>
                <w:tab w:val="decimal" w:pos="113"/>
              </w:tabs>
              <w:spacing w:line="180" w:lineRule="exact"/>
              <w:rPr>
                <w:sz w:val="18"/>
                <w:szCs w:val="18"/>
              </w:rPr>
            </w:pPr>
          </w:p>
        </w:tc>
        <w:tc>
          <w:tcPr>
            <w:tcW w:w="907" w:type="dxa"/>
            <w:tcBorders>
              <w:top w:val="single" w:sz="6" w:space="0" w:color="auto"/>
            </w:tcBorders>
            <w:shd w:val="clear" w:color="auto" w:fill="auto"/>
            <w:vAlign w:val="bottom"/>
          </w:tcPr>
          <w:p w14:paraId="22065381" w14:textId="77777777" w:rsidR="00AF4CE7" w:rsidRPr="00B305E0" w:rsidRDefault="00AF4CE7" w:rsidP="00AF4CE7">
            <w:pPr>
              <w:widowControl/>
              <w:tabs>
                <w:tab w:val="decimal" w:pos="113"/>
              </w:tabs>
              <w:spacing w:line="180" w:lineRule="exact"/>
              <w:rPr>
                <w:sz w:val="18"/>
                <w:szCs w:val="18"/>
                <w:rtl/>
              </w:rPr>
            </w:pPr>
          </w:p>
        </w:tc>
        <w:tc>
          <w:tcPr>
            <w:tcW w:w="113" w:type="dxa"/>
            <w:shd w:val="clear" w:color="auto" w:fill="auto"/>
            <w:vAlign w:val="bottom"/>
          </w:tcPr>
          <w:p w14:paraId="67BE449E" w14:textId="77777777" w:rsidR="00AF4CE7" w:rsidRPr="00B305E0" w:rsidRDefault="00AF4CE7" w:rsidP="00AF4CE7">
            <w:pPr>
              <w:widowControl/>
              <w:tabs>
                <w:tab w:val="decimal" w:pos="113"/>
              </w:tabs>
              <w:spacing w:line="180" w:lineRule="exact"/>
              <w:rPr>
                <w:sz w:val="18"/>
                <w:szCs w:val="18"/>
              </w:rPr>
            </w:pPr>
          </w:p>
        </w:tc>
        <w:tc>
          <w:tcPr>
            <w:tcW w:w="907" w:type="dxa"/>
            <w:tcBorders>
              <w:top w:val="single" w:sz="6" w:space="0" w:color="auto"/>
            </w:tcBorders>
            <w:shd w:val="clear" w:color="auto" w:fill="auto"/>
            <w:vAlign w:val="bottom"/>
          </w:tcPr>
          <w:p w14:paraId="095B498D" w14:textId="77777777" w:rsidR="00AF4CE7" w:rsidRPr="00B305E0" w:rsidRDefault="00AF4CE7" w:rsidP="00AF4CE7">
            <w:pPr>
              <w:widowControl/>
              <w:tabs>
                <w:tab w:val="decimal" w:pos="113"/>
              </w:tabs>
              <w:spacing w:line="180" w:lineRule="exact"/>
              <w:rPr>
                <w:sz w:val="18"/>
                <w:szCs w:val="18"/>
              </w:rPr>
            </w:pPr>
          </w:p>
        </w:tc>
        <w:tc>
          <w:tcPr>
            <w:tcW w:w="113" w:type="dxa"/>
            <w:shd w:val="clear" w:color="auto" w:fill="auto"/>
            <w:vAlign w:val="bottom"/>
          </w:tcPr>
          <w:p w14:paraId="0E216C22" w14:textId="77777777" w:rsidR="00AF4CE7" w:rsidRPr="00B305E0" w:rsidRDefault="00AF4CE7" w:rsidP="00AF4CE7">
            <w:pPr>
              <w:widowControl/>
              <w:tabs>
                <w:tab w:val="decimal" w:pos="113"/>
              </w:tabs>
              <w:spacing w:line="180" w:lineRule="exact"/>
              <w:rPr>
                <w:sz w:val="18"/>
                <w:szCs w:val="18"/>
              </w:rPr>
            </w:pPr>
          </w:p>
        </w:tc>
        <w:tc>
          <w:tcPr>
            <w:tcW w:w="1061" w:type="dxa"/>
            <w:tcBorders>
              <w:top w:val="single" w:sz="6" w:space="0" w:color="auto"/>
            </w:tcBorders>
            <w:shd w:val="clear" w:color="auto" w:fill="auto"/>
            <w:vAlign w:val="bottom"/>
          </w:tcPr>
          <w:p w14:paraId="333E19E3" w14:textId="77777777" w:rsidR="00AF4CE7" w:rsidRPr="00B305E0" w:rsidRDefault="00AF4CE7" w:rsidP="00AF4CE7">
            <w:pPr>
              <w:widowControl/>
              <w:tabs>
                <w:tab w:val="decimal" w:pos="113"/>
              </w:tabs>
              <w:spacing w:line="180" w:lineRule="exact"/>
              <w:rPr>
                <w:sz w:val="18"/>
                <w:szCs w:val="18"/>
                <w:rtl/>
              </w:rPr>
            </w:pPr>
          </w:p>
        </w:tc>
      </w:tr>
      <w:tr w:rsidR="00AF4CE7" w:rsidRPr="00B305E0" w14:paraId="55143654" w14:textId="77777777" w:rsidTr="00AF4CE7">
        <w:tc>
          <w:tcPr>
            <w:tcW w:w="1546" w:type="dxa"/>
            <w:tcBorders>
              <w:bottom w:val="single" w:sz="6" w:space="0" w:color="auto"/>
              <w:right w:val="single" w:sz="6" w:space="0" w:color="auto"/>
            </w:tcBorders>
          </w:tcPr>
          <w:p w14:paraId="28C5E5FB" w14:textId="77777777" w:rsidR="00AF4CE7" w:rsidRPr="008257D7" w:rsidRDefault="00AF4CE7" w:rsidP="00AF4CE7">
            <w:pPr>
              <w:widowControl/>
              <w:tabs>
                <w:tab w:val="left" w:pos="227"/>
                <w:tab w:val="left" w:pos="397"/>
                <w:tab w:val="left" w:pos="567"/>
              </w:tabs>
              <w:bidi w:val="0"/>
              <w:spacing w:line="180" w:lineRule="exact"/>
              <w:ind w:left="193" w:right="113"/>
              <w:jc w:val="right"/>
              <w:rPr>
                <w:i/>
                <w:iCs/>
                <w:sz w:val="16"/>
                <w:szCs w:val="16"/>
                <w:rtl/>
              </w:rPr>
            </w:pPr>
            <w:r w:rsidRPr="008257D7">
              <w:rPr>
                <w:i/>
                <w:iCs/>
                <w:sz w:val="16"/>
                <w:szCs w:val="16"/>
              </w:rPr>
              <w:t>IAS 33.66</w:t>
            </w:r>
          </w:p>
        </w:tc>
        <w:tc>
          <w:tcPr>
            <w:tcW w:w="3027" w:type="dxa"/>
            <w:tcBorders>
              <w:left w:val="single" w:sz="6" w:space="0" w:color="auto"/>
            </w:tcBorders>
            <w:shd w:val="clear" w:color="auto" w:fill="auto"/>
            <w:vAlign w:val="bottom"/>
          </w:tcPr>
          <w:p w14:paraId="4B1483C2" w14:textId="77777777" w:rsidR="00AF4CE7" w:rsidRPr="001521F8" w:rsidRDefault="00AF4CE7" w:rsidP="00AF4CE7">
            <w:pPr>
              <w:widowControl/>
              <w:tabs>
                <w:tab w:val="left" w:pos="227"/>
                <w:tab w:val="left" w:pos="397"/>
                <w:tab w:val="left" w:pos="567"/>
              </w:tabs>
              <w:spacing w:line="180" w:lineRule="exact"/>
              <w:ind w:left="193" w:hanging="142"/>
              <w:jc w:val="left"/>
              <w:rPr>
                <w:sz w:val="16"/>
                <w:szCs w:val="16"/>
                <w:rtl/>
              </w:rPr>
            </w:pPr>
            <w:r w:rsidRPr="001521F8">
              <w:rPr>
                <w:sz w:val="16"/>
                <w:szCs w:val="16"/>
                <w:rtl/>
              </w:rPr>
              <w:t xml:space="preserve">רווח </w:t>
            </w:r>
            <w:r w:rsidRPr="001521F8">
              <w:rPr>
                <w:rFonts w:hint="cs"/>
                <w:sz w:val="16"/>
                <w:szCs w:val="16"/>
                <w:rtl/>
              </w:rPr>
              <w:t xml:space="preserve">נקי </w:t>
            </w:r>
            <w:r w:rsidRPr="001521F8">
              <w:rPr>
                <w:sz w:val="16"/>
                <w:szCs w:val="16"/>
                <w:rtl/>
              </w:rPr>
              <w:t xml:space="preserve">(הפסד) </w:t>
            </w:r>
          </w:p>
        </w:tc>
        <w:tc>
          <w:tcPr>
            <w:tcW w:w="113" w:type="dxa"/>
            <w:shd w:val="clear" w:color="auto" w:fill="auto"/>
            <w:vAlign w:val="bottom"/>
          </w:tcPr>
          <w:p w14:paraId="6D0F7E71" w14:textId="77777777" w:rsidR="00AF4CE7" w:rsidRPr="00B305E0" w:rsidRDefault="00AF4CE7" w:rsidP="00AF4CE7">
            <w:pPr>
              <w:spacing w:line="180" w:lineRule="exact"/>
              <w:rPr>
                <w:sz w:val="18"/>
                <w:szCs w:val="18"/>
              </w:rPr>
            </w:pPr>
          </w:p>
        </w:tc>
        <w:tc>
          <w:tcPr>
            <w:tcW w:w="907" w:type="dxa"/>
            <w:tcBorders>
              <w:bottom w:val="double" w:sz="6" w:space="0" w:color="auto"/>
            </w:tcBorders>
            <w:shd w:val="clear" w:color="auto" w:fill="auto"/>
            <w:vAlign w:val="bottom"/>
          </w:tcPr>
          <w:p w14:paraId="0672B482"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798391A6" w14:textId="77777777" w:rsidR="00AF4CE7" w:rsidRPr="00B305E0" w:rsidRDefault="00AF4CE7" w:rsidP="00AF4CE7">
            <w:pPr>
              <w:tabs>
                <w:tab w:val="decimal" w:pos="113"/>
              </w:tabs>
              <w:spacing w:line="180" w:lineRule="exact"/>
              <w:rPr>
                <w:sz w:val="18"/>
                <w:szCs w:val="18"/>
              </w:rPr>
            </w:pPr>
          </w:p>
        </w:tc>
        <w:tc>
          <w:tcPr>
            <w:tcW w:w="907" w:type="dxa"/>
            <w:gridSpan w:val="2"/>
            <w:tcBorders>
              <w:bottom w:val="double" w:sz="6" w:space="0" w:color="auto"/>
            </w:tcBorders>
            <w:shd w:val="clear" w:color="auto" w:fill="auto"/>
            <w:vAlign w:val="bottom"/>
          </w:tcPr>
          <w:p w14:paraId="477796DF"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1E3D5BB"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2C8B5647"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879B87B"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70A74CF4"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D4019A9" w14:textId="77777777" w:rsidR="00AF4CE7" w:rsidRPr="00B305E0" w:rsidRDefault="00AF4CE7" w:rsidP="00AF4CE7">
            <w:pPr>
              <w:tabs>
                <w:tab w:val="decimal" w:pos="113"/>
              </w:tabs>
              <w:spacing w:line="180" w:lineRule="exact"/>
              <w:rPr>
                <w:sz w:val="18"/>
                <w:szCs w:val="18"/>
              </w:rPr>
            </w:pPr>
          </w:p>
        </w:tc>
        <w:tc>
          <w:tcPr>
            <w:tcW w:w="1061" w:type="dxa"/>
            <w:tcBorders>
              <w:bottom w:val="double" w:sz="6" w:space="0" w:color="auto"/>
            </w:tcBorders>
            <w:shd w:val="clear" w:color="auto" w:fill="auto"/>
            <w:vAlign w:val="bottom"/>
          </w:tcPr>
          <w:p w14:paraId="7F254D52" w14:textId="77777777" w:rsidR="00AF4CE7" w:rsidRPr="00B305E0" w:rsidRDefault="00AF4CE7" w:rsidP="00AF4CE7">
            <w:pPr>
              <w:tabs>
                <w:tab w:val="decimal" w:pos="113"/>
              </w:tabs>
              <w:spacing w:line="180" w:lineRule="exact"/>
              <w:rPr>
                <w:sz w:val="18"/>
                <w:szCs w:val="18"/>
                <w:rtl/>
              </w:rPr>
            </w:pPr>
          </w:p>
        </w:tc>
      </w:tr>
    </w:tbl>
    <w:p w14:paraId="3D3E8486" w14:textId="77777777" w:rsidR="008D22FA" w:rsidRPr="008257D7" w:rsidRDefault="00365367" w:rsidP="00DB5346">
      <w:pPr>
        <w:spacing w:line="160" w:lineRule="exact"/>
        <w:rPr>
          <w:sz w:val="16"/>
          <w:szCs w:val="16"/>
          <w:rtl/>
        </w:rPr>
      </w:pPr>
      <w:r w:rsidRPr="008257D7">
        <w:rPr>
          <w:rFonts w:hint="cs"/>
          <w:sz w:val="16"/>
          <w:szCs w:val="16"/>
          <w:rtl/>
        </w:rPr>
        <w:t>*)</w:t>
      </w:r>
      <w:r w:rsidRPr="008257D7">
        <w:rPr>
          <w:rFonts w:hint="cs"/>
          <w:sz w:val="16"/>
          <w:szCs w:val="16"/>
          <w:rtl/>
        </w:rPr>
        <w:tab/>
        <w:t xml:space="preserve">הוצג מחדש, ראה באור </w:t>
      </w:r>
      <w:r w:rsidR="00F2585A" w:rsidRPr="008257D7">
        <w:rPr>
          <w:sz w:val="16"/>
          <w:szCs w:val="16"/>
          <w:shd w:val="clear" w:color="auto" w:fill="D9D9D9" w:themeFill="background1" w:themeFillShade="D9"/>
          <w:rtl/>
        </w:rPr>
        <w:t>____</w:t>
      </w:r>
      <w:r w:rsidRPr="008257D7">
        <w:rPr>
          <w:rFonts w:hint="cs"/>
          <w:sz w:val="16"/>
          <w:szCs w:val="16"/>
          <w:rtl/>
        </w:rPr>
        <w:t>.</w:t>
      </w:r>
    </w:p>
    <w:p w14:paraId="226EDC14" w14:textId="77777777" w:rsidR="00E53258" w:rsidRPr="008257D7" w:rsidRDefault="00E53258" w:rsidP="00E53258">
      <w:pPr>
        <w:ind w:left="567" w:hanging="567"/>
        <w:rPr>
          <w:sz w:val="16"/>
          <w:szCs w:val="16"/>
          <w:rtl/>
        </w:rPr>
      </w:pPr>
      <w:r w:rsidRPr="008257D7">
        <w:rPr>
          <w:rFonts w:hint="cs"/>
          <w:sz w:val="16"/>
          <w:szCs w:val="16"/>
          <w:rtl/>
        </w:rPr>
        <w:t>**)</w:t>
      </w:r>
      <w:r w:rsidRPr="008257D7">
        <w:rPr>
          <w:sz w:val="16"/>
          <w:szCs w:val="16"/>
          <w:rtl/>
        </w:rPr>
        <w:tab/>
      </w:r>
      <w:r w:rsidRPr="008257D7">
        <w:rPr>
          <w:rFonts w:hint="cs"/>
          <w:sz w:val="16"/>
          <w:szCs w:val="16"/>
          <w:rtl/>
        </w:rPr>
        <w:t xml:space="preserve">יושם למפרע, ראה באור </w:t>
      </w:r>
      <w:r w:rsidRPr="008257D7">
        <w:rPr>
          <w:rFonts w:hint="cs"/>
          <w:sz w:val="16"/>
          <w:szCs w:val="16"/>
          <w:shd w:val="clear" w:color="auto" w:fill="D9D9D9" w:themeFill="background1" w:themeFillShade="D9"/>
          <w:rtl/>
        </w:rPr>
        <w:t>__</w:t>
      </w:r>
      <w:r w:rsidR="00376906" w:rsidRPr="008257D7">
        <w:rPr>
          <w:rFonts w:hint="cs"/>
          <w:sz w:val="16"/>
          <w:szCs w:val="16"/>
          <w:shd w:val="clear" w:color="auto" w:fill="D9D9D9" w:themeFill="background1" w:themeFillShade="D9"/>
          <w:rtl/>
        </w:rPr>
        <w:t>_</w:t>
      </w:r>
      <w:r w:rsidRPr="008257D7">
        <w:rPr>
          <w:rFonts w:hint="cs"/>
          <w:sz w:val="16"/>
          <w:szCs w:val="16"/>
          <w:shd w:val="clear" w:color="auto" w:fill="D9D9D9" w:themeFill="background1" w:themeFillShade="D9"/>
          <w:rtl/>
        </w:rPr>
        <w:t>_</w:t>
      </w:r>
      <w:r w:rsidRPr="008257D7">
        <w:rPr>
          <w:rFonts w:hint="cs"/>
          <w:sz w:val="16"/>
          <w:szCs w:val="16"/>
          <w:rtl/>
        </w:rPr>
        <w:t>.</w:t>
      </w:r>
    </w:p>
    <w:p w14:paraId="11FDA51D" w14:textId="77777777" w:rsidR="00D765A9" w:rsidRPr="008257D7" w:rsidRDefault="00D765A9" w:rsidP="00DB5346">
      <w:pPr>
        <w:spacing w:line="160" w:lineRule="exact"/>
        <w:ind w:left="567" w:hanging="567"/>
        <w:rPr>
          <w:sz w:val="16"/>
          <w:szCs w:val="16"/>
          <w:rtl/>
        </w:rPr>
      </w:pPr>
      <w:r w:rsidRPr="008257D7">
        <w:rPr>
          <w:rFonts w:hint="cs"/>
          <w:sz w:val="16"/>
          <w:szCs w:val="16"/>
          <w:rtl/>
        </w:rPr>
        <w:t>*</w:t>
      </w:r>
      <w:r w:rsidR="00E53258" w:rsidRPr="008257D7">
        <w:rPr>
          <w:rFonts w:hint="cs"/>
          <w:sz w:val="16"/>
          <w:szCs w:val="16"/>
          <w:rtl/>
        </w:rPr>
        <w:t>*</w:t>
      </w:r>
      <w:r w:rsidRPr="008257D7">
        <w:rPr>
          <w:rFonts w:hint="cs"/>
          <w:sz w:val="16"/>
          <w:szCs w:val="16"/>
          <w:rtl/>
        </w:rPr>
        <w:t>*)</w:t>
      </w:r>
      <w:r w:rsidRPr="008257D7">
        <w:rPr>
          <w:sz w:val="16"/>
          <w:szCs w:val="16"/>
          <w:rtl/>
        </w:rPr>
        <w:tab/>
      </w:r>
      <w:r w:rsidRPr="008257D7">
        <w:rPr>
          <w:rFonts w:hint="cs"/>
          <w:sz w:val="16"/>
          <w:szCs w:val="16"/>
          <w:rtl/>
        </w:rPr>
        <w:t xml:space="preserve">התאמה לא מהותית של מספרי השוואה, ראה </w:t>
      </w:r>
      <w:r w:rsidR="002D2FBD" w:rsidRPr="008257D7">
        <w:rPr>
          <w:rFonts w:hint="cs"/>
          <w:sz w:val="16"/>
          <w:szCs w:val="16"/>
          <w:rtl/>
        </w:rPr>
        <w:t>באור</w:t>
      </w:r>
      <w:r w:rsidRPr="008257D7">
        <w:rPr>
          <w:rFonts w:hint="cs"/>
          <w:sz w:val="16"/>
          <w:szCs w:val="16"/>
          <w:rtl/>
        </w:rPr>
        <w:t xml:space="preserve"> ___.</w:t>
      </w:r>
    </w:p>
    <w:p w14:paraId="774B9EC2" w14:textId="77777777" w:rsidR="00AB7D68" w:rsidRPr="008257D7" w:rsidRDefault="00AB7D68">
      <w:pPr>
        <w:rPr>
          <w:sz w:val="16"/>
          <w:szCs w:val="16"/>
          <w:rtl/>
        </w:rPr>
      </w:pPr>
      <w:r w:rsidRPr="008257D7">
        <w:rPr>
          <w:rFonts w:hint="cs"/>
          <w:sz w:val="16"/>
          <w:szCs w:val="16"/>
          <w:rtl/>
        </w:rPr>
        <w:t>הבאורים המצורפים מהווים חלק בלתי נפרד מהדוחות הכספיים ביניים מאוחדים.</w:t>
      </w:r>
    </w:p>
    <w:p w14:paraId="2B16668C" w14:textId="77777777" w:rsidR="00AB7D68" w:rsidRDefault="00AB7D68">
      <w:pPr>
        <w:pStyle w:val="1"/>
        <w:rPr>
          <w:rtl/>
        </w:rPr>
      </w:pPr>
      <w:r>
        <w:rPr>
          <w:szCs w:val="22"/>
          <w:rtl/>
        </w:rPr>
        <w:br w:type="page"/>
      </w:r>
      <w:r>
        <w:rPr>
          <w:rtl/>
        </w:rPr>
        <w:lastRenderedPageBreak/>
        <w:t xml:space="preserve">דוחות </w:t>
      </w:r>
      <w:r>
        <w:rPr>
          <w:rFonts w:hint="cs"/>
          <w:rtl/>
        </w:rPr>
        <w:t>מאוחדים על הרווח הכולל</w:t>
      </w:r>
    </w:p>
    <w:p w14:paraId="4A4B8BE7" w14:textId="77777777" w:rsidR="00AD2383" w:rsidRDefault="00AD2383"/>
    <w:tbl>
      <w:tblPr>
        <w:bidiVisual/>
        <w:tblW w:w="9696" w:type="dxa"/>
        <w:tblInd w:w="-88" w:type="dxa"/>
        <w:tblLayout w:type="fixed"/>
        <w:tblCellMar>
          <w:left w:w="0" w:type="dxa"/>
          <w:right w:w="0" w:type="dxa"/>
        </w:tblCellMar>
        <w:tblLook w:val="01E0" w:firstRow="1" w:lastRow="1" w:firstColumn="1" w:lastColumn="1" w:noHBand="0" w:noVBand="0"/>
      </w:tblPr>
      <w:tblGrid>
        <w:gridCol w:w="1409"/>
        <w:gridCol w:w="2902"/>
        <w:gridCol w:w="113"/>
        <w:gridCol w:w="841"/>
        <w:gridCol w:w="66"/>
        <w:gridCol w:w="113"/>
        <w:gridCol w:w="907"/>
        <w:gridCol w:w="113"/>
        <w:gridCol w:w="907"/>
        <w:gridCol w:w="113"/>
        <w:gridCol w:w="907"/>
        <w:gridCol w:w="113"/>
        <w:gridCol w:w="1192"/>
      </w:tblGrid>
      <w:tr w:rsidR="006D1E38" w:rsidRPr="00037153" w14:paraId="2AB2A4AF" w14:textId="77777777" w:rsidTr="001521F8">
        <w:tc>
          <w:tcPr>
            <w:tcW w:w="1409" w:type="dxa"/>
            <w:tcBorders>
              <w:bottom w:val="single" w:sz="6" w:space="0" w:color="auto"/>
              <w:right w:val="single" w:sz="6" w:space="0" w:color="auto"/>
            </w:tcBorders>
            <w:vAlign w:val="center"/>
          </w:tcPr>
          <w:p w14:paraId="2B721FD2" w14:textId="77777777" w:rsidR="00892691" w:rsidRPr="00225368" w:rsidRDefault="00396313" w:rsidP="00037153">
            <w:pPr>
              <w:tabs>
                <w:tab w:val="left" w:pos="227"/>
                <w:tab w:val="left" w:pos="397"/>
                <w:tab w:val="left" w:pos="567"/>
              </w:tabs>
              <w:bidi w:val="0"/>
              <w:spacing w:line="200" w:lineRule="exact"/>
              <w:ind w:right="113"/>
              <w:jc w:val="right"/>
              <w:rPr>
                <w:i/>
                <w:iCs/>
                <w:sz w:val="14"/>
                <w:szCs w:val="16"/>
              </w:rPr>
            </w:pPr>
            <w:r w:rsidRPr="00225368">
              <w:rPr>
                <w:i/>
                <w:iCs/>
                <w:sz w:val="14"/>
                <w:szCs w:val="16"/>
              </w:rPr>
              <w:t>IAS 1.10(b); IAS 1.51(b), (c); IAS 1.81(b); IAS 34.10</w:t>
            </w:r>
          </w:p>
        </w:tc>
        <w:tc>
          <w:tcPr>
            <w:tcW w:w="2902" w:type="dxa"/>
            <w:tcBorders>
              <w:left w:val="single" w:sz="6" w:space="0" w:color="auto"/>
            </w:tcBorders>
            <w:shd w:val="clear" w:color="auto" w:fill="auto"/>
            <w:vAlign w:val="bottom"/>
          </w:tcPr>
          <w:p w14:paraId="543B8FBB" w14:textId="77777777" w:rsidR="00892691" w:rsidRPr="00037153" w:rsidRDefault="00892691" w:rsidP="00037153">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0C05EDFA" w14:textId="77777777" w:rsidR="00892691" w:rsidRPr="00037153" w:rsidRDefault="00892691" w:rsidP="00037153">
            <w:pPr>
              <w:spacing w:line="200" w:lineRule="exact"/>
              <w:rPr>
                <w:sz w:val="18"/>
                <w:szCs w:val="20"/>
                <w:rtl/>
              </w:rPr>
            </w:pPr>
          </w:p>
        </w:tc>
        <w:tc>
          <w:tcPr>
            <w:tcW w:w="1927" w:type="dxa"/>
            <w:gridSpan w:val="4"/>
            <w:tcBorders>
              <w:bottom w:val="single" w:sz="6" w:space="0" w:color="auto"/>
            </w:tcBorders>
            <w:shd w:val="clear" w:color="auto" w:fill="auto"/>
            <w:vAlign w:val="bottom"/>
          </w:tcPr>
          <w:p w14:paraId="5A8738A8" w14:textId="77777777" w:rsidR="00892691" w:rsidRPr="00037153" w:rsidRDefault="00892691" w:rsidP="00037153">
            <w:pPr>
              <w:spacing w:line="200" w:lineRule="exact"/>
              <w:jc w:val="center"/>
              <w:rPr>
                <w:sz w:val="18"/>
                <w:szCs w:val="20"/>
                <w:rtl/>
              </w:rPr>
            </w:pPr>
            <w:r w:rsidRPr="00037153">
              <w:rPr>
                <w:rFonts w:hint="eastAsia"/>
                <w:sz w:val="18"/>
                <w:szCs w:val="20"/>
                <w:rtl/>
              </w:rPr>
              <w:t>ל</w:t>
            </w:r>
            <w:r w:rsidRPr="00037153">
              <w:rPr>
                <w:sz w:val="18"/>
                <w:szCs w:val="20"/>
                <w:rtl/>
              </w:rPr>
              <w:t xml:space="preserve">-9 </w:t>
            </w:r>
            <w:r w:rsidRPr="00037153">
              <w:rPr>
                <w:rFonts w:hint="eastAsia"/>
                <w:sz w:val="18"/>
                <w:szCs w:val="20"/>
                <w:rtl/>
              </w:rPr>
              <w:t>החודשים</w:t>
            </w:r>
            <w:r w:rsidRPr="00037153">
              <w:rPr>
                <w:sz w:val="18"/>
                <w:szCs w:val="20"/>
                <w:rtl/>
              </w:rPr>
              <w:t xml:space="preserve"> </w:t>
            </w:r>
            <w:r w:rsidRPr="00037153">
              <w:rPr>
                <w:rFonts w:hint="eastAsia"/>
                <w:sz w:val="18"/>
                <w:szCs w:val="20"/>
                <w:rtl/>
              </w:rPr>
              <w:t>שהסתיימו</w:t>
            </w:r>
            <w:r w:rsidRPr="00037153">
              <w:rPr>
                <w:sz w:val="18"/>
                <w:szCs w:val="20"/>
                <w:rtl/>
              </w:rPr>
              <w:t xml:space="preserve"> </w:t>
            </w:r>
            <w:r w:rsidRPr="00037153">
              <w:rPr>
                <w:rFonts w:hint="eastAsia"/>
                <w:sz w:val="18"/>
                <w:szCs w:val="20"/>
                <w:rtl/>
              </w:rPr>
              <w:t>ביום</w:t>
            </w:r>
            <w:r w:rsidRPr="00037153">
              <w:rPr>
                <w:sz w:val="18"/>
                <w:szCs w:val="20"/>
                <w:rtl/>
              </w:rPr>
              <w:t xml:space="preserve"> 30 </w:t>
            </w:r>
            <w:r w:rsidRPr="00037153">
              <w:rPr>
                <w:rFonts w:hint="eastAsia"/>
                <w:sz w:val="18"/>
                <w:szCs w:val="20"/>
                <w:rtl/>
              </w:rPr>
              <w:t>בספטמבר</w:t>
            </w:r>
          </w:p>
        </w:tc>
        <w:tc>
          <w:tcPr>
            <w:tcW w:w="113" w:type="dxa"/>
            <w:shd w:val="clear" w:color="auto" w:fill="auto"/>
            <w:vAlign w:val="bottom"/>
          </w:tcPr>
          <w:p w14:paraId="10955EA6" w14:textId="77777777" w:rsidR="00892691" w:rsidRPr="00037153" w:rsidRDefault="00892691" w:rsidP="00037153">
            <w:pPr>
              <w:spacing w:line="200" w:lineRule="exact"/>
              <w:jc w:val="center"/>
              <w:rPr>
                <w:sz w:val="18"/>
                <w:szCs w:val="20"/>
              </w:rPr>
            </w:pPr>
          </w:p>
        </w:tc>
        <w:tc>
          <w:tcPr>
            <w:tcW w:w="1927" w:type="dxa"/>
            <w:gridSpan w:val="3"/>
            <w:tcBorders>
              <w:bottom w:val="single" w:sz="6" w:space="0" w:color="auto"/>
            </w:tcBorders>
            <w:shd w:val="clear" w:color="auto" w:fill="auto"/>
            <w:vAlign w:val="bottom"/>
          </w:tcPr>
          <w:p w14:paraId="4D5CC312" w14:textId="77777777" w:rsidR="00892691" w:rsidRPr="00037153" w:rsidRDefault="00892691" w:rsidP="00037153">
            <w:pPr>
              <w:spacing w:line="200" w:lineRule="exact"/>
              <w:jc w:val="center"/>
              <w:rPr>
                <w:sz w:val="18"/>
                <w:szCs w:val="20"/>
                <w:rtl/>
              </w:rPr>
            </w:pPr>
            <w:r w:rsidRPr="00037153">
              <w:rPr>
                <w:rFonts w:hint="eastAsia"/>
                <w:sz w:val="18"/>
                <w:szCs w:val="20"/>
                <w:rtl/>
              </w:rPr>
              <w:t>ל</w:t>
            </w:r>
            <w:r w:rsidRPr="00037153">
              <w:rPr>
                <w:sz w:val="18"/>
                <w:szCs w:val="20"/>
                <w:rtl/>
              </w:rPr>
              <w:t xml:space="preserve">-3 </w:t>
            </w:r>
            <w:r w:rsidRPr="00037153">
              <w:rPr>
                <w:rFonts w:hint="eastAsia"/>
                <w:sz w:val="18"/>
                <w:szCs w:val="20"/>
                <w:rtl/>
              </w:rPr>
              <w:t>החודשים</w:t>
            </w:r>
            <w:r w:rsidRPr="00037153">
              <w:rPr>
                <w:sz w:val="18"/>
                <w:szCs w:val="20"/>
                <w:rtl/>
              </w:rPr>
              <w:t xml:space="preserve"> </w:t>
            </w:r>
            <w:r w:rsidRPr="00037153">
              <w:rPr>
                <w:rFonts w:hint="eastAsia"/>
                <w:sz w:val="18"/>
                <w:szCs w:val="20"/>
                <w:rtl/>
              </w:rPr>
              <w:t>שהסתיימו</w:t>
            </w:r>
            <w:r w:rsidRPr="00037153">
              <w:rPr>
                <w:sz w:val="18"/>
                <w:szCs w:val="20"/>
                <w:rtl/>
              </w:rPr>
              <w:t xml:space="preserve"> </w:t>
            </w:r>
            <w:r w:rsidRPr="00037153">
              <w:rPr>
                <w:rFonts w:hint="eastAsia"/>
                <w:sz w:val="18"/>
                <w:szCs w:val="20"/>
                <w:rtl/>
              </w:rPr>
              <w:t>ביום</w:t>
            </w:r>
            <w:r w:rsidRPr="00037153">
              <w:rPr>
                <w:sz w:val="18"/>
                <w:szCs w:val="20"/>
                <w:rtl/>
              </w:rPr>
              <w:t xml:space="preserve"> 30 </w:t>
            </w:r>
            <w:r w:rsidRPr="00037153">
              <w:rPr>
                <w:rFonts w:hint="eastAsia"/>
                <w:sz w:val="18"/>
                <w:szCs w:val="20"/>
                <w:rtl/>
              </w:rPr>
              <w:t>בספטמבר</w:t>
            </w:r>
          </w:p>
        </w:tc>
        <w:tc>
          <w:tcPr>
            <w:tcW w:w="113" w:type="dxa"/>
            <w:shd w:val="clear" w:color="auto" w:fill="auto"/>
            <w:vAlign w:val="bottom"/>
          </w:tcPr>
          <w:p w14:paraId="7AB46F4A" w14:textId="77777777" w:rsidR="00892691" w:rsidRPr="00037153" w:rsidRDefault="00892691" w:rsidP="00037153">
            <w:pPr>
              <w:tabs>
                <w:tab w:val="decimal" w:pos="113"/>
              </w:tabs>
              <w:spacing w:line="200" w:lineRule="exact"/>
              <w:jc w:val="center"/>
              <w:rPr>
                <w:sz w:val="18"/>
                <w:szCs w:val="20"/>
              </w:rPr>
            </w:pPr>
          </w:p>
        </w:tc>
        <w:tc>
          <w:tcPr>
            <w:tcW w:w="1192" w:type="dxa"/>
            <w:shd w:val="clear" w:color="auto" w:fill="auto"/>
            <w:vAlign w:val="bottom"/>
          </w:tcPr>
          <w:p w14:paraId="771E5D58" w14:textId="77777777" w:rsidR="00892691" w:rsidRPr="00037153" w:rsidRDefault="00892691" w:rsidP="00037153">
            <w:pPr>
              <w:spacing w:line="200" w:lineRule="exact"/>
              <w:jc w:val="center"/>
              <w:rPr>
                <w:sz w:val="18"/>
                <w:szCs w:val="20"/>
                <w:rtl/>
              </w:rPr>
            </w:pPr>
            <w:r w:rsidRPr="00037153">
              <w:rPr>
                <w:rFonts w:hint="eastAsia"/>
                <w:sz w:val="18"/>
                <w:szCs w:val="20"/>
                <w:rtl/>
              </w:rPr>
              <w:t>לשנה</w:t>
            </w:r>
            <w:r w:rsidRPr="00037153">
              <w:rPr>
                <w:sz w:val="18"/>
                <w:szCs w:val="20"/>
                <w:rtl/>
              </w:rPr>
              <w:t xml:space="preserve"> </w:t>
            </w:r>
            <w:r w:rsidRPr="00037153">
              <w:rPr>
                <w:rFonts w:hint="eastAsia"/>
                <w:sz w:val="18"/>
                <w:szCs w:val="20"/>
                <w:rtl/>
              </w:rPr>
              <w:t>שהסתיימה</w:t>
            </w:r>
            <w:r w:rsidRPr="00037153">
              <w:rPr>
                <w:sz w:val="18"/>
                <w:szCs w:val="20"/>
                <w:rtl/>
              </w:rPr>
              <w:t xml:space="preserve"> </w:t>
            </w:r>
            <w:r w:rsidRPr="00037153">
              <w:rPr>
                <w:rFonts w:hint="eastAsia"/>
                <w:sz w:val="18"/>
                <w:szCs w:val="20"/>
                <w:rtl/>
              </w:rPr>
              <w:t>ביום</w:t>
            </w:r>
          </w:p>
          <w:p w14:paraId="62EFF5B9" w14:textId="77777777" w:rsidR="00892691" w:rsidRPr="00037153" w:rsidRDefault="00892691" w:rsidP="00037153">
            <w:pPr>
              <w:spacing w:line="200" w:lineRule="exact"/>
              <w:jc w:val="center"/>
              <w:rPr>
                <w:sz w:val="18"/>
                <w:szCs w:val="20"/>
                <w:rtl/>
              </w:rPr>
            </w:pPr>
            <w:r w:rsidRPr="00037153">
              <w:rPr>
                <w:sz w:val="18"/>
                <w:szCs w:val="20"/>
                <w:rtl/>
              </w:rPr>
              <w:t xml:space="preserve">31 </w:t>
            </w:r>
            <w:r w:rsidRPr="00037153">
              <w:rPr>
                <w:rFonts w:hint="eastAsia"/>
                <w:sz w:val="18"/>
                <w:szCs w:val="20"/>
                <w:rtl/>
              </w:rPr>
              <w:t>בדצמבר</w:t>
            </w:r>
          </w:p>
        </w:tc>
      </w:tr>
      <w:tr w:rsidR="00AF4CE7" w:rsidRPr="00037153" w14:paraId="7B1ADBC9" w14:textId="77777777" w:rsidTr="001521F8">
        <w:tc>
          <w:tcPr>
            <w:tcW w:w="1409" w:type="dxa"/>
            <w:tcBorders>
              <w:top w:val="single" w:sz="6" w:space="0" w:color="auto"/>
            </w:tcBorders>
          </w:tcPr>
          <w:p w14:paraId="22648553" w14:textId="77777777" w:rsidR="00AF4CE7" w:rsidRPr="00037153" w:rsidRDefault="00AF4CE7" w:rsidP="00AF4CE7">
            <w:pPr>
              <w:tabs>
                <w:tab w:val="left" w:pos="227"/>
                <w:tab w:val="left" w:pos="397"/>
                <w:tab w:val="left" w:pos="567"/>
              </w:tabs>
              <w:bidi w:val="0"/>
              <w:spacing w:line="200" w:lineRule="exact"/>
              <w:ind w:right="113"/>
              <w:jc w:val="right"/>
              <w:rPr>
                <w:i/>
                <w:iCs/>
                <w:sz w:val="18"/>
                <w:szCs w:val="20"/>
                <w:rtl/>
              </w:rPr>
            </w:pPr>
          </w:p>
        </w:tc>
        <w:tc>
          <w:tcPr>
            <w:tcW w:w="2902" w:type="dxa"/>
            <w:shd w:val="clear" w:color="auto" w:fill="auto"/>
            <w:vAlign w:val="bottom"/>
          </w:tcPr>
          <w:p w14:paraId="055B7A07" w14:textId="77777777" w:rsidR="00AF4CE7" w:rsidRPr="00037153" w:rsidRDefault="00AF4CE7" w:rsidP="00AF4CE7">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21650CDA" w14:textId="77777777" w:rsidR="00AF4CE7" w:rsidRPr="00037153" w:rsidRDefault="00AF4CE7" w:rsidP="00AF4CE7">
            <w:pPr>
              <w:spacing w:line="200" w:lineRule="exact"/>
              <w:rPr>
                <w:sz w:val="18"/>
                <w:szCs w:val="20"/>
                <w:rtl/>
              </w:rPr>
            </w:pPr>
          </w:p>
        </w:tc>
        <w:tc>
          <w:tcPr>
            <w:tcW w:w="907" w:type="dxa"/>
            <w:gridSpan w:val="2"/>
            <w:tcBorders>
              <w:bottom w:val="single" w:sz="6" w:space="0" w:color="auto"/>
            </w:tcBorders>
            <w:shd w:val="clear" w:color="auto" w:fill="auto"/>
            <w:vAlign w:val="bottom"/>
          </w:tcPr>
          <w:p w14:paraId="3CAAC46A" w14:textId="49175CDF" w:rsidR="00AF4CE7" w:rsidRPr="00AF4CE7" w:rsidRDefault="00AF4CE7" w:rsidP="00AF4CE7">
            <w:pPr>
              <w:spacing w:line="180" w:lineRule="exact"/>
              <w:jc w:val="center"/>
              <w:rPr>
                <w:szCs w:val="20"/>
                <w:u w:val="single"/>
              </w:rPr>
            </w:pPr>
            <w:r w:rsidRPr="00AF4CE7">
              <w:rPr>
                <w:rFonts w:hint="cs"/>
                <w:szCs w:val="20"/>
                <w:rtl/>
              </w:rPr>
              <w:t>2019</w:t>
            </w:r>
          </w:p>
        </w:tc>
        <w:tc>
          <w:tcPr>
            <w:tcW w:w="113" w:type="dxa"/>
            <w:vAlign w:val="bottom"/>
          </w:tcPr>
          <w:p w14:paraId="7E3DD957" w14:textId="77777777" w:rsidR="00AF4CE7" w:rsidRPr="00AF4CE7" w:rsidRDefault="00AF4CE7" w:rsidP="00AF4CE7">
            <w:pPr>
              <w:spacing w:line="180" w:lineRule="exact"/>
              <w:jc w:val="center"/>
              <w:rPr>
                <w:szCs w:val="20"/>
              </w:rPr>
            </w:pPr>
          </w:p>
        </w:tc>
        <w:tc>
          <w:tcPr>
            <w:tcW w:w="907" w:type="dxa"/>
            <w:tcBorders>
              <w:bottom w:val="single" w:sz="6" w:space="0" w:color="auto"/>
            </w:tcBorders>
            <w:shd w:val="clear" w:color="auto" w:fill="auto"/>
            <w:vAlign w:val="bottom"/>
          </w:tcPr>
          <w:p w14:paraId="25C7DFB5" w14:textId="1EB3943E" w:rsidR="00AF4CE7" w:rsidRPr="00AF4CE7" w:rsidRDefault="00AF4CE7" w:rsidP="00AF4CE7">
            <w:pPr>
              <w:spacing w:line="180" w:lineRule="exact"/>
              <w:jc w:val="center"/>
              <w:rPr>
                <w:szCs w:val="20"/>
                <w:u w:val="single"/>
              </w:rPr>
            </w:pPr>
            <w:r w:rsidRPr="00AF4CE7">
              <w:rPr>
                <w:rFonts w:hint="cs"/>
                <w:szCs w:val="20"/>
                <w:rtl/>
              </w:rPr>
              <w:t>2018</w:t>
            </w:r>
          </w:p>
        </w:tc>
        <w:tc>
          <w:tcPr>
            <w:tcW w:w="113" w:type="dxa"/>
            <w:shd w:val="clear" w:color="auto" w:fill="auto"/>
            <w:vAlign w:val="bottom"/>
          </w:tcPr>
          <w:p w14:paraId="7FDDFB64" w14:textId="77777777" w:rsidR="00AF4CE7" w:rsidRPr="00AF4CE7" w:rsidRDefault="00AF4CE7" w:rsidP="00AF4CE7">
            <w:pPr>
              <w:spacing w:line="180" w:lineRule="exact"/>
              <w:jc w:val="center"/>
              <w:rPr>
                <w:szCs w:val="20"/>
              </w:rPr>
            </w:pPr>
          </w:p>
        </w:tc>
        <w:tc>
          <w:tcPr>
            <w:tcW w:w="907" w:type="dxa"/>
            <w:tcBorders>
              <w:bottom w:val="single" w:sz="6" w:space="0" w:color="auto"/>
            </w:tcBorders>
            <w:shd w:val="clear" w:color="auto" w:fill="auto"/>
            <w:vAlign w:val="bottom"/>
          </w:tcPr>
          <w:p w14:paraId="020226F7" w14:textId="51A5244D" w:rsidR="00AF4CE7" w:rsidRPr="00AF4CE7" w:rsidRDefault="00AF4CE7" w:rsidP="00AF4CE7">
            <w:pPr>
              <w:spacing w:line="180" w:lineRule="exact"/>
              <w:jc w:val="center"/>
              <w:rPr>
                <w:szCs w:val="20"/>
                <w:u w:val="single"/>
              </w:rPr>
            </w:pPr>
            <w:r w:rsidRPr="00AF4CE7">
              <w:rPr>
                <w:rFonts w:hint="cs"/>
                <w:szCs w:val="20"/>
                <w:rtl/>
              </w:rPr>
              <w:t>2019</w:t>
            </w:r>
          </w:p>
        </w:tc>
        <w:tc>
          <w:tcPr>
            <w:tcW w:w="113" w:type="dxa"/>
            <w:shd w:val="clear" w:color="auto" w:fill="auto"/>
            <w:vAlign w:val="bottom"/>
          </w:tcPr>
          <w:p w14:paraId="279D7A1E" w14:textId="77777777" w:rsidR="00AF4CE7" w:rsidRPr="00AF4CE7" w:rsidRDefault="00AF4CE7" w:rsidP="00AF4CE7">
            <w:pPr>
              <w:spacing w:line="180" w:lineRule="exact"/>
              <w:jc w:val="center"/>
              <w:rPr>
                <w:szCs w:val="20"/>
              </w:rPr>
            </w:pPr>
          </w:p>
        </w:tc>
        <w:tc>
          <w:tcPr>
            <w:tcW w:w="907" w:type="dxa"/>
            <w:tcBorders>
              <w:bottom w:val="single" w:sz="6" w:space="0" w:color="auto"/>
            </w:tcBorders>
            <w:shd w:val="clear" w:color="auto" w:fill="auto"/>
            <w:vAlign w:val="bottom"/>
          </w:tcPr>
          <w:p w14:paraId="5F62A711" w14:textId="7330E128" w:rsidR="00AF4CE7" w:rsidRPr="00AF4CE7" w:rsidRDefault="00AF4CE7" w:rsidP="00AF4CE7">
            <w:pPr>
              <w:spacing w:line="180" w:lineRule="exact"/>
              <w:jc w:val="center"/>
              <w:rPr>
                <w:szCs w:val="20"/>
                <w:u w:val="single"/>
              </w:rPr>
            </w:pPr>
            <w:r w:rsidRPr="00AF4CE7">
              <w:rPr>
                <w:rFonts w:hint="cs"/>
                <w:szCs w:val="20"/>
                <w:rtl/>
              </w:rPr>
              <w:t>2018</w:t>
            </w:r>
          </w:p>
        </w:tc>
        <w:tc>
          <w:tcPr>
            <w:tcW w:w="113" w:type="dxa"/>
            <w:shd w:val="clear" w:color="auto" w:fill="auto"/>
            <w:vAlign w:val="bottom"/>
          </w:tcPr>
          <w:p w14:paraId="66B023AB" w14:textId="77777777" w:rsidR="00AF4CE7" w:rsidRPr="00AF4CE7" w:rsidRDefault="00AF4CE7" w:rsidP="00AF4CE7">
            <w:pPr>
              <w:tabs>
                <w:tab w:val="decimal" w:pos="113"/>
              </w:tabs>
              <w:spacing w:line="200" w:lineRule="exact"/>
              <w:jc w:val="center"/>
              <w:rPr>
                <w:szCs w:val="20"/>
              </w:rPr>
            </w:pPr>
          </w:p>
        </w:tc>
        <w:tc>
          <w:tcPr>
            <w:tcW w:w="1192" w:type="dxa"/>
            <w:tcBorders>
              <w:bottom w:val="single" w:sz="6" w:space="0" w:color="auto"/>
            </w:tcBorders>
            <w:shd w:val="clear" w:color="auto" w:fill="auto"/>
            <w:vAlign w:val="bottom"/>
          </w:tcPr>
          <w:p w14:paraId="0E5557ED" w14:textId="25CE74AC" w:rsidR="00AF4CE7" w:rsidRPr="00AF4CE7" w:rsidRDefault="00AF4CE7" w:rsidP="00AF4CE7">
            <w:pPr>
              <w:spacing w:line="200" w:lineRule="exact"/>
              <w:jc w:val="center"/>
              <w:rPr>
                <w:szCs w:val="20"/>
                <w:u w:val="single"/>
                <w:rtl/>
              </w:rPr>
            </w:pPr>
            <w:r w:rsidRPr="00AF4CE7">
              <w:rPr>
                <w:rFonts w:hint="cs"/>
                <w:szCs w:val="20"/>
                <w:rtl/>
              </w:rPr>
              <w:t>2018</w:t>
            </w:r>
          </w:p>
        </w:tc>
      </w:tr>
      <w:tr w:rsidR="00AF4CE7" w:rsidRPr="00037153" w14:paraId="6792E8A7" w14:textId="77777777" w:rsidTr="001521F8">
        <w:tc>
          <w:tcPr>
            <w:tcW w:w="1409" w:type="dxa"/>
          </w:tcPr>
          <w:p w14:paraId="506EB32B" w14:textId="77777777" w:rsidR="00AF4CE7" w:rsidRPr="00037153" w:rsidRDefault="00AF4CE7" w:rsidP="00AF4CE7">
            <w:pPr>
              <w:tabs>
                <w:tab w:val="left" w:pos="227"/>
                <w:tab w:val="left" w:pos="397"/>
                <w:tab w:val="left" w:pos="567"/>
              </w:tabs>
              <w:bidi w:val="0"/>
              <w:spacing w:line="200" w:lineRule="exact"/>
              <w:ind w:right="113"/>
              <w:jc w:val="right"/>
              <w:rPr>
                <w:i/>
                <w:iCs/>
                <w:sz w:val="18"/>
                <w:szCs w:val="20"/>
                <w:rtl/>
              </w:rPr>
            </w:pPr>
          </w:p>
        </w:tc>
        <w:tc>
          <w:tcPr>
            <w:tcW w:w="2902" w:type="dxa"/>
            <w:shd w:val="clear" w:color="auto" w:fill="auto"/>
            <w:vAlign w:val="bottom"/>
          </w:tcPr>
          <w:p w14:paraId="41DC49EB" w14:textId="77777777" w:rsidR="00AF4CE7" w:rsidRPr="00037153" w:rsidRDefault="00AF4CE7" w:rsidP="00AF4CE7">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3B0C9948" w14:textId="77777777" w:rsidR="00AF4CE7" w:rsidRPr="00037153" w:rsidRDefault="00AF4CE7" w:rsidP="00AF4CE7">
            <w:pPr>
              <w:spacing w:line="200" w:lineRule="exact"/>
              <w:rPr>
                <w:sz w:val="18"/>
                <w:szCs w:val="20"/>
                <w:rtl/>
              </w:rPr>
            </w:pPr>
          </w:p>
        </w:tc>
        <w:tc>
          <w:tcPr>
            <w:tcW w:w="3967" w:type="dxa"/>
            <w:gridSpan w:val="8"/>
            <w:tcBorders>
              <w:bottom w:val="single" w:sz="6" w:space="0" w:color="auto"/>
            </w:tcBorders>
            <w:shd w:val="clear" w:color="auto" w:fill="auto"/>
            <w:vAlign w:val="bottom"/>
          </w:tcPr>
          <w:p w14:paraId="6D6141FC" w14:textId="77777777" w:rsidR="00AF4CE7" w:rsidRPr="00037153" w:rsidRDefault="00AF4CE7" w:rsidP="00AF4CE7">
            <w:pPr>
              <w:spacing w:line="200" w:lineRule="exact"/>
              <w:jc w:val="center"/>
              <w:rPr>
                <w:sz w:val="18"/>
                <w:szCs w:val="20"/>
              </w:rPr>
            </w:pPr>
            <w:r w:rsidRPr="00037153">
              <w:rPr>
                <w:rFonts w:hint="eastAsia"/>
                <w:sz w:val="18"/>
                <w:szCs w:val="20"/>
                <w:rtl/>
              </w:rPr>
              <w:t>בלתי</w:t>
            </w:r>
            <w:r w:rsidRPr="00037153">
              <w:rPr>
                <w:sz w:val="18"/>
                <w:szCs w:val="20"/>
                <w:rtl/>
              </w:rPr>
              <w:t xml:space="preserve"> </w:t>
            </w:r>
            <w:r w:rsidRPr="00037153">
              <w:rPr>
                <w:rFonts w:hint="eastAsia"/>
                <w:sz w:val="18"/>
                <w:szCs w:val="20"/>
                <w:rtl/>
              </w:rPr>
              <w:t>מבוקר</w:t>
            </w:r>
          </w:p>
        </w:tc>
        <w:tc>
          <w:tcPr>
            <w:tcW w:w="113" w:type="dxa"/>
            <w:shd w:val="clear" w:color="auto" w:fill="auto"/>
            <w:vAlign w:val="bottom"/>
          </w:tcPr>
          <w:p w14:paraId="472D50CA" w14:textId="77777777" w:rsidR="00AF4CE7" w:rsidRPr="00037153" w:rsidRDefault="00AF4CE7" w:rsidP="00AF4CE7">
            <w:pPr>
              <w:tabs>
                <w:tab w:val="decimal" w:pos="113"/>
              </w:tabs>
              <w:spacing w:line="200" w:lineRule="exact"/>
              <w:jc w:val="center"/>
              <w:rPr>
                <w:sz w:val="18"/>
                <w:szCs w:val="20"/>
              </w:rPr>
            </w:pPr>
          </w:p>
        </w:tc>
        <w:tc>
          <w:tcPr>
            <w:tcW w:w="1192" w:type="dxa"/>
            <w:tcBorders>
              <w:bottom w:val="single" w:sz="6" w:space="0" w:color="auto"/>
            </w:tcBorders>
            <w:shd w:val="clear" w:color="auto" w:fill="auto"/>
            <w:vAlign w:val="bottom"/>
          </w:tcPr>
          <w:p w14:paraId="3081331F" w14:textId="77777777" w:rsidR="00AF4CE7" w:rsidRPr="00037153" w:rsidRDefault="00AF4CE7" w:rsidP="00AF4CE7">
            <w:pPr>
              <w:spacing w:line="200" w:lineRule="exact"/>
              <w:jc w:val="center"/>
              <w:rPr>
                <w:sz w:val="18"/>
                <w:szCs w:val="20"/>
              </w:rPr>
            </w:pPr>
            <w:r w:rsidRPr="00037153">
              <w:rPr>
                <w:rFonts w:hint="eastAsia"/>
                <w:sz w:val="18"/>
                <w:szCs w:val="20"/>
                <w:rtl/>
              </w:rPr>
              <w:t>מבוקר</w:t>
            </w:r>
          </w:p>
        </w:tc>
      </w:tr>
      <w:tr w:rsidR="00AF4CE7" w:rsidRPr="00037153" w14:paraId="1D112DFA" w14:textId="77777777" w:rsidTr="001521F8">
        <w:tc>
          <w:tcPr>
            <w:tcW w:w="1409" w:type="dxa"/>
          </w:tcPr>
          <w:p w14:paraId="09F437F2" w14:textId="77777777" w:rsidR="00AF4CE7" w:rsidRPr="00037153" w:rsidRDefault="00AF4CE7" w:rsidP="00AF4CE7">
            <w:pPr>
              <w:pStyle w:val="a3"/>
              <w:tabs>
                <w:tab w:val="left" w:pos="227"/>
                <w:tab w:val="left" w:pos="397"/>
                <w:tab w:val="left" w:pos="567"/>
              </w:tabs>
              <w:bidi w:val="0"/>
              <w:spacing w:line="200" w:lineRule="exact"/>
              <w:ind w:left="0" w:right="113"/>
              <w:jc w:val="right"/>
              <w:rPr>
                <w:i/>
                <w:iCs/>
                <w:sz w:val="18"/>
                <w:szCs w:val="20"/>
                <w:rtl/>
              </w:rPr>
            </w:pPr>
          </w:p>
        </w:tc>
        <w:tc>
          <w:tcPr>
            <w:tcW w:w="2902" w:type="dxa"/>
            <w:shd w:val="clear" w:color="auto" w:fill="auto"/>
            <w:vAlign w:val="bottom"/>
          </w:tcPr>
          <w:p w14:paraId="7912FA41" w14:textId="77777777" w:rsidR="00AF4CE7" w:rsidRPr="00037153" w:rsidRDefault="00AF4CE7" w:rsidP="00AF4CE7">
            <w:pPr>
              <w:pStyle w:val="a3"/>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68178A6B" w14:textId="77777777" w:rsidR="00AF4CE7" w:rsidRPr="00037153" w:rsidRDefault="00AF4CE7" w:rsidP="00AF4CE7">
            <w:pPr>
              <w:tabs>
                <w:tab w:val="decimal" w:pos="113"/>
              </w:tabs>
              <w:spacing w:line="200" w:lineRule="exact"/>
              <w:ind w:left="57"/>
              <w:rPr>
                <w:sz w:val="18"/>
                <w:szCs w:val="20"/>
              </w:rPr>
            </w:pPr>
          </w:p>
        </w:tc>
        <w:tc>
          <w:tcPr>
            <w:tcW w:w="841" w:type="dxa"/>
            <w:tcBorders>
              <w:bottom w:val="single" w:sz="6" w:space="0" w:color="auto"/>
            </w:tcBorders>
            <w:shd w:val="clear" w:color="auto" w:fill="auto"/>
            <w:vAlign w:val="bottom"/>
          </w:tcPr>
          <w:p w14:paraId="6A261FFB" w14:textId="77777777" w:rsidR="00AF4CE7" w:rsidRPr="00225368" w:rsidRDefault="00AF4CE7" w:rsidP="00AF4CE7">
            <w:pPr>
              <w:spacing w:line="200" w:lineRule="exact"/>
              <w:jc w:val="center"/>
              <w:rPr>
                <w:sz w:val="14"/>
                <w:szCs w:val="16"/>
                <w:u w:val="single"/>
              </w:rPr>
            </w:pPr>
            <w:r w:rsidRPr="00225368">
              <w:rPr>
                <w:i/>
                <w:iCs/>
                <w:sz w:val="14"/>
                <w:szCs w:val="16"/>
              </w:rPr>
              <w:t>IAS 1.51(d),(e)</w:t>
            </w:r>
          </w:p>
        </w:tc>
        <w:tc>
          <w:tcPr>
            <w:tcW w:w="4431" w:type="dxa"/>
            <w:gridSpan w:val="9"/>
            <w:tcBorders>
              <w:bottom w:val="single" w:sz="6" w:space="0" w:color="auto"/>
            </w:tcBorders>
            <w:shd w:val="clear" w:color="auto" w:fill="auto"/>
            <w:vAlign w:val="bottom"/>
          </w:tcPr>
          <w:p w14:paraId="53A5DCB7" w14:textId="77777777" w:rsidR="00AF4CE7" w:rsidRPr="00037153" w:rsidRDefault="00AF4CE7" w:rsidP="00AF4CE7">
            <w:pPr>
              <w:spacing w:line="200" w:lineRule="exact"/>
              <w:ind w:left="-284"/>
              <w:jc w:val="center"/>
              <w:rPr>
                <w:sz w:val="18"/>
                <w:szCs w:val="20"/>
                <w:u w:val="single"/>
              </w:rPr>
            </w:pPr>
            <w:r w:rsidRPr="00037153">
              <w:rPr>
                <w:rFonts w:hint="eastAsia"/>
                <w:sz w:val="18"/>
                <w:szCs w:val="20"/>
                <w:rtl/>
              </w:rPr>
              <w:t>אלפי</w:t>
            </w:r>
            <w:r w:rsidRPr="00037153">
              <w:rPr>
                <w:sz w:val="18"/>
                <w:szCs w:val="20"/>
                <w:rtl/>
              </w:rPr>
              <w:t xml:space="preserve"> </w:t>
            </w:r>
            <w:r w:rsidRPr="00037153">
              <w:rPr>
                <w:rFonts w:hint="eastAsia"/>
                <w:sz w:val="18"/>
                <w:szCs w:val="20"/>
                <w:rtl/>
              </w:rPr>
              <w:t>ש</w:t>
            </w:r>
            <w:r w:rsidRPr="00037153">
              <w:rPr>
                <w:sz w:val="18"/>
                <w:szCs w:val="20"/>
                <w:rtl/>
              </w:rPr>
              <w:t>"ח</w:t>
            </w:r>
          </w:p>
        </w:tc>
      </w:tr>
      <w:tr w:rsidR="00AF4CE7" w:rsidRPr="00037153" w14:paraId="433C4C8C" w14:textId="77777777" w:rsidTr="001521F8">
        <w:tc>
          <w:tcPr>
            <w:tcW w:w="1409" w:type="dxa"/>
          </w:tcPr>
          <w:p w14:paraId="371D8CF6" w14:textId="77777777" w:rsidR="00AF4CE7" w:rsidRPr="00037153" w:rsidRDefault="00AF4CE7" w:rsidP="00AF4CE7">
            <w:pPr>
              <w:tabs>
                <w:tab w:val="left" w:pos="227"/>
                <w:tab w:val="left" w:pos="397"/>
                <w:tab w:val="left" w:pos="567"/>
              </w:tabs>
              <w:bidi w:val="0"/>
              <w:spacing w:line="200" w:lineRule="exact"/>
              <w:ind w:right="113"/>
              <w:jc w:val="right"/>
              <w:rPr>
                <w:i/>
                <w:iCs/>
                <w:sz w:val="18"/>
                <w:szCs w:val="20"/>
                <w:rtl/>
              </w:rPr>
            </w:pPr>
          </w:p>
        </w:tc>
        <w:tc>
          <w:tcPr>
            <w:tcW w:w="2902" w:type="dxa"/>
            <w:shd w:val="clear" w:color="auto" w:fill="auto"/>
            <w:vAlign w:val="bottom"/>
          </w:tcPr>
          <w:p w14:paraId="03B59B9A" w14:textId="77777777" w:rsidR="00AF4CE7" w:rsidRPr="00037153" w:rsidRDefault="00AF4CE7" w:rsidP="00AF4CE7">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691F1B70" w14:textId="77777777" w:rsidR="00AF4CE7" w:rsidRPr="00037153" w:rsidRDefault="00AF4CE7" w:rsidP="00AF4CE7">
            <w:pPr>
              <w:spacing w:line="200" w:lineRule="exact"/>
              <w:rPr>
                <w:sz w:val="18"/>
                <w:szCs w:val="20"/>
              </w:rPr>
            </w:pPr>
          </w:p>
        </w:tc>
        <w:tc>
          <w:tcPr>
            <w:tcW w:w="907" w:type="dxa"/>
            <w:gridSpan w:val="2"/>
            <w:tcBorders>
              <w:top w:val="single" w:sz="6" w:space="0" w:color="auto"/>
            </w:tcBorders>
            <w:vAlign w:val="bottom"/>
          </w:tcPr>
          <w:p w14:paraId="696C963D" w14:textId="77777777" w:rsidR="00AF4CE7" w:rsidRPr="00037153" w:rsidRDefault="00AF4CE7" w:rsidP="00AF4CE7">
            <w:pPr>
              <w:tabs>
                <w:tab w:val="decimal" w:pos="113"/>
              </w:tabs>
              <w:spacing w:line="200" w:lineRule="exact"/>
              <w:rPr>
                <w:sz w:val="18"/>
                <w:szCs w:val="20"/>
                <w:rtl/>
              </w:rPr>
            </w:pPr>
          </w:p>
        </w:tc>
        <w:tc>
          <w:tcPr>
            <w:tcW w:w="113" w:type="dxa"/>
            <w:tcBorders>
              <w:top w:val="single" w:sz="6" w:space="0" w:color="auto"/>
            </w:tcBorders>
            <w:vAlign w:val="bottom"/>
          </w:tcPr>
          <w:p w14:paraId="05CC9A59" w14:textId="77777777" w:rsidR="00AF4CE7" w:rsidRPr="00037153" w:rsidRDefault="00AF4CE7" w:rsidP="00AF4CE7">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154A094C" w14:textId="77777777" w:rsidR="00AF4CE7" w:rsidRPr="00037153" w:rsidRDefault="00AF4CE7" w:rsidP="00AF4CE7">
            <w:pPr>
              <w:tabs>
                <w:tab w:val="decimal" w:pos="113"/>
              </w:tabs>
              <w:spacing w:line="200" w:lineRule="exact"/>
              <w:rPr>
                <w:sz w:val="18"/>
                <w:szCs w:val="20"/>
              </w:rPr>
            </w:pPr>
          </w:p>
        </w:tc>
        <w:tc>
          <w:tcPr>
            <w:tcW w:w="113" w:type="dxa"/>
            <w:tcBorders>
              <w:top w:val="single" w:sz="6" w:space="0" w:color="auto"/>
            </w:tcBorders>
            <w:shd w:val="clear" w:color="auto" w:fill="auto"/>
            <w:vAlign w:val="bottom"/>
          </w:tcPr>
          <w:p w14:paraId="54536E97" w14:textId="77777777" w:rsidR="00AF4CE7" w:rsidRPr="00037153" w:rsidRDefault="00AF4CE7" w:rsidP="00AF4CE7">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1FC689B9" w14:textId="77777777" w:rsidR="00AF4CE7" w:rsidRPr="00037153" w:rsidRDefault="00AF4CE7" w:rsidP="00AF4CE7">
            <w:pPr>
              <w:tabs>
                <w:tab w:val="decimal" w:pos="113"/>
              </w:tabs>
              <w:spacing w:line="200" w:lineRule="exact"/>
              <w:rPr>
                <w:sz w:val="18"/>
                <w:szCs w:val="20"/>
                <w:rtl/>
              </w:rPr>
            </w:pPr>
          </w:p>
        </w:tc>
        <w:tc>
          <w:tcPr>
            <w:tcW w:w="113" w:type="dxa"/>
            <w:tcBorders>
              <w:top w:val="single" w:sz="6" w:space="0" w:color="auto"/>
            </w:tcBorders>
            <w:shd w:val="clear" w:color="auto" w:fill="auto"/>
            <w:vAlign w:val="bottom"/>
          </w:tcPr>
          <w:p w14:paraId="1E9E4325" w14:textId="77777777" w:rsidR="00AF4CE7" w:rsidRPr="00037153" w:rsidRDefault="00AF4CE7" w:rsidP="00AF4CE7">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38829A1D" w14:textId="77777777" w:rsidR="00AF4CE7" w:rsidRPr="00037153" w:rsidRDefault="00AF4CE7" w:rsidP="00AF4CE7">
            <w:pPr>
              <w:tabs>
                <w:tab w:val="decimal" w:pos="113"/>
              </w:tabs>
              <w:spacing w:line="200" w:lineRule="exact"/>
              <w:rPr>
                <w:sz w:val="18"/>
                <w:szCs w:val="20"/>
              </w:rPr>
            </w:pPr>
          </w:p>
        </w:tc>
        <w:tc>
          <w:tcPr>
            <w:tcW w:w="113" w:type="dxa"/>
            <w:tcBorders>
              <w:top w:val="single" w:sz="6" w:space="0" w:color="auto"/>
            </w:tcBorders>
            <w:shd w:val="clear" w:color="auto" w:fill="auto"/>
            <w:vAlign w:val="bottom"/>
          </w:tcPr>
          <w:p w14:paraId="055F22CE" w14:textId="77777777" w:rsidR="00AF4CE7" w:rsidRPr="00037153" w:rsidRDefault="00AF4CE7" w:rsidP="00AF4CE7">
            <w:pPr>
              <w:tabs>
                <w:tab w:val="decimal" w:pos="113"/>
              </w:tabs>
              <w:spacing w:line="200" w:lineRule="exact"/>
              <w:rPr>
                <w:sz w:val="18"/>
                <w:szCs w:val="20"/>
              </w:rPr>
            </w:pPr>
          </w:p>
        </w:tc>
        <w:tc>
          <w:tcPr>
            <w:tcW w:w="1192" w:type="dxa"/>
            <w:tcBorders>
              <w:top w:val="single" w:sz="6" w:space="0" w:color="auto"/>
            </w:tcBorders>
            <w:shd w:val="clear" w:color="auto" w:fill="auto"/>
            <w:vAlign w:val="bottom"/>
          </w:tcPr>
          <w:p w14:paraId="2DC6EB44" w14:textId="77777777" w:rsidR="00AF4CE7" w:rsidRPr="00037153" w:rsidRDefault="00AF4CE7" w:rsidP="00AF4CE7">
            <w:pPr>
              <w:tabs>
                <w:tab w:val="decimal" w:pos="113"/>
              </w:tabs>
              <w:spacing w:line="200" w:lineRule="exact"/>
              <w:rPr>
                <w:sz w:val="18"/>
                <w:szCs w:val="20"/>
                <w:rtl/>
              </w:rPr>
            </w:pPr>
          </w:p>
        </w:tc>
      </w:tr>
      <w:tr w:rsidR="00DD74D5" w:rsidRPr="00037153" w14:paraId="25E6AA7F" w14:textId="77777777" w:rsidTr="001521F8">
        <w:tc>
          <w:tcPr>
            <w:tcW w:w="1409" w:type="dxa"/>
            <w:tcBorders>
              <w:bottom w:val="single" w:sz="6" w:space="0" w:color="auto"/>
              <w:right w:val="single" w:sz="6" w:space="0" w:color="auto"/>
            </w:tcBorders>
          </w:tcPr>
          <w:p w14:paraId="7B515D37" w14:textId="37ED3E6B" w:rsidR="00DD74D5" w:rsidRPr="00DD74D5" w:rsidRDefault="00DD74D5" w:rsidP="00DD74D5">
            <w:pPr>
              <w:bidi w:val="0"/>
              <w:spacing w:line="200" w:lineRule="exact"/>
              <w:ind w:right="113"/>
              <w:jc w:val="right"/>
              <w:rPr>
                <w:i/>
                <w:iCs/>
                <w:sz w:val="12"/>
                <w:szCs w:val="14"/>
                <w:rtl/>
              </w:rPr>
            </w:pPr>
            <w:r w:rsidRPr="00DD74D5">
              <w:rPr>
                <w:i/>
                <w:iCs/>
                <w:sz w:val="12"/>
                <w:szCs w:val="14"/>
              </w:rPr>
              <w:t>IAS 1.81A(a)</w:t>
            </w:r>
          </w:p>
        </w:tc>
        <w:tc>
          <w:tcPr>
            <w:tcW w:w="2902" w:type="dxa"/>
            <w:tcBorders>
              <w:left w:val="single" w:sz="6" w:space="0" w:color="auto"/>
            </w:tcBorders>
            <w:shd w:val="clear" w:color="auto" w:fill="auto"/>
            <w:vAlign w:val="bottom"/>
          </w:tcPr>
          <w:p w14:paraId="7B71F652" w14:textId="77777777" w:rsidR="00DD74D5" w:rsidRPr="00037153" w:rsidRDefault="00DD74D5" w:rsidP="00DD74D5">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w:t>
            </w:r>
            <w:r w:rsidRPr="00037153">
              <w:rPr>
                <w:rFonts w:hint="eastAsia"/>
                <w:sz w:val="18"/>
                <w:szCs w:val="20"/>
                <w:rtl/>
              </w:rPr>
              <w:t>נקי</w:t>
            </w:r>
            <w:r w:rsidRPr="00037153">
              <w:rPr>
                <w:sz w:val="18"/>
                <w:szCs w:val="20"/>
                <w:rtl/>
              </w:rPr>
              <w:t xml:space="preserve"> (הפסד)</w:t>
            </w:r>
          </w:p>
        </w:tc>
        <w:tc>
          <w:tcPr>
            <w:tcW w:w="113" w:type="dxa"/>
            <w:shd w:val="clear" w:color="auto" w:fill="auto"/>
            <w:vAlign w:val="bottom"/>
          </w:tcPr>
          <w:p w14:paraId="5E03A4FE" w14:textId="77777777" w:rsidR="00DD74D5" w:rsidRPr="00037153" w:rsidRDefault="00DD74D5" w:rsidP="00DD74D5">
            <w:pPr>
              <w:spacing w:line="200" w:lineRule="exact"/>
              <w:rPr>
                <w:sz w:val="18"/>
                <w:szCs w:val="20"/>
              </w:rPr>
            </w:pPr>
          </w:p>
        </w:tc>
        <w:tc>
          <w:tcPr>
            <w:tcW w:w="907" w:type="dxa"/>
            <w:gridSpan w:val="2"/>
            <w:tcBorders>
              <w:bottom w:val="single" w:sz="6" w:space="0" w:color="auto"/>
            </w:tcBorders>
            <w:shd w:val="clear" w:color="auto" w:fill="auto"/>
            <w:vAlign w:val="bottom"/>
          </w:tcPr>
          <w:p w14:paraId="4CDD9231" w14:textId="77777777" w:rsidR="00DD74D5" w:rsidRPr="00037153" w:rsidRDefault="00DD74D5" w:rsidP="00DD74D5">
            <w:pPr>
              <w:tabs>
                <w:tab w:val="decimal" w:pos="113"/>
              </w:tabs>
              <w:spacing w:line="200" w:lineRule="exact"/>
              <w:rPr>
                <w:sz w:val="18"/>
                <w:szCs w:val="20"/>
                <w:rtl/>
              </w:rPr>
            </w:pPr>
          </w:p>
        </w:tc>
        <w:tc>
          <w:tcPr>
            <w:tcW w:w="113" w:type="dxa"/>
            <w:vAlign w:val="bottom"/>
          </w:tcPr>
          <w:p w14:paraId="6B3E4D8C" w14:textId="77777777" w:rsidR="00DD74D5" w:rsidRPr="00037153" w:rsidRDefault="00DD74D5" w:rsidP="00DD74D5">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5031D557" w14:textId="77777777" w:rsidR="00DD74D5" w:rsidRPr="00037153" w:rsidRDefault="00DD74D5" w:rsidP="00DD74D5">
            <w:pPr>
              <w:tabs>
                <w:tab w:val="decimal" w:pos="113"/>
              </w:tabs>
              <w:spacing w:line="200" w:lineRule="exact"/>
              <w:rPr>
                <w:sz w:val="18"/>
                <w:szCs w:val="20"/>
              </w:rPr>
            </w:pPr>
          </w:p>
        </w:tc>
        <w:tc>
          <w:tcPr>
            <w:tcW w:w="113" w:type="dxa"/>
            <w:shd w:val="clear" w:color="auto" w:fill="auto"/>
            <w:vAlign w:val="bottom"/>
          </w:tcPr>
          <w:p w14:paraId="22D25096" w14:textId="77777777" w:rsidR="00DD74D5" w:rsidRPr="00037153" w:rsidRDefault="00DD74D5" w:rsidP="00DD74D5">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796A4622" w14:textId="77777777" w:rsidR="00DD74D5" w:rsidRPr="00037153" w:rsidRDefault="00DD74D5" w:rsidP="00DD74D5">
            <w:pPr>
              <w:tabs>
                <w:tab w:val="decimal" w:pos="113"/>
              </w:tabs>
              <w:spacing w:line="200" w:lineRule="exact"/>
              <w:rPr>
                <w:sz w:val="18"/>
                <w:szCs w:val="20"/>
                <w:rtl/>
              </w:rPr>
            </w:pPr>
          </w:p>
        </w:tc>
        <w:tc>
          <w:tcPr>
            <w:tcW w:w="113" w:type="dxa"/>
            <w:shd w:val="clear" w:color="auto" w:fill="auto"/>
            <w:vAlign w:val="bottom"/>
          </w:tcPr>
          <w:p w14:paraId="7D1176AA" w14:textId="77777777" w:rsidR="00DD74D5" w:rsidRPr="00037153" w:rsidRDefault="00DD74D5" w:rsidP="00DD74D5">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220262C0" w14:textId="77777777" w:rsidR="00DD74D5" w:rsidRPr="00037153" w:rsidRDefault="00DD74D5" w:rsidP="00DD74D5">
            <w:pPr>
              <w:tabs>
                <w:tab w:val="decimal" w:pos="113"/>
              </w:tabs>
              <w:spacing w:line="200" w:lineRule="exact"/>
              <w:rPr>
                <w:sz w:val="18"/>
                <w:szCs w:val="20"/>
              </w:rPr>
            </w:pPr>
          </w:p>
        </w:tc>
        <w:tc>
          <w:tcPr>
            <w:tcW w:w="113" w:type="dxa"/>
            <w:shd w:val="clear" w:color="auto" w:fill="auto"/>
            <w:vAlign w:val="bottom"/>
          </w:tcPr>
          <w:p w14:paraId="5093377E" w14:textId="77777777" w:rsidR="00DD74D5" w:rsidRPr="00037153" w:rsidRDefault="00DD74D5" w:rsidP="00DD74D5">
            <w:pPr>
              <w:tabs>
                <w:tab w:val="decimal" w:pos="113"/>
              </w:tabs>
              <w:spacing w:line="200" w:lineRule="exact"/>
              <w:rPr>
                <w:sz w:val="18"/>
                <w:szCs w:val="20"/>
              </w:rPr>
            </w:pPr>
          </w:p>
        </w:tc>
        <w:tc>
          <w:tcPr>
            <w:tcW w:w="1192" w:type="dxa"/>
            <w:tcBorders>
              <w:bottom w:val="single" w:sz="6" w:space="0" w:color="auto"/>
            </w:tcBorders>
            <w:shd w:val="clear" w:color="auto" w:fill="auto"/>
            <w:vAlign w:val="bottom"/>
          </w:tcPr>
          <w:p w14:paraId="3AC4AB26" w14:textId="77777777" w:rsidR="00DD74D5" w:rsidRPr="00037153" w:rsidRDefault="00DD74D5" w:rsidP="00DD74D5">
            <w:pPr>
              <w:tabs>
                <w:tab w:val="decimal" w:pos="113"/>
              </w:tabs>
              <w:spacing w:line="200" w:lineRule="exact"/>
              <w:rPr>
                <w:sz w:val="18"/>
                <w:szCs w:val="20"/>
                <w:rtl/>
              </w:rPr>
            </w:pPr>
          </w:p>
        </w:tc>
      </w:tr>
      <w:tr w:rsidR="00AF4CE7" w:rsidRPr="00037153" w14:paraId="5C7D1D19" w14:textId="77777777" w:rsidTr="001521F8">
        <w:tc>
          <w:tcPr>
            <w:tcW w:w="1409" w:type="dxa"/>
            <w:tcBorders>
              <w:top w:val="single" w:sz="6" w:space="0" w:color="auto"/>
            </w:tcBorders>
          </w:tcPr>
          <w:p w14:paraId="1D278DE0" w14:textId="77777777" w:rsidR="00AF4CE7" w:rsidRPr="00037153" w:rsidRDefault="00AF4CE7" w:rsidP="00AF4CE7">
            <w:pPr>
              <w:bidi w:val="0"/>
              <w:spacing w:line="200" w:lineRule="exact"/>
              <w:ind w:right="113"/>
              <w:jc w:val="right"/>
              <w:rPr>
                <w:i/>
                <w:iCs/>
                <w:sz w:val="18"/>
                <w:szCs w:val="20"/>
                <w:rtl/>
              </w:rPr>
            </w:pPr>
          </w:p>
        </w:tc>
        <w:tc>
          <w:tcPr>
            <w:tcW w:w="2902" w:type="dxa"/>
            <w:shd w:val="clear" w:color="auto" w:fill="auto"/>
            <w:vAlign w:val="bottom"/>
          </w:tcPr>
          <w:p w14:paraId="117A85A5" w14:textId="77777777" w:rsidR="00AF4CE7" w:rsidRPr="00037153" w:rsidRDefault="00AF4CE7" w:rsidP="00AF4CE7">
            <w:pPr>
              <w:spacing w:line="200" w:lineRule="exact"/>
              <w:ind w:left="227" w:hanging="170"/>
              <w:jc w:val="left"/>
              <w:rPr>
                <w:sz w:val="18"/>
                <w:szCs w:val="20"/>
                <w:rtl/>
              </w:rPr>
            </w:pPr>
          </w:p>
        </w:tc>
        <w:tc>
          <w:tcPr>
            <w:tcW w:w="113" w:type="dxa"/>
            <w:shd w:val="clear" w:color="auto" w:fill="auto"/>
            <w:vAlign w:val="bottom"/>
          </w:tcPr>
          <w:p w14:paraId="2465D86B" w14:textId="77777777" w:rsidR="00AF4CE7" w:rsidRPr="00037153" w:rsidRDefault="00AF4CE7" w:rsidP="00AF4CE7">
            <w:pPr>
              <w:spacing w:line="200" w:lineRule="exact"/>
              <w:rPr>
                <w:sz w:val="18"/>
                <w:szCs w:val="20"/>
              </w:rPr>
            </w:pPr>
          </w:p>
        </w:tc>
        <w:tc>
          <w:tcPr>
            <w:tcW w:w="907" w:type="dxa"/>
            <w:gridSpan w:val="2"/>
            <w:tcBorders>
              <w:top w:val="single" w:sz="6" w:space="0" w:color="auto"/>
            </w:tcBorders>
            <w:vAlign w:val="bottom"/>
          </w:tcPr>
          <w:p w14:paraId="722C53AA" w14:textId="77777777" w:rsidR="00AF4CE7" w:rsidRPr="00037153" w:rsidRDefault="00AF4CE7" w:rsidP="00AF4CE7">
            <w:pPr>
              <w:tabs>
                <w:tab w:val="decimal" w:pos="113"/>
              </w:tabs>
              <w:spacing w:line="200" w:lineRule="exact"/>
              <w:rPr>
                <w:sz w:val="18"/>
                <w:szCs w:val="20"/>
                <w:rtl/>
              </w:rPr>
            </w:pPr>
          </w:p>
        </w:tc>
        <w:tc>
          <w:tcPr>
            <w:tcW w:w="113" w:type="dxa"/>
            <w:vAlign w:val="bottom"/>
          </w:tcPr>
          <w:p w14:paraId="299295F3" w14:textId="77777777" w:rsidR="00AF4CE7" w:rsidRPr="00037153" w:rsidRDefault="00AF4CE7" w:rsidP="00AF4CE7">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778F420C" w14:textId="77777777" w:rsidR="00AF4CE7" w:rsidRPr="00037153" w:rsidRDefault="00AF4CE7" w:rsidP="00AF4CE7">
            <w:pPr>
              <w:tabs>
                <w:tab w:val="decimal" w:pos="113"/>
              </w:tabs>
              <w:spacing w:line="200" w:lineRule="exact"/>
              <w:rPr>
                <w:sz w:val="18"/>
                <w:szCs w:val="20"/>
              </w:rPr>
            </w:pPr>
          </w:p>
        </w:tc>
        <w:tc>
          <w:tcPr>
            <w:tcW w:w="113" w:type="dxa"/>
            <w:shd w:val="clear" w:color="auto" w:fill="auto"/>
            <w:vAlign w:val="bottom"/>
          </w:tcPr>
          <w:p w14:paraId="4DE5BE18" w14:textId="77777777" w:rsidR="00AF4CE7" w:rsidRPr="00037153" w:rsidRDefault="00AF4CE7" w:rsidP="00AF4CE7">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01BA82C1" w14:textId="77777777" w:rsidR="00AF4CE7" w:rsidRPr="00037153" w:rsidRDefault="00AF4CE7" w:rsidP="00AF4CE7">
            <w:pPr>
              <w:tabs>
                <w:tab w:val="decimal" w:pos="113"/>
              </w:tabs>
              <w:spacing w:line="200" w:lineRule="exact"/>
              <w:rPr>
                <w:sz w:val="18"/>
                <w:szCs w:val="20"/>
                <w:rtl/>
              </w:rPr>
            </w:pPr>
          </w:p>
        </w:tc>
        <w:tc>
          <w:tcPr>
            <w:tcW w:w="113" w:type="dxa"/>
            <w:shd w:val="clear" w:color="auto" w:fill="auto"/>
            <w:vAlign w:val="bottom"/>
          </w:tcPr>
          <w:p w14:paraId="6B36C608" w14:textId="77777777" w:rsidR="00AF4CE7" w:rsidRPr="00037153" w:rsidRDefault="00AF4CE7" w:rsidP="00AF4CE7">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2F580949" w14:textId="77777777" w:rsidR="00AF4CE7" w:rsidRPr="00037153" w:rsidRDefault="00AF4CE7" w:rsidP="00AF4CE7">
            <w:pPr>
              <w:tabs>
                <w:tab w:val="decimal" w:pos="113"/>
              </w:tabs>
              <w:spacing w:line="200" w:lineRule="exact"/>
              <w:rPr>
                <w:sz w:val="18"/>
                <w:szCs w:val="20"/>
              </w:rPr>
            </w:pPr>
          </w:p>
        </w:tc>
        <w:tc>
          <w:tcPr>
            <w:tcW w:w="113" w:type="dxa"/>
            <w:shd w:val="clear" w:color="auto" w:fill="auto"/>
            <w:vAlign w:val="bottom"/>
          </w:tcPr>
          <w:p w14:paraId="5F6900F9" w14:textId="77777777" w:rsidR="00AF4CE7" w:rsidRPr="00037153" w:rsidRDefault="00AF4CE7" w:rsidP="00AF4CE7">
            <w:pPr>
              <w:tabs>
                <w:tab w:val="decimal" w:pos="113"/>
              </w:tabs>
              <w:spacing w:line="200" w:lineRule="exact"/>
              <w:rPr>
                <w:sz w:val="18"/>
                <w:szCs w:val="20"/>
              </w:rPr>
            </w:pPr>
          </w:p>
        </w:tc>
        <w:tc>
          <w:tcPr>
            <w:tcW w:w="1192" w:type="dxa"/>
            <w:tcBorders>
              <w:top w:val="single" w:sz="6" w:space="0" w:color="auto"/>
            </w:tcBorders>
            <w:shd w:val="clear" w:color="auto" w:fill="auto"/>
            <w:vAlign w:val="bottom"/>
          </w:tcPr>
          <w:p w14:paraId="5A5726EC" w14:textId="77777777" w:rsidR="00AF4CE7" w:rsidRPr="00037153" w:rsidRDefault="00AF4CE7" w:rsidP="00AF4CE7">
            <w:pPr>
              <w:tabs>
                <w:tab w:val="decimal" w:pos="113"/>
              </w:tabs>
              <w:spacing w:line="200" w:lineRule="exact"/>
              <w:rPr>
                <w:sz w:val="18"/>
                <w:szCs w:val="20"/>
                <w:rtl/>
              </w:rPr>
            </w:pPr>
          </w:p>
        </w:tc>
      </w:tr>
      <w:tr w:rsidR="0007242C" w:rsidRPr="00037153" w14:paraId="58270F35" w14:textId="77777777" w:rsidTr="001521F8">
        <w:tc>
          <w:tcPr>
            <w:tcW w:w="1409" w:type="dxa"/>
            <w:tcBorders>
              <w:bottom w:val="single" w:sz="4" w:space="0" w:color="auto"/>
              <w:right w:val="single" w:sz="6" w:space="0" w:color="auto"/>
            </w:tcBorders>
          </w:tcPr>
          <w:p w14:paraId="4962B41A" w14:textId="31060894"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IAS 1.82A; IAS 1.90</w:t>
            </w:r>
          </w:p>
        </w:tc>
        <w:tc>
          <w:tcPr>
            <w:tcW w:w="2902" w:type="dxa"/>
            <w:tcBorders>
              <w:left w:val="single" w:sz="6" w:space="0" w:color="auto"/>
            </w:tcBorders>
            <w:shd w:val="clear" w:color="auto" w:fill="auto"/>
            <w:vAlign w:val="bottom"/>
          </w:tcPr>
          <w:p w14:paraId="6AA41951"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(הפסד) </w:t>
            </w:r>
            <w:r w:rsidRPr="00037153">
              <w:rPr>
                <w:rFonts w:hint="eastAsia"/>
                <w:sz w:val="18"/>
                <w:szCs w:val="20"/>
                <w:rtl/>
              </w:rPr>
              <w:t>כולל</w:t>
            </w:r>
            <w:r w:rsidRPr="00037153">
              <w:rPr>
                <w:sz w:val="18"/>
                <w:szCs w:val="20"/>
                <w:rtl/>
              </w:rPr>
              <w:t xml:space="preserve"> </w:t>
            </w:r>
            <w:r w:rsidRPr="00037153">
              <w:rPr>
                <w:rFonts w:hint="eastAsia"/>
                <w:sz w:val="18"/>
                <w:szCs w:val="20"/>
                <w:rtl/>
              </w:rPr>
              <w:t>אחר</w:t>
            </w:r>
            <w:r w:rsidRPr="00037153">
              <w:rPr>
                <w:rStyle w:val="ab"/>
                <w:sz w:val="18"/>
                <w:szCs w:val="20"/>
                <w:rtl/>
              </w:rPr>
              <w:footnoteReference w:id="18"/>
            </w:r>
            <w:r w:rsidRPr="00037153">
              <w:rPr>
                <w:sz w:val="18"/>
                <w:szCs w:val="20"/>
                <w:rtl/>
              </w:rPr>
              <w:t xml:space="preserve"> (לאחר השפעת המס):</w:t>
            </w:r>
          </w:p>
        </w:tc>
        <w:tc>
          <w:tcPr>
            <w:tcW w:w="113" w:type="dxa"/>
            <w:shd w:val="clear" w:color="auto" w:fill="auto"/>
            <w:vAlign w:val="bottom"/>
          </w:tcPr>
          <w:p w14:paraId="346C2A65" w14:textId="77777777" w:rsidR="0007242C" w:rsidRPr="00037153" w:rsidRDefault="0007242C" w:rsidP="0007242C">
            <w:pPr>
              <w:spacing w:line="200" w:lineRule="exact"/>
              <w:rPr>
                <w:sz w:val="18"/>
                <w:szCs w:val="20"/>
              </w:rPr>
            </w:pPr>
          </w:p>
        </w:tc>
        <w:tc>
          <w:tcPr>
            <w:tcW w:w="907" w:type="dxa"/>
            <w:gridSpan w:val="2"/>
            <w:vAlign w:val="bottom"/>
          </w:tcPr>
          <w:p w14:paraId="34A322BC"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7178490E"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2E979838"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08B7792F"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1B0B594"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73329666"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76C0CAA1"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5D2A71E8"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4060AF04" w14:textId="77777777" w:rsidR="0007242C" w:rsidRPr="00037153" w:rsidRDefault="0007242C" w:rsidP="0007242C">
            <w:pPr>
              <w:tabs>
                <w:tab w:val="decimal" w:pos="113"/>
              </w:tabs>
              <w:spacing w:line="200" w:lineRule="exact"/>
              <w:rPr>
                <w:sz w:val="18"/>
                <w:szCs w:val="20"/>
                <w:rtl/>
              </w:rPr>
            </w:pPr>
          </w:p>
        </w:tc>
      </w:tr>
      <w:tr w:rsidR="0007242C" w:rsidRPr="00037153" w14:paraId="14711555" w14:textId="77777777" w:rsidTr="001521F8">
        <w:tc>
          <w:tcPr>
            <w:tcW w:w="1409" w:type="dxa"/>
            <w:tcBorders>
              <w:top w:val="single" w:sz="4" w:space="0" w:color="auto"/>
              <w:right w:val="single" w:sz="6" w:space="0" w:color="auto"/>
            </w:tcBorders>
          </w:tcPr>
          <w:p w14:paraId="6D7F4D87"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47CE15C0" w14:textId="77777777" w:rsidR="0007242C" w:rsidRPr="00037153" w:rsidRDefault="0007242C" w:rsidP="0007242C">
            <w:pPr>
              <w:widowControl/>
              <w:spacing w:line="200" w:lineRule="exact"/>
              <w:jc w:val="left"/>
              <w:rPr>
                <w:sz w:val="18"/>
                <w:szCs w:val="20"/>
                <w:rtl/>
              </w:rPr>
            </w:pPr>
          </w:p>
        </w:tc>
        <w:tc>
          <w:tcPr>
            <w:tcW w:w="113" w:type="dxa"/>
            <w:shd w:val="clear" w:color="auto" w:fill="auto"/>
            <w:vAlign w:val="bottom"/>
          </w:tcPr>
          <w:p w14:paraId="48253B32" w14:textId="77777777" w:rsidR="0007242C" w:rsidRPr="00037153" w:rsidRDefault="0007242C" w:rsidP="0007242C">
            <w:pPr>
              <w:widowControl/>
              <w:spacing w:line="200" w:lineRule="exact"/>
              <w:rPr>
                <w:sz w:val="18"/>
                <w:szCs w:val="20"/>
              </w:rPr>
            </w:pPr>
          </w:p>
        </w:tc>
        <w:tc>
          <w:tcPr>
            <w:tcW w:w="907" w:type="dxa"/>
            <w:gridSpan w:val="2"/>
            <w:vAlign w:val="bottom"/>
          </w:tcPr>
          <w:p w14:paraId="575CBBD6" w14:textId="77777777" w:rsidR="0007242C" w:rsidRPr="00037153" w:rsidRDefault="0007242C" w:rsidP="0007242C">
            <w:pPr>
              <w:widowControl/>
              <w:tabs>
                <w:tab w:val="decimal" w:pos="113"/>
              </w:tabs>
              <w:spacing w:line="200" w:lineRule="exact"/>
              <w:rPr>
                <w:sz w:val="18"/>
                <w:szCs w:val="20"/>
                <w:rtl/>
              </w:rPr>
            </w:pPr>
          </w:p>
        </w:tc>
        <w:tc>
          <w:tcPr>
            <w:tcW w:w="113" w:type="dxa"/>
            <w:vAlign w:val="bottom"/>
          </w:tcPr>
          <w:p w14:paraId="1B9EF64F" w14:textId="77777777" w:rsidR="0007242C" w:rsidRPr="00037153" w:rsidRDefault="0007242C" w:rsidP="0007242C">
            <w:pPr>
              <w:widowControl/>
              <w:tabs>
                <w:tab w:val="decimal" w:pos="113"/>
              </w:tabs>
              <w:spacing w:line="200" w:lineRule="exact"/>
              <w:rPr>
                <w:sz w:val="18"/>
                <w:szCs w:val="20"/>
              </w:rPr>
            </w:pPr>
          </w:p>
        </w:tc>
        <w:tc>
          <w:tcPr>
            <w:tcW w:w="907" w:type="dxa"/>
            <w:shd w:val="clear" w:color="auto" w:fill="auto"/>
            <w:vAlign w:val="bottom"/>
          </w:tcPr>
          <w:p w14:paraId="3C5BE7F3" w14:textId="77777777" w:rsidR="0007242C" w:rsidRPr="00037153" w:rsidRDefault="0007242C" w:rsidP="0007242C">
            <w:pPr>
              <w:widowControl/>
              <w:tabs>
                <w:tab w:val="decimal" w:pos="113"/>
              </w:tabs>
              <w:spacing w:line="200" w:lineRule="exact"/>
              <w:rPr>
                <w:sz w:val="18"/>
                <w:szCs w:val="20"/>
              </w:rPr>
            </w:pPr>
          </w:p>
        </w:tc>
        <w:tc>
          <w:tcPr>
            <w:tcW w:w="113" w:type="dxa"/>
            <w:shd w:val="clear" w:color="auto" w:fill="auto"/>
            <w:vAlign w:val="bottom"/>
          </w:tcPr>
          <w:p w14:paraId="2CDE3869" w14:textId="77777777" w:rsidR="0007242C" w:rsidRPr="00037153" w:rsidRDefault="0007242C" w:rsidP="0007242C">
            <w:pPr>
              <w:widowControl/>
              <w:tabs>
                <w:tab w:val="decimal" w:pos="113"/>
              </w:tabs>
              <w:spacing w:line="200" w:lineRule="exact"/>
              <w:rPr>
                <w:sz w:val="18"/>
                <w:szCs w:val="20"/>
              </w:rPr>
            </w:pPr>
          </w:p>
        </w:tc>
        <w:tc>
          <w:tcPr>
            <w:tcW w:w="907" w:type="dxa"/>
            <w:shd w:val="clear" w:color="auto" w:fill="auto"/>
            <w:vAlign w:val="bottom"/>
          </w:tcPr>
          <w:p w14:paraId="6426D388" w14:textId="77777777" w:rsidR="0007242C" w:rsidRPr="00037153" w:rsidRDefault="0007242C" w:rsidP="0007242C">
            <w:pPr>
              <w:widowControl/>
              <w:tabs>
                <w:tab w:val="decimal" w:pos="113"/>
              </w:tabs>
              <w:spacing w:line="200" w:lineRule="exact"/>
              <w:rPr>
                <w:sz w:val="18"/>
                <w:szCs w:val="20"/>
                <w:rtl/>
              </w:rPr>
            </w:pPr>
          </w:p>
        </w:tc>
        <w:tc>
          <w:tcPr>
            <w:tcW w:w="113" w:type="dxa"/>
            <w:shd w:val="clear" w:color="auto" w:fill="auto"/>
            <w:vAlign w:val="bottom"/>
          </w:tcPr>
          <w:p w14:paraId="408DFBDF" w14:textId="77777777" w:rsidR="0007242C" w:rsidRPr="00037153" w:rsidRDefault="0007242C" w:rsidP="0007242C">
            <w:pPr>
              <w:widowControl/>
              <w:tabs>
                <w:tab w:val="decimal" w:pos="113"/>
              </w:tabs>
              <w:spacing w:line="200" w:lineRule="exact"/>
              <w:rPr>
                <w:sz w:val="18"/>
                <w:szCs w:val="20"/>
              </w:rPr>
            </w:pPr>
          </w:p>
        </w:tc>
        <w:tc>
          <w:tcPr>
            <w:tcW w:w="907" w:type="dxa"/>
            <w:shd w:val="clear" w:color="auto" w:fill="auto"/>
            <w:vAlign w:val="bottom"/>
          </w:tcPr>
          <w:p w14:paraId="22047055" w14:textId="77777777" w:rsidR="0007242C" w:rsidRPr="00037153" w:rsidRDefault="0007242C" w:rsidP="0007242C">
            <w:pPr>
              <w:widowControl/>
              <w:tabs>
                <w:tab w:val="decimal" w:pos="113"/>
              </w:tabs>
              <w:spacing w:line="200" w:lineRule="exact"/>
              <w:rPr>
                <w:sz w:val="18"/>
                <w:szCs w:val="20"/>
              </w:rPr>
            </w:pPr>
          </w:p>
        </w:tc>
        <w:tc>
          <w:tcPr>
            <w:tcW w:w="113" w:type="dxa"/>
            <w:shd w:val="clear" w:color="auto" w:fill="auto"/>
            <w:vAlign w:val="bottom"/>
          </w:tcPr>
          <w:p w14:paraId="1F5629F3" w14:textId="77777777" w:rsidR="0007242C" w:rsidRPr="00037153" w:rsidRDefault="0007242C" w:rsidP="0007242C">
            <w:pPr>
              <w:widowControl/>
              <w:tabs>
                <w:tab w:val="decimal" w:pos="113"/>
              </w:tabs>
              <w:spacing w:line="200" w:lineRule="exact"/>
              <w:rPr>
                <w:sz w:val="18"/>
                <w:szCs w:val="20"/>
              </w:rPr>
            </w:pPr>
          </w:p>
        </w:tc>
        <w:tc>
          <w:tcPr>
            <w:tcW w:w="1192" w:type="dxa"/>
            <w:shd w:val="clear" w:color="auto" w:fill="auto"/>
            <w:vAlign w:val="bottom"/>
          </w:tcPr>
          <w:p w14:paraId="4794042D" w14:textId="77777777" w:rsidR="0007242C" w:rsidRPr="00037153" w:rsidRDefault="0007242C" w:rsidP="0007242C">
            <w:pPr>
              <w:widowControl/>
              <w:tabs>
                <w:tab w:val="decimal" w:pos="113"/>
              </w:tabs>
              <w:spacing w:line="200" w:lineRule="exact"/>
              <w:rPr>
                <w:sz w:val="18"/>
                <w:szCs w:val="20"/>
                <w:rtl/>
              </w:rPr>
            </w:pPr>
          </w:p>
        </w:tc>
      </w:tr>
      <w:tr w:rsidR="0007242C" w:rsidRPr="00037153" w14:paraId="7118D2A8" w14:textId="77777777" w:rsidTr="001521F8">
        <w:tc>
          <w:tcPr>
            <w:tcW w:w="1409" w:type="dxa"/>
            <w:tcBorders>
              <w:bottom w:val="single" w:sz="4" w:space="0" w:color="auto"/>
              <w:right w:val="single" w:sz="6" w:space="0" w:color="auto"/>
            </w:tcBorders>
          </w:tcPr>
          <w:p w14:paraId="514C0F55" w14:textId="1B1E8CAC"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r w:rsidRPr="00DD74D5">
              <w:rPr>
                <w:i/>
                <w:iCs/>
                <w:sz w:val="12"/>
                <w:szCs w:val="14"/>
              </w:rPr>
              <w:t>IAS 1.82A</w:t>
            </w:r>
            <w:r>
              <w:rPr>
                <w:i/>
                <w:iCs/>
                <w:sz w:val="12"/>
                <w:szCs w:val="14"/>
              </w:rPr>
              <w:t>(a)(i)</w:t>
            </w:r>
          </w:p>
        </w:tc>
        <w:tc>
          <w:tcPr>
            <w:tcW w:w="2902" w:type="dxa"/>
            <w:tcBorders>
              <w:left w:val="single" w:sz="6" w:space="0" w:color="auto"/>
            </w:tcBorders>
            <w:shd w:val="clear" w:color="auto" w:fill="auto"/>
            <w:vAlign w:val="bottom"/>
          </w:tcPr>
          <w:p w14:paraId="6DF50538" w14:textId="77777777" w:rsidR="0007242C" w:rsidRPr="00037153" w:rsidRDefault="0007242C" w:rsidP="0007242C">
            <w:pPr>
              <w:spacing w:line="200" w:lineRule="exact"/>
              <w:ind w:left="227" w:hanging="170"/>
              <w:jc w:val="left"/>
              <w:rPr>
                <w:sz w:val="18"/>
                <w:szCs w:val="20"/>
                <w:u w:val="single"/>
                <w:rtl/>
              </w:rPr>
            </w:pPr>
            <w:r w:rsidRPr="00037153">
              <w:rPr>
                <w:rFonts w:hint="eastAsia"/>
                <w:sz w:val="18"/>
                <w:szCs w:val="20"/>
                <w:u w:val="single"/>
                <w:rtl/>
              </w:rPr>
              <w:t>סכומים</w:t>
            </w:r>
            <w:r w:rsidRPr="00037153">
              <w:rPr>
                <w:sz w:val="18"/>
                <w:szCs w:val="20"/>
                <w:u w:val="single"/>
                <w:rtl/>
              </w:rPr>
              <w:t xml:space="preserve"> </w:t>
            </w:r>
            <w:r w:rsidRPr="00037153">
              <w:rPr>
                <w:rFonts w:hint="eastAsia"/>
                <w:sz w:val="18"/>
                <w:szCs w:val="20"/>
                <w:u w:val="single"/>
                <w:rtl/>
              </w:rPr>
              <w:t>שלא</w:t>
            </w:r>
            <w:r w:rsidRPr="00037153">
              <w:rPr>
                <w:sz w:val="18"/>
                <w:szCs w:val="20"/>
                <w:u w:val="single"/>
                <w:rtl/>
              </w:rPr>
              <w:t xml:space="preserve"> </w:t>
            </w:r>
            <w:r w:rsidRPr="00037153">
              <w:rPr>
                <w:rFonts w:hint="eastAsia"/>
                <w:sz w:val="18"/>
                <w:szCs w:val="20"/>
                <w:u w:val="single"/>
                <w:rtl/>
              </w:rPr>
              <w:t>יסווגו</w:t>
            </w:r>
            <w:r w:rsidRPr="00037153">
              <w:rPr>
                <w:sz w:val="18"/>
                <w:szCs w:val="20"/>
                <w:u w:val="single"/>
                <w:rtl/>
              </w:rPr>
              <w:t xml:space="preserve"> </w:t>
            </w:r>
            <w:r w:rsidRPr="00037153">
              <w:rPr>
                <w:rFonts w:hint="eastAsia"/>
                <w:sz w:val="18"/>
                <w:szCs w:val="20"/>
                <w:u w:val="single"/>
                <w:rtl/>
              </w:rPr>
              <w:t>מחדש</w:t>
            </w:r>
            <w:r w:rsidRPr="00037153">
              <w:rPr>
                <w:sz w:val="18"/>
                <w:szCs w:val="20"/>
                <w:u w:val="single"/>
                <w:rtl/>
              </w:rPr>
              <w:t xml:space="preserve"> </w:t>
            </w:r>
            <w:r w:rsidRPr="00037153">
              <w:rPr>
                <w:rFonts w:hint="eastAsia"/>
                <w:sz w:val="18"/>
                <w:szCs w:val="20"/>
                <w:u w:val="single"/>
                <w:rtl/>
              </w:rPr>
              <w:t>לאחר</w:t>
            </w:r>
            <w:r w:rsidRPr="00037153">
              <w:rPr>
                <w:sz w:val="18"/>
                <w:szCs w:val="20"/>
                <w:u w:val="single"/>
                <w:rtl/>
              </w:rPr>
              <w:t xml:space="preserve"> </w:t>
            </w:r>
            <w:r w:rsidRPr="00037153">
              <w:rPr>
                <w:rFonts w:hint="eastAsia"/>
                <w:sz w:val="18"/>
                <w:szCs w:val="20"/>
                <w:u w:val="single"/>
                <w:rtl/>
              </w:rPr>
              <w:t>מכן</w:t>
            </w:r>
            <w:r w:rsidRPr="00037153">
              <w:rPr>
                <w:sz w:val="18"/>
                <w:szCs w:val="20"/>
                <w:u w:val="single"/>
                <w:rtl/>
              </w:rPr>
              <w:t xml:space="preserve"> </w:t>
            </w:r>
            <w:r w:rsidRPr="00037153">
              <w:rPr>
                <w:rFonts w:hint="eastAsia"/>
                <w:sz w:val="18"/>
                <w:szCs w:val="20"/>
                <w:u w:val="single"/>
                <w:rtl/>
              </w:rPr>
              <w:t>לרווח</w:t>
            </w:r>
            <w:r w:rsidRPr="00037153">
              <w:rPr>
                <w:sz w:val="18"/>
                <w:szCs w:val="20"/>
                <w:u w:val="single"/>
                <w:rtl/>
              </w:rPr>
              <w:t xml:space="preserve"> </w:t>
            </w:r>
            <w:r w:rsidRPr="00037153">
              <w:rPr>
                <w:rFonts w:hint="eastAsia"/>
                <w:sz w:val="18"/>
                <w:szCs w:val="20"/>
                <w:u w:val="single"/>
                <w:rtl/>
              </w:rPr>
              <w:t>או</w:t>
            </w:r>
            <w:r w:rsidRPr="00037153">
              <w:rPr>
                <w:sz w:val="18"/>
                <w:szCs w:val="20"/>
                <w:u w:val="single"/>
                <w:rtl/>
              </w:rPr>
              <w:t xml:space="preserve"> </w:t>
            </w:r>
            <w:r w:rsidRPr="00037153">
              <w:rPr>
                <w:rFonts w:hint="eastAsia"/>
                <w:sz w:val="18"/>
                <w:szCs w:val="20"/>
                <w:u w:val="single"/>
                <w:rtl/>
              </w:rPr>
              <w:t>הפסד</w:t>
            </w:r>
            <w:r w:rsidRPr="00037153">
              <w:rPr>
                <w:sz w:val="18"/>
                <w:szCs w:val="20"/>
                <w:u w:val="single"/>
                <w:rtl/>
              </w:rPr>
              <w:t>:</w:t>
            </w:r>
          </w:p>
        </w:tc>
        <w:tc>
          <w:tcPr>
            <w:tcW w:w="113" w:type="dxa"/>
            <w:shd w:val="clear" w:color="auto" w:fill="auto"/>
            <w:vAlign w:val="bottom"/>
          </w:tcPr>
          <w:p w14:paraId="6BD63146" w14:textId="77777777" w:rsidR="0007242C" w:rsidRPr="00037153" w:rsidRDefault="0007242C" w:rsidP="0007242C">
            <w:pPr>
              <w:spacing w:line="200" w:lineRule="exact"/>
              <w:rPr>
                <w:sz w:val="18"/>
                <w:szCs w:val="20"/>
              </w:rPr>
            </w:pPr>
          </w:p>
        </w:tc>
        <w:tc>
          <w:tcPr>
            <w:tcW w:w="907" w:type="dxa"/>
            <w:gridSpan w:val="2"/>
            <w:vAlign w:val="bottom"/>
          </w:tcPr>
          <w:p w14:paraId="132D350E"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48591FD8"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1E277F6E"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C507041"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64EF70E3"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50CA974B"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71B087E"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332180FF"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275E8B75" w14:textId="77777777" w:rsidR="0007242C" w:rsidRPr="00037153" w:rsidRDefault="0007242C" w:rsidP="0007242C">
            <w:pPr>
              <w:tabs>
                <w:tab w:val="decimal" w:pos="113"/>
              </w:tabs>
              <w:spacing w:line="200" w:lineRule="exact"/>
              <w:rPr>
                <w:sz w:val="18"/>
                <w:szCs w:val="20"/>
                <w:rtl/>
              </w:rPr>
            </w:pPr>
          </w:p>
        </w:tc>
      </w:tr>
      <w:tr w:rsidR="0007242C" w:rsidRPr="00037153" w14:paraId="4DA3E7E9" w14:textId="77777777" w:rsidTr="001521F8">
        <w:tc>
          <w:tcPr>
            <w:tcW w:w="1409" w:type="dxa"/>
            <w:tcBorders>
              <w:top w:val="single" w:sz="4" w:space="0" w:color="auto"/>
              <w:bottom w:val="single" w:sz="4" w:space="0" w:color="auto"/>
              <w:right w:val="single" w:sz="6" w:space="0" w:color="auto"/>
            </w:tcBorders>
          </w:tcPr>
          <w:p w14:paraId="73E5AFB6" w14:textId="0690BFEB" w:rsidR="0007242C" w:rsidRPr="0007242C" w:rsidRDefault="0007242C" w:rsidP="0007242C">
            <w:pPr>
              <w:tabs>
                <w:tab w:val="left" w:pos="227"/>
                <w:tab w:val="left" w:pos="397"/>
                <w:tab w:val="left" w:pos="567"/>
              </w:tabs>
              <w:bidi w:val="0"/>
              <w:spacing w:line="200" w:lineRule="exact"/>
              <w:ind w:right="113"/>
              <w:jc w:val="right"/>
              <w:rPr>
                <w:i/>
                <w:iCs/>
                <w:sz w:val="12"/>
                <w:szCs w:val="14"/>
              </w:rPr>
            </w:pPr>
            <w:r w:rsidRPr="0007242C">
              <w:rPr>
                <w:i/>
                <w:iCs/>
                <w:sz w:val="12"/>
                <w:szCs w:val="14"/>
              </w:rPr>
              <w:t>IFRS 9.5.7.5</w:t>
            </w:r>
          </w:p>
        </w:tc>
        <w:tc>
          <w:tcPr>
            <w:tcW w:w="2902" w:type="dxa"/>
            <w:tcBorders>
              <w:left w:val="single" w:sz="6" w:space="0" w:color="auto"/>
            </w:tcBorders>
            <w:shd w:val="clear" w:color="auto" w:fill="auto"/>
            <w:vAlign w:val="bottom"/>
          </w:tcPr>
          <w:p w14:paraId="4D92C59D" w14:textId="766AD8A4" w:rsidR="0007242C" w:rsidRPr="00037153" w:rsidRDefault="0007242C" w:rsidP="0007242C">
            <w:pPr>
              <w:spacing w:line="200" w:lineRule="exact"/>
              <w:ind w:left="227" w:hanging="170"/>
              <w:jc w:val="left"/>
              <w:rPr>
                <w:sz w:val="18"/>
                <w:szCs w:val="20"/>
                <w:rtl/>
              </w:rPr>
            </w:pPr>
            <w:r>
              <w:rPr>
                <w:rFonts w:hint="cs"/>
                <w:sz w:val="18"/>
                <w:szCs w:val="20"/>
                <w:rtl/>
              </w:rPr>
              <w:t>רווח (הפסד) מהשקעה במכשירים הוניים הנמדדים בשווי הוגן דרך רווח כולל אחר</w:t>
            </w:r>
          </w:p>
        </w:tc>
        <w:tc>
          <w:tcPr>
            <w:tcW w:w="113" w:type="dxa"/>
            <w:shd w:val="clear" w:color="auto" w:fill="auto"/>
            <w:vAlign w:val="bottom"/>
          </w:tcPr>
          <w:p w14:paraId="12B3F27A" w14:textId="77777777" w:rsidR="0007242C" w:rsidRPr="00037153" w:rsidRDefault="0007242C" w:rsidP="0007242C">
            <w:pPr>
              <w:spacing w:line="200" w:lineRule="exact"/>
              <w:rPr>
                <w:sz w:val="18"/>
                <w:szCs w:val="20"/>
              </w:rPr>
            </w:pPr>
          </w:p>
        </w:tc>
        <w:tc>
          <w:tcPr>
            <w:tcW w:w="907" w:type="dxa"/>
            <w:gridSpan w:val="2"/>
            <w:vAlign w:val="bottom"/>
          </w:tcPr>
          <w:p w14:paraId="1C69EF04"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270324E0"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EAA7699"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2C94A187"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5D0578A1"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35F1A85B"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12D48C2B"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7F1210AE"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7316D2DA" w14:textId="77777777" w:rsidR="0007242C" w:rsidRPr="00037153" w:rsidRDefault="0007242C" w:rsidP="0007242C">
            <w:pPr>
              <w:tabs>
                <w:tab w:val="decimal" w:pos="113"/>
              </w:tabs>
              <w:spacing w:line="200" w:lineRule="exact"/>
              <w:rPr>
                <w:sz w:val="18"/>
                <w:szCs w:val="20"/>
                <w:rtl/>
              </w:rPr>
            </w:pPr>
          </w:p>
        </w:tc>
      </w:tr>
      <w:tr w:rsidR="0007242C" w:rsidRPr="00037153" w14:paraId="69ADFE9E" w14:textId="77777777" w:rsidTr="001521F8">
        <w:tc>
          <w:tcPr>
            <w:tcW w:w="1409" w:type="dxa"/>
            <w:tcBorders>
              <w:top w:val="single" w:sz="4" w:space="0" w:color="auto"/>
              <w:bottom w:val="single" w:sz="4" w:space="0" w:color="auto"/>
              <w:right w:val="single" w:sz="6" w:space="0" w:color="auto"/>
            </w:tcBorders>
          </w:tcPr>
          <w:p w14:paraId="6F5F4727" w14:textId="603FE036"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IFRS 9.5.7.7(a)</w:t>
            </w:r>
          </w:p>
        </w:tc>
        <w:tc>
          <w:tcPr>
            <w:tcW w:w="2902" w:type="dxa"/>
            <w:tcBorders>
              <w:left w:val="single" w:sz="6" w:space="0" w:color="auto"/>
            </w:tcBorders>
            <w:shd w:val="clear" w:color="auto" w:fill="auto"/>
            <w:vAlign w:val="bottom"/>
          </w:tcPr>
          <w:p w14:paraId="35398972" w14:textId="25B68063" w:rsidR="0007242C" w:rsidRPr="00037153" w:rsidRDefault="0007242C" w:rsidP="0007242C">
            <w:pPr>
              <w:spacing w:line="200" w:lineRule="exact"/>
              <w:ind w:left="227" w:hanging="170"/>
              <w:jc w:val="left"/>
              <w:rPr>
                <w:sz w:val="18"/>
                <w:szCs w:val="20"/>
                <w:rtl/>
              </w:rPr>
            </w:pPr>
            <w:r>
              <w:rPr>
                <w:rFonts w:hint="cs"/>
                <w:sz w:val="18"/>
                <w:szCs w:val="20"/>
                <w:rtl/>
              </w:rPr>
              <w:t>רווח (הפסד) בגין שינויים בסיכון האשראי של התחייבויות פיננסיות שיועדו לשווי הוגן דרך רווח או הפסד.</w:t>
            </w:r>
          </w:p>
        </w:tc>
        <w:tc>
          <w:tcPr>
            <w:tcW w:w="113" w:type="dxa"/>
            <w:shd w:val="clear" w:color="auto" w:fill="auto"/>
            <w:vAlign w:val="bottom"/>
          </w:tcPr>
          <w:p w14:paraId="7B5AB200" w14:textId="77777777" w:rsidR="0007242C" w:rsidRPr="00037153" w:rsidRDefault="0007242C" w:rsidP="0007242C">
            <w:pPr>
              <w:spacing w:line="200" w:lineRule="exact"/>
              <w:rPr>
                <w:sz w:val="18"/>
                <w:szCs w:val="20"/>
              </w:rPr>
            </w:pPr>
          </w:p>
        </w:tc>
        <w:tc>
          <w:tcPr>
            <w:tcW w:w="907" w:type="dxa"/>
            <w:gridSpan w:val="2"/>
            <w:vAlign w:val="bottom"/>
          </w:tcPr>
          <w:p w14:paraId="616BB72A"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7C5EA830"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566722C9"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DAE61D8"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5EC79BB"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4C06C1BE"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A436273"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624BA1B"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0A047FF8" w14:textId="77777777" w:rsidR="0007242C" w:rsidRPr="00037153" w:rsidRDefault="0007242C" w:rsidP="0007242C">
            <w:pPr>
              <w:tabs>
                <w:tab w:val="decimal" w:pos="113"/>
              </w:tabs>
              <w:spacing w:line="200" w:lineRule="exact"/>
              <w:rPr>
                <w:sz w:val="18"/>
                <w:szCs w:val="20"/>
                <w:rtl/>
              </w:rPr>
            </w:pPr>
          </w:p>
        </w:tc>
      </w:tr>
      <w:tr w:rsidR="0007242C" w:rsidRPr="00037153" w14:paraId="5058BDD2" w14:textId="77777777" w:rsidTr="001521F8">
        <w:tc>
          <w:tcPr>
            <w:tcW w:w="1409" w:type="dxa"/>
            <w:tcBorders>
              <w:top w:val="single" w:sz="4" w:space="0" w:color="auto"/>
              <w:bottom w:val="single" w:sz="4" w:space="0" w:color="auto"/>
              <w:right w:val="single" w:sz="6" w:space="0" w:color="auto"/>
            </w:tcBorders>
          </w:tcPr>
          <w:p w14:paraId="605657FD" w14:textId="6B00C7F8"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IAS 16.39</w:t>
            </w:r>
          </w:p>
        </w:tc>
        <w:tc>
          <w:tcPr>
            <w:tcW w:w="2902" w:type="dxa"/>
            <w:tcBorders>
              <w:left w:val="single" w:sz="6" w:space="0" w:color="auto"/>
            </w:tcBorders>
            <w:shd w:val="clear" w:color="auto" w:fill="auto"/>
            <w:vAlign w:val="bottom"/>
          </w:tcPr>
          <w:p w14:paraId="6B7A608C"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הערכה</w:t>
            </w:r>
            <w:r w:rsidRPr="00037153">
              <w:rPr>
                <w:sz w:val="18"/>
                <w:szCs w:val="20"/>
                <w:rtl/>
              </w:rPr>
              <w:t xml:space="preserve"> </w:t>
            </w:r>
            <w:r w:rsidRPr="00037153">
              <w:rPr>
                <w:rFonts w:hint="eastAsia"/>
                <w:sz w:val="18"/>
                <w:szCs w:val="20"/>
                <w:rtl/>
              </w:rPr>
              <w:t>מחדש</w:t>
            </w:r>
            <w:r w:rsidRPr="00037153">
              <w:rPr>
                <w:sz w:val="18"/>
                <w:szCs w:val="20"/>
                <w:rtl/>
              </w:rPr>
              <w:t xml:space="preserve"> </w:t>
            </w:r>
            <w:r w:rsidRPr="00037153">
              <w:rPr>
                <w:rFonts w:hint="eastAsia"/>
                <w:sz w:val="18"/>
                <w:szCs w:val="20"/>
                <w:rtl/>
              </w:rPr>
              <w:t>בגין</w:t>
            </w:r>
            <w:r w:rsidRPr="00037153">
              <w:rPr>
                <w:sz w:val="18"/>
                <w:szCs w:val="20"/>
                <w:rtl/>
              </w:rPr>
              <w:t xml:space="preserve"> </w:t>
            </w:r>
            <w:r w:rsidRPr="00037153">
              <w:rPr>
                <w:rFonts w:hint="eastAsia"/>
                <w:sz w:val="18"/>
                <w:szCs w:val="20"/>
                <w:rtl/>
              </w:rPr>
              <w:t>שערוך</w:t>
            </w:r>
            <w:r w:rsidRPr="00037153">
              <w:rPr>
                <w:sz w:val="18"/>
                <w:szCs w:val="20"/>
                <w:rtl/>
              </w:rPr>
              <w:t xml:space="preserve"> </w:t>
            </w:r>
            <w:r w:rsidRPr="00037153">
              <w:rPr>
                <w:rFonts w:hint="eastAsia"/>
                <w:sz w:val="18"/>
                <w:szCs w:val="20"/>
                <w:rtl/>
              </w:rPr>
              <w:t>רכוש</w:t>
            </w:r>
            <w:r w:rsidRPr="00037153">
              <w:rPr>
                <w:sz w:val="18"/>
                <w:szCs w:val="20"/>
                <w:rtl/>
              </w:rPr>
              <w:t xml:space="preserve"> </w:t>
            </w:r>
            <w:r w:rsidRPr="00037153">
              <w:rPr>
                <w:rFonts w:hint="eastAsia"/>
                <w:sz w:val="18"/>
                <w:szCs w:val="20"/>
                <w:rtl/>
              </w:rPr>
              <w:t>קבוע</w:t>
            </w:r>
            <w:r w:rsidRPr="00037153">
              <w:rPr>
                <w:rStyle w:val="ab"/>
                <w:sz w:val="18"/>
                <w:szCs w:val="20"/>
                <w:rtl/>
              </w:rPr>
              <w:footnoteReference w:id="19"/>
            </w:r>
          </w:p>
        </w:tc>
        <w:tc>
          <w:tcPr>
            <w:tcW w:w="113" w:type="dxa"/>
            <w:shd w:val="clear" w:color="auto" w:fill="auto"/>
            <w:vAlign w:val="bottom"/>
          </w:tcPr>
          <w:p w14:paraId="50D6BA51" w14:textId="77777777" w:rsidR="0007242C" w:rsidRPr="00037153" w:rsidRDefault="0007242C" w:rsidP="0007242C">
            <w:pPr>
              <w:spacing w:line="200" w:lineRule="exact"/>
              <w:rPr>
                <w:sz w:val="18"/>
                <w:szCs w:val="20"/>
              </w:rPr>
            </w:pPr>
          </w:p>
        </w:tc>
        <w:tc>
          <w:tcPr>
            <w:tcW w:w="907" w:type="dxa"/>
            <w:gridSpan w:val="2"/>
            <w:vAlign w:val="bottom"/>
          </w:tcPr>
          <w:p w14:paraId="58B69F26"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710459F5"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4EFBEE16"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31E992FE"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68B8DB4F"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16C25904"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8DDB6D6"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2CBBF50D"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41B4CE3C" w14:textId="77777777" w:rsidR="0007242C" w:rsidRPr="00037153" w:rsidRDefault="0007242C" w:rsidP="0007242C">
            <w:pPr>
              <w:tabs>
                <w:tab w:val="decimal" w:pos="113"/>
              </w:tabs>
              <w:spacing w:line="200" w:lineRule="exact"/>
              <w:rPr>
                <w:sz w:val="18"/>
                <w:szCs w:val="20"/>
                <w:rtl/>
              </w:rPr>
            </w:pPr>
          </w:p>
        </w:tc>
      </w:tr>
      <w:tr w:rsidR="0007242C" w:rsidRPr="00037153" w14:paraId="29C13B1B" w14:textId="77777777" w:rsidTr="001521F8">
        <w:tc>
          <w:tcPr>
            <w:tcW w:w="1409" w:type="dxa"/>
            <w:tcBorders>
              <w:top w:val="single" w:sz="4" w:space="0" w:color="auto"/>
              <w:bottom w:val="single" w:sz="4" w:space="0" w:color="auto"/>
              <w:right w:val="single" w:sz="6" w:space="0" w:color="auto"/>
            </w:tcBorders>
          </w:tcPr>
          <w:p w14:paraId="7776FBF3" w14:textId="4AA2FE89" w:rsidR="0007242C" w:rsidRPr="0007242C" w:rsidRDefault="0007242C" w:rsidP="0007242C">
            <w:pPr>
              <w:tabs>
                <w:tab w:val="left" w:pos="227"/>
                <w:tab w:val="left" w:pos="397"/>
                <w:tab w:val="left" w:pos="567"/>
              </w:tabs>
              <w:bidi w:val="0"/>
              <w:spacing w:line="200" w:lineRule="exact"/>
              <w:ind w:right="113"/>
              <w:jc w:val="right"/>
              <w:rPr>
                <w:i/>
                <w:iCs/>
                <w:sz w:val="12"/>
                <w:szCs w:val="14"/>
              </w:rPr>
            </w:pPr>
            <w:r w:rsidRPr="0007242C">
              <w:rPr>
                <w:i/>
                <w:iCs/>
                <w:sz w:val="12"/>
                <w:szCs w:val="14"/>
              </w:rPr>
              <w:t>IAS 21.39(c)</w:t>
            </w:r>
          </w:p>
        </w:tc>
        <w:tc>
          <w:tcPr>
            <w:tcW w:w="2902" w:type="dxa"/>
            <w:tcBorders>
              <w:left w:val="single" w:sz="6" w:space="0" w:color="auto"/>
            </w:tcBorders>
            <w:shd w:val="clear" w:color="auto" w:fill="auto"/>
            <w:vAlign w:val="bottom"/>
          </w:tcPr>
          <w:p w14:paraId="2AAC913D"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התאמות</w:t>
            </w:r>
            <w:r w:rsidRPr="00037153">
              <w:rPr>
                <w:sz w:val="18"/>
                <w:szCs w:val="20"/>
                <w:rtl/>
              </w:rPr>
              <w:t xml:space="preserve"> </w:t>
            </w:r>
            <w:r w:rsidRPr="00037153">
              <w:rPr>
                <w:rFonts w:hint="eastAsia"/>
                <w:sz w:val="18"/>
                <w:szCs w:val="20"/>
                <w:rtl/>
              </w:rPr>
              <w:t>הנובעות</w:t>
            </w:r>
            <w:r w:rsidRPr="00037153">
              <w:rPr>
                <w:sz w:val="18"/>
                <w:szCs w:val="20"/>
                <w:rtl/>
              </w:rPr>
              <w:t xml:space="preserve"> </w:t>
            </w:r>
            <w:r w:rsidRPr="00037153">
              <w:rPr>
                <w:rFonts w:hint="eastAsia"/>
                <w:sz w:val="18"/>
                <w:szCs w:val="20"/>
                <w:rtl/>
              </w:rPr>
              <w:t>מתרגום</w:t>
            </w:r>
            <w:r w:rsidRPr="00037153">
              <w:rPr>
                <w:sz w:val="18"/>
                <w:szCs w:val="20"/>
                <w:rtl/>
              </w:rPr>
              <w:t xml:space="preserve"> </w:t>
            </w:r>
            <w:r w:rsidRPr="00037153">
              <w:rPr>
                <w:rFonts w:hint="eastAsia"/>
                <w:sz w:val="18"/>
                <w:szCs w:val="20"/>
                <w:rtl/>
              </w:rPr>
              <w:t>דוחות</w:t>
            </w:r>
            <w:r w:rsidRPr="00037153">
              <w:rPr>
                <w:sz w:val="18"/>
                <w:szCs w:val="20"/>
                <w:rtl/>
              </w:rPr>
              <w:t xml:space="preserve"> </w:t>
            </w:r>
            <w:r w:rsidRPr="00037153">
              <w:rPr>
                <w:rFonts w:hint="eastAsia"/>
                <w:sz w:val="18"/>
                <w:szCs w:val="20"/>
                <w:rtl/>
              </w:rPr>
              <w:t>כספיים</w:t>
            </w:r>
            <w:r w:rsidRPr="00037153">
              <w:rPr>
                <w:sz w:val="18"/>
                <w:szCs w:val="20"/>
                <w:rtl/>
              </w:rPr>
              <w:t xml:space="preserve"> </w:t>
            </w:r>
            <w:r w:rsidRPr="00037153">
              <w:rPr>
                <w:rFonts w:hint="eastAsia"/>
                <w:sz w:val="18"/>
                <w:szCs w:val="20"/>
                <w:rtl/>
              </w:rPr>
              <w:t>ממטבע</w:t>
            </w:r>
            <w:r w:rsidRPr="00037153">
              <w:rPr>
                <w:sz w:val="18"/>
                <w:szCs w:val="20"/>
                <w:rtl/>
              </w:rPr>
              <w:t xml:space="preserve"> </w:t>
            </w:r>
            <w:r w:rsidRPr="00037153">
              <w:rPr>
                <w:rFonts w:hint="eastAsia"/>
                <w:sz w:val="18"/>
                <w:szCs w:val="20"/>
                <w:rtl/>
              </w:rPr>
              <w:t>הפעילות</w:t>
            </w:r>
            <w:r w:rsidRPr="00037153">
              <w:rPr>
                <w:sz w:val="18"/>
                <w:szCs w:val="20"/>
                <w:rtl/>
              </w:rPr>
              <w:t xml:space="preserve"> </w:t>
            </w:r>
            <w:r w:rsidRPr="00037153">
              <w:rPr>
                <w:rFonts w:hint="eastAsia"/>
                <w:sz w:val="18"/>
                <w:szCs w:val="20"/>
                <w:rtl/>
              </w:rPr>
              <w:t>למטבע</w:t>
            </w:r>
            <w:r w:rsidRPr="00037153">
              <w:rPr>
                <w:sz w:val="18"/>
                <w:szCs w:val="20"/>
                <w:rtl/>
              </w:rPr>
              <w:t xml:space="preserve"> </w:t>
            </w:r>
            <w:r w:rsidRPr="00037153">
              <w:rPr>
                <w:rFonts w:hint="eastAsia"/>
                <w:sz w:val="18"/>
                <w:szCs w:val="20"/>
                <w:rtl/>
              </w:rPr>
              <w:t>ההצגה</w:t>
            </w:r>
          </w:p>
        </w:tc>
        <w:tc>
          <w:tcPr>
            <w:tcW w:w="113" w:type="dxa"/>
            <w:shd w:val="clear" w:color="auto" w:fill="auto"/>
            <w:vAlign w:val="bottom"/>
          </w:tcPr>
          <w:p w14:paraId="394CA3A8" w14:textId="77777777" w:rsidR="0007242C" w:rsidRPr="00037153" w:rsidRDefault="0007242C" w:rsidP="0007242C">
            <w:pPr>
              <w:spacing w:line="200" w:lineRule="exact"/>
              <w:rPr>
                <w:sz w:val="18"/>
                <w:szCs w:val="20"/>
              </w:rPr>
            </w:pPr>
          </w:p>
        </w:tc>
        <w:tc>
          <w:tcPr>
            <w:tcW w:w="907" w:type="dxa"/>
            <w:gridSpan w:val="2"/>
            <w:vAlign w:val="bottom"/>
          </w:tcPr>
          <w:p w14:paraId="4C2F3D58"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4B514697"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80DDEBC"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1726778A"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9C4A72D"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484E2C1C"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79FF01F0"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6FA573D"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0CF18D2A" w14:textId="77777777" w:rsidR="0007242C" w:rsidRPr="00037153" w:rsidRDefault="0007242C" w:rsidP="0007242C">
            <w:pPr>
              <w:tabs>
                <w:tab w:val="decimal" w:pos="113"/>
              </w:tabs>
              <w:spacing w:line="200" w:lineRule="exact"/>
              <w:rPr>
                <w:sz w:val="18"/>
                <w:szCs w:val="20"/>
                <w:rtl/>
              </w:rPr>
            </w:pPr>
          </w:p>
        </w:tc>
      </w:tr>
      <w:tr w:rsidR="0007242C" w:rsidRPr="00037153" w14:paraId="2AE8C9D1" w14:textId="77777777" w:rsidTr="001521F8">
        <w:tc>
          <w:tcPr>
            <w:tcW w:w="1409" w:type="dxa"/>
            <w:tcBorders>
              <w:top w:val="single" w:sz="4" w:space="0" w:color="auto"/>
              <w:bottom w:val="single" w:sz="4" w:space="0" w:color="auto"/>
              <w:right w:val="single" w:sz="6" w:space="0" w:color="auto"/>
            </w:tcBorders>
          </w:tcPr>
          <w:p w14:paraId="41510D72"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Pr>
            </w:pPr>
            <w:r w:rsidRPr="0007242C">
              <w:rPr>
                <w:i/>
                <w:iCs/>
                <w:sz w:val="12"/>
                <w:szCs w:val="14"/>
              </w:rPr>
              <w:t>IAS 19.120(C)</w:t>
            </w:r>
          </w:p>
          <w:p w14:paraId="75055325" w14:textId="5D7DA0C2"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 IAS 19.122</w:t>
            </w:r>
          </w:p>
        </w:tc>
        <w:tc>
          <w:tcPr>
            <w:tcW w:w="2902" w:type="dxa"/>
            <w:tcBorders>
              <w:left w:val="single" w:sz="6" w:space="0" w:color="auto"/>
            </w:tcBorders>
            <w:shd w:val="clear" w:color="auto" w:fill="auto"/>
            <w:vAlign w:val="bottom"/>
          </w:tcPr>
          <w:p w14:paraId="6853B890"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(הפסד) </w:t>
            </w:r>
            <w:r>
              <w:rPr>
                <w:rFonts w:hint="cs"/>
                <w:sz w:val="18"/>
                <w:szCs w:val="20"/>
                <w:rtl/>
              </w:rPr>
              <w:t>ממדידה מחדש</w:t>
            </w:r>
            <w:r w:rsidRPr="00037153">
              <w:rPr>
                <w:sz w:val="18"/>
                <w:szCs w:val="20"/>
                <w:rtl/>
              </w:rPr>
              <w:t xml:space="preserve"> </w:t>
            </w:r>
            <w:r w:rsidRPr="00037153">
              <w:rPr>
                <w:rFonts w:hint="eastAsia"/>
                <w:sz w:val="18"/>
                <w:szCs w:val="20"/>
                <w:rtl/>
              </w:rPr>
              <w:t>ב</w:t>
            </w:r>
            <w:r>
              <w:rPr>
                <w:rFonts w:hint="cs"/>
                <w:sz w:val="18"/>
                <w:szCs w:val="20"/>
                <w:rtl/>
              </w:rPr>
              <w:t>של</w:t>
            </w:r>
            <w:r w:rsidRPr="00037153">
              <w:rPr>
                <w:sz w:val="18"/>
                <w:szCs w:val="20"/>
                <w:rtl/>
              </w:rPr>
              <w:t xml:space="preserve"> </w:t>
            </w:r>
            <w:r>
              <w:rPr>
                <w:rFonts w:hint="eastAsia"/>
                <w:sz w:val="18"/>
                <w:szCs w:val="20"/>
                <w:rtl/>
              </w:rPr>
              <w:t>תכני</w:t>
            </w:r>
            <w:r w:rsidRPr="00037153">
              <w:rPr>
                <w:rFonts w:hint="eastAsia"/>
                <w:sz w:val="18"/>
                <w:szCs w:val="20"/>
                <w:rtl/>
              </w:rPr>
              <w:t>ת</w:t>
            </w:r>
            <w:r w:rsidRPr="00037153">
              <w:rPr>
                <w:sz w:val="18"/>
                <w:szCs w:val="20"/>
                <w:rtl/>
              </w:rPr>
              <w:t xml:space="preserve"> </w:t>
            </w:r>
            <w:r w:rsidRPr="00037153">
              <w:rPr>
                <w:rFonts w:hint="eastAsia"/>
                <w:sz w:val="18"/>
                <w:szCs w:val="20"/>
                <w:rtl/>
              </w:rPr>
              <w:t>להטבה</w:t>
            </w:r>
            <w:r w:rsidRPr="00037153">
              <w:rPr>
                <w:sz w:val="18"/>
                <w:szCs w:val="20"/>
                <w:rtl/>
              </w:rPr>
              <w:t xml:space="preserve"> </w:t>
            </w:r>
            <w:r w:rsidRPr="00037153">
              <w:rPr>
                <w:rFonts w:hint="eastAsia"/>
                <w:sz w:val="18"/>
                <w:szCs w:val="20"/>
                <w:rtl/>
              </w:rPr>
              <w:t>מוגדרת</w:t>
            </w:r>
            <w:r w:rsidRPr="00037153">
              <w:rPr>
                <w:sz w:val="18"/>
                <w:szCs w:val="20"/>
                <w:rtl/>
              </w:rPr>
              <w:t xml:space="preserve"> </w:t>
            </w:r>
          </w:p>
        </w:tc>
        <w:tc>
          <w:tcPr>
            <w:tcW w:w="113" w:type="dxa"/>
            <w:shd w:val="clear" w:color="auto" w:fill="auto"/>
            <w:vAlign w:val="bottom"/>
          </w:tcPr>
          <w:p w14:paraId="6EDC4B8B" w14:textId="77777777" w:rsidR="0007242C" w:rsidRPr="00037153" w:rsidRDefault="0007242C" w:rsidP="0007242C">
            <w:pPr>
              <w:spacing w:line="200" w:lineRule="exact"/>
              <w:rPr>
                <w:sz w:val="18"/>
                <w:szCs w:val="20"/>
              </w:rPr>
            </w:pPr>
          </w:p>
        </w:tc>
        <w:tc>
          <w:tcPr>
            <w:tcW w:w="907" w:type="dxa"/>
            <w:gridSpan w:val="2"/>
            <w:vAlign w:val="bottom"/>
          </w:tcPr>
          <w:p w14:paraId="144B0E88"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1E7934C6"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2AEA60B4"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7C8CABE2"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BAAFCC8"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29B04BEA"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6B5D1FE1"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E9CECB4"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153199DF" w14:textId="77777777" w:rsidR="0007242C" w:rsidRPr="00037153" w:rsidRDefault="0007242C" w:rsidP="0007242C">
            <w:pPr>
              <w:tabs>
                <w:tab w:val="decimal" w:pos="113"/>
              </w:tabs>
              <w:spacing w:line="200" w:lineRule="exact"/>
              <w:rPr>
                <w:sz w:val="18"/>
                <w:szCs w:val="20"/>
                <w:rtl/>
              </w:rPr>
            </w:pPr>
          </w:p>
        </w:tc>
      </w:tr>
      <w:tr w:rsidR="0007242C" w:rsidRPr="00037153" w14:paraId="1952D521" w14:textId="77777777" w:rsidTr="001521F8">
        <w:tc>
          <w:tcPr>
            <w:tcW w:w="1409" w:type="dxa"/>
            <w:tcBorders>
              <w:top w:val="single" w:sz="4" w:space="0" w:color="auto"/>
              <w:right w:val="single" w:sz="6" w:space="0" w:color="auto"/>
            </w:tcBorders>
          </w:tcPr>
          <w:p w14:paraId="44D7F898"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Pr>
            </w:pPr>
            <w:r w:rsidRPr="0007242C">
              <w:rPr>
                <w:rFonts w:hint="cs"/>
                <w:i/>
                <w:iCs/>
                <w:sz w:val="12"/>
                <w:szCs w:val="14"/>
              </w:rPr>
              <w:t>IAS</w:t>
            </w:r>
            <w:r w:rsidRPr="0007242C">
              <w:rPr>
                <w:i/>
                <w:iCs/>
                <w:sz w:val="12"/>
                <w:szCs w:val="14"/>
              </w:rPr>
              <w:t> 1.82(h)</w:t>
            </w:r>
          </w:p>
          <w:p w14:paraId="3F932D8B"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p>
        </w:tc>
        <w:tc>
          <w:tcPr>
            <w:tcW w:w="2902" w:type="dxa"/>
            <w:tcBorders>
              <w:left w:val="single" w:sz="6" w:space="0" w:color="auto"/>
            </w:tcBorders>
            <w:shd w:val="clear" w:color="auto" w:fill="auto"/>
            <w:vAlign w:val="bottom"/>
          </w:tcPr>
          <w:p w14:paraId="0C470671"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חלק</w:t>
            </w:r>
            <w:r w:rsidRPr="00037153">
              <w:rPr>
                <w:sz w:val="18"/>
                <w:szCs w:val="20"/>
                <w:rtl/>
              </w:rPr>
              <w:t xml:space="preserve"> </w:t>
            </w:r>
            <w:r w:rsidRPr="00037153">
              <w:rPr>
                <w:rFonts w:hint="eastAsia"/>
                <w:sz w:val="18"/>
                <w:szCs w:val="20"/>
                <w:rtl/>
              </w:rPr>
              <w:t>הקבוצה</w:t>
            </w:r>
            <w:r w:rsidRPr="00037153">
              <w:rPr>
                <w:sz w:val="18"/>
                <w:szCs w:val="20"/>
                <w:rtl/>
              </w:rPr>
              <w:t xml:space="preserve"> </w:t>
            </w:r>
            <w:r w:rsidRPr="00037153">
              <w:rPr>
                <w:rFonts w:hint="eastAsia"/>
                <w:sz w:val="18"/>
                <w:szCs w:val="20"/>
                <w:rtl/>
              </w:rPr>
              <w:t>ברווח</w:t>
            </w:r>
            <w:r w:rsidRPr="00037153">
              <w:rPr>
                <w:sz w:val="18"/>
                <w:szCs w:val="20"/>
                <w:rtl/>
              </w:rPr>
              <w:t xml:space="preserve"> (הפסד) </w:t>
            </w:r>
            <w:r w:rsidRPr="00037153">
              <w:rPr>
                <w:rFonts w:hint="eastAsia"/>
                <w:sz w:val="18"/>
                <w:szCs w:val="20"/>
                <w:rtl/>
              </w:rPr>
              <w:t>כולל</w:t>
            </w:r>
            <w:r w:rsidRPr="00037153">
              <w:rPr>
                <w:sz w:val="18"/>
                <w:szCs w:val="20"/>
                <w:rtl/>
              </w:rPr>
              <w:t xml:space="preserve"> </w:t>
            </w:r>
            <w:r w:rsidRPr="00037153">
              <w:rPr>
                <w:rFonts w:hint="eastAsia"/>
                <w:sz w:val="18"/>
                <w:szCs w:val="20"/>
                <w:rtl/>
              </w:rPr>
              <w:t>אחר</w:t>
            </w:r>
            <w:r w:rsidRPr="00037153">
              <w:rPr>
                <w:sz w:val="18"/>
                <w:szCs w:val="20"/>
                <w:rtl/>
              </w:rPr>
              <w:t xml:space="preserve">, </w:t>
            </w:r>
            <w:r w:rsidRPr="00037153">
              <w:rPr>
                <w:rFonts w:hint="eastAsia"/>
                <w:sz w:val="18"/>
                <w:szCs w:val="20"/>
                <w:rtl/>
              </w:rPr>
              <w:t>נטו</w:t>
            </w:r>
            <w:r w:rsidRPr="00037153">
              <w:rPr>
                <w:sz w:val="18"/>
                <w:szCs w:val="20"/>
                <w:rtl/>
              </w:rPr>
              <w:t xml:space="preserve"> </w:t>
            </w:r>
            <w:r w:rsidRPr="00037153">
              <w:rPr>
                <w:rFonts w:hint="eastAsia"/>
                <w:sz w:val="18"/>
                <w:szCs w:val="20"/>
                <w:rtl/>
              </w:rPr>
              <w:t>של</w:t>
            </w:r>
            <w:r w:rsidRPr="00037153">
              <w:rPr>
                <w:sz w:val="18"/>
                <w:szCs w:val="20"/>
                <w:rtl/>
              </w:rPr>
              <w:t xml:space="preserve"> </w:t>
            </w:r>
            <w:r w:rsidRPr="00037153">
              <w:rPr>
                <w:rFonts w:hint="eastAsia"/>
                <w:sz w:val="18"/>
                <w:szCs w:val="20"/>
                <w:rtl/>
              </w:rPr>
              <w:t>חברות</w:t>
            </w:r>
            <w:r w:rsidRPr="00037153">
              <w:rPr>
                <w:sz w:val="18"/>
                <w:szCs w:val="20"/>
                <w:rtl/>
              </w:rPr>
              <w:t xml:space="preserve"> </w:t>
            </w:r>
            <w:r w:rsidRPr="00037153">
              <w:rPr>
                <w:rFonts w:hint="eastAsia"/>
                <w:sz w:val="18"/>
                <w:szCs w:val="20"/>
                <w:rtl/>
              </w:rPr>
              <w:t>המטופלות</w:t>
            </w:r>
            <w:r w:rsidRPr="00037153">
              <w:rPr>
                <w:sz w:val="18"/>
                <w:szCs w:val="20"/>
                <w:rtl/>
              </w:rPr>
              <w:t xml:space="preserve"> </w:t>
            </w:r>
            <w:r w:rsidRPr="00037153">
              <w:rPr>
                <w:rFonts w:hint="eastAsia"/>
                <w:sz w:val="18"/>
                <w:szCs w:val="20"/>
                <w:rtl/>
              </w:rPr>
              <w:t>לפי</w:t>
            </w:r>
            <w:r w:rsidRPr="00037153">
              <w:rPr>
                <w:sz w:val="18"/>
                <w:szCs w:val="20"/>
                <w:rtl/>
              </w:rPr>
              <w:t xml:space="preserve"> </w:t>
            </w:r>
            <w:r w:rsidRPr="00037153">
              <w:rPr>
                <w:rFonts w:hint="eastAsia"/>
                <w:sz w:val="18"/>
                <w:szCs w:val="20"/>
                <w:rtl/>
              </w:rPr>
              <w:t>שיטת</w:t>
            </w:r>
            <w:r w:rsidRPr="00037153">
              <w:rPr>
                <w:sz w:val="18"/>
                <w:szCs w:val="20"/>
                <w:rtl/>
              </w:rPr>
              <w:t xml:space="preserve"> </w:t>
            </w:r>
            <w:r w:rsidRPr="00037153">
              <w:rPr>
                <w:rFonts w:hint="eastAsia"/>
                <w:sz w:val="18"/>
                <w:szCs w:val="20"/>
                <w:rtl/>
              </w:rPr>
              <w:t>השווי</w:t>
            </w:r>
            <w:r w:rsidRPr="00037153">
              <w:rPr>
                <w:sz w:val="18"/>
                <w:szCs w:val="20"/>
                <w:rtl/>
              </w:rPr>
              <w:t xml:space="preserve"> </w:t>
            </w:r>
            <w:r w:rsidRPr="00037153">
              <w:rPr>
                <w:rFonts w:hint="eastAsia"/>
                <w:sz w:val="18"/>
                <w:szCs w:val="20"/>
                <w:rtl/>
              </w:rPr>
              <w:t>המאזני</w:t>
            </w:r>
            <w:r w:rsidRPr="00037153">
              <w:rPr>
                <w:sz w:val="18"/>
                <w:szCs w:val="20"/>
                <w:rtl/>
              </w:rPr>
              <w:t xml:space="preserve"> </w:t>
            </w:r>
          </w:p>
        </w:tc>
        <w:tc>
          <w:tcPr>
            <w:tcW w:w="113" w:type="dxa"/>
            <w:shd w:val="clear" w:color="auto" w:fill="auto"/>
            <w:vAlign w:val="bottom"/>
          </w:tcPr>
          <w:p w14:paraId="1BCEC178" w14:textId="77777777" w:rsidR="0007242C" w:rsidRPr="00037153" w:rsidRDefault="0007242C" w:rsidP="0007242C">
            <w:pPr>
              <w:spacing w:line="200" w:lineRule="exact"/>
              <w:rPr>
                <w:sz w:val="18"/>
                <w:szCs w:val="20"/>
              </w:rPr>
            </w:pPr>
          </w:p>
        </w:tc>
        <w:tc>
          <w:tcPr>
            <w:tcW w:w="907" w:type="dxa"/>
            <w:gridSpan w:val="2"/>
            <w:tcBorders>
              <w:bottom w:val="single" w:sz="4" w:space="0" w:color="auto"/>
            </w:tcBorders>
            <w:vAlign w:val="bottom"/>
          </w:tcPr>
          <w:p w14:paraId="65E0D6B5"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7D99CDD8"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107ACD7C"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5229C4D2"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7707DAA"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2191A047"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6ABE7C23"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28AD3B55" w14:textId="77777777" w:rsidR="0007242C" w:rsidRPr="00037153" w:rsidRDefault="0007242C" w:rsidP="0007242C">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18CA05F2" w14:textId="77777777" w:rsidR="0007242C" w:rsidRPr="00037153" w:rsidRDefault="0007242C" w:rsidP="0007242C">
            <w:pPr>
              <w:tabs>
                <w:tab w:val="decimal" w:pos="113"/>
              </w:tabs>
              <w:spacing w:line="200" w:lineRule="exact"/>
              <w:rPr>
                <w:sz w:val="18"/>
                <w:szCs w:val="20"/>
                <w:rtl/>
              </w:rPr>
            </w:pPr>
          </w:p>
        </w:tc>
      </w:tr>
      <w:tr w:rsidR="0007242C" w:rsidRPr="00037153" w14:paraId="07B28B97" w14:textId="77777777" w:rsidTr="001521F8">
        <w:tc>
          <w:tcPr>
            <w:tcW w:w="1409" w:type="dxa"/>
            <w:tcBorders>
              <w:right w:val="single" w:sz="6" w:space="0" w:color="auto"/>
            </w:tcBorders>
          </w:tcPr>
          <w:p w14:paraId="19C72004"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072408CE" w14:textId="77777777" w:rsidR="0007242C" w:rsidRPr="00037153" w:rsidRDefault="0007242C" w:rsidP="0007242C">
            <w:pPr>
              <w:widowControl/>
              <w:spacing w:line="200" w:lineRule="exact"/>
              <w:jc w:val="left"/>
              <w:rPr>
                <w:sz w:val="18"/>
                <w:szCs w:val="20"/>
                <w:rtl/>
              </w:rPr>
            </w:pPr>
          </w:p>
        </w:tc>
        <w:tc>
          <w:tcPr>
            <w:tcW w:w="113" w:type="dxa"/>
            <w:shd w:val="clear" w:color="auto" w:fill="auto"/>
            <w:vAlign w:val="bottom"/>
          </w:tcPr>
          <w:p w14:paraId="0C728807" w14:textId="77777777" w:rsidR="0007242C" w:rsidRPr="00037153" w:rsidRDefault="0007242C" w:rsidP="0007242C">
            <w:pPr>
              <w:widowControl/>
              <w:spacing w:line="200" w:lineRule="exact"/>
              <w:rPr>
                <w:sz w:val="18"/>
                <w:szCs w:val="20"/>
              </w:rPr>
            </w:pPr>
          </w:p>
        </w:tc>
        <w:tc>
          <w:tcPr>
            <w:tcW w:w="907" w:type="dxa"/>
            <w:gridSpan w:val="2"/>
            <w:tcBorders>
              <w:top w:val="single" w:sz="4" w:space="0" w:color="auto"/>
            </w:tcBorders>
            <w:vAlign w:val="bottom"/>
          </w:tcPr>
          <w:p w14:paraId="20D92912" w14:textId="77777777" w:rsidR="0007242C" w:rsidRPr="00037153" w:rsidRDefault="0007242C" w:rsidP="0007242C">
            <w:pPr>
              <w:widowControl/>
              <w:tabs>
                <w:tab w:val="decimal" w:pos="113"/>
              </w:tabs>
              <w:spacing w:line="200" w:lineRule="exact"/>
              <w:rPr>
                <w:sz w:val="18"/>
                <w:szCs w:val="20"/>
                <w:rtl/>
              </w:rPr>
            </w:pPr>
          </w:p>
        </w:tc>
        <w:tc>
          <w:tcPr>
            <w:tcW w:w="113" w:type="dxa"/>
            <w:vAlign w:val="bottom"/>
          </w:tcPr>
          <w:p w14:paraId="460957AD" w14:textId="77777777" w:rsidR="0007242C" w:rsidRPr="00037153" w:rsidRDefault="0007242C" w:rsidP="0007242C">
            <w:pPr>
              <w:widowControl/>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6F757444" w14:textId="77777777" w:rsidR="0007242C" w:rsidRPr="00037153" w:rsidRDefault="0007242C" w:rsidP="0007242C">
            <w:pPr>
              <w:widowControl/>
              <w:tabs>
                <w:tab w:val="decimal" w:pos="113"/>
              </w:tabs>
              <w:spacing w:line="200" w:lineRule="exact"/>
              <w:rPr>
                <w:sz w:val="18"/>
                <w:szCs w:val="20"/>
              </w:rPr>
            </w:pPr>
          </w:p>
        </w:tc>
        <w:tc>
          <w:tcPr>
            <w:tcW w:w="113" w:type="dxa"/>
            <w:shd w:val="clear" w:color="auto" w:fill="auto"/>
            <w:vAlign w:val="bottom"/>
          </w:tcPr>
          <w:p w14:paraId="07FA4E8A" w14:textId="77777777" w:rsidR="0007242C" w:rsidRPr="00037153" w:rsidRDefault="0007242C" w:rsidP="0007242C">
            <w:pPr>
              <w:widowControl/>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28A3C519" w14:textId="77777777" w:rsidR="0007242C" w:rsidRPr="00037153" w:rsidRDefault="0007242C" w:rsidP="0007242C">
            <w:pPr>
              <w:widowControl/>
              <w:tabs>
                <w:tab w:val="decimal" w:pos="113"/>
              </w:tabs>
              <w:spacing w:line="200" w:lineRule="exact"/>
              <w:rPr>
                <w:sz w:val="18"/>
                <w:szCs w:val="20"/>
                <w:rtl/>
              </w:rPr>
            </w:pPr>
          </w:p>
        </w:tc>
        <w:tc>
          <w:tcPr>
            <w:tcW w:w="113" w:type="dxa"/>
            <w:shd w:val="clear" w:color="auto" w:fill="auto"/>
            <w:vAlign w:val="bottom"/>
          </w:tcPr>
          <w:p w14:paraId="2DCD1611" w14:textId="77777777" w:rsidR="0007242C" w:rsidRPr="00037153" w:rsidRDefault="0007242C" w:rsidP="0007242C">
            <w:pPr>
              <w:widowControl/>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2FD456AE" w14:textId="77777777" w:rsidR="0007242C" w:rsidRPr="00037153" w:rsidRDefault="0007242C" w:rsidP="0007242C">
            <w:pPr>
              <w:widowControl/>
              <w:tabs>
                <w:tab w:val="decimal" w:pos="113"/>
              </w:tabs>
              <w:spacing w:line="200" w:lineRule="exact"/>
              <w:rPr>
                <w:sz w:val="18"/>
                <w:szCs w:val="20"/>
              </w:rPr>
            </w:pPr>
          </w:p>
        </w:tc>
        <w:tc>
          <w:tcPr>
            <w:tcW w:w="113" w:type="dxa"/>
            <w:shd w:val="clear" w:color="auto" w:fill="auto"/>
            <w:vAlign w:val="bottom"/>
          </w:tcPr>
          <w:p w14:paraId="000E1626" w14:textId="77777777" w:rsidR="0007242C" w:rsidRPr="00037153" w:rsidRDefault="0007242C" w:rsidP="0007242C">
            <w:pPr>
              <w:widowControl/>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3774677A" w14:textId="77777777" w:rsidR="0007242C" w:rsidRPr="00037153" w:rsidRDefault="0007242C" w:rsidP="0007242C">
            <w:pPr>
              <w:widowControl/>
              <w:tabs>
                <w:tab w:val="decimal" w:pos="113"/>
              </w:tabs>
              <w:spacing w:line="200" w:lineRule="exact"/>
              <w:rPr>
                <w:sz w:val="18"/>
                <w:szCs w:val="20"/>
                <w:rtl/>
              </w:rPr>
            </w:pPr>
          </w:p>
        </w:tc>
      </w:tr>
      <w:tr w:rsidR="0007242C" w:rsidRPr="00037153" w14:paraId="7EE55D54" w14:textId="77777777" w:rsidTr="001521F8">
        <w:tc>
          <w:tcPr>
            <w:tcW w:w="1409" w:type="dxa"/>
            <w:tcBorders>
              <w:right w:val="single" w:sz="6" w:space="0" w:color="auto"/>
            </w:tcBorders>
          </w:tcPr>
          <w:p w14:paraId="67A1DFEB"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48181FD3"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סה</w:t>
            </w:r>
            <w:r w:rsidRPr="00037153">
              <w:rPr>
                <w:sz w:val="18"/>
                <w:szCs w:val="20"/>
                <w:rtl/>
              </w:rPr>
              <w:t xml:space="preserve">"כ </w:t>
            </w:r>
            <w:r w:rsidRPr="00037153">
              <w:rPr>
                <w:rFonts w:hint="cs"/>
                <w:sz w:val="18"/>
                <w:szCs w:val="20"/>
                <w:rtl/>
              </w:rPr>
              <w:t>רכיבים שלא יסווגו לאחר מכן לרווח או הפסד</w:t>
            </w:r>
          </w:p>
        </w:tc>
        <w:tc>
          <w:tcPr>
            <w:tcW w:w="113" w:type="dxa"/>
            <w:shd w:val="clear" w:color="auto" w:fill="auto"/>
            <w:vAlign w:val="bottom"/>
          </w:tcPr>
          <w:p w14:paraId="6089B93E" w14:textId="77777777" w:rsidR="0007242C" w:rsidRPr="00037153" w:rsidRDefault="0007242C" w:rsidP="0007242C">
            <w:pPr>
              <w:spacing w:line="200" w:lineRule="exact"/>
              <w:rPr>
                <w:sz w:val="18"/>
                <w:szCs w:val="20"/>
              </w:rPr>
            </w:pPr>
          </w:p>
        </w:tc>
        <w:tc>
          <w:tcPr>
            <w:tcW w:w="907" w:type="dxa"/>
            <w:gridSpan w:val="2"/>
            <w:tcBorders>
              <w:bottom w:val="single" w:sz="4" w:space="0" w:color="auto"/>
            </w:tcBorders>
            <w:vAlign w:val="bottom"/>
          </w:tcPr>
          <w:p w14:paraId="1E946654"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3E266016"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6140EEFA"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131CD580"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54373975"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65A432EA"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67422D0C"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70C710BB" w14:textId="77777777" w:rsidR="0007242C" w:rsidRPr="00037153" w:rsidRDefault="0007242C" w:rsidP="0007242C">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1FD9BAF0" w14:textId="77777777" w:rsidR="0007242C" w:rsidRPr="00037153" w:rsidRDefault="0007242C" w:rsidP="0007242C">
            <w:pPr>
              <w:tabs>
                <w:tab w:val="decimal" w:pos="113"/>
              </w:tabs>
              <w:spacing w:line="200" w:lineRule="exact"/>
              <w:rPr>
                <w:sz w:val="18"/>
                <w:szCs w:val="20"/>
                <w:rtl/>
              </w:rPr>
            </w:pPr>
          </w:p>
        </w:tc>
      </w:tr>
      <w:tr w:rsidR="0007242C" w:rsidRPr="00037153" w14:paraId="0B6ABA63" w14:textId="77777777" w:rsidTr="001521F8">
        <w:tc>
          <w:tcPr>
            <w:tcW w:w="1409" w:type="dxa"/>
            <w:tcBorders>
              <w:right w:val="single" w:sz="6" w:space="0" w:color="auto"/>
            </w:tcBorders>
          </w:tcPr>
          <w:p w14:paraId="403A5F0B"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1A5D08D5" w14:textId="77777777" w:rsidR="0007242C" w:rsidRPr="00037153" w:rsidRDefault="0007242C" w:rsidP="0007242C">
            <w:pPr>
              <w:spacing w:line="200" w:lineRule="exact"/>
              <w:ind w:left="227" w:hanging="170"/>
              <w:jc w:val="left"/>
              <w:rPr>
                <w:sz w:val="18"/>
                <w:szCs w:val="20"/>
                <w:rtl/>
              </w:rPr>
            </w:pPr>
          </w:p>
        </w:tc>
        <w:tc>
          <w:tcPr>
            <w:tcW w:w="113" w:type="dxa"/>
            <w:shd w:val="clear" w:color="auto" w:fill="auto"/>
            <w:vAlign w:val="bottom"/>
          </w:tcPr>
          <w:p w14:paraId="7E289311" w14:textId="77777777" w:rsidR="0007242C" w:rsidRPr="00037153" w:rsidRDefault="0007242C" w:rsidP="0007242C">
            <w:pPr>
              <w:spacing w:line="200" w:lineRule="exact"/>
              <w:rPr>
                <w:sz w:val="18"/>
                <w:szCs w:val="20"/>
              </w:rPr>
            </w:pPr>
          </w:p>
        </w:tc>
        <w:tc>
          <w:tcPr>
            <w:tcW w:w="907" w:type="dxa"/>
            <w:gridSpan w:val="2"/>
            <w:tcBorders>
              <w:top w:val="single" w:sz="4" w:space="0" w:color="auto"/>
            </w:tcBorders>
            <w:vAlign w:val="bottom"/>
          </w:tcPr>
          <w:p w14:paraId="759EDC26"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6A708A13" w14:textId="77777777" w:rsidR="0007242C" w:rsidRPr="00037153" w:rsidRDefault="0007242C" w:rsidP="0007242C">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7A6DE6DF"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53EEF65" w14:textId="77777777" w:rsidR="0007242C" w:rsidRPr="00037153" w:rsidRDefault="0007242C" w:rsidP="0007242C">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3A72F598"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6744A461" w14:textId="77777777" w:rsidR="0007242C" w:rsidRPr="00037153" w:rsidRDefault="0007242C" w:rsidP="0007242C">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4F63071D"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2514B044" w14:textId="77777777" w:rsidR="0007242C" w:rsidRPr="00037153" w:rsidRDefault="0007242C" w:rsidP="0007242C">
            <w:pPr>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25BAD42E" w14:textId="77777777" w:rsidR="0007242C" w:rsidRPr="00037153" w:rsidRDefault="0007242C" w:rsidP="0007242C">
            <w:pPr>
              <w:tabs>
                <w:tab w:val="decimal" w:pos="113"/>
              </w:tabs>
              <w:spacing w:line="200" w:lineRule="exact"/>
              <w:rPr>
                <w:sz w:val="18"/>
                <w:szCs w:val="20"/>
                <w:rtl/>
              </w:rPr>
            </w:pPr>
          </w:p>
        </w:tc>
      </w:tr>
      <w:tr w:rsidR="0007242C" w:rsidRPr="00037153" w14:paraId="10475E3D" w14:textId="77777777" w:rsidTr="001521F8">
        <w:tc>
          <w:tcPr>
            <w:tcW w:w="1409" w:type="dxa"/>
            <w:tcBorders>
              <w:bottom w:val="single" w:sz="4" w:space="0" w:color="auto"/>
              <w:right w:val="single" w:sz="6" w:space="0" w:color="auto"/>
            </w:tcBorders>
          </w:tcPr>
          <w:p w14:paraId="187D1AFE" w14:textId="0A449ED0" w:rsidR="0007242C" w:rsidRDefault="0007242C" w:rsidP="0007242C">
            <w:pPr>
              <w:tabs>
                <w:tab w:val="left" w:pos="227"/>
                <w:tab w:val="left" w:pos="397"/>
                <w:tab w:val="left" w:pos="567"/>
              </w:tabs>
              <w:bidi w:val="0"/>
              <w:spacing w:line="200" w:lineRule="exact"/>
              <w:ind w:right="113"/>
              <w:jc w:val="right"/>
              <w:rPr>
                <w:i/>
                <w:iCs/>
                <w:sz w:val="18"/>
                <w:szCs w:val="20"/>
                <w:rtl/>
              </w:rPr>
            </w:pPr>
            <w:r w:rsidRPr="00DD74D5">
              <w:rPr>
                <w:i/>
                <w:iCs/>
                <w:sz w:val="12"/>
                <w:szCs w:val="14"/>
              </w:rPr>
              <w:t>IAS 1.82A</w:t>
            </w:r>
            <w:r>
              <w:rPr>
                <w:i/>
                <w:iCs/>
                <w:sz w:val="12"/>
                <w:szCs w:val="14"/>
              </w:rPr>
              <w:t>(a)(ii)</w:t>
            </w:r>
          </w:p>
          <w:p w14:paraId="058D3FA6" w14:textId="77777777" w:rsidR="0007242C" w:rsidRPr="0007242C" w:rsidRDefault="0007242C" w:rsidP="0007242C">
            <w:pPr>
              <w:bidi w:val="0"/>
              <w:jc w:val="center"/>
              <w:rPr>
                <w:sz w:val="18"/>
                <w:szCs w:val="20"/>
                <w:rtl/>
              </w:rPr>
            </w:pPr>
          </w:p>
        </w:tc>
        <w:tc>
          <w:tcPr>
            <w:tcW w:w="2902" w:type="dxa"/>
            <w:tcBorders>
              <w:left w:val="single" w:sz="6" w:space="0" w:color="auto"/>
            </w:tcBorders>
            <w:shd w:val="clear" w:color="auto" w:fill="auto"/>
            <w:vAlign w:val="bottom"/>
          </w:tcPr>
          <w:p w14:paraId="12815080" w14:textId="77777777" w:rsidR="0007242C" w:rsidRPr="00037153" w:rsidRDefault="0007242C" w:rsidP="0007242C">
            <w:pPr>
              <w:spacing w:line="200" w:lineRule="exact"/>
              <w:ind w:left="227" w:hanging="170"/>
              <w:jc w:val="left"/>
              <w:rPr>
                <w:sz w:val="18"/>
                <w:szCs w:val="20"/>
                <w:u w:val="single"/>
                <w:rtl/>
              </w:rPr>
            </w:pPr>
            <w:r w:rsidRPr="00037153">
              <w:rPr>
                <w:rFonts w:hint="eastAsia"/>
                <w:sz w:val="18"/>
                <w:szCs w:val="20"/>
                <w:u w:val="single"/>
                <w:rtl/>
              </w:rPr>
              <w:t>סכומים</w:t>
            </w:r>
            <w:r w:rsidRPr="00037153">
              <w:rPr>
                <w:sz w:val="18"/>
                <w:szCs w:val="20"/>
                <w:u w:val="single"/>
                <w:rtl/>
              </w:rPr>
              <w:t xml:space="preserve"> </w:t>
            </w:r>
            <w:r w:rsidRPr="00037153">
              <w:rPr>
                <w:rFonts w:hint="eastAsia"/>
                <w:sz w:val="18"/>
                <w:szCs w:val="20"/>
                <w:u w:val="single"/>
                <w:rtl/>
              </w:rPr>
              <w:t>שיסווגו</w:t>
            </w:r>
            <w:r w:rsidRPr="00037153">
              <w:rPr>
                <w:sz w:val="18"/>
                <w:szCs w:val="20"/>
                <w:u w:val="single"/>
                <w:rtl/>
              </w:rPr>
              <w:t xml:space="preserve"> </w:t>
            </w:r>
            <w:r w:rsidRPr="00037153">
              <w:rPr>
                <w:rFonts w:hint="cs"/>
                <w:sz w:val="18"/>
                <w:szCs w:val="20"/>
                <w:u w:val="single"/>
                <w:rtl/>
              </w:rPr>
              <w:t xml:space="preserve">או המסווגים </w:t>
            </w:r>
            <w:r w:rsidRPr="00037153">
              <w:rPr>
                <w:rFonts w:hint="eastAsia"/>
                <w:sz w:val="18"/>
                <w:szCs w:val="20"/>
                <w:u w:val="single"/>
                <w:rtl/>
              </w:rPr>
              <w:t>מחדש</w:t>
            </w:r>
            <w:r w:rsidRPr="00037153">
              <w:rPr>
                <w:sz w:val="18"/>
                <w:szCs w:val="20"/>
                <w:u w:val="single"/>
                <w:rtl/>
              </w:rPr>
              <w:t xml:space="preserve"> </w:t>
            </w:r>
            <w:r w:rsidRPr="00037153">
              <w:rPr>
                <w:rFonts w:hint="eastAsia"/>
                <w:sz w:val="18"/>
                <w:szCs w:val="20"/>
                <w:u w:val="single"/>
                <w:rtl/>
              </w:rPr>
              <w:t>לרווח</w:t>
            </w:r>
            <w:r w:rsidRPr="00037153">
              <w:rPr>
                <w:sz w:val="18"/>
                <w:szCs w:val="20"/>
                <w:u w:val="single"/>
                <w:rtl/>
              </w:rPr>
              <w:t xml:space="preserve"> </w:t>
            </w:r>
            <w:r w:rsidRPr="00037153">
              <w:rPr>
                <w:rFonts w:hint="eastAsia"/>
                <w:sz w:val="18"/>
                <w:szCs w:val="20"/>
                <w:u w:val="single"/>
                <w:rtl/>
              </w:rPr>
              <w:t>או</w:t>
            </w:r>
            <w:r w:rsidRPr="00037153">
              <w:rPr>
                <w:sz w:val="18"/>
                <w:szCs w:val="20"/>
                <w:u w:val="single"/>
                <w:rtl/>
              </w:rPr>
              <w:t xml:space="preserve"> </w:t>
            </w:r>
            <w:r w:rsidRPr="00037153">
              <w:rPr>
                <w:rFonts w:hint="eastAsia"/>
                <w:sz w:val="18"/>
                <w:szCs w:val="20"/>
                <w:u w:val="single"/>
                <w:rtl/>
              </w:rPr>
              <w:t>הפסד</w:t>
            </w:r>
            <w:r w:rsidRPr="00037153">
              <w:rPr>
                <w:sz w:val="18"/>
                <w:szCs w:val="20"/>
                <w:u w:val="single"/>
                <w:rtl/>
              </w:rPr>
              <w:t xml:space="preserve"> </w:t>
            </w:r>
            <w:r w:rsidRPr="00037153">
              <w:rPr>
                <w:rFonts w:hint="eastAsia"/>
                <w:sz w:val="18"/>
                <w:szCs w:val="20"/>
                <w:u w:val="single"/>
                <w:rtl/>
              </w:rPr>
              <w:t>בהתקיים</w:t>
            </w:r>
            <w:r w:rsidRPr="00037153">
              <w:rPr>
                <w:sz w:val="18"/>
                <w:szCs w:val="20"/>
                <w:u w:val="single"/>
                <w:rtl/>
              </w:rPr>
              <w:t xml:space="preserve"> </w:t>
            </w:r>
            <w:r w:rsidRPr="00037153">
              <w:rPr>
                <w:rFonts w:hint="eastAsia"/>
                <w:sz w:val="18"/>
                <w:szCs w:val="20"/>
                <w:u w:val="single"/>
                <w:rtl/>
              </w:rPr>
              <w:t>תנאים</w:t>
            </w:r>
            <w:r w:rsidRPr="00037153">
              <w:rPr>
                <w:sz w:val="18"/>
                <w:szCs w:val="20"/>
                <w:u w:val="single"/>
                <w:rtl/>
              </w:rPr>
              <w:t xml:space="preserve"> </w:t>
            </w:r>
            <w:r w:rsidRPr="00037153">
              <w:rPr>
                <w:rFonts w:hint="eastAsia"/>
                <w:sz w:val="18"/>
                <w:szCs w:val="20"/>
                <w:u w:val="single"/>
                <w:rtl/>
              </w:rPr>
              <w:t>ספציפיים</w:t>
            </w:r>
            <w:r w:rsidRPr="00037153">
              <w:rPr>
                <w:rStyle w:val="ab"/>
                <w:sz w:val="18"/>
                <w:szCs w:val="20"/>
                <w:u w:val="single"/>
                <w:rtl/>
              </w:rPr>
              <w:footnoteReference w:id="20"/>
            </w:r>
            <w:r w:rsidRPr="00037153">
              <w:rPr>
                <w:sz w:val="18"/>
                <w:szCs w:val="20"/>
                <w:u w:val="single"/>
                <w:rtl/>
              </w:rPr>
              <w:t>:</w:t>
            </w:r>
          </w:p>
        </w:tc>
        <w:tc>
          <w:tcPr>
            <w:tcW w:w="113" w:type="dxa"/>
            <w:shd w:val="clear" w:color="auto" w:fill="auto"/>
            <w:vAlign w:val="bottom"/>
          </w:tcPr>
          <w:p w14:paraId="05FA0A42" w14:textId="77777777" w:rsidR="0007242C" w:rsidRPr="00037153" w:rsidRDefault="0007242C" w:rsidP="0007242C">
            <w:pPr>
              <w:spacing w:line="200" w:lineRule="exact"/>
              <w:rPr>
                <w:sz w:val="18"/>
                <w:szCs w:val="20"/>
                <w:u w:val="single"/>
              </w:rPr>
            </w:pPr>
          </w:p>
        </w:tc>
        <w:tc>
          <w:tcPr>
            <w:tcW w:w="907" w:type="dxa"/>
            <w:gridSpan w:val="2"/>
            <w:vAlign w:val="bottom"/>
          </w:tcPr>
          <w:p w14:paraId="64682B97"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0B5D20BE"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EBDC72F"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218F055B"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6CD3F24"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0AFBFBB5"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7FF407FF"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FE3B926"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6E42B5DA" w14:textId="77777777" w:rsidR="0007242C" w:rsidRPr="00037153" w:rsidRDefault="0007242C" w:rsidP="0007242C">
            <w:pPr>
              <w:tabs>
                <w:tab w:val="decimal" w:pos="113"/>
              </w:tabs>
              <w:spacing w:line="200" w:lineRule="exact"/>
              <w:rPr>
                <w:sz w:val="18"/>
                <w:szCs w:val="20"/>
                <w:rtl/>
              </w:rPr>
            </w:pPr>
          </w:p>
        </w:tc>
      </w:tr>
      <w:tr w:rsidR="0007242C" w:rsidRPr="00037153" w14:paraId="7BF73981" w14:textId="77777777" w:rsidTr="001521F8">
        <w:tc>
          <w:tcPr>
            <w:tcW w:w="1409" w:type="dxa"/>
            <w:tcBorders>
              <w:bottom w:val="single" w:sz="4" w:space="0" w:color="auto"/>
              <w:right w:val="single" w:sz="6" w:space="0" w:color="auto"/>
            </w:tcBorders>
          </w:tcPr>
          <w:p w14:paraId="3BDADE45" w14:textId="477C5289"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IFRS 9.5.7.1(d)</w:t>
            </w:r>
          </w:p>
        </w:tc>
        <w:tc>
          <w:tcPr>
            <w:tcW w:w="2902" w:type="dxa"/>
            <w:tcBorders>
              <w:left w:val="single" w:sz="6" w:space="0" w:color="auto"/>
            </w:tcBorders>
            <w:shd w:val="clear" w:color="auto" w:fill="auto"/>
            <w:vAlign w:val="bottom"/>
          </w:tcPr>
          <w:p w14:paraId="568DD52E" w14:textId="4560BA12" w:rsidR="0007242C" w:rsidRPr="00037153" w:rsidRDefault="0007242C" w:rsidP="0007242C">
            <w:pPr>
              <w:spacing w:line="200" w:lineRule="exact"/>
              <w:ind w:left="227" w:hanging="170"/>
              <w:jc w:val="left"/>
              <w:rPr>
                <w:sz w:val="18"/>
                <w:szCs w:val="20"/>
                <w:rtl/>
              </w:rPr>
            </w:pPr>
            <w:r w:rsidRPr="00E91246">
              <w:rPr>
                <w:rFonts w:hint="eastAsia"/>
                <w:sz w:val="18"/>
                <w:szCs w:val="20"/>
                <w:rtl/>
              </w:rPr>
              <w:t>רווח</w:t>
            </w:r>
            <w:r w:rsidRPr="00E91246">
              <w:rPr>
                <w:sz w:val="18"/>
                <w:szCs w:val="20"/>
                <w:rtl/>
              </w:rPr>
              <w:t xml:space="preserve"> (הפסד) </w:t>
            </w:r>
            <w:r w:rsidRPr="00E91246">
              <w:rPr>
                <w:rFonts w:hint="eastAsia"/>
                <w:sz w:val="18"/>
                <w:szCs w:val="20"/>
                <w:rtl/>
              </w:rPr>
              <w:t>בגין</w:t>
            </w:r>
            <w:r w:rsidRPr="00E91246">
              <w:rPr>
                <w:sz w:val="18"/>
                <w:szCs w:val="20"/>
                <w:rtl/>
              </w:rPr>
              <w:t xml:space="preserve"> </w:t>
            </w:r>
            <w:r w:rsidRPr="00E91246">
              <w:rPr>
                <w:rFonts w:hint="eastAsia"/>
                <w:sz w:val="18"/>
                <w:szCs w:val="20"/>
                <w:rtl/>
              </w:rPr>
              <w:t>השקעה</w:t>
            </w:r>
            <w:r w:rsidRPr="00E91246">
              <w:rPr>
                <w:sz w:val="18"/>
                <w:szCs w:val="20"/>
                <w:rtl/>
              </w:rPr>
              <w:t xml:space="preserve"> </w:t>
            </w:r>
            <w:r w:rsidRPr="00E91246">
              <w:rPr>
                <w:rFonts w:hint="eastAsia"/>
                <w:sz w:val="18"/>
                <w:szCs w:val="20"/>
                <w:rtl/>
              </w:rPr>
              <w:t>במכשירי</w:t>
            </w:r>
            <w:r w:rsidRPr="00E91246">
              <w:rPr>
                <w:sz w:val="18"/>
                <w:szCs w:val="20"/>
                <w:rtl/>
              </w:rPr>
              <w:t xml:space="preserve"> </w:t>
            </w:r>
            <w:r w:rsidRPr="00E91246">
              <w:rPr>
                <w:rFonts w:hint="eastAsia"/>
                <w:sz w:val="18"/>
                <w:szCs w:val="20"/>
                <w:rtl/>
              </w:rPr>
              <w:t>חוב</w:t>
            </w:r>
            <w:r w:rsidRPr="00E91246">
              <w:rPr>
                <w:sz w:val="18"/>
                <w:szCs w:val="20"/>
                <w:rtl/>
              </w:rPr>
              <w:t xml:space="preserve"> </w:t>
            </w:r>
            <w:r w:rsidRPr="00E91246">
              <w:rPr>
                <w:rFonts w:hint="eastAsia"/>
                <w:sz w:val="18"/>
                <w:szCs w:val="20"/>
                <w:rtl/>
              </w:rPr>
              <w:t>בשווי</w:t>
            </w:r>
            <w:r w:rsidRPr="00E91246">
              <w:rPr>
                <w:sz w:val="18"/>
                <w:szCs w:val="20"/>
                <w:rtl/>
              </w:rPr>
              <w:t xml:space="preserve"> </w:t>
            </w:r>
            <w:r w:rsidRPr="00E91246">
              <w:rPr>
                <w:rFonts w:hint="eastAsia"/>
                <w:sz w:val="18"/>
                <w:szCs w:val="20"/>
                <w:rtl/>
              </w:rPr>
              <w:t>הוגן</w:t>
            </w:r>
            <w:r w:rsidRPr="00E91246">
              <w:rPr>
                <w:sz w:val="18"/>
                <w:szCs w:val="20"/>
                <w:rtl/>
              </w:rPr>
              <w:t xml:space="preserve"> </w:t>
            </w:r>
            <w:r w:rsidRPr="00E91246">
              <w:rPr>
                <w:rFonts w:hint="eastAsia"/>
                <w:sz w:val="18"/>
                <w:szCs w:val="20"/>
                <w:rtl/>
              </w:rPr>
              <w:t>דרך</w:t>
            </w:r>
            <w:r w:rsidRPr="00E91246">
              <w:rPr>
                <w:sz w:val="18"/>
                <w:szCs w:val="20"/>
                <w:rtl/>
              </w:rPr>
              <w:t xml:space="preserve"> </w:t>
            </w:r>
            <w:r w:rsidRPr="00E91246">
              <w:rPr>
                <w:rFonts w:hint="eastAsia"/>
                <w:sz w:val="18"/>
                <w:szCs w:val="20"/>
                <w:rtl/>
              </w:rPr>
              <w:t>רווח</w:t>
            </w:r>
            <w:r w:rsidRPr="00E91246">
              <w:rPr>
                <w:sz w:val="18"/>
                <w:szCs w:val="20"/>
                <w:rtl/>
              </w:rPr>
              <w:t xml:space="preserve"> </w:t>
            </w:r>
            <w:r w:rsidRPr="00E91246">
              <w:rPr>
                <w:rFonts w:hint="eastAsia"/>
                <w:sz w:val="18"/>
                <w:szCs w:val="20"/>
                <w:rtl/>
              </w:rPr>
              <w:t>כולל</w:t>
            </w:r>
            <w:r w:rsidRPr="00E91246">
              <w:rPr>
                <w:sz w:val="18"/>
                <w:szCs w:val="20"/>
                <w:rtl/>
              </w:rPr>
              <w:t xml:space="preserve"> </w:t>
            </w:r>
            <w:r w:rsidRPr="00E91246">
              <w:rPr>
                <w:rFonts w:hint="eastAsia"/>
                <w:sz w:val="18"/>
                <w:szCs w:val="20"/>
                <w:rtl/>
              </w:rPr>
              <w:t>אחר</w:t>
            </w:r>
          </w:p>
        </w:tc>
        <w:tc>
          <w:tcPr>
            <w:tcW w:w="113" w:type="dxa"/>
            <w:shd w:val="clear" w:color="auto" w:fill="auto"/>
            <w:vAlign w:val="bottom"/>
          </w:tcPr>
          <w:p w14:paraId="1A3836EE" w14:textId="77777777" w:rsidR="0007242C" w:rsidRPr="00037153" w:rsidRDefault="0007242C" w:rsidP="0007242C">
            <w:pPr>
              <w:spacing w:line="200" w:lineRule="exact"/>
              <w:rPr>
                <w:sz w:val="18"/>
                <w:szCs w:val="20"/>
                <w:u w:val="single"/>
              </w:rPr>
            </w:pPr>
          </w:p>
        </w:tc>
        <w:tc>
          <w:tcPr>
            <w:tcW w:w="907" w:type="dxa"/>
            <w:gridSpan w:val="2"/>
            <w:vAlign w:val="bottom"/>
          </w:tcPr>
          <w:p w14:paraId="79A00D8B"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0C347979"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5424C0B1"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210126D0"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443AAB3D"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19C82D69"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2F82DE5A"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A98E7EE"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67066901" w14:textId="77777777" w:rsidR="0007242C" w:rsidRPr="00037153" w:rsidRDefault="0007242C" w:rsidP="0007242C">
            <w:pPr>
              <w:tabs>
                <w:tab w:val="decimal" w:pos="113"/>
              </w:tabs>
              <w:spacing w:line="200" w:lineRule="exact"/>
              <w:rPr>
                <w:sz w:val="18"/>
                <w:szCs w:val="20"/>
                <w:rtl/>
              </w:rPr>
            </w:pPr>
          </w:p>
        </w:tc>
      </w:tr>
      <w:tr w:rsidR="0007242C" w:rsidRPr="00037153" w14:paraId="146B020B" w14:textId="77777777" w:rsidTr="001521F8">
        <w:tc>
          <w:tcPr>
            <w:tcW w:w="1409" w:type="dxa"/>
            <w:tcBorders>
              <w:top w:val="single" w:sz="4" w:space="0" w:color="auto"/>
              <w:bottom w:val="single" w:sz="4" w:space="0" w:color="auto"/>
              <w:right w:val="single" w:sz="6" w:space="0" w:color="auto"/>
            </w:tcBorders>
          </w:tcPr>
          <w:p w14:paraId="3763950A" w14:textId="1E33F20B"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IFRS 9.5.7.10</w:t>
            </w:r>
          </w:p>
        </w:tc>
        <w:tc>
          <w:tcPr>
            <w:tcW w:w="2902" w:type="dxa"/>
            <w:tcBorders>
              <w:left w:val="single" w:sz="6" w:space="0" w:color="auto"/>
            </w:tcBorders>
            <w:shd w:val="clear" w:color="auto" w:fill="auto"/>
            <w:vAlign w:val="bottom"/>
          </w:tcPr>
          <w:p w14:paraId="025964BF" w14:textId="32D064DE" w:rsidR="0007242C" w:rsidRPr="00037153" w:rsidRDefault="0007242C" w:rsidP="0007242C">
            <w:pPr>
              <w:widowControl/>
              <w:tabs>
                <w:tab w:val="left" w:pos="227"/>
                <w:tab w:val="left" w:pos="397"/>
                <w:tab w:val="left" w:pos="567"/>
              </w:tabs>
              <w:bidi w:val="0"/>
              <w:spacing w:line="200" w:lineRule="exact"/>
              <w:ind w:right="113"/>
              <w:jc w:val="right"/>
              <w:rPr>
                <w:sz w:val="18"/>
                <w:szCs w:val="20"/>
                <w:rtl/>
              </w:rPr>
            </w:pPr>
            <w:r>
              <w:rPr>
                <w:rFonts w:hint="cs"/>
                <w:sz w:val="18"/>
                <w:szCs w:val="20"/>
                <w:rtl/>
              </w:rPr>
              <w:t>העברה לדוח רווח או הפסד בגין מימוש השקעות במכשירי חוב בשווי הוגן דרך רווח כולל אחר</w:t>
            </w:r>
          </w:p>
        </w:tc>
        <w:tc>
          <w:tcPr>
            <w:tcW w:w="113" w:type="dxa"/>
            <w:shd w:val="clear" w:color="auto" w:fill="auto"/>
            <w:vAlign w:val="bottom"/>
          </w:tcPr>
          <w:p w14:paraId="3A7AAB22" w14:textId="77777777" w:rsidR="0007242C" w:rsidRPr="00037153" w:rsidRDefault="0007242C" w:rsidP="0007242C">
            <w:pPr>
              <w:spacing w:line="200" w:lineRule="exact"/>
              <w:rPr>
                <w:sz w:val="18"/>
                <w:szCs w:val="20"/>
                <w:u w:val="single"/>
              </w:rPr>
            </w:pPr>
          </w:p>
        </w:tc>
        <w:tc>
          <w:tcPr>
            <w:tcW w:w="907" w:type="dxa"/>
            <w:gridSpan w:val="2"/>
            <w:vAlign w:val="bottom"/>
          </w:tcPr>
          <w:p w14:paraId="0F041697"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2AE3642A"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708679C5"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71FA6496"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2DF1CF98"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30B5D2DC"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4A671731"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FF18166"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1EFE14A7" w14:textId="77777777" w:rsidR="0007242C" w:rsidRPr="00037153" w:rsidRDefault="0007242C" w:rsidP="0007242C">
            <w:pPr>
              <w:tabs>
                <w:tab w:val="decimal" w:pos="113"/>
              </w:tabs>
              <w:spacing w:line="200" w:lineRule="exact"/>
              <w:rPr>
                <w:sz w:val="18"/>
                <w:szCs w:val="20"/>
                <w:rtl/>
              </w:rPr>
            </w:pPr>
          </w:p>
        </w:tc>
      </w:tr>
      <w:tr w:rsidR="0007242C" w:rsidRPr="00037153" w14:paraId="1A9A3521" w14:textId="77777777" w:rsidTr="001521F8">
        <w:tc>
          <w:tcPr>
            <w:tcW w:w="1409" w:type="dxa"/>
            <w:tcBorders>
              <w:top w:val="single" w:sz="4" w:space="0" w:color="auto"/>
              <w:bottom w:val="single" w:sz="4" w:space="0" w:color="auto"/>
              <w:right w:val="single" w:sz="6" w:space="0" w:color="auto"/>
            </w:tcBorders>
          </w:tcPr>
          <w:p w14:paraId="29B5BE62" w14:textId="40D78DDF"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IAS 39.95(a)</w:t>
            </w:r>
          </w:p>
        </w:tc>
        <w:tc>
          <w:tcPr>
            <w:tcW w:w="2902" w:type="dxa"/>
            <w:tcBorders>
              <w:left w:val="single" w:sz="6" w:space="0" w:color="auto"/>
            </w:tcBorders>
            <w:shd w:val="clear" w:color="auto" w:fill="auto"/>
            <w:vAlign w:val="bottom"/>
          </w:tcPr>
          <w:p w14:paraId="3C55773D"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(הפסד) </w:t>
            </w:r>
            <w:r w:rsidRPr="00037153">
              <w:rPr>
                <w:rFonts w:hint="eastAsia"/>
                <w:sz w:val="18"/>
                <w:szCs w:val="20"/>
                <w:rtl/>
              </w:rPr>
              <w:t>בגין</w:t>
            </w:r>
            <w:r w:rsidRPr="00037153">
              <w:rPr>
                <w:sz w:val="18"/>
                <w:szCs w:val="20"/>
                <w:rtl/>
              </w:rPr>
              <w:t xml:space="preserve"> </w:t>
            </w:r>
            <w:r w:rsidRPr="00037153">
              <w:rPr>
                <w:rFonts w:hint="eastAsia"/>
                <w:sz w:val="18"/>
                <w:szCs w:val="20"/>
                <w:rtl/>
              </w:rPr>
              <w:t>עסקאות</w:t>
            </w:r>
            <w:r w:rsidRPr="00037153">
              <w:rPr>
                <w:sz w:val="18"/>
                <w:szCs w:val="20"/>
                <w:rtl/>
              </w:rPr>
              <w:t xml:space="preserve"> </w:t>
            </w:r>
            <w:r w:rsidRPr="00037153">
              <w:rPr>
                <w:rFonts w:hint="eastAsia"/>
                <w:sz w:val="18"/>
                <w:szCs w:val="20"/>
                <w:rtl/>
              </w:rPr>
              <w:t>גידור</w:t>
            </w:r>
            <w:r w:rsidRPr="00037153">
              <w:rPr>
                <w:sz w:val="18"/>
                <w:szCs w:val="20"/>
                <w:rtl/>
              </w:rPr>
              <w:t xml:space="preserve"> </w:t>
            </w:r>
            <w:r w:rsidRPr="00037153">
              <w:rPr>
                <w:rFonts w:hint="eastAsia"/>
                <w:sz w:val="18"/>
                <w:szCs w:val="20"/>
                <w:rtl/>
              </w:rPr>
              <w:t>תזרימי</w:t>
            </w:r>
            <w:r w:rsidRPr="00037153">
              <w:rPr>
                <w:sz w:val="18"/>
                <w:szCs w:val="20"/>
                <w:rtl/>
              </w:rPr>
              <w:t xml:space="preserve"> </w:t>
            </w:r>
            <w:r w:rsidRPr="00037153">
              <w:rPr>
                <w:rFonts w:hint="eastAsia"/>
                <w:sz w:val="18"/>
                <w:szCs w:val="20"/>
                <w:rtl/>
              </w:rPr>
              <w:t>מזומנים</w:t>
            </w:r>
            <w:r w:rsidRPr="00037153">
              <w:rPr>
                <w:rStyle w:val="ab"/>
                <w:sz w:val="18"/>
                <w:szCs w:val="20"/>
                <w:rtl/>
              </w:rPr>
              <w:footnoteReference w:id="21"/>
            </w:r>
          </w:p>
        </w:tc>
        <w:tc>
          <w:tcPr>
            <w:tcW w:w="113" w:type="dxa"/>
            <w:shd w:val="clear" w:color="auto" w:fill="auto"/>
            <w:vAlign w:val="bottom"/>
          </w:tcPr>
          <w:p w14:paraId="35CC3D7F" w14:textId="77777777" w:rsidR="0007242C" w:rsidRPr="00037153" w:rsidRDefault="0007242C" w:rsidP="0007242C">
            <w:pPr>
              <w:spacing w:line="200" w:lineRule="exact"/>
              <w:rPr>
                <w:sz w:val="18"/>
                <w:szCs w:val="20"/>
                <w:u w:val="single"/>
              </w:rPr>
            </w:pPr>
          </w:p>
        </w:tc>
        <w:tc>
          <w:tcPr>
            <w:tcW w:w="907" w:type="dxa"/>
            <w:gridSpan w:val="2"/>
            <w:vAlign w:val="bottom"/>
          </w:tcPr>
          <w:p w14:paraId="775FFEE9"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38C31F50"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09524D8"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4B331B5"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4986D248"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543DF2B7"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67953929"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2BEBC33"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4A46D65B" w14:textId="77777777" w:rsidR="0007242C" w:rsidRPr="00037153" w:rsidRDefault="0007242C" w:rsidP="0007242C">
            <w:pPr>
              <w:tabs>
                <w:tab w:val="decimal" w:pos="113"/>
              </w:tabs>
              <w:spacing w:line="200" w:lineRule="exact"/>
              <w:rPr>
                <w:sz w:val="18"/>
                <w:szCs w:val="20"/>
                <w:rtl/>
              </w:rPr>
            </w:pPr>
          </w:p>
        </w:tc>
      </w:tr>
      <w:tr w:rsidR="0007242C" w:rsidRPr="00037153" w14:paraId="5E919E46" w14:textId="77777777" w:rsidTr="001521F8">
        <w:tc>
          <w:tcPr>
            <w:tcW w:w="1409" w:type="dxa"/>
            <w:tcBorders>
              <w:top w:val="single" w:sz="4" w:space="0" w:color="auto"/>
              <w:bottom w:val="single" w:sz="4" w:space="0" w:color="auto"/>
              <w:right w:val="single" w:sz="6" w:space="0" w:color="auto"/>
            </w:tcBorders>
          </w:tcPr>
          <w:p w14:paraId="28F50530" w14:textId="1F641BE8"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IFRS 7.23(c)</w:t>
            </w:r>
          </w:p>
        </w:tc>
        <w:tc>
          <w:tcPr>
            <w:tcW w:w="2902" w:type="dxa"/>
            <w:tcBorders>
              <w:left w:val="single" w:sz="6" w:space="0" w:color="auto"/>
            </w:tcBorders>
            <w:shd w:val="clear" w:color="auto" w:fill="auto"/>
            <w:vAlign w:val="bottom"/>
          </w:tcPr>
          <w:p w14:paraId="5AD4BFE1"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העברה</w:t>
            </w:r>
            <w:r w:rsidRPr="00037153">
              <w:rPr>
                <w:sz w:val="18"/>
                <w:szCs w:val="20"/>
                <w:rtl/>
              </w:rPr>
              <w:t xml:space="preserve"> </w:t>
            </w:r>
            <w:r w:rsidRPr="00037153">
              <w:rPr>
                <w:rFonts w:hint="eastAsia"/>
                <w:sz w:val="18"/>
                <w:szCs w:val="20"/>
                <w:rtl/>
              </w:rPr>
              <w:t>לרווח</w:t>
            </w:r>
            <w:r w:rsidRPr="00037153">
              <w:rPr>
                <w:sz w:val="18"/>
                <w:szCs w:val="20"/>
                <w:rtl/>
              </w:rPr>
              <w:t xml:space="preserve"> </w:t>
            </w:r>
            <w:r w:rsidRPr="00037153">
              <w:rPr>
                <w:rFonts w:hint="eastAsia"/>
                <w:sz w:val="18"/>
                <w:szCs w:val="20"/>
                <w:rtl/>
              </w:rPr>
              <w:t>או</w:t>
            </w:r>
            <w:r w:rsidRPr="00037153">
              <w:rPr>
                <w:sz w:val="18"/>
                <w:szCs w:val="20"/>
                <w:rtl/>
              </w:rPr>
              <w:t xml:space="preserve"> </w:t>
            </w:r>
            <w:r w:rsidRPr="00037153">
              <w:rPr>
                <w:rFonts w:hint="eastAsia"/>
                <w:sz w:val="18"/>
                <w:szCs w:val="20"/>
                <w:rtl/>
              </w:rPr>
              <w:t>הפסד</w:t>
            </w:r>
            <w:r w:rsidRPr="00037153">
              <w:rPr>
                <w:sz w:val="18"/>
                <w:szCs w:val="20"/>
                <w:rtl/>
              </w:rPr>
              <w:t xml:space="preserve"> </w:t>
            </w:r>
            <w:r w:rsidRPr="00037153">
              <w:rPr>
                <w:rFonts w:hint="eastAsia"/>
                <w:sz w:val="18"/>
                <w:szCs w:val="20"/>
                <w:rtl/>
              </w:rPr>
              <w:t>בגין</w:t>
            </w:r>
            <w:r w:rsidRPr="00037153">
              <w:rPr>
                <w:sz w:val="18"/>
                <w:szCs w:val="20"/>
                <w:rtl/>
              </w:rPr>
              <w:t xml:space="preserve"> </w:t>
            </w:r>
            <w:r w:rsidRPr="00037153">
              <w:rPr>
                <w:rFonts w:hint="eastAsia"/>
                <w:sz w:val="18"/>
                <w:szCs w:val="20"/>
                <w:rtl/>
              </w:rPr>
              <w:t>עסקאות</w:t>
            </w:r>
            <w:r w:rsidRPr="00037153">
              <w:rPr>
                <w:sz w:val="18"/>
                <w:szCs w:val="20"/>
                <w:rtl/>
              </w:rPr>
              <w:t xml:space="preserve"> </w:t>
            </w:r>
            <w:r w:rsidRPr="00037153">
              <w:rPr>
                <w:rFonts w:hint="eastAsia"/>
                <w:sz w:val="18"/>
                <w:szCs w:val="20"/>
                <w:rtl/>
              </w:rPr>
              <w:t>גידור</w:t>
            </w:r>
            <w:r w:rsidRPr="00037153">
              <w:rPr>
                <w:sz w:val="18"/>
                <w:szCs w:val="20"/>
                <w:rtl/>
              </w:rPr>
              <w:t xml:space="preserve"> </w:t>
            </w:r>
            <w:r w:rsidRPr="00037153">
              <w:rPr>
                <w:rFonts w:hint="eastAsia"/>
                <w:sz w:val="18"/>
                <w:szCs w:val="20"/>
                <w:rtl/>
              </w:rPr>
              <w:t>תזרימי</w:t>
            </w:r>
            <w:r w:rsidRPr="00037153">
              <w:rPr>
                <w:sz w:val="18"/>
                <w:szCs w:val="20"/>
                <w:rtl/>
              </w:rPr>
              <w:t xml:space="preserve"> </w:t>
            </w:r>
            <w:r w:rsidRPr="00037153">
              <w:rPr>
                <w:rFonts w:hint="eastAsia"/>
                <w:sz w:val="18"/>
                <w:szCs w:val="20"/>
                <w:rtl/>
              </w:rPr>
              <w:t>מזומנים</w:t>
            </w:r>
          </w:p>
        </w:tc>
        <w:tc>
          <w:tcPr>
            <w:tcW w:w="113" w:type="dxa"/>
            <w:shd w:val="clear" w:color="auto" w:fill="auto"/>
            <w:vAlign w:val="bottom"/>
          </w:tcPr>
          <w:p w14:paraId="2ED1F27B" w14:textId="77777777" w:rsidR="0007242C" w:rsidRPr="00037153" w:rsidRDefault="0007242C" w:rsidP="0007242C">
            <w:pPr>
              <w:spacing w:line="200" w:lineRule="exact"/>
              <w:rPr>
                <w:sz w:val="18"/>
                <w:szCs w:val="20"/>
                <w:u w:val="single"/>
              </w:rPr>
            </w:pPr>
          </w:p>
        </w:tc>
        <w:tc>
          <w:tcPr>
            <w:tcW w:w="907" w:type="dxa"/>
            <w:gridSpan w:val="2"/>
            <w:vAlign w:val="bottom"/>
          </w:tcPr>
          <w:p w14:paraId="4750270F"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68F74423"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70FDDCD0"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560CF931"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4AC0C0B7"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5FAE063E"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2326997"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5309A35D"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33CD1B00" w14:textId="77777777" w:rsidR="0007242C" w:rsidRPr="00037153" w:rsidRDefault="0007242C" w:rsidP="0007242C">
            <w:pPr>
              <w:tabs>
                <w:tab w:val="decimal" w:pos="113"/>
              </w:tabs>
              <w:spacing w:line="200" w:lineRule="exact"/>
              <w:rPr>
                <w:sz w:val="18"/>
                <w:szCs w:val="20"/>
                <w:rtl/>
              </w:rPr>
            </w:pPr>
          </w:p>
        </w:tc>
      </w:tr>
      <w:tr w:rsidR="0007242C" w:rsidRPr="00037153" w14:paraId="42B35DD8" w14:textId="77777777" w:rsidTr="001521F8">
        <w:tc>
          <w:tcPr>
            <w:tcW w:w="1409" w:type="dxa"/>
            <w:vMerge w:val="restart"/>
            <w:tcBorders>
              <w:top w:val="single" w:sz="4" w:space="0" w:color="auto"/>
              <w:right w:val="single" w:sz="6" w:space="0" w:color="auto"/>
            </w:tcBorders>
          </w:tcPr>
          <w:p w14:paraId="515649C2"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Pr>
            </w:pPr>
            <w:r w:rsidRPr="0007242C">
              <w:rPr>
                <w:i/>
                <w:iCs/>
                <w:sz w:val="12"/>
                <w:szCs w:val="14"/>
              </w:rPr>
              <w:t>IAS 21.32;</w:t>
            </w:r>
          </w:p>
          <w:p w14:paraId="1371C404" w14:textId="76587296"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IAS 21.52</w:t>
            </w:r>
          </w:p>
        </w:tc>
        <w:tc>
          <w:tcPr>
            <w:tcW w:w="2902" w:type="dxa"/>
            <w:tcBorders>
              <w:left w:val="single" w:sz="6" w:space="0" w:color="auto"/>
            </w:tcBorders>
            <w:shd w:val="clear" w:color="auto" w:fill="auto"/>
            <w:vAlign w:val="bottom"/>
          </w:tcPr>
          <w:p w14:paraId="0E79861A"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התאמות</w:t>
            </w:r>
            <w:r w:rsidRPr="00037153">
              <w:rPr>
                <w:sz w:val="18"/>
                <w:szCs w:val="20"/>
                <w:rtl/>
              </w:rPr>
              <w:t xml:space="preserve"> הנובעות מתרגום דוחות כספיים של פעילויות חוץ </w:t>
            </w:r>
          </w:p>
        </w:tc>
        <w:tc>
          <w:tcPr>
            <w:tcW w:w="113" w:type="dxa"/>
            <w:shd w:val="clear" w:color="auto" w:fill="auto"/>
            <w:vAlign w:val="bottom"/>
          </w:tcPr>
          <w:p w14:paraId="671A5335" w14:textId="77777777" w:rsidR="0007242C" w:rsidRPr="00037153" w:rsidRDefault="0007242C" w:rsidP="0007242C">
            <w:pPr>
              <w:spacing w:line="200" w:lineRule="exact"/>
              <w:rPr>
                <w:sz w:val="18"/>
                <w:szCs w:val="20"/>
              </w:rPr>
            </w:pPr>
          </w:p>
        </w:tc>
        <w:tc>
          <w:tcPr>
            <w:tcW w:w="907" w:type="dxa"/>
            <w:gridSpan w:val="2"/>
            <w:vAlign w:val="bottom"/>
          </w:tcPr>
          <w:p w14:paraId="77F70832"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5B024E3D"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2805F8B"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11DE01C2"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CF6340B"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5C3735D4"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4D18E9D2"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FCEF508"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519B0248" w14:textId="77777777" w:rsidR="0007242C" w:rsidRPr="00037153" w:rsidRDefault="0007242C" w:rsidP="0007242C">
            <w:pPr>
              <w:tabs>
                <w:tab w:val="decimal" w:pos="113"/>
              </w:tabs>
              <w:spacing w:line="200" w:lineRule="exact"/>
              <w:rPr>
                <w:sz w:val="18"/>
                <w:szCs w:val="20"/>
                <w:rtl/>
              </w:rPr>
            </w:pPr>
          </w:p>
        </w:tc>
      </w:tr>
      <w:tr w:rsidR="0007242C" w:rsidRPr="00037153" w14:paraId="4466D715" w14:textId="77777777" w:rsidTr="001521F8">
        <w:tc>
          <w:tcPr>
            <w:tcW w:w="1409" w:type="dxa"/>
            <w:vMerge/>
            <w:tcBorders>
              <w:bottom w:val="single" w:sz="4" w:space="0" w:color="auto"/>
              <w:right w:val="single" w:sz="6" w:space="0" w:color="auto"/>
            </w:tcBorders>
          </w:tcPr>
          <w:p w14:paraId="76241190"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p>
        </w:tc>
        <w:tc>
          <w:tcPr>
            <w:tcW w:w="2902" w:type="dxa"/>
            <w:tcBorders>
              <w:left w:val="single" w:sz="6" w:space="0" w:color="auto"/>
            </w:tcBorders>
            <w:shd w:val="clear" w:color="auto" w:fill="auto"/>
            <w:vAlign w:val="bottom"/>
          </w:tcPr>
          <w:p w14:paraId="60C2C94E"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העברה</w:t>
            </w:r>
            <w:r w:rsidRPr="00037153">
              <w:rPr>
                <w:sz w:val="18"/>
                <w:szCs w:val="20"/>
                <w:rtl/>
              </w:rPr>
              <w:t xml:space="preserve"> </w:t>
            </w:r>
            <w:r w:rsidRPr="00037153">
              <w:rPr>
                <w:rFonts w:hint="eastAsia"/>
                <w:sz w:val="18"/>
                <w:szCs w:val="20"/>
                <w:rtl/>
              </w:rPr>
              <w:t>לרווח</w:t>
            </w:r>
            <w:r w:rsidRPr="00037153">
              <w:rPr>
                <w:sz w:val="18"/>
                <w:szCs w:val="20"/>
                <w:rtl/>
              </w:rPr>
              <w:t xml:space="preserve"> </w:t>
            </w:r>
            <w:r w:rsidRPr="00037153">
              <w:rPr>
                <w:rFonts w:hint="eastAsia"/>
                <w:sz w:val="18"/>
                <w:szCs w:val="20"/>
                <w:rtl/>
              </w:rPr>
              <w:t>או</w:t>
            </w:r>
            <w:r w:rsidRPr="00037153">
              <w:rPr>
                <w:sz w:val="18"/>
                <w:szCs w:val="20"/>
                <w:rtl/>
              </w:rPr>
              <w:t xml:space="preserve"> </w:t>
            </w:r>
            <w:r w:rsidRPr="00037153">
              <w:rPr>
                <w:rFonts w:hint="eastAsia"/>
                <w:sz w:val="18"/>
                <w:szCs w:val="20"/>
                <w:rtl/>
              </w:rPr>
              <w:t>הפסד</w:t>
            </w:r>
            <w:r w:rsidRPr="00037153">
              <w:rPr>
                <w:sz w:val="18"/>
                <w:szCs w:val="20"/>
                <w:rtl/>
              </w:rPr>
              <w:t xml:space="preserve"> </w:t>
            </w:r>
            <w:r w:rsidRPr="00037153">
              <w:rPr>
                <w:rFonts w:hint="eastAsia"/>
                <w:sz w:val="18"/>
                <w:szCs w:val="20"/>
                <w:rtl/>
              </w:rPr>
              <w:t>בגין</w:t>
            </w:r>
            <w:r w:rsidRPr="00037153">
              <w:rPr>
                <w:sz w:val="18"/>
                <w:szCs w:val="20"/>
                <w:rtl/>
              </w:rPr>
              <w:t xml:space="preserve"> </w:t>
            </w:r>
            <w:r w:rsidRPr="00037153">
              <w:rPr>
                <w:rFonts w:hint="eastAsia"/>
                <w:sz w:val="18"/>
                <w:szCs w:val="20"/>
                <w:rtl/>
              </w:rPr>
              <w:t>מימוש</w:t>
            </w:r>
            <w:r w:rsidRPr="00037153">
              <w:rPr>
                <w:sz w:val="18"/>
                <w:szCs w:val="20"/>
                <w:rtl/>
              </w:rPr>
              <w:t xml:space="preserve"> </w:t>
            </w:r>
            <w:r w:rsidRPr="00037153">
              <w:rPr>
                <w:rFonts w:hint="eastAsia"/>
                <w:sz w:val="18"/>
                <w:szCs w:val="20"/>
                <w:rtl/>
              </w:rPr>
              <w:t>פעילות</w:t>
            </w:r>
            <w:r w:rsidRPr="00037153">
              <w:rPr>
                <w:sz w:val="18"/>
                <w:szCs w:val="20"/>
                <w:rtl/>
              </w:rPr>
              <w:t xml:space="preserve"> </w:t>
            </w:r>
            <w:r w:rsidRPr="00037153">
              <w:rPr>
                <w:rFonts w:hint="eastAsia"/>
                <w:sz w:val="18"/>
                <w:szCs w:val="20"/>
                <w:rtl/>
              </w:rPr>
              <w:t>חוץ</w:t>
            </w:r>
          </w:p>
        </w:tc>
        <w:tc>
          <w:tcPr>
            <w:tcW w:w="113" w:type="dxa"/>
            <w:shd w:val="clear" w:color="auto" w:fill="auto"/>
            <w:vAlign w:val="bottom"/>
          </w:tcPr>
          <w:p w14:paraId="2BB1A940" w14:textId="77777777" w:rsidR="0007242C" w:rsidRPr="00037153" w:rsidRDefault="0007242C" w:rsidP="0007242C">
            <w:pPr>
              <w:spacing w:line="200" w:lineRule="exact"/>
              <w:rPr>
                <w:sz w:val="18"/>
                <w:szCs w:val="20"/>
              </w:rPr>
            </w:pPr>
          </w:p>
        </w:tc>
        <w:tc>
          <w:tcPr>
            <w:tcW w:w="907" w:type="dxa"/>
            <w:gridSpan w:val="2"/>
            <w:vAlign w:val="bottom"/>
          </w:tcPr>
          <w:p w14:paraId="59B6D603"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563D2228"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254360C"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73AA11D8"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5E7B811B"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4314E078"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12F43882"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3E288FB2"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351D698B" w14:textId="77777777" w:rsidR="0007242C" w:rsidRPr="00037153" w:rsidRDefault="0007242C" w:rsidP="0007242C">
            <w:pPr>
              <w:tabs>
                <w:tab w:val="decimal" w:pos="113"/>
              </w:tabs>
              <w:spacing w:line="200" w:lineRule="exact"/>
              <w:rPr>
                <w:sz w:val="18"/>
                <w:szCs w:val="20"/>
                <w:rtl/>
              </w:rPr>
            </w:pPr>
          </w:p>
        </w:tc>
      </w:tr>
      <w:tr w:rsidR="0007242C" w:rsidRPr="00037153" w14:paraId="4896D014" w14:textId="77777777" w:rsidTr="001521F8">
        <w:tc>
          <w:tcPr>
            <w:tcW w:w="1409" w:type="dxa"/>
            <w:tcBorders>
              <w:top w:val="single" w:sz="4" w:space="0" w:color="auto"/>
              <w:bottom w:val="single" w:sz="4" w:space="0" w:color="auto"/>
              <w:right w:val="single" w:sz="6" w:space="0" w:color="auto"/>
            </w:tcBorders>
          </w:tcPr>
          <w:p w14:paraId="1CEA31A2"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Pr>
            </w:pPr>
            <w:r w:rsidRPr="0007242C">
              <w:rPr>
                <w:rFonts w:hint="cs"/>
                <w:i/>
                <w:iCs/>
                <w:sz w:val="12"/>
                <w:szCs w:val="14"/>
              </w:rPr>
              <w:t>IAS</w:t>
            </w:r>
            <w:r w:rsidRPr="0007242C">
              <w:rPr>
                <w:i/>
                <w:iCs/>
                <w:sz w:val="12"/>
                <w:szCs w:val="14"/>
              </w:rPr>
              <w:t> 1.82(h)</w:t>
            </w:r>
          </w:p>
          <w:p w14:paraId="38561573"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p>
        </w:tc>
        <w:tc>
          <w:tcPr>
            <w:tcW w:w="2902" w:type="dxa"/>
            <w:tcBorders>
              <w:left w:val="single" w:sz="6" w:space="0" w:color="auto"/>
            </w:tcBorders>
            <w:shd w:val="clear" w:color="auto" w:fill="auto"/>
            <w:vAlign w:val="bottom"/>
          </w:tcPr>
          <w:p w14:paraId="5981A7EE"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חלק</w:t>
            </w:r>
            <w:r w:rsidRPr="00037153">
              <w:rPr>
                <w:sz w:val="18"/>
                <w:szCs w:val="20"/>
                <w:rtl/>
              </w:rPr>
              <w:t xml:space="preserve"> </w:t>
            </w:r>
            <w:r w:rsidRPr="00037153">
              <w:rPr>
                <w:rFonts w:hint="eastAsia"/>
                <w:sz w:val="18"/>
                <w:szCs w:val="20"/>
                <w:rtl/>
              </w:rPr>
              <w:t>הקבוצה</w:t>
            </w:r>
            <w:r w:rsidRPr="00037153">
              <w:rPr>
                <w:sz w:val="18"/>
                <w:szCs w:val="20"/>
                <w:rtl/>
              </w:rPr>
              <w:t xml:space="preserve"> </w:t>
            </w:r>
            <w:r w:rsidRPr="00037153">
              <w:rPr>
                <w:rFonts w:hint="eastAsia"/>
                <w:sz w:val="18"/>
                <w:szCs w:val="20"/>
                <w:rtl/>
              </w:rPr>
              <w:t>ברווח</w:t>
            </w:r>
            <w:r w:rsidRPr="00037153">
              <w:rPr>
                <w:sz w:val="18"/>
                <w:szCs w:val="20"/>
                <w:rtl/>
              </w:rPr>
              <w:t xml:space="preserve"> (הפסד) </w:t>
            </w:r>
            <w:r w:rsidRPr="00037153">
              <w:rPr>
                <w:rFonts w:hint="eastAsia"/>
                <w:sz w:val="18"/>
                <w:szCs w:val="20"/>
                <w:rtl/>
              </w:rPr>
              <w:t>כולל</w:t>
            </w:r>
            <w:r w:rsidRPr="00037153">
              <w:rPr>
                <w:sz w:val="18"/>
                <w:szCs w:val="20"/>
                <w:rtl/>
              </w:rPr>
              <w:t xml:space="preserve"> </w:t>
            </w:r>
            <w:r w:rsidRPr="00037153">
              <w:rPr>
                <w:rFonts w:hint="eastAsia"/>
                <w:sz w:val="18"/>
                <w:szCs w:val="20"/>
                <w:rtl/>
              </w:rPr>
              <w:t>אחר</w:t>
            </w:r>
            <w:r w:rsidRPr="00037153">
              <w:rPr>
                <w:sz w:val="18"/>
                <w:szCs w:val="20"/>
                <w:rtl/>
              </w:rPr>
              <w:t xml:space="preserve">, </w:t>
            </w:r>
            <w:r w:rsidRPr="00037153">
              <w:rPr>
                <w:rFonts w:hint="eastAsia"/>
                <w:sz w:val="18"/>
                <w:szCs w:val="20"/>
                <w:rtl/>
              </w:rPr>
              <w:t>נטו</w:t>
            </w:r>
            <w:r w:rsidRPr="00037153">
              <w:rPr>
                <w:sz w:val="18"/>
                <w:szCs w:val="20"/>
                <w:rtl/>
              </w:rPr>
              <w:t xml:space="preserve"> </w:t>
            </w:r>
            <w:r w:rsidRPr="00037153">
              <w:rPr>
                <w:rFonts w:hint="eastAsia"/>
                <w:sz w:val="18"/>
                <w:szCs w:val="20"/>
                <w:rtl/>
              </w:rPr>
              <w:t>של</w:t>
            </w:r>
            <w:r w:rsidRPr="00037153">
              <w:rPr>
                <w:sz w:val="18"/>
                <w:szCs w:val="20"/>
                <w:rtl/>
              </w:rPr>
              <w:t xml:space="preserve"> </w:t>
            </w:r>
            <w:r w:rsidRPr="00037153">
              <w:rPr>
                <w:rFonts w:hint="eastAsia"/>
                <w:sz w:val="18"/>
                <w:szCs w:val="20"/>
                <w:rtl/>
              </w:rPr>
              <w:t>חברות</w:t>
            </w:r>
            <w:r w:rsidRPr="00037153">
              <w:rPr>
                <w:sz w:val="18"/>
                <w:szCs w:val="20"/>
                <w:rtl/>
              </w:rPr>
              <w:t xml:space="preserve"> </w:t>
            </w:r>
            <w:r w:rsidRPr="00037153">
              <w:rPr>
                <w:rFonts w:hint="eastAsia"/>
                <w:sz w:val="18"/>
                <w:szCs w:val="20"/>
                <w:rtl/>
              </w:rPr>
              <w:t>המטופלות</w:t>
            </w:r>
            <w:r w:rsidRPr="00037153">
              <w:rPr>
                <w:sz w:val="18"/>
                <w:szCs w:val="20"/>
                <w:rtl/>
              </w:rPr>
              <w:t xml:space="preserve"> </w:t>
            </w:r>
            <w:r w:rsidRPr="00037153">
              <w:rPr>
                <w:rFonts w:hint="eastAsia"/>
                <w:sz w:val="18"/>
                <w:szCs w:val="20"/>
                <w:rtl/>
              </w:rPr>
              <w:t>לפי</w:t>
            </w:r>
            <w:r w:rsidRPr="00037153">
              <w:rPr>
                <w:sz w:val="18"/>
                <w:szCs w:val="20"/>
                <w:rtl/>
              </w:rPr>
              <w:t xml:space="preserve"> </w:t>
            </w:r>
            <w:r w:rsidRPr="00037153">
              <w:rPr>
                <w:rFonts w:hint="eastAsia"/>
                <w:sz w:val="18"/>
                <w:szCs w:val="20"/>
                <w:rtl/>
              </w:rPr>
              <w:t>שיטת</w:t>
            </w:r>
            <w:r w:rsidRPr="00037153">
              <w:rPr>
                <w:sz w:val="18"/>
                <w:szCs w:val="20"/>
                <w:rtl/>
              </w:rPr>
              <w:t xml:space="preserve"> </w:t>
            </w:r>
            <w:r w:rsidRPr="00037153">
              <w:rPr>
                <w:rFonts w:hint="eastAsia"/>
                <w:sz w:val="18"/>
                <w:szCs w:val="20"/>
                <w:rtl/>
              </w:rPr>
              <w:t>השווי</w:t>
            </w:r>
            <w:r w:rsidRPr="00037153">
              <w:rPr>
                <w:sz w:val="18"/>
                <w:szCs w:val="20"/>
                <w:rtl/>
              </w:rPr>
              <w:t xml:space="preserve"> </w:t>
            </w:r>
            <w:r w:rsidRPr="00037153">
              <w:rPr>
                <w:rFonts w:hint="eastAsia"/>
                <w:sz w:val="18"/>
                <w:szCs w:val="20"/>
                <w:rtl/>
              </w:rPr>
              <w:t>המאזני</w:t>
            </w:r>
            <w:r w:rsidRPr="00037153">
              <w:rPr>
                <w:sz w:val="18"/>
                <w:szCs w:val="20"/>
                <w:rtl/>
              </w:rPr>
              <w:t xml:space="preserve"> </w:t>
            </w:r>
          </w:p>
        </w:tc>
        <w:tc>
          <w:tcPr>
            <w:tcW w:w="113" w:type="dxa"/>
            <w:shd w:val="clear" w:color="auto" w:fill="auto"/>
            <w:vAlign w:val="bottom"/>
          </w:tcPr>
          <w:p w14:paraId="5E14366B" w14:textId="77777777" w:rsidR="0007242C" w:rsidRPr="00037153" w:rsidRDefault="0007242C" w:rsidP="0007242C">
            <w:pPr>
              <w:spacing w:line="200" w:lineRule="exact"/>
              <w:rPr>
                <w:sz w:val="18"/>
                <w:szCs w:val="20"/>
              </w:rPr>
            </w:pPr>
          </w:p>
        </w:tc>
        <w:tc>
          <w:tcPr>
            <w:tcW w:w="907" w:type="dxa"/>
            <w:gridSpan w:val="2"/>
            <w:tcBorders>
              <w:bottom w:val="single" w:sz="4" w:space="0" w:color="auto"/>
            </w:tcBorders>
            <w:vAlign w:val="bottom"/>
          </w:tcPr>
          <w:p w14:paraId="4878825C"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522DD4F1"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434F135E"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BA6D39E"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5A111F67"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5DEE8570"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281FD6B"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FE3C2A4" w14:textId="77777777" w:rsidR="0007242C" w:rsidRPr="00037153" w:rsidRDefault="0007242C" w:rsidP="0007242C">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0FAF0671" w14:textId="77777777" w:rsidR="0007242C" w:rsidRPr="00037153" w:rsidRDefault="0007242C" w:rsidP="0007242C">
            <w:pPr>
              <w:tabs>
                <w:tab w:val="decimal" w:pos="113"/>
              </w:tabs>
              <w:spacing w:line="200" w:lineRule="exact"/>
              <w:rPr>
                <w:sz w:val="18"/>
                <w:szCs w:val="20"/>
                <w:rtl/>
              </w:rPr>
            </w:pPr>
          </w:p>
        </w:tc>
      </w:tr>
      <w:tr w:rsidR="0007242C" w:rsidRPr="00037153" w14:paraId="3403F4C4" w14:textId="77777777" w:rsidTr="001521F8">
        <w:tc>
          <w:tcPr>
            <w:tcW w:w="1409" w:type="dxa"/>
            <w:tcBorders>
              <w:top w:val="single" w:sz="4" w:space="0" w:color="auto"/>
              <w:right w:val="single" w:sz="6" w:space="0" w:color="auto"/>
            </w:tcBorders>
          </w:tcPr>
          <w:p w14:paraId="5CB95D7D"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4E447687" w14:textId="77777777" w:rsidR="0007242C" w:rsidRPr="00037153" w:rsidRDefault="0007242C" w:rsidP="0007242C">
            <w:pPr>
              <w:spacing w:line="200" w:lineRule="exact"/>
              <w:ind w:left="227" w:hanging="170"/>
              <w:jc w:val="left"/>
              <w:rPr>
                <w:sz w:val="18"/>
                <w:szCs w:val="20"/>
                <w:rtl/>
              </w:rPr>
            </w:pPr>
          </w:p>
        </w:tc>
        <w:tc>
          <w:tcPr>
            <w:tcW w:w="113" w:type="dxa"/>
            <w:shd w:val="clear" w:color="auto" w:fill="auto"/>
            <w:vAlign w:val="bottom"/>
          </w:tcPr>
          <w:p w14:paraId="3383E505" w14:textId="77777777" w:rsidR="0007242C" w:rsidRPr="00037153" w:rsidRDefault="0007242C" w:rsidP="0007242C">
            <w:pPr>
              <w:spacing w:line="200" w:lineRule="exact"/>
              <w:rPr>
                <w:sz w:val="18"/>
                <w:szCs w:val="20"/>
              </w:rPr>
            </w:pPr>
          </w:p>
        </w:tc>
        <w:tc>
          <w:tcPr>
            <w:tcW w:w="907" w:type="dxa"/>
            <w:gridSpan w:val="2"/>
            <w:tcBorders>
              <w:top w:val="single" w:sz="4" w:space="0" w:color="auto"/>
            </w:tcBorders>
            <w:vAlign w:val="bottom"/>
          </w:tcPr>
          <w:p w14:paraId="65F5D1B2"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227A948C" w14:textId="77777777" w:rsidR="0007242C" w:rsidRPr="00037153" w:rsidRDefault="0007242C" w:rsidP="0007242C">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53A19480"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78CAE3F0" w14:textId="77777777" w:rsidR="0007242C" w:rsidRPr="00037153" w:rsidRDefault="0007242C" w:rsidP="0007242C">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1A976E8B"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3E7883D1" w14:textId="77777777" w:rsidR="0007242C" w:rsidRPr="00037153" w:rsidRDefault="0007242C" w:rsidP="0007242C">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3065C10B"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AAB8DD9" w14:textId="77777777" w:rsidR="0007242C" w:rsidRPr="00037153" w:rsidRDefault="0007242C" w:rsidP="0007242C">
            <w:pPr>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326DA948" w14:textId="77777777" w:rsidR="0007242C" w:rsidRPr="00037153" w:rsidRDefault="0007242C" w:rsidP="0007242C">
            <w:pPr>
              <w:tabs>
                <w:tab w:val="decimal" w:pos="113"/>
              </w:tabs>
              <w:spacing w:line="200" w:lineRule="exact"/>
              <w:rPr>
                <w:sz w:val="18"/>
                <w:szCs w:val="20"/>
                <w:rtl/>
              </w:rPr>
            </w:pPr>
          </w:p>
        </w:tc>
      </w:tr>
      <w:tr w:rsidR="0007242C" w:rsidRPr="00037153" w14:paraId="7DFD3FE9" w14:textId="77777777" w:rsidTr="001521F8">
        <w:tc>
          <w:tcPr>
            <w:tcW w:w="1409" w:type="dxa"/>
            <w:tcBorders>
              <w:bottom w:val="single" w:sz="4" w:space="0" w:color="auto"/>
              <w:right w:val="single" w:sz="6" w:space="0" w:color="auto"/>
            </w:tcBorders>
          </w:tcPr>
          <w:p w14:paraId="16D1D33B"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0AA1319D" w14:textId="77777777" w:rsidR="0007242C" w:rsidRPr="00037153" w:rsidRDefault="0007242C" w:rsidP="0007242C">
            <w:pPr>
              <w:spacing w:line="200" w:lineRule="exact"/>
              <w:ind w:left="227" w:hanging="170"/>
              <w:jc w:val="left"/>
              <w:rPr>
                <w:sz w:val="18"/>
                <w:szCs w:val="20"/>
                <w:rtl/>
              </w:rPr>
            </w:pPr>
            <w:r w:rsidRPr="00037153">
              <w:rPr>
                <w:rFonts w:hint="cs"/>
                <w:sz w:val="18"/>
                <w:szCs w:val="20"/>
                <w:rtl/>
              </w:rPr>
              <w:t>סה"כ רכיבים שיסווגו או המסווגים מחדש לרווח או הפסד</w:t>
            </w:r>
          </w:p>
        </w:tc>
        <w:tc>
          <w:tcPr>
            <w:tcW w:w="113" w:type="dxa"/>
            <w:shd w:val="clear" w:color="auto" w:fill="auto"/>
            <w:vAlign w:val="bottom"/>
          </w:tcPr>
          <w:p w14:paraId="64F909D5" w14:textId="77777777" w:rsidR="0007242C" w:rsidRPr="00037153" w:rsidRDefault="0007242C" w:rsidP="0007242C">
            <w:pPr>
              <w:spacing w:line="200" w:lineRule="exact"/>
              <w:rPr>
                <w:sz w:val="18"/>
                <w:szCs w:val="20"/>
              </w:rPr>
            </w:pPr>
          </w:p>
        </w:tc>
        <w:tc>
          <w:tcPr>
            <w:tcW w:w="907" w:type="dxa"/>
            <w:gridSpan w:val="2"/>
            <w:tcBorders>
              <w:bottom w:val="single" w:sz="4" w:space="0" w:color="auto"/>
            </w:tcBorders>
            <w:vAlign w:val="bottom"/>
          </w:tcPr>
          <w:p w14:paraId="40FB1A41"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7C2AFC56"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181F6F72"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09033A2A"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5BDB1740"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7F17E2B7"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526178F8"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006AB0EB" w14:textId="77777777" w:rsidR="0007242C" w:rsidRPr="00037153" w:rsidRDefault="0007242C" w:rsidP="0007242C">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1811CD4A" w14:textId="77777777" w:rsidR="0007242C" w:rsidRPr="00037153" w:rsidRDefault="0007242C" w:rsidP="0007242C">
            <w:pPr>
              <w:tabs>
                <w:tab w:val="decimal" w:pos="113"/>
              </w:tabs>
              <w:spacing w:line="200" w:lineRule="exact"/>
              <w:rPr>
                <w:sz w:val="18"/>
                <w:szCs w:val="20"/>
                <w:rtl/>
              </w:rPr>
            </w:pPr>
          </w:p>
        </w:tc>
      </w:tr>
    </w:tbl>
    <w:p w14:paraId="7789C38B" w14:textId="77777777" w:rsidR="00BD264E" w:rsidRDefault="00BD264E" w:rsidP="00BD264E">
      <w:pPr>
        <w:pStyle w:val="1"/>
        <w:rPr>
          <w:rtl/>
        </w:rPr>
      </w:pPr>
      <w:r>
        <w:rPr>
          <w:rtl/>
        </w:rPr>
        <w:br w:type="page"/>
      </w:r>
      <w:r>
        <w:rPr>
          <w:rtl/>
        </w:rPr>
        <w:lastRenderedPageBreak/>
        <w:t xml:space="preserve">דוחות </w:t>
      </w:r>
      <w:r>
        <w:rPr>
          <w:rFonts w:hint="cs"/>
          <w:rtl/>
        </w:rPr>
        <w:t>מאוחדים על הרווח הכולל (המשך)</w:t>
      </w:r>
    </w:p>
    <w:p w14:paraId="7B1F9152" w14:textId="77777777" w:rsidR="00BD264E" w:rsidRDefault="00BD264E">
      <w:pPr>
        <w:rPr>
          <w:rtl/>
        </w:rPr>
      </w:pPr>
    </w:p>
    <w:p w14:paraId="0516F14D" w14:textId="77777777" w:rsidR="00BD264E" w:rsidRDefault="00BD264E">
      <w:pPr>
        <w:rPr>
          <w:rtl/>
        </w:rPr>
      </w:pPr>
    </w:p>
    <w:tbl>
      <w:tblPr>
        <w:bidiVisual/>
        <w:tblW w:w="0" w:type="auto"/>
        <w:tblInd w:w="2" w:type="dxa"/>
        <w:tblLayout w:type="fixed"/>
        <w:tblCellMar>
          <w:left w:w="0" w:type="dxa"/>
          <w:right w:w="0" w:type="dxa"/>
        </w:tblCellMar>
        <w:tblLook w:val="01E0" w:firstRow="1" w:lastRow="1" w:firstColumn="1" w:lastColumn="1" w:noHBand="0" w:noVBand="0"/>
      </w:tblPr>
      <w:tblGrid>
        <w:gridCol w:w="1758"/>
        <w:gridCol w:w="2374"/>
        <w:gridCol w:w="113"/>
        <w:gridCol w:w="951"/>
        <w:gridCol w:w="8"/>
        <w:gridCol w:w="105"/>
        <w:gridCol w:w="8"/>
        <w:gridCol w:w="122"/>
        <w:gridCol w:w="777"/>
        <w:gridCol w:w="8"/>
        <w:gridCol w:w="105"/>
        <w:gridCol w:w="8"/>
        <w:gridCol w:w="899"/>
        <w:gridCol w:w="8"/>
        <w:gridCol w:w="105"/>
        <w:gridCol w:w="8"/>
        <w:gridCol w:w="899"/>
        <w:gridCol w:w="8"/>
        <w:gridCol w:w="105"/>
        <w:gridCol w:w="8"/>
        <w:gridCol w:w="8"/>
        <w:gridCol w:w="1176"/>
        <w:gridCol w:w="8"/>
      </w:tblGrid>
      <w:tr w:rsidR="00BD264E" w:rsidRPr="00BD264E" w14:paraId="06B9B4F6" w14:textId="77777777" w:rsidTr="00AF4CE7">
        <w:tc>
          <w:tcPr>
            <w:tcW w:w="1758" w:type="dxa"/>
            <w:tcBorders>
              <w:bottom w:val="single" w:sz="6" w:space="0" w:color="auto"/>
              <w:right w:val="single" w:sz="6" w:space="0" w:color="auto"/>
            </w:tcBorders>
            <w:vAlign w:val="center"/>
          </w:tcPr>
          <w:p w14:paraId="5C33C9D9" w14:textId="77777777" w:rsidR="00EB4AE9" w:rsidRDefault="00892691">
            <w:pPr>
              <w:tabs>
                <w:tab w:val="left" w:pos="227"/>
                <w:tab w:val="left" w:pos="397"/>
                <w:tab w:val="left" w:pos="567"/>
              </w:tabs>
              <w:bidi w:val="0"/>
              <w:spacing w:line="200" w:lineRule="exact"/>
              <w:ind w:right="113"/>
              <w:jc w:val="right"/>
              <w:rPr>
                <w:i/>
                <w:iCs/>
                <w:sz w:val="13"/>
                <w:szCs w:val="13"/>
              </w:rPr>
            </w:pPr>
            <w:r w:rsidRPr="00892691">
              <w:rPr>
                <w:i/>
                <w:iCs/>
                <w:sz w:val="13"/>
                <w:szCs w:val="13"/>
              </w:rPr>
              <w:t>IAS 1.10(b);</w:t>
            </w:r>
          </w:p>
          <w:p w14:paraId="49D3707C" w14:textId="77777777" w:rsidR="00EB4AE9" w:rsidRPr="00EB4AE9" w:rsidRDefault="00892691">
            <w:pPr>
              <w:tabs>
                <w:tab w:val="left" w:pos="227"/>
                <w:tab w:val="left" w:pos="397"/>
                <w:tab w:val="left" w:pos="567"/>
              </w:tabs>
              <w:bidi w:val="0"/>
              <w:spacing w:line="200" w:lineRule="exact"/>
              <w:ind w:right="113"/>
              <w:jc w:val="right"/>
              <w:rPr>
                <w:i/>
                <w:iCs/>
                <w:sz w:val="13"/>
                <w:szCs w:val="13"/>
              </w:rPr>
            </w:pPr>
            <w:r w:rsidRPr="00892691">
              <w:rPr>
                <w:i/>
                <w:iCs/>
                <w:sz w:val="13"/>
                <w:szCs w:val="13"/>
              </w:rPr>
              <w:t>IAS 1.51(b), (c); IAS 1.81(b); IAS 34.10</w:t>
            </w:r>
          </w:p>
        </w:tc>
        <w:tc>
          <w:tcPr>
            <w:tcW w:w="2374" w:type="dxa"/>
            <w:tcBorders>
              <w:left w:val="single" w:sz="6" w:space="0" w:color="auto"/>
            </w:tcBorders>
            <w:shd w:val="clear" w:color="auto" w:fill="auto"/>
            <w:vAlign w:val="bottom"/>
          </w:tcPr>
          <w:p w14:paraId="4F8F190A" w14:textId="77777777" w:rsidR="00BD264E" w:rsidRPr="00BD264E" w:rsidRDefault="00BD264E" w:rsidP="00BD264E">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3FC08639" w14:textId="77777777" w:rsidR="00BD264E" w:rsidRPr="00BD264E" w:rsidRDefault="00BD264E" w:rsidP="00BD264E">
            <w:pPr>
              <w:spacing w:line="200" w:lineRule="exact"/>
              <w:rPr>
                <w:sz w:val="18"/>
                <w:szCs w:val="20"/>
                <w:rtl/>
              </w:rPr>
            </w:pPr>
          </w:p>
        </w:tc>
        <w:tc>
          <w:tcPr>
            <w:tcW w:w="1979" w:type="dxa"/>
            <w:gridSpan w:val="7"/>
            <w:tcBorders>
              <w:bottom w:val="single" w:sz="6" w:space="0" w:color="auto"/>
            </w:tcBorders>
            <w:shd w:val="clear" w:color="auto" w:fill="auto"/>
            <w:vAlign w:val="bottom"/>
          </w:tcPr>
          <w:p w14:paraId="57EA20A2" w14:textId="77777777" w:rsidR="00BD264E" w:rsidRPr="00BD264E" w:rsidRDefault="00BD264E" w:rsidP="00BD264E">
            <w:pPr>
              <w:spacing w:line="200" w:lineRule="exact"/>
              <w:jc w:val="center"/>
              <w:rPr>
                <w:sz w:val="18"/>
                <w:szCs w:val="20"/>
                <w:rtl/>
              </w:rPr>
            </w:pPr>
            <w:r w:rsidRPr="00BD264E">
              <w:rPr>
                <w:rFonts w:hint="eastAsia"/>
                <w:sz w:val="18"/>
                <w:szCs w:val="20"/>
                <w:rtl/>
              </w:rPr>
              <w:t>ל</w:t>
            </w:r>
            <w:r w:rsidRPr="00BD264E">
              <w:rPr>
                <w:sz w:val="18"/>
                <w:szCs w:val="20"/>
                <w:rtl/>
              </w:rPr>
              <w:t xml:space="preserve">-9 </w:t>
            </w:r>
            <w:r w:rsidRPr="00BD264E">
              <w:rPr>
                <w:rFonts w:hint="eastAsia"/>
                <w:sz w:val="18"/>
                <w:szCs w:val="20"/>
                <w:rtl/>
              </w:rPr>
              <w:t>החודשים</w:t>
            </w:r>
            <w:r w:rsidRPr="00BD264E">
              <w:rPr>
                <w:sz w:val="18"/>
                <w:szCs w:val="20"/>
                <w:rtl/>
              </w:rPr>
              <w:t xml:space="preserve"> </w:t>
            </w:r>
            <w:r w:rsidRPr="00BD264E">
              <w:rPr>
                <w:rFonts w:hint="eastAsia"/>
                <w:sz w:val="18"/>
                <w:szCs w:val="20"/>
                <w:rtl/>
              </w:rPr>
              <w:t>שהסתיימו</w:t>
            </w:r>
            <w:r w:rsidRPr="00BD264E">
              <w:rPr>
                <w:sz w:val="18"/>
                <w:szCs w:val="20"/>
                <w:rtl/>
              </w:rPr>
              <w:t xml:space="preserve"> </w:t>
            </w:r>
            <w:r w:rsidRPr="00BD264E">
              <w:rPr>
                <w:rFonts w:hint="eastAsia"/>
                <w:sz w:val="18"/>
                <w:szCs w:val="20"/>
                <w:rtl/>
              </w:rPr>
              <w:t>ביום</w:t>
            </w:r>
            <w:r w:rsidRPr="00BD264E">
              <w:rPr>
                <w:sz w:val="18"/>
                <w:szCs w:val="20"/>
                <w:rtl/>
              </w:rPr>
              <w:t xml:space="preserve"> 30 </w:t>
            </w:r>
            <w:r w:rsidRPr="00BD264E">
              <w:rPr>
                <w:rFonts w:hint="eastAsia"/>
                <w:sz w:val="18"/>
                <w:szCs w:val="20"/>
                <w:rtl/>
              </w:rPr>
              <w:t>בספטמבר</w:t>
            </w:r>
          </w:p>
        </w:tc>
        <w:tc>
          <w:tcPr>
            <w:tcW w:w="113" w:type="dxa"/>
            <w:gridSpan w:val="2"/>
            <w:shd w:val="clear" w:color="auto" w:fill="auto"/>
            <w:vAlign w:val="bottom"/>
          </w:tcPr>
          <w:p w14:paraId="4BF2BE38" w14:textId="77777777" w:rsidR="00BD264E" w:rsidRPr="00BD264E" w:rsidRDefault="00BD264E" w:rsidP="00BD264E">
            <w:pPr>
              <w:spacing w:line="200" w:lineRule="exact"/>
              <w:jc w:val="center"/>
              <w:rPr>
                <w:sz w:val="18"/>
                <w:szCs w:val="20"/>
              </w:rPr>
            </w:pPr>
          </w:p>
        </w:tc>
        <w:tc>
          <w:tcPr>
            <w:tcW w:w="1927" w:type="dxa"/>
            <w:gridSpan w:val="6"/>
            <w:tcBorders>
              <w:bottom w:val="single" w:sz="6" w:space="0" w:color="auto"/>
            </w:tcBorders>
            <w:shd w:val="clear" w:color="auto" w:fill="auto"/>
            <w:vAlign w:val="bottom"/>
          </w:tcPr>
          <w:p w14:paraId="3A783C3E" w14:textId="77777777" w:rsidR="00BD264E" w:rsidRPr="00BD264E" w:rsidRDefault="00BD264E" w:rsidP="00BD264E">
            <w:pPr>
              <w:spacing w:line="200" w:lineRule="exact"/>
              <w:jc w:val="center"/>
              <w:rPr>
                <w:sz w:val="18"/>
                <w:szCs w:val="20"/>
                <w:rtl/>
              </w:rPr>
            </w:pPr>
            <w:r w:rsidRPr="00BD264E">
              <w:rPr>
                <w:rFonts w:hint="eastAsia"/>
                <w:sz w:val="18"/>
                <w:szCs w:val="20"/>
                <w:rtl/>
              </w:rPr>
              <w:t>ל</w:t>
            </w:r>
            <w:r w:rsidRPr="00BD264E">
              <w:rPr>
                <w:sz w:val="18"/>
                <w:szCs w:val="20"/>
                <w:rtl/>
              </w:rPr>
              <w:t xml:space="preserve">-3 </w:t>
            </w:r>
            <w:r w:rsidRPr="00BD264E">
              <w:rPr>
                <w:rFonts w:hint="eastAsia"/>
                <w:sz w:val="18"/>
                <w:szCs w:val="20"/>
                <w:rtl/>
              </w:rPr>
              <w:t>החודשים</w:t>
            </w:r>
            <w:r w:rsidRPr="00BD264E">
              <w:rPr>
                <w:sz w:val="18"/>
                <w:szCs w:val="20"/>
                <w:rtl/>
              </w:rPr>
              <w:t xml:space="preserve"> </w:t>
            </w:r>
            <w:r w:rsidRPr="00BD264E">
              <w:rPr>
                <w:rFonts w:hint="eastAsia"/>
                <w:sz w:val="18"/>
                <w:szCs w:val="20"/>
                <w:rtl/>
              </w:rPr>
              <w:t>שהסתיימו</w:t>
            </w:r>
            <w:r w:rsidRPr="00BD264E">
              <w:rPr>
                <w:sz w:val="18"/>
                <w:szCs w:val="20"/>
                <w:rtl/>
              </w:rPr>
              <w:t xml:space="preserve"> </w:t>
            </w:r>
            <w:r w:rsidRPr="00BD264E">
              <w:rPr>
                <w:rFonts w:hint="eastAsia"/>
                <w:sz w:val="18"/>
                <w:szCs w:val="20"/>
                <w:rtl/>
              </w:rPr>
              <w:t>ביום</w:t>
            </w:r>
            <w:r w:rsidRPr="00BD264E">
              <w:rPr>
                <w:sz w:val="18"/>
                <w:szCs w:val="20"/>
                <w:rtl/>
              </w:rPr>
              <w:t xml:space="preserve"> 30 </w:t>
            </w:r>
            <w:r w:rsidRPr="00BD264E">
              <w:rPr>
                <w:rFonts w:hint="eastAsia"/>
                <w:sz w:val="18"/>
                <w:szCs w:val="20"/>
                <w:rtl/>
              </w:rPr>
              <w:t>בספטמבר</w:t>
            </w:r>
          </w:p>
        </w:tc>
        <w:tc>
          <w:tcPr>
            <w:tcW w:w="113" w:type="dxa"/>
            <w:gridSpan w:val="2"/>
            <w:shd w:val="clear" w:color="auto" w:fill="auto"/>
            <w:vAlign w:val="bottom"/>
          </w:tcPr>
          <w:p w14:paraId="31ABDE75" w14:textId="77777777" w:rsidR="00BD264E" w:rsidRPr="00BD264E" w:rsidRDefault="00BD264E" w:rsidP="00BD264E">
            <w:pPr>
              <w:tabs>
                <w:tab w:val="decimal" w:pos="113"/>
              </w:tabs>
              <w:spacing w:line="200" w:lineRule="exact"/>
              <w:jc w:val="center"/>
              <w:rPr>
                <w:sz w:val="18"/>
                <w:szCs w:val="20"/>
              </w:rPr>
            </w:pPr>
          </w:p>
        </w:tc>
        <w:tc>
          <w:tcPr>
            <w:tcW w:w="1192" w:type="dxa"/>
            <w:gridSpan w:val="3"/>
            <w:shd w:val="clear" w:color="auto" w:fill="auto"/>
            <w:vAlign w:val="bottom"/>
          </w:tcPr>
          <w:p w14:paraId="2981F05E" w14:textId="77777777" w:rsidR="00BD264E" w:rsidRPr="00BD264E" w:rsidRDefault="00BD264E" w:rsidP="00BD264E">
            <w:pPr>
              <w:spacing w:line="200" w:lineRule="exact"/>
              <w:jc w:val="center"/>
              <w:rPr>
                <w:sz w:val="18"/>
                <w:szCs w:val="20"/>
                <w:rtl/>
              </w:rPr>
            </w:pPr>
            <w:r w:rsidRPr="00BD264E">
              <w:rPr>
                <w:rFonts w:hint="eastAsia"/>
                <w:sz w:val="18"/>
                <w:szCs w:val="20"/>
                <w:rtl/>
              </w:rPr>
              <w:t>לשנה</w:t>
            </w:r>
            <w:r w:rsidRPr="00BD264E">
              <w:rPr>
                <w:sz w:val="18"/>
                <w:szCs w:val="20"/>
                <w:rtl/>
              </w:rPr>
              <w:t xml:space="preserve"> </w:t>
            </w:r>
            <w:r w:rsidRPr="00BD264E">
              <w:rPr>
                <w:rFonts w:hint="eastAsia"/>
                <w:sz w:val="18"/>
                <w:szCs w:val="20"/>
                <w:rtl/>
              </w:rPr>
              <w:t>שהסתיימה</w:t>
            </w:r>
            <w:r w:rsidRPr="00BD264E">
              <w:rPr>
                <w:sz w:val="18"/>
                <w:szCs w:val="20"/>
                <w:rtl/>
              </w:rPr>
              <w:t xml:space="preserve"> </w:t>
            </w:r>
            <w:r w:rsidRPr="00BD264E">
              <w:rPr>
                <w:rFonts w:hint="eastAsia"/>
                <w:sz w:val="18"/>
                <w:szCs w:val="20"/>
                <w:rtl/>
              </w:rPr>
              <w:t>ביום</w:t>
            </w:r>
          </w:p>
          <w:p w14:paraId="78EF1306" w14:textId="77777777" w:rsidR="00BD264E" w:rsidRPr="00BD264E" w:rsidRDefault="00BD264E" w:rsidP="00BD264E">
            <w:pPr>
              <w:spacing w:line="200" w:lineRule="exact"/>
              <w:jc w:val="center"/>
              <w:rPr>
                <w:sz w:val="18"/>
                <w:szCs w:val="20"/>
                <w:rtl/>
              </w:rPr>
            </w:pPr>
            <w:r w:rsidRPr="00BD264E">
              <w:rPr>
                <w:sz w:val="18"/>
                <w:szCs w:val="20"/>
                <w:rtl/>
              </w:rPr>
              <w:t xml:space="preserve">31 </w:t>
            </w:r>
            <w:r w:rsidRPr="00BD264E">
              <w:rPr>
                <w:rFonts w:hint="eastAsia"/>
                <w:sz w:val="18"/>
                <w:szCs w:val="20"/>
                <w:rtl/>
              </w:rPr>
              <w:t>בדצמבר</w:t>
            </w:r>
          </w:p>
        </w:tc>
      </w:tr>
      <w:tr w:rsidR="00AF4CE7" w:rsidRPr="00BD264E" w14:paraId="0CEF9998" w14:textId="77777777" w:rsidTr="00AF4CE7">
        <w:tc>
          <w:tcPr>
            <w:tcW w:w="1758" w:type="dxa"/>
            <w:tcBorders>
              <w:top w:val="single" w:sz="6" w:space="0" w:color="auto"/>
            </w:tcBorders>
          </w:tcPr>
          <w:p w14:paraId="1D5FE483" w14:textId="77777777" w:rsidR="00AF4CE7" w:rsidRPr="003715E0" w:rsidRDefault="00AF4CE7" w:rsidP="00AF4CE7">
            <w:pPr>
              <w:tabs>
                <w:tab w:val="left" w:pos="227"/>
                <w:tab w:val="left" w:pos="397"/>
                <w:tab w:val="left" w:pos="567"/>
              </w:tabs>
              <w:bidi w:val="0"/>
              <w:spacing w:line="200" w:lineRule="exact"/>
              <w:ind w:right="113"/>
              <w:jc w:val="right"/>
              <w:rPr>
                <w:i/>
                <w:iCs/>
                <w:sz w:val="13"/>
                <w:szCs w:val="13"/>
                <w:rtl/>
              </w:rPr>
            </w:pPr>
          </w:p>
        </w:tc>
        <w:tc>
          <w:tcPr>
            <w:tcW w:w="2374" w:type="dxa"/>
            <w:shd w:val="clear" w:color="auto" w:fill="auto"/>
            <w:vAlign w:val="bottom"/>
          </w:tcPr>
          <w:p w14:paraId="02CE3056" w14:textId="77777777" w:rsidR="00AF4CE7" w:rsidRPr="00BD264E" w:rsidRDefault="00AF4CE7" w:rsidP="00AF4CE7">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3B21164E" w14:textId="77777777" w:rsidR="00AF4CE7" w:rsidRPr="00BD264E" w:rsidRDefault="00AF4CE7" w:rsidP="00AF4CE7">
            <w:pPr>
              <w:spacing w:line="200" w:lineRule="exact"/>
              <w:rPr>
                <w:sz w:val="18"/>
                <w:szCs w:val="20"/>
                <w:rtl/>
              </w:rPr>
            </w:pPr>
          </w:p>
        </w:tc>
        <w:tc>
          <w:tcPr>
            <w:tcW w:w="959" w:type="dxa"/>
            <w:gridSpan w:val="2"/>
            <w:tcBorders>
              <w:bottom w:val="single" w:sz="6" w:space="0" w:color="auto"/>
            </w:tcBorders>
            <w:shd w:val="clear" w:color="auto" w:fill="auto"/>
            <w:vAlign w:val="bottom"/>
          </w:tcPr>
          <w:p w14:paraId="7F61779D" w14:textId="513088A3" w:rsidR="00AF4CE7" w:rsidRPr="00AF4CE7" w:rsidRDefault="00AF4CE7" w:rsidP="00AF4CE7">
            <w:pPr>
              <w:spacing w:line="180" w:lineRule="exact"/>
              <w:jc w:val="center"/>
              <w:rPr>
                <w:szCs w:val="20"/>
                <w:u w:val="single"/>
              </w:rPr>
            </w:pPr>
            <w:r w:rsidRPr="00AF4CE7">
              <w:rPr>
                <w:rFonts w:hint="cs"/>
                <w:szCs w:val="20"/>
                <w:rtl/>
              </w:rPr>
              <w:t>2019</w:t>
            </w:r>
          </w:p>
        </w:tc>
        <w:tc>
          <w:tcPr>
            <w:tcW w:w="113" w:type="dxa"/>
            <w:gridSpan w:val="2"/>
            <w:vAlign w:val="bottom"/>
          </w:tcPr>
          <w:p w14:paraId="5936CB9A" w14:textId="77777777" w:rsidR="00AF4CE7" w:rsidRPr="00AF4CE7" w:rsidRDefault="00AF4CE7" w:rsidP="00AF4CE7">
            <w:pPr>
              <w:spacing w:line="180" w:lineRule="exact"/>
              <w:jc w:val="center"/>
              <w:rPr>
                <w:szCs w:val="20"/>
              </w:rPr>
            </w:pPr>
          </w:p>
        </w:tc>
        <w:tc>
          <w:tcPr>
            <w:tcW w:w="907" w:type="dxa"/>
            <w:gridSpan w:val="3"/>
            <w:tcBorders>
              <w:bottom w:val="single" w:sz="6" w:space="0" w:color="auto"/>
            </w:tcBorders>
            <w:shd w:val="clear" w:color="auto" w:fill="auto"/>
            <w:vAlign w:val="bottom"/>
          </w:tcPr>
          <w:p w14:paraId="262DBFAB" w14:textId="0D27AC6E" w:rsidR="00AF4CE7" w:rsidRPr="00AF4CE7" w:rsidRDefault="00AF4CE7" w:rsidP="00AF4CE7">
            <w:pPr>
              <w:spacing w:line="180" w:lineRule="exact"/>
              <w:jc w:val="center"/>
              <w:rPr>
                <w:szCs w:val="20"/>
                <w:u w:val="single"/>
              </w:rPr>
            </w:pPr>
            <w:r w:rsidRPr="00AF4CE7">
              <w:rPr>
                <w:rFonts w:hint="cs"/>
                <w:szCs w:val="20"/>
                <w:rtl/>
              </w:rPr>
              <w:t>2018</w:t>
            </w:r>
          </w:p>
        </w:tc>
        <w:tc>
          <w:tcPr>
            <w:tcW w:w="113" w:type="dxa"/>
            <w:gridSpan w:val="2"/>
            <w:shd w:val="clear" w:color="auto" w:fill="auto"/>
            <w:vAlign w:val="bottom"/>
          </w:tcPr>
          <w:p w14:paraId="441ECC1A" w14:textId="77777777" w:rsidR="00AF4CE7" w:rsidRPr="00AF4CE7" w:rsidRDefault="00AF4CE7" w:rsidP="00AF4CE7">
            <w:pPr>
              <w:spacing w:line="180" w:lineRule="exact"/>
              <w:jc w:val="center"/>
              <w:rPr>
                <w:szCs w:val="20"/>
              </w:rPr>
            </w:pPr>
          </w:p>
        </w:tc>
        <w:tc>
          <w:tcPr>
            <w:tcW w:w="907" w:type="dxa"/>
            <w:gridSpan w:val="2"/>
            <w:tcBorders>
              <w:bottom w:val="single" w:sz="6" w:space="0" w:color="auto"/>
            </w:tcBorders>
            <w:shd w:val="clear" w:color="auto" w:fill="auto"/>
            <w:vAlign w:val="bottom"/>
          </w:tcPr>
          <w:p w14:paraId="6C88D823" w14:textId="3F3D920B" w:rsidR="00AF4CE7" w:rsidRPr="00AF4CE7" w:rsidRDefault="00AF4CE7" w:rsidP="00AF4CE7">
            <w:pPr>
              <w:spacing w:line="180" w:lineRule="exact"/>
              <w:jc w:val="center"/>
              <w:rPr>
                <w:szCs w:val="20"/>
                <w:u w:val="single"/>
              </w:rPr>
            </w:pPr>
            <w:r w:rsidRPr="00AF4CE7">
              <w:rPr>
                <w:rFonts w:hint="cs"/>
                <w:szCs w:val="20"/>
                <w:rtl/>
              </w:rPr>
              <w:t>2019</w:t>
            </w:r>
          </w:p>
        </w:tc>
        <w:tc>
          <w:tcPr>
            <w:tcW w:w="113" w:type="dxa"/>
            <w:gridSpan w:val="2"/>
            <w:shd w:val="clear" w:color="auto" w:fill="auto"/>
            <w:vAlign w:val="bottom"/>
          </w:tcPr>
          <w:p w14:paraId="58D8969F" w14:textId="77777777" w:rsidR="00AF4CE7" w:rsidRPr="00AF4CE7" w:rsidRDefault="00AF4CE7" w:rsidP="00AF4CE7">
            <w:pPr>
              <w:spacing w:line="180" w:lineRule="exact"/>
              <w:jc w:val="center"/>
              <w:rPr>
                <w:szCs w:val="20"/>
              </w:rPr>
            </w:pPr>
          </w:p>
        </w:tc>
        <w:tc>
          <w:tcPr>
            <w:tcW w:w="907" w:type="dxa"/>
            <w:gridSpan w:val="2"/>
            <w:tcBorders>
              <w:bottom w:val="single" w:sz="6" w:space="0" w:color="auto"/>
            </w:tcBorders>
            <w:shd w:val="clear" w:color="auto" w:fill="auto"/>
            <w:vAlign w:val="bottom"/>
          </w:tcPr>
          <w:p w14:paraId="08173EC9" w14:textId="2255526E" w:rsidR="00AF4CE7" w:rsidRPr="00AF4CE7" w:rsidRDefault="00AF4CE7" w:rsidP="00AF4CE7">
            <w:pPr>
              <w:spacing w:line="180" w:lineRule="exact"/>
              <w:jc w:val="center"/>
              <w:rPr>
                <w:szCs w:val="20"/>
                <w:u w:val="single"/>
              </w:rPr>
            </w:pPr>
            <w:r w:rsidRPr="00AF4CE7">
              <w:rPr>
                <w:rFonts w:hint="cs"/>
                <w:szCs w:val="20"/>
                <w:rtl/>
              </w:rPr>
              <w:t>2018</w:t>
            </w:r>
          </w:p>
        </w:tc>
        <w:tc>
          <w:tcPr>
            <w:tcW w:w="113" w:type="dxa"/>
            <w:gridSpan w:val="2"/>
            <w:shd w:val="clear" w:color="auto" w:fill="auto"/>
            <w:vAlign w:val="bottom"/>
          </w:tcPr>
          <w:p w14:paraId="7ED06382" w14:textId="77777777" w:rsidR="00AF4CE7" w:rsidRPr="00AF4CE7" w:rsidRDefault="00AF4CE7" w:rsidP="00AF4CE7">
            <w:pPr>
              <w:tabs>
                <w:tab w:val="decimal" w:pos="113"/>
              </w:tabs>
              <w:spacing w:line="200" w:lineRule="exact"/>
              <w:jc w:val="center"/>
              <w:rPr>
                <w:szCs w:val="20"/>
              </w:rPr>
            </w:pPr>
          </w:p>
        </w:tc>
        <w:tc>
          <w:tcPr>
            <w:tcW w:w="1192" w:type="dxa"/>
            <w:gridSpan w:val="3"/>
            <w:tcBorders>
              <w:bottom w:val="single" w:sz="6" w:space="0" w:color="auto"/>
            </w:tcBorders>
            <w:shd w:val="clear" w:color="auto" w:fill="auto"/>
            <w:vAlign w:val="bottom"/>
          </w:tcPr>
          <w:p w14:paraId="1B865ECD" w14:textId="6E665F3F" w:rsidR="00AF4CE7" w:rsidRPr="00AF4CE7" w:rsidRDefault="00AF4CE7" w:rsidP="00AF4CE7">
            <w:pPr>
              <w:spacing w:line="200" w:lineRule="exact"/>
              <w:jc w:val="center"/>
              <w:rPr>
                <w:szCs w:val="20"/>
                <w:u w:val="single"/>
                <w:rtl/>
              </w:rPr>
            </w:pPr>
            <w:r w:rsidRPr="00AF4CE7">
              <w:rPr>
                <w:rFonts w:hint="cs"/>
                <w:szCs w:val="20"/>
                <w:rtl/>
              </w:rPr>
              <w:t>2018</w:t>
            </w:r>
          </w:p>
        </w:tc>
      </w:tr>
      <w:tr w:rsidR="00AF4CE7" w:rsidRPr="00BD264E" w14:paraId="2AF8A9E7" w14:textId="77777777" w:rsidTr="00AF4CE7">
        <w:tc>
          <w:tcPr>
            <w:tcW w:w="1758" w:type="dxa"/>
          </w:tcPr>
          <w:p w14:paraId="5EE41BC2" w14:textId="77777777" w:rsidR="00AF4CE7" w:rsidRPr="003715E0" w:rsidRDefault="00AF4CE7" w:rsidP="00AF4CE7">
            <w:pPr>
              <w:tabs>
                <w:tab w:val="left" w:pos="227"/>
                <w:tab w:val="left" w:pos="397"/>
                <w:tab w:val="left" w:pos="567"/>
              </w:tabs>
              <w:bidi w:val="0"/>
              <w:spacing w:line="200" w:lineRule="exact"/>
              <w:ind w:right="113"/>
              <w:jc w:val="right"/>
              <w:rPr>
                <w:i/>
                <w:iCs/>
                <w:sz w:val="13"/>
                <w:szCs w:val="13"/>
                <w:rtl/>
              </w:rPr>
            </w:pPr>
          </w:p>
        </w:tc>
        <w:tc>
          <w:tcPr>
            <w:tcW w:w="2374" w:type="dxa"/>
            <w:shd w:val="clear" w:color="auto" w:fill="auto"/>
            <w:vAlign w:val="bottom"/>
          </w:tcPr>
          <w:p w14:paraId="7009BC83" w14:textId="77777777" w:rsidR="00AF4CE7" w:rsidRPr="00BD264E" w:rsidRDefault="00AF4CE7" w:rsidP="00AF4CE7">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4091E207" w14:textId="77777777" w:rsidR="00AF4CE7" w:rsidRPr="00BD264E" w:rsidRDefault="00AF4CE7" w:rsidP="00AF4CE7">
            <w:pPr>
              <w:spacing w:line="200" w:lineRule="exact"/>
              <w:rPr>
                <w:sz w:val="18"/>
                <w:szCs w:val="20"/>
                <w:rtl/>
              </w:rPr>
            </w:pPr>
          </w:p>
        </w:tc>
        <w:tc>
          <w:tcPr>
            <w:tcW w:w="4019" w:type="dxa"/>
            <w:gridSpan w:val="15"/>
            <w:tcBorders>
              <w:bottom w:val="single" w:sz="6" w:space="0" w:color="auto"/>
            </w:tcBorders>
            <w:shd w:val="clear" w:color="auto" w:fill="auto"/>
            <w:vAlign w:val="bottom"/>
          </w:tcPr>
          <w:p w14:paraId="37990ADF" w14:textId="77777777" w:rsidR="00AF4CE7" w:rsidRPr="00BD264E" w:rsidRDefault="00AF4CE7" w:rsidP="00AF4CE7">
            <w:pPr>
              <w:spacing w:line="200" w:lineRule="exact"/>
              <w:jc w:val="center"/>
              <w:rPr>
                <w:sz w:val="18"/>
                <w:szCs w:val="20"/>
              </w:rPr>
            </w:pPr>
            <w:r w:rsidRPr="00BD264E">
              <w:rPr>
                <w:rFonts w:hint="eastAsia"/>
                <w:sz w:val="18"/>
                <w:szCs w:val="20"/>
                <w:rtl/>
              </w:rPr>
              <w:t>בלתי</w:t>
            </w:r>
            <w:r w:rsidRPr="00BD264E">
              <w:rPr>
                <w:sz w:val="18"/>
                <w:szCs w:val="20"/>
                <w:rtl/>
              </w:rPr>
              <w:t xml:space="preserve"> </w:t>
            </w:r>
            <w:r w:rsidRPr="00BD264E">
              <w:rPr>
                <w:rFonts w:hint="eastAsia"/>
                <w:sz w:val="18"/>
                <w:szCs w:val="20"/>
                <w:rtl/>
              </w:rPr>
              <w:t>מבוקר</w:t>
            </w:r>
          </w:p>
        </w:tc>
        <w:tc>
          <w:tcPr>
            <w:tcW w:w="113" w:type="dxa"/>
            <w:gridSpan w:val="2"/>
            <w:shd w:val="clear" w:color="auto" w:fill="auto"/>
            <w:vAlign w:val="bottom"/>
          </w:tcPr>
          <w:p w14:paraId="0542EF2C" w14:textId="77777777" w:rsidR="00AF4CE7" w:rsidRPr="00BD264E" w:rsidRDefault="00AF4CE7" w:rsidP="00AF4CE7">
            <w:pPr>
              <w:tabs>
                <w:tab w:val="decimal" w:pos="113"/>
              </w:tabs>
              <w:spacing w:line="200" w:lineRule="exact"/>
              <w:jc w:val="center"/>
              <w:rPr>
                <w:sz w:val="18"/>
                <w:szCs w:val="20"/>
              </w:rPr>
            </w:pPr>
          </w:p>
        </w:tc>
        <w:tc>
          <w:tcPr>
            <w:tcW w:w="1192" w:type="dxa"/>
            <w:gridSpan w:val="3"/>
            <w:tcBorders>
              <w:bottom w:val="single" w:sz="6" w:space="0" w:color="auto"/>
            </w:tcBorders>
            <w:shd w:val="clear" w:color="auto" w:fill="auto"/>
            <w:vAlign w:val="bottom"/>
          </w:tcPr>
          <w:p w14:paraId="73DE1C82" w14:textId="77777777" w:rsidR="00AF4CE7" w:rsidRPr="00BD264E" w:rsidRDefault="00AF4CE7" w:rsidP="00AF4CE7">
            <w:pPr>
              <w:spacing w:line="200" w:lineRule="exact"/>
              <w:jc w:val="center"/>
              <w:rPr>
                <w:sz w:val="18"/>
                <w:szCs w:val="20"/>
              </w:rPr>
            </w:pPr>
            <w:r w:rsidRPr="00BD264E">
              <w:rPr>
                <w:rFonts w:hint="eastAsia"/>
                <w:sz w:val="18"/>
                <w:szCs w:val="20"/>
                <w:rtl/>
              </w:rPr>
              <w:t>מבוקר</w:t>
            </w:r>
          </w:p>
        </w:tc>
      </w:tr>
      <w:tr w:rsidR="00AF4CE7" w:rsidRPr="00BD264E" w14:paraId="563DF0F9" w14:textId="77777777" w:rsidTr="00AF4CE7">
        <w:tc>
          <w:tcPr>
            <w:tcW w:w="1758" w:type="dxa"/>
          </w:tcPr>
          <w:p w14:paraId="209AD45E" w14:textId="77777777" w:rsidR="00AF4CE7" w:rsidRPr="003715E0" w:rsidRDefault="00AF4CE7" w:rsidP="00AF4CE7">
            <w:pPr>
              <w:pStyle w:val="a3"/>
              <w:tabs>
                <w:tab w:val="left" w:pos="227"/>
                <w:tab w:val="left" w:pos="397"/>
                <w:tab w:val="left" w:pos="567"/>
              </w:tabs>
              <w:bidi w:val="0"/>
              <w:spacing w:line="200" w:lineRule="exact"/>
              <w:ind w:left="0" w:right="113"/>
              <w:jc w:val="right"/>
              <w:rPr>
                <w:i/>
                <w:iCs/>
                <w:sz w:val="13"/>
                <w:szCs w:val="13"/>
                <w:rtl/>
              </w:rPr>
            </w:pPr>
          </w:p>
        </w:tc>
        <w:tc>
          <w:tcPr>
            <w:tcW w:w="2374" w:type="dxa"/>
            <w:shd w:val="clear" w:color="auto" w:fill="auto"/>
            <w:vAlign w:val="bottom"/>
          </w:tcPr>
          <w:p w14:paraId="6ED1DEA1" w14:textId="77777777" w:rsidR="00AF4CE7" w:rsidRPr="00BD264E" w:rsidRDefault="00AF4CE7" w:rsidP="00AF4CE7">
            <w:pPr>
              <w:pStyle w:val="a3"/>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0456C772" w14:textId="77777777" w:rsidR="00AF4CE7" w:rsidRPr="00BD264E" w:rsidRDefault="00AF4CE7" w:rsidP="00AF4CE7">
            <w:pPr>
              <w:tabs>
                <w:tab w:val="decimal" w:pos="113"/>
              </w:tabs>
              <w:spacing w:line="200" w:lineRule="exact"/>
              <w:ind w:left="57"/>
              <w:rPr>
                <w:sz w:val="18"/>
                <w:szCs w:val="20"/>
              </w:rPr>
            </w:pPr>
          </w:p>
        </w:tc>
        <w:tc>
          <w:tcPr>
            <w:tcW w:w="1194" w:type="dxa"/>
            <w:gridSpan w:val="5"/>
            <w:tcBorders>
              <w:bottom w:val="single" w:sz="6" w:space="0" w:color="auto"/>
            </w:tcBorders>
            <w:shd w:val="clear" w:color="auto" w:fill="auto"/>
            <w:vAlign w:val="bottom"/>
          </w:tcPr>
          <w:p w14:paraId="102E04C2" w14:textId="77777777" w:rsidR="00AF4CE7" w:rsidRPr="00BD264E" w:rsidRDefault="00AF4CE7" w:rsidP="00AF4CE7">
            <w:pPr>
              <w:spacing w:line="200" w:lineRule="exact"/>
              <w:jc w:val="center"/>
              <w:rPr>
                <w:sz w:val="18"/>
                <w:szCs w:val="20"/>
                <w:u w:val="single"/>
              </w:rPr>
            </w:pPr>
            <w:r w:rsidRPr="00BD264E">
              <w:rPr>
                <w:i/>
                <w:iCs/>
                <w:sz w:val="18"/>
                <w:szCs w:val="20"/>
              </w:rPr>
              <w:t>IAS 1.51(d),(e)</w:t>
            </w:r>
          </w:p>
        </w:tc>
        <w:tc>
          <w:tcPr>
            <w:tcW w:w="4130" w:type="dxa"/>
            <w:gridSpan w:val="15"/>
            <w:tcBorders>
              <w:bottom w:val="single" w:sz="6" w:space="0" w:color="auto"/>
            </w:tcBorders>
            <w:shd w:val="clear" w:color="auto" w:fill="auto"/>
            <w:vAlign w:val="bottom"/>
          </w:tcPr>
          <w:p w14:paraId="50793DA0" w14:textId="77777777" w:rsidR="00AF4CE7" w:rsidRPr="00BD264E" w:rsidRDefault="00AF4CE7" w:rsidP="00AF4CE7">
            <w:pPr>
              <w:spacing w:line="200" w:lineRule="exact"/>
              <w:ind w:left="-284"/>
              <w:jc w:val="center"/>
              <w:rPr>
                <w:sz w:val="18"/>
                <w:szCs w:val="20"/>
                <w:u w:val="single"/>
              </w:rPr>
            </w:pPr>
            <w:r w:rsidRPr="00BD264E">
              <w:rPr>
                <w:rFonts w:hint="eastAsia"/>
                <w:sz w:val="18"/>
                <w:szCs w:val="20"/>
                <w:rtl/>
              </w:rPr>
              <w:t>אלפי</w:t>
            </w:r>
            <w:r w:rsidRPr="00BD264E">
              <w:rPr>
                <w:sz w:val="18"/>
                <w:szCs w:val="20"/>
                <w:rtl/>
              </w:rPr>
              <w:t xml:space="preserve"> </w:t>
            </w:r>
            <w:r w:rsidRPr="00BD264E">
              <w:rPr>
                <w:rFonts w:hint="eastAsia"/>
                <w:sz w:val="18"/>
                <w:szCs w:val="20"/>
                <w:rtl/>
              </w:rPr>
              <w:t>ש</w:t>
            </w:r>
            <w:r w:rsidRPr="00BD264E">
              <w:rPr>
                <w:sz w:val="18"/>
                <w:szCs w:val="20"/>
                <w:rtl/>
              </w:rPr>
              <w:t>"ח</w:t>
            </w:r>
          </w:p>
        </w:tc>
      </w:tr>
      <w:tr w:rsidR="00AF4CE7" w:rsidRPr="00BD264E" w14:paraId="09F52160" w14:textId="77777777" w:rsidTr="00AF4CE7">
        <w:trPr>
          <w:gridAfter w:val="1"/>
          <w:wAfter w:w="8" w:type="dxa"/>
        </w:trPr>
        <w:tc>
          <w:tcPr>
            <w:tcW w:w="1758" w:type="dxa"/>
            <w:vMerge w:val="restart"/>
            <w:tcBorders>
              <w:right w:val="single" w:sz="6" w:space="0" w:color="auto"/>
            </w:tcBorders>
          </w:tcPr>
          <w:p w14:paraId="21527619" w14:textId="77777777" w:rsidR="00AF4CE7" w:rsidRDefault="00AF4CE7" w:rsidP="00AF4CE7">
            <w:pPr>
              <w:widowControl/>
              <w:tabs>
                <w:tab w:val="left" w:pos="227"/>
                <w:tab w:val="left" w:pos="397"/>
                <w:tab w:val="left" w:pos="567"/>
              </w:tabs>
              <w:bidi w:val="0"/>
              <w:spacing w:line="200" w:lineRule="exact"/>
              <w:ind w:right="113"/>
              <w:jc w:val="right"/>
              <w:rPr>
                <w:bCs/>
                <w:i/>
                <w:iCs/>
                <w:sz w:val="13"/>
                <w:szCs w:val="13"/>
              </w:rPr>
            </w:pPr>
          </w:p>
        </w:tc>
        <w:tc>
          <w:tcPr>
            <w:tcW w:w="2374" w:type="dxa"/>
            <w:tcBorders>
              <w:left w:val="single" w:sz="6" w:space="0" w:color="auto"/>
            </w:tcBorders>
            <w:shd w:val="clear" w:color="auto" w:fill="auto"/>
            <w:vAlign w:val="bottom"/>
          </w:tcPr>
          <w:p w14:paraId="7389574C" w14:textId="77777777" w:rsidR="00AF4CE7" w:rsidRDefault="00AF4CE7" w:rsidP="00AF4CE7">
            <w:pPr>
              <w:widowControl/>
              <w:tabs>
                <w:tab w:val="left" w:pos="227"/>
                <w:tab w:val="left" w:pos="397"/>
                <w:tab w:val="left" w:pos="567"/>
              </w:tabs>
              <w:spacing w:line="200" w:lineRule="exact"/>
              <w:ind w:left="57"/>
              <w:jc w:val="left"/>
              <w:rPr>
                <w:b/>
                <w:sz w:val="18"/>
                <w:szCs w:val="20"/>
                <w:rtl/>
              </w:rPr>
            </w:pPr>
          </w:p>
        </w:tc>
        <w:tc>
          <w:tcPr>
            <w:tcW w:w="113" w:type="dxa"/>
            <w:shd w:val="clear" w:color="auto" w:fill="auto"/>
            <w:vAlign w:val="bottom"/>
          </w:tcPr>
          <w:p w14:paraId="76E703FB" w14:textId="77777777" w:rsidR="00AF4CE7" w:rsidRPr="00892691" w:rsidRDefault="00AF4CE7" w:rsidP="00AF4CE7">
            <w:pPr>
              <w:spacing w:line="200" w:lineRule="exact"/>
              <w:rPr>
                <w:sz w:val="18"/>
                <w:szCs w:val="20"/>
              </w:rPr>
            </w:pPr>
          </w:p>
        </w:tc>
        <w:tc>
          <w:tcPr>
            <w:tcW w:w="951" w:type="dxa"/>
            <w:shd w:val="clear" w:color="auto" w:fill="auto"/>
            <w:vAlign w:val="bottom"/>
          </w:tcPr>
          <w:p w14:paraId="17909A50"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217CB8B8" w14:textId="77777777" w:rsidR="00AF4CE7" w:rsidRPr="00892691" w:rsidRDefault="00AF4CE7" w:rsidP="00AF4CE7">
            <w:pPr>
              <w:tabs>
                <w:tab w:val="decimal" w:pos="113"/>
              </w:tabs>
              <w:spacing w:line="200" w:lineRule="exact"/>
              <w:rPr>
                <w:sz w:val="18"/>
                <w:szCs w:val="20"/>
              </w:rPr>
            </w:pPr>
          </w:p>
        </w:tc>
        <w:tc>
          <w:tcPr>
            <w:tcW w:w="907" w:type="dxa"/>
            <w:gridSpan w:val="3"/>
            <w:shd w:val="clear" w:color="auto" w:fill="auto"/>
            <w:vAlign w:val="bottom"/>
          </w:tcPr>
          <w:p w14:paraId="48C73386"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1D107CDD"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1C92F451"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CB38C96"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1F252312" w14:textId="77777777" w:rsidR="00AF4CE7" w:rsidRPr="00892691" w:rsidRDefault="00AF4CE7" w:rsidP="00AF4CE7">
            <w:pPr>
              <w:tabs>
                <w:tab w:val="decimal" w:pos="113"/>
              </w:tabs>
              <w:spacing w:line="200" w:lineRule="exact"/>
              <w:rPr>
                <w:sz w:val="18"/>
                <w:szCs w:val="20"/>
              </w:rPr>
            </w:pPr>
          </w:p>
        </w:tc>
        <w:tc>
          <w:tcPr>
            <w:tcW w:w="113" w:type="dxa"/>
            <w:gridSpan w:val="2"/>
            <w:tcBorders>
              <w:left w:val="nil"/>
            </w:tcBorders>
            <w:shd w:val="clear" w:color="auto" w:fill="auto"/>
            <w:vAlign w:val="bottom"/>
          </w:tcPr>
          <w:p w14:paraId="6EBF3570" w14:textId="77777777" w:rsidR="00AF4CE7" w:rsidRPr="00892691" w:rsidRDefault="00AF4CE7" w:rsidP="00AF4CE7">
            <w:pPr>
              <w:tabs>
                <w:tab w:val="decimal" w:pos="113"/>
              </w:tabs>
              <w:spacing w:line="200" w:lineRule="exact"/>
              <w:rPr>
                <w:sz w:val="18"/>
                <w:szCs w:val="20"/>
              </w:rPr>
            </w:pPr>
          </w:p>
        </w:tc>
        <w:tc>
          <w:tcPr>
            <w:tcW w:w="1192" w:type="dxa"/>
            <w:gridSpan w:val="3"/>
            <w:shd w:val="clear" w:color="auto" w:fill="auto"/>
            <w:vAlign w:val="bottom"/>
          </w:tcPr>
          <w:p w14:paraId="387209F7" w14:textId="77777777" w:rsidR="00AF4CE7" w:rsidRPr="00892691" w:rsidRDefault="00AF4CE7" w:rsidP="00AF4CE7">
            <w:pPr>
              <w:tabs>
                <w:tab w:val="decimal" w:pos="113"/>
              </w:tabs>
              <w:spacing w:line="200" w:lineRule="exact"/>
              <w:rPr>
                <w:sz w:val="18"/>
                <w:szCs w:val="20"/>
                <w:rtl/>
              </w:rPr>
            </w:pPr>
          </w:p>
        </w:tc>
      </w:tr>
      <w:tr w:rsidR="00AF4CE7" w:rsidRPr="00BD264E" w14:paraId="1CADC51E" w14:textId="77777777" w:rsidTr="00AF4CE7">
        <w:trPr>
          <w:gridAfter w:val="1"/>
          <w:wAfter w:w="8" w:type="dxa"/>
        </w:trPr>
        <w:tc>
          <w:tcPr>
            <w:tcW w:w="1758" w:type="dxa"/>
            <w:vMerge/>
            <w:tcBorders>
              <w:right w:val="single" w:sz="6" w:space="0" w:color="auto"/>
            </w:tcBorders>
          </w:tcPr>
          <w:p w14:paraId="1C0E0EC8" w14:textId="77777777" w:rsidR="00AF4CE7" w:rsidRDefault="00AF4CE7" w:rsidP="00AF4CE7">
            <w:pPr>
              <w:widowControl/>
              <w:tabs>
                <w:tab w:val="left" w:pos="227"/>
                <w:tab w:val="left" w:pos="397"/>
                <w:tab w:val="left" w:pos="567"/>
              </w:tabs>
              <w:bidi w:val="0"/>
              <w:spacing w:line="200" w:lineRule="exact"/>
              <w:ind w:right="113"/>
              <w:jc w:val="right"/>
              <w:rPr>
                <w:b/>
                <w:i/>
                <w:iCs/>
                <w:sz w:val="13"/>
                <w:szCs w:val="13"/>
                <w:u w:val="single"/>
                <w:rtl/>
              </w:rPr>
            </w:pPr>
          </w:p>
        </w:tc>
        <w:tc>
          <w:tcPr>
            <w:tcW w:w="2374" w:type="dxa"/>
            <w:tcBorders>
              <w:left w:val="single" w:sz="6" w:space="0" w:color="auto"/>
            </w:tcBorders>
            <w:shd w:val="clear" w:color="auto" w:fill="auto"/>
            <w:vAlign w:val="bottom"/>
          </w:tcPr>
          <w:p w14:paraId="6259DD41" w14:textId="77777777" w:rsidR="00AF4CE7" w:rsidRDefault="00AF4CE7" w:rsidP="00AF4CE7">
            <w:pPr>
              <w:widowControl/>
              <w:tabs>
                <w:tab w:val="left" w:pos="227"/>
                <w:tab w:val="left" w:pos="397"/>
                <w:tab w:val="left" w:pos="567"/>
              </w:tabs>
              <w:spacing w:line="200" w:lineRule="exact"/>
              <w:ind w:left="57"/>
              <w:jc w:val="left"/>
              <w:rPr>
                <w:b/>
                <w:sz w:val="18"/>
                <w:szCs w:val="20"/>
                <w:u w:val="single"/>
                <w:rtl/>
              </w:rPr>
            </w:pPr>
            <w:r w:rsidRPr="00892691">
              <w:rPr>
                <w:rFonts w:hint="eastAsia"/>
                <w:b/>
                <w:sz w:val="18"/>
                <w:szCs w:val="20"/>
                <w:rtl/>
              </w:rPr>
              <w:t>סה</w:t>
            </w:r>
            <w:r w:rsidRPr="00892691">
              <w:rPr>
                <w:b/>
                <w:sz w:val="18"/>
                <w:szCs w:val="20"/>
                <w:rtl/>
              </w:rPr>
              <w:t xml:space="preserve">"כ </w:t>
            </w:r>
            <w:r w:rsidRPr="00892691">
              <w:rPr>
                <w:rFonts w:hint="eastAsia"/>
                <w:b/>
                <w:sz w:val="18"/>
                <w:szCs w:val="20"/>
                <w:rtl/>
              </w:rPr>
              <w:t>רווח</w:t>
            </w:r>
            <w:r w:rsidRPr="00892691">
              <w:rPr>
                <w:b/>
                <w:sz w:val="18"/>
                <w:szCs w:val="20"/>
                <w:rtl/>
              </w:rPr>
              <w:t xml:space="preserve"> (הפסד) </w:t>
            </w:r>
            <w:r w:rsidRPr="00892691">
              <w:rPr>
                <w:rFonts w:hint="eastAsia"/>
                <w:b/>
                <w:sz w:val="18"/>
                <w:szCs w:val="20"/>
                <w:rtl/>
              </w:rPr>
              <w:t>כולל</w:t>
            </w:r>
            <w:r w:rsidRPr="00892691">
              <w:rPr>
                <w:b/>
                <w:sz w:val="18"/>
                <w:szCs w:val="20"/>
                <w:rtl/>
              </w:rPr>
              <w:t xml:space="preserve"> </w:t>
            </w:r>
            <w:r w:rsidRPr="00892691">
              <w:rPr>
                <w:rFonts w:hint="eastAsia"/>
                <w:b/>
                <w:sz w:val="18"/>
                <w:szCs w:val="20"/>
                <w:rtl/>
              </w:rPr>
              <w:t>אחר</w:t>
            </w:r>
          </w:p>
        </w:tc>
        <w:tc>
          <w:tcPr>
            <w:tcW w:w="113" w:type="dxa"/>
            <w:shd w:val="clear" w:color="auto" w:fill="auto"/>
            <w:vAlign w:val="bottom"/>
          </w:tcPr>
          <w:p w14:paraId="2C89F535" w14:textId="77777777" w:rsidR="00AF4CE7" w:rsidRPr="00892691" w:rsidRDefault="00AF4CE7" w:rsidP="00AF4CE7">
            <w:pPr>
              <w:spacing w:line="200" w:lineRule="exact"/>
              <w:rPr>
                <w:sz w:val="18"/>
                <w:szCs w:val="20"/>
              </w:rPr>
            </w:pPr>
          </w:p>
        </w:tc>
        <w:tc>
          <w:tcPr>
            <w:tcW w:w="951" w:type="dxa"/>
            <w:vAlign w:val="bottom"/>
          </w:tcPr>
          <w:p w14:paraId="4390CFFD"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2587FFAB" w14:textId="77777777" w:rsidR="00AF4CE7" w:rsidRPr="00892691" w:rsidRDefault="00AF4CE7" w:rsidP="00AF4CE7">
            <w:pPr>
              <w:tabs>
                <w:tab w:val="decimal" w:pos="113"/>
              </w:tabs>
              <w:spacing w:line="200" w:lineRule="exact"/>
              <w:rPr>
                <w:sz w:val="18"/>
                <w:szCs w:val="20"/>
              </w:rPr>
            </w:pPr>
          </w:p>
        </w:tc>
        <w:tc>
          <w:tcPr>
            <w:tcW w:w="907" w:type="dxa"/>
            <w:gridSpan w:val="3"/>
            <w:shd w:val="clear" w:color="auto" w:fill="auto"/>
            <w:vAlign w:val="bottom"/>
          </w:tcPr>
          <w:p w14:paraId="6D680608"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4ABC429D"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3354557B"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5601E5C"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13797EA0" w14:textId="77777777" w:rsidR="00AF4CE7" w:rsidRPr="00892691" w:rsidRDefault="00AF4CE7" w:rsidP="00AF4CE7">
            <w:pPr>
              <w:tabs>
                <w:tab w:val="decimal" w:pos="113"/>
              </w:tabs>
              <w:spacing w:line="200" w:lineRule="exact"/>
              <w:rPr>
                <w:sz w:val="18"/>
                <w:szCs w:val="20"/>
              </w:rPr>
            </w:pPr>
          </w:p>
        </w:tc>
        <w:tc>
          <w:tcPr>
            <w:tcW w:w="129" w:type="dxa"/>
            <w:gridSpan w:val="4"/>
            <w:shd w:val="clear" w:color="auto" w:fill="auto"/>
            <w:vAlign w:val="bottom"/>
          </w:tcPr>
          <w:p w14:paraId="36FB7360" w14:textId="77777777" w:rsidR="00AF4CE7" w:rsidRPr="00892691" w:rsidRDefault="00AF4CE7" w:rsidP="00AF4CE7">
            <w:pPr>
              <w:tabs>
                <w:tab w:val="decimal" w:pos="113"/>
              </w:tabs>
              <w:spacing w:line="200" w:lineRule="exact"/>
              <w:rPr>
                <w:sz w:val="18"/>
                <w:szCs w:val="20"/>
                <w:rtl/>
              </w:rPr>
            </w:pPr>
          </w:p>
        </w:tc>
        <w:tc>
          <w:tcPr>
            <w:tcW w:w="1176" w:type="dxa"/>
            <w:tcBorders>
              <w:bottom w:val="single" w:sz="6" w:space="0" w:color="auto"/>
            </w:tcBorders>
            <w:shd w:val="clear" w:color="auto" w:fill="auto"/>
            <w:vAlign w:val="bottom"/>
          </w:tcPr>
          <w:p w14:paraId="67860D01" w14:textId="77777777" w:rsidR="00AF4CE7" w:rsidRPr="00892691" w:rsidRDefault="00AF4CE7" w:rsidP="00AF4CE7">
            <w:pPr>
              <w:tabs>
                <w:tab w:val="decimal" w:pos="113"/>
              </w:tabs>
              <w:spacing w:line="200" w:lineRule="exact"/>
              <w:rPr>
                <w:sz w:val="18"/>
                <w:szCs w:val="20"/>
                <w:rtl/>
              </w:rPr>
            </w:pPr>
          </w:p>
        </w:tc>
      </w:tr>
      <w:tr w:rsidR="00AF4CE7" w:rsidRPr="00BD264E" w14:paraId="39EECA84" w14:textId="77777777" w:rsidTr="00AF4CE7">
        <w:trPr>
          <w:gridAfter w:val="1"/>
          <w:wAfter w:w="8" w:type="dxa"/>
        </w:trPr>
        <w:tc>
          <w:tcPr>
            <w:tcW w:w="1758" w:type="dxa"/>
            <w:vMerge/>
            <w:tcBorders>
              <w:right w:val="single" w:sz="6" w:space="0" w:color="auto"/>
            </w:tcBorders>
          </w:tcPr>
          <w:p w14:paraId="516FDD00" w14:textId="77777777" w:rsidR="00AF4CE7" w:rsidRDefault="00AF4CE7" w:rsidP="00AF4CE7">
            <w:pPr>
              <w:widowControl/>
              <w:tabs>
                <w:tab w:val="left" w:pos="227"/>
                <w:tab w:val="left" w:pos="397"/>
                <w:tab w:val="left" w:pos="567"/>
              </w:tabs>
              <w:bidi w:val="0"/>
              <w:spacing w:line="200" w:lineRule="exact"/>
              <w:ind w:right="113"/>
              <w:jc w:val="right"/>
              <w:rPr>
                <w:b/>
                <w:i/>
                <w:iCs/>
                <w:sz w:val="13"/>
                <w:szCs w:val="13"/>
                <w:u w:val="single"/>
                <w:rtl/>
              </w:rPr>
            </w:pPr>
          </w:p>
        </w:tc>
        <w:tc>
          <w:tcPr>
            <w:tcW w:w="2374" w:type="dxa"/>
            <w:tcBorders>
              <w:left w:val="single" w:sz="6" w:space="0" w:color="auto"/>
            </w:tcBorders>
            <w:shd w:val="clear" w:color="auto" w:fill="auto"/>
            <w:vAlign w:val="bottom"/>
          </w:tcPr>
          <w:p w14:paraId="4B7E1F51" w14:textId="77777777" w:rsidR="00AF4CE7" w:rsidRPr="00892691" w:rsidRDefault="00AF4CE7" w:rsidP="00AF4CE7">
            <w:pPr>
              <w:widowControl/>
              <w:tabs>
                <w:tab w:val="left" w:pos="227"/>
                <w:tab w:val="left" w:pos="397"/>
                <w:tab w:val="left" w:pos="567"/>
              </w:tabs>
              <w:spacing w:line="200" w:lineRule="exact"/>
              <w:ind w:left="57"/>
              <w:jc w:val="left"/>
              <w:rPr>
                <w:b/>
                <w:sz w:val="18"/>
                <w:szCs w:val="20"/>
                <w:u w:val="single"/>
                <w:rtl/>
              </w:rPr>
            </w:pPr>
          </w:p>
        </w:tc>
        <w:tc>
          <w:tcPr>
            <w:tcW w:w="113" w:type="dxa"/>
            <w:shd w:val="clear" w:color="auto" w:fill="auto"/>
            <w:vAlign w:val="bottom"/>
          </w:tcPr>
          <w:p w14:paraId="408449DB" w14:textId="77777777" w:rsidR="00AF4CE7" w:rsidRPr="00892691" w:rsidRDefault="00AF4CE7" w:rsidP="00AF4CE7">
            <w:pPr>
              <w:spacing w:line="200" w:lineRule="exact"/>
              <w:rPr>
                <w:sz w:val="18"/>
                <w:szCs w:val="20"/>
              </w:rPr>
            </w:pPr>
          </w:p>
        </w:tc>
        <w:tc>
          <w:tcPr>
            <w:tcW w:w="951" w:type="dxa"/>
            <w:tcBorders>
              <w:top w:val="single" w:sz="6" w:space="0" w:color="auto"/>
            </w:tcBorders>
            <w:vAlign w:val="bottom"/>
          </w:tcPr>
          <w:p w14:paraId="2E1231D3"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0B0E2846" w14:textId="77777777" w:rsidR="00AF4CE7" w:rsidRPr="00892691" w:rsidRDefault="00AF4CE7" w:rsidP="00AF4CE7">
            <w:pPr>
              <w:tabs>
                <w:tab w:val="decimal" w:pos="113"/>
              </w:tabs>
              <w:spacing w:line="200" w:lineRule="exact"/>
              <w:rPr>
                <w:sz w:val="18"/>
                <w:szCs w:val="20"/>
              </w:rPr>
            </w:pPr>
          </w:p>
        </w:tc>
        <w:tc>
          <w:tcPr>
            <w:tcW w:w="907" w:type="dxa"/>
            <w:gridSpan w:val="3"/>
            <w:tcBorders>
              <w:top w:val="single" w:sz="6" w:space="0" w:color="auto"/>
            </w:tcBorders>
            <w:shd w:val="clear" w:color="auto" w:fill="auto"/>
            <w:vAlign w:val="bottom"/>
          </w:tcPr>
          <w:p w14:paraId="392BB6E2"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5D13D172" w14:textId="77777777" w:rsidR="00AF4CE7" w:rsidRPr="00892691" w:rsidRDefault="00AF4CE7" w:rsidP="00AF4CE7">
            <w:pPr>
              <w:tabs>
                <w:tab w:val="decimal" w:pos="113"/>
              </w:tabs>
              <w:spacing w:line="200" w:lineRule="exact"/>
              <w:rPr>
                <w:sz w:val="18"/>
                <w:szCs w:val="20"/>
              </w:rPr>
            </w:pPr>
          </w:p>
        </w:tc>
        <w:tc>
          <w:tcPr>
            <w:tcW w:w="907" w:type="dxa"/>
            <w:gridSpan w:val="2"/>
            <w:tcBorders>
              <w:top w:val="single" w:sz="6" w:space="0" w:color="auto"/>
            </w:tcBorders>
            <w:shd w:val="clear" w:color="auto" w:fill="auto"/>
            <w:vAlign w:val="bottom"/>
          </w:tcPr>
          <w:p w14:paraId="5C56D7FB"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0AA8A2A9" w14:textId="77777777" w:rsidR="00AF4CE7" w:rsidRPr="00892691" w:rsidRDefault="00AF4CE7" w:rsidP="00AF4CE7">
            <w:pPr>
              <w:tabs>
                <w:tab w:val="decimal" w:pos="113"/>
              </w:tabs>
              <w:spacing w:line="200" w:lineRule="exact"/>
              <w:rPr>
                <w:sz w:val="18"/>
                <w:szCs w:val="20"/>
              </w:rPr>
            </w:pPr>
          </w:p>
        </w:tc>
        <w:tc>
          <w:tcPr>
            <w:tcW w:w="907" w:type="dxa"/>
            <w:gridSpan w:val="2"/>
            <w:tcBorders>
              <w:top w:val="single" w:sz="6" w:space="0" w:color="auto"/>
            </w:tcBorders>
            <w:shd w:val="clear" w:color="auto" w:fill="auto"/>
            <w:vAlign w:val="bottom"/>
          </w:tcPr>
          <w:p w14:paraId="0274E525" w14:textId="77777777" w:rsidR="00AF4CE7" w:rsidRPr="00892691" w:rsidRDefault="00AF4CE7" w:rsidP="00AF4CE7">
            <w:pPr>
              <w:tabs>
                <w:tab w:val="decimal" w:pos="113"/>
              </w:tabs>
              <w:spacing w:line="200" w:lineRule="exact"/>
              <w:rPr>
                <w:sz w:val="18"/>
                <w:szCs w:val="20"/>
              </w:rPr>
            </w:pPr>
          </w:p>
        </w:tc>
        <w:tc>
          <w:tcPr>
            <w:tcW w:w="129" w:type="dxa"/>
            <w:gridSpan w:val="4"/>
            <w:shd w:val="clear" w:color="auto" w:fill="auto"/>
            <w:vAlign w:val="bottom"/>
          </w:tcPr>
          <w:p w14:paraId="59877550" w14:textId="77777777" w:rsidR="00AF4CE7" w:rsidRPr="00892691" w:rsidRDefault="00AF4CE7" w:rsidP="00AF4CE7">
            <w:pPr>
              <w:tabs>
                <w:tab w:val="decimal" w:pos="113"/>
              </w:tabs>
              <w:spacing w:line="200" w:lineRule="exact"/>
              <w:rPr>
                <w:sz w:val="18"/>
                <w:szCs w:val="20"/>
                <w:rtl/>
              </w:rPr>
            </w:pPr>
          </w:p>
        </w:tc>
        <w:tc>
          <w:tcPr>
            <w:tcW w:w="1176" w:type="dxa"/>
            <w:tcBorders>
              <w:top w:val="single" w:sz="6" w:space="0" w:color="auto"/>
            </w:tcBorders>
            <w:shd w:val="clear" w:color="auto" w:fill="auto"/>
            <w:vAlign w:val="bottom"/>
          </w:tcPr>
          <w:p w14:paraId="3CAC52BC" w14:textId="77777777" w:rsidR="00AF4CE7" w:rsidRPr="00892691" w:rsidRDefault="00AF4CE7" w:rsidP="00AF4CE7">
            <w:pPr>
              <w:tabs>
                <w:tab w:val="decimal" w:pos="113"/>
              </w:tabs>
              <w:spacing w:line="200" w:lineRule="exact"/>
              <w:rPr>
                <w:sz w:val="18"/>
                <w:szCs w:val="20"/>
                <w:rtl/>
              </w:rPr>
            </w:pPr>
          </w:p>
        </w:tc>
      </w:tr>
      <w:tr w:rsidR="00AF4CE7" w:rsidRPr="00BD264E" w14:paraId="7A6BA698" w14:textId="77777777" w:rsidTr="00AF4CE7">
        <w:trPr>
          <w:gridAfter w:val="1"/>
          <w:wAfter w:w="8" w:type="dxa"/>
        </w:trPr>
        <w:tc>
          <w:tcPr>
            <w:tcW w:w="1758" w:type="dxa"/>
            <w:tcBorders>
              <w:bottom w:val="single" w:sz="6" w:space="0" w:color="auto"/>
              <w:right w:val="single" w:sz="6" w:space="0" w:color="auto"/>
            </w:tcBorders>
          </w:tcPr>
          <w:p w14:paraId="18DC0A17" w14:textId="77777777" w:rsidR="00AF4CE7" w:rsidRDefault="00AF4CE7" w:rsidP="00AF4CE7">
            <w:pPr>
              <w:widowControl/>
              <w:tabs>
                <w:tab w:val="left" w:pos="227"/>
                <w:tab w:val="left" w:pos="397"/>
                <w:tab w:val="left" w:pos="567"/>
              </w:tabs>
              <w:bidi w:val="0"/>
              <w:spacing w:line="200" w:lineRule="exact"/>
              <w:ind w:right="113"/>
              <w:jc w:val="right"/>
              <w:rPr>
                <w:bCs/>
                <w:i/>
                <w:iCs/>
                <w:sz w:val="13"/>
                <w:szCs w:val="13"/>
                <w:rtl/>
              </w:rPr>
            </w:pPr>
            <w:r w:rsidRPr="00892691">
              <w:rPr>
                <w:bCs/>
                <w:i/>
                <w:iCs/>
                <w:sz w:val="13"/>
                <w:szCs w:val="13"/>
              </w:rPr>
              <w:t>IAS 1.82(i)</w:t>
            </w:r>
          </w:p>
        </w:tc>
        <w:tc>
          <w:tcPr>
            <w:tcW w:w="2374" w:type="dxa"/>
            <w:tcBorders>
              <w:left w:val="single" w:sz="6" w:space="0" w:color="auto"/>
            </w:tcBorders>
            <w:shd w:val="clear" w:color="auto" w:fill="auto"/>
            <w:vAlign w:val="bottom"/>
          </w:tcPr>
          <w:p w14:paraId="4C7BC98E"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r w:rsidRPr="00892691">
              <w:rPr>
                <w:rFonts w:hint="eastAsia"/>
                <w:b/>
                <w:sz w:val="18"/>
                <w:szCs w:val="20"/>
                <w:rtl/>
              </w:rPr>
              <w:t>סה</w:t>
            </w:r>
            <w:r w:rsidRPr="00892691">
              <w:rPr>
                <w:b/>
                <w:sz w:val="18"/>
                <w:szCs w:val="20"/>
                <w:rtl/>
              </w:rPr>
              <w:t xml:space="preserve">"כ </w:t>
            </w:r>
            <w:r w:rsidRPr="00892691">
              <w:rPr>
                <w:rFonts w:hint="eastAsia"/>
                <w:b/>
                <w:sz w:val="18"/>
                <w:szCs w:val="20"/>
                <w:rtl/>
              </w:rPr>
              <w:t>רווח</w:t>
            </w:r>
            <w:r w:rsidRPr="00892691">
              <w:rPr>
                <w:b/>
                <w:sz w:val="18"/>
                <w:szCs w:val="20"/>
                <w:rtl/>
              </w:rPr>
              <w:t xml:space="preserve"> (הפסד) </w:t>
            </w:r>
            <w:r w:rsidRPr="00892691">
              <w:rPr>
                <w:rFonts w:hint="eastAsia"/>
                <w:b/>
                <w:sz w:val="18"/>
                <w:szCs w:val="20"/>
                <w:rtl/>
              </w:rPr>
              <w:t>כולל</w:t>
            </w:r>
          </w:p>
        </w:tc>
        <w:tc>
          <w:tcPr>
            <w:tcW w:w="113" w:type="dxa"/>
            <w:shd w:val="clear" w:color="auto" w:fill="auto"/>
            <w:vAlign w:val="bottom"/>
          </w:tcPr>
          <w:p w14:paraId="43F02514" w14:textId="77777777" w:rsidR="00AF4CE7" w:rsidRPr="00892691" w:rsidRDefault="00AF4CE7" w:rsidP="00AF4CE7">
            <w:pPr>
              <w:spacing w:line="200" w:lineRule="exact"/>
              <w:rPr>
                <w:sz w:val="18"/>
                <w:szCs w:val="20"/>
              </w:rPr>
            </w:pPr>
          </w:p>
        </w:tc>
        <w:tc>
          <w:tcPr>
            <w:tcW w:w="951" w:type="dxa"/>
            <w:tcBorders>
              <w:bottom w:val="double" w:sz="6" w:space="0" w:color="auto"/>
            </w:tcBorders>
            <w:shd w:val="clear" w:color="auto" w:fill="auto"/>
            <w:vAlign w:val="bottom"/>
          </w:tcPr>
          <w:p w14:paraId="6ECB3798"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0520BF6E" w14:textId="77777777" w:rsidR="00AF4CE7" w:rsidRPr="00892691" w:rsidRDefault="00AF4CE7" w:rsidP="00AF4CE7">
            <w:pPr>
              <w:tabs>
                <w:tab w:val="decimal" w:pos="113"/>
              </w:tabs>
              <w:spacing w:line="200" w:lineRule="exact"/>
              <w:rPr>
                <w:sz w:val="18"/>
                <w:szCs w:val="20"/>
              </w:rPr>
            </w:pPr>
          </w:p>
        </w:tc>
        <w:tc>
          <w:tcPr>
            <w:tcW w:w="907" w:type="dxa"/>
            <w:gridSpan w:val="3"/>
            <w:tcBorders>
              <w:bottom w:val="double" w:sz="6" w:space="0" w:color="auto"/>
            </w:tcBorders>
            <w:shd w:val="clear" w:color="auto" w:fill="auto"/>
            <w:vAlign w:val="bottom"/>
          </w:tcPr>
          <w:p w14:paraId="545C8027"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7BAD43E9" w14:textId="77777777" w:rsidR="00AF4CE7" w:rsidRPr="00892691" w:rsidRDefault="00AF4CE7" w:rsidP="00AF4CE7">
            <w:pPr>
              <w:tabs>
                <w:tab w:val="decimal" w:pos="113"/>
              </w:tabs>
              <w:spacing w:line="200" w:lineRule="exact"/>
              <w:rPr>
                <w:sz w:val="18"/>
                <w:szCs w:val="20"/>
              </w:rPr>
            </w:pPr>
          </w:p>
        </w:tc>
        <w:tc>
          <w:tcPr>
            <w:tcW w:w="907" w:type="dxa"/>
            <w:gridSpan w:val="2"/>
            <w:tcBorders>
              <w:bottom w:val="double" w:sz="6" w:space="0" w:color="auto"/>
            </w:tcBorders>
            <w:shd w:val="clear" w:color="auto" w:fill="auto"/>
            <w:vAlign w:val="bottom"/>
          </w:tcPr>
          <w:p w14:paraId="4113497D"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1BF72664" w14:textId="77777777" w:rsidR="00AF4CE7" w:rsidRPr="00892691" w:rsidRDefault="00AF4CE7" w:rsidP="00AF4CE7">
            <w:pPr>
              <w:tabs>
                <w:tab w:val="decimal" w:pos="113"/>
              </w:tabs>
              <w:spacing w:line="200" w:lineRule="exact"/>
              <w:rPr>
                <w:sz w:val="18"/>
                <w:szCs w:val="20"/>
              </w:rPr>
            </w:pPr>
          </w:p>
        </w:tc>
        <w:tc>
          <w:tcPr>
            <w:tcW w:w="907" w:type="dxa"/>
            <w:gridSpan w:val="2"/>
            <w:tcBorders>
              <w:bottom w:val="double" w:sz="6" w:space="0" w:color="auto"/>
            </w:tcBorders>
            <w:shd w:val="clear" w:color="auto" w:fill="auto"/>
            <w:vAlign w:val="bottom"/>
          </w:tcPr>
          <w:p w14:paraId="738885F8"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57886B69" w14:textId="77777777" w:rsidR="00AF4CE7" w:rsidRPr="00892691" w:rsidRDefault="00AF4CE7" w:rsidP="00AF4CE7">
            <w:pPr>
              <w:tabs>
                <w:tab w:val="decimal" w:pos="113"/>
              </w:tabs>
              <w:spacing w:line="200" w:lineRule="exact"/>
              <w:rPr>
                <w:sz w:val="18"/>
                <w:szCs w:val="20"/>
              </w:rPr>
            </w:pPr>
          </w:p>
        </w:tc>
        <w:tc>
          <w:tcPr>
            <w:tcW w:w="1192" w:type="dxa"/>
            <w:gridSpan w:val="3"/>
            <w:tcBorders>
              <w:bottom w:val="double" w:sz="6" w:space="0" w:color="auto"/>
            </w:tcBorders>
            <w:shd w:val="clear" w:color="auto" w:fill="auto"/>
            <w:vAlign w:val="bottom"/>
          </w:tcPr>
          <w:p w14:paraId="278D7FC6" w14:textId="77777777" w:rsidR="00AF4CE7" w:rsidRPr="00892691" w:rsidRDefault="00AF4CE7" w:rsidP="00AF4CE7">
            <w:pPr>
              <w:tabs>
                <w:tab w:val="decimal" w:pos="113"/>
              </w:tabs>
              <w:spacing w:line="200" w:lineRule="exact"/>
              <w:rPr>
                <w:sz w:val="18"/>
                <w:szCs w:val="20"/>
                <w:rtl/>
              </w:rPr>
            </w:pPr>
          </w:p>
        </w:tc>
      </w:tr>
      <w:tr w:rsidR="00AF4CE7" w:rsidRPr="00BD264E" w14:paraId="7444C389" w14:textId="77777777" w:rsidTr="00AF4CE7">
        <w:trPr>
          <w:gridAfter w:val="1"/>
          <w:wAfter w:w="8" w:type="dxa"/>
        </w:trPr>
        <w:tc>
          <w:tcPr>
            <w:tcW w:w="1758" w:type="dxa"/>
            <w:tcBorders>
              <w:top w:val="single" w:sz="6" w:space="0" w:color="auto"/>
            </w:tcBorders>
          </w:tcPr>
          <w:p w14:paraId="0EE302FE" w14:textId="77777777" w:rsidR="00AF4CE7" w:rsidRDefault="00AF4CE7" w:rsidP="00AF4CE7">
            <w:pPr>
              <w:widowControl/>
              <w:tabs>
                <w:tab w:val="left" w:pos="227"/>
                <w:tab w:val="left" w:pos="397"/>
                <w:tab w:val="left" w:pos="567"/>
              </w:tabs>
              <w:bidi w:val="0"/>
              <w:spacing w:line="200" w:lineRule="exact"/>
              <w:ind w:right="113"/>
              <w:jc w:val="right"/>
              <w:rPr>
                <w:b/>
                <w:i/>
                <w:iCs/>
                <w:sz w:val="13"/>
                <w:szCs w:val="13"/>
                <w:rtl/>
              </w:rPr>
            </w:pPr>
          </w:p>
        </w:tc>
        <w:tc>
          <w:tcPr>
            <w:tcW w:w="2374" w:type="dxa"/>
            <w:shd w:val="clear" w:color="auto" w:fill="auto"/>
            <w:vAlign w:val="bottom"/>
          </w:tcPr>
          <w:p w14:paraId="35F681CC"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p>
        </w:tc>
        <w:tc>
          <w:tcPr>
            <w:tcW w:w="113" w:type="dxa"/>
            <w:shd w:val="clear" w:color="auto" w:fill="auto"/>
            <w:vAlign w:val="bottom"/>
          </w:tcPr>
          <w:p w14:paraId="4CDE3970" w14:textId="77777777" w:rsidR="00AF4CE7" w:rsidRPr="00892691" w:rsidRDefault="00AF4CE7" w:rsidP="00AF4CE7">
            <w:pPr>
              <w:spacing w:line="200" w:lineRule="exact"/>
              <w:rPr>
                <w:sz w:val="18"/>
                <w:szCs w:val="20"/>
              </w:rPr>
            </w:pPr>
          </w:p>
        </w:tc>
        <w:tc>
          <w:tcPr>
            <w:tcW w:w="951" w:type="dxa"/>
            <w:tcBorders>
              <w:top w:val="double" w:sz="6" w:space="0" w:color="auto"/>
            </w:tcBorders>
            <w:vAlign w:val="bottom"/>
          </w:tcPr>
          <w:p w14:paraId="044E5EB9"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4D949B4D" w14:textId="77777777" w:rsidR="00AF4CE7" w:rsidRPr="00892691" w:rsidRDefault="00AF4CE7" w:rsidP="00AF4CE7">
            <w:pPr>
              <w:tabs>
                <w:tab w:val="decimal" w:pos="113"/>
              </w:tabs>
              <w:spacing w:line="200" w:lineRule="exact"/>
              <w:rPr>
                <w:sz w:val="18"/>
                <w:szCs w:val="20"/>
              </w:rPr>
            </w:pPr>
          </w:p>
        </w:tc>
        <w:tc>
          <w:tcPr>
            <w:tcW w:w="907" w:type="dxa"/>
            <w:gridSpan w:val="3"/>
            <w:tcBorders>
              <w:top w:val="double" w:sz="6" w:space="0" w:color="auto"/>
            </w:tcBorders>
            <w:shd w:val="clear" w:color="auto" w:fill="auto"/>
            <w:vAlign w:val="bottom"/>
          </w:tcPr>
          <w:p w14:paraId="5916A65F"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54F97CB4" w14:textId="77777777" w:rsidR="00AF4CE7" w:rsidRPr="00892691" w:rsidRDefault="00AF4CE7" w:rsidP="00AF4CE7">
            <w:pPr>
              <w:tabs>
                <w:tab w:val="decimal" w:pos="113"/>
              </w:tabs>
              <w:spacing w:line="200" w:lineRule="exact"/>
              <w:rPr>
                <w:sz w:val="18"/>
                <w:szCs w:val="20"/>
              </w:rPr>
            </w:pPr>
          </w:p>
        </w:tc>
        <w:tc>
          <w:tcPr>
            <w:tcW w:w="907" w:type="dxa"/>
            <w:gridSpan w:val="2"/>
            <w:tcBorders>
              <w:top w:val="double" w:sz="6" w:space="0" w:color="auto"/>
            </w:tcBorders>
            <w:shd w:val="clear" w:color="auto" w:fill="auto"/>
            <w:vAlign w:val="bottom"/>
          </w:tcPr>
          <w:p w14:paraId="0231D857"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D453801" w14:textId="77777777" w:rsidR="00AF4CE7" w:rsidRPr="00892691" w:rsidRDefault="00AF4CE7" w:rsidP="00AF4CE7">
            <w:pPr>
              <w:tabs>
                <w:tab w:val="decimal" w:pos="113"/>
              </w:tabs>
              <w:spacing w:line="200" w:lineRule="exact"/>
              <w:rPr>
                <w:sz w:val="18"/>
                <w:szCs w:val="20"/>
              </w:rPr>
            </w:pPr>
          </w:p>
        </w:tc>
        <w:tc>
          <w:tcPr>
            <w:tcW w:w="907" w:type="dxa"/>
            <w:gridSpan w:val="2"/>
            <w:tcBorders>
              <w:top w:val="double" w:sz="6" w:space="0" w:color="auto"/>
            </w:tcBorders>
            <w:shd w:val="clear" w:color="auto" w:fill="auto"/>
            <w:vAlign w:val="bottom"/>
          </w:tcPr>
          <w:p w14:paraId="73825342"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69C0F419" w14:textId="77777777" w:rsidR="00AF4CE7" w:rsidRPr="00892691" w:rsidRDefault="00AF4CE7" w:rsidP="00AF4CE7">
            <w:pPr>
              <w:tabs>
                <w:tab w:val="decimal" w:pos="113"/>
              </w:tabs>
              <w:spacing w:line="200" w:lineRule="exact"/>
              <w:rPr>
                <w:sz w:val="18"/>
                <w:szCs w:val="20"/>
              </w:rPr>
            </w:pPr>
          </w:p>
        </w:tc>
        <w:tc>
          <w:tcPr>
            <w:tcW w:w="1192" w:type="dxa"/>
            <w:gridSpan w:val="3"/>
            <w:tcBorders>
              <w:top w:val="double" w:sz="6" w:space="0" w:color="auto"/>
            </w:tcBorders>
            <w:shd w:val="clear" w:color="auto" w:fill="auto"/>
            <w:vAlign w:val="bottom"/>
          </w:tcPr>
          <w:p w14:paraId="2A615D4B" w14:textId="77777777" w:rsidR="00AF4CE7" w:rsidRPr="00892691" w:rsidRDefault="00AF4CE7" w:rsidP="00AF4CE7">
            <w:pPr>
              <w:tabs>
                <w:tab w:val="decimal" w:pos="113"/>
              </w:tabs>
              <w:spacing w:line="200" w:lineRule="exact"/>
              <w:rPr>
                <w:sz w:val="18"/>
                <w:szCs w:val="20"/>
                <w:rtl/>
              </w:rPr>
            </w:pPr>
          </w:p>
        </w:tc>
      </w:tr>
      <w:tr w:rsidR="00AF4CE7" w:rsidRPr="00BD264E" w14:paraId="274C25E3" w14:textId="77777777" w:rsidTr="00AF4CE7">
        <w:trPr>
          <w:gridAfter w:val="1"/>
          <w:wAfter w:w="8" w:type="dxa"/>
        </w:trPr>
        <w:tc>
          <w:tcPr>
            <w:tcW w:w="1758" w:type="dxa"/>
          </w:tcPr>
          <w:p w14:paraId="0D0E4EF1" w14:textId="77777777" w:rsidR="00AF4CE7" w:rsidRDefault="00AF4CE7" w:rsidP="00AF4CE7">
            <w:pPr>
              <w:widowControl/>
              <w:tabs>
                <w:tab w:val="left" w:pos="227"/>
                <w:tab w:val="left" w:pos="397"/>
                <w:tab w:val="left" w:pos="567"/>
              </w:tabs>
              <w:bidi w:val="0"/>
              <w:spacing w:line="200" w:lineRule="exact"/>
              <w:ind w:right="113"/>
              <w:jc w:val="right"/>
              <w:rPr>
                <w:b/>
                <w:i/>
                <w:iCs/>
                <w:sz w:val="13"/>
                <w:szCs w:val="13"/>
                <w:rtl/>
              </w:rPr>
            </w:pPr>
          </w:p>
        </w:tc>
        <w:tc>
          <w:tcPr>
            <w:tcW w:w="2374" w:type="dxa"/>
            <w:shd w:val="clear" w:color="auto" w:fill="auto"/>
            <w:vAlign w:val="bottom"/>
          </w:tcPr>
          <w:p w14:paraId="78F723E0" w14:textId="77777777" w:rsidR="00AF4CE7" w:rsidRPr="00892691" w:rsidRDefault="00AF4CE7" w:rsidP="00AF4CE7">
            <w:pPr>
              <w:widowControl/>
              <w:tabs>
                <w:tab w:val="left" w:pos="227"/>
                <w:tab w:val="left" w:pos="397"/>
                <w:tab w:val="left" w:pos="567"/>
              </w:tabs>
              <w:spacing w:line="200" w:lineRule="exact"/>
              <w:ind w:left="284" w:hanging="227"/>
              <w:jc w:val="left"/>
              <w:rPr>
                <w:b/>
                <w:sz w:val="18"/>
                <w:szCs w:val="20"/>
                <w:rtl/>
              </w:rPr>
            </w:pPr>
            <w:r w:rsidRPr="00892691">
              <w:rPr>
                <w:rFonts w:hint="eastAsia"/>
                <w:b/>
                <w:sz w:val="18"/>
                <w:szCs w:val="20"/>
                <w:rtl/>
              </w:rPr>
              <w:t>מיוחס</w:t>
            </w:r>
            <w:r w:rsidRPr="00892691">
              <w:rPr>
                <w:b/>
                <w:sz w:val="18"/>
                <w:szCs w:val="20"/>
                <w:rtl/>
              </w:rPr>
              <w:t xml:space="preserve"> </w:t>
            </w:r>
            <w:r w:rsidRPr="00892691">
              <w:rPr>
                <w:rFonts w:hint="eastAsia"/>
                <w:b/>
                <w:sz w:val="18"/>
                <w:szCs w:val="20"/>
                <w:rtl/>
              </w:rPr>
              <w:t>ל</w:t>
            </w:r>
            <w:r w:rsidRPr="00892691">
              <w:rPr>
                <w:b/>
                <w:sz w:val="18"/>
                <w:szCs w:val="20"/>
                <w:rtl/>
              </w:rPr>
              <w:t>:</w:t>
            </w:r>
          </w:p>
        </w:tc>
        <w:tc>
          <w:tcPr>
            <w:tcW w:w="113" w:type="dxa"/>
            <w:shd w:val="clear" w:color="auto" w:fill="auto"/>
            <w:vAlign w:val="bottom"/>
          </w:tcPr>
          <w:p w14:paraId="3C284EA6" w14:textId="77777777" w:rsidR="00AF4CE7" w:rsidRPr="00892691" w:rsidRDefault="00AF4CE7" w:rsidP="00AF4CE7">
            <w:pPr>
              <w:spacing w:line="200" w:lineRule="exact"/>
              <w:rPr>
                <w:sz w:val="18"/>
                <w:szCs w:val="20"/>
              </w:rPr>
            </w:pPr>
          </w:p>
        </w:tc>
        <w:tc>
          <w:tcPr>
            <w:tcW w:w="951" w:type="dxa"/>
            <w:vAlign w:val="bottom"/>
          </w:tcPr>
          <w:p w14:paraId="715DFCF6"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3DBE4E39" w14:textId="77777777" w:rsidR="00AF4CE7" w:rsidRPr="00892691" w:rsidRDefault="00AF4CE7" w:rsidP="00AF4CE7">
            <w:pPr>
              <w:tabs>
                <w:tab w:val="decimal" w:pos="113"/>
              </w:tabs>
              <w:spacing w:line="200" w:lineRule="exact"/>
              <w:rPr>
                <w:sz w:val="18"/>
                <w:szCs w:val="20"/>
              </w:rPr>
            </w:pPr>
          </w:p>
        </w:tc>
        <w:tc>
          <w:tcPr>
            <w:tcW w:w="907" w:type="dxa"/>
            <w:gridSpan w:val="3"/>
            <w:shd w:val="clear" w:color="auto" w:fill="auto"/>
            <w:vAlign w:val="bottom"/>
          </w:tcPr>
          <w:p w14:paraId="48CBA711"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47D50028"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5173D539"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3C7CB9D"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02DB330F"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2E4284F1" w14:textId="77777777" w:rsidR="00AF4CE7" w:rsidRPr="00892691" w:rsidRDefault="00AF4CE7" w:rsidP="00AF4CE7">
            <w:pPr>
              <w:tabs>
                <w:tab w:val="decimal" w:pos="113"/>
              </w:tabs>
              <w:spacing w:line="200" w:lineRule="exact"/>
              <w:rPr>
                <w:sz w:val="18"/>
                <w:szCs w:val="20"/>
              </w:rPr>
            </w:pPr>
          </w:p>
        </w:tc>
        <w:tc>
          <w:tcPr>
            <w:tcW w:w="1192" w:type="dxa"/>
            <w:gridSpan w:val="3"/>
            <w:shd w:val="clear" w:color="auto" w:fill="auto"/>
            <w:vAlign w:val="bottom"/>
          </w:tcPr>
          <w:p w14:paraId="48F2D7C3" w14:textId="77777777" w:rsidR="00AF4CE7" w:rsidRPr="00892691" w:rsidRDefault="00AF4CE7" w:rsidP="00AF4CE7">
            <w:pPr>
              <w:tabs>
                <w:tab w:val="decimal" w:pos="113"/>
              </w:tabs>
              <w:spacing w:line="200" w:lineRule="exact"/>
              <w:rPr>
                <w:sz w:val="18"/>
                <w:szCs w:val="20"/>
                <w:rtl/>
              </w:rPr>
            </w:pPr>
          </w:p>
        </w:tc>
      </w:tr>
      <w:tr w:rsidR="00AF4CE7" w:rsidRPr="00BD264E" w14:paraId="52898410" w14:textId="77777777" w:rsidTr="00AF4CE7">
        <w:trPr>
          <w:gridAfter w:val="1"/>
          <w:wAfter w:w="8" w:type="dxa"/>
        </w:trPr>
        <w:tc>
          <w:tcPr>
            <w:tcW w:w="1758" w:type="dxa"/>
          </w:tcPr>
          <w:p w14:paraId="2F564B56" w14:textId="77777777" w:rsidR="00AF4CE7" w:rsidRDefault="00AF4CE7" w:rsidP="00AF4CE7">
            <w:pPr>
              <w:widowControl/>
              <w:tabs>
                <w:tab w:val="left" w:pos="227"/>
                <w:tab w:val="left" w:pos="397"/>
                <w:tab w:val="left" w:pos="567"/>
              </w:tabs>
              <w:bidi w:val="0"/>
              <w:spacing w:line="200" w:lineRule="exact"/>
              <w:ind w:right="113"/>
              <w:jc w:val="right"/>
              <w:rPr>
                <w:b/>
                <w:i/>
                <w:iCs/>
                <w:sz w:val="13"/>
                <w:szCs w:val="13"/>
                <w:rtl/>
              </w:rPr>
            </w:pPr>
          </w:p>
        </w:tc>
        <w:tc>
          <w:tcPr>
            <w:tcW w:w="2374" w:type="dxa"/>
            <w:shd w:val="clear" w:color="auto" w:fill="auto"/>
            <w:vAlign w:val="bottom"/>
          </w:tcPr>
          <w:p w14:paraId="1C94DBDD"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p>
        </w:tc>
        <w:tc>
          <w:tcPr>
            <w:tcW w:w="113" w:type="dxa"/>
            <w:shd w:val="clear" w:color="auto" w:fill="auto"/>
            <w:vAlign w:val="bottom"/>
          </w:tcPr>
          <w:p w14:paraId="15C37AEA" w14:textId="77777777" w:rsidR="00AF4CE7" w:rsidRPr="00892691" w:rsidRDefault="00AF4CE7" w:rsidP="00AF4CE7">
            <w:pPr>
              <w:spacing w:line="200" w:lineRule="exact"/>
              <w:rPr>
                <w:sz w:val="18"/>
                <w:szCs w:val="20"/>
              </w:rPr>
            </w:pPr>
          </w:p>
        </w:tc>
        <w:tc>
          <w:tcPr>
            <w:tcW w:w="951" w:type="dxa"/>
            <w:vAlign w:val="bottom"/>
          </w:tcPr>
          <w:p w14:paraId="074F1D61"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0126D8D3" w14:textId="77777777" w:rsidR="00AF4CE7" w:rsidRPr="00892691" w:rsidRDefault="00AF4CE7" w:rsidP="00AF4CE7">
            <w:pPr>
              <w:tabs>
                <w:tab w:val="decimal" w:pos="113"/>
              </w:tabs>
              <w:spacing w:line="200" w:lineRule="exact"/>
              <w:rPr>
                <w:sz w:val="18"/>
                <w:szCs w:val="20"/>
              </w:rPr>
            </w:pPr>
          </w:p>
        </w:tc>
        <w:tc>
          <w:tcPr>
            <w:tcW w:w="907" w:type="dxa"/>
            <w:gridSpan w:val="3"/>
            <w:shd w:val="clear" w:color="auto" w:fill="auto"/>
            <w:vAlign w:val="bottom"/>
          </w:tcPr>
          <w:p w14:paraId="4A58CE2D"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4BEA5EAD"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793EFF57"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00D6AD69"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46C751E9"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679E3D65" w14:textId="77777777" w:rsidR="00AF4CE7" w:rsidRPr="00892691" w:rsidRDefault="00AF4CE7" w:rsidP="00AF4CE7">
            <w:pPr>
              <w:tabs>
                <w:tab w:val="decimal" w:pos="113"/>
              </w:tabs>
              <w:spacing w:line="200" w:lineRule="exact"/>
              <w:rPr>
                <w:sz w:val="18"/>
                <w:szCs w:val="20"/>
              </w:rPr>
            </w:pPr>
          </w:p>
        </w:tc>
        <w:tc>
          <w:tcPr>
            <w:tcW w:w="1192" w:type="dxa"/>
            <w:gridSpan w:val="3"/>
            <w:shd w:val="clear" w:color="auto" w:fill="auto"/>
            <w:vAlign w:val="bottom"/>
          </w:tcPr>
          <w:p w14:paraId="3CA64A9F" w14:textId="77777777" w:rsidR="00AF4CE7" w:rsidRPr="00892691" w:rsidRDefault="00AF4CE7" w:rsidP="00AF4CE7">
            <w:pPr>
              <w:tabs>
                <w:tab w:val="decimal" w:pos="113"/>
              </w:tabs>
              <w:spacing w:line="200" w:lineRule="exact"/>
              <w:rPr>
                <w:sz w:val="18"/>
                <w:szCs w:val="20"/>
                <w:rtl/>
              </w:rPr>
            </w:pPr>
          </w:p>
        </w:tc>
      </w:tr>
      <w:tr w:rsidR="00AF4CE7" w:rsidRPr="00BD264E" w14:paraId="649BE10F" w14:textId="77777777" w:rsidTr="00AF4CE7">
        <w:trPr>
          <w:gridAfter w:val="1"/>
          <w:wAfter w:w="8" w:type="dxa"/>
        </w:trPr>
        <w:tc>
          <w:tcPr>
            <w:tcW w:w="1758" w:type="dxa"/>
            <w:tcBorders>
              <w:bottom w:val="single" w:sz="6" w:space="0" w:color="auto"/>
              <w:right w:val="single" w:sz="6" w:space="0" w:color="auto"/>
            </w:tcBorders>
          </w:tcPr>
          <w:p w14:paraId="009C2C8A" w14:textId="77777777" w:rsidR="00AF4CE7" w:rsidRDefault="00AF4CE7" w:rsidP="00AF4CE7">
            <w:pPr>
              <w:widowControl/>
              <w:tabs>
                <w:tab w:val="left" w:pos="227"/>
                <w:tab w:val="left" w:pos="397"/>
                <w:tab w:val="left" w:pos="567"/>
              </w:tabs>
              <w:bidi w:val="0"/>
              <w:spacing w:line="200" w:lineRule="exact"/>
              <w:ind w:right="113"/>
              <w:jc w:val="right"/>
              <w:rPr>
                <w:bCs/>
                <w:i/>
                <w:iCs/>
                <w:sz w:val="13"/>
                <w:szCs w:val="13"/>
                <w:rtl/>
              </w:rPr>
            </w:pPr>
            <w:r w:rsidRPr="00892691">
              <w:rPr>
                <w:bCs/>
                <w:i/>
                <w:iCs/>
                <w:sz w:val="13"/>
                <w:szCs w:val="13"/>
              </w:rPr>
              <w:t>IAS 1.83(b)(ii)</w:t>
            </w:r>
          </w:p>
        </w:tc>
        <w:tc>
          <w:tcPr>
            <w:tcW w:w="2374" w:type="dxa"/>
            <w:tcBorders>
              <w:left w:val="single" w:sz="6" w:space="0" w:color="auto"/>
            </w:tcBorders>
            <w:shd w:val="clear" w:color="auto" w:fill="auto"/>
            <w:vAlign w:val="bottom"/>
          </w:tcPr>
          <w:p w14:paraId="02654BA1"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r w:rsidRPr="00892691">
              <w:rPr>
                <w:rFonts w:hint="eastAsia"/>
                <w:b/>
                <w:sz w:val="18"/>
                <w:szCs w:val="20"/>
                <w:rtl/>
              </w:rPr>
              <w:t>בעלי</w:t>
            </w:r>
            <w:r w:rsidRPr="00892691">
              <w:rPr>
                <w:b/>
                <w:sz w:val="18"/>
                <w:szCs w:val="20"/>
                <w:rtl/>
              </w:rPr>
              <w:t xml:space="preserve"> </w:t>
            </w:r>
            <w:r w:rsidRPr="00892691">
              <w:rPr>
                <w:rFonts w:hint="eastAsia"/>
                <w:b/>
                <w:sz w:val="18"/>
                <w:szCs w:val="20"/>
                <w:rtl/>
              </w:rPr>
              <w:t>מניות</w:t>
            </w:r>
            <w:r w:rsidRPr="00892691">
              <w:rPr>
                <w:b/>
                <w:sz w:val="18"/>
                <w:szCs w:val="20"/>
                <w:rtl/>
              </w:rPr>
              <w:t xml:space="preserve"> </w:t>
            </w:r>
            <w:r w:rsidRPr="00892691">
              <w:rPr>
                <w:rFonts w:hint="eastAsia"/>
                <w:b/>
                <w:sz w:val="18"/>
                <w:szCs w:val="20"/>
                <w:rtl/>
              </w:rPr>
              <w:t>החברה</w:t>
            </w:r>
          </w:p>
        </w:tc>
        <w:tc>
          <w:tcPr>
            <w:tcW w:w="113" w:type="dxa"/>
            <w:shd w:val="clear" w:color="auto" w:fill="auto"/>
            <w:vAlign w:val="bottom"/>
          </w:tcPr>
          <w:p w14:paraId="03131A63" w14:textId="77777777" w:rsidR="00AF4CE7" w:rsidRPr="00892691" w:rsidRDefault="00AF4CE7" w:rsidP="00AF4CE7">
            <w:pPr>
              <w:spacing w:line="200" w:lineRule="exact"/>
              <w:rPr>
                <w:sz w:val="18"/>
                <w:szCs w:val="20"/>
              </w:rPr>
            </w:pPr>
          </w:p>
        </w:tc>
        <w:tc>
          <w:tcPr>
            <w:tcW w:w="951" w:type="dxa"/>
            <w:vAlign w:val="bottom"/>
          </w:tcPr>
          <w:p w14:paraId="0EE7FE1A"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750BE423" w14:textId="77777777" w:rsidR="00AF4CE7" w:rsidRPr="00892691" w:rsidRDefault="00AF4CE7" w:rsidP="00AF4CE7">
            <w:pPr>
              <w:tabs>
                <w:tab w:val="decimal" w:pos="113"/>
              </w:tabs>
              <w:spacing w:line="200" w:lineRule="exact"/>
              <w:rPr>
                <w:sz w:val="18"/>
                <w:szCs w:val="20"/>
              </w:rPr>
            </w:pPr>
          </w:p>
        </w:tc>
        <w:tc>
          <w:tcPr>
            <w:tcW w:w="907" w:type="dxa"/>
            <w:gridSpan w:val="3"/>
            <w:shd w:val="clear" w:color="auto" w:fill="auto"/>
            <w:vAlign w:val="bottom"/>
          </w:tcPr>
          <w:p w14:paraId="643BF864"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6BB500E6"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19F058F7"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3491B44D"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54BECD21"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36D05F0E" w14:textId="77777777" w:rsidR="00AF4CE7" w:rsidRPr="00892691" w:rsidRDefault="00AF4CE7" w:rsidP="00AF4CE7">
            <w:pPr>
              <w:tabs>
                <w:tab w:val="decimal" w:pos="113"/>
              </w:tabs>
              <w:spacing w:line="200" w:lineRule="exact"/>
              <w:rPr>
                <w:sz w:val="18"/>
                <w:szCs w:val="20"/>
              </w:rPr>
            </w:pPr>
          </w:p>
        </w:tc>
        <w:tc>
          <w:tcPr>
            <w:tcW w:w="1192" w:type="dxa"/>
            <w:gridSpan w:val="3"/>
            <w:shd w:val="clear" w:color="auto" w:fill="auto"/>
            <w:vAlign w:val="bottom"/>
          </w:tcPr>
          <w:p w14:paraId="72DB5D6C" w14:textId="77777777" w:rsidR="00AF4CE7" w:rsidRPr="00892691" w:rsidRDefault="00AF4CE7" w:rsidP="00AF4CE7">
            <w:pPr>
              <w:tabs>
                <w:tab w:val="decimal" w:pos="113"/>
              </w:tabs>
              <w:spacing w:line="200" w:lineRule="exact"/>
              <w:rPr>
                <w:sz w:val="18"/>
                <w:szCs w:val="20"/>
                <w:rtl/>
              </w:rPr>
            </w:pPr>
          </w:p>
        </w:tc>
      </w:tr>
      <w:tr w:rsidR="00AF4CE7" w:rsidRPr="00BD264E" w14:paraId="23D43512" w14:textId="77777777" w:rsidTr="00AF4CE7">
        <w:trPr>
          <w:gridAfter w:val="1"/>
          <w:wAfter w:w="8" w:type="dxa"/>
        </w:trPr>
        <w:tc>
          <w:tcPr>
            <w:tcW w:w="1758" w:type="dxa"/>
            <w:tcBorders>
              <w:top w:val="single" w:sz="6" w:space="0" w:color="auto"/>
              <w:bottom w:val="single" w:sz="6" w:space="0" w:color="auto"/>
              <w:right w:val="single" w:sz="6" w:space="0" w:color="auto"/>
            </w:tcBorders>
          </w:tcPr>
          <w:p w14:paraId="4B15DAC9" w14:textId="77777777" w:rsidR="00AF4CE7" w:rsidRDefault="00AF4CE7" w:rsidP="00AF4CE7">
            <w:pPr>
              <w:widowControl/>
              <w:tabs>
                <w:tab w:val="left" w:pos="227"/>
                <w:tab w:val="left" w:pos="397"/>
                <w:tab w:val="left" w:pos="567"/>
              </w:tabs>
              <w:bidi w:val="0"/>
              <w:spacing w:line="200" w:lineRule="exact"/>
              <w:ind w:right="113"/>
              <w:jc w:val="right"/>
              <w:rPr>
                <w:bCs/>
                <w:i/>
                <w:iCs/>
                <w:sz w:val="13"/>
                <w:szCs w:val="13"/>
              </w:rPr>
            </w:pPr>
            <w:r w:rsidRPr="00892691">
              <w:rPr>
                <w:bCs/>
                <w:i/>
                <w:iCs/>
                <w:sz w:val="13"/>
                <w:szCs w:val="13"/>
              </w:rPr>
              <w:t>IAS 1.83(b)(i); IAS 27.27</w:t>
            </w:r>
          </w:p>
        </w:tc>
        <w:tc>
          <w:tcPr>
            <w:tcW w:w="2374" w:type="dxa"/>
            <w:tcBorders>
              <w:left w:val="single" w:sz="6" w:space="0" w:color="auto"/>
            </w:tcBorders>
            <w:shd w:val="clear" w:color="auto" w:fill="auto"/>
            <w:vAlign w:val="bottom"/>
          </w:tcPr>
          <w:p w14:paraId="20771ECC"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r w:rsidRPr="00892691">
              <w:rPr>
                <w:rFonts w:hint="eastAsia"/>
                <w:b/>
                <w:sz w:val="18"/>
                <w:szCs w:val="20"/>
                <w:rtl/>
              </w:rPr>
              <w:t>זכויות</w:t>
            </w:r>
            <w:r w:rsidRPr="00892691">
              <w:rPr>
                <w:b/>
                <w:sz w:val="18"/>
                <w:szCs w:val="20"/>
                <w:rtl/>
              </w:rPr>
              <w:t xml:space="preserve"> </w:t>
            </w:r>
            <w:r w:rsidRPr="00892691">
              <w:rPr>
                <w:rFonts w:hint="eastAsia"/>
                <w:b/>
                <w:sz w:val="18"/>
                <w:szCs w:val="20"/>
                <w:rtl/>
              </w:rPr>
              <w:t>שאינן</w:t>
            </w:r>
            <w:r w:rsidRPr="00892691">
              <w:rPr>
                <w:b/>
                <w:sz w:val="18"/>
                <w:szCs w:val="20"/>
                <w:rtl/>
              </w:rPr>
              <w:t xml:space="preserve"> </w:t>
            </w:r>
            <w:r w:rsidRPr="00892691">
              <w:rPr>
                <w:rFonts w:hint="eastAsia"/>
                <w:b/>
                <w:sz w:val="18"/>
                <w:szCs w:val="20"/>
                <w:rtl/>
              </w:rPr>
              <w:t>מקנות</w:t>
            </w:r>
            <w:r w:rsidRPr="00892691">
              <w:rPr>
                <w:b/>
                <w:sz w:val="18"/>
                <w:szCs w:val="20"/>
                <w:rtl/>
              </w:rPr>
              <w:t xml:space="preserve"> </w:t>
            </w:r>
            <w:r w:rsidRPr="00892691">
              <w:rPr>
                <w:rFonts w:hint="eastAsia"/>
                <w:b/>
                <w:sz w:val="18"/>
                <w:szCs w:val="20"/>
                <w:rtl/>
              </w:rPr>
              <w:t>שליטה</w:t>
            </w:r>
          </w:p>
        </w:tc>
        <w:tc>
          <w:tcPr>
            <w:tcW w:w="113" w:type="dxa"/>
            <w:shd w:val="clear" w:color="auto" w:fill="auto"/>
            <w:vAlign w:val="bottom"/>
          </w:tcPr>
          <w:p w14:paraId="14E5406B" w14:textId="77777777" w:rsidR="00AF4CE7" w:rsidRPr="00892691" w:rsidRDefault="00AF4CE7" w:rsidP="00AF4CE7">
            <w:pPr>
              <w:spacing w:line="200" w:lineRule="exact"/>
              <w:rPr>
                <w:sz w:val="18"/>
                <w:szCs w:val="20"/>
              </w:rPr>
            </w:pPr>
          </w:p>
        </w:tc>
        <w:tc>
          <w:tcPr>
            <w:tcW w:w="951" w:type="dxa"/>
            <w:tcBorders>
              <w:bottom w:val="single" w:sz="6" w:space="0" w:color="auto"/>
            </w:tcBorders>
            <w:shd w:val="clear" w:color="auto" w:fill="auto"/>
            <w:vAlign w:val="bottom"/>
          </w:tcPr>
          <w:p w14:paraId="39E50736"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22528141" w14:textId="77777777" w:rsidR="00AF4CE7" w:rsidRPr="00892691" w:rsidRDefault="00AF4CE7" w:rsidP="00AF4CE7">
            <w:pPr>
              <w:tabs>
                <w:tab w:val="decimal" w:pos="113"/>
              </w:tabs>
              <w:spacing w:line="200" w:lineRule="exact"/>
              <w:rPr>
                <w:sz w:val="18"/>
                <w:szCs w:val="20"/>
              </w:rPr>
            </w:pPr>
          </w:p>
        </w:tc>
        <w:tc>
          <w:tcPr>
            <w:tcW w:w="907" w:type="dxa"/>
            <w:gridSpan w:val="3"/>
            <w:tcBorders>
              <w:bottom w:val="single" w:sz="6" w:space="0" w:color="auto"/>
            </w:tcBorders>
            <w:shd w:val="clear" w:color="auto" w:fill="auto"/>
            <w:vAlign w:val="bottom"/>
          </w:tcPr>
          <w:p w14:paraId="52355DE6"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64601EBD" w14:textId="77777777" w:rsidR="00AF4CE7" w:rsidRPr="00892691" w:rsidRDefault="00AF4CE7" w:rsidP="00AF4CE7">
            <w:pPr>
              <w:tabs>
                <w:tab w:val="decimal" w:pos="113"/>
              </w:tabs>
              <w:spacing w:line="200" w:lineRule="exact"/>
              <w:rPr>
                <w:sz w:val="18"/>
                <w:szCs w:val="20"/>
              </w:rPr>
            </w:pPr>
          </w:p>
        </w:tc>
        <w:tc>
          <w:tcPr>
            <w:tcW w:w="907" w:type="dxa"/>
            <w:gridSpan w:val="2"/>
            <w:tcBorders>
              <w:bottom w:val="single" w:sz="6" w:space="0" w:color="auto"/>
            </w:tcBorders>
            <w:shd w:val="clear" w:color="auto" w:fill="auto"/>
            <w:vAlign w:val="bottom"/>
          </w:tcPr>
          <w:p w14:paraId="56881EDC"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3F14D4D5" w14:textId="77777777" w:rsidR="00AF4CE7" w:rsidRPr="00892691" w:rsidRDefault="00AF4CE7" w:rsidP="00AF4CE7">
            <w:pPr>
              <w:tabs>
                <w:tab w:val="decimal" w:pos="113"/>
              </w:tabs>
              <w:spacing w:line="200" w:lineRule="exact"/>
              <w:rPr>
                <w:sz w:val="18"/>
                <w:szCs w:val="20"/>
              </w:rPr>
            </w:pPr>
          </w:p>
        </w:tc>
        <w:tc>
          <w:tcPr>
            <w:tcW w:w="907" w:type="dxa"/>
            <w:gridSpan w:val="2"/>
            <w:tcBorders>
              <w:bottom w:val="single" w:sz="6" w:space="0" w:color="auto"/>
            </w:tcBorders>
            <w:shd w:val="clear" w:color="auto" w:fill="auto"/>
            <w:vAlign w:val="bottom"/>
          </w:tcPr>
          <w:p w14:paraId="1D35D356"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34F9498F" w14:textId="77777777" w:rsidR="00AF4CE7" w:rsidRPr="00892691" w:rsidRDefault="00AF4CE7" w:rsidP="00AF4CE7">
            <w:pPr>
              <w:tabs>
                <w:tab w:val="decimal" w:pos="113"/>
              </w:tabs>
              <w:spacing w:line="200" w:lineRule="exact"/>
              <w:rPr>
                <w:sz w:val="18"/>
                <w:szCs w:val="20"/>
              </w:rPr>
            </w:pPr>
          </w:p>
        </w:tc>
        <w:tc>
          <w:tcPr>
            <w:tcW w:w="1192" w:type="dxa"/>
            <w:gridSpan w:val="3"/>
            <w:tcBorders>
              <w:bottom w:val="single" w:sz="6" w:space="0" w:color="auto"/>
            </w:tcBorders>
            <w:shd w:val="clear" w:color="auto" w:fill="auto"/>
            <w:vAlign w:val="bottom"/>
          </w:tcPr>
          <w:p w14:paraId="5A87B915" w14:textId="77777777" w:rsidR="00AF4CE7" w:rsidRPr="00892691" w:rsidRDefault="00AF4CE7" w:rsidP="00AF4CE7">
            <w:pPr>
              <w:tabs>
                <w:tab w:val="decimal" w:pos="113"/>
              </w:tabs>
              <w:spacing w:line="200" w:lineRule="exact"/>
              <w:rPr>
                <w:sz w:val="18"/>
                <w:szCs w:val="20"/>
                <w:rtl/>
              </w:rPr>
            </w:pPr>
          </w:p>
        </w:tc>
      </w:tr>
      <w:tr w:rsidR="00AF4CE7" w:rsidRPr="00BD264E" w14:paraId="64D0DAD3" w14:textId="77777777" w:rsidTr="00AF4CE7">
        <w:trPr>
          <w:gridAfter w:val="1"/>
          <w:wAfter w:w="8" w:type="dxa"/>
        </w:trPr>
        <w:tc>
          <w:tcPr>
            <w:tcW w:w="1758" w:type="dxa"/>
            <w:tcBorders>
              <w:top w:val="single" w:sz="6" w:space="0" w:color="auto"/>
            </w:tcBorders>
          </w:tcPr>
          <w:p w14:paraId="1F04B03C" w14:textId="77777777" w:rsidR="00AF4CE7" w:rsidRPr="00892691" w:rsidRDefault="00AF4CE7" w:rsidP="00AF4CE7">
            <w:pPr>
              <w:widowControl/>
              <w:tabs>
                <w:tab w:val="left" w:pos="227"/>
                <w:tab w:val="left" w:pos="397"/>
                <w:tab w:val="left" w:pos="567"/>
              </w:tabs>
              <w:spacing w:line="200" w:lineRule="exact"/>
              <w:ind w:left="57"/>
              <w:jc w:val="left"/>
              <w:rPr>
                <w:b/>
                <w:sz w:val="13"/>
                <w:szCs w:val="13"/>
                <w:rtl/>
              </w:rPr>
            </w:pPr>
          </w:p>
        </w:tc>
        <w:tc>
          <w:tcPr>
            <w:tcW w:w="2374" w:type="dxa"/>
            <w:shd w:val="clear" w:color="auto" w:fill="auto"/>
            <w:vAlign w:val="bottom"/>
          </w:tcPr>
          <w:p w14:paraId="11E9A639"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p>
        </w:tc>
        <w:tc>
          <w:tcPr>
            <w:tcW w:w="113" w:type="dxa"/>
            <w:shd w:val="clear" w:color="auto" w:fill="auto"/>
            <w:vAlign w:val="bottom"/>
          </w:tcPr>
          <w:p w14:paraId="4B9A8391" w14:textId="77777777" w:rsidR="00AF4CE7" w:rsidRPr="00892691" w:rsidRDefault="00AF4CE7" w:rsidP="00AF4CE7">
            <w:pPr>
              <w:spacing w:line="200" w:lineRule="exact"/>
              <w:rPr>
                <w:sz w:val="18"/>
                <w:szCs w:val="20"/>
              </w:rPr>
            </w:pPr>
          </w:p>
        </w:tc>
        <w:tc>
          <w:tcPr>
            <w:tcW w:w="951" w:type="dxa"/>
            <w:tcBorders>
              <w:top w:val="single" w:sz="6" w:space="0" w:color="auto"/>
            </w:tcBorders>
            <w:vAlign w:val="bottom"/>
          </w:tcPr>
          <w:p w14:paraId="01B6279F"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441ABF5A" w14:textId="77777777" w:rsidR="00AF4CE7" w:rsidRPr="00892691" w:rsidRDefault="00AF4CE7" w:rsidP="00AF4CE7">
            <w:pPr>
              <w:tabs>
                <w:tab w:val="decimal" w:pos="113"/>
              </w:tabs>
              <w:spacing w:line="200" w:lineRule="exact"/>
              <w:rPr>
                <w:sz w:val="18"/>
                <w:szCs w:val="20"/>
              </w:rPr>
            </w:pPr>
          </w:p>
        </w:tc>
        <w:tc>
          <w:tcPr>
            <w:tcW w:w="907" w:type="dxa"/>
            <w:gridSpan w:val="3"/>
            <w:tcBorders>
              <w:top w:val="single" w:sz="6" w:space="0" w:color="auto"/>
            </w:tcBorders>
            <w:shd w:val="clear" w:color="auto" w:fill="auto"/>
            <w:vAlign w:val="bottom"/>
          </w:tcPr>
          <w:p w14:paraId="512BA934"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130701A4" w14:textId="77777777" w:rsidR="00AF4CE7" w:rsidRPr="00892691" w:rsidRDefault="00AF4CE7" w:rsidP="00AF4CE7">
            <w:pPr>
              <w:tabs>
                <w:tab w:val="decimal" w:pos="113"/>
              </w:tabs>
              <w:spacing w:line="200" w:lineRule="exact"/>
              <w:rPr>
                <w:sz w:val="18"/>
                <w:szCs w:val="20"/>
              </w:rPr>
            </w:pPr>
          </w:p>
        </w:tc>
        <w:tc>
          <w:tcPr>
            <w:tcW w:w="907" w:type="dxa"/>
            <w:gridSpan w:val="2"/>
            <w:tcBorders>
              <w:top w:val="single" w:sz="6" w:space="0" w:color="auto"/>
            </w:tcBorders>
            <w:shd w:val="clear" w:color="auto" w:fill="auto"/>
            <w:vAlign w:val="bottom"/>
          </w:tcPr>
          <w:p w14:paraId="0ED6AA93"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5C5A9381" w14:textId="77777777" w:rsidR="00AF4CE7" w:rsidRPr="00892691" w:rsidRDefault="00AF4CE7" w:rsidP="00AF4CE7">
            <w:pPr>
              <w:tabs>
                <w:tab w:val="decimal" w:pos="113"/>
              </w:tabs>
              <w:spacing w:line="200" w:lineRule="exact"/>
              <w:rPr>
                <w:sz w:val="18"/>
                <w:szCs w:val="20"/>
              </w:rPr>
            </w:pPr>
          </w:p>
        </w:tc>
        <w:tc>
          <w:tcPr>
            <w:tcW w:w="907" w:type="dxa"/>
            <w:gridSpan w:val="2"/>
            <w:tcBorders>
              <w:top w:val="single" w:sz="6" w:space="0" w:color="auto"/>
            </w:tcBorders>
            <w:shd w:val="clear" w:color="auto" w:fill="auto"/>
            <w:vAlign w:val="bottom"/>
          </w:tcPr>
          <w:p w14:paraId="19D9AE5B"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4F02A183" w14:textId="77777777" w:rsidR="00AF4CE7" w:rsidRPr="00892691" w:rsidRDefault="00AF4CE7" w:rsidP="00AF4CE7">
            <w:pPr>
              <w:tabs>
                <w:tab w:val="decimal" w:pos="113"/>
              </w:tabs>
              <w:spacing w:line="200" w:lineRule="exact"/>
              <w:rPr>
                <w:sz w:val="18"/>
                <w:szCs w:val="20"/>
              </w:rPr>
            </w:pPr>
          </w:p>
        </w:tc>
        <w:tc>
          <w:tcPr>
            <w:tcW w:w="1192" w:type="dxa"/>
            <w:gridSpan w:val="3"/>
            <w:tcBorders>
              <w:top w:val="single" w:sz="6" w:space="0" w:color="auto"/>
            </w:tcBorders>
            <w:shd w:val="clear" w:color="auto" w:fill="auto"/>
            <w:vAlign w:val="bottom"/>
          </w:tcPr>
          <w:p w14:paraId="32FB113B" w14:textId="77777777" w:rsidR="00AF4CE7" w:rsidRPr="00892691" w:rsidRDefault="00AF4CE7" w:rsidP="00AF4CE7">
            <w:pPr>
              <w:tabs>
                <w:tab w:val="decimal" w:pos="113"/>
              </w:tabs>
              <w:spacing w:line="200" w:lineRule="exact"/>
              <w:rPr>
                <w:sz w:val="18"/>
                <w:szCs w:val="20"/>
                <w:rtl/>
              </w:rPr>
            </w:pPr>
          </w:p>
        </w:tc>
      </w:tr>
      <w:tr w:rsidR="00AF4CE7" w:rsidRPr="00BD264E" w14:paraId="60C3AE94" w14:textId="77777777" w:rsidTr="00AF4CE7">
        <w:trPr>
          <w:gridAfter w:val="1"/>
          <w:wAfter w:w="8" w:type="dxa"/>
        </w:trPr>
        <w:tc>
          <w:tcPr>
            <w:tcW w:w="1758" w:type="dxa"/>
          </w:tcPr>
          <w:p w14:paraId="3B67BB0D" w14:textId="77777777" w:rsidR="00AF4CE7" w:rsidRPr="00892691" w:rsidRDefault="00AF4CE7" w:rsidP="00AF4CE7">
            <w:pPr>
              <w:widowControl/>
              <w:tabs>
                <w:tab w:val="left" w:pos="227"/>
                <w:tab w:val="left" w:pos="397"/>
                <w:tab w:val="left" w:pos="567"/>
              </w:tabs>
              <w:spacing w:line="200" w:lineRule="exact"/>
              <w:ind w:left="57"/>
              <w:jc w:val="left"/>
              <w:rPr>
                <w:b/>
                <w:sz w:val="13"/>
                <w:szCs w:val="13"/>
                <w:rtl/>
              </w:rPr>
            </w:pPr>
          </w:p>
        </w:tc>
        <w:tc>
          <w:tcPr>
            <w:tcW w:w="2374" w:type="dxa"/>
            <w:shd w:val="clear" w:color="auto" w:fill="auto"/>
            <w:vAlign w:val="bottom"/>
          </w:tcPr>
          <w:p w14:paraId="157FB8DE"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p>
        </w:tc>
        <w:tc>
          <w:tcPr>
            <w:tcW w:w="113" w:type="dxa"/>
            <w:shd w:val="clear" w:color="auto" w:fill="auto"/>
            <w:vAlign w:val="bottom"/>
          </w:tcPr>
          <w:p w14:paraId="5FE3D9A3" w14:textId="77777777" w:rsidR="00AF4CE7" w:rsidRPr="00892691" w:rsidRDefault="00AF4CE7" w:rsidP="00AF4CE7">
            <w:pPr>
              <w:spacing w:line="200" w:lineRule="exact"/>
              <w:rPr>
                <w:sz w:val="18"/>
                <w:szCs w:val="20"/>
              </w:rPr>
            </w:pPr>
          </w:p>
        </w:tc>
        <w:tc>
          <w:tcPr>
            <w:tcW w:w="951" w:type="dxa"/>
            <w:tcBorders>
              <w:bottom w:val="double" w:sz="6" w:space="0" w:color="auto"/>
            </w:tcBorders>
            <w:shd w:val="clear" w:color="auto" w:fill="auto"/>
            <w:vAlign w:val="bottom"/>
          </w:tcPr>
          <w:p w14:paraId="43213CDF"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6D291E1C" w14:textId="77777777" w:rsidR="00AF4CE7" w:rsidRPr="00892691" w:rsidRDefault="00AF4CE7" w:rsidP="00AF4CE7">
            <w:pPr>
              <w:tabs>
                <w:tab w:val="decimal" w:pos="113"/>
              </w:tabs>
              <w:spacing w:line="200" w:lineRule="exact"/>
              <w:rPr>
                <w:sz w:val="18"/>
                <w:szCs w:val="20"/>
              </w:rPr>
            </w:pPr>
          </w:p>
        </w:tc>
        <w:tc>
          <w:tcPr>
            <w:tcW w:w="907" w:type="dxa"/>
            <w:gridSpan w:val="3"/>
            <w:tcBorders>
              <w:bottom w:val="double" w:sz="6" w:space="0" w:color="auto"/>
            </w:tcBorders>
            <w:shd w:val="clear" w:color="auto" w:fill="auto"/>
            <w:vAlign w:val="bottom"/>
          </w:tcPr>
          <w:p w14:paraId="5D7515FA"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6FD8F0C2" w14:textId="77777777" w:rsidR="00AF4CE7" w:rsidRPr="00892691" w:rsidRDefault="00AF4CE7" w:rsidP="00AF4CE7">
            <w:pPr>
              <w:tabs>
                <w:tab w:val="decimal" w:pos="113"/>
              </w:tabs>
              <w:spacing w:line="200" w:lineRule="exact"/>
              <w:rPr>
                <w:sz w:val="18"/>
                <w:szCs w:val="20"/>
              </w:rPr>
            </w:pPr>
          </w:p>
        </w:tc>
        <w:tc>
          <w:tcPr>
            <w:tcW w:w="907" w:type="dxa"/>
            <w:gridSpan w:val="2"/>
            <w:tcBorders>
              <w:bottom w:val="double" w:sz="6" w:space="0" w:color="auto"/>
            </w:tcBorders>
            <w:shd w:val="clear" w:color="auto" w:fill="auto"/>
            <w:vAlign w:val="bottom"/>
          </w:tcPr>
          <w:p w14:paraId="7099339E"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05E1907" w14:textId="77777777" w:rsidR="00AF4CE7" w:rsidRPr="00892691" w:rsidRDefault="00AF4CE7" w:rsidP="00AF4CE7">
            <w:pPr>
              <w:tabs>
                <w:tab w:val="decimal" w:pos="113"/>
              </w:tabs>
              <w:spacing w:line="200" w:lineRule="exact"/>
              <w:rPr>
                <w:sz w:val="18"/>
                <w:szCs w:val="20"/>
              </w:rPr>
            </w:pPr>
          </w:p>
        </w:tc>
        <w:tc>
          <w:tcPr>
            <w:tcW w:w="907" w:type="dxa"/>
            <w:gridSpan w:val="2"/>
            <w:tcBorders>
              <w:bottom w:val="double" w:sz="6" w:space="0" w:color="auto"/>
            </w:tcBorders>
            <w:shd w:val="clear" w:color="auto" w:fill="auto"/>
            <w:vAlign w:val="bottom"/>
          </w:tcPr>
          <w:p w14:paraId="74F2F948"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285233E5" w14:textId="77777777" w:rsidR="00AF4CE7" w:rsidRPr="00892691" w:rsidRDefault="00AF4CE7" w:rsidP="00AF4CE7">
            <w:pPr>
              <w:tabs>
                <w:tab w:val="decimal" w:pos="113"/>
              </w:tabs>
              <w:spacing w:line="200" w:lineRule="exact"/>
              <w:rPr>
                <w:sz w:val="18"/>
                <w:szCs w:val="20"/>
              </w:rPr>
            </w:pPr>
          </w:p>
        </w:tc>
        <w:tc>
          <w:tcPr>
            <w:tcW w:w="1192" w:type="dxa"/>
            <w:gridSpan w:val="3"/>
            <w:tcBorders>
              <w:bottom w:val="double" w:sz="6" w:space="0" w:color="auto"/>
            </w:tcBorders>
            <w:shd w:val="clear" w:color="auto" w:fill="auto"/>
            <w:vAlign w:val="bottom"/>
          </w:tcPr>
          <w:p w14:paraId="749DB207" w14:textId="77777777" w:rsidR="00AF4CE7" w:rsidRPr="00892691" w:rsidRDefault="00AF4CE7" w:rsidP="00AF4CE7">
            <w:pPr>
              <w:tabs>
                <w:tab w:val="decimal" w:pos="113"/>
              </w:tabs>
              <w:spacing w:line="200" w:lineRule="exact"/>
              <w:rPr>
                <w:sz w:val="18"/>
                <w:szCs w:val="20"/>
                <w:rtl/>
              </w:rPr>
            </w:pPr>
          </w:p>
        </w:tc>
      </w:tr>
    </w:tbl>
    <w:p w14:paraId="4E0D3D4E" w14:textId="77777777" w:rsidR="00AB7D68" w:rsidRPr="002219D5" w:rsidRDefault="00AB7D68">
      <w:pPr>
        <w:rPr>
          <w:sz w:val="18"/>
          <w:szCs w:val="22"/>
          <w:rtl/>
        </w:rPr>
      </w:pPr>
    </w:p>
    <w:p w14:paraId="6CF5B57F" w14:textId="77777777" w:rsidR="00AC338D" w:rsidRDefault="00892691" w:rsidP="00AC338D">
      <w:pPr>
        <w:rPr>
          <w:sz w:val="16"/>
          <w:szCs w:val="20"/>
          <w:rtl/>
        </w:rPr>
      </w:pPr>
      <w:r w:rsidRPr="00892691">
        <w:rPr>
          <w:sz w:val="16"/>
          <w:szCs w:val="20"/>
          <w:rtl/>
        </w:rPr>
        <w:t>*)</w:t>
      </w:r>
      <w:r w:rsidRPr="00892691">
        <w:rPr>
          <w:sz w:val="16"/>
          <w:szCs w:val="20"/>
          <w:rtl/>
        </w:rPr>
        <w:tab/>
      </w:r>
      <w:r w:rsidRPr="00892691">
        <w:rPr>
          <w:rFonts w:hint="eastAsia"/>
          <w:sz w:val="16"/>
          <w:szCs w:val="20"/>
          <w:rtl/>
        </w:rPr>
        <w:t>הוצג</w:t>
      </w:r>
      <w:r w:rsidRPr="00892691">
        <w:rPr>
          <w:sz w:val="16"/>
          <w:szCs w:val="20"/>
          <w:rtl/>
        </w:rPr>
        <w:t xml:space="preserve"> מחדש, ראה באור </w:t>
      </w:r>
      <w:r w:rsidRPr="00892691">
        <w:rPr>
          <w:sz w:val="16"/>
          <w:szCs w:val="20"/>
          <w:shd w:val="clear" w:color="auto" w:fill="D9D9D9" w:themeFill="background1" w:themeFillShade="D9"/>
          <w:rtl/>
        </w:rPr>
        <w:t>___</w:t>
      </w:r>
      <w:r w:rsidRPr="00892691">
        <w:rPr>
          <w:sz w:val="16"/>
          <w:szCs w:val="20"/>
          <w:rtl/>
        </w:rPr>
        <w:t>.</w:t>
      </w:r>
    </w:p>
    <w:p w14:paraId="2940B303" w14:textId="77777777" w:rsidR="00E53258" w:rsidRPr="00376906" w:rsidRDefault="00E53258" w:rsidP="00E53258">
      <w:pPr>
        <w:ind w:left="567" w:hanging="567"/>
        <w:rPr>
          <w:szCs w:val="20"/>
          <w:rtl/>
        </w:rPr>
      </w:pPr>
      <w:r w:rsidRPr="00376906">
        <w:rPr>
          <w:rFonts w:hint="cs"/>
          <w:szCs w:val="20"/>
          <w:rtl/>
        </w:rPr>
        <w:t>**)</w:t>
      </w:r>
      <w:r w:rsidRPr="00376906">
        <w:rPr>
          <w:szCs w:val="20"/>
          <w:rtl/>
        </w:rPr>
        <w:tab/>
      </w:r>
      <w:r w:rsidRPr="00376906">
        <w:rPr>
          <w:rFonts w:hint="cs"/>
          <w:szCs w:val="20"/>
          <w:rtl/>
        </w:rPr>
        <w:t xml:space="preserve">יושם למפרע, ראה באור </w:t>
      </w:r>
      <w:r w:rsidRPr="00376906">
        <w:rPr>
          <w:rFonts w:hint="cs"/>
          <w:sz w:val="16"/>
          <w:szCs w:val="20"/>
          <w:shd w:val="clear" w:color="auto" w:fill="D9D9D9" w:themeFill="background1" w:themeFillShade="D9"/>
          <w:rtl/>
        </w:rPr>
        <w:t>_</w:t>
      </w:r>
      <w:r w:rsidR="00376906">
        <w:rPr>
          <w:rFonts w:hint="cs"/>
          <w:sz w:val="16"/>
          <w:szCs w:val="20"/>
          <w:shd w:val="clear" w:color="auto" w:fill="D9D9D9" w:themeFill="background1" w:themeFillShade="D9"/>
          <w:rtl/>
        </w:rPr>
        <w:t>_</w:t>
      </w:r>
      <w:r w:rsidRPr="00376906">
        <w:rPr>
          <w:rFonts w:hint="cs"/>
          <w:sz w:val="16"/>
          <w:szCs w:val="20"/>
          <w:shd w:val="clear" w:color="auto" w:fill="D9D9D9" w:themeFill="background1" w:themeFillShade="D9"/>
          <w:rtl/>
        </w:rPr>
        <w:t>__</w:t>
      </w:r>
      <w:r w:rsidRPr="00376906">
        <w:rPr>
          <w:rFonts w:hint="cs"/>
          <w:sz w:val="16"/>
          <w:szCs w:val="20"/>
          <w:rtl/>
        </w:rPr>
        <w:t>.</w:t>
      </w:r>
    </w:p>
    <w:p w14:paraId="322046E4" w14:textId="77777777" w:rsidR="00D765A9" w:rsidRPr="002219D5" w:rsidRDefault="00892691" w:rsidP="002D2FBD">
      <w:pPr>
        <w:ind w:left="567" w:hanging="567"/>
        <w:rPr>
          <w:szCs w:val="20"/>
          <w:rtl/>
        </w:rPr>
      </w:pPr>
      <w:r w:rsidRPr="00892691">
        <w:rPr>
          <w:szCs w:val="20"/>
          <w:rtl/>
        </w:rPr>
        <w:t>*</w:t>
      </w:r>
      <w:r w:rsidR="00E53258">
        <w:rPr>
          <w:rFonts w:hint="cs"/>
          <w:szCs w:val="20"/>
          <w:rtl/>
        </w:rPr>
        <w:t>*</w:t>
      </w:r>
      <w:r w:rsidRPr="00892691">
        <w:rPr>
          <w:szCs w:val="20"/>
          <w:rtl/>
        </w:rPr>
        <w:t>*)</w:t>
      </w:r>
      <w:r w:rsidRPr="00892691">
        <w:rPr>
          <w:szCs w:val="20"/>
          <w:rtl/>
        </w:rPr>
        <w:tab/>
      </w:r>
      <w:r w:rsidRPr="00892691">
        <w:rPr>
          <w:rFonts w:hint="eastAsia"/>
          <w:szCs w:val="20"/>
          <w:rtl/>
        </w:rPr>
        <w:t>התאמה</w:t>
      </w:r>
      <w:r w:rsidRPr="00892691">
        <w:rPr>
          <w:szCs w:val="20"/>
          <w:rtl/>
        </w:rPr>
        <w:t xml:space="preserve"> לא מהותית של מספרי השוואה, ראה </w:t>
      </w:r>
      <w:r w:rsidRPr="00892691">
        <w:rPr>
          <w:rFonts w:hint="eastAsia"/>
          <w:szCs w:val="20"/>
          <w:rtl/>
        </w:rPr>
        <w:t>באור</w:t>
      </w:r>
      <w:r w:rsidRPr="00892691">
        <w:rPr>
          <w:szCs w:val="20"/>
          <w:rtl/>
        </w:rPr>
        <w:t xml:space="preserve"> ___.</w:t>
      </w:r>
    </w:p>
    <w:p w14:paraId="1B4C79A3" w14:textId="77777777" w:rsidR="000944A8" w:rsidRDefault="000944A8">
      <w:pPr>
        <w:rPr>
          <w:sz w:val="18"/>
          <w:szCs w:val="22"/>
          <w:rtl/>
        </w:rPr>
      </w:pPr>
    </w:p>
    <w:p w14:paraId="5FE32FC4" w14:textId="77777777" w:rsidR="00BD264E" w:rsidRDefault="00BD264E">
      <w:pPr>
        <w:rPr>
          <w:sz w:val="18"/>
          <w:szCs w:val="22"/>
          <w:rtl/>
        </w:rPr>
      </w:pPr>
    </w:p>
    <w:p w14:paraId="29AC4BF8" w14:textId="77777777" w:rsidR="00BD264E" w:rsidRPr="002219D5" w:rsidRDefault="00BD264E">
      <w:pPr>
        <w:rPr>
          <w:sz w:val="18"/>
          <w:szCs w:val="22"/>
          <w:rtl/>
        </w:rPr>
      </w:pPr>
    </w:p>
    <w:p w14:paraId="51EB33CC" w14:textId="77777777" w:rsidR="00F259F7" w:rsidRPr="002219D5" w:rsidRDefault="00892691" w:rsidP="001509BA">
      <w:pPr>
        <w:rPr>
          <w:szCs w:val="18"/>
          <w:rtl/>
        </w:rPr>
      </w:pPr>
      <w:r w:rsidRPr="00892691">
        <w:rPr>
          <w:rFonts w:hint="eastAsia"/>
          <w:rtl/>
        </w:rPr>
        <w:t>הבאורים</w:t>
      </w:r>
      <w:r w:rsidRPr="00892691">
        <w:rPr>
          <w:rtl/>
        </w:rPr>
        <w:t xml:space="preserve"> המצורפים מהווים חלק בלתי נפרד מהדוחות הכספיים ביניים מאוחדים.</w:t>
      </w:r>
    </w:p>
    <w:p w14:paraId="19AF8BBD" w14:textId="09181D5D" w:rsidR="00AD2383" w:rsidRPr="00AD2383" w:rsidRDefault="00892691" w:rsidP="001B1350">
      <w:pPr>
        <w:pStyle w:val="1"/>
        <w:spacing w:line="240" w:lineRule="auto"/>
        <w:rPr>
          <w:rtl/>
        </w:rPr>
      </w:pPr>
      <w:r w:rsidRPr="00892691">
        <w:rPr>
          <w:sz w:val="18"/>
          <w:szCs w:val="20"/>
          <w:rtl/>
        </w:rPr>
        <w:br w:type="page"/>
      </w:r>
      <w:r w:rsidR="00AB7D68">
        <w:rPr>
          <w:rFonts w:hint="cs"/>
          <w:rtl/>
        </w:rPr>
        <w:lastRenderedPageBreak/>
        <w:t xml:space="preserve">דוחות מאוחדים על </w:t>
      </w:r>
      <w:r w:rsidR="005148A6">
        <w:rPr>
          <w:rFonts w:hint="cs"/>
          <w:rtl/>
        </w:rPr>
        <w:t>רווח או הפסד ור</w:t>
      </w:r>
      <w:r w:rsidR="00AB7D68">
        <w:rPr>
          <w:rFonts w:hint="cs"/>
          <w:rtl/>
        </w:rPr>
        <w:t>ווח כולל</w:t>
      </w:r>
      <w:r w:rsidR="005148A6">
        <w:rPr>
          <w:rFonts w:hint="cs"/>
          <w:rtl/>
        </w:rPr>
        <w:t xml:space="preserve"> אחר</w:t>
      </w:r>
    </w:p>
    <w:p w14:paraId="00D5F950" w14:textId="77777777" w:rsidR="00F41C12" w:rsidRPr="00E342AA" w:rsidRDefault="008A6496" w:rsidP="00E342AA">
      <w:pPr>
        <w:pBdr>
          <w:top w:val="single" w:sz="12" w:space="1" w:color="auto"/>
          <w:left w:val="single" w:sz="12" w:space="4" w:color="auto"/>
          <w:bottom w:val="single" w:sz="12" w:space="1" w:color="auto"/>
          <w:right w:val="single" w:sz="12" w:space="4" w:color="auto"/>
        </w:pBdr>
        <w:shd w:val="pct15" w:color="auto" w:fill="auto"/>
        <w:rPr>
          <w:b/>
          <w:bCs/>
          <w:rtl/>
        </w:rPr>
      </w:pPr>
      <w:r w:rsidRPr="00E342AA">
        <w:rPr>
          <w:rFonts w:hint="cs"/>
          <w:b/>
          <w:bCs/>
          <w:rtl/>
        </w:rPr>
        <w:t xml:space="preserve">אם </w:t>
      </w:r>
      <w:r w:rsidR="00607ED9" w:rsidRPr="00E342AA">
        <w:rPr>
          <w:rFonts w:hint="cs"/>
          <w:b/>
          <w:bCs/>
          <w:rtl/>
        </w:rPr>
        <w:t xml:space="preserve">החברה בחרה להציג דוח אחד בלבד, להלן הדוח שיבוא במקום דוח רווח </w:t>
      </w:r>
      <w:r w:rsidR="005148A6">
        <w:rPr>
          <w:rFonts w:hint="cs"/>
          <w:b/>
          <w:bCs/>
          <w:rtl/>
        </w:rPr>
        <w:t>א</w:t>
      </w:r>
      <w:r w:rsidR="00607ED9" w:rsidRPr="00E342AA">
        <w:rPr>
          <w:rFonts w:hint="cs"/>
          <w:b/>
          <w:bCs/>
          <w:rtl/>
        </w:rPr>
        <w:t>ו</w:t>
      </w:r>
      <w:r w:rsidR="005148A6">
        <w:rPr>
          <w:rFonts w:hint="cs"/>
          <w:b/>
          <w:bCs/>
          <w:rtl/>
        </w:rPr>
        <w:t xml:space="preserve"> </w:t>
      </w:r>
      <w:r w:rsidR="00607ED9" w:rsidRPr="00E342AA">
        <w:rPr>
          <w:rFonts w:hint="cs"/>
          <w:b/>
          <w:bCs/>
          <w:rtl/>
        </w:rPr>
        <w:t>הפסד והדוח על הרווח הכולל</w:t>
      </w:r>
    </w:p>
    <w:tbl>
      <w:tblPr>
        <w:bidiVisual/>
        <w:tblW w:w="9768" w:type="dxa"/>
        <w:tblInd w:w="-26" w:type="dxa"/>
        <w:tblLayout w:type="fixed"/>
        <w:tblCellMar>
          <w:left w:w="0" w:type="dxa"/>
          <w:right w:w="0" w:type="dxa"/>
        </w:tblCellMar>
        <w:tblLook w:val="01E0" w:firstRow="1" w:lastRow="1" w:firstColumn="1" w:lastColumn="1" w:noHBand="0" w:noVBand="0"/>
      </w:tblPr>
      <w:tblGrid>
        <w:gridCol w:w="1604"/>
        <w:gridCol w:w="2665"/>
        <w:gridCol w:w="113"/>
        <w:gridCol w:w="907"/>
        <w:gridCol w:w="91"/>
        <w:gridCol w:w="22"/>
        <w:gridCol w:w="907"/>
        <w:gridCol w:w="113"/>
        <w:gridCol w:w="907"/>
        <w:gridCol w:w="113"/>
        <w:gridCol w:w="907"/>
        <w:gridCol w:w="113"/>
        <w:gridCol w:w="1306"/>
      </w:tblGrid>
      <w:tr w:rsidR="009F318F" w:rsidRPr="00E342AA" w14:paraId="2B28386E" w14:textId="77777777" w:rsidTr="001521F8">
        <w:tc>
          <w:tcPr>
            <w:tcW w:w="1604" w:type="dxa"/>
            <w:tcBorders>
              <w:bottom w:val="single" w:sz="6" w:space="0" w:color="auto"/>
              <w:right w:val="single" w:sz="6" w:space="0" w:color="auto"/>
            </w:tcBorders>
          </w:tcPr>
          <w:p w14:paraId="4A8701AB" w14:textId="77777777" w:rsidR="009F318F" w:rsidRDefault="009F318F" w:rsidP="009F318F">
            <w:pPr>
              <w:pStyle w:val="4"/>
              <w:keepNext w:val="0"/>
              <w:bidi w:val="0"/>
              <w:ind w:right="57"/>
              <w:jc w:val="right"/>
              <w:rPr>
                <w:i/>
                <w:iCs/>
                <w:sz w:val="13"/>
                <w:szCs w:val="13"/>
                <w:u w:val="none"/>
              </w:rPr>
            </w:pPr>
            <w:r w:rsidRPr="009F318F">
              <w:rPr>
                <w:i/>
                <w:iCs/>
                <w:sz w:val="13"/>
                <w:szCs w:val="13"/>
                <w:u w:val="none"/>
              </w:rPr>
              <w:t xml:space="preserve">IAS 1.10(b); </w:t>
            </w:r>
          </w:p>
          <w:p w14:paraId="3857D619" w14:textId="77777777" w:rsidR="009F318F" w:rsidRPr="009F318F" w:rsidRDefault="009F318F" w:rsidP="009F318F">
            <w:pPr>
              <w:pStyle w:val="4"/>
              <w:keepNext w:val="0"/>
              <w:bidi w:val="0"/>
              <w:ind w:right="57"/>
              <w:jc w:val="right"/>
              <w:rPr>
                <w:i/>
                <w:iCs/>
                <w:sz w:val="13"/>
                <w:szCs w:val="13"/>
                <w:u w:val="none"/>
              </w:rPr>
            </w:pPr>
            <w:r w:rsidRPr="009F318F">
              <w:rPr>
                <w:i/>
                <w:iCs/>
                <w:sz w:val="13"/>
                <w:szCs w:val="13"/>
                <w:u w:val="none"/>
              </w:rPr>
              <w:t>IAS 1.51(b), (c); IAS 1.81(a); IAS 34.10</w:t>
            </w:r>
          </w:p>
        </w:tc>
        <w:tc>
          <w:tcPr>
            <w:tcW w:w="2665" w:type="dxa"/>
            <w:tcBorders>
              <w:left w:val="single" w:sz="6" w:space="0" w:color="auto"/>
            </w:tcBorders>
            <w:shd w:val="clear" w:color="auto" w:fill="auto"/>
            <w:vAlign w:val="bottom"/>
          </w:tcPr>
          <w:p w14:paraId="1CBD5E7E" w14:textId="77777777" w:rsidR="009F318F" w:rsidRPr="009F318F" w:rsidRDefault="009F318F" w:rsidP="009F318F">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27DEC059" w14:textId="77777777" w:rsidR="009F318F" w:rsidRPr="009F318F" w:rsidRDefault="009F318F" w:rsidP="009F318F">
            <w:pPr>
              <w:spacing w:line="220" w:lineRule="exact"/>
              <w:rPr>
                <w:szCs w:val="22"/>
                <w:rtl/>
              </w:rPr>
            </w:pPr>
          </w:p>
        </w:tc>
        <w:tc>
          <w:tcPr>
            <w:tcW w:w="1927" w:type="dxa"/>
            <w:gridSpan w:val="4"/>
            <w:tcBorders>
              <w:bottom w:val="single" w:sz="6" w:space="0" w:color="auto"/>
            </w:tcBorders>
            <w:shd w:val="clear" w:color="auto" w:fill="auto"/>
            <w:vAlign w:val="bottom"/>
          </w:tcPr>
          <w:p w14:paraId="2785CF21" w14:textId="77777777" w:rsidR="008D22FA" w:rsidRDefault="009F318F">
            <w:pPr>
              <w:spacing w:line="220" w:lineRule="exact"/>
              <w:jc w:val="center"/>
              <w:rPr>
                <w:szCs w:val="22"/>
                <w:rtl/>
              </w:rPr>
            </w:pPr>
            <w:r w:rsidRPr="009F318F">
              <w:rPr>
                <w:rFonts w:hint="cs"/>
                <w:szCs w:val="22"/>
                <w:rtl/>
              </w:rPr>
              <w:t>ל-9 החודשים שהסתיימו ביום 30 בספטמבר</w:t>
            </w:r>
          </w:p>
        </w:tc>
        <w:tc>
          <w:tcPr>
            <w:tcW w:w="113" w:type="dxa"/>
            <w:shd w:val="clear" w:color="auto" w:fill="auto"/>
            <w:vAlign w:val="bottom"/>
          </w:tcPr>
          <w:p w14:paraId="5367F2B0" w14:textId="77777777" w:rsidR="009F318F" w:rsidRPr="009F318F" w:rsidRDefault="009F318F" w:rsidP="009F318F">
            <w:pPr>
              <w:spacing w:line="220" w:lineRule="exact"/>
              <w:jc w:val="center"/>
              <w:rPr>
                <w:szCs w:val="22"/>
              </w:rPr>
            </w:pPr>
          </w:p>
        </w:tc>
        <w:tc>
          <w:tcPr>
            <w:tcW w:w="1927" w:type="dxa"/>
            <w:gridSpan w:val="3"/>
            <w:tcBorders>
              <w:bottom w:val="single" w:sz="6" w:space="0" w:color="auto"/>
            </w:tcBorders>
            <w:shd w:val="clear" w:color="auto" w:fill="auto"/>
            <w:vAlign w:val="bottom"/>
          </w:tcPr>
          <w:p w14:paraId="55D631A3" w14:textId="77777777" w:rsidR="008D22FA" w:rsidRDefault="009F318F">
            <w:pPr>
              <w:spacing w:line="220" w:lineRule="exact"/>
              <w:jc w:val="center"/>
              <w:rPr>
                <w:szCs w:val="22"/>
                <w:rtl/>
              </w:rPr>
            </w:pPr>
            <w:r w:rsidRPr="009F318F">
              <w:rPr>
                <w:rFonts w:hint="cs"/>
                <w:szCs w:val="22"/>
                <w:rtl/>
              </w:rPr>
              <w:t>ל-3 החודשים שהסתיימו ביום 30 בספטמבר</w:t>
            </w:r>
          </w:p>
        </w:tc>
        <w:tc>
          <w:tcPr>
            <w:tcW w:w="113" w:type="dxa"/>
            <w:shd w:val="clear" w:color="auto" w:fill="auto"/>
            <w:vAlign w:val="bottom"/>
          </w:tcPr>
          <w:p w14:paraId="153B230B" w14:textId="77777777" w:rsidR="009F318F" w:rsidRPr="009F318F" w:rsidRDefault="009F318F" w:rsidP="009F318F">
            <w:pPr>
              <w:tabs>
                <w:tab w:val="decimal" w:pos="113"/>
              </w:tabs>
              <w:spacing w:line="220" w:lineRule="exact"/>
              <w:jc w:val="center"/>
              <w:rPr>
                <w:szCs w:val="22"/>
              </w:rPr>
            </w:pPr>
          </w:p>
        </w:tc>
        <w:tc>
          <w:tcPr>
            <w:tcW w:w="1306" w:type="dxa"/>
            <w:shd w:val="clear" w:color="auto" w:fill="auto"/>
            <w:vAlign w:val="bottom"/>
          </w:tcPr>
          <w:p w14:paraId="18BC14E5" w14:textId="77777777" w:rsidR="009F318F" w:rsidRPr="009F318F" w:rsidRDefault="009F318F" w:rsidP="009F318F">
            <w:pPr>
              <w:spacing w:line="220" w:lineRule="exact"/>
              <w:jc w:val="center"/>
              <w:rPr>
                <w:szCs w:val="22"/>
                <w:rtl/>
              </w:rPr>
            </w:pPr>
            <w:r w:rsidRPr="009F318F">
              <w:rPr>
                <w:rFonts w:hint="cs"/>
                <w:szCs w:val="22"/>
                <w:rtl/>
              </w:rPr>
              <w:t>לשנה שהסתיימה ביום</w:t>
            </w:r>
          </w:p>
          <w:p w14:paraId="027A5C01" w14:textId="77777777" w:rsidR="009F318F" w:rsidRPr="009F318F" w:rsidRDefault="009F318F" w:rsidP="009F318F">
            <w:pPr>
              <w:spacing w:line="220" w:lineRule="exact"/>
              <w:jc w:val="center"/>
              <w:rPr>
                <w:szCs w:val="22"/>
                <w:rtl/>
              </w:rPr>
            </w:pPr>
            <w:r w:rsidRPr="009F318F">
              <w:rPr>
                <w:rFonts w:hint="cs"/>
                <w:szCs w:val="22"/>
                <w:rtl/>
              </w:rPr>
              <w:t>31 בדצמבר</w:t>
            </w:r>
          </w:p>
        </w:tc>
      </w:tr>
      <w:tr w:rsidR="00AF4CE7" w:rsidRPr="00E342AA" w14:paraId="0041E8C0" w14:textId="77777777" w:rsidTr="001521F8">
        <w:tc>
          <w:tcPr>
            <w:tcW w:w="1604" w:type="dxa"/>
            <w:tcBorders>
              <w:top w:val="single" w:sz="6" w:space="0" w:color="auto"/>
            </w:tcBorders>
          </w:tcPr>
          <w:p w14:paraId="410991EE"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27302A42" w14:textId="77777777" w:rsidR="00AF4CE7" w:rsidRPr="009F318F" w:rsidRDefault="00AF4CE7" w:rsidP="00AF4CE7">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7DD1F4CC" w14:textId="77777777" w:rsidR="00AF4CE7" w:rsidRPr="009F318F" w:rsidRDefault="00AF4CE7" w:rsidP="00AF4CE7">
            <w:pPr>
              <w:spacing w:line="220" w:lineRule="exact"/>
              <w:rPr>
                <w:szCs w:val="22"/>
                <w:rtl/>
              </w:rPr>
            </w:pPr>
          </w:p>
        </w:tc>
        <w:tc>
          <w:tcPr>
            <w:tcW w:w="907" w:type="dxa"/>
            <w:tcBorders>
              <w:bottom w:val="single" w:sz="6" w:space="0" w:color="auto"/>
            </w:tcBorders>
            <w:shd w:val="clear" w:color="auto" w:fill="auto"/>
            <w:vAlign w:val="bottom"/>
          </w:tcPr>
          <w:p w14:paraId="7AA9399B" w14:textId="3FA18D1E" w:rsidR="00AF4CE7" w:rsidRPr="00AF4CE7" w:rsidRDefault="00AF4CE7" w:rsidP="00AF4CE7">
            <w:pPr>
              <w:spacing w:line="180" w:lineRule="exact"/>
              <w:jc w:val="center"/>
              <w:rPr>
                <w:sz w:val="22"/>
                <w:szCs w:val="22"/>
                <w:u w:val="single"/>
              </w:rPr>
            </w:pPr>
            <w:r w:rsidRPr="00AF4CE7">
              <w:rPr>
                <w:rFonts w:hint="cs"/>
                <w:sz w:val="22"/>
                <w:szCs w:val="22"/>
                <w:rtl/>
              </w:rPr>
              <w:t>2019</w:t>
            </w:r>
          </w:p>
        </w:tc>
        <w:tc>
          <w:tcPr>
            <w:tcW w:w="113" w:type="dxa"/>
            <w:gridSpan w:val="2"/>
            <w:vAlign w:val="bottom"/>
          </w:tcPr>
          <w:p w14:paraId="4913E71E" w14:textId="77777777" w:rsidR="00AF4CE7" w:rsidRPr="00AF4CE7" w:rsidRDefault="00AF4CE7" w:rsidP="00AF4CE7">
            <w:pPr>
              <w:spacing w:line="180" w:lineRule="exact"/>
              <w:jc w:val="center"/>
              <w:rPr>
                <w:sz w:val="22"/>
                <w:szCs w:val="22"/>
              </w:rPr>
            </w:pPr>
          </w:p>
        </w:tc>
        <w:tc>
          <w:tcPr>
            <w:tcW w:w="907" w:type="dxa"/>
            <w:tcBorders>
              <w:bottom w:val="single" w:sz="6" w:space="0" w:color="auto"/>
            </w:tcBorders>
            <w:shd w:val="clear" w:color="auto" w:fill="auto"/>
            <w:vAlign w:val="bottom"/>
          </w:tcPr>
          <w:p w14:paraId="1B9654D3" w14:textId="6EB3B125" w:rsidR="00AF4CE7" w:rsidRPr="00AF4CE7" w:rsidRDefault="00AF4CE7" w:rsidP="00AF4CE7">
            <w:pPr>
              <w:spacing w:line="180" w:lineRule="exact"/>
              <w:jc w:val="center"/>
              <w:rPr>
                <w:sz w:val="22"/>
                <w:szCs w:val="22"/>
                <w:u w:val="single"/>
              </w:rPr>
            </w:pPr>
            <w:r w:rsidRPr="00AF4CE7">
              <w:rPr>
                <w:rFonts w:hint="cs"/>
                <w:sz w:val="22"/>
                <w:szCs w:val="22"/>
                <w:rtl/>
              </w:rPr>
              <w:t>2018</w:t>
            </w:r>
          </w:p>
        </w:tc>
        <w:tc>
          <w:tcPr>
            <w:tcW w:w="113" w:type="dxa"/>
            <w:shd w:val="clear" w:color="auto" w:fill="auto"/>
            <w:vAlign w:val="bottom"/>
          </w:tcPr>
          <w:p w14:paraId="7140DDD8" w14:textId="77777777" w:rsidR="00AF4CE7" w:rsidRPr="00AF4CE7" w:rsidRDefault="00AF4CE7" w:rsidP="00AF4CE7">
            <w:pPr>
              <w:spacing w:line="180" w:lineRule="exact"/>
              <w:jc w:val="center"/>
              <w:rPr>
                <w:sz w:val="22"/>
                <w:szCs w:val="22"/>
              </w:rPr>
            </w:pPr>
          </w:p>
        </w:tc>
        <w:tc>
          <w:tcPr>
            <w:tcW w:w="907" w:type="dxa"/>
            <w:tcBorders>
              <w:bottom w:val="single" w:sz="6" w:space="0" w:color="auto"/>
            </w:tcBorders>
            <w:shd w:val="clear" w:color="auto" w:fill="auto"/>
            <w:vAlign w:val="bottom"/>
          </w:tcPr>
          <w:p w14:paraId="608B9457" w14:textId="51E8AA7C" w:rsidR="00AF4CE7" w:rsidRPr="00AF4CE7" w:rsidRDefault="00AF4CE7" w:rsidP="00AF4CE7">
            <w:pPr>
              <w:spacing w:line="180" w:lineRule="exact"/>
              <w:jc w:val="center"/>
              <w:rPr>
                <w:sz w:val="22"/>
                <w:szCs w:val="22"/>
                <w:u w:val="single"/>
              </w:rPr>
            </w:pPr>
            <w:r w:rsidRPr="00AF4CE7">
              <w:rPr>
                <w:rFonts w:hint="cs"/>
                <w:sz w:val="22"/>
                <w:szCs w:val="22"/>
                <w:rtl/>
              </w:rPr>
              <w:t>2019</w:t>
            </w:r>
          </w:p>
        </w:tc>
        <w:tc>
          <w:tcPr>
            <w:tcW w:w="113" w:type="dxa"/>
            <w:shd w:val="clear" w:color="auto" w:fill="auto"/>
            <w:vAlign w:val="bottom"/>
          </w:tcPr>
          <w:p w14:paraId="65C6A498" w14:textId="77777777" w:rsidR="00AF4CE7" w:rsidRPr="00AF4CE7" w:rsidRDefault="00AF4CE7" w:rsidP="00AF4CE7">
            <w:pPr>
              <w:spacing w:line="180" w:lineRule="exact"/>
              <w:jc w:val="center"/>
              <w:rPr>
                <w:sz w:val="22"/>
                <w:szCs w:val="22"/>
              </w:rPr>
            </w:pPr>
          </w:p>
        </w:tc>
        <w:tc>
          <w:tcPr>
            <w:tcW w:w="907" w:type="dxa"/>
            <w:tcBorders>
              <w:bottom w:val="single" w:sz="6" w:space="0" w:color="auto"/>
            </w:tcBorders>
            <w:shd w:val="clear" w:color="auto" w:fill="auto"/>
            <w:vAlign w:val="bottom"/>
          </w:tcPr>
          <w:p w14:paraId="10A55701" w14:textId="0D67ABC2" w:rsidR="00AF4CE7" w:rsidRPr="00AF4CE7" w:rsidRDefault="00AF4CE7" w:rsidP="00AF4CE7">
            <w:pPr>
              <w:spacing w:line="180" w:lineRule="exact"/>
              <w:jc w:val="center"/>
              <w:rPr>
                <w:sz w:val="22"/>
                <w:szCs w:val="22"/>
                <w:u w:val="single"/>
              </w:rPr>
            </w:pPr>
            <w:r w:rsidRPr="00AF4CE7">
              <w:rPr>
                <w:rFonts w:hint="cs"/>
                <w:sz w:val="22"/>
                <w:szCs w:val="22"/>
                <w:rtl/>
              </w:rPr>
              <w:t>2018</w:t>
            </w:r>
          </w:p>
        </w:tc>
        <w:tc>
          <w:tcPr>
            <w:tcW w:w="113" w:type="dxa"/>
            <w:shd w:val="clear" w:color="auto" w:fill="auto"/>
            <w:vAlign w:val="bottom"/>
          </w:tcPr>
          <w:p w14:paraId="3207778A" w14:textId="77777777" w:rsidR="00AF4CE7" w:rsidRPr="00AF4CE7" w:rsidRDefault="00AF4CE7" w:rsidP="00AF4CE7">
            <w:pPr>
              <w:tabs>
                <w:tab w:val="decimal" w:pos="113"/>
              </w:tabs>
              <w:spacing w:line="200" w:lineRule="exact"/>
              <w:jc w:val="center"/>
              <w:rPr>
                <w:sz w:val="22"/>
                <w:szCs w:val="22"/>
              </w:rPr>
            </w:pPr>
          </w:p>
        </w:tc>
        <w:tc>
          <w:tcPr>
            <w:tcW w:w="1306" w:type="dxa"/>
            <w:tcBorders>
              <w:bottom w:val="single" w:sz="6" w:space="0" w:color="auto"/>
            </w:tcBorders>
            <w:shd w:val="clear" w:color="auto" w:fill="auto"/>
            <w:vAlign w:val="bottom"/>
          </w:tcPr>
          <w:p w14:paraId="6381A91F" w14:textId="51AD7166" w:rsidR="00AF4CE7" w:rsidRPr="00AF4CE7" w:rsidRDefault="00AF4CE7" w:rsidP="00AF4CE7">
            <w:pPr>
              <w:spacing w:line="200" w:lineRule="exact"/>
              <w:jc w:val="center"/>
              <w:rPr>
                <w:sz w:val="22"/>
                <w:szCs w:val="22"/>
                <w:u w:val="single"/>
                <w:rtl/>
              </w:rPr>
            </w:pPr>
            <w:r w:rsidRPr="00AF4CE7">
              <w:rPr>
                <w:rFonts w:hint="cs"/>
                <w:sz w:val="22"/>
                <w:szCs w:val="22"/>
                <w:rtl/>
              </w:rPr>
              <w:t>2018</w:t>
            </w:r>
          </w:p>
        </w:tc>
      </w:tr>
      <w:tr w:rsidR="00AF4CE7" w:rsidRPr="00E342AA" w14:paraId="18CD08DC" w14:textId="77777777" w:rsidTr="001521F8">
        <w:tc>
          <w:tcPr>
            <w:tcW w:w="1604" w:type="dxa"/>
          </w:tcPr>
          <w:p w14:paraId="7B8AC318"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156B7C83" w14:textId="77777777" w:rsidR="00AF4CE7" w:rsidRPr="009F318F" w:rsidRDefault="00AF4CE7" w:rsidP="00AF4CE7">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57947B24" w14:textId="77777777" w:rsidR="00AF4CE7" w:rsidRPr="009F318F" w:rsidRDefault="00AF4CE7" w:rsidP="00AF4CE7">
            <w:pPr>
              <w:spacing w:line="220" w:lineRule="exact"/>
              <w:rPr>
                <w:szCs w:val="22"/>
                <w:rtl/>
              </w:rPr>
            </w:pPr>
          </w:p>
        </w:tc>
        <w:tc>
          <w:tcPr>
            <w:tcW w:w="3967" w:type="dxa"/>
            <w:gridSpan w:val="8"/>
            <w:tcBorders>
              <w:bottom w:val="single" w:sz="6" w:space="0" w:color="auto"/>
            </w:tcBorders>
            <w:shd w:val="clear" w:color="auto" w:fill="auto"/>
            <w:vAlign w:val="bottom"/>
          </w:tcPr>
          <w:p w14:paraId="7644EDD7" w14:textId="77777777" w:rsidR="00AF4CE7" w:rsidRPr="009F318F" w:rsidRDefault="00AF4CE7" w:rsidP="00AF4CE7">
            <w:pPr>
              <w:spacing w:line="220" w:lineRule="exact"/>
              <w:jc w:val="center"/>
              <w:rPr>
                <w:szCs w:val="22"/>
              </w:rPr>
            </w:pPr>
            <w:r w:rsidRPr="009F318F">
              <w:rPr>
                <w:rFonts w:hint="cs"/>
                <w:szCs w:val="22"/>
                <w:rtl/>
              </w:rPr>
              <w:t>בלתי מבוקר</w:t>
            </w:r>
          </w:p>
        </w:tc>
        <w:tc>
          <w:tcPr>
            <w:tcW w:w="113" w:type="dxa"/>
            <w:shd w:val="clear" w:color="auto" w:fill="auto"/>
            <w:vAlign w:val="bottom"/>
          </w:tcPr>
          <w:p w14:paraId="4D65422C" w14:textId="77777777" w:rsidR="00AF4CE7" w:rsidRPr="009F318F" w:rsidRDefault="00AF4CE7" w:rsidP="00AF4CE7">
            <w:pPr>
              <w:tabs>
                <w:tab w:val="decimal" w:pos="113"/>
              </w:tabs>
              <w:spacing w:line="220" w:lineRule="exact"/>
              <w:jc w:val="center"/>
              <w:rPr>
                <w:szCs w:val="22"/>
              </w:rPr>
            </w:pPr>
          </w:p>
        </w:tc>
        <w:tc>
          <w:tcPr>
            <w:tcW w:w="1306" w:type="dxa"/>
            <w:tcBorders>
              <w:bottom w:val="single" w:sz="6" w:space="0" w:color="auto"/>
            </w:tcBorders>
            <w:shd w:val="clear" w:color="auto" w:fill="auto"/>
            <w:vAlign w:val="bottom"/>
          </w:tcPr>
          <w:p w14:paraId="40A86F92" w14:textId="77777777" w:rsidR="00AF4CE7" w:rsidRPr="009F318F" w:rsidRDefault="00AF4CE7" w:rsidP="00AF4CE7">
            <w:pPr>
              <w:spacing w:line="220" w:lineRule="exact"/>
              <w:jc w:val="center"/>
              <w:rPr>
                <w:szCs w:val="22"/>
              </w:rPr>
            </w:pPr>
            <w:r w:rsidRPr="009F318F">
              <w:rPr>
                <w:rFonts w:hint="cs"/>
                <w:szCs w:val="22"/>
                <w:rtl/>
              </w:rPr>
              <w:t>מבוקר</w:t>
            </w:r>
          </w:p>
        </w:tc>
      </w:tr>
      <w:tr w:rsidR="00AF4CE7" w:rsidRPr="00E342AA" w14:paraId="7E96E8DE" w14:textId="77777777" w:rsidTr="001521F8">
        <w:tc>
          <w:tcPr>
            <w:tcW w:w="1604" w:type="dxa"/>
          </w:tcPr>
          <w:p w14:paraId="0CD9AB14"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1584D8DD" w14:textId="77777777" w:rsidR="00AF4CE7" w:rsidRPr="009F318F" w:rsidRDefault="00AF4CE7" w:rsidP="00AF4CE7">
            <w:pPr>
              <w:pStyle w:val="a3"/>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24804B69" w14:textId="77777777" w:rsidR="00AF4CE7" w:rsidRPr="009F318F" w:rsidRDefault="00AF4CE7" w:rsidP="00AF4CE7">
            <w:pPr>
              <w:tabs>
                <w:tab w:val="decimal" w:pos="113"/>
              </w:tabs>
              <w:spacing w:line="220" w:lineRule="exact"/>
              <w:ind w:left="57"/>
              <w:rPr>
                <w:szCs w:val="22"/>
              </w:rPr>
            </w:pPr>
          </w:p>
        </w:tc>
        <w:tc>
          <w:tcPr>
            <w:tcW w:w="998" w:type="dxa"/>
            <w:gridSpan w:val="2"/>
            <w:tcBorders>
              <w:bottom w:val="single" w:sz="6" w:space="0" w:color="auto"/>
            </w:tcBorders>
            <w:shd w:val="clear" w:color="auto" w:fill="auto"/>
          </w:tcPr>
          <w:p w14:paraId="68D9CCAA" w14:textId="77777777" w:rsidR="00AF4CE7" w:rsidRPr="009F318F" w:rsidRDefault="00AF4CE7" w:rsidP="00AF4CE7">
            <w:pPr>
              <w:pStyle w:val="4"/>
              <w:keepNext w:val="0"/>
              <w:tabs>
                <w:tab w:val="clear" w:pos="227"/>
              </w:tabs>
              <w:bidi w:val="0"/>
              <w:ind w:right="57"/>
              <w:jc w:val="left"/>
              <w:rPr>
                <w:i/>
                <w:iCs/>
                <w:sz w:val="13"/>
                <w:szCs w:val="13"/>
                <w:u w:val="none"/>
                <w:rtl/>
              </w:rPr>
            </w:pPr>
            <w:r w:rsidRPr="009F318F">
              <w:rPr>
                <w:i/>
                <w:iCs/>
                <w:sz w:val="13"/>
                <w:szCs w:val="13"/>
                <w:u w:val="none"/>
              </w:rPr>
              <w:t>IAS </w:t>
            </w:r>
            <w:r>
              <w:rPr>
                <w:i/>
                <w:iCs/>
                <w:sz w:val="13"/>
                <w:szCs w:val="13"/>
                <w:u w:val="none"/>
              </w:rPr>
              <w:t>1.51(d), (e)</w:t>
            </w:r>
          </w:p>
        </w:tc>
        <w:tc>
          <w:tcPr>
            <w:tcW w:w="4388" w:type="dxa"/>
            <w:gridSpan w:val="8"/>
            <w:tcBorders>
              <w:bottom w:val="single" w:sz="6" w:space="0" w:color="auto"/>
            </w:tcBorders>
            <w:shd w:val="clear" w:color="auto" w:fill="auto"/>
            <w:vAlign w:val="bottom"/>
          </w:tcPr>
          <w:p w14:paraId="068D8794" w14:textId="77777777" w:rsidR="00AF4CE7" w:rsidRDefault="00AF4CE7" w:rsidP="00AF4CE7">
            <w:pPr>
              <w:spacing w:line="220" w:lineRule="exact"/>
              <w:jc w:val="center"/>
              <w:rPr>
                <w:szCs w:val="22"/>
                <w:u w:val="single"/>
              </w:rPr>
            </w:pPr>
            <w:r w:rsidRPr="009F318F">
              <w:rPr>
                <w:rFonts w:hint="cs"/>
                <w:szCs w:val="22"/>
                <w:rtl/>
              </w:rPr>
              <w:t>אלפי ש"ח</w:t>
            </w:r>
          </w:p>
        </w:tc>
      </w:tr>
      <w:tr w:rsidR="00AF4CE7" w:rsidRPr="00E342AA" w14:paraId="3050AAAA" w14:textId="77777777" w:rsidTr="001521F8">
        <w:tc>
          <w:tcPr>
            <w:tcW w:w="1604" w:type="dxa"/>
          </w:tcPr>
          <w:p w14:paraId="7E707E03" w14:textId="77777777" w:rsidR="00AF4CE7" w:rsidRPr="009F318F" w:rsidRDefault="00AF4CE7" w:rsidP="00AF4CE7">
            <w:pPr>
              <w:pStyle w:val="4"/>
              <w:keepNext w:val="0"/>
              <w:widowControl/>
              <w:spacing w:line="120" w:lineRule="auto"/>
              <w:ind w:right="57"/>
              <w:jc w:val="right"/>
              <w:rPr>
                <w:i/>
                <w:iCs/>
                <w:sz w:val="13"/>
                <w:szCs w:val="13"/>
                <w:u w:val="none"/>
                <w:rtl/>
              </w:rPr>
            </w:pPr>
          </w:p>
        </w:tc>
        <w:tc>
          <w:tcPr>
            <w:tcW w:w="2665" w:type="dxa"/>
            <w:shd w:val="clear" w:color="auto" w:fill="auto"/>
            <w:vAlign w:val="bottom"/>
          </w:tcPr>
          <w:p w14:paraId="3C9F328D" w14:textId="77777777" w:rsidR="00AF4CE7" w:rsidRPr="009F318F" w:rsidRDefault="00AF4CE7" w:rsidP="00AF4CE7">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42630FA2"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6D5B8D78" w14:textId="77777777" w:rsidR="00AF4CE7" w:rsidRPr="009F318F" w:rsidRDefault="00AF4CE7" w:rsidP="00AF4CE7">
            <w:pPr>
              <w:tabs>
                <w:tab w:val="decimal" w:pos="113"/>
              </w:tabs>
              <w:spacing w:line="220" w:lineRule="exact"/>
              <w:rPr>
                <w:szCs w:val="22"/>
                <w:rtl/>
              </w:rPr>
            </w:pPr>
          </w:p>
        </w:tc>
        <w:tc>
          <w:tcPr>
            <w:tcW w:w="113" w:type="dxa"/>
            <w:gridSpan w:val="2"/>
            <w:tcBorders>
              <w:top w:val="single" w:sz="6" w:space="0" w:color="auto"/>
            </w:tcBorders>
            <w:vAlign w:val="bottom"/>
          </w:tcPr>
          <w:p w14:paraId="6C4F29B4"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33FFDAFF" w14:textId="77777777" w:rsidR="00AF4CE7" w:rsidRPr="009F318F" w:rsidRDefault="00AF4CE7" w:rsidP="00AF4CE7">
            <w:pPr>
              <w:tabs>
                <w:tab w:val="decimal" w:pos="113"/>
              </w:tabs>
              <w:spacing w:line="220" w:lineRule="exact"/>
              <w:rPr>
                <w:szCs w:val="22"/>
              </w:rPr>
            </w:pPr>
          </w:p>
        </w:tc>
        <w:tc>
          <w:tcPr>
            <w:tcW w:w="113" w:type="dxa"/>
            <w:tcBorders>
              <w:top w:val="single" w:sz="6" w:space="0" w:color="auto"/>
            </w:tcBorders>
            <w:shd w:val="clear" w:color="auto" w:fill="auto"/>
            <w:vAlign w:val="bottom"/>
          </w:tcPr>
          <w:p w14:paraId="7981452C"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F478F55" w14:textId="77777777" w:rsidR="00AF4CE7" w:rsidRPr="009F318F" w:rsidRDefault="00AF4CE7" w:rsidP="00AF4CE7">
            <w:pPr>
              <w:tabs>
                <w:tab w:val="decimal" w:pos="113"/>
              </w:tabs>
              <w:spacing w:line="220" w:lineRule="exact"/>
              <w:rPr>
                <w:szCs w:val="22"/>
                <w:rtl/>
              </w:rPr>
            </w:pPr>
          </w:p>
        </w:tc>
        <w:tc>
          <w:tcPr>
            <w:tcW w:w="113" w:type="dxa"/>
            <w:tcBorders>
              <w:top w:val="single" w:sz="6" w:space="0" w:color="auto"/>
            </w:tcBorders>
            <w:shd w:val="clear" w:color="auto" w:fill="auto"/>
            <w:vAlign w:val="bottom"/>
          </w:tcPr>
          <w:p w14:paraId="2752B4E1"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2AF1DF1A" w14:textId="77777777" w:rsidR="00AF4CE7" w:rsidRPr="009F318F" w:rsidRDefault="00AF4CE7" w:rsidP="00AF4CE7">
            <w:pPr>
              <w:tabs>
                <w:tab w:val="decimal" w:pos="113"/>
              </w:tabs>
              <w:spacing w:line="220" w:lineRule="exact"/>
              <w:rPr>
                <w:szCs w:val="22"/>
              </w:rPr>
            </w:pPr>
          </w:p>
        </w:tc>
        <w:tc>
          <w:tcPr>
            <w:tcW w:w="113" w:type="dxa"/>
            <w:tcBorders>
              <w:top w:val="single" w:sz="6" w:space="0" w:color="auto"/>
            </w:tcBorders>
            <w:shd w:val="clear" w:color="auto" w:fill="auto"/>
            <w:vAlign w:val="bottom"/>
          </w:tcPr>
          <w:p w14:paraId="1C08A73D"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13048AE2" w14:textId="77777777" w:rsidR="00AF4CE7" w:rsidRPr="009F318F" w:rsidRDefault="00AF4CE7" w:rsidP="00AF4CE7">
            <w:pPr>
              <w:tabs>
                <w:tab w:val="decimal" w:pos="113"/>
              </w:tabs>
              <w:spacing w:line="220" w:lineRule="exact"/>
              <w:rPr>
                <w:szCs w:val="22"/>
                <w:rtl/>
              </w:rPr>
            </w:pPr>
          </w:p>
        </w:tc>
      </w:tr>
      <w:tr w:rsidR="0007242C" w:rsidRPr="00E342AA" w14:paraId="1D63A11A" w14:textId="77777777" w:rsidTr="001521F8">
        <w:tc>
          <w:tcPr>
            <w:tcW w:w="1604" w:type="dxa"/>
            <w:vMerge w:val="restart"/>
            <w:tcBorders>
              <w:right w:val="single" w:sz="6" w:space="0" w:color="auto"/>
            </w:tcBorders>
          </w:tcPr>
          <w:p w14:paraId="12BA727E" w14:textId="77777777" w:rsidR="0007242C" w:rsidRPr="00D31751" w:rsidRDefault="0007242C" w:rsidP="00AF4CE7">
            <w:pPr>
              <w:pStyle w:val="a3"/>
              <w:bidi w:val="0"/>
              <w:spacing w:line="180" w:lineRule="exact"/>
              <w:ind w:left="0" w:right="57"/>
              <w:jc w:val="right"/>
              <w:rPr>
                <w:i/>
                <w:iCs/>
                <w:sz w:val="13"/>
                <w:szCs w:val="13"/>
              </w:rPr>
            </w:pPr>
            <w:r>
              <w:rPr>
                <w:i/>
                <w:iCs/>
                <w:sz w:val="13"/>
                <w:szCs w:val="13"/>
              </w:rPr>
              <w:t>IFRS</w:t>
            </w:r>
            <w:r w:rsidRPr="00D31751">
              <w:rPr>
                <w:i/>
                <w:iCs/>
                <w:sz w:val="13"/>
                <w:szCs w:val="13"/>
              </w:rPr>
              <w:t> </w:t>
            </w:r>
            <w:r>
              <w:rPr>
                <w:i/>
                <w:iCs/>
                <w:sz w:val="13"/>
                <w:szCs w:val="13"/>
              </w:rPr>
              <w:t>15</w:t>
            </w:r>
            <w:r w:rsidRPr="00D31751">
              <w:rPr>
                <w:i/>
                <w:iCs/>
                <w:sz w:val="13"/>
                <w:szCs w:val="13"/>
              </w:rPr>
              <w:t>.</w:t>
            </w:r>
            <w:r>
              <w:rPr>
                <w:i/>
                <w:iCs/>
                <w:sz w:val="13"/>
                <w:szCs w:val="13"/>
              </w:rPr>
              <w:t>46</w:t>
            </w:r>
          </w:p>
          <w:p w14:paraId="15C716EE" w14:textId="77777777" w:rsidR="0007242C" w:rsidRPr="00D31751" w:rsidRDefault="0007242C" w:rsidP="00AF4CE7">
            <w:pPr>
              <w:pStyle w:val="a3"/>
              <w:bidi w:val="0"/>
              <w:spacing w:line="180" w:lineRule="exact"/>
              <w:ind w:left="0" w:right="57"/>
              <w:jc w:val="right"/>
              <w:rPr>
                <w:i/>
                <w:iCs/>
                <w:sz w:val="13"/>
                <w:szCs w:val="13"/>
                <w:rtl/>
              </w:rPr>
            </w:pPr>
            <w:r>
              <w:rPr>
                <w:i/>
                <w:iCs/>
                <w:sz w:val="13"/>
                <w:szCs w:val="13"/>
              </w:rPr>
              <w:t>IFRS</w:t>
            </w:r>
            <w:r w:rsidRPr="00D31751">
              <w:rPr>
                <w:i/>
                <w:iCs/>
                <w:sz w:val="13"/>
                <w:szCs w:val="13"/>
              </w:rPr>
              <w:t> </w:t>
            </w:r>
            <w:r>
              <w:rPr>
                <w:i/>
                <w:iCs/>
                <w:sz w:val="13"/>
                <w:szCs w:val="13"/>
              </w:rPr>
              <w:t>15</w:t>
            </w:r>
            <w:r w:rsidRPr="00D31751">
              <w:rPr>
                <w:i/>
                <w:iCs/>
                <w:sz w:val="13"/>
                <w:szCs w:val="13"/>
              </w:rPr>
              <w:t>.</w:t>
            </w:r>
            <w:r>
              <w:rPr>
                <w:i/>
                <w:iCs/>
                <w:sz w:val="13"/>
                <w:szCs w:val="13"/>
              </w:rPr>
              <w:t>35</w:t>
            </w:r>
          </w:p>
          <w:p w14:paraId="21AFF5D4" w14:textId="79731D86" w:rsidR="0007242C" w:rsidRPr="009F318F" w:rsidRDefault="0007242C" w:rsidP="001521F8">
            <w:pPr>
              <w:pStyle w:val="a3"/>
              <w:bidi w:val="0"/>
              <w:spacing w:line="180" w:lineRule="exact"/>
              <w:ind w:left="0" w:right="57"/>
              <w:jc w:val="right"/>
              <w:rPr>
                <w:i/>
                <w:iCs/>
                <w:sz w:val="13"/>
                <w:szCs w:val="13"/>
              </w:rPr>
            </w:pPr>
            <w:r>
              <w:rPr>
                <w:i/>
                <w:iCs/>
                <w:sz w:val="13"/>
                <w:szCs w:val="13"/>
              </w:rPr>
              <w:t>IFRS</w:t>
            </w:r>
            <w:r w:rsidRPr="00D31751">
              <w:rPr>
                <w:i/>
                <w:iCs/>
                <w:sz w:val="13"/>
                <w:szCs w:val="13"/>
              </w:rPr>
              <w:t> </w:t>
            </w:r>
            <w:r>
              <w:rPr>
                <w:i/>
                <w:iCs/>
                <w:sz w:val="13"/>
                <w:szCs w:val="13"/>
              </w:rPr>
              <w:t>15</w:t>
            </w:r>
            <w:r w:rsidRPr="00D31751">
              <w:rPr>
                <w:i/>
                <w:iCs/>
                <w:sz w:val="13"/>
                <w:szCs w:val="13"/>
              </w:rPr>
              <w:t>.</w:t>
            </w:r>
            <w:r>
              <w:rPr>
                <w:i/>
                <w:iCs/>
                <w:sz w:val="13"/>
                <w:szCs w:val="13"/>
              </w:rPr>
              <w:t>38</w:t>
            </w:r>
          </w:p>
        </w:tc>
        <w:tc>
          <w:tcPr>
            <w:tcW w:w="2665" w:type="dxa"/>
            <w:tcBorders>
              <w:left w:val="single" w:sz="6" w:space="0" w:color="auto"/>
            </w:tcBorders>
            <w:shd w:val="clear" w:color="auto" w:fill="auto"/>
            <w:vAlign w:val="bottom"/>
          </w:tcPr>
          <w:p w14:paraId="76769716" w14:textId="77777777" w:rsidR="0007242C" w:rsidRPr="009F318F" w:rsidRDefault="0007242C" w:rsidP="00AF4CE7">
            <w:pPr>
              <w:pStyle w:val="a3"/>
              <w:spacing w:line="220" w:lineRule="exact"/>
              <w:ind w:left="227" w:hanging="170"/>
              <w:rPr>
                <w:szCs w:val="22"/>
              </w:rPr>
            </w:pPr>
            <w:r w:rsidRPr="009F318F">
              <w:rPr>
                <w:rFonts w:hint="cs"/>
                <w:szCs w:val="22"/>
                <w:rtl/>
              </w:rPr>
              <w:t>הכנסות ממכירות</w:t>
            </w:r>
          </w:p>
        </w:tc>
        <w:tc>
          <w:tcPr>
            <w:tcW w:w="113" w:type="dxa"/>
            <w:shd w:val="clear" w:color="auto" w:fill="auto"/>
            <w:vAlign w:val="bottom"/>
          </w:tcPr>
          <w:p w14:paraId="3E8F155D" w14:textId="77777777" w:rsidR="0007242C" w:rsidRPr="009F318F" w:rsidRDefault="0007242C" w:rsidP="00AF4CE7">
            <w:pPr>
              <w:spacing w:line="220" w:lineRule="exact"/>
              <w:rPr>
                <w:szCs w:val="22"/>
              </w:rPr>
            </w:pPr>
          </w:p>
        </w:tc>
        <w:tc>
          <w:tcPr>
            <w:tcW w:w="907" w:type="dxa"/>
            <w:vAlign w:val="bottom"/>
          </w:tcPr>
          <w:p w14:paraId="123359B2" w14:textId="77777777" w:rsidR="0007242C" w:rsidRPr="009F318F" w:rsidRDefault="0007242C" w:rsidP="00AF4CE7">
            <w:pPr>
              <w:tabs>
                <w:tab w:val="decimal" w:pos="113"/>
              </w:tabs>
              <w:spacing w:line="220" w:lineRule="exact"/>
              <w:rPr>
                <w:szCs w:val="22"/>
                <w:rtl/>
              </w:rPr>
            </w:pPr>
          </w:p>
        </w:tc>
        <w:tc>
          <w:tcPr>
            <w:tcW w:w="113" w:type="dxa"/>
            <w:gridSpan w:val="2"/>
            <w:vAlign w:val="bottom"/>
          </w:tcPr>
          <w:p w14:paraId="5704AB06"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6921E935" w14:textId="77777777" w:rsidR="0007242C" w:rsidRPr="009F318F" w:rsidRDefault="0007242C" w:rsidP="00AF4CE7">
            <w:pPr>
              <w:tabs>
                <w:tab w:val="decimal" w:pos="113"/>
              </w:tabs>
              <w:spacing w:line="220" w:lineRule="exact"/>
              <w:rPr>
                <w:szCs w:val="22"/>
              </w:rPr>
            </w:pPr>
          </w:p>
        </w:tc>
        <w:tc>
          <w:tcPr>
            <w:tcW w:w="113" w:type="dxa"/>
            <w:shd w:val="clear" w:color="auto" w:fill="auto"/>
            <w:vAlign w:val="bottom"/>
          </w:tcPr>
          <w:p w14:paraId="54FC82E6"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763699ED" w14:textId="77777777" w:rsidR="0007242C" w:rsidRPr="009F318F" w:rsidRDefault="0007242C" w:rsidP="00AF4CE7">
            <w:pPr>
              <w:tabs>
                <w:tab w:val="decimal" w:pos="113"/>
              </w:tabs>
              <w:spacing w:line="220" w:lineRule="exact"/>
              <w:rPr>
                <w:szCs w:val="22"/>
                <w:rtl/>
              </w:rPr>
            </w:pPr>
          </w:p>
        </w:tc>
        <w:tc>
          <w:tcPr>
            <w:tcW w:w="113" w:type="dxa"/>
            <w:shd w:val="clear" w:color="auto" w:fill="auto"/>
            <w:vAlign w:val="bottom"/>
          </w:tcPr>
          <w:p w14:paraId="27BC1A47"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7648CEF6" w14:textId="77777777" w:rsidR="0007242C" w:rsidRPr="009F318F" w:rsidRDefault="0007242C" w:rsidP="00AF4CE7">
            <w:pPr>
              <w:tabs>
                <w:tab w:val="decimal" w:pos="113"/>
              </w:tabs>
              <w:spacing w:line="220" w:lineRule="exact"/>
              <w:rPr>
                <w:szCs w:val="22"/>
              </w:rPr>
            </w:pPr>
          </w:p>
        </w:tc>
        <w:tc>
          <w:tcPr>
            <w:tcW w:w="113" w:type="dxa"/>
            <w:shd w:val="clear" w:color="auto" w:fill="auto"/>
            <w:vAlign w:val="bottom"/>
          </w:tcPr>
          <w:p w14:paraId="6238A3E8" w14:textId="77777777" w:rsidR="0007242C" w:rsidRPr="009F318F" w:rsidRDefault="0007242C" w:rsidP="00AF4CE7">
            <w:pPr>
              <w:tabs>
                <w:tab w:val="decimal" w:pos="113"/>
              </w:tabs>
              <w:spacing w:line="220" w:lineRule="exact"/>
              <w:rPr>
                <w:szCs w:val="22"/>
              </w:rPr>
            </w:pPr>
          </w:p>
        </w:tc>
        <w:tc>
          <w:tcPr>
            <w:tcW w:w="1306" w:type="dxa"/>
            <w:shd w:val="clear" w:color="auto" w:fill="auto"/>
            <w:vAlign w:val="bottom"/>
          </w:tcPr>
          <w:p w14:paraId="31F4F4E4" w14:textId="77777777" w:rsidR="0007242C" w:rsidRPr="009F318F" w:rsidRDefault="0007242C" w:rsidP="00AF4CE7">
            <w:pPr>
              <w:tabs>
                <w:tab w:val="decimal" w:pos="113"/>
              </w:tabs>
              <w:spacing w:line="220" w:lineRule="exact"/>
              <w:rPr>
                <w:szCs w:val="22"/>
                <w:rtl/>
              </w:rPr>
            </w:pPr>
          </w:p>
        </w:tc>
      </w:tr>
      <w:tr w:rsidR="0007242C" w:rsidRPr="00E342AA" w14:paraId="274D4361" w14:textId="77777777" w:rsidTr="001521F8">
        <w:tc>
          <w:tcPr>
            <w:tcW w:w="1604" w:type="dxa"/>
            <w:vMerge/>
            <w:tcBorders>
              <w:right w:val="single" w:sz="6" w:space="0" w:color="auto"/>
            </w:tcBorders>
          </w:tcPr>
          <w:p w14:paraId="122826DC" w14:textId="5376A9C7" w:rsidR="0007242C" w:rsidRPr="009F318F" w:rsidRDefault="0007242C" w:rsidP="00AF4CE7">
            <w:pPr>
              <w:pStyle w:val="4"/>
              <w:bidi w:val="0"/>
              <w:ind w:right="57"/>
              <w:jc w:val="right"/>
              <w:rPr>
                <w:i/>
                <w:iCs/>
                <w:sz w:val="13"/>
                <w:szCs w:val="13"/>
                <w:u w:val="none"/>
                <w:rtl/>
              </w:rPr>
            </w:pPr>
          </w:p>
        </w:tc>
        <w:tc>
          <w:tcPr>
            <w:tcW w:w="2665" w:type="dxa"/>
            <w:tcBorders>
              <w:left w:val="single" w:sz="6" w:space="0" w:color="auto"/>
            </w:tcBorders>
            <w:shd w:val="clear" w:color="auto" w:fill="auto"/>
            <w:vAlign w:val="bottom"/>
          </w:tcPr>
          <w:p w14:paraId="2967732E" w14:textId="77777777" w:rsidR="0007242C" w:rsidRPr="009F318F" w:rsidRDefault="0007242C" w:rsidP="00AF4CE7">
            <w:pPr>
              <w:pStyle w:val="a3"/>
              <w:spacing w:line="220" w:lineRule="exact"/>
              <w:ind w:left="227" w:hanging="170"/>
              <w:rPr>
                <w:szCs w:val="22"/>
              </w:rPr>
            </w:pPr>
            <w:r w:rsidRPr="009F318F">
              <w:rPr>
                <w:rFonts w:hint="cs"/>
                <w:szCs w:val="22"/>
                <w:rtl/>
              </w:rPr>
              <w:t>הכנסות ממתן שירותים</w:t>
            </w:r>
          </w:p>
        </w:tc>
        <w:tc>
          <w:tcPr>
            <w:tcW w:w="113" w:type="dxa"/>
            <w:shd w:val="clear" w:color="auto" w:fill="auto"/>
            <w:vAlign w:val="bottom"/>
          </w:tcPr>
          <w:p w14:paraId="00BA7A77" w14:textId="77777777" w:rsidR="0007242C" w:rsidRPr="009F318F" w:rsidRDefault="0007242C" w:rsidP="00AF4CE7">
            <w:pPr>
              <w:spacing w:line="220" w:lineRule="exact"/>
              <w:rPr>
                <w:szCs w:val="22"/>
              </w:rPr>
            </w:pPr>
          </w:p>
        </w:tc>
        <w:tc>
          <w:tcPr>
            <w:tcW w:w="907" w:type="dxa"/>
            <w:vAlign w:val="bottom"/>
          </w:tcPr>
          <w:p w14:paraId="0CF8D70A" w14:textId="77777777" w:rsidR="0007242C" w:rsidRPr="009F318F" w:rsidRDefault="0007242C" w:rsidP="00AF4CE7">
            <w:pPr>
              <w:tabs>
                <w:tab w:val="decimal" w:pos="113"/>
              </w:tabs>
              <w:spacing w:line="220" w:lineRule="exact"/>
              <w:rPr>
                <w:szCs w:val="22"/>
                <w:rtl/>
              </w:rPr>
            </w:pPr>
          </w:p>
        </w:tc>
        <w:tc>
          <w:tcPr>
            <w:tcW w:w="113" w:type="dxa"/>
            <w:gridSpan w:val="2"/>
            <w:vAlign w:val="bottom"/>
          </w:tcPr>
          <w:p w14:paraId="415E49C4"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5940ACD8" w14:textId="77777777" w:rsidR="0007242C" w:rsidRPr="009F318F" w:rsidRDefault="0007242C" w:rsidP="00AF4CE7">
            <w:pPr>
              <w:tabs>
                <w:tab w:val="decimal" w:pos="113"/>
              </w:tabs>
              <w:spacing w:line="220" w:lineRule="exact"/>
              <w:rPr>
                <w:szCs w:val="22"/>
              </w:rPr>
            </w:pPr>
          </w:p>
        </w:tc>
        <w:tc>
          <w:tcPr>
            <w:tcW w:w="113" w:type="dxa"/>
            <w:shd w:val="clear" w:color="auto" w:fill="auto"/>
            <w:vAlign w:val="bottom"/>
          </w:tcPr>
          <w:p w14:paraId="2133CB50"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5B0B84AB" w14:textId="77777777" w:rsidR="0007242C" w:rsidRPr="009F318F" w:rsidRDefault="0007242C" w:rsidP="00AF4CE7">
            <w:pPr>
              <w:tabs>
                <w:tab w:val="decimal" w:pos="113"/>
              </w:tabs>
              <w:spacing w:line="220" w:lineRule="exact"/>
              <w:rPr>
                <w:szCs w:val="22"/>
                <w:rtl/>
              </w:rPr>
            </w:pPr>
          </w:p>
        </w:tc>
        <w:tc>
          <w:tcPr>
            <w:tcW w:w="113" w:type="dxa"/>
            <w:shd w:val="clear" w:color="auto" w:fill="auto"/>
            <w:vAlign w:val="bottom"/>
          </w:tcPr>
          <w:p w14:paraId="63ED6E55"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26AEA765" w14:textId="77777777" w:rsidR="0007242C" w:rsidRPr="009F318F" w:rsidRDefault="0007242C" w:rsidP="00AF4CE7">
            <w:pPr>
              <w:tabs>
                <w:tab w:val="decimal" w:pos="113"/>
              </w:tabs>
              <w:spacing w:line="220" w:lineRule="exact"/>
              <w:rPr>
                <w:szCs w:val="22"/>
              </w:rPr>
            </w:pPr>
          </w:p>
        </w:tc>
        <w:tc>
          <w:tcPr>
            <w:tcW w:w="113" w:type="dxa"/>
            <w:shd w:val="clear" w:color="auto" w:fill="auto"/>
            <w:vAlign w:val="bottom"/>
          </w:tcPr>
          <w:p w14:paraId="1558927A" w14:textId="77777777" w:rsidR="0007242C" w:rsidRPr="009F318F" w:rsidRDefault="0007242C" w:rsidP="00AF4CE7">
            <w:pPr>
              <w:tabs>
                <w:tab w:val="decimal" w:pos="113"/>
              </w:tabs>
              <w:spacing w:line="220" w:lineRule="exact"/>
              <w:rPr>
                <w:szCs w:val="22"/>
              </w:rPr>
            </w:pPr>
          </w:p>
        </w:tc>
        <w:tc>
          <w:tcPr>
            <w:tcW w:w="1306" w:type="dxa"/>
            <w:shd w:val="clear" w:color="auto" w:fill="auto"/>
            <w:vAlign w:val="bottom"/>
          </w:tcPr>
          <w:p w14:paraId="01F8226C" w14:textId="77777777" w:rsidR="0007242C" w:rsidRPr="009F318F" w:rsidRDefault="0007242C" w:rsidP="00AF4CE7">
            <w:pPr>
              <w:tabs>
                <w:tab w:val="decimal" w:pos="113"/>
              </w:tabs>
              <w:spacing w:line="220" w:lineRule="exact"/>
              <w:rPr>
                <w:szCs w:val="22"/>
                <w:rtl/>
              </w:rPr>
            </w:pPr>
          </w:p>
        </w:tc>
      </w:tr>
      <w:tr w:rsidR="00AF4CE7" w:rsidRPr="00E342AA" w14:paraId="28C510B0" w14:textId="77777777" w:rsidTr="001521F8">
        <w:tc>
          <w:tcPr>
            <w:tcW w:w="1604" w:type="dxa"/>
            <w:tcBorders>
              <w:top w:val="single" w:sz="4" w:space="0" w:color="auto"/>
              <w:bottom w:val="single" w:sz="4" w:space="0" w:color="auto"/>
              <w:right w:val="single" w:sz="6" w:space="0" w:color="auto"/>
            </w:tcBorders>
            <w:vAlign w:val="center"/>
          </w:tcPr>
          <w:p w14:paraId="4904EAE6" w14:textId="3899DA38" w:rsidR="00AF4CE7" w:rsidRPr="009F318F" w:rsidRDefault="001B1350" w:rsidP="001B1350">
            <w:pPr>
              <w:pStyle w:val="a3"/>
              <w:bidi w:val="0"/>
              <w:spacing w:line="180" w:lineRule="exact"/>
              <w:ind w:left="0" w:right="57"/>
              <w:jc w:val="right"/>
              <w:rPr>
                <w:i/>
                <w:iCs/>
                <w:sz w:val="13"/>
                <w:szCs w:val="13"/>
                <w:rtl/>
              </w:rPr>
            </w:pPr>
            <w:r w:rsidRPr="00255307">
              <w:rPr>
                <w:i/>
                <w:iCs/>
                <w:sz w:val="13"/>
                <w:szCs w:val="13"/>
              </w:rPr>
              <w:t>IFRS </w:t>
            </w:r>
            <w:r>
              <w:rPr>
                <w:i/>
                <w:iCs/>
                <w:sz w:val="13"/>
                <w:szCs w:val="13"/>
              </w:rPr>
              <w:t>16</w:t>
            </w:r>
            <w:r w:rsidRPr="00255307">
              <w:rPr>
                <w:i/>
                <w:iCs/>
                <w:sz w:val="13"/>
                <w:szCs w:val="13"/>
              </w:rPr>
              <w:t>.</w:t>
            </w:r>
            <w:r>
              <w:rPr>
                <w:i/>
                <w:iCs/>
                <w:sz w:val="13"/>
                <w:szCs w:val="13"/>
              </w:rPr>
              <w:t>81</w:t>
            </w:r>
          </w:p>
        </w:tc>
        <w:tc>
          <w:tcPr>
            <w:tcW w:w="2665" w:type="dxa"/>
            <w:tcBorders>
              <w:left w:val="single" w:sz="6" w:space="0" w:color="auto"/>
            </w:tcBorders>
            <w:shd w:val="clear" w:color="auto" w:fill="auto"/>
            <w:vAlign w:val="bottom"/>
          </w:tcPr>
          <w:p w14:paraId="5CB4562A" w14:textId="77777777" w:rsidR="00AF4CE7" w:rsidRPr="009F318F" w:rsidRDefault="00AF4CE7" w:rsidP="00AF4CE7">
            <w:pPr>
              <w:pStyle w:val="a3"/>
              <w:spacing w:line="220" w:lineRule="exact"/>
              <w:ind w:left="227" w:hanging="170"/>
              <w:rPr>
                <w:szCs w:val="22"/>
              </w:rPr>
            </w:pPr>
            <w:r w:rsidRPr="009F318F">
              <w:rPr>
                <w:rFonts w:hint="cs"/>
                <w:szCs w:val="22"/>
                <w:rtl/>
              </w:rPr>
              <w:t>הכנסות מהשכרת נכסים</w:t>
            </w:r>
          </w:p>
        </w:tc>
        <w:tc>
          <w:tcPr>
            <w:tcW w:w="113" w:type="dxa"/>
            <w:shd w:val="clear" w:color="auto" w:fill="auto"/>
            <w:vAlign w:val="bottom"/>
          </w:tcPr>
          <w:p w14:paraId="0D5A7695" w14:textId="77777777" w:rsidR="00AF4CE7" w:rsidRPr="009F318F" w:rsidRDefault="00AF4CE7" w:rsidP="00AF4CE7">
            <w:pPr>
              <w:spacing w:line="220" w:lineRule="exact"/>
              <w:rPr>
                <w:szCs w:val="22"/>
              </w:rPr>
            </w:pPr>
          </w:p>
        </w:tc>
        <w:tc>
          <w:tcPr>
            <w:tcW w:w="907" w:type="dxa"/>
            <w:vAlign w:val="bottom"/>
          </w:tcPr>
          <w:p w14:paraId="6283E621"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79205C12"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697927C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7F9010B"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6AA02D3"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533B2DD8"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205AA57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508A9295"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6F263B7D" w14:textId="77777777" w:rsidR="00AF4CE7" w:rsidRPr="009F318F" w:rsidRDefault="00AF4CE7" w:rsidP="00AF4CE7">
            <w:pPr>
              <w:tabs>
                <w:tab w:val="decimal" w:pos="113"/>
              </w:tabs>
              <w:spacing w:line="220" w:lineRule="exact"/>
              <w:rPr>
                <w:szCs w:val="22"/>
                <w:rtl/>
              </w:rPr>
            </w:pPr>
          </w:p>
        </w:tc>
      </w:tr>
      <w:tr w:rsidR="00AF4CE7" w:rsidRPr="00E342AA" w14:paraId="1812A8C7" w14:textId="77777777" w:rsidTr="001521F8">
        <w:tc>
          <w:tcPr>
            <w:tcW w:w="1604" w:type="dxa"/>
            <w:tcBorders>
              <w:top w:val="single" w:sz="4" w:space="0" w:color="auto"/>
              <w:bottom w:val="single" w:sz="6" w:space="0" w:color="auto"/>
              <w:right w:val="single" w:sz="6" w:space="0" w:color="auto"/>
            </w:tcBorders>
          </w:tcPr>
          <w:p w14:paraId="2B1E0788"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3A13ACD8" w14:textId="77777777" w:rsidR="00AF4CE7" w:rsidRPr="009F318F" w:rsidRDefault="00AF4CE7" w:rsidP="00AF4CE7">
            <w:pPr>
              <w:pStyle w:val="a3"/>
              <w:spacing w:line="220" w:lineRule="exact"/>
              <w:ind w:left="227" w:hanging="170"/>
              <w:rPr>
                <w:szCs w:val="22"/>
              </w:rPr>
            </w:pPr>
            <w:r w:rsidRPr="009F318F">
              <w:rPr>
                <w:rFonts w:hint="cs"/>
                <w:szCs w:val="22"/>
                <w:rtl/>
              </w:rPr>
              <w:t>הכנסות מעמלות</w:t>
            </w:r>
          </w:p>
        </w:tc>
        <w:tc>
          <w:tcPr>
            <w:tcW w:w="113" w:type="dxa"/>
            <w:shd w:val="clear" w:color="auto" w:fill="auto"/>
            <w:vAlign w:val="bottom"/>
          </w:tcPr>
          <w:p w14:paraId="1FDABC67"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257A7E68"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67501E17"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079F4F0C"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5A8280D"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1F15200A"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087AE4A5"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6DA24C9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660C447"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49568AAB" w14:textId="77777777" w:rsidR="00AF4CE7" w:rsidRPr="009F318F" w:rsidRDefault="00AF4CE7" w:rsidP="00AF4CE7">
            <w:pPr>
              <w:tabs>
                <w:tab w:val="decimal" w:pos="113"/>
              </w:tabs>
              <w:spacing w:line="220" w:lineRule="exact"/>
              <w:rPr>
                <w:szCs w:val="22"/>
                <w:rtl/>
              </w:rPr>
            </w:pPr>
          </w:p>
        </w:tc>
      </w:tr>
      <w:tr w:rsidR="00AF4CE7" w:rsidRPr="00E342AA" w14:paraId="79A71D2B" w14:textId="77777777" w:rsidTr="001521F8">
        <w:tc>
          <w:tcPr>
            <w:tcW w:w="1604" w:type="dxa"/>
            <w:tcBorders>
              <w:top w:val="single" w:sz="6" w:space="0" w:color="auto"/>
            </w:tcBorders>
          </w:tcPr>
          <w:p w14:paraId="1EE187ED" w14:textId="77777777" w:rsidR="00AF4CE7" w:rsidRPr="009F318F" w:rsidRDefault="00AF4CE7" w:rsidP="00AF4CE7">
            <w:pPr>
              <w:pStyle w:val="4"/>
              <w:keepNext w:val="0"/>
              <w:widowControl/>
              <w:spacing w:line="120" w:lineRule="auto"/>
              <w:jc w:val="right"/>
              <w:rPr>
                <w:i/>
                <w:iCs/>
                <w:sz w:val="13"/>
                <w:szCs w:val="13"/>
                <w:u w:val="none"/>
              </w:rPr>
            </w:pPr>
          </w:p>
        </w:tc>
        <w:tc>
          <w:tcPr>
            <w:tcW w:w="2665" w:type="dxa"/>
            <w:shd w:val="clear" w:color="auto" w:fill="auto"/>
            <w:vAlign w:val="bottom"/>
          </w:tcPr>
          <w:p w14:paraId="4D285A53"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201E0A15"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3B7578A2"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24A1B0C0"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A067DA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6106470"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0DE9E991"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61B22116"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09AC38CA"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F0B5129"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60355913" w14:textId="77777777" w:rsidR="00AF4CE7" w:rsidRPr="009F318F" w:rsidRDefault="00AF4CE7" w:rsidP="00AF4CE7">
            <w:pPr>
              <w:tabs>
                <w:tab w:val="decimal" w:pos="113"/>
              </w:tabs>
              <w:spacing w:line="220" w:lineRule="exact"/>
              <w:rPr>
                <w:szCs w:val="22"/>
                <w:rtl/>
              </w:rPr>
            </w:pPr>
          </w:p>
        </w:tc>
      </w:tr>
      <w:tr w:rsidR="00AF4CE7" w:rsidRPr="00E342AA" w14:paraId="2E93D178" w14:textId="77777777" w:rsidTr="001521F8">
        <w:tc>
          <w:tcPr>
            <w:tcW w:w="1604" w:type="dxa"/>
            <w:tcBorders>
              <w:bottom w:val="single" w:sz="6" w:space="0" w:color="auto"/>
              <w:right w:val="single" w:sz="6" w:space="0" w:color="auto"/>
            </w:tcBorders>
          </w:tcPr>
          <w:p w14:paraId="1B16F0B6"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1.82(a)</w:t>
            </w:r>
          </w:p>
        </w:tc>
        <w:tc>
          <w:tcPr>
            <w:tcW w:w="2665" w:type="dxa"/>
            <w:tcBorders>
              <w:left w:val="single" w:sz="6" w:space="0" w:color="auto"/>
            </w:tcBorders>
            <w:shd w:val="clear" w:color="auto" w:fill="auto"/>
            <w:vAlign w:val="bottom"/>
          </w:tcPr>
          <w:p w14:paraId="5A1D33C8" w14:textId="77777777" w:rsidR="00AF4CE7" w:rsidRPr="009F318F" w:rsidRDefault="00AF4CE7" w:rsidP="00AF4CE7">
            <w:pPr>
              <w:pStyle w:val="a3"/>
              <w:spacing w:line="220" w:lineRule="exact"/>
              <w:ind w:left="227" w:hanging="170"/>
              <w:rPr>
                <w:szCs w:val="22"/>
              </w:rPr>
            </w:pPr>
            <w:r w:rsidRPr="009F318F">
              <w:rPr>
                <w:rFonts w:hint="cs"/>
                <w:szCs w:val="22"/>
                <w:rtl/>
              </w:rPr>
              <w:t>סה"כ הכנסות</w:t>
            </w:r>
          </w:p>
        </w:tc>
        <w:tc>
          <w:tcPr>
            <w:tcW w:w="113" w:type="dxa"/>
            <w:shd w:val="clear" w:color="auto" w:fill="auto"/>
            <w:vAlign w:val="bottom"/>
          </w:tcPr>
          <w:p w14:paraId="2D586C4E"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343FAE5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0A106726"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3251D5FA"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88AA201"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4975AD18"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27E5C6B"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04AC418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5F5A848C"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2E9BEB04" w14:textId="77777777" w:rsidR="00AF4CE7" w:rsidRPr="009F318F" w:rsidRDefault="00AF4CE7" w:rsidP="00AF4CE7">
            <w:pPr>
              <w:tabs>
                <w:tab w:val="decimal" w:pos="113"/>
              </w:tabs>
              <w:spacing w:line="220" w:lineRule="exact"/>
              <w:rPr>
                <w:szCs w:val="22"/>
                <w:rtl/>
              </w:rPr>
            </w:pPr>
          </w:p>
        </w:tc>
      </w:tr>
      <w:tr w:rsidR="00AF4CE7" w:rsidRPr="00E342AA" w14:paraId="75810309" w14:textId="77777777" w:rsidTr="001521F8">
        <w:tc>
          <w:tcPr>
            <w:tcW w:w="1604" w:type="dxa"/>
            <w:tcBorders>
              <w:top w:val="single" w:sz="6" w:space="0" w:color="auto"/>
            </w:tcBorders>
          </w:tcPr>
          <w:p w14:paraId="77D7BA56" w14:textId="77777777" w:rsidR="00AF4CE7" w:rsidRPr="009F318F" w:rsidRDefault="00AF4CE7" w:rsidP="00AF4CE7">
            <w:pPr>
              <w:pStyle w:val="4"/>
              <w:keepNext w:val="0"/>
              <w:widowControl/>
              <w:spacing w:line="120" w:lineRule="auto"/>
              <w:ind w:right="57"/>
              <w:jc w:val="right"/>
              <w:rPr>
                <w:i/>
                <w:iCs/>
                <w:sz w:val="13"/>
                <w:szCs w:val="13"/>
                <w:u w:val="none"/>
              </w:rPr>
            </w:pPr>
          </w:p>
        </w:tc>
        <w:tc>
          <w:tcPr>
            <w:tcW w:w="2665" w:type="dxa"/>
            <w:shd w:val="clear" w:color="auto" w:fill="auto"/>
            <w:vAlign w:val="bottom"/>
          </w:tcPr>
          <w:p w14:paraId="2A147BF7"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6EE47CFB"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4E9BA99C"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44C6AC66"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14D0A005"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297A6ED"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2EEB9409"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1E9AF11E"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3920C931"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9D3269B"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747CDEEC" w14:textId="77777777" w:rsidR="00AF4CE7" w:rsidRPr="009F318F" w:rsidRDefault="00AF4CE7" w:rsidP="00AF4CE7">
            <w:pPr>
              <w:tabs>
                <w:tab w:val="decimal" w:pos="113"/>
              </w:tabs>
              <w:spacing w:line="220" w:lineRule="exact"/>
              <w:rPr>
                <w:szCs w:val="22"/>
                <w:rtl/>
              </w:rPr>
            </w:pPr>
          </w:p>
        </w:tc>
      </w:tr>
      <w:tr w:rsidR="00AF4CE7" w:rsidRPr="00E342AA" w14:paraId="777683D7" w14:textId="77777777" w:rsidTr="001521F8">
        <w:tc>
          <w:tcPr>
            <w:tcW w:w="1604" w:type="dxa"/>
            <w:vMerge w:val="restart"/>
            <w:tcBorders>
              <w:bottom w:val="single" w:sz="6" w:space="0" w:color="auto"/>
              <w:right w:val="single" w:sz="6" w:space="0" w:color="auto"/>
            </w:tcBorders>
            <w:vAlign w:val="center"/>
          </w:tcPr>
          <w:p w14:paraId="715E617C" w14:textId="77777777" w:rsidR="00AF4CE7" w:rsidRDefault="00AF4CE7" w:rsidP="00AF4CE7">
            <w:pPr>
              <w:pStyle w:val="4"/>
              <w:keepNext w:val="0"/>
              <w:bidi w:val="0"/>
              <w:ind w:right="57"/>
              <w:jc w:val="right"/>
              <w:rPr>
                <w:i/>
                <w:iCs/>
                <w:sz w:val="13"/>
                <w:szCs w:val="13"/>
                <w:u w:val="none"/>
              </w:rPr>
            </w:pPr>
            <w:r>
              <w:rPr>
                <w:i/>
                <w:iCs/>
                <w:sz w:val="13"/>
                <w:szCs w:val="13"/>
                <w:u w:val="none"/>
              </w:rPr>
              <w:t>IAS 1.103;</w:t>
            </w:r>
          </w:p>
          <w:p w14:paraId="34C1B27E" w14:textId="77777777" w:rsidR="00AF4CE7" w:rsidRDefault="00AF4CE7" w:rsidP="00AF4CE7">
            <w:pPr>
              <w:pStyle w:val="4"/>
              <w:keepNext w:val="0"/>
              <w:bidi w:val="0"/>
              <w:ind w:right="57"/>
              <w:jc w:val="right"/>
              <w:rPr>
                <w:i/>
                <w:iCs/>
                <w:sz w:val="13"/>
                <w:szCs w:val="13"/>
                <w:u w:val="none"/>
              </w:rPr>
            </w:pPr>
            <w:r w:rsidRPr="009F318F">
              <w:rPr>
                <w:i/>
                <w:iCs/>
                <w:sz w:val="13"/>
                <w:szCs w:val="13"/>
                <w:u w:val="none"/>
              </w:rPr>
              <w:t>IAS 1.104</w:t>
            </w:r>
          </w:p>
          <w:p w14:paraId="118B4CED" w14:textId="660DD775" w:rsidR="001B1350" w:rsidRPr="001B1350" w:rsidRDefault="001B1350" w:rsidP="001B1350">
            <w:pPr>
              <w:bidi w:val="0"/>
              <w:jc w:val="right"/>
            </w:pPr>
            <w:r w:rsidRPr="00255307">
              <w:rPr>
                <w:i/>
                <w:iCs/>
                <w:sz w:val="13"/>
                <w:szCs w:val="13"/>
              </w:rPr>
              <w:t>IFRS </w:t>
            </w:r>
            <w:r>
              <w:rPr>
                <w:i/>
                <w:iCs/>
                <w:sz w:val="13"/>
                <w:szCs w:val="13"/>
              </w:rPr>
              <w:t>16</w:t>
            </w:r>
            <w:r w:rsidRPr="00255307">
              <w:rPr>
                <w:i/>
                <w:iCs/>
                <w:sz w:val="13"/>
                <w:szCs w:val="13"/>
              </w:rPr>
              <w:t>.</w:t>
            </w:r>
            <w:r>
              <w:rPr>
                <w:i/>
                <w:iCs/>
                <w:sz w:val="13"/>
                <w:szCs w:val="13"/>
              </w:rPr>
              <w:t>82</w:t>
            </w:r>
          </w:p>
          <w:p w14:paraId="4CCEBD92" w14:textId="77777777" w:rsidR="001B1350" w:rsidRPr="001B1350" w:rsidRDefault="001B1350" w:rsidP="001B1350">
            <w:pPr>
              <w:bidi w:val="0"/>
              <w:rPr>
                <w:rtl/>
              </w:rPr>
            </w:pPr>
          </w:p>
        </w:tc>
        <w:tc>
          <w:tcPr>
            <w:tcW w:w="2665" w:type="dxa"/>
            <w:tcBorders>
              <w:left w:val="single" w:sz="6" w:space="0" w:color="auto"/>
            </w:tcBorders>
            <w:shd w:val="clear" w:color="auto" w:fill="auto"/>
            <w:vAlign w:val="bottom"/>
          </w:tcPr>
          <w:p w14:paraId="324B56B1" w14:textId="77777777" w:rsidR="00AF4CE7" w:rsidRPr="009F318F" w:rsidRDefault="00AF4CE7" w:rsidP="00AF4CE7">
            <w:pPr>
              <w:pStyle w:val="a3"/>
              <w:spacing w:line="220" w:lineRule="exact"/>
              <w:ind w:left="227" w:hanging="170"/>
              <w:rPr>
                <w:szCs w:val="22"/>
              </w:rPr>
            </w:pPr>
            <w:r w:rsidRPr="009F318F">
              <w:rPr>
                <w:rFonts w:hint="cs"/>
                <w:szCs w:val="22"/>
                <w:rtl/>
              </w:rPr>
              <w:t>עלות המכירות</w:t>
            </w:r>
          </w:p>
        </w:tc>
        <w:tc>
          <w:tcPr>
            <w:tcW w:w="113" w:type="dxa"/>
            <w:shd w:val="clear" w:color="auto" w:fill="auto"/>
            <w:vAlign w:val="bottom"/>
          </w:tcPr>
          <w:p w14:paraId="0F49972D" w14:textId="77777777" w:rsidR="00AF4CE7" w:rsidRPr="009F318F" w:rsidRDefault="00AF4CE7" w:rsidP="00AF4CE7">
            <w:pPr>
              <w:spacing w:line="220" w:lineRule="exact"/>
              <w:rPr>
                <w:szCs w:val="22"/>
              </w:rPr>
            </w:pPr>
          </w:p>
        </w:tc>
        <w:tc>
          <w:tcPr>
            <w:tcW w:w="907" w:type="dxa"/>
            <w:vAlign w:val="bottom"/>
          </w:tcPr>
          <w:p w14:paraId="153948C8"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51A9D34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B1C4F71"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820A8C7"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67F77E2E"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1CB0AB24"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0A2444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C22BE46"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4BEA52C7" w14:textId="77777777" w:rsidR="00AF4CE7" w:rsidRPr="009F318F" w:rsidRDefault="00AF4CE7" w:rsidP="00AF4CE7">
            <w:pPr>
              <w:tabs>
                <w:tab w:val="decimal" w:pos="113"/>
              </w:tabs>
              <w:spacing w:line="220" w:lineRule="exact"/>
              <w:rPr>
                <w:szCs w:val="22"/>
                <w:rtl/>
              </w:rPr>
            </w:pPr>
          </w:p>
        </w:tc>
      </w:tr>
      <w:tr w:rsidR="00AF4CE7" w:rsidRPr="00E342AA" w14:paraId="5A9E51F2" w14:textId="77777777" w:rsidTr="001521F8">
        <w:tc>
          <w:tcPr>
            <w:tcW w:w="1604" w:type="dxa"/>
            <w:vMerge/>
            <w:tcBorders>
              <w:bottom w:val="single" w:sz="6" w:space="0" w:color="auto"/>
              <w:right w:val="single" w:sz="6" w:space="0" w:color="auto"/>
            </w:tcBorders>
          </w:tcPr>
          <w:p w14:paraId="18ACD05C"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38C219A3" w14:textId="77777777" w:rsidR="00AF4CE7" w:rsidRPr="009F318F" w:rsidRDefault="00AF4CE7" w:rsidP="00AF4CE7">
            <w:pPr>
              <w:pStyle w:val="a3"/>
              <w:spacing w:line="220" w:lineRule="exact"/>
              <w:ind w:left="227" w:hanging="170"/>
              <w:rPr>
                <w:szCs w:val="22"/>
              </w:rPr>
            </w:pPr>
            <w:r w:rsidRPr="009F318F">
              <w:rPr>
                <w:rFonts w:hint="cs"/>
                <w:szCs w:val="22"/>
                <w:rtl/>
              </w:rPr>
              <w:t>עלות מתן שירותים</w:t>
            </w:r>
          </w:p>
        </w:tc>
        <w:tc>
          <w:tcPr>
            <w:tcW w:w="113" w:type="dxa"/>
            <w:shd w:val="clear" w:color="auto" w:fill="auto"/>
            <w:vAlign w:val="bottom"/>
          </w:tcPr>
          <w:p w14:paraId="095E4F3F" w14:textId="77777777" w:rsidR="00AF4CE7" w:rsidRPr="009F318F" w:rsidRDefault="00AF4CE7" w:rsidP="00AF4CE7">
            <w:pPr>
              <w:spacing w:line="220" w:lineRule="exact"/>
              <w:rPr>
                <w:szCs w:val="22"/>
              </w:rPr>
            </w:pPr>
          </w:p>
        </w:tc>
        <w:tc>
          <w:tcPr>
            <w:tcW w:w="907" w:type="dxa"/>
            <w:vAlign w:val="bottom"/>
          </w:tcPr>
          <w:p w14:paraId="0212CCE0"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264A6E9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0806535"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8B75309"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BF93D44"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3B007A2"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321B8F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FC14015"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43C43E7E" w14:textId="77777777" w:rsidR="00AF4CE7" w:rsidRPr="009F318F" w:rsidRDefault="00AF4CE7" w:rsidP="00AF4CE7">
            <w:pPr>
              <w:tabs>
                <w:tab w:val="decimal" w:pos="113"/>
              </w:tabs>
              <w:spacing w:line="220" w:lineRule="exact"/>
              <w:rPr>
                <w:szCs w:val="22"/>
                <w:rtl/>
              </w:rPr>
            </w:pPr>
          </w:p>
        </w:tc>
      </w:tr>
      <w:tr w:rsidR="00AF4CE7" w:rsidRPr="00E342AA" w14:paraId="6FA50ABF" w14:textId="77777777" w:rsidTr="001521F8">
        <w:tc>
          <w:tcPr>
            <w:tcW w:w="1604" w:type="dxa"/>
            <w:vMerge/>
            <w:tcBorders>
              <w:bottom w:val="single" w:sz="6" w:space="0" w:color="auto"/>
              <w:right w:val="single" w:sz="6" w:space="0" w:color="auto"/>
            </w:tcBorders>
          </w:tcPr>
          <w:p w14:paraId="5C0828C0"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4010445D" w14:textId="77777777" w:rsidR="00AF4CE7" w:rsidRPr="009F318F" w:rsidRDefault="00AF4CE7" w:rsidP="00AF4CE7">
            <w:pPr>
              <w:pStyle w:val="a3"/>
              <w:spacing w:line="220" w:lineRule="exact"/>
              <w:ind w:left="227" w:hanging="170"/>
              <w:rPr>
                <w:szCs w:val="22"/>
              </w:rPr>
            </w:pPr>
            <w:r w:rsidRPr="009F318F">
              <w:rPr>
                <w:rFonts w:hint="cs"/>
                <w:szCs w:val="22"/>
                <w:rtl/>
              </w:rPr>
              <w:t>עלות אחזקת נכסים מושכרים</w:t>
            </w:r>
          </w:p>
        </w:tc>
        <w:tc>
          <w:tcPr>
            <w:tcW w:w="113" w:type="dxa"/>
            <w:shd w:val="clear" w:color="auto" w:fill="auto"/>
            <w:vAlign w:val="bottom"/>
          </w:tcPr>
          <w:p w14:paraId="4B1B6BDE" w14:textId="77777777" w:rsidR="00AF4CE7" w:rsidRPr="009F318F" w:rsidRDefault="00AF4CE7" w:rsidP="00AF4CE7">
            <w:pPr>
              <w:spacing w:line="220" w:lineRule="exact"/>
              <w:rPr>
                <w:szCs w:val="22"/>
              </w:rPr>
            </w:pPr>
          </w:p>
        </w:tc>
        <w:tc>
          <w:tcPr>
            <w:tcW w:w="907" w:type="dxa"/>
            <w:vAlign w:val="bottom"/>
          </w:tcPr>
          <w:p w14:paraId="7605F372"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5D594769"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5156FA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269DBDE"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224D14E"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97E6844"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172C4C1"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5AF307F6"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38855F47" w14:textId="77777777" w:rsidR="00AF4CE7" w:rsidRPr="009F318F" w:rsidRDefault="00AF4CE7" w:rsidP="00AF4CE7">
            <w:pPr>
              <w:tabs>
                <w:tab w:val="decimal" w:pos="113"/>
              </w:tabs>
              <w:spacing w:line="220" w:lineRule="exact"/>
              <w:rPr>
                <w:szCs w:val="22"/>
                <w:rtl/>
              </w:rPr>
            </w:pPr>
          </w:p>
        </w:tc>
      </w:tr>
      <w:tr w:rsidR="00AF4CE7" w:rsidRPr="00E342AA" w14:paraId="18EB85B3" w14:textId="77777777" w:rsidTr="001521F8">
        <w:tc>
          <w:tcPr>
            <w:tcW w:w="1604" w:type="dxa"/>
            <w:vMerge/>
            <w:tcBorders>
              <w:bottom w:val="single" w:sz="6" w:space="0" w:color="auto"/>
              <w:right w:val="single" w:sz="6" w:space="0" w:color="auto"/>
            </w:tcBorders>
          </w:tcPr>
          <w:p w14:paraId="299A2711"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19D97D63" w14:textId="77777777" w:rsidR="00AF4CE7" w:rsidRPr="009F318F" w:rsidRDefault="00AF4CE7" w:rsidP="00AF4CE7">
            <w:pPr>
              <w:pStyle w:val="a3"/>
              <w:spacing w:line="220" w:lineRule="exact"/>
              <w:ind w:left="227" w:hanging="170"/>
              <w:rPr>
                <w:szCs w:val="22"/>
              </w:rPr>
            </w:pPr>
            <w:r w:rsidRPr="009F318F">
              <w:rPr>
                <w:rFonts w:hint="cs"/>
                <w:szCs w:val="22"/>
                <w:rtl/>
              </w:rPr>
              <w:t>עלות בגין עמלות</w:t>
            </w:r>
          </w:p>
        </w:tc>
        <w:tc>
          <w:tcPr>
            <w:tcW w:w="113" w:type="dxa"/>
            <w:shd w:val="clear" w:color="auto" w:fill="auto"/>
            <w:vAlign w:val="bottom"/>
          </w:tcPr>
          <w:p w14:paraId="47ABFA02"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2BA2FDAA"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26EA1B8E"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E2FE448"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E55AC39"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07BCC92C"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707E54E1"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398B28E9"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AAD3F26"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535C59BD" w14:textId="77777777" w:rsidR="00AF4CE7" w:rsidRPr="009F318F" w:rsidRDefault="00AF4CE7" w:rsidP="00AF4CE7">
            <w:pPr>
              <w:tabs>
                <w:tab w:val="decimal" w:pos="113"/>
              </w:tabs>
              <w:spacing w:line="220" w:lineRule="exact"/>
              <w:rPr>
                <w:szCs w:val="22"/>
                <w:rtl/>
              </w:rPr>
            </w:pPr>
          </w:p>
        </w:tc>
      </w:tr>
      <w:tr w:rsidR="00AF4CE7" w:rsidRPr="00E342AA" w14:paraId="057F0E95" w14:textId="77777777" w:rsidTr="001521F8">
        <w:tc>
          <w:tcPr>
            <w:tcW w:w="1604" w:type="dxa"/>
            <w:tcBorders>
              <w:top w:val="single" w:sz="6" w:space="0" w:color="auto"/>
            </w:tcBorders>
          </w:tcPr>
          <w:p w14:paraId="1E74D5EF" w14:textId="77777777" w:rsidR="00AF4CE7" w:rsidRPr="009F318F" w:rsidRDefault="00AF4CE7" w:rsidP="00AF4CE7">
            <w:pPr>
              <w:pStyle w:val="4"/>
              <w:keepNext w:val="0"/>
              <w:bidi w:val="0"/>
              <w:ind w:right="57"/>
              <w:jc w:val="right"/>
              <w:rPr>
                <w:i/>
                <w:iCs/>
                <w:sz w:val="13"/>
                <w:szCs w:val="13"/>
                <w:u w:val="none"/>
              </w:rPr>
            </w:pPr>
          </w:p>
        </w:tc>
        <w:tc>
          <w:tcPr>
            <w:tcW w:w="2665" w:type="dxa"/>
            <w:shd w:val="clear" w:color="auto" w:fill="auto"/>
            <w:vAlign w:val="bottom"/>
          </w:tcPr>
          <w:p w14:paraId="033FE441"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45244E74"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1CE2A4DE"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3DDB9245"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2B872EB2"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C171D08"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1DC1A8DB"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977913B"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B0B5CB2"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DF017D2"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6ECE9034" w14:textId="77777777" w:rsidR="00AF4CE7" w:rsidRPr="009F318F" w:rsidRDefault="00AF4CE7" w:rsidP="00AF4CE7">
            <w:pPr>
              <w:tabs>
                <w:tab w:val="decimal" w:pos="113"/>
              </w:tabs>
              <w:spacing w:line="220" w:lineRule="exact"/>
              <w:rPr>
                <w:szCs w:val="22"/>
                <w:rtl/>
              </w:rPr>
            </w:pPr>
          </w:p>
        </w:tc>
      </w:tr>
      <w:tr w:rsidR="00AF4CE7" w:rsidRPr="00E342AA" w14:paraId="54E7EC59" w14:textId="77777777" w:rsidTr="001521F8">
        <w:tc>
          <w:tcPr>
            <w:tcW w:w="1604" w:type="dxa"/>
          </w:tcPr>
          <w:p w14:paraId="765F2EFC"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3C9A76FA" w14:textId="77777777" w:rsidR="00AF4CE7" w:rsidRPr="009F318F" w:rsidRDefault="00AF4CE7" w:rsidP="00AF4CE7">
            <w:pPr>
              <w:pStyle w:val="a3"/>
              <w:spacing w:line="220" w:lineRule="exact"/>
              <w:ind w:left="227" w:hanging="170"/>
              <w:rPr>
                <w:szCs w:val="22"/>
              </w:rPr>
            </w:pPr>
            <w:r w:rsidRPr="009F318F">
              <w:rPr>
                <w:rFonts w:hint="cs"/>
                <w:szCs w:val="22"/>
                <w:rtl/>
              </w:rPr>
              <w:t>סה"כ עלות המכירות והשירותים</w:t>
            </w:r>
          </w:p>
        </w:tc>
        <w:tc>
          <w:tcPr>
            <w:tcW w:w="113" w:type="dxa"/>
            <w:shd w:val="clear" w:color="auto" w:fill="auto"/>
            <w:vAlign w:val="bottom"/>
          </w:tcPr>
          <w:p w14:paraId="0CD3315C"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1D19566A"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7014D8A0"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6AC77433"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0C1AEF5"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2161AC2C"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3B16CC2F"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4A3EEE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501091D2"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26B6FBD5" w14:textId="77777777" w:rsidR="00AF4CE7" w:rsidRPr="009F318F" w:rsidRDefault="00AF4CE7" w:rsidP="00AF4CE7">
            <w:pPr>
              <w:tabs>
                <w:tab w:val="decimal" w:pos="113"/>
              </w:tabs>
              <w:spacing w:line="220" w:lineRule="exact"/>
              <w:rPr>
                <w:szCs w:val="22"/>
                <w:rtl/>
              </w:rPr>
            </w:pPr>
          </w:p>
        </w:tc>
      </w:tr>
      <w:tr w:rsidR="00AF4CE7" w:rsidRPr="00E342AA" w14:paraId="6EB8CFE8" w14:textId="77777777" w:rsidTr="001521F8">
        <w:tc>
          <w:tcPr>
            <w:tcW w:w="1604" w:type="dxa"/>
          </w:tcPr>
          <w:p w14:paraId="60630798" w14:textId="77777777" w:rsidR="00AF4CE7" w:rsidRPr="009F318F" w:rsidRDefault="00AF4CE7" w:rsidP="00AF4CE7">
            <w:pPr>
              <w:pStyle w:val="4"/>
              <w:keepNext w:val="0"/>
              <w:bidi w:val="0"/>
              <w:ind w:right="57"/>
              <w:jc w:val="right"/>
              <w:rPr>
                <w:i/>
                <w:iCs/>
                <w:sz w:val="13"/>
                <w:szCs w:val="13"/>
                <w:u w:val="none"/>
              </w:rPr>
            </w:pPr>
          </w:p>
        </w:tc>
        <w:tc>
          <w:tcPr>
            <w:tcW w:w="2665" w:type="dxa"/>
            <w:shd w:val="clear" w:color="auto" w:fill="auto"/>
            <w:vAlign w:val="bottom"/>
          </w:tcPr>
          <w:p w14:paraId="52273652"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455BDB67"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6FFCE2AB"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5390BBAC"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727C9192"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FE970F2"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299EC4C3"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AEF464E"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5868F38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D53700A"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14FDFBFD" w14:textId="77777777" w:rsidR="00AF4CE7" w:rsidRPr="009F318F" w:rsidRDefault="00AF4CE7" w:rsidP="00AF4CE7">
            <w:pPr>
              <w:tabs>
                <w:tab w:val="decimal" w:pos="113"/>
              </w:tabs>
              <w:spacing w:line="220" w:lineRule="exact"/>
              <w:rPr>
                <w:szCs w:val="22"/>
                <w:rtl/>
              </w:rPr>
            </w:pPr>
          </w:p>
        </w:tc>
      </w:tr>
      <w:tr w:rsidR="00AF4CE7" w:rsidRPr="00E342AA" w14:paraId="6BAC2775" w14:textId="77777777" w:rsidTr="001521F8">
        <w:tc>
          <w:tcPr>
            <w:tcW w:w="1604" w:type="dxa"/>
            <w:tcBorders>
              <w:bottom w:val="single" w:sz="6" w:space="0" w:color="auto"/>
              <w:right w:val="single" w:sz="6" w:space="0" w:color="auto"/>
            </w:tcBorders>
          </w:tcPr>
          <w:p w14:paraId="430CDD8F" w14:textId="77777777" w:rsidR="00AF4CE7" w:rsidRPr="009F318F" w:rsidRDefault="00AF4CE7" w:rsidP="00AF4CE7">
            <w:pPr>
              <w:pStyle w:val="4"/>
              <w:keepNext w:val="0"/>
              <w:bidi w:val="0"/>
              <w:ind w:right="57"/>
              <w:jc w:val="right"/>
              <w:rPr>
                <w:i/>
                <w:iCs/>
                <w:sz w:val="13"/>
                <w:szCs w:val="13"/>
                <w:u w:val="none"/>
              </w:rPr>
            </w:pPr>
            <w:r w:rsidRPr="009F318F">
              <w:rPr>
                <w:i/>
                <w:iCs/>
                <w:sz w:val="13"/>
                <w:szCs w:val="13"/>
                <w:u w:val="none"/>
              </w:rPr>
              <w:t>IAS 1.85; IAS 1.104</w:t>
            </w:r>
          </w:p>
        </w:tc>
        <w:tc>
          <w:tcPr>
            <w:tcW w:w="2665" w:type="dxa"/>
            <w:tcBorders>
              <w:left w:val="single" w:sz="6" w:space="0" w:color="auto"/>
            </w:tcBorders>
            <w:shd w:val="clear" w:color="auto" w:fill="auto"/>
            <w:vAlign w:val="bottom"/>
          </w:tcPr>
          <w:p w14:paraId="5F9C8E8A" w14:textId="77777777" w:rsidR="00AF4CE7" w:rsidRPr="009F318F" w:rsidRDefault="00AF4CE7" w:rsidP="00AF4CE7">
            <w:pPr>
              <w:pStyle w:val="a3"/>
              <w:spacing w:line="220" w:lineRule="exact"/>
              <w:ind w:left="227" w:hanging="170"/>
              <w:rPr>
                <w:szCs w:val="22"/>
              </w:rPr>
            </w:pPr>
            <w:r w:rsidRPr="009F318F">
              <w:rPr>
                <w:rFonts w:hint="cs"/>
                <w:szCs w:val="22"/>
                <w:rtl/>
              </w:rPr>
              <w:t>רווח (הפסד) גולמי</w:t>
            </w:r>
          </w:p>
        </w:tc>
        <w:tc>
          <w:tcPr>
            <w:tcW w:w="113" w:type="dxa"/>
            <w:shd w:val="clear" w:color="auto" w:fill="auto"/>
            <w:vAlign w:val="bottom"/>
          </w:tcPr>
          <w:p w14:paraId="14152AF0" w14:textId="77777777" w:rsidR="00AF4CE7" w:rsidRPr="009F318F" w:rsidRDefault="00AF4CE7" w:rsidP="00AF4CE7">
            <w:pPr>
              <w:spacing w:line="220" w:lineRule="exact"/>
              <w:rPr>
                <w:szCs w:val="22"/>
              </w:rPr>
            </w:pPr>
          </w:p>
        </w:tc>
        <w:tc>
          <w:tcPr>
            <w:tcW w:w="907" w:type="dxa"/>
            <w:shd w:val="clear" w:color="auto" w:fill="auto"/>
            <w:vAlign w:val="bottom"/>
          </w:tcPr>
          <w:p w14:paraId="0B1CF4C2"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70E67976"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4CE8C8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2F280E6"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C47A735"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63E68A2C"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E4FA5C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098B849"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2DE2AA4D" w14:textId="77777777" w:rsidR="00AF4CE7" w:rsidRPr="009F318F" w:rsidRDefault="00AF4CE7" w:rsidP="00AF4CE7">
            <w:pPr>
              <w:tabs>
                <w:tab w:val="decimal" w:pos="113"/>
              </w:tabs>
              <w:spacing w:line="220" w:lineRule="exact"/>
              <w:rPr>
                <w:szCs w:val="22"/>
                <w:rtl/>
              </w:rPr>
            </w:pPr>
          </w:p>
        </w:tc>
      </w:tr>
      <w:tr w:rsidR="00AF4CE7" w:rsidRPr="00E342AA" w14:paraId="09337DE5" w14:textId="77777777" w:rsidTr="001521F8">
        <w:tc>
          <w:tcPr>
            <w:tcW w:w="1604" w:type="dxa"/>
            <w:tcBorders>
              <w:top w:val="single" w:sz="6" w:space="0" w:color="auto"/>
            </w:tcBorders>
          </w:tcPr>
          <w:p w14:paraId="4672AB64" w14:textId="77777777" w:rsidR="00AF4CE7" w:rsidRPr="009F318F" w:rsidRDefault="00AF4CE7" w:rsidP="00AF4CE7">
            <w:pPr>
              <w:pStyle w:val="4"/>
              <w:keepNext w:val="0"/>
              <w:bidi w:val="0"/>
              <w:ind w:right="57"/>
              <w:jc w:val="right"/>
              <w:rPr>
                <w:i/>
                <w:iCs/>
                <w:sz w:val="13"/>
                <w:szCs w:val="13"/>
                <w:u w:val="none"/>
              </w:rPr>
            </w:pPr>
          </w:p>
        </w:tc>
        <w:tc>
          <w:tcPr>
            <w:tcW w:w="2665" w:type="dxa"/>
            <w:shd w:val="clear" w:color="auto" w:fill="auto"/>
            <w:vAlign w:val="bottom"/>
          </w:tcPr>
          <w:p w14:paraId="3825E6C8"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21135D20" w14:textId="77777777" w:rsidR="00AF4CE7" w:rsidRPr="009F318F" w:rsidRDefault="00AF4CE7" w:rsidP="00AF4CE7">
            <w:pPr>
              <w:spacing w:line="220" w:lineRule="exact"/>
              <w:rPr>
                <w:szCs w:val="22"/>
              </w:rPr>
            </w:pPr>
          </w:p>
        </w:tc>
        <w:tc>
          <w:tcPr>
            <w:tcW w:w="907" w:type="dxa"/>
            <w:vAlign w:val="bottom"/>
          </w:tcPr>
          <w:p w14:paraId="7EE85FA0"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33A97683"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7343CF6"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A1353C6"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281CBCA"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5873DDC5"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00FC32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7BEA149"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573E3992" w14:textId="77777777" w:rsidR="00AF4CE7" w:rsidRPr="009F318F" w:rsidRDefault="00AF4CE7" w:rsidP="00AF4CE7">
            <w:pPr>
              <w:tabs>
                <w:tab w:val="decimal" w:pos="113"/>
              </w:tabs>
              <w:spacing w:line="220" w:lineRule="exact"/>
              <w:rPr>
                <w:szCs w:val="22"/>
                <w:rtl/>
              </w:rPr>
            </w:pPr>
          </w:p>
        </w:tc>
      </w:tr>
      <w:tr w:rsidR="00AF4CE7" w:rsidRPr="00E342AA" w14:paraId="6ACD3884" w14:textId="77777777" w:rsidTr="001521F8">
        <w:tc>
          <w:tcPr>
            <w:tcW w:w="1604" w:type="dxa"/>
            <w:vMerge w:val="restart"/>
            <w:tcBorders>
              <w:bottom w:val="single" w:sz="6" w:space="0" w:color="auto"/>
              <w:right w:val="single" w:sz="6" w:space="0" w:color="auto"/>
            </w:tcBorders>
            <w:vAlign w:val="center"/>
          </w:tcPr>
          <w:p w14:paraId="1771643B" w14:textId="77777777" w:rsidR="00AF4CE7" w:rsidRDefault="00AF4CE7" w:rsidP="00AF4CE7">
            <w:pPr>
              <w:pStyle w:val="4"/>
              <w:keepNext w:val="0"/>
              <w:bidi w:val="0"/>
              <w:ind w:right="57"/>
              <w:jc w:val="right"/>
              <w:rPr>
                <w:i/>
                <w:iCs/>
                <w:sz w:val="13"/>
                <w:szCs w:val="13"/>
                <w:u w:val="none"/>
              </w:rPr>
            </w:pPr>
            <w:r>
              <w:rPr>
                <w:i/>
                <w:iCs/>
                <w:sz w:val="13"/>
                <w:szCs w:val="13"/>
                <w:u w:val="none"/>
              </w:rPr>
              <w:t>IAS 1.103;</w:t>
            </w:r>
          </w:p>
          <w:p w14:paraId="741EDB16" w14:textId="77777777" w:rsidR="00AF4CE7" w:rsidRPr="009F318F" w:rsidRDefault="00AF4CE7" w:rsidP="00AF4CE7">
            <w:pPr>
              <w:pStyle w:val="4"/>
              <w:keepNext w:val="0"/>
              <w:bidi w:val="0"/>
              <w:ind w:right="57"/>
              <w:jc w:val="right"/>
              <w:rPr>
                <w:i/>
                <w:iCs/>
                <w:sz w:val="13"/>
                <w:szCs w:val="13"/>
                <w:u w:val="none"/>
              </w:rPr>
            </w:pPr>
            <w:r w:rsidRPr="009F318F">
              <w:rPr>
                <w:i/>
                <w:iCs/>
                <w:sz w:val="13"/>
                <w:szCs w:val="13"/>
                <w:u w:val="none"/>
              </w:rPr>
              <w:t>IAS 1.104</w:t>
            </w:r>
          </w:p>
        </w:tc>
        <w:tc>
          <w:tcPr>
            <w:tcW w:w="2665" w:type="dxa"/>
            <w:tcBorders>
              <w:left w:val="single" w:sz="6" w:space="0" w:color="auto"/>
            </w:tcBorders>
            <w:shd w:val="clear" w:color="auto" w:fill="auto"/>
            <w:vAlign w:val="bottom"/>
          </w:tcPr>
          <w:p w14:paraId="5EC7C8E9" w14:textId="77777777" w:rsidR="00AF4CE7" w:rsidRPr="009F318F" w:rsidRDefault="00AF4CE7" w:rsidP="00AF4CE7">
            <w:pPr>
              <w:pStyle w:val="a3"/>
              <w:spacing w:line="220" w:lineRule="exact"/>
              <w:ind w:left="227" w:hanging="170"/>
              <w:rPr>
                <w:szCs w:val="22"/>
              </w:rPr>
            </w:pPr>
            <w:r w:rsidRPr="009F318F">
              <w:rPr>
                <w:rFonts w:hint="cs"/>
                <w:szCs w:val="22"/>
                <w:rtl/>
              </w:rPr>
              <w:t>עליית (ירידת) ערך נדל"ן להשקעה</w:t>
            </w:r>
          </w:p>
        </w:tc>
        <w:tc>
          <w:tcPr>
            <w:tcW w:w="113" w:type="dxa"/>
            <w:shd w:val="clear" w:color="auto" w:fill="auto"/>
            <w:vAlign w:val="bottom"/>
          </w:tcPr>
          <w:p w14:paraId="31737E78" w14:textId="77777777" w:rsidR="00AF4CE7" w:rsidRPr="009F318F" w:rsidRDefault="00AF4CE7" w:rsidP="00AF4CE7">
            <w:pPr>
              <w:spacing w:line="220" w:lineRule="exact"/>
              <w:rPr>
                <w:szCs w:val="22"/>
              </w:rPr>
            </w:pPr>
          </w:p>
        </w:tc>
        <w:tc>
          <w:tcPr>
            <w:tcW w:w="907" w:type="dxa"/>
            <w:vAlign w:val="bottom"/>
          </w:tcPr>
          <w:p w14:paraId="36C783AE"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F138BF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BEE6AB0"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47FAC7E"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1092D5A"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581D856C"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F94751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D5E1959"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1DFF6B89" w14:textId="77777777" w:rsidR="00AF4CE7" w:rsidRPr="009F318F" w:rsidRDefault="00AF4CE7" w:rsidP="00AF4CE7">
            <w:pPr>
              <w:tabs>
                <w:tab w:val="decimal" w:pos="113"/>
              </w:tabs>
              <w:spacing w:line="220" w:lineRule="exact"/>
              <w:rPr>
                <w:szCs w:val="22"/>
                <w:rtl/>
              </w:rPr>
            </w:pPr>
          </w:p>
        </w:tc>
      </w:tr>
      <w:tr w:rsidR="00AF4CE7" w:rsidRPr="00E342AA" w14:paraId="16857193" w14:textId="77777777" w:rsidTr="001521F8">
        <w:tc>
          <w:tcPr>
            <w:tcW w:w="1604" w:type="dxa"/>
            <w:vMerge/>
            <w:tcBorders>
              <w:bottom w:val="single" w:sz="6" w:space="0" w:color="auto"/>
              <w:right w:val="single" w:sz="6" w:space="0" w:color="auto"/>
            </w:tcBorders>
          </w:tcPr>
          <w:p w14:paraId="5DFE004F"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745EC750" w14:textId="77777777" w:rsidR="00AF4CE7" w:rsidRPr="009F318F" w:rsidRDefault="00AF4CE7" w:rsidP="00AF4CE7">
            <w:pPr>
              <w:pStyle w:val="a3"/>
              <w:spacing w:line="220" w:lineRule="exact"/>
              <w:ind w:left="227" w:hanging="170"/>
              <w:rPr>
                <w:szCs w:val="22"/>
              </w:rPr>
            </w:pPr>
            <w:r w:rsidRPr="009F318F">
              <w:rPr>
                <w:rFonts w:hint="cs"/>
                <w:szCs w:val="22"/>
                <w:rtl/>
              </w:rPr>
              <w:t>הוצאות מכירה ושיווק</w:t>
            </w:r>
          </w:p>
        </w:tc>
        <w:tc>
          <w:tcPr>
            <w:tcW w:w="113" w:type="dxa"/>
            <w:shd w:val="clear" w:color="auto" w:fill="auto"/>
            <w:vAlign w:val="bottom"/>
          </w:tcPr>
          <w:p w14:paraId="7311487D" w14:textId="77777777" w:rsidR="00AF4CE7" w:rsidRPr="009F318F" w:rsidRDefault="00AF4CE7" w:rsidP="00AF4CE7">
            <w:pPr>
              <w:spacing w:line="220" w:lineRule="exact"/>
              <w:rPr>
                <w:szCs w:val="22"/>
              </w:rPr>
            </w:pPr>
          </w:p>
        </w:tc>
        <w:tc>
          <w:tcPr>
            <w:tcW w:w="907" w:type="dxa"/>
            <w:vAlign w:val="bottom"/>
          </w:tcPr>
          <w:p w14:paraId="7916CA22"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7A557BC0"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3C79694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8C81A9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FAFDD61"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8CCAEA0"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F54088A"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5D87CDC"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3D3ADEE3" w14:textId="77777777" w:rsidR="00AF4CE7" w:rsidRPr="009F318F" w:rsidRDefault="00AF4CE7" w:rsidP="00AF4CE7">
            <w:pPr>
              <w:tabs>
                <w:tab w:val="decimal" w:pos="113"/>
              </w:tabs>
              <w:spacing w:line="220" w:lineRule="exact"/>
              <w:rPr>
                <w:szCs w:val="22"/>
                <w:rtl/>
              </w:rPr>
            </w:pPr>
          </w:p>
        </w:tc>
      </w:tr>
      <w:tr w:rsidR="00AF4CE7" w:rsidRPr="00E342AA" w14:paraId="7EF61571" w14:textId="77777777" w:rsidTr="001521F8">
        <w:tc>
          <w:tcPr>
            <w:tcW w:w="1604" w:type="dxa"/>
            <w:vMerge/>
            <w:tcBorders>
              <w:bottom w:val="single" w:sz="6" w:space="0" w:color="auto"/>
              <w:right w:val="single" w:sz="6" w:space="0" w:color="auto"/>
            </w:tcBorders>
          </w:tcPr>
          <w:p w14:paraId="1862D658"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22C59B74" w14:textId="77777777" w:rsidR="00AF4CE7" w:rsidRPr="009F318F" w:rsidRDefault="00AF4CE7" w:rsidP="00AF4CE7">
            <w:pPr>
              <w:pStyle w:val="a3"/>
              <w:spacing w:line="220" w:lineRule="exact"/>
              <w:ind w:left="227" w:hanging="170"/>
              <w:rPr>
                <w:szCs w:val="22"/>
              </w:rPr>
            </w:pPr>
            <w:r w:rsidRPr="009F318F">
              <w:rPr>
                <w:rFonts w:hint="cs"/>
                <w:szCs w:val="22"/>
                <w:rtl/>
              </w:rPr>
              <w:t>הוצאות הנהלה וכלליות</w:t>
            </w:r>
          </w:p>
        </w:tc>
        <w:tc>
          <w:tcPr>
            <w:tcW w:w="113" w:type="dxa"/>
            <w:shd w:val="clear" w:color="auto" w:fill="auto"/>
            <w:vAlign w:val="bottom"/>
          </w:tcPr>
          <w:p w14:paraId="11E96E6F" w14:textId="77777777" w:rsidR="00AF4CE7" w:rsidRPr="009F318F" w:rsidRDefault="00AF4CE7" w:rsidP="00AF4CE7">
            <w:pPr>
              <w:spacing w:line="220" w:lineRule="exact"/>
              <w:rPr>
                <w:szCs w:val="22"/>
              </w:rPr>
            </w:pPr>
          </w:p>
        </w:tc>
        <w:tc>
          <w:tcPr>
            <w:tcW w:w="907" w:type="dxa"/>
            <w:vAlign w:val="bottom"/>
          </w:tcPr>
          <w:p w14:paraId="433E6221"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4B47629B"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C9EAD40"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E693B07"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660A6005"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37128FE9"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E27AD4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32FF34F"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5195E81A" w14:textId="77777777" w:rsidR="00AF4CE7" w:rsidRPr="009F318F" w:rsidRDefault="00AF4CE7" w:rsidP="00AF4CE7">
            <w:pPr>
              <w:tabs>
                <w:tab w:val="decimal" w:pos="113"/>
              </w:tabs>
              <w:spacing w:line="220" w:lineRule="exact"/>
              <w:rPr>
                <w:szCs w:val="22"/>
                <w:rtl/>
              </w:rPr>
            </w:pPr>
          </w:p>
        </w:tc>
      </w:tr>
      <w:tr w:rsidR="00AF4CE7" w:rsidRPr="00E342AA" w14:paraId="3DB21D36" w14:textId="77777777" w:rsidTr="001521F8">
        <w:tc>
          <w:tcPr>
            <w:tcW w:w="1604" w:type="dxa"/>
            <w:vMerge/>
            <w:tcBorders>
              <w:bottom w:val="single" w:sz="6" w:space="0" w:color="auto"/>
              <w:right w:val="single" w:sz="6" w:space="0" w:color="auto"/>
            </w:tcBorders>
          </w:tcPr>
          <w:p w14:paraId="41A194C0"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6ED45799" w14:textId="77777777" w:rsidR="00AF4CE7" w:rsidRPr="009F318F" w:rsidRDefault="00AF4CE7" w:rsidP="00AF4CE7">
            <w:pPr>
              <w:pStyle w:val="a3"/>
              <w:spacing w:line="220" w:lineRule="exact"/>
              <w:ind w:left="227" w:hanging="170"/>
              <w:rPr>
                <w:szCs w:val="22"/>
              </w:rPr>
            </w:pPr>
            <w:r w:rsidRPr="009F318F">
              <w:rPr>
                <w:rFonts w:hint="cs"/>
                <w:szCs w:val="22"/>
                <w:rtl/>
              </w:rPr>
              <w:t>הוצאות מחקר ופיתוח</w:t>
            </w:r>
          </w:p>
        </w:tc>
        <w:tc>
          <w:tcPr>
            <w:tcW w:w="113" w:type="dxa"/>
            <w:shd w:val="clear" w:color="auto" w:fill="auto"/>
            <w:vAlign w:val="bottom"/>
          </w:tcPr>
          <w:p w14:paraId="63317E38" w14:textId="77777777" w:rsidR="00AF4CE7" w:rsidRPr="009F318F" w:rsidRDefault="00AF4CE7" w:rsidP="00AF4CE7">
            <w:pPr>
              <w:spacing w:line="220" w:lineRule="exact"/>
              <w:rPr>
                <w:szCs w:val="22"/>
              </w:rPr>
            </w:pPr>
          </w:p>
        </w:tc>
        <w:tc>
          <w:tcPr>
            <w:tcW w:w="907" w:type="dxa"/>
            <w:vAlign w:val="bottom"/>
          </w:tcPr>
          <w:p w14:paraId="7CC40B13"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07E9C4DA"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2E3196D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F759AEA"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DC4DBCD"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431045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77F5DCA"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C3DB100"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25BC23B2" w14:textId="77777777" w:rsidR="00AF4CE7" w:rsidRPr="009F318F" w:rsidRDefault="00AF4CE7" w:rsidP="00AF4CE7">
            <w:pPr>
              <w:tabs>
                <w:tab w:val="decimal" w:pos="113"/>
              </w:tabs>
              <w:spacing w:line="220" w:lineRule="exact"/>
              <w:rPr>
                <w:szCs w:val="22"/>
                <w:rtl/>
              </w:rPr>
            </w:pPr>
          </w:p>
        </w:tc>
      </w:tr>
      <w:tr w:rsidR="00AF4CE7" w:rsidRPr="00E342AA" w14:paraId="5AB7A592" w14:textId="77777777" w:rsidTr="001521F8">
        <w:tc>
          <w:tcPr>
            <w:tcW w:w="1604" w:type="dxa"/>
            <w:vMerge/>
            <w:tcBorders>
              <w:bottom w:val="single" w:sz="6" w:space="0" w:color="auto"/>
              <w:right w:val="single" w:sz="6" w:space="0" w:color="auto"/>
            </w:tcBorders>
          </w:tcPr>
          <w:p w14:paraId="75176746"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1DE1CD49" w14:textId="77777777" w:rsidR="00AF4CE7" w:rsidRPr="009F318F" w:rsidRDefault="00AF4CE7" w:rsidP="00AF4CE7">
            <w:pPr>
              <w:pStyle w:val="a3"/>
              <w:spacing w:line="220" w:lineRule="exact"/>
              <w:ind w:left="227" w:hanging="170"/>
              <w:rPr>
                <w:szCs w:val="22"/>
                <w:rtl/>
              </w:rPr>
            </w:pPr>
            <w:r w:rsidRPr="009F318F">
              <w:rPr>
                <w:rFonts w:hint="cs"/>
                <w:szCs w:val="22"/>
                <w:rtl/>
              </w:rPr>
              <w:t>הכנסות אחרות</w:t>
            </w:r>
            <w:r w:rsidRPr="009F318F">
              <w:rPr>
                <w:rStyle w:val="ab"/>
                <w:szCs w:val="22"/>
                <w:rtl/>
              </w:rPr>
              <w:footnoteReference w:id="22"/>
            </w:r>
          </w:p>
        </w:tc>
        <w:tc>
          <w:tcPr>
            <w:tcW w:w="113" w:type="dxa"/>
            <w:shd w:val="clear" w:color="auto" w:fill="auto"/>
            <w:vAlign w:val="bottom"/>
          </w:tcPr>
          <w:p w14:paraId="7A8D2FE0" w14:textId="77777777" w:rsidR="00AF4CE7" w:rsidRPr="009F318F" w:rsidRDefault="00AF4CE7" w:rsidP="00AF4CE7">
            <w:pPr>
              <w:spacing w:line="220" w:lineRule="exact"/>
              <w:rPr>
                <w:szCs w:val="22"/>
              </w:rPr>
            </w:pPr>
          </w:p>
        </w:tc>
        <w:tc>
          <w:tcPr>
            <w:tcW w:w="907" w:type="dxa"/>
            <w:vAlign w:val="bottom"/>
          </w:tcPr>
          <w:p w14:paraId="157293B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6799D0A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2E7B76C"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5E7468A6"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32DF8DE9"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553E2C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3E30FDC2"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883DE27"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75EE86D6" w14:textId="77777777" w:rsidR="00AF4CE7" w:rsidRPr="009F318F" w:rsidRDefault="00AF4CE7" w:rsidP="00AF4CE7">
            <w:pPr>
              <w:tabs>
                <w:tab w:val="decimal" w:pos="113"/>
              </w:tabs>
              <w:spacing w:line="220" w:lineRule="exact"/>
              <w:rPr>
                <w:szCs w:val="22"/>
                <w:rtl/>
              </w:rPr>
            </w:pPr>
          </w:p>
        </w:tc>
      </w:tr>
      <w:tr w:rsidR="00AF4CE7" w:rsidRPr="00E342AA" w14:paraId="72B6EB97" w14:textId="77777777" w:rsidTr="001521F8">
        <w:tc>
          <w:tcPr>
            <w:tcW w:w="1604" w:type="dxa"/>
            <w:vMerge/>
            <w:tcBorders>
              <w:bottom w:val="single" w:sz="6" w:space="0" w:color="auto"/>
              <w:right w:val="single" w:sz="6" w:space="0" w:color="auto"/>
            </w:tcBorders>
          </w:tcPr>
          <w:p w14:paraId="5257A62F" w14:textId="77777777" w:rsidR="00AF4CE7" w:rsidRPr="009F318F" w:rsidRDefault="00AF4CE7" w:rsidP="00AF4CE7">
            <w:pPr>
              <w:pStyle w:val="4"/>
              <w:keepNext w:val="0"/>
              <w:bidi w:val="0"/>
              <w:ind w:right="57"/>
              <w:jc w:val="right"/>
              <w:rPr>
                <w:i/>
                <w:iCs/>
                <w:sz w:val="13"/>
                <w:szCs w:val="13"/>
                <w:u w:val="none"/>
              </w:rPr>
            </w:pPr>
          </w:p>
        </w:tc>
        <w:tc>
          <w:tcPr>
            <w:tcW w:w="2665" w:type="dxa"/>
            <w:tcBorders>
              <w:left w:val="single" w:sz="6" w:space="0" w:color="auto"/>
            </w:tcBorders>
            <w:shd w:val="clear" w:color="auto" w:fill="auto"/>
            <w:vAlign w:val="bottom"/>
          </w:tcPr>
          <w:p w14:paraId="078F323E" w14:textId="77777777" w:rsidR="00AF4CE7" w:rsidRPr="009F318F" w:rsidRDefault="00AF4CE7" w:rsidP="00AF4CE7">
            <w:pPr>
              <w:pStyle w:val="a3"/>
              <w:spacing w:line="220" w:lineRule="exact"/>
              <w:ind w:left="227" w:hanging="170"/>
              <w:rPr>
                <w:szCs w:val="22"/>
              </w:rPr>
            </w:pPr>
            <w:r w:rsidRPr="009F318F">
              <w:rPr>
                <w:rFonts w:hint="cs"/>
                <w:szCs w:val="22"/>
                <w:rtl/>
              </w:rPr>
              <w:t>הוצאות אחרות</w:t>
            </w:r>
            <w:r w:rsidRPr="009F318F">
              <w:rPr>
                <w:rStyle w:val="ab"/>
                <w:szCs w:val="22"/>
              </w:rPr>
              <w:footnoteReference w:id="23"/>
            </w:r>
          </w:p>
        </w:tc>
        <w:tc>
          <w:tcPr>
            <w:tcW w:w="113" w:type="dxa"/>
            <w:shd w:val="clear" w:color="auto" w:fill="auto"/>
            <w:vAlign w:val="bottom"/>
          </w:tcPr>
          <w:p w14:paraId="1B872DD9" w14:textId="77777777" w:rsidR="00AF4CE7" w:rsidRPr="009F318F" w:rsidRDefault="00AF4CE7" w:rsidP="00AF4CE7">
            <w:pPr>
              <w:spacing w:line="220" w:lineRule="exact"/>
              <w:rPr>
                <w:szCs w:val="22"/>
              </w:rPr>
            </w:pPr>
          </w:p>
        </w:tc>
        <w:tc>
          <w:tcPr>
            <w:tcW w:w="907" w:type="dxa"/>
            <w:shd w:val="clear" w:color="auto" w:fill="auto"/>
            <w:vAlign w:val="bottom"/>
          </w:tcPr>
          <w:p w14:paraId="2BF68F96"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2CEF3859"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051736A"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FC5957A"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A045FC8"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74DB5C3C"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E6E6F2C"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DABAAC0"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0DC25155" w14:textId="77777777" w:rsidR="00AF4CE7" w:rsidRPr="009F318F" w:rsidRDefault="00AF4CE7" w:rsidP="00AF4CE7">
            <w:pPr>
              <w:tabs>
                <w:tab w:val="decimal" w:pos="113"/>
              </w:tabs>
              <w:spacing w:line="220" w:lineRule="exact"/>
              <w:rPr>
                <w:szCs w:val="22"/>
                <w:rtl/>
              </w:rPr>
            </w:pPr>
          </w:p>
        </w:tc>
      </w:tr>
      <w:tr w:rsidR="00AF4CE7" w:rsidRPr="00E342AA" w14:paraId="465FDFCB" w14:textId="77777777" w:rsidTr="001521F8">
        <w:tc>
          <w:tcPr>
            <w:tcW w:w="1604" w:type="dxa"/>
            <w:tcBorders>
              <w:top w:val="single" w:sz="6" w:space="0" w:color="auto"/>
            </w:tcBorders>
          </w:tcPr>
          <w:p w14:paraId="3E44B733" w14:textId="75547452"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w:t>
            </w:r>
            <w:r>
              <w:rPr>
                <w:i/>
                <w:iCs/>
                <w:sz w:val="13"/>
                <w:szCs w:val="13"/>
                <w:u w:val="none"/>
              </w:rPr>
              <w:t>82(ba)</w:t>
            </w:r>
          </w:p>
        </w:tc>
        <w:tc>
          <w:tcPr>
            <w:tcW w:w="2665" w:type="dxa"/>
            <w:shd w:val="clear" w:color="auto" w:fill="auto"/>
            <w:vAlign w:val="bottom"/>
          </w:tcPr>
          <w:p w14:paraId="6D34E1FC" w14:textId="3BE34CA3" w:rsidR="00AF4CE7" w:rsidRPr="009F318F" w:rsidRDefault="00AF4CE7" w:rsidP="00AF4CE7">
            <w:pPr>
              <w:spacing w:line="220" w:lineRule="exact"/>
              <w:ind w:left="227" w:hanging="170"/>
              <w:jc w:val="left"/>
              <w:rPr>
                <w:szCs w:val="22"/>
              </w:rPr>
            </w:pPr>
            <w:r w:rsidRPr="00CF57B7">
              <w:rPr>
                <w:rFonts w:hint="cs"/>
                <w:szCs w:val="22"/>
                <w:rtl/>
              </w:rPr>
              <w:t>ירידת ערך (ביטול ירידת ערך) לקוחות, חייבים ויתרות חובה</w:t>
            </w:r>
            <w:r w:rsidR="001B1350">
              <w:rPr>
                <w:rFonts w:hint="cs"/>
                <w:szCs w:val="22"/>
                <w:rtl/>
              </w:rPr>
              <w:t xml:space="preserve"> ונכסי חוזה</w:t>
            </w:r>
          </w:p>
        </w:tc>
        <w:tc>
          <w:tcPr>
            <w:tcW w:w="113" w:type="dxa"/>
            <w:shd w:val="clear" w:color="auto" w:fill="auto"/>
            <w:vAlign w:val="bottom"/>
          </w:tcPr>
          <w:p w14:paraId="20CE852C" w14:textId="77777777" w:rsidR="00AF4CE7" w:rsidRPr="009F318F" w:rsidRDefault="00AF4CE7" w:rsidP="00AF4CE7">
            <w:pPr>
              <w:spacing w:line="220" w:lineRule="exact"/>
              <w:rPr>
                <w:szCs w:val="22"/>
              </w:rPr>
            </w:pPr>
          </w:p>
        </w:tc>
        <w:tc>
          <w:tcPr>
            <w:tcW w:w="907" w:type="dxa"/>
            <w:vAlign w:val="bottom"/>
          </w:tcPr>
          <w:p w14:paraId="2DD7AFF1"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46858AEA"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C2F0F19"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462EEA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626940F9"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7AEE69EB"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276257E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2D40D2C"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1C09FDF2" w14:textId="77777777" w:rsidR="00AF4CE7" w:rsidRPr="009F318F" w:rsidRDefault="00AF4CE7" w:rsidP="00AF4CE7">
            <w:pPr>
              <w:tabs>
                <w:tab w:val="decimal" w:pos="113"/>
              </w:tabs>
              <w:spacing w:line="220" w:lineRule="exact"/>
              <w:rPr>
                <w:szCs w:val="22"/>
                <w:rtl/>
              </w:rPr>
            </w:pPr>
          </w:p>
        </w:tc>
      </w:tr>
      <w:tr w:rsidR="00AF4CE7" w:rsidRPr="00E342AA" w14:paraId="2375AA00" w14:textId="77777777" w:rsidTr="001521F8">
        <w:tc>
          <w:tcPr>
            <w:tcW w:w="1604" w:type="dxa"/>
            <w:tcBorders>
              <w:top w:val="single" w:sz="6" w:space="0" w:color="auto"/>
            </w:tcBorders>
          </w:tcPr>
          <w:p w14:paraId="6E78E528"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2EFC1F8D"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19532CFB"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26F15AF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43BC85E"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548283A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E0299A1"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34CC9326"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735F498"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5BF53240"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895A294"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4F8B0618" w14:textId="77777777" w:rsidR="00AF4CE7" w:rsidRPr="009F318F" w:rsidRDefault="00AF4CE7" w:rsidP="00AF4CE7">
            <w:pPr>
              <w:tabs>
                <w:tab w:val="decimal" w:pos="113"/>
              </w:tabs>
              <w:spacing w:line="220" w:lineRule="exact"/>
              <w:rPr>
                <w:szCs w:val="22"/>
                <w:rtl/>
              </w:rPr>
            </w:pPr>
          </w:p>
        </w:tc>
      </w:tr>
      <w:tr w:rsidR="00AF4CE7" w:rsidRPr="00E342AA" w14:paraId="757F5598" w14:textId="77777777" w:rsidTr="001521F8">
        <w:tc>
          <w:tcPr>
            <w:tcW w:w="1604" w:type="dxa"/>
            <w:tcBorders>
              <w:bottom w:val="single" w:sz="6" w:space="0" w:color="auto"/>
              <w:right w:val="single" w:sz="6" w:space="0" w:color="auto"/>
            </w:tcBorders>
          </w:tcPr>
          <w:p w14:paraId="74078F53" w14:textId="77777777" w:rsidR="00AF4CE7" w:rsidRPr="009F318F" w:rsidRDefault="00AF4CE7" w:rsidP="00AF4CE7">
            <w:pPr>
              <w:pStyle w:val="4"/>
              <w:keepNext w:val="0"/>
              <w:bidi w:val="0"/>
              <w:ind w:right="57"/>
              <w:jc w:val="right"/>
              <w:rPr>
                <w:i/>
                <w:iCs/>
                <w:sz w:val="13"/>
                <w:szCs w:val="13"/>
                <w:u w:val="none"/>
              </w:rPr>
            </w:pPr>
            <w:r w:rsidRPr="009F318F">
              <w:rPr>
                <w:i/>
                <w:iCs/>
                <w:sz w:val="13"/>
                <w:szCs w:val="13"/>
                <w:u w:val="none"/>
              </w:rPr>
              <w:t>IAS 1.</w:t>
            </w:r>
            <w:r>
              <w:rPr>
                <w:i/>
                <w:iCs/>
                <w:sz w:val="13"/>
                <w:szCs w:val="13"/>
                <w:u w:val="none"/>
              </w:rPr>
              <w:t>85; IAS 1.BC 55-56</w:t>
            </w:r>
          </w:p>
        </w:tc>
        <w:tc>
          <w:tcPr>
            <w:tcW w:w="2665" w:type="dxa"/>
            <w:tcBorders>
              <w:left w:val="single" w:sz="6" w:space="0" w:color="auto"/>
            </w:tcBorders>
            <w:shd w:val="clear" w:color="auto" w:fill="auto"/>
            <w:vAlign w:val="bottom"/>
          </w:tcPr>
          <w:p w14:paraId="61124E5F" w14:textId="77777777" w:rsidR="00AF4CE7" w:rsidRPr="009F318F" w:rsidRDefault="00AF4CE7" w:rsidP="00AF4CE7">
            <w:pPr>
              <w:pStyle w:val="a3"/>
              <w:spacing w:line="220" w:lineRule="exact"/>
              <w:ind w:left="227" w:hanging="170"/>
              <w:rPr>
                <w:szCs w:val="22"/>
              </w:rPr>
            </w:pPr>
            <w:r w:rsidRPr="009F318F">
              <w:rPr>
                <w:rFonts w:hint="cs"/>
                <w:szCs w:val="22"/>
                <w:rtl/>
              </w:rPr>
              <w:t>רווח (הפסד) תפעולי</w:t>
            </w:r>
          </w:p>
        </w:tc>
        <w:tc>
          <w:tcPr>
            <w:tcW w:w="113" w:type="dxa"/>
            <w:shd w:val="clear" w:color="auto" w:fill="auto"/>
            <w:vAlign w:val="bottom"/>
          </w:tcPr>
          <w:p w14:paraId="16559005" w14:textId="77777777" w:rsidR="00AF4CE7" w:rsidRPr="009F318F" w:rsidRDefault="00AF4CE7" w:rsidP="00AF4CE7">
            <w:pPr>
              <w:spacing w:line="220" w:lineRule="exact"/>
              <w:rPr>
                <w:szCs w:val="22"/>
              </w:rPr>
            </w:pPr>
          </w:p>
        </w:tc>
        <w:tc>
          <w:tcPr>
            <w:tcW w:w="907" w:type="dxa"/>
            <w:shd w:val="clear" w:color="auto" w:fill="auto"/>
            <w:vAlign w:val="bottom"/>
          </w:tcPr>
          <w:p w14:paraId="6B82CCCE"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3F7F57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2A91C9F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5FD4DB0"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19A2DAE"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2D756C3"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3A28358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39B63B3"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6B4C9F12" w14:textId="77777777" w:rsidR="00AF4CE7" w:rsidRPr="009F318F" w:rsidRDefault="00AF4CE7" w:rsidP="00AF4CE7">
            <w:pPr>
              <w:tabs>
                <w:tab w:val="decimal" w:pos="113"/>
              </w:tabs>
              <w:spacing w:line="220" w:lineRule="exact"/>
              <w:rPr>
                <w:szCs w:val="22"/>
                <w:rtl/>
              </w:rPr>
            </w:pPr>
          </w:p>
        </w:tc>
      </w:tr>
      <w:tr w:rsidR="00AF4CE7" w:rsidRPr="00E342AA" w14:paraId="5CB75ADC" w14:textId="77777777" w:rsidTr="001521F8">
        <w:tc>
          <w:tcPr>
            <w:tcW w:w="1604" w:type="dxa"/>
            <w:tcBorders>
              <w:top w:val="single" w:sz="6" w:space="0" w:color="auto"/>
            </w:tcBorders>
          </w:tcPr>
          <w:p w14:paraId="3103A354"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739D91C6"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7EEE44F9" w14:textId="77777777" w:rsidR="00AF4CE7" w:rsidRPr="009F318F" w:rsidRDefault="00AF4CE7" w:rsidP="00AF4CE7">
            <w:pPr>
              <w:spacing w:line="220" w:lineRule="exact"/>
              <w:rPr>
                <w:szCs w:val="22"/>
              </w:rPr>
            </w:pPr>
          </w:p>
        </w:tc>
        <w:tc>
          <w:tcPr>
            <w:tcW w:w="907" w:type="dxa"/>
            <w:vAlign w:val="bottom"/>
          </w:tcPr>
          <w:p w14:paraId="15D901F7"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412D1DCC"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ADCF65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9E47D7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DAF22AB"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62D1B01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215C73FD"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2DA7564"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41D67E48" w14:textId="77777777" w:rsidR="00AF4CE7" w:rsidRPr="009F318F" w:rsidRDefault="00AF4CE7" w:rsidP="00AF4CE7">
            <w:pPr>
              <w:tabs>
                <w:tab w:val="decimal" w:pos="113"/>
              </w:tabs>
              <w:spacing w:line="220" w:lineRule="exact"/>
              <w:rPr>
                <w:szCs w:val="22"/>
                <w:rtl/>
              </w:rPr>
            </w:pPr>
          </w:p>
        </w:tc>
      </w:tr>
      <w:tr w:rsidR="00AF4CE7" w:rsidRPr="00E342AA" w14:paraId="3C858E52" w14:textId="77777777" w:rsidTr="001521F8">
        <w:tc>
          <w:tcPr>
            <w:tcW w:w="1604" w:type="dxa"/>
            <w:tcBorders>
              <w:bottom w:val="single" w:sz="6" w:space="0" w:color="auto"/>
              <w:right w:val="single" w:sz="6" w:space="0" w:color="auto"/>
            </w:tcBorders>
          </w:tcPr>
          <w:p w14:paraId="01258770"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1.82(a)</w:t>
            </w:r>
          </w:p>
        </w:tc>
        <w:tc>
          <w:tcPr>
            <w:tcW w:w="2665" w:type="dxa"/>
            <w:tcBorders>
              <w:left w:val="single" w:sz="6" w:space="0" w:color="auto"/>
            </w:tcBorders>
            <w:shd w:val="clear" w:color="auto" w:fill="auto"/>
            <w:vAlign w:val="bottom"/>
          </w:tcPr>
          <w:p w14:paraId="17C97B2D" w14:textId="77777777" w:rsidR="00AF4CE7" w:rsidRPr="009F318F" w:rsidRDefault="00AF4CE7" w:rsidP="00AF4CE7">
            <w:pPr>
              <w:pStyle w:val="a3"/>
              <w:spacing w:line="220" w:lineRule="exact"/>
              <w:ind w:left="227" w:hanging="170"/>
              <w:rPr>
                <w:szCs w:val="22"/>
              </w:rPr>
            </w:pPr>
            <w:r w:rsidRPr="009F318F">
              <w:rPr>
                <w:rFonts w:hint="cs"/>
                <w:szCs w:val="22"/>
                <w:rtl/>
              </w:rPr>
              <w:t>הכנסות מימון</w:t>
            </w:r>
          </w:p>
        </w:tc>
        <w:tc>
          <w:tcPr>
            <w:tcW w:w="113" w:type="dxa"/>
            <w:shd w:val="clear" w:color="auto" w:fill="auto"/>
            <w:vAlign w:val="bottom"/>
          </w:tcPr>
          <w:p w14:paraId="27873CA0" w14:textId="77777777" w:rsidR="00AF4CE7" w:rsidRPr="009F318F" w:rsidRDefault="00AF4CE7" w:rsidP="00AF4CE7">
            <w:pPr>
              <w:spacing w:line="220" w:lineRule="exact"/>
              <w:rPr>
                <w:szCs w:val="22"/>
              </w:rPr>
            </w:pPr>
          </w:p>
        </w:tc>
        <w:tc>
          <w:tcPr>
            <w:tcW w:w="907" w:type="dxa"/>
            <w:vAlign w:val="bottom"/>
          </w:tcPr>
          <w:p w14:paraId="0A2D8BD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05ACB2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62F712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51534FB"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99E65C6"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CB34455"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4513DD5"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BBDDCC3"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0DCAEA27" w14:textId="77777777" w:rsidR="00AF4CE7" w:rsidRPr="009F318F" w:rsidRDefault="00AF4CE7" w:rsidP="00AF4CE7">
            <w:pPr>
              <w:tabs>
                <w:tab w:val="decimal" w:pos="113"/>
              </w:tabs>
              <w:spacing w:line="220" w:lineRule="exact"/>
              <w:rPr>
                <w:szCs w:val="22"/>
                <w:rtl/>
              </w:rPr>
            </w:pPr>
          </w:p>
        </w:tc>
      </w:tr>
      <w:tr w:rsidR="00AF4CE7" w:rsidRPr="00E342AA" w14:paraId="7DFB5F3C" w14:textId="77777777" w:rsidTr="001521F8">
        <w:tc>
          <w:tcPr>
            <w:tcW w:w="1604" w:type="dxa"/>
            <w:tcBorders>
              <w:top w:val="single" w:sz="6" w:space="0" w:color="auto"/>
              <w:bottom w:val="single" w:sz="6" w:space="0" w:color="auto"/>
              <w:right w:val="single" w:sz="6" w:space="0" w:color="auto"/>
            </w:tcBorders>
          </w:tcPr>
          <w:p w14:paraId="6AB1A372" w14:textId="77777777" w:rsidR="00AF4CE7" w:rsidRPr="009F318F" w:rsidRDefault="00AF4CE7" w:rsidP="00AF4CE7">
            <w:pPr>
              <w:pStyle w:val="4"/>
              <w:keepNext w:val="0"/>
              <w:bidi w:val="0"/>
              <w:ind w:right="57"/>
              <w:jc w:val="right"/>
              <w:rPr>
                <w:i/>
                <w:iCs/>
                <w:sz w:val="13"/>
                <w:szCs w:val="13"/>
                <w:u w:val="none"/>
              </w:rPr>
            </w:pPr>
            <w:r w:rsidRPr="009F318F">
              <w:rPr>
                <w:i/>
                <w:iCs/>
                <w:sz w:val="13"/>
                <w:szCs w:val="13"/>
                <w:u w:val="none"/>
              </w:rPr>
              <w:t>IAS 1.82(b); IFRS 7.20</w:t>
            </w:r>
          </w:p>
        </w:tc>
        <w:tc>
          <w:tcPr>
            <w:tcW w:w="2665" w:type="dxa"/>
            <w:tcBorders>
              <w:left w:val="single" w:sz="6" w:space="0" w:color="auto"/>
            </w:tcBorders>
            <w:shd w:val="clear" w:color="auto" w:fill="auto"/>
            <w:vAlign w:val="bottom"/>
          </w:tcPr>
          <w:p w14:paraId="3BD84D71" w14:textId="77777777" w:rsidR="00AF4CE7" w:rsidRPr="009F318F" w:rsidRDefault="00AF4CE7" w:rsidP="00AF4CE7">
            <w:pPr>
              <w:pStyle w:val="a3"/>
              <w:spacing w:line="220" w:lineRule="exact"/>
              <w:ind w:left="227" w:hanging="170"/>
              <w:rPr>
                <w:szCs w:val="22"/>
              </w:rPr>
            </w:pPr>
            <w:r w:rsidRPr="009F318F">
              <w:rPr>
                <w:rFonts w:hint="cs"/>
                <w:szCs w:val="22"/>
                <w:rtl/>
              </w:rPr>
              <w:t>הוצאות מימון</w:t>
            </w:r>
          </w:p>
        </w:tc>
        <w:tc>
          <w:tcPr>
            <w:tcW w:w="113" w:type="dxa"/>
            <w:shd w:val="clear" w:color="auto" w:fill="auto"/>
            <w:vAlign w:val="bottom"/>
          </w:tcPr>
          <w:p w14:paraId="741FB9A5" w14:textId="77777777" w:rsidR="00AF4CE7" w:rsidRPr="009F318F" w:rsidRDefault="00AF4CE7" w:rsidP="00AF4CE7">
            <w:pPr>
              <w:spacing w:line="220" w:lineRule="exact"/>
              <w:rPr>
                <w:szCs w:val="22"/>
              </w:rPr>
            </w:pPr>
          </w:p>
        </w:tc>
        <w:tc>
          <w:tcPr>
            <w:tcW w:w="907" w:type="dxa"/>
            <w:vAlign w:val="bottom"/>
          </w:tcPr>
          <w:p w14:paraId="0021E7BB"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2FC39CEB"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E67AEB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AA7D9A2"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4550C9E"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0DD1F167"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A26B46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9E32E1A"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2B6C8A1E" w14:textId="77777777" w:rsidR="00AF4CE7" w:rsidRPr="009F318F" w:rsidRDefault="00AF4CE7" w:rsidP="00AF4CE7">
            <w:pPr>
              <w:tabs>
                <w:tab w:val="decimal" w:pos="113"/>
              </w:tabs>
              <w:spacing w:line="220" w:lineRule="exact"/>
              <w:rPr>
                <w:szCs w:val="22"/>
                <w:rtl/>
              </w:rPr>
            </w:pPr>
          </w:p>
        </w:tc>
      </w:tr>
      <w:tr w:rsidR="00AF4CE7" w:rsidRPr="00E342AA" w14:paraId="12B55C13" w14:textId="77777777" w:rsidTr="001521F8">
        <w:tc>
          <w:tcPr>
            <w:tcW w:w="1604" w:type="dxa"/>
            <w:tcBorders>
              <w:top w:val="single" w:sz="6" w:space="0" w:color="auto"/>
              <w:bottom w:val="single" w:sz="4" w:space="0" w:color="auto"/>
              <w:right w:val="single" w:sz="6" w:space="0" w:color="auto"/>
            </w:tcBorders>
            <w:vAlign w:val="center"/>
          </w:tcPr>
          <w:p w14:paraId="164F3A55" w14:textId="386E5FC2" w:rsidR="00AF4CE7" w:rsidRPr="009F318F" w:rsidRDefault="00AF4CE7" w:rsidP="00AF4CE7">
            <w:pPr>
              <w:pStyle w:val="4"/>
              <w:keepNext w:val="0"/>
              <w:bidi w:val="0"/>
              <w:ind w:right="57"/>
              <w:jc w:val="right"/>
              <w:rPr>
                <w:i/>
                <w:iCs/>
                <w:sz w:val="13"/>
                <w:szCs w:val="13"/>
                <w:u w:val="none"/>
              </w:rPr>
            </w:pPr>
            <w:r w:rsidRPr="009F318F">
              <w:rPr>
                <w:i/>
                <w:iCs/>
                <w:sz w:val="13"/>
                <w:szCs w:val="13"/>
                <w:u w:val="none"/>
              </w:rPr>
              <w:t>IAS 1.</w:t>
            </w:r>
            <w:r>
              <w:rPr>
                <w:i/>
                <w:iCs/>
                <w:sz w:val="13"/>
                <w:szCs w:val="13"/>
                <w:u w:val="none"/>
              </w:rPr>
              <w:t>82(ba)</w:t>
            </w:r>
          </w:p>
        </w:tc>
        <w:tc>
          <w:tcPr>
            <w:tcW w:w="2665" w:type="dxa"/>
            <w:tcBorders>
              <w:left w:val="single" w:sz="6" w:space="0" w:color="auto"/>
            </w:tcBorders>
            <w:shd w:val="clear" w:color="auto" w:fill="auto"/>
            <w:vAlign w:val="bottom"/>
          </w:tcPr>
          <w:p w14:paraId="787D9695" w14:textId="2158F4A1" w:rsidR="00AF4CE7" w:rsidRPr="009F318F" w:rsidRDefault="00AF4CE7" w:rsidP="00AF4CE7">
            <w:pPr>
              <w:spacing w:line="220" w:lineRule="exact"/>
              <w:ind w:left="227" w:hanging="170"/>
              <w:jc w:val="left"/>
              <w:rPr>
                <w:szCs w:val="22"/>
                <w:rtl/>
              </w:rPr>
            </w:pPr>
            <w:r>
              <w:rPr>
                <w:rFonts w:hint="cs"/>
                <w:szCs w:val="22"/>
                <w:rtl/>
              </w:rPr>
              <w:t>ירידת ערך (ביטול ירידת ערך) השקעות במכשירי חוב</w:t>
            </w:r>
          </w:p>
        </w:tc>
        <w:tc>
          <w:tcPr>
            <w:tcW w:w="113" w:type="dxa"/>
            <w:shd w:val="clear" w:color="auto" w:fill="auto"/>
            <w:vAlign w:val="bottom"/>
          </w:tcPr>
          <w:p w14:paraId="0506CBD1" w14:textId="77777777" w:rsidR="00AF4CE7" w:rsidRPr="009F318F" w:rsidRDefault="00AF4CE7" w:rsidP="00AF4CE7">
            <w:pPr>
              <w:spacing w:line="220" w:lineRule="exact"/>
              <w:rPr>
                <w:szCs w:val="22"/>
              </w:rPr>
            </w:pPr>
          </w:p>
        </w:tc>
        <w:tc>
          <w:tcPr>
            <w:tcW w:w="907" w:type="dxa"/>
            <w:shd w:val="clear" w:color="auto" w:fill="auto"/>
            <w:vAlign w:val="bottom"/>
          </w:tcPr>
          <w:p w14:paraId="70C5C3CD"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6DF5761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CC17DC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602C7C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3B81090"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57603F46"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22684DE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68158DC"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7B3A9D66" w14:textId="77777777" w:rsidR="00AF4CE7" w:rsidRPr="009F318F" w:rsidRDefault="00AF4CE7" w:rsidP="00AF4CE7">
            <w:pPr>
              <w:tabs>
                <w:tab w:val="decimal" w:pos="113"/>
              </w:tabs>
              <w:spacing w:line="220" w:lineRule="exact"/>
              <w:rPr>
                <w:szCs w:val="22"/>
                <w:rtl/>
              </w:rPr>
            </w:pPr>
          </w:p>
        </w:tc>
      </w:tr>
      <w:tr w:rsidR="00AF4CE7" w:rsidRPr="00E342AA" w14:paraId="14AAB04B" w14:textId="77777777" w:rsidTr="001521F8">
        <w:tc>
          <w:tcPr>
            <w:tcW w:w="1604" w:type="dxa"/>
            <w:tcBorders>
              <w:top w:val="single" w:sz="6" w:space="0" w:color="auto"/>
              <w:bottom w:val="single" w:sz="4" w:space="0" w:color="auto"/>
              <w:right w:val="single" w:sz="6" w:space="0" w:color="auto"/>
            </w:tcBorders>
            <w:vAlign w:val="center"/>
          </w:tcPr>
          <w:p w14:paraId="2F8185CC"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1.82(c); IAS 28.38</w:t>
            </w:r>
          </w:p>
        </w:tc>
        <w:tc>
          <w:tcPr>
            <w:tcW w:w="2665" w:type="dxa"/>
            <w:tcBorders>
              <w:left w:val="single" w:sz="6" w:space="0" w:color="auto"/>
            </w:tcBorders>
            <w:shd w:val="clear" w:color="auto" w:fill="auto"/>
            <w:vAlign w:val="bottom"/>
          </w:tcPr>
          <w:p w14:paraId="16F6A679" w14:textId="02FFD231" w:rsidR="00AF4CE7" w:rsidRPr="009F318F" w:rsidRDefault="00AF4CE7" w:rsidP="00AF4CE7">
            <w:pPr>
              <w:spacing w:line="220" w:lineRule="exact"/>
              <w:ind w:left="227" w:hanging="170"/>
              <w:jc w:val="left"/>
              <w:rPr>
                <w:szCs w:val="22"/>
              </w:rPr>
            </w:pPr>
            <w:r w:rsidRPr="009F318F">
              <w:rPr>
                <w:rFonts w:hint="cs"/>
                <w:szCs w:val="22"/>
                <w:rtl/>
              </w:rPr>
              <w:t xml:space="preserve">חלק הקבוצה ברווחי (בהפסדי) חברות המטופלות לפי שיטת השווי </w:t>
            </w:r>
            <w:r w:rsidRPr="009F318F">
              <w:rPr>
                <w:rFonts w:hint="eastAsia"/>
                <w:szCs w:val="22"/>
                <w:rtl/>
              </w:rPr>
              <w:t>המאזני</w:t>
            </w:r>
            <w:r w:rsidRPr="009F318F">
              <w:rPr>
                <w:szCs w:val="22"/>
                <w:rtl/>
              </w:rPr>
              <w:t xml:space="preserve">, </w:t>
            </w:r>
            <w:r w:rsidRPr="009F318F">
              <w:rPr>
                <w:rFonts w:hint="eastAsia"/>
                <w:szCs w:val="22"/>
                <w:rtl/>
              </w:rPr>
              <w:t>נטו</w:t>
            </w:r>
            <w:r>
              <w:rPr>
                <w:rStyle w:val="ab"/>
                <w:szCs w:val="22"/>
              </w:rPr>
              <w:footnoteReference w:id="24"/>
            </w:r>
          </w:p>
        </w:tc>
        <w:tc>
          <w:tcPr>
            <w:tcW w:w="113" w:type="dxa"/>
            <w:shd w:val="clear" w:color="auto" w:fill="auto"/>
            <w:vAlign w:val="bottom"/>
          </w:tcPr>
          <w:p w14:paraId="0F5D2EC0"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04D7377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4F77C784"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412DF363"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ADEEE0A"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55EBDA3"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E9E0568"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1F4255E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EE640B4"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724D25A9" w14:textId="77777777" w:rsidR="00AF4CE7" w:rsidRPr="009F318F" w:rsidRDefault="00AF4CE7" w:rsidP="00AF4CE7">
            <w:pPr>
              <w:tabs>
                <w:tab w:val="decimal" w:pos="113"/>
              </w:tabs>
              <w:spacing w:line="220" w:lineRule="exact"/>
              <w:rPr>
                <w:szCs w:val="22"/>
                <w:rtl/>
              </w:rPr>
            </w:pPr>
          </w:p>
        </w:tc>
      </w:tr>
      <w:tr w:rsidR="00AF4CE7" w:rsidRPr="00E342AA" w14:paraId="7E98EB9A" w14:textId="77777777" w:rsidTr="001521F8">
        <w:tc>
          <w:tcPr>
            <w:tcW w:w="1604" w:type="dxa"/>
            <w:tcBorders>
              <w:top w:val="single" w:sz="4" w:space="0" w:color="auto"/>
            </w:tcBorders>
          </w:tcPr>
          <w:p w14:paraId="7339F64C" w14:textId="77777777" w:rsidR="00AF4CE7" w:rsidRPr="009F318F" w:rsidRDefault="00AF4CE7" w:rsidP="00AF4CE7">
            <w:pPr>
              <w:pStyle w:val="4"/>
              <w:keepNext w:val="0"/>
              <w:bidi w:val="0"/>
              <w:ind w:right="57"/>
              <w:jc w:val="right"/>
              <w:rPr>
                <w:i/>
                <w:iCs/>
                <w:sz w:val="13"/>
                <w:szCs w:val="13"/>
                <w:u w:val="none"/>
              </w:rPr>
            </w:pPr>
          </w:p>
        </w:tc>
        <w:tc>
          <w:tcPr>
            <w:tcW w:w="2665" w:type="dxa"/>
            <w:shd w:val="clear" w:color="auto" w:fill="auto"/>
            <w:vAlign w:val="bottom"/>
          </w:tcPr>
          <w:p w14:paraId="11AAC5A3"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5F6CB3C9"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683A215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91E52CA"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3B5AC1BC"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3C72589"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29F7C340"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10A36DC"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1FE749C6"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705FF15"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0C178D6B" w14:textId="77777777" w:rsidR="00AF4CE7" w:rsidRPr="009F318F" w:rsidRDefault="00AF4CE7" w:rsidP="00AF4CE7">
            <w:pPr>
              <w:tabs>
                <w:tab w:val="decimal" w:pos="113"/>
              </w:tabs>
              <w:spacing w:line="220" w:lineRule="exact"/>
              <w:rPr>
                <w:szCs w:val="22"/>
                <w:rtl/>
              </w:rPr>
            </w:pPr>
          </w:p>
        </w:tc>
      </w:tr>
      <w:tr w:rsidR="00AF4CE7" w:rsidRPr="00E342AA" w14:paraId="22E668F4" w14:textId="77777777" w:rsidTr="001521F8">
        <w:tc>
          <w:tcPr>
            <w:tcW w:w="1604" w:type="dxa"/>
            <w:tcBorders>
              <w:bottom w:val="single" w:sz="6" w:space="0" w:color="auto"/>
              <w:right w:val="single" w:sz="6" w:space="0" w:color="auto"/>
            </w:tcBorders>
            <w:vAlign w:val="center"/>
          </w:tcPr>
          <w:p w14:paraId="4B9379D1" w14:textId="77777777" w:rsidR="00AF4CE7" w:rsidRPr="009F318F" w:rsidRDefault="00AF4CE7" w:rsidP="00AF4CE7">
            <w:pPr>
              <w:pStyle w:val="4"/>
              <w:keepNext w:val="0"/>
              <w:bidi w:val="0"/>
              <w:ind w:right="57"/>
              <w:jc w:val="right"/>
              <w:rPr>
                <w:i/>
                <w:iCs/>
                <w:sz w:val="13"/>
                <w:szCs w:val="13"/>
                <w:u w:val="none"/>
              </w:rPr>
            </w:pPr>
            <w:r w:rsidRPr="009F318F">
              <w:rPr>
                <w:i/>
                <w:iCs/>
                <w:sz w:val="13"/>
                <w:szCs w:val="13"/>
                <w:u w:val="none"/>
              </w:rPr>
              <w:t>IAS 1.85</w:t>
            </w:r>
          </w:p>
        </w:tc>
        <w:tc>
          <w:tcPr>
            <w:tcW w:w="2665" w:type="dxa"/>
            <w:tcBorders>
              <w:left w:val="single" w:sz="6" w:space="0" w:color="auto"/>
            </w:tcBorders>
            <w:shd w:val="clear" w:color="auto" w:fill="auto"/>
            <w:vAlign w:val="bottom"/>
          </w:tcPr>
          <w:p w14:paraId="73B51EF7" w14:textId="77777777" w:rsidR="00AF4CE7" w:rsidRPr="009F318F" w:rsidRDefault="00AF4CE7" w:rsidP="00AF4CE7">
            <w:pPr>
              <w:pStyle w:val="a3"/>
              <w:spacing w:line="220" w:lineRule="exact"/>
              <w:ind w:left="227" w:hanging="170"/>
              <w:rPr>
                <w:szCs w:val="22"/>
              </w:rPr>
            </w:pPr>
            <w:r w:rsidRPr="009F318F">
              <w:rPr>
                <w:rFonts w:hint="cs"/>
                <w:szCs w:val="22"/>
                <w:rtl/>
              </w:rPr>
              <w:t>רווח (הפסד) לפני מסים על ההכנסה</w:t>
            </w:r>
          </w:p>
        </w:tc>
        <w:tc>
          <w:tcPr>
            <w:tcW w:w="113" w:type="dxa"/>
            <w:shd w:val="clear" w:color="auto" w:fill="auto"/>
            <w:vAlign w:val="bottom"/>
          </w:tcPr>
          <w:p w14:paraId="0671D3FC" w14:textId="77777777" w:rsidR="00AF4CE7" w:rsidRPr="009F318F" w:rsidRDefault="00AF4CE7" w:rsidP="00AF4CE7">
            <w:pPr>
              <w:spacing w:line="220" w:lineRule="exact"/>
              <w:rPr>
                <w:szCs w:val="22"/>
              </w:rPr>
            </w:pPr>
          </w:p>
        </w:tc>
        <w:tc>
          <w:tcPr>
            <w:tcW w:w="907" w:type="dxa"/>
            <w:vAlign w:val="bottom"/>
          </w:tcPr>
          <w:p w14:paraId="57DE0D8A"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7CBA3A4D"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F5B8DA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655952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C490649"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78831308"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77E050D"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894BA56"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1CBD3D53" w14:textId="77777777" w:rsidR="00AF4CE7" w:rsidRPr="009F318F" w:rsidRDefault="00AF4CE7" w:rsidP="00AF4CE7">
            <w:pPr>
              <w:tabs>
                <w:tab w:val="decimal" w:pos="113"/>
              </w:tabs>
              <w:spacing w:line="220" w:lineRule="exact"/>
              <w:rPr>
                <w:szCs w:val="22"/>
                <w:rtl/>
              </w:rPr>
            </w:pPr>
          </w:p>
        </w:tc>
      </w:tr>
      <w:tr w:rsidR="00AF4CE7" w:rsidRPr="00E342AA" w14:paraId="36C432AC" w14:textId="77777777" w:rsidTr="001521F8">
        <w:tc>
          <w:tcPr>
            <w:tcW w:w="1604" w:type="dxa"/>
            <w:tcBorders>
              <w:top w:val="single" w:sz="6" w:space="0" w:color="auto"/>
              <w:bottom w:val="single" w:sz="6" w:space="0" w:color="auto"/>
              <w:right w:val="single" w:sz="6" w:space="0" w:color="auto"/>
            </w:tcBorders>
          </w:tcPr>
          <w:p w14:paraId="7C551D46"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12.77; IAS 1.82(d)</w:t>
            </w:r>
          </w:p>
        </w:tc>
        <w:tc>
          <w:tcPr>
            <w:tcW w:w="2665" w:type="dxa"/>
            <w:tcBorders>
              <w:left w:val="single" w:sz="6" w:space="0" w:color="auto"/>
            </w:tcBorders>
            <w:shd w:val="clear" w:color="auto" w:fill="auto"/>
            <w:vAlign w:val="bottom"/>
          </w:tcPr>
          <w:p w14:paraId="6850EEF4" w14:textId="77777777" w:rsidR="00AF4CE7" w:rsidRPr="009F318F" w:rsidRDefault="00AF4CE7" w:rsidP="00AF4CE7">
            <w:pPr>
              <w:pStyle w:val="a3"/>
              <w:spacing w:line="220" w:lineRule="exact"/>
              <w:ind w:left="227" w:hanging="170"/>
              <w:rPr>
                <w:szCs w:val="22"/>
              </w:rPr>
            </w:pPr>
            <w:r w:rsidRPr="009F318F">
              <w:rPr>
                <w:rFonts w:hint="cs"/>
                <w:szCs w:val="22"/>
                <w:rtl/>
              </w:rPr>
              <w:t>מסים על ההכנסה (הטבת מס)</w:t>
            </w:r>
          </w:p>
        </w:tc>
        <w:tc>
          <w:tcPr>
            <w:tcW w:w="113" w:type="dxa"/>
            <w:shd w:val="clear" w:color="auto" w:fill="auto"/>
            <w:vAlign w:val="bottom"/>
          </w:tcPr>
          <w:p w14:paraId="03EBEF78"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0D4E867E"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88A5695"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0E285E8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DC051EA"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1613602B"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005D0327"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0B4EA51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3214158"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0DD4C632" w14:textId="77777777" w:rsidR="00AF4CE7" w:rsidRPr="009F318F" w:rsidRDefault="00AF4CE7" w:rsidP="00AF4CE7">
            <w:pPr>
              <w:tabs>
                <w:tab w:val="decimal" w:pos="113"/>
              </w:tabs>
              <w:spacing w:line="220" w:lineRule="exact"/>
              <w:rPr>
                <w:szCs w:val="22"/>
                <w:rtl/>
              </w:rPr>
            </w:pPr>
          </w:p>
        </w:tc>
      </w:tr>
      <w:tr w:rsidR="00AF4CE7" w:rsidRPr="00E342AA" w14:paraId="0901960A" w14:textId="77777777" w:rsidTr="001521F8">
        <w:tc>
          <w:tcPr>
            <w:tcW w:w="1604" w:type="dxa"/>
            <w:tcBorders>
              <w:top w:val="single" w:sz="6" w:space="0" w:color="auto"/>
            </w:tcBorders>
          </w:tcPr>
          <w:p w14:paraId="1FD8C767" w14:textId="77777777" w:rsidR="00AF4CE7" w:rsidRPr="009F318F" w:rsidRDefault="00AF4CE7" w:rsidP="00AF4CE7">
            <w:pPr>
              <w:pStyle w:val="4"/>
              <w:keepNext w:val="0"/>
              <w:bidi w:val="0"/>
              <w:ind w:right="57"/>
              <w:jc w:val="right"/>
              <w:rPr>
                <w:i/>
                <w:iCs/>
                <w:sz w:val="13"/>
                <w:szCs w:val="13"/>
                <w:u w:val="none"/>
              </w:rPr>
            </w:pPr>
          </w:p>
        </w:tc>
        <w:tc>
          <w:tcPr>
            <w:tcW w:w="2665" w:type="dxa"/>
            <w:shd w:val="clear" w:color="auto" w:fill="auto"/>
            <w:vAlign w:val="bottom"/>
          </w:tcPr>
          <w:p w14:paraId="5A6688DE"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2A9D8D4F"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7942CF4F"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3181212"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1D7A067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D57F453"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2450B36"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0DCC0896"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7722088"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056EA88"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4170372D" w14:textId="77777777" w:rsidR="00AF4CE7" w:rsidRPr="009F318F" w:rsidRDefault="00AF4CE7" w:rsidP="00AF4CE7">
            <w:pPr>
              <w:tabs>
                <w:tab w:val="decimal" w:pos="113"/>
              </w:tabs>
              <w:spacing w:line="220" w:lineRule="exact"/>
              <w:rPr>
                <w:szCs w:val="22"/>
                <w:rtl/>
              </w:rPr>
            </w:pPr>
          </w:p>
        </w:tc>
      </w:tr>
      <w:tr w:rsidR="00AF4CE7" w:rsidRPr="00E342AA" w14:paraId="5802FBC9" w14:textId="77777777" w:rsidTr="001521F8">
        <w:tc>
          <w:tcPr>
            <w:tcW w:w="1604" w:type="dxa"/>
            <w:tcBorders>
              <w:bottom w:val="single" w:sz="6" w:space="0" w:color="auto"/>
              <w:right w:val="single" w:sz="6" w:space="0" w:color="auto"/>
            </w:tcBorders>
          </w:tcPr>
          <w:p w14:paraId="1CE5A533"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1.85</w:t>
            </w:r>
          </w:p>
        </w:tc>
        <w:tc>
          <w:tcPr>
            <w:tcW w:w="2665" w:type="dxa"/>
            <w:tcBorders>
              <w:left w:val="single" w:sz="6" w:space="0" w:color="auto"/>
            </w:tcBorders>
            <w:shd w:val="clear" w:color="auto" w:fill="auto"/>
            <w:vAlign w:val="bottom"/>
          </w:tcPr>
          <w:p w14:paraId="30FF4568" w14:textId="77777777" w:rsidR="00AF4CE7" w:rsidRPr="009F318F" w:rsidRDefault="00AF4CE7" w:rsidP="00AF4CE7">
            <w:pPr>
              <w:spacing w:line="220" w:lineRule="exact"/>
              <w:ind w:left="227" w:hanging="170"/>
              <w:rPr>
                <w:szCs w:val="22"/>
              </w:rPr>
            </w:pPr>
            <w:r w:rsidRPr="009F318F">
              <w:rPr>
                <w:rFonts w:hint="cs"/>
                <w:szCs w:val="22"/>
                <w:rtl/>
              </w:rPr>
              <w:t>רווח (הפסד) מפעילויות נמשכות</w:t>
            </w:r>
          </w:p>
        </w:tc>
        <w:tc>
          <w:tcPr>
            <w:tcW w:w="113" w:type="dxa"/>
            <w:shd w:val="clear" w:color="auto" w:fill="auto"/>
            <w:vAlign w:val="bottom"/>
          </w:tcPr>
          <w:p w14:paraId="4C16833E" w14:textId="77777777" w:rsidR="00AF4CE7" w:rsidRPr="009F318F" w:rsidRDefault="00AF4CE7" w:rsidP="00AF4CE7">
            <w:pPr>
              <w:spacing w:line="220" w:lineRule="exact"/>
              <w:rPr>
                <w:szCs w:val="22"/>
              </w:rPr>
            </w:pPr>
          </w:p>
        </w:tc>
        <w:tc>
          <w:tcPr>
            <w:tcW w:w="907" w:type="dxa"/>
            <w:shd w:val="clear" w:color="auto" w:fill="auto"/>
            <w:vAlign w:val="bottom"/>
          </w:tcPr>
          <w:p w14:paraId="16B5C0E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55B666E3"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195EDCD"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FD0BB6B"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5B2F1EF"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3CF80D4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3214FA2"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FF8A53B"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00E7CF29" w14:textId="77777777" w:rsidR="00AF4CE7" w:rsidRPr="009F318F" w:rsidRDefault="00AF4CE7" w:rsidP="00AF4CE7">
            <w:pPr>
              <w:tabs>
                <w:tab w:val="decimal" w:pos="113"/>
              </w:tabs>
              <w:spacing w:line="220" w:lineRule="exact"/>
              <w:rPr>
                <w:szCs w:val="22"/>
                <w:rtl/>
              </w:rPr>
            </w:pPr>
          </w:p>
        </w:tc>
      </w:tr>
      <w:tr w:rsidR="00AF4CE7" w:rsidRPr="00E342AA" w14:paraId="7566F5A5" w14:textId="77777777" w:rsidTr="001521F8">
        <w:tc>
          <w:tcPr>
            <w:tcW w:w="1604" w:type="dxa"/>
            <w:tcBorders>
              <w:top w:val="single" w:sz="6" w:space="0" w:color="auto"/>
            </w:tcBorders>
          </w:tcPr>
          <w:p w14:paraId="05822817" w14:textId="77777777" w:rsidR="00AF4CE7" w:rsidRPr="009F318F" w:rsidRDefault="00AF4CE7" w:rsidP="00AF4CE7">
            <w:pPr>
              <w:pStyle w:val="4"/>
              <w:keepNext w:val="0"/>
              <w:bidi w:val="0"/>
              <w:ind w:right="57"/>
              <w:jc w:val="right"/>
              <w:rPr>
                <w:i/>
                <w:iCs/>
                <w:sz w:val="13"/>
                <w:szCs w:val="13"/>
                <w:u w:val="none"/>
              </w:rPr>
            </w:pPr>
          </w:p>
        </w:tc>
        <w:tc>
          <w:tcPr>
            <w:tcW w:w="2665" w:type="dxa"/>
            <w:shd w:val="clear" w:color="auto" w:fill="auto"/>
            <w:vAlign w:val="bottom"/>
          </w:tcPr>
          <w:p w14:paraId="6D489FAB"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16224E7F" w14:textId="77777777" w:rsidR="00AF4CE7" w:rsidRPr="009F318F" w:rsidRDefault="00AF4CE7" w:rsidP="00AF4CE7">
            <w:pPr>
              <w:spacing w:line="220" w:lineRule="exact"/>
              <w:rPr>
                <w:szCs w:val="22"/>
              </w:rPr>
            </w:pPr>
          </w:p>
        </w:tc>
        <w:tc>
          <w:tcPr>
            <w:tcW w:w="907" w:type="dxa"/>
            <w:vAlign w:val="bottom"/>
          </w:tcPr>
          <w:p w14:paraId="3D2A1CDA"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3A1B250"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3D4255B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4E03A15"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9210C3A"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3DEC352"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33F7E7B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88264C0"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4D5FF5D6" w14:textId="77777777" w:rsidR="00AF4CE7" w:rsidRPr="009F318F" w:rsidRDefault="00AF4CE7" w:rsidP="00AF4CE7">
            <w:pPr>
              <w:tabs>
                <w:tab w:val="decimal" w:pos="113"/>
              </w:tabs>
              <w:spacing w:line="220" w:lineRule="exact"/>
              <w:rPr>
                <w:szCs w:val="22"/>
                <w:rtl/>
              </w:rPr>
            </w:pPr>
          </w:p>
        </w:tc>
      </w:tr>
      <w:tr w:rsidR="00AF4CE7" w:rsidRPr="00E342AA" w14:paraId="701CB647" w14:textId="77777777" w:rsidTr="001521F8">
        <w:tc>
          <w:tcPr>
            <w:tcW w:w="1604" w:type="dxa"/>
            <w:tcBorders>
              <w:bottom w:val="single" w:sz="6" w:space="0" w:color="auto"/>
              <w:right w:val="single" w:sz="6" w:space="0" w:color="auto"/>
            </w:tcBorders>
            <w:vAlign w:val="center"/>
          </w:tcPr>
          <w:p w14:paraId="09EAB228"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1.82(e); IFRS 5.33(a)</w:t>
            </w:r>
          </w:p>
        </w:tc>
        <w:tc>
          <w:tcPr>
            <w:tcW w:w="2665" w:type="dxa"/>
            <w:tcBorders>
              <w:left w:val="single" w:sz="6" w:space="0" w:color="auto"/>
            </w:tcBorders>
            <w:shd w:val="clear" w:color="auto" w:fill="auto"/>
            <w:vAlign w:val="bottom"/>
          </w:tcPr>
          <w:p w14:paraId="0BC15BB6" w14:textId="77777777" w:rsidR="00AF4CE7" w:rsidRDefault="00AF4CE7" w:rsidP="00AF4CE7">
            <w:pPr>
              <w:spacing w:line="220" w:lineRule="exact"/>
              <w:ind w:left="227" w:hanging="170"/>
              <w:jc w:val="left"/>
              <w:rPr>
                <w:szCs w:val="22"/>
              </w:rPr>
            </w:pPr>
            <w:r w:rsidRPr="009F318F">
              <w:rPr>
                <w:rFonts w:hint="cs"/>
                <w:szCs w:val="22"/>
                <w:rtl/>
              </w:rPr>
              <w:t>רווח (הפסד) מפעילויות שהופסקו, נטו</w:t>
            </w:r>
          </w:p>
        </w:tc>
        <w:tc>
          <w:tcPr>
            <w:tcW w:w="113" w:type="dxa"/>
            <w:shd w:val="clear" w:color="auto" w:fill="auto"/>
            <w:vAlign w:val="bottom"/>
          </w:tcPr>
          <w:p w14:paraId="13E80AEB"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47F79CE2"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014A56D5"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1BF1DCD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8B28F3C"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652DAF53"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4ABE007"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0BE38A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C90E6F1"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6DF877E6" w14:textId="77777777" w:rsidR="00AF4CE7" w:rsidRPr="009F318F" w:rsidRDefault="00AF4CE7" w:rsidP="00AF4CE7">
            <w:pPr>
              <w:tabs>
                <w:tab w:val="decimal" w:pos="113"/>
              </w:tabs>
              <w:spacing w:line="220" w:lineRule="exact"/>
              <w:rPr>
                <w:szCs w:val="22"/>
                <w:rtl/>
              </w:rPr>
            </w:pPr>
          </w:p>
        </w:tc>
      </w:tr>
      <w:tr w:rsidR="00AF4CE7" w:rsidRPr="00E342AA" w14:paraId="3FC4AB97" w14:textId="77777777" w:rsidTr="001521F8">
        <w:tc>
          <w:tcPr>
            <w:tcW w:w="1604" w:type="dxa"/>
            <w:tcBorders>
              <w:top w:val="single" w:sz="6" w:space="0" w:color="auto"/>
            </w:tcBorders>
          </w:tcPr>
          <w:p w14:paraId="1889A839"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740751DE" w14:textId="77777777" w:rsidR="00AF4CE7" w:rsidRPr="009F318F" w:rsidRDefault="00AF4CE7" w:rsidP="00AF4CE7">
            <w:pPr>
              <w:spacing w:line="220" w:lineRule="exact"/>
              <w:ind w:left="227" w:hanging="170"/>
              <w:rPr>
                <w:szCs w:val="22"/>
                <w:rtl/>
              </w:rPr>
            </w:pPr>
          </w:p>
        </w:tc>
        <w:tc>
          <w:tcPr>
            <w:tcW w:w="113" w:type="dxa"/>
            <w:shd w:val="clear" w:color="auto" w:fill="auto"/>
            <w:vAlign w:val="bottom"/>
          </w:tcPr>
          <w:p w14:paraId="57DCB692"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4954E1DF"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5869F1E4"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73719569"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77DD853"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1E0D9AB"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0A0B5615"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FF218C0"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5AC75A3"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3429B9AB" w14:textId="77777777" w:rsidR="00AF4CE7" w:rsidRPr="009F318F" w:rsidRDefault="00AF4CE7" w:rsidP="00AF4CE7">
            <w:pPr>
              <w:tabs>
                <w:tab w:val="decimal" w:pos="113"/>
              </w:tabs>
              <w:spacing w:line="220" w:lineRule="exact"/>
              <w:rPr>
                <w:szCs w:val="22"/>
                <w:rtl/>
              </w:rPr>
            </w:pPr>
          </w:p>
        </w:tc>
      </w:tr>
      <w:tr w:rsidR="00AF4CE7" w:rsidRPr="00E342AA" w14:paraId="4B04A9CF" w14:textId="77777777" w:rsidTr="001521F8">
        <w:tc>
          <w:tcPr>
            <w:tcW w:w="1604" w:type="dxa"/>
            <w:tcBorders>
              <w:bottom w:val="single" w:sz="6" w:space="0" w:color="auto"/>
              <w:right w:val="single" w:sz="6" w:space="0" w:color="auto"/>
            </w:tcBorders>
          </w:tcPr>
          <w:p w14:paraId="76F78ADB"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1.82(f)</w:t>
            </w:r>
          </w:p>
        </w:tc>
        <w:tc>
          <w:tcPr>
            <w:tcW w:w="2665" w:type="dxa"/>
            <w:tcBorders>
              <w:left w:val="single" w:sz="6" w:space="0" w:color="auto"/>
            </w:tcBorders>
            <w:shd w:val="clear" w:color="auto" w:fill="auto"/>
            <w:vAlign w:val="bottom"/>
          </w:tcPr>
          <w:p w14:paraId="1196ECF2" w14:textId="77777777" w:rsidR="00AF4CE7" w:rsidRPr="009F318F" w:rsidRDefault="00AF4CE7" w:rsidP="00AF4CE7">
            <w:pPr>
              <w:spacing w:line="220" w:lineRule="exact"/>
              <w:ind w:left="227" w:hanging="170"/>
              <w:rPr>
                <w:szCs w:val="22"/>
                <w:rtl/>
              </w:rPr>
            </w:pPr>
            <w:r w:rsidRPr="009F318F">
              <w:rPr>
                <w:rFonts w:hint="cs"/>
                <w:szCs w:val="22"/>
                <w:rtl/>
              </w:rPr>
              <w:t xml:space="preserve">רווח נקי (הפסד) </w:t>
            </w:r>
          </w:p>
        </w:tc>
        <w:tc>
          <w:tcPr>
            <w:tcW w:w="113" w:type="dxa"/>
            <w:shd w:val="clear" w:color="auto" w:fill="auto"/>
            <w:vAlign w:val="bottom"/>
          </w:tcPr>
          <w:p w14:paraId="660CBD47"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11C643EF"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7E28D3F4"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F583751"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64F0C0B"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518DF84F"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E7BC158"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CB5343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EA12DB9"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1863E2E8" w14:textId="77777777" w:rsidR="00AF4CE7" w:rsidRPr="009F318F" w:rsidRDefault="00AF4CE7" w:rsidP="00AF4CE7">
            <w:pPr>
              <w:tabs>
                <w:tab w:val="decimal" w:pos="113"/>
              </w:tabs>
              <w:spacing w:line="220" w:lineRule="exact"/>
              <w:rPr>
                <w:szCs w:val="22"/>
                <w:rtl/>
              </w:rPr>
            </w:pPr>
          </w:p>
        </w:tc>
      </w:tr>
    </w:tbl>
    <w:p w14:paraId="0CF347A3" w14:textId="77777777" w:rsidR="001018AD" w:rsidRDefault="00E342AA" w:rsidP="002F0A8F">
      <w:pPr>
        <w:pStyle w:val="1"/>
        <w:spacing w:line="240" w:lineRule="auto"/>
        <w:rPr>
          <w:rtl/>
        </w:rPr>
      </w:pPr>
      <w:r>
        <w:br w:type="page"/>
      </w:r>
      <w:r>
        <w:rPr>
          <w:rFonts w:hint="cs"/>
          <w:rtl/>
        </w:rPr>
        <w:lastRenderedPageBreak/>
        <w:t xml:space="preserve">דוחות מאוחדים על </w:t>
      </w:r>
      <w:r w:rsidR="00101909">
        <w:rPr>
          <w:rFonts w:hint="cs"/>
          <w:rtl/>
        </w:rPr>
        <w:t>רווח או הפסד ו</w:t>
      </w:r>
      <w:r>
        <w:rPr>
          <w:rFonts w:hint="cs"/>
          <w:rtl/>
        </w:rPr>
        <w:t>רווח</w:t>
      </w:r>
      <w:r w:rsidR="00101909">
        <w:rPr>
          <w:rFonts w:hint="cs"/>
          <w:rtl/>
        </w:rPr>
        <w:t xml:space="preserve"> </w:t>
      </w:r>
      <w:r>
        <w:rPr>
          <w:rFonts w:hint="cs"/>
          <w:rtl/>
        </w:rPr>
        <w:t>כולל</w:t>
      </w:r>
      <w:r w:rsidR="00A0191D">
        <w:rPr>
          <w:rFonts w:hint="cs"/>
          <w:rtl/>
        </w:rPr>
        <w:t xml:space="preserve"> </w:t>
      </w:r>
      <w:r w:rsidR="00101909">
        <w:rPr>
          <w:rFonts w:hint="cs"/>
          <w:rtl/>
        </w:rPr>
        <w:t>אחר</w:t>
      </w:r>
      <w:r w:rsidR="002F0A8F">
        <w:rPr>
          <w:rFonts w:hint="cs"/>
          <w:rtl/>
        </w:rPr>
        <w:t xml:space="preserve"> (המשך)</w:t>
      </w:r>
    </w:p>
    <w:p w14:paraId="5603C1F8" w14:textId="77777777" w:rsidR="001B1350" w:rsidRPr="001B1350" w:rsidRDefault="001B1350" w:rsidP="001B1350">
      <w:pPr>
        <w:rPr>
          <w:rtl/>
        </w:rPr>
      </w:pPr>
    </w:p>
    <w:tbl>
      <w:tblPr>
        <w:bidiVisual/>
        <w:tblW w:w="9696" w:type="dxa"/>
        <w:tblInd w:w="-120" w:type="dxa"/>
        <w:tblLayout w:type="fixed"/>
        <w:tblCellMar>
          <w:left w:w="0" w:type="dxa"/>
          <w:right w:w="0" w:type="dxa"/>
        </w:tblCellMar>
        <w:tblLook w:val="01E0" w:firstRow="1" w:lastRow="1" w:firstColumn="1" w:lastColumn="1" w:noHBand="0" w:noVBand="0"/>
      </w:tblPr>
      <w:tblGrid>
        <w:gridCol w:w="1409"/>
        <w:gridCol w:w="2902"/>
        <w:gridCol w:w="113"/>
        <w:gridCol w:w="841"/>
        <w:gridCol w:w="66"/>
        <w:gridCol w:w="113"/>
        <w:gridCol w:w="907"/>
        <w:gridCol w:w="113"/>
        <w:gridCol w:w="907"/>
        <w:gridCol w:w="113"/>
        <w:gridCol w:w="907"/>
        <w:gridCol w:w="113"/>
        <w:gridCol w:w="1192"/>
      </w:tblGrid>
      <w:tr w:rsidR="001B1350" w:rsidRPr="00037153" w14:paraId="4A6B8D0B" w14:textId="77777777" w:rsidTr="006B7985">
        <w:tc>
          <w:tcPr>
            <w:tcW w:w="1409" w:type="dxa"/>
            <w:tcBorders>
              <w:bottom w:val="single" w:sz="6" w:space="0" w:color="auto"/>
              <w:right w:val="single" w:sz="6" w:space="0" w:color="auto"/>
            </w:tcBorders>
            <w:vAlign w:val="center"/>
          </w:tcPr>
          <w:p w14:paraId="7A998B54" w14:textId="77777777" w:rsidR="001B1350" w:rsidRPr="00225368" w:rsidRDefault="001B1350" w:rsidP="000E53E9">
            <w:pPr>
              <w:tabs>
                <w:tab w:val="left" w:pos="227"/>
                <w:tab w:val="left" w:pos="397"/>
                <w:tab w:val="left" w:pos="567"/>
              </w:tabs>
              <w:bidi w:val="0"/>
              <w:spacing w:line="200" w:lineRule="exact"/>
              <w:ind w:right="113"/>
              <w:jc w:val="right"/>
              <w:rPr>
                <w:i/>
                <w:iCs/>
                <w:sz w:val="14"/>
                <w:szCs w:val="16"/>
              </w:rPr>
            </w:pPr>
            <w:r w:rsidRPr="00225368">
              <w:rPr>
                <w:i/>
                <w:iCs/>
                <w:sz w:val="14"/>
                <w:szCs w:val="16"/>
              </w:rPr>
              <w:t>IAS 1.10(b); IAS 1.51(b), (c); IAS 1.81(b); IAS 34.10</w:t>
            </w:r>
          </w:p>
        </w:tc>
        <w:tc>
          <w:tcPr>
            <w:tcW w:w="2902" w:type="dxa"/>
            <w:tcBorders>
              <w:left w:val="single" w:sz="6" w:space="0" w:color="auto"/>
            </w:tcBorders>
            <w:shd w:val="clear" w:color="auto" w:fill="auto"/>
            <w:vAlign w:val="bottom"/>
          </w:tcPr>
          <w:p w14:paraId="6F832021" w14:textId="77777777" w:rsidR="001B1350" w:rsidRPr="00037153" w:rsidRDefault="001B1350" w:rsidP="000E53E9">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147493B1" w14:textId="77777777" w:rsidR="001B1350" w:rsidRPr="00037153" w:rsidRDefault="001B1350" w:rsidP="000E53E9">
            <w:pPr>
              <w:spacing w:line="200" w:lineRule="exact"/>
              <w:rPr>
                <w:sz w:val="18"/>
                <w:szCs w:val="20"/>
                <w:rtl/>
              </w:rPr>
            </w:pPr>
          </w:p>
        </w:tc>
        <w:tc>
          <w:tcPr>
            <w:tcW w:w="1927" w:type="dxa"/>
            <w:gridSpan w:val="4"/>
            <w:tcBorders>
              <w:bottom w:val="single" w:sz="6" w:space="0" w:color="auto"/>
            </w:tcBorders>
            <w:shd w:val="clear" w:color="auto" w:fill="auto"/>
            <w:vAlign w:val="bottom"/>
          </w:tcPr>
          <w:p w14:paraId="5752B0F6" w14:textId="77777777" w:rsidR="001B1350" w:rsidRPr="00037153" w:rsidRDefault="001B1350" w:rsidP="000E53E9">
            <w:pPr>
              <w:spacing w:line="200" w:lineRule="exact"/>
              <w:jc w:val="center"/>
              <w:rPr>
                <w:sz w:val="18"/>
                <w:szCs w:val="20"/>
                <w:rtl/>
              </w:rPr>
            </w:pPr>
            <w:r w:rsidRPr="00037153">
              <w:rPr>
                <w:rFonts w:hint="eastAsia"/>
                <w:sz w:val="18"/>
                <w:szCs w:val="20"/>
                <w:rtl/>
              </w:rPr>
              <w:t>ל</w:t>
            </w:r>
            <w:r w:rsidRPr="00037153">
              <w:rPr>
                <w:sz w:val="18"/>
                <w:szCs w:val="20"/>
                <w:rtl/>
              </w:rPr>
              <w:t xml:space="preserve">-9 </w:t>
            </w:r>
            <w:r w:rsidRPr="00037153">
              <w:rPr>
                <w:rFonts w:hint="eastAsia"/>
                <w:sz w:val="18"/>
                <w:szCs w:val="20"/>
                <w:rtl/>
              </w:rPr>
              <w:t>החודשים</w:t>
            </w:r>
            <w:r w:rsidRPr="00037153">
              <w:rPr>
                <w:sz w:val="18"/>
                <w:szCs w:val="20"/>
                <w:rtl/>
              </w:rPr>
              <w:t xml:space="preserve"> </w:t>
            </w:r>
            <w:r w:rsidRPr="00037153">
              <w:rPr>
                <w:rFonts w:hint="eastAsia"/>
                <w:sz w:val="18"/>
                <w:szCs w:val="20"/>
                <w:rtl/>
              </w:rPr>
              <w:t>שהסתיימו</w:t>
            </w:r>
            <w:r w:rsidRPr="00037153">
              <w:rPr>
                <w:sz w:val="18"/>
                <w:szCs w:val="20"/>
                <w:rtl/>
              </w:rPr>
              <w:t xml:space="preserve"> </w:t>
            </w:r>
            <w:r w:rsidRPr="00037153">
              <w:rPr>
                <w:rFonts w:hint="eastAsia"/>
                <w:sz w:val="18"/>
                <w:szCs w:val="20"/>
                <w:rtl/>
              </w:rPr>
              <w:t>ביום</w:t>
            </w:r>
            <w:r w:rsidRPr="00037153">
              <w:rPr>
                <w:sz w:val="18"/>
                <w:szCs w:val="20"/>
                <w:rtl/>
              </w:rPr>
              <w:t xml:space="preserve"> 30 </w:t>
            </w:r>
            <w:r w:rsidRPr="00037153">
              <w:rPr>
                <w:rFonts w:hint="eastAsia"/>
                <w:sz w:val="18"/>
                <w:szCs w:val="20"/>
                <w:rtl/>
              </w:rPr>
              <w:t>בספטמבר</w:t>
            </w:r>
          </w:p>
        </w:tc>
        <w:tc>
          <w:tcPr>
            <w:tcW w:w="113" w:type="dxa"/>
            <w:shd w:val="clear" w:color="auto" w:fill="auto"/>
            <w:vAlign w:val="bottom"/>
          </w:tcPr>
          <w:p w14:paraId="1A5BA808" w14:textId="77777777" w:rsidR="001B1350" w:rsidRPr="00037153" w:rsidRDefault="001B1350" w:rsidP="000E53E9">
            <w:pPr>
              <w:spacing w:line="200" w:lineRule="exact"/>
              <w:jc w:val="center"/>
              <w:rPr>
                <w:sz w:val="18"/>
                <w:szCs w:val="20"/>
              </w:rPr>
            </w:pPr>
          </w:p>
        </w:tc>
        <w:tc>
          <w:tcPr>
            <w:tcW w:w="1927" w:type="dxa"/>
            <w:gridSpan w:val="3"/>
            <w:tcBorders>
              <w:bottom w:val="single" w:sz="6" w:space="0" w:color="auto"/>
            </w:tcBorders>
            <w:shd w:val="clear" w:color="auto" w:fill="auto"/>
            <w:vAlign w:val="bottom"/>
          </w:tcPr>
          <w:p w14:paraId="494A0C81" w14:textId="77777777" w:rsidR="001B1350" w:rsidRPr="00037153" w:rsidRDefault="001B1350" w:rsidP="000E53E9">
            <w:pPr>
              <w:spacing w:line="200" w:lineRule="exact"/>
              <w:jc w:val="center"/>
              <w:rPr>
                <w:sz w:val="18"/>
                <w:szCs w:val="20"/>
                <w:rtl/>
              </w:rPr>
            </w:pPr>
            <w:r w:rsidRPr="00037153">
              <w:rPr>
                <w:rFonts w:hint="eastAsia"/>
                <w:sz w:val="18"/>
                <w:szCs w:val="20"/>
                <w:rtl/>
              </w:rPr>
              <w:t>ל</w:t>
            </w:r>
            <w:r w:rsidRPr="00037153">
              <w:rPr>
                <w:sz w:val="18"/>
                <w:szCs w:val="20"/>
                <w:rtl/>
              </w:rPr>
              <w:t xml:space="preserve">-3 </w:t>
            </w:r>
            <w:r w:rsidRPr="00037153">
              <w:rPr>
                <w:rFonts w:hint="eastAsia"/>
                <w:sz w:val="18"/>
                <w:szCs w:val="20"/>
                <w:rtl/>
              </w:rPr>
              <w:t>החודשים</w:t>
            </w:r>
            <w:r w:rsidRPr="00037153">
              <w:rPr>
                <w:sz w:val="18"/>
                <w:szCs w:val="20"/>
                <w:rtl/>
              </w:rPr>
              <w:t xml:space="preserve"> </w:t>
            </w:r>
            <w:r w:rsidRPr="00037153">
              <w:rPr>
                <w:rFonts w:hint="eastAsia"/>
                <w:sz w:val="18"/>
                <w:szCs w:val="20"/>
                <w:rtl/>
              </w:rPr>
              <w:t>שהסתיימו</w:t>
            </w:r>
            <w:r w:rsidRPr="00037153">
              <w:rPr>
                <w:sz w:val="18"/>
                <w:szCs w:val="20"/>
                <w:rtl/>
              </w:rPr>
              <w:t xml:space="preserve"> </w:t>
            </w:r>
            <w:r w:rsidRPr="00037153">
              <w:rPr>
                <w:rFonts w:hint="eastAsia"/>
                <w:sz w:val="18"/>
                <w:szCs w:val="20"/>
                <w:rtl/>
              </w:rPr>
              <w:t>ביום</w:t>
            </w:r>
            <w:r w:rsidRPr="00037153">
              <w:rPr>
                <w:sz w:val="18"/>
                <w:szCs w:val="20"/>
                <w:rtl/>
              </w:rPr>
              <w:t xml:space="preserve"> 30 </w:t>
            </w:r>
            <w:r w:rsidRPr="00037153">
              <w:rPr>
                <w:rFonts w:hint="eastAsia"/>
                <w:sz w:val="18"/>
                <w:szCs w:val="20"/>
                <w:rtl/>
              </w:rPr>
              <w:t>בספטמבר</w:t>
            </w:r>
          </w:p>
        </w:tc>
        <w:tc>
          <w:tcPr>
            <w:tcW w:w="113" w:type="dxa"/>
            <w:shd w:val="clear" w:color="auto" w:fill="auto"/>
            <w:vAlign w:val="bottom"/>
          </w:tcPr>
          <w:p w14:paraId="38CE8349" w14:textId="77777777" w:rsidR="001B1350" w:rsidRPr="00037153" w:rsidRDefault="001B1350" w:rsidP="000E53E9">
            <w:pPr>
              <w:tabs>
                <w:tab w:val="decimal" w:pos="113"/>
              </w:tabs>
              <w:spacing w:line="200" w:lineRule="exact"/>
              <w:jc w:val="center"/>
              <w:rPr>
                <w:sz w:val="18"/>
                <w:szCs w:val="20"/>
              </w:rPr>
            </w:pPr>
          </w:p>
        </w:tc>
        <w:tc>
          <w:tcPr>
            <w:tcW w:w="1192" w:type="dxa"/>
            <w:shd w:val="clear" w:color="auto" w:fill="auto"/>
            <w:vAlign w:val="bottom"/>
          </w:tcPr>
          <w:p w14:paraId="658F59DD" w14:textId="77777777" w:rsidR="001B1350" w:rsidRPr="00037153" w:rsidRDefault="001B1350" w:rsidP="000E53E9">
            <w:pPr>
              <w:spacing w:line="200" w:lineRule="exact"/>
              <w:jc w:val="center"/>
              <w:rPr>
                <w:sz w:val="18"/>
                <w:szCs w:val="20"/>
                <w:rtl/>
              </w:rPr>
            </w:pPr>
            <w:r w:rsidRPr="00037153">
              <w:rPr>
                <w:rFonts w:hint="eastAsia"/>
                <w:sz w:val="18"/>
                <w:szCs w:val="20"/>
                <w:rtl/>
              </w:rPr>
              <w:t>לשנה</w:t>
            </w:r>
            <w:r w:rsidRPr="00037153">
              <w:rPr>
                <w:sz w:val="18"/>
                <w:szCs w:val="20"/>
                <w:rtl/>
              </w:rPr>
              <w:t xml:space="preserve"> </w:t>
            </w:r>
            <w:r w:rsidRPr="00037153">
              <w:rPr>
                <w:rFonts w:hint="eastAsia"/>
                <w:sz w:val="18"/>
                <w:szCs w:val="20"/>
                <w:rtl/>
              </w:rPr>
              <w:t>שהסתיימה</w:t>
            </w:r>
            <w:r w:rsidRPr="00037153">
              <w:rPr>
                <w:sz w:val="18"/>
                <w:szCs w:val="20"/>
                <w:rtl/>
              </w:rPr>
              <w:t xml:space="preserve"> </w:t>
            </w:r>
            <w:r w:rsidRPr="00037153">
              <w:rPr>
                <w:rFonts w:hint="eastAsia"/>
                <w:sz w:val="18"/>
                <w:szCs w:val="20"/>
                <w:rtl/>
              </w:rPr>
              <w:t>ביום</w:t>
            </w:r>
          </w:p>
          <w:p w14:paraId="47776507" w14:textId="77777777" w:rsidR="001B1350" w:rsidRPr="00037153" w:rsidRDefault="001B1350" w:rsidP="000E53E9">
            <w:pPr>
              <w:spacing w:line="200" w:lineRule="exact"/>
              <w:jc w:val="center"/>
              <w:rPr>
                <w:sz w:val="18"/>
                <w:szCs w:val="20"/>
                <w:rtl/>
              </w:rPr>
            </w:pPr>
            <w:r w:rsidRPr="00037153">
              <w:rPr>
                <w:sz w:val="18"/>
                <w:szCs w:val="20"/>
                <w:rtl/>
              </w:rPr>
              <w:t xml:space="preserve">31 </w:t>
            </w:r>
            <w:r w:rsidRPr="00037153">
              <w:rPr>
                <w:rFonts w:hint="eastAsia"/>
                <w:sz w:val="18"/>
                <w:szCs w:val="20"/>
                <w:rtl/>
              </w:rPr>
              <w:t>בדצמבר</w:t>
            </w:r>
          </w:p>
        </w:tc>
      </w:tr>
      <w:tr w:rsidR="001B1350" w:rsidRPr="00037153" w14:paraId="593B4D96" w14:textId="77777777" w:rsidTr="006B7985">
        <w:tc>
          <w:tcPr>
            <w:tcW w:w="1409" w:type="dxa"/>
            <w:tcBorders>
              <w:top w:val="single" w:sz="6" w:space="0" w:color="auto"/>
            </w:tcBorders>
          </w:tcPr>
          <w:p w14:paraId="1B0EAE1F"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shd w:val="clear" w:color="auto" w:fill="auto"/>
            <w:vAlign w:val="bottom"/>
          </w:tcPr>
          <w:p w14:paraId="1D3AADE9" w14:textId="77777777" w:rsidR="001B1350" w:rsidRPr="00037153" w:rsidRDefault="001B1350" w:rsidP="000E53E9">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6F2E8488" w14:textId="77777777" w:rsidR="001B1350" w:rsidRPr="00037153" w:rsidRDefault="001B1350" w:rsidP="000E53E9">
            <w:pPr>
              <w:spacing w:line="200" w:lineRule="exact"/>
              <w:rPr>
                <w:sz w:val="18"/>
                <w:szCs w:val="20"/>
                <w:rtl/>
              </w:rPr>
            </w:pPr>
          </w:p>
        </w:tc>
        <w:tc>
          <w:tcPr>
            <w:tcW w:w="907" w:type="dxa"/>
            <w:gridSpan w:val="2"/>
            <w:tcBorders>
              <w:bottom w:val="single" w:sz="6" w:space="0" w:color="auto"/>
            </w:tcBorders>
            <w:shd w:val="clear" w:color="auto" w:fill="auto"/>
            <w:vAlign w:val="bottom"/>
          </w:tcPr>
          <w:p w14:paraId="669F3AC8" w14:textId="77777777" w:rsidR="001B1350" w:rsidRPr="00AF4CE7" w:rsidRDefault="001B1350" w:rsidP="000E53E9">
            <w:pPr>
              <w:spacing w:line="180" w:lineRule="exact"/>
              <w:jc w:val="center"/>
              <w:rPr>
                <w:szCs w:val="20"/>
                <w:u w:val="single"/>
              </w:rPr>
            </w:pPr>
            <w:r w:rsidRPr="00AF4CE7">
              <w:rPr>
                <w:rFonts w:hint="cs"/>
                <w:szCs w:val="20"/>
                <w:rtl/>
              </w:rPr>
              <w:t>2019</w:t>
            </w:r>
          </w:p>
        </w:tc>
        <w:tc>
          <w:tcPr>
            <w:tcW w:w="113" w:type="dxa"/>
            <w:vAlign w:val="bottom"/>
          </w:tcPr>
          <w:p w14:paraId="059F01B9" w14:textId="77777777" w:rsidR="001B1350" w:rsidRPr="00AF4CE7" w:rsidRDefault="001B1350" w:rsidP="000E53E9">
            <w:pPr>
              <w:spacing w:line="180" w:lineRule="exact"/>
              <w:jc w:val="center"/>
              <w:rPr>
                <w:szCs w:val="20"/>
              </w:rPr>
            </w:pPr>
          </w:p>
        </w:tc>
        <w:tc>
          <w:tcPr>
            <w:tcW w:w="907" w:type="dxa"/>
            <w:tcBorders>
              <w:bottom w:val="single" w:sz="6" w:space="0" w:color="auto"/>
            </w:tcBorders>
            <w:shd w:val="clear" w:color="auto" w:fill="auto"/>
            <w:vAlign w:val="bottom"/>
          </w:tcPr>
          <w:p w14:paraId="4011BB5F" w14:textId="77777777" w:rsidR="001B1350" w:rsidRPr="00AF4CE7" w:rsidRDefault="001B1350" w:rsidP="000E53E9">
            <w:pPr>
              <w:spacing w:line="180" w:lineRule="exact"/>
              <w:jc w:val="center"/>
              <w:rPr>
                <w:szCs w:val="20"/>
                <w:u w:val="single"/>
              </w:rPr>
            </w:pPr>
            <w:r w:rsidRPr="00AF4CE7">
              <w:rPr>
                <w:rFonts w:hint="cs"/>
                <w:szCs w:val="20"/>
                <w:rtl/>
              </w:rPr>
              <w:t>2018</w:t>
            </w:r>
          </w:p>
        </w:tc>
        <w:tc>
          <w:tcPr>
            <w:tcW w:w="113" w:type="dxa"/>
            <w:shd w:val="clear" w:color="auto" w:fill="auto"/>
            <w:vAlign w:val="bottom"/>
          </w:tcPr>
          <w:p w14:paraId="034E08F4" w14:textId="77777777" w:rsidR="001B1350" w:rsidRPr="00AF4CE7" w:rsidRDefault="001B1350" w:rsidP="000E53E9">
            <w:pPr>
              <w:spacing w:line="180" w:lineRule="exact"/>
              <w:jc w:val="center"/>
              <w:rPr>
                <w:szCs w:val="20"/>
              </w:rPr>
            </w:pPr>
          </w:p>
        </w:tc>
        <w:tc>
          <w:tcPr>
            <w:tcW w:w="907" w:type="dxa"/>
            <w:tcBorders>
              <w:bottom w:val="single" w:sz="6" w:space="0" w:color="auto"/>
            </w:tcBorders>
            <w:shd w:val="clear" w:color="auto" w:fill="auto"/>
            <w:vAlign w:val="bottom"/>
          </w:tcPr>
          <w:p w14:paraId="63BA1928" w14:textId="77777777" w:rsidR="001B1350" w:rsidRPr="00AF4CE7" w:rsidRDefault="001B1350" w:rsidP="000E53E9">
            <w:pPr>
              <w:spacing w:line="180" w:lineRule="exact"/>
              <w:jc w:val="center"/>
              <w:rPr>
                <w:szCs w:val="20"/>
                <w:u w:val="single"/>
              </w:rPr>
            </w:pPr>
            <w:r w:rsidRPr="00AF4CE7">
              <w:rPr>
                <w:rFonts w:hint="cs"/>
                <w:szCs w:val="20"/>
                <w:rtl/>
              </w:rPr>
              <w:t>2019</w:t>
            </w:r>
          </w:p>
        </w:tc>
        <w:tc>
          <w:tcPr>
            <w:tcW w:w="113" w:type="dxa"/>
            <w:shd w:val="clear" w:color="auto" w:fill="auto"/>
            <w:vAlign w:val="bottom"/>
          </w:tcPr>
          <w:p w14:paraId="75640D4A" w14:textId="77777777" w:rsidR="001B1350" w:rsidRPr="00AF4CE7" w:rsidRDefault="001B1350" w:rsidP="000E53E9">
            <w:pPr>
              <w:spacing w:line="180" w:lineRule="exact"/>
              <w:jc w:val="center"/>
              <w:rPr>
                <w:szCs w:val="20"/>
              </w:rPr>
            </w:pPr>
          </w:p>
        </w:tc>
        <w:tc>
          <w:tcPr>
            <w:tcW w:w="907" w:type="dxa"/>
            <w:tcBorders>
              <w:bottom w:val="single" w:sz="6" w:space="0" w:color="auto"/>
            </w:tcBorders>
            <w:shd w:val="clear" w:color="auto" w:fill="auto"/>
            <w:vAlign w:val="bottom"/>
          </w:tcPr>
          <w:p w14:paraId="1A5EC719" w14:textId="77777777" w:rsidR="001B1350" w:rsidRPr="00AF4CE7" w:rsidRDefault="001B1350" w:rsidP="000E53E9">
            <w:pPr>
              <w:spacing w:line="180" w:lineRule="exact"/>
              <w:jc w:val="center"/>
              <w:rPr>
                <w:szCs w:val="20"/>
                <w:u w:val="single"/>
              </w:rPr>
            </w:pPr>
            <w:r w:rsidRPr="00AF4CE7">
              <w:rPr>
                <w:rFonts w:hint="cs"/>
                <w:szCs w:val="20"/>
                <w:rtl/>
              </w:rPr>
              <w:t>2018</w:t>
            </w:r>
          </w:p>
        </w:tc>
        <w:tc>
          <w:tcPr>
            <w:tcW w:w="113" w:type="dxa"/>
            <w:shd w:val="clear" w:color="auto" w:fill="auto"/>
            <w:vAlign w:val="bottom"/>
          </w:tcPr>
          <w:p w14:paraId="4108BD42" w14:textId="77777777" w:rsidR="001B1350" w:rsidRPr="00AF4CE7" w:rsidRDefault="001B1350" w:rsidP="000E53E9">
            <w:pPr>
              <w:tabs>
                <w:tab w:val="decimal" w:pos="113"/>
              </w:tabs>
              <w:spacing w:line="200" w:lineRule="exact"/>
              <w:jc w:val="center"/>
              <w:rPr>
                <w:szCs w:val="20"/>
              </w:rPr>
            </w:pPr>
          </w:p>
        </w:tc>
        <w:tc>
          <w:tcPr>
            <w:tcW w:w="1192" w:type="dxa"/>
            <w:tcBorders>
              <w:bottom w:val="single" w:sz="6" w:space="0" w:color="auto"/>
            </w:tcBorders>
            <w:shd w:val="clear" w:color="auto" w:fill="auto"/>
            <w:vAlign w:val="bottom"/>
          </w:tcPr>
          <w:p w14:paraId="07516924" w14:textId="77777777" w:rsidR="001B1350" w:rsidRPr="00AF4CE7" w:rsidRDefault="001B1350" w:rsidP="000E53E9">
            <w:pPr>
              <w:spacing w:line="200" w:lineRule="exact"/>
              <w:jc w:val="center"/>
              <w:rPr>
                <w:szCs w:val="20"/>
                <w:u w:val="single"/>
                <w:rtl/>
              </w:rPr>
            </w:pPr>
            <w:r w:rsidRPr="00AF4CE7">
              <w:rPr>
                <w:rFonts w:hint="cs"/>
                <w:szCs w:val="20"/>
                <w:rtl/>
              </w:rPr>
              <w:t>2018</w:t>
            </w:r>
          </w:p>
        </w:tc>
      </w:tr>
      <w:tr w:rsidR="001B1350" w:rsidRPr="00037153" w14:paraId="3B5811E5" w14:textId="77777777" w:rsidTr="006B7985">
        <w:tc>
          <w:tcPr>
            <w:tcW w:w="1409" w:type="dxa"/>
          </w:tcPr>
          <w:p w14:paraId="531C6695"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shd w:val="clear" w:color="auto" w:fill="auto"/>
            <w:vAlign w:val="bottom"/>
          </w:tcPr>
          <w:p w14:paraId="03983BF9" w14:textId="77777777" w:rsidR="001B1350" w:rsidRPr="00037153" w:rsidRDefault="001B1350" w:rsidP="000E53E9">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02416AC5" w14:textId="77777777" w:rsidR="001B1350" w:rsidRPr="00037153" w:rsidRDefault="001B1350" w:rsidP="000E53E9">
            <w:pPr>
              <w:spacing w:line="200" w:lineRule="exact"/>
              <w:rPr>
                <w:sz w:val="18"/>
                <w:szCs w:val="20"/>
                <w:rtl/>
              </w:rPr>
            </w:pPr>
          </w:p>
        </w:tc>
        <w:tc>
          <w:tcPr>
            <w:tcW w:w="3967" w:type="dxa"/>
            <w:gridSpan w:val="8"/>
            <w:tcBorders>
              <w:bottom w:val="single" w:sz="6" w:space="0" w:color="auto"/>
            </w:tcBorders>
            <w:shd w:val="clear" w:color="auto" w:fill="auto"/>
            <w:vAlign w:val="bottom"/>
          </w:tcPr>
          <w:p w14:paraId="22A9BA98" w14:textId="77777777" w:rsidR="001B1350" w:rsidRPr="00037153" w:rsidRDefault="001B1350" w:rsidP="000E53E9">
            <w:pPr>
              <w:spacing w:line="200" w:lineRule="exact"/>
              <w:jc w:val="center"/>
              <w:rPr>
                <w:sz w:val="18"/>
                <w:szCs w:val="20"/>
              </w:rPr>
            </w:pPr>
            <w:r w:rsidRPr="00037153">
              <w:rPr>
                <w:rFonts w:hint="eastAsia"/>
                <w:sz w:val="18"/>
                <w:szCs w:val="20"/>
                <w:rtl/>
              </w:rPr>
              <w:t>בלתי</w:t>
            </w:r>
            <w:r w:rsidRPr="00037153">
              <w:rPr>
                <w:sz w:val="18"/>
                <w:szCs w:val="20"/>
                <w:rtl/>
              </w:rPr>
              <w:t xml:space="preserve"> </w:t>
            </w:r>
            <w:r w:rsidRPr="00037153">
              <w:rPr>
                <w:rFonts w:hint="eastAsia"/>
                <w:sz w:val="18"/>
                <w:szCs w:val="20"/>
                <w:rtl/>
              </w:rPr>
              <w:t>מבוקר</w:t>
            </w:r>
          </w:p>
        </w:tc>
        <w:tc>
          <w:tcPr>
            <w:tcW w:w="113" w:type="dxa"/>
            <w:shd w:val="clear" w:color="auto" w:fill="auto"/>
            <w:vAlign w:val="bottom"/>
          </w:tcPr>
          <w:p w14:paraId="64682772" w14:textId="77777777" w:rsidR="001B1350" w:rsidRPr="00037153" w:rsidRDefault="001B1350" w:rsidP="000E53E9">
            <w:pPr>
              <w:tabs>
                <w:tab w:val="decimal" w:pos="113"/>
              </w:tabs>
              <w:spacing w:line="200" w:lineRule="exact"/>
              <w:jc w:val="center"/>
              <w:rPr>
                <w:sz w:val="18"/>
                <w:szCs w:val="20"/>
              </w:rPr>
            </w:pPr>
          </w:p>
        </w:tc>
        <w:tc>
          <w:tcPr>
            <w:tcW w:w="1192" w:type="dxa"/>
            <w:tcBorders>
              <w:bottom w:val="single" w:sz="6" w:space="0" w:color="auto"/>
            </w:tcBorders>
            <w:shd w:val="clear" w:color="auto" w:fill="auto"/>
            <w:vAlign w:val="bottom"/>
          </w:tcPr>
          <w:p w14:paraId="0ABE232C" w14:textId="77777777" w:rsidR="001B1350" w:rsidRPr="00037153" w:rsidRDefault="001B1350" w:rsidP="000E53E9">
            <w:pPr>
              <w:spacing w:line="200" w:lineRule="exact"/>
              <w:jc w:val="center"/>
              <w:rPr>
                <w:sz w:val="18"/>
                <w:szCs w:val="20"/>
              </w:rPr>
            </w:pPr>
            <w:r w:rsidRPr="00037153">
              <w:rPr>
                <w:rFonts w:hint="eastAsia"/>
                <w:sz w:val="18"/>
                <w:szCs w:val="20"/>
                <w:rtl/>
              </w:rPr>
              <w:t>מבוקר</w:t>
            </w:r>
          </w:p>
        </w:tc>
      </w:tr>
      <w:tr w:rsidR="001B1350" w:rsidRPr="00037153" w14:paraId="536EA588" w14:textId="77777777" w:rsidTr="006B7985">
        <w:tc>
          <w:tcPr>
            <w:tcW w:w="1409" w:type="dxa"/>
          </w:tcPr>
          <w:p w14:paraId="3CB35FE6" w14:textId="77777777" w:rsidR="001B1350" w:rsidRPr="00037153" w:rsidRDefault="001B1350" w:rsidP="000E53E9">
            <w:pPr>
              <w:pStyle w:val="a3"/>
              <w:tabs>
                <w:tab w:val="left" w:pos="227"/>
                <w:tab w:val="left" w:pos="397"/>
                <w:tab w:val="left" w:pos="567"/>
              </w:tabs>
              <w:bidi w:val="0"/>
              <w:spacing w:line="200" w:lineRule="exact"/>
              <w:ind w:left="0" w:right="113"/>
              <w:jc w:val="right"/>
              <w:rPr>
                <w:i/>
                <w:iCs/>
                <w:sz w:val="18"/>
                <w:szCs w:val="20"/>
                <w:rtl/>
              </w:rPr>
            </w:pPr>
          </w:p>
        </w:tc>
        <w:tc>
          <w:tcPr>
            <w:tcW w:w="2902" w:type="dxa"/>
            <w:shd w:val="clear" w:color="auto" w:fill="auto"/>
            <w:vAlign w:val="bottom"/>
          </w:tcPr>
          <w:p w14:paraId="4872CF00" w14:textId="77777777" w:rsidR="001B1350" w:rsidRPr="00037153" w:rsidRDefault="001B1350" w:rsidP="000E53E9">
            <w:pPr>
              <w:pStyle w:val="a3"/>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777C01AC" w14:textId="77777777" w:rsidR="001B1350" w:rsidRPr="00037153" w:rsidRDefault="001B1350" w:rsidP="000E53E9">
            <w:pPr>
              <w:tabs>
                <w:tab w:val="decimal" w:pos="113"/>
              </w:tabs>
              <w:spacing w:line="200" w:lineRule="exact"/>
              <w:ind w:left="57"/>
              <w:rPr>
                <w:sz w:val="18"/>
                <w:szCs w:val="20"/>
              </w:rPr>
            </w:pPr>
          </w:p>
        </w:tc>
        <w:tc>
          <w:tcPr>
            <w:tcW w:w="841" w:type="dxa"/>
            <w:tcBorders>
              <w:bottom w:val="single" w:sz="6" w:space="0" w:color="auto"/>
            </w:tcBorders>
            <w:shd w:val="clear" w:color="auto" w:fill="auto"/>
            <w:vAlign w:val="bottom"/>
          </w:tcPr>
          <w:p w14:paraId="6B59190B" w14:textId="77777777" w:rsidR="001B1350" w:rsidRPr="00225368" w:rsidRDefault="001B1350" w:rsidP="000E53E9">
            <w:pPr>
              <w:spacing w:line="200" w:lineRule="exact"/>
              <w:jc w:val="center"/>
              <w:rPr>
                <w:sz w:val="14"/>
                <w:szCs w:val="16"/>
                <w:u w:val="single"/>
              </w:rPr>
            </w:pPr>
            <w:r w:rsidRPr="00225368">
              <w:rPr>
                <w:i/>
                <w:iCs/>
                <w:sz w:val="14"/>
                <w:szCs w:val="16"/>
              </w:rPr>
              <w:t>IAS 1.51(d),(e)</w:t>
            </w:r>
          </w:p>
        </w:tc>
        <w:tc>
          <w:tcPr>
            <w:tcW w:w="4431" w:type="dxa"/>
            <w:gridSpan w:val="9"/>
            <w:tcBorders>
              <w:bottom w:val="single" w:sz="6" w:space="0" w:color="auto"/>
            </w:tcBorders>
            <w:shd w:val="clear" w:color="auto" w:fill="auto"/>
            <w:vAlign w:val="bottom"/>
          </w:tcPr>
          <w:p w14:paraId="5422BB0C" w14:textId="77777777" w:rsidR="001B1350" w:rsidRPr="00037153" w:rsidRDefault="001B1350" w:rsidP="000E53E9">
            <w:pPr>
              <w:spacing w:line="200" w:lineRule="exact"/>
              <w:ind w:left="-284"/>
              <w:jc w:val="center"/>
              <w:rPr>
                <w:sz w:val="18"/>
                <w:szCs w:val="20"/>
                <w:u w:val="single"/>
              </w:rPr>
            </w:pPr>
            <w:r w:rsidRPr="00037153">
              <w:rPr>
                <w:rFonts w:hint="eastAsia"/>
                <w:sz w:val="18"/>
                <w:szCs w:val="20"/>
                <w:rtl/>
              </w:rPr>
              <w:t>אלפי</w:t>
            </w:r>
            <w:r w:rsidRPr="00037153">
              <w:rPr>
                <w:sz w:val="18"/>
                <w:szCs w:val="20"/>
                <w:rtl/>
              </w:rPr>
              <w:t xml:space="preserve"> </w:t>
            </w:r>
            <w:r w:rsidRPr="00037153">
              <w:rPr>
                <w:rFonts w:hint="eastAsia"/>
                <w:sz w:val="18"/>
                <w:szCs w:val="20"/>
                <w:rtl/>
              </w:rPr>
              <w:t>ש</w:t>
            </w:r>
            <w:r w:rsidRPr="00037153">
              <w:rPr>
                <w:sz w:val="18"/>
                <w:szCs w:val="20"/>
                <w:rtl/>
              </w:rPr>
              <w:t>"ח</w:t>
            </w:r>
          </w:p>
        </w:tc>
      </w:tr>
      <w:tr w:rsidR="001B1350" w:rsidRPr="00037153" w14:paraId="5FC580B4" w14:textId="77777777" w:rsidTr="006B7985">
        <w:tc>
          <w:tcPr>
            <w:tcW w:w="1409" w:type="dxa"/>
          </w:tcPr>
          <w:p w14:paraId="56D13B01"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shd w:val="clear" w:color="auto" w:fill="auto"/>
            <w:vAlign w:val="bottom"/>
          </w:tcPr>
          <w:p w14:paraId="33D18515" w14:textId="77777777" w:rsidR="001B1350" w:rsidRPr="00037153" w:rsidRDefault="001B1350" w:rsidP="000E53E9">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07EB49CE" w14:textId="77777777" w:rsidR="001B1350" w:rsidRPr="00037153" w:rsidRDefault="001B1350" w:rsidP="000E53E9">
            <w:pPr>
              <w:spacing w:line="200" w:lineRule="exact"/>
              <w:rPr>
                <w:sz w:val="18"/>
                <w:szCs w:val="20"/>
              </w:rPr>
            </w:pPr>
          </w:p>
        </w:tc>
        <w:tc>
          <w:tcPr>
            <w:tcW w:w="907" w:type="dxa"/>
            <w:gridSpan w:val="2"/>
            <w:tcBorders>
              <w:top w:val="single" w:sz="6" w:space="0" w:color="auto"/>
            </w:tcBorders>
            <w:vAlign w:val="bottom"/>
          </w:tcPr>
          <w:p w14:paraId="687B08C6" w14:textId="77777777" w:rsidR="001B1350" w:rsidRPr="00037153" w:rsidRDefault="001B1350" w:rsidP="000E53E9">
            <w:pPr>
              <w:tabs>
                <w:tab w:val="decimal" w:pos="113"/>
              </w:tabs>
              <w:spacing w:line="200" w:lineRule="exact"/>
              <w:rPr>
                <w:sz w:val="18"/>
                <w:szCs w:val="20"/>
                <w:rtl/>
              </w:rPr>
            </w:pPr>
          </w:p>
        </w:tc>
        <w:tc>
          <w:tcPr>
            <w:tcW w:w="113" w:type="dxa"/>
            <w:tcBorders>
              <w:top w:val="single" w:sz="6" w:space="0" w:color="auto"/>
            </w:tcBorders>
            <w:vAlign w:val="bottom"/>
          </w:tcPr>
          <w:p w14:paraId="530C82D3" w14:textId="77777777" w:rsidR="001B1350" w:rsidRPr="00037153" w:rsidRDefault="001B1350" w:rsidP="000E53E9">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2203ABE6" w14:textId="77777777" w:rsidR="001B1350" w:rsidRPr="00037153" w:rsidRDefault="001B1350" w:rsidP="000E53E9">
            <w:pPr>
              <w:tabs>
                <w:tab w:val="decimal" w:pos="113"/>
              </w:tabs>
              <w:spacing w:line="200" w:lineRule="exact"/>
              <w:rPr>
                <w:sz w:val="18"/>
                <w:szCs w:val="20"/>
              </w:rPr>
            </w:pPr>
          </w:p>
        </w:tc>
        <w:tc>
          <w:tcPr>
            <w:tcW w:w="113" w:type="dxa"/>
            <w:tcBorders>
              <w:top w:val="single" w:sz="6" w:space="0" w:color="auto"/>
            </w:tcBorders>
            <w:shd w:val="clear" w:color="auto" w:fill="auto"/>
            <w:vAlign w:val="bottom"/>
          </w:tcPr>
          <w:p w14:paraId="01E668D4" w14:textId="77777777" w:rsidR="001B1350" w:rsidRPr="00037153" w:rsidRDefault="001B1350" w:rsidP="000E53E9">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7F50516C" w14:textId="77777777" w:rsidR="001B1350" w:rsidRPr="00037153" w:rsidRDefault="001B1350" w:rsidP="000E53E9">
            <w:pPr>
              <w:tabs>
                <w:tab w:val="decimal" w:pos="113"/>
              </w:tabs>
              <w:spacing w:line="200" w:lineRule="exact"/>
              <w:rPr>
                <w:sz w:val="18"/>
                <w:szCs w:val="20"/>
                <w:rtl/>
              </w:rPr>
            </w:pPr>
          </w:p>
        </w:tc>
        <w:tc>
          <w:tcPr>
            <w:tcW w:w="113" w:type="dxa"/>
            <w:tcBorders>
              <w:top w:val="single" w:sz="6" w:space="0" w:color="auto"/>
            </w:tcBorders>
            <w:shd w:val="clear" w:color="auto" w:fill="auto"/>
            <w:vAlign w:val="bottom"/>
          </w:tcPr>
          <w:p w14:paraId="47509638" w14:textId="77777777" w:rsidR="001B1350" w:rsidRPr="00037153" w:rsidRDefault="001B1350" w:rsidP="000E53E9">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799FC82B" w14:textId="77777777" w:rsidR="001B1350" w:rsidRPr="00037153" w:rsidRDefault="001B1350" w:rsidP="000E53E9">
            <w:pPr>
              <w:tabs>
                <w:tab w:val="decimal" w:pos="113"/>
              </w:tabs>
              <w:spacing w:line="200" w:lineRule="exact"/>
              <w:rPr>
                <w:sz w:val="18"/>
                <w:szCs w:val="20"/>
              </w:rPr>
            </w:pPr>
          </w:p>
        </w:tc>
        <w:tc>
          <w:tcPr>
            <w:tcW w:w="113" w:type="dxa"/>
            <w:tcBorders>
              <w:top w:val="single" w:sz="6" w:space="0" w:color="auto"/>
            </w:tcBorders>
            <w:shd w:val="clear" w:color="auto" w:fill="auto"/>
            <w:vAlign w:val="bottom"/>
          </w:tcPr>
          <w:p w14:paraId="01CF140F" w14:textId="77777777" w:rsidR="001B1350" w:rsidRPr="00037153" w:rsidRDefault="001B1350" w:rsidP="000E53E9">
            <w:pPr>
              <w:tabs>
                <w:tab w:val="decimal" w:pos="113"/>
              </w:tabs>
              <w:spacing w:line="200" w:lineRule="exact"/>
              <w:rPr>
                <w:sz w:val="18"/>
                <w:szCs w:val="20"/>
              </w:rPr>
            </w:pPr>
          </w:p>
        </w:tc>
        <w:tc>
          <w:tcPr>
            <w:tcW w:w="1192" w:type="dxa"/>
            <w:tcBorders>
              <w:top w:val="single" w:sz="6" w:space="0" w:color="auto"/>
            </w:tcBorders>
            <w:shd w:val="clear" w:color="auto" w:fill="auto"/>
            <w:vAlign w:val="bottom"/>
          </w:tcPr>
          <w:p w14:paraId="00412F70" w14:textId="77777777" w:rsidR="001B1350" w:rsidRPr="00037153" w:rsidRDefault="001B1350" w:rsidP="000E53E9">
            <w:pPr>
              <w:tabs>
                <w:tab w:val="decimal" w:pos="113"/>
              </w:tabs>
              <w:spacing w:line="200" w:lineRule="exact"/>
              <w:rPr>
                <w:sz w:val="18"/>
                <w:szCs w:val="20"/>
                <w:rtl/>
              </w:rPr>
            </w:pPr>
          </w:p>
        </w:tc>
      </w:tr>
      <w:tr w:rsidR="001B1350" w:rsidRPr="00037153" w14:paraId="098A5219" w14:textId="77777777" w:rsidTr="006B7985">
        <w:tc>
          <w:tcPr>
            <w:tcW w:w="1409" w:type="dxa"/>
            <w:tcBorders>
              <w:bottom w:val="single" w:sz="4" w:space="0" w:color="auto"/>
              <w:right w:val="single" w:sz="6" w:space="0" w:color="auto"/>
            </w:tcBorders>
          </w:tcPr>
          <w:p w14:paraId="28281CE4"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IAS 1.82A; IAS 1.90</w:t>
            </w:r>
          </w:p>
        </w:tc>
        <w:tc>
          <w:tcPr>
            <w:tcW w:w="2902" w:type="dxa"/>
            <w:tcBorders>
              <w:left w:val="single" w:sz="6" w:space="0" w:color="auto"/>
            </w:tcBorders>
            <w:shd w:val="clear" w:color="auto" w:fill="auto"/>
            <w:vAlign w:val="bottom"/>
          </w:tcPr>
          <w:p w14:paraId="25E90EF4"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(הפסד) </w:t>
            </w:r>
            <w:r w:rsidRPr="00037153">
              <w:rPr>
                <w:rFonts w:hint="eastAsia"/>
                <w:sz w:val="18"/>
                <w:szCs w:val="20"/>
                <w:rtl/>
              </w:rPr>
              <w:t>כולל</w:t>
            </w:r>
            <w:r w:rsidRPr="00037153">
              <w:rPr>
                <w:sz w:val="18"/>
                <w:szCs w:val="20"/>
                <w:rtl/>
              </w:rPr>
              <w:t xml:space="preserve"> </w:t>
            </w:r>
            <w:r w:rsidRPr="00037153">
              <w:rPr>
                <w:rFonts w:hint="eastAsia"/>
                <w:sz w:val="18"/>
                <w:szCs w:val="20"/>
                <w:rtl/>
              </w:rPr>
              <w:t>אחר</w:t>
            </w:r>
            <w:r w:rsidRPr="00037153">
              <w:rPr>
                <w:rStyle w:val="ab"/>
                <w:sz w:val="18"/>
                <w:szCs w:val="20"/>
                <w:rtl/>
              </w:rPr>
              <w:footnoteReference w:id="25"/>
            </w:r>
            <w:r w:rsidRPr="00037153">
              <w:rPr>
                <w:sz w:val="18"/>
                <w:szCs w:val="20"/>
                <w:rtl/>
              </w:rPr>
              <w:t xml:space="preserve"> (לאחר השפעת המס):</w:t>
            </w:r>
          </w:p>
        </w:tc>
        <w:tc>
          <w:tcPr>
            <w:tcW w:w="113" w:type="dxa"/>
            <w:shd w:val="clear" w:color="auto" w:fill="auto"/>
            <w:vAlign w:val="bottom"/>
          </w:tcPr>
          <w:p w14:paraId="78EF5BFD" w14:textId="77777777" w:rsidR="001B1350" w:rsidRPr="00037153" w:rsidRDefault="001B1350" w:rsidP="000E53E9">
            <w:pPr>
              <w:spacing w:line="200" w:lineRule="exact"/>
              <w:rPr>
                <w:sz w:val="18"/>
                <w:szCs w:val="20"/>
              </w:rPr>
            </w:pPr>
          </w:p>
        </w:tc>
        <w:tc>
          <w:tcPr>
            <w:tcW w:w="907" w:type="dxa"/>
            <w:gridSpan w:val="2"/>
            <w:vAlign w:val="bottom"/>
          </w:tcPr>
          <w:p w14:paraId="11A8DF57"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168CCBC6"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32722321"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5FBA654E"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CCD43A5"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39A8D068"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C4FF9DA"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4330F264"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47CFCA22" w14:textId="77777777" w:rsidR="001B1350" w:rsidRPr="00037153" w:rsidRDefault="001B1350" w:rsidP="000E53E9">
            <w:pPr>
              <w:tabs>
                <w:tab w:val="decimal" w:pos="113"/>
              </w:tabs>
              <w:spacing w:line="200" w:lineRule="exact"/>
              <w:rPr>
                <w:sz w:val="18"/>
                <w:szCs w:val="20"/>
                <w:rtl/>
              </w:rPr>
            </w:pPr>
          </w:p>
        </w:tc>
      </w:tr>
      <w:tr w:rsidR="001B1350" w:rsidRPr="00037153" w14:paraId="6416732E" w14:textId="77777777" w:rsidTr="006B7985">
        <w:tc>
          <w:tcPr>
            <w:tcW w:w="1409" w:type="dxa"/>
            <w:tcBorders>
              <w:top w:val="single" w:sz="4" w:space="0" w:color="auto"/>
              <w:right w:val="single" w:sz="6" w:space="0" w:color="auto"/>
            </w:tcBorders>
          </w:tcPr>
          <w:p w14:paraId="1A7C3119"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29743F69" w14:textId="77777777" w:rsidR="001B1350" w:rsidRPr="00037153" w:rsidRDefault="001B1350" w:rsidP="000E53E9">
            <w:pPr>
              <w:widowControl/>
              <w:spacing w:line="200" w:lineRule="exact"/>
              <w:jc w:val="left"/>
              <w:rPr>
                <w:sz w:val="18"/>
                <w:szCs w:val="20"/>
                <w:rtl/>
              </w:rPr>
            </w:pPr>
          </w:p>
        </w:tc>
        <w:tc>
          <w:tcPr>
            <w:tcW w:w="113" w:type="dxa"/>
            <w:shd w:val="clear" w:color="auto" w:fill="auto"/>
            <w:vAlign w:val="bottom"/>
          </w:tcPr>
          <w:p w14:paraId="6BB162E1" w14:textId="77777777" w:rsidR="001B1350" w:rsidRPr="00037153" w:rsidRDefault="001B1350" w:rsidP="000E53E9">
            <w:pPr>
              <w:widowControl/>
              <w:spacing w:line="200" w:lineRule="exact"/>
              <w:rPr>
                <w:sz w:val="18"/>
                <w:szCs w:val="20"/>
              </w:rPr>
            </w:pPr>
          </w:p>
        </w:tc>
        <w:tc>
          <w:tcPr>
            <w:tcW w:w="907" w:type="dxa"/>
            <w:gridSpan w:val="2"/>
            <w:vAlign w:val="bottom"/>
          </w:tcPr>
          <w:p w14:paraId="0F2B3360" w14:textId="77777777" w:rsidR="001B1350" w:rsidRPr="00037153" w:rsidRDefault="001B1350" w:rsidP="000E53E9">
            <w:pPr>
              <w:widowControl/>
              <w:tabs>
                <w:tab w:val="decimal" w:pos="113"/>
              </w:tabs>
              <w:spacing w:line="200" w:lineRule="exact"/>
              <w:rPr>
                <w:sz w:val="18"/>
                <w:szCs w:val="20"/>
                <w:rtl/>
              </w:rPr>
            </w:pPr>
          </w:p>
        </w:tc>
        <w:tc>
          <w:tcPr>
            <w:tcW w:w="113" w:type="dxa"/>
            <w:vAlign w:val="bottom"/>
          </w:tcPr>
          <w:p w14:paraId="075E9111" w14:textId="77777777" w:rsidR="001B1350" w:rsidRPr="00037153" w:rsidRDefault="001B1350" w:rsidP="000E53E9">
            <w:pPr>
              <w:widowControl/>
              <w:tabs>
                <w:tab w:val="decimal" w:pos="113"/>
              </w:tabs>
              <w:spacing w:line="200" w:lineRule="exact"/>
              <w:rPr>
                <w:sz w:val="18"/>
                <w:szCs w:val="20"/>
              </w:rPr>
            </w:pPr>
          </w:p>
        </w:tc>
        <w:tc>
          <w:tcPr>
            <w:tcW w:w="907" w:type="dxa"/>
            <w:shd w:val="clear" w:color="auto" w:fill="auto"/>
            <w:vAlign w:val="bottom"/>
          </w:tcPr>
          <w:p w14:paraId="51EFEC93" w14:textId="77777777" w:rsidR="001B1350" w:rsidRPr="00037153" w:rsidRDefault="001B1350" w:rsidP="000E53E9">
            <w:pPr>
              <w:widowControl/>
              <w:tabs>
                <w:tab w:val="decimal" w:pos="113"/>
              </w:tabs>
              <w:spacing w:line="200" w:lineRule="exact"/>
              <w:rPr>
                <w:sz w:val="18"/>
                <w:szCs w:val="20"/>
              </w:rPr>
            </w:pPr>
          </w:p>
        </w:tc>
        <w:tc>
          <w:tcPr>
            <w:tcW w:w="113" w:type="dxa"/>
            <w:shd w:val="clear" w:color="auto" w:fill="auto"/>
            <w:vAlign w:val="bottom"/>
          </w:tcPr>
          <w:p w14:paraId="7C53B477" w14:textId="77777777" w:rsidR="001B1350" w:rsidRPr="00037153" w:rsidRDefault="001B1350" w:rsidP="000E53E9">
            <w:pPr>
              <w:widowControl/>
              <w:tabs>
                <w:tab w:val="decimal" w:pos="113"/>
              </w:tabs>
              <w:spacing w:line="200" w:lineRule="exact"/>
              <w:rPr>
                <w:sz w:val="18"/>
                <w:szCs w:val="20"/>
              </w:rPr>
            </w:pPr>
          </w:p>
        </w:tc>
        <w:tc>
          <w:tcPr>
            <w:tcW w:w="907" w:type="dxa"/>
            <w:shd w:val="clear" w:color="auto" w:fill="auto"/>
            <w:vAlign w:val="bottom"/>
          </w:tcPr>
          <w:p w14:paraId="323F3D1B" w14:textId="77777777" w:rsidR="001B1350" w:rsidRPr="00037153" w:rsidRDefault="001B1350" w:rsidP="000E53E9">
            <w:pPr>
              <w:widowControl/>
              <w:tabs>
                <w:tab w:val="decimal" w:pos="113"/>
              </w:tabs>
              <w:spacing w:line="200" w:lineRule="exact"/>
              <w:rPr>
                <w:sz w:val="18"/>
                <w:szCs w:val="20"/>
                <w:rtl/>
              </w:rPr>
            </w:pPr>
          </w:p>
        </w:tc>
        <w:tc>
          <w:tcPr>
            <w:tcW w:w="113" w:type="dxa"/>
            <w:shd w:val="clear" w:color="auto" w:fill="auto"/>
            <w:vAlign w:val="bottom"/>
          </w:tcPr>
          <w:p w14:paraId="3F1802A9" w14:textId="77777777" w:rsidR="001B1350" w:rsidRPr="00037153" w:rsidRDefault="001B1350" w:rsidP="000E53E9">
            <w:pPr>
              <w:widowControl/>
              <w:tabs>
                <w:tab w:val="decimal" w:pos="113"/>
              </w:tabs>
              <w:spacing w:line="200" w:lineRule="exact"/>
              <w:rPr>
                <w:sz w:val="18"/>
                <w:szCs w:val="20"/>
              </w:rPr>
            </w:pPr>
          </w:p>
        </w:tc>
        <w:tc>
          <w:tcPr>
            <w:tcW w:w="907" w:type="dxa"/>
            <w:shd w:val="clear" w:color="auto" w:fill="auto"/>
            <w:vAlign w:val="bottom"/>
          </w:tcPr>
          <w:p w14:paraId="172ADCAC" w14:textId="77777777" w:rsidR="001B1350" w:rsidRPr="00037153" w:rsidRDefault="001B1350" w:rsidP="000E53E9">
            <w:pPr>
              <w:widowControl/>
              <w:tabs>
                <w:tab w:val="decimal" w:pos="113"/>
              </w:tabs>
              <w:spacing w:line="200" w:lineRule="exact"/>
              <w:rPr>
                <w:sz w:val="18"/>
                <w:szCs w:val="20"/>
              </w:rPr>
            </w:pPr>
          </w:p>
        </w:tc>
        <w:tc>
          <w:tcPr>
            <w:tcW w:w="113" w:type="dxa"/>
            <w:shd w:val="clear" w:color="auto" w:fill="auto"/>
            <w:vAlign w:val="bottom"/>
          </w:tcPr>
          <w:p w14:paraId="62606CB4" w14:textId="77777777" w:rsidR="001B1350" w:rsidRPr="00037153" w:rsidRDefault="001B1350" w:rsidP="000E53E9">
            <w:pPr>
              <w:widowControl/>
              <w:tabs>
                <w:tab w:val="decimal" w:pos="113"/>
              </w:tabs>
              <w:spacing w:line="200" w:lineRule="exact"/>
              <w:rPr>
                <w:sz w:val="18"/>
                <w:szCs w:val="20"/>
              </w:rPr>
            </w:pPr>
          </w:p>
        </w:tc>
        <w:tc>
          <w:tcPr>
            <w:tcW w:w="1192" w:type="dxa"/>
            <w:shd w:val="clear" w:color="auto" w:fill="auto"/>
            <w:vAlign w:val="bottom"/>
          </w:tcPr>
          <w:p w14:paraId="28371467" w14:textId="77777777" w:rsidR="001B1350" w:rsidRPr="00037153" w:rsidRDefault="001B1350" w:rsidP="000E53E9">
            <w:pPr>
              <w:widowControl/>
              <w:tabs>
                <w:tab w:val="decimal" w:pos="113"/>
              </w:tabs>
              <w:spacing w:line="200" w:lineRule="exact"/>
              <w:rPr>
                <w:sz w:val="18"/>
                <w:szCs w:val="20"/>
                <w:rtl/>
              </w:rPr>
            </w:pPr>
          </w:p>
        </w:tc>
      </w:tr>
      <w:tr w:rsidR="001B1350" w:rsidRPr="00037153" w14:paraId="67AFBA6F" w14:textId="77777777" w:rsidTr="006B7985">
        <w:tc>
          <w:tcPr>
            <w:tcW w:w="1409" w:type="dxa"/>
            <w:tcBorders>
              <w:bottom w:val="single" w:sz="4" w:space="0" w:color="auto"/>
              <w:right w:val="single" w:sz="6" w:space="0" w:color="auto"/>
            </w:tcBorders>
          </w:tcPr>
          <w:p w14:paraId="4C4D9BA7"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r w:rsidRPr="00DD74D5">
              <w:rPr>
                <w:i/>
                <w:iCs/>
                <w:sz w:val="12"/>
                <w:szCs w:val="14"/>
              </w:rPr>
              <w:t>IAS 1.82A</w:t>
            </w:r>
            <w:r>
              <w:rPr>
                <w:i/>
                <w:iCs/>
                <w:sz w:val="12"/>
                <w:szCs w:val="14"/>
              </w:rPr>
              <w:t>(a)(i)</w:t>
            </w:r>
          </w:p>
        </w:tc>
        <w:tc>
          <w:tcPr>
            <w:tcW w:w="2902" w:type="dxa"/>
            <w:tcBorders>
              <w:left w:val="single" w:sz="6" w:space="0" w:color="auto"/>
            </w:tcBorders>
            <w:shd w:val="clear" w:color="auto" w:fill="auto"/>
            <w:vAlign w:val="bottom"/>
          </w:tcPr>
          <w:p w14:paraId="58593DBE" w14:textId="77777777" w:rsidR="001B1350" w:rsidRPr="00037153" w:rsidRDefault="001B1350" w:rsidP="000E53E9">
            <w:pPr>
              <w:spacing w:line="200" w:lineRule="exact"/>
              <w:ind w:left="227" w:hanging="170"/>
              <w:jc w:val="left"/>
              <w:rPr>
                <w:sz w:val="18"/>
                <w:szCs w:val="20"/>
                <w:u w:val="single"/>
                <w:rtl/>
              </w:rPr>
            </w:pPr>
            <w:r w:rsidRPr="00037153">
              <w:rPr>
                <w:rFonts w:hint="eastAsia"/>
                <w:sz w:val="18"/>
                <w:szCs w:val="20"/>
                <w:u w:val="single"/>
                <w:rtl/>
              </w:rPr>
              <w:t>סכומים</w:t>
            </w:r>
            <w:r w:rsidRPr="00037153">
              <w:rPr>
                <w:sz w:val="18"/>
                <w:szCs w:val="20"/>
                <w:u w:val="single"/>
                <w:rtl/>
              </w:rPr>
              <w:t xml:space="preserve"> </w:t>
            </w:r>
            <w:r w:rsidRPr="00037153">
              <w:rPr>
                <w:rFonts w:hint="eastAsia"/>
                <w:sz w:val="18"/>
                <w:szCs w:val="20"/>
                <w:u w:val="single"/>
                <w:rtl/>
              </w:rPr>
              <w:t>שלא</w:t>
            </w:r>
            <w:r w:rsidRPr="00037153">
              <w:rPr>
                <w:sz w:val="18"/>
                <w:szCs w:val="20"/>
                <w:u w:val="single"/>
                <w:rtl/>
              </w:rPr>
              <w:t xml:space="preserve"> </w:t>
            </w:r>
            <w:r w:rsidRPr="00037153">
              <w:rPr>
                <w:rFonts w:hint="eastAsia"/>
                <w:sz w:val="18"/>
                <w:szCs w:val="20"/>
                <w:u w:val="single"/>
                <w:rtl/>
              </w:rPr>
              <w:t>יסווגו</w:t>
            </w:r>
            <w:r w:rsidRPr="00037153">
              <w:rPr>
                <w:sz w:val="18"/>
                <w:szCs w:val="20"/>
                <w:u w:val="single"/>
                <w:rtl/>
              </w:rPr>
              <w:t xml:space="preserve"> </w:t>
            </w:r>
            <w:r w:rsidRPr="00037153">
              <w:rPr>
                <w:rFonts w:hint="eastAsia"/>
                <w:sz w:val="18"/>
                <w:szCs w:val="20"/>
                <w:u w:val="single"/>
                <w:rtl/>
              </w:rPr>
              <w:t>מחדש</w:t>
            </w:r>
            <w:r w:rsidRPr="00037153">
              <w:rPr>
                <w:sz w:val="18"/>
                <w:szCs w:val="20"/>
                <w:u w:val="single"/>
                <w:rtl/>
              </w:rPr>
              <w:t xml:space="preserve"> </w:t>
            </w:r>
            <w:r w:rsidRPr="00037153">
              <w:rPr>
                <w:rFonts w:hint="eastAsia"/>
                <w:sz w:val="18"/>
                <w:szCs w:val="20"/>
                <w:u w:val="single"/>
                <w:rtl/>
              </w:rPr>
              <w:t>לאחר</w:t>
            </w:r>
            <w:r w:rsidRPr="00037153">
              <w:rPr>
                <w:sz w:val="18"/>
                <w:szCs w:val="20"/>
                <w:u w:val="single"/>
                <w:rtl/>
              </w:rPr>
              <w:t xml:space="preserve"> </w:t>
            </w:r>
            <w:r w:rsidRPr="00037153">
              <w:rPr>
                <w:rFonts w:hint="eastAsia"/>
                <w:sz w:val="18"/>
                <w:szCs w:val="20"/>
                <w:u w:val="single"/>
                <w:rtl/>
              </w:rPr>
              <w:t>מכן</w:t>
            </w:r>
            <w:r w:rsidRPr="00037153">
              <w:rPr>
                <w:sz w:val="18"/>
                <w:szCs w:val="20"/>
                <w:u w:val="single"/>
                <w:rtl/>
              </w:rPr>
              <w:t xml:space="preserve"> </w:t>
            </w:r>
            <w:r w:rsidRPr="00037153">
              <w:rPr>
                <w:rFonts w:hint="eastAsia"/>
                <w:sz w:val="18"/>
                <w:szCs w:val="20"/>
                <w:u w:val="single"/>
                <w:rtl/>
              </w:rPr>
              <w:t>לרווח</w:t>
            </w:r>
            <w:r w:rsidRPr="00037153">
              <w:rPr>
                <w:sz w:val="18"/>
                <w:szCs w:val="20"/>
                <w:u w:val="single"/>
                <w:rtl/>
              </w:rPr>
              <w:t xml:space="preserve"> </w:t>
            </w:r>
            <w:r w:rsidRPr="00037153">
              <w:rPr>
                <w:rFonts w:hint="eastAsia"/>
                <w:sz w:val="18"/>
                <w:szCs w:val="20"/>
                <w:u w:val="single"/>
                <w:rtl/>
              </w:rPr>
              <w:t>או</w:t>
            </w:r>
            <w:r w:rsidRPr="00037153">
              <w:rPr>
                <w:sz w:val="18"/>
                <w:szCs w:val="20"/>
                <w:u w:val="single"/>
                <w:rtl/>
              </w:rPr>
              <w:t xml:space="preserve"> </w:t>
            </w:r>
            <w:r w:rsidRPr="00037153">
              <w:rPr>
                <w:rFonts w:hint="eastAsia"/>
                <w:sz w:val="18"/>
                <w:szCs w:val="20"/>
                <w:u w:val="single"/>
                <w:rtl/>
              </w:rPr>
              <w:t>הפסד</w:t>
            </w:r>
            <w:r w:rsidRPr="00037153">
              <w:rPr>
                <w:sz w:val="18"/>
                <w:szCs w:val="20"/>
                <w:u w:val="single"/>
                <w:rtl/>
              </w:rPr>
              <w:t>:</w:t>
            </w:r>
          </w:p>
        </w:tc>
        <w:tc>
          <w:tcPr>
            <w:tcW w:w="113" w:type="dxa"/>
            <w:shd w:val="clear" w:color="auto" w:fill="auto"/>
            <w:vAlign w:val="bottom"/>
          </w:tcPr>
          <w:p w14:paraId="72A28753" w14:textId="77777777" w:rsidR="001B1350" w:rsidRPr="00037153" w:rsidRDefault="001B1350" w:rsidP="000E53E9">
            <w:pPr>
              <w:spacing w:line="200" w:lineRule="exact"/>
              <w:rPr>
                <w:sz w:val="18"/>
                <w:szCs w:val="20"/>
              </w:rPr>
            </w:pPr>
          </w:p>
        </w:tc>
        <w:tc>
          <w:tcPr>
            <w:tcW w:w="907" w:type="dxa"/>
            <w:gridSpan w:val="2"/>
            <w:vAlign w:val="bottom"/>
          </w:tcPr>
          <w:p w14:paraId="602E6B2B"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6FD23FBD"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FE41DCF"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D587A9F"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664F94E"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4ABD137B"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52A12FF9"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0CBA3894"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5F19466D" w14:textId="77777777" w:rsidR="001B1350" w:rsidRPr="00037153" w:rsidRDefault="001B1350" w:rsidP="000E53E9">
            <w:pPr>
              <w:tabs>
                <w:tab w:val="decimal" w:pos="113"/>
              </w:tabs>
              <w:spacing w:line="200" w:lineRule="exact"/>
              <w:rPr>
                <w:sz w:val="18"/>
                <w:szCs w:val="20"/>
                <w:rtl/>
              </w:rPr>
            </w:pPr>
          </w:p>
        </w:tc>
      </w:tr>
      <w:tr w:rsidR="001B1350" w:rsidRPr="00037153" w14:paraId="0F11AF15" w14:textId="77777777" w:rsidTr="006B7985">
        <w:tc>
          <w:tcPr>
            <w:tcW w:w="1409" w:type="dxa"/>
            <w:tcBorders>
              <w:top w:val="single" w:sz="4" w:space="0" w:color="auto"/>
              <w:bottom w:val="single" w:sz="4" w:space="0" w:color="auto"/>
              <w:right w:val="single" w:sz="6" w:space="0" w:color="auto"/>
            </w:tcBorders>
          </w:tcPr>
          <w:p w14:paraId="5B90114F"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Pr>
            </w:pPr>
            <w:r w:rsidRPr="0007242C">
              <w:rPr>
                <w:i/>
                <w:iCs/>
                <w:sz w:val="12"/>
                <w:szCs w:val="14"/>
              </w:rPr>
              <w:t>IFRS 9.5.7.5</w:t>
            </w:r>
          </w:p>
        </w:tc>
        <w:tc>
          <w:tcPr>
            <w:tcW w:w="2902" w:type="dxa"/>
            <w:tcBorders>
              <w:left w:val="single" w:sz="6" w:space="0" w:color="auto"/>
            </w:tcBorders>
            <w:shd w:val="clear" w:color="auto" w:fill="auto"/>
            <w:vAlign w:val="bottom"/>
          </w:tcPr>
          <w:p w14:paraId="40F4ED80" w14:textId="77777777" w:rsidR="001B1350" w:rsidRPr="00037153" w:rsidRDefault="001B1350" w:rsidP="000E53E9">
            <w:pPr>
              <w:spacing w:line="200" w:lineRule="exact"/>
              <w:ind w:left="227" w:hanging="170"/>
              <w:jc w:val="left"/>
              <w:rPr>
                <w:sz w:val="18"/>
                <w:szCs w:val="20"/>
                <w:rtl/>
              </w:rPr>
            </w:pPr>
            <w:r>
              <w:rPr>
                <w:rFonts w:hint="cs"/>
                <w:sz w:val="18"/>
                <w:szCs w:val="20"/>
                <w:rtl/>
              </w:rPr>
              <w:t>רווח (הפסד) מהשקעה במכשירים הוניים הנמדדים בשווי הוגן דרך רווח כולל אחר</w:t>
            </w:r>
          </w:p>
        </w:tc>
        <w:tc>
          <w:tcPr>
            <w:tcW w:w="113" w:type="dxa"/>
            <w:shd w:val="clear" w:color="auto" w:fill="auto"/>
            <w:vAlign w:val="bottom"/>
          </w:tcPr>
          <w:p w14:paraId="0F480D43" w14:textId="77777777" w:rsidR="001B1350" w:rsidRPr="00037153" w:rsidRDefault="001B1350" w:rsidP="000E53E9">
            <w:pPr>
              <w:spacing w:line="200" w:lineRule="exact"/>
              <w:rPr>
                <w:sz w:val="18"/>
                <w:szCs w:val="20"/>
              </w:rPr>
            </w:pPr>
          </w:p>
        </w:tc>
        <w:tc>
          <w:tcPr>
            <w:tcW w:w="907" w:type="dxa"/>
            <w:gridSpan w:val="2"/>
            <w:vAlign w:val="bottom"/>
          </w:tcPr>
          <w:p w14:paraId="5A317AEF"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37461A7C"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772E3F6"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2DA010D6"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70B2AB9E"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116ED05A"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33BBB39"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058A7232"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2B4B9EA3" w14:textId="77777777" w:rsidR="001B1350" w:rsidRPr="00037153" w:rsidRDefault="001B1350" w:rsidP="000E53E9">
            <w:pPr>
              <w:tabs>
                <w:tab w:val="decimal" w:pos="113"/>
              </w:tabs>
              <w:spacing w:line="200" w:lineRule="exact"/>
              <w:rPr>
                <w:sz w:val="18"/>
                <w:szCs w:val="20"/>
                <w:rtl/>
              </w:rPr>
            </w:pPr>
          </w:p>
        </w:tc>
      </w:tr>
      <w:tr w:rsidR="001B1350" w:rsidRPr="00037153" w14:paraId="0987E5B9" w14:textId="77777777" w:rsidTr="006B7985">
        <w:tc>
          <w:tcPr>
            <w:tcW w:w="1409" w:type="dxa"/>
            <w:tcBorders>
              <w:top w:val="single" w:sz="4" w:space="0" w:color="auto"/>
              <w:bottom w:val="single" w:sz="4" w:space="0" w:color="auto"/>
              <w:right w:val="single" w:sz="6" w:space="0" w:color="auto"/>
            </w:tcBorders>
          </w:tcPr>
          <w:p w14:paraId="34766044"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IFRS 9.5.7.7(a)</w:t>
            </w:r>
          </w:p>
        </w:tc>
        <w:tc>
          <w:tcPr>
            <w:tcW w:w="2902" w:type="dxa"/>
            <w:tcBorders>
              <w:left w:val="single" w:sz="6" w:space="0" w:color="auto"/>
            </w:tcBorders>
            <w:shd w:val="clear" w:color="auto" w:fill="auto"/>
            <w:vAlign w:val="bottom"/>
          </w:tcPr>
          <w:p w14:paraId="3C57EDEA" w14:textId="77777777" w:rsidR="001B1350" w:rsidRPr="00037153" w:rsidRDefault="001B1350" w:rsidP="000E53E9">
            <w:pPr>
              <w:spacing w:line="200" w:lineRule="exact"/>
              <w:ind w:left="227" w:hanging="170"/>
              <w:jc w:val="left"/>
              <w:rPr>
                <w:sz w:val="18"/>
                <w:szCs w:val="20"/>
                <w:rtl/>
              </w:rPr>
            </w:pPr>
            <w:r>
              <w:rPr>
                <w:rFonts w:hint="cs"/>
                <w:sz w:val="18"/>
                <w:szCs w:val="20"/>
                <w:rtl/>
              </w:rPr>
              <w:t>רווח (הפסד) בגין שינויים בסיכון האשראי של התחייבויות פיננסיות שיועדו לשווי הוגן דרך רווח או הפסד.</w:t>
            </w:r>
          </w:p>
        </w:tc>
        <w:tc>
          <w:tcPr>
            <w:tcW w:w="113" w:type="dxa"/>
            <w:shd w:val="clear" w:color="auto" w:fill="auto"/>
            <w:vAlign w:val="bottom"/>
          </w:tcPr>
          <w:p w14:paraId="144F025A" w14:textId="77777777" w:rsidR="001B1350" w:rsidRPr="00037153" w:rsidRDefault="001B1350" w:rsidP="000E53E9">
            <w:pPr>
              <w:spacing w:line="200" w:lineRule="exact"/>
              <w:rPr>
                <w:sz w:val="18"/>
                <w:szCs w:val="20"/>
              </w:rPr>
            </w:pPr>
          </w:p>
        </w:tc>
        <w:tc>
          <w:tcPr>
            <w:tcW w:w="907" w:type="dxa"/>
            <w:gridSpan w:val="2"/>
            <w:vAlign w:val="bottom"/>
          </w:tcPr>
          <w:p w14:paraId="3619F017"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1C1C8171"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C9E92C9"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3A71EE7B"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3FD6A6C5"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28C8B559"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36E1F2BF"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52A53F1"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13E31421" w14:textId="77777777" w:rsidR="001B1350" w:rsidRPr="00037153" w:rsidRDefault="001B1350" w:rsidP="000E53E9">
            <w:pPr>
              <w:tabs>
                <w:tab w:val="decimal" w:pos="113"/>
              </w:tabs>
              <w:spacing w:line="200" w:lineRule="exact"/>
              <w:rPr>
                <w:sz w:val="18"/>
                <w:szCs w:val="20"/>
                <w:rtl/>
              </w:rPr>
            </w:pPr>
          </w:p>
        </w:tc>
      </w:tr>
      <w:tr w:rsidR="001B1350" w:rsidRPr="00037153" w14:paraId="16425E4C" w14:textId="77777777" w:rsidTr="006B7985">
        <w:tc>
          <w:tcPr>
            <w:tcW w:w="1409" w:type="dxa"/>
            <w:tcBorders>
              <w:top w:val="single" w:sz="4" w:space="0" w:color="auto"/>
              <w:bottom w:val="single" w:sz="4" w:space="0" w:color="auto"/>
              <w:right w:val="single" w:sz="6" w:space="0" w:color="auto"/>
            </w:tcBorders>
          </w:tcPr>
          <w:p w14:paraId="3D84925E"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IAS 16.39</w:t>
            </w:r>
          </w:p>
        </w:tc>
        <w:tc>
          <w:tcPr>
            <w:tcW w:w="2902" w:type="dxa"/>
            <w:tcBorders>
              <w:left w:val="single" w:sz="6" w:space="0" w:color="auto"/>
            </w:tcBorders>
            <w:shd w:val="clear" w:color="auto" w:fill="auto"/>
            <w:vAlign w:val="bottom"/>
          </w:tcPr>
          <w:p w14:paraId="21F007C7"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הערכה</w:t>
            </w:r>
            <w:r w:rsidRPr="00037153">
              <w:rPr>
                <w:sz w:val="18"/>
                <w:szCs w:val="20"/>
                <w:rtl/>
              </w:rPr>
              <w:t xml:space="preserve"> </w:t>
            </w:r>
            <w:r w:rsidRPr="00037153">
              <w:rPr>
                <w:rFonts w:hint="eastAsia"/>
                <w:sz w:val="18"/>
                <w:szCs w:val="20"/>
                <w:rtl/>
              </w:rPr>
              <w:t>מחדש</w:t>
            </w:r>
            <w:r w:rsidRPr="00037153">
              <w:rPr>
                <w:sz w:val="18"/>
                <w:szCs w:val="20"/>
                <w:rtl/>
              </w:rPr>
              <w:t xml:space="preserve"> </w:t>
            </w:r>
            <w:r w:rsidRPr="00037153">
              <w:rPr>
                <w:rFonts w:hint="eastAsia"/>
                <w:sz w:val="18"/>
                <w:szCs w:val="20"/>
                <w:rtl/>
              </w:rPr>
              <w:t>בגין</w:t>
            </w:r>
            <w:r w:rsidRPr="00037153">
              <w:rPr>
                <w:sz w:val="18"/>
                <w:szCs w:val="20"/>
                <w:rtl/>
              </w:rPr>
              <w:t xml:space="preserve"> </w:t>
            </w:r>
            <w:r w:rsidRPr="00037153">
              <w:rPr>
                <w:rFonts w:hint="eastAsia"/>
                <w:sz w:val="18"/>
                <w:szCs w:val="20"/>
                <w:rtl/>
              </w:rPr>
              <w:t>שערוך</w:t>
            </w:r>
            <w:r w:rsidRPr="00037153">
              <w:rPr>
                <w:sz w:val="18"/>
                <w:szCs w:val="20"/>
                <w:rtl/>
              </w:rPr>
              <w:t xml:space="preserve"> </w:t>
            </w:r>
            <w:r w:rsidRPr="00037153">
              <w:rPr>
                <w:rFonts w:hint="eastAsia"/>
                <w:sz w:val="18"/>
                <w:szCs w:val="20"/>
                <w:rtl/>
              </w:rPr>
              <w:t>רכוש</w:t>
            </w:r>
            <w:r w:rsidRPr="00037153">
              <w:rPr>
                <w:sz w:val="18"/>
                <w:szCs w:val="20"/>
                <w:rtl/>
              </w:rPr>
              <w:t xml:space="preserve"> </w:t>
            </w:r>
            <w:r w:rsidRPr="00037153">
              <w:rPr>
                <w:rFonts w:hint="eastAsia"/>
                <w:sz w:val="18"/>
                <w:szCs w:val="20"/>
                <w:rtl/>
              </w:rPr>
              <w:t>קבוע</w:t>
            </w:r>
            <w:r w:rsidRPr="00037153">
              <w:rPr>
                <w:rStyle w:val="ab"/>
                <w:sz w:val="18"/>
                <w:szCs w:val="20"/>
                <w:rtl/>
              </w:rPr>
              <w:footnoteReference w:id="26"/>
            </w:r>
          </w:p>
        </w:tc>
        <w:tc>
          <w:tcPr>
            <w:tcW w:w="113" w:type="dxa"/>
            <w:shd w:val="clear" w:color="auto" w:fill="auto"/>
            <w:vAlign w:val="bottom"/>
          </w:tcPr>
          <w:p w14:paraId="106718CA" w14:textId="77777777" w:rsidR="001B1350" w:rsidRPr="00037153" w:rsidRDefault="001B1350" w:rsidP="000E53E9">
            <w:pPr>
              <w:spacing w:line="200" w:lineRule="exact"/>
              <w:rPr>
                <w:sz w:val="18"/>
                <w:szCs w:val="20"/>
              </w:rPr>
            </w:pPr>
          </w:p>
        </w:tc>
        <w:tc>
          <w:tcPr>
            <w:tcW w:w="907" w:type="dxa"/>
            <w:gridSpan w:val="2"/>
            <w:vAlign w:val="bottom"/>
          </w:tcPr>
          <w:p w14:paraId="5E2EB966"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418B6ADA"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C8EFD25"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34924703"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ABB1E5F"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27890C03"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4F9E9F56"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35394B1"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087BF3BD" w14:textId="77777777" w:rsidR="001B1350" w:rsidRPr="00037153" w:rsidRDefault="001B1350" w:rsidP="000E53E9">
            <w:pPr>
              <w:tabs>
                <w:tab w:val="decimal" w:pos="113"/>
              </w:tabs>
              <w:spacing w:line="200" w:lineRule="exact"/>
              <w:rPr>
                <w:sz w:val="18"/>
                <w:szCs w:val="20"/>
                <w:rtl/>
              </w:rPr>
            </w:pPr>
          </w:p>
        </w:tc>
      </w:tr>
      <w:tr w:rsidR="001B1350" w:rsidRPr="00037153" w14:paraId="2110BA4D" w14:textId="77777777" w:rsidTr="006B7985">
        <w:tc>
          <w:tcPr>
            <w:tcW w:w="1409" w:type="dxa"/>
            <w:tcBorders>
              <w:top w:val="single" w:sz="4" w:space="0" w:color="auto"/>
              <w:bottom w:val="single" w:sz="4" w:space="0" w:color="auto"/>
              <w:right w:val="single" w:sz="6" w:space="0" w:color="auto"/>
            </w:tcBorders>
          </w:tcPr>
          <w:p w14:paraId="0B284BC6"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IAS 21.39(c)</w:t>
            </w:r>
          </w:p>
        </w:tc>
        <w:tc>
          <w:tcPr>
            <w:tcW w:w="2902" w:type="dxa"/>
            <w:tcBorders>
              <w:left w:val="single" w:sz="6" w:space="0" w:color="auto"/>
            </w:tcBorders>
            <w:shd w:val="clear" w:color="auto" w:fill="auto"/>
            <w:vAlign w:val="bottom"/>
          </w:tcPr>
          <w:p w14:paraId="23EFAD51"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התאמות</w:t>
            </w:r>
            <w:r w:rsidRPr="00037153">
              <w:rPr>
                <w:sz w:val="18"/>
                <w:szCs w:val="20"/>
                <w:rtl/>
              </w:rPr>
              <w:t xml:space="preserve"> </w:t>
            </w:r>
            <w:r w:rsidRPr="00037153">
              <w:rPr>
                <w:rFonts w:hint="eastAsia"/>
                <w:sz w:val="18"/>
                <w:szCs w:val="20"/>
                <w:rtl/>
              </w:rPr>
              <w:t>הנובעות</w:t>
            </w:r>
            <w:r w:rsidRPr="00037153">
              <w:rPr>
                <w:sz w:val="18"/>
                <w:szCs w:val="20"/>
                <w:rtl/>
              </w:rPr>
              <w:t xml:space="preserve"> </w:t>
            </w:r>
            <w:r w:rsidRPr="00037153">
              <w:rPr>
                <w:rFonts w:hint="eastAsia"/>
                <w:sz w:val="18"/>
                <w:szCs w:val="20"/>
                <w:rtl/>
              </w:rPr>
              <w:t>מתרגום</w:t>
            </w:r>
            <w:r w:rsidRPr="00037153">
              <w:rPr>
                <w:sz w:val="18"/>
                <w:szCs w:val="20"/>
                <w:rtl/>
              </w:rPr>
              <w:t xml:space="preserve"> </w:t>
            </w:r>
            <w:r w:rsidRPr="00037153">
              <w:rPr>
                <w:rFonts w:hint="eastAsia"/>
                <w:sz w:val="18"/>
                <w:szCs w:val="20"/>
                <w:rtl/>
              </w:rPr>
              <w:t>דוחות</w:t>
            </w:r>
            <w:r w:rsidRPr="00037153">
              <w:rPr>
                <w:sz w:val="18"/>
                <w:szCs w:val="20"/>
                <w:rtl/>
              </w:rPr>
              <w:t xml:space="preserve"> </w:t>
            </w:r>
            <w:r w:rsidRPr="00037153">
              <w:rPr>
                <w:rFonts w:hint="eastAsia"/>
                <w:sz w:val="18"/>
                <w:szCs w:val="20"/>
                <w:rtl/>
              </w:rPr>
              <w:t>כספיים</w:t>
            </w:r>
            <w:r w:rsidRPr="00037153">
              <w:rPr>
                <w:sz w:val="18"/>
                <w:szCs w:val="20"/>
                <w:rtl/>
              </w:rPr>
              <w:t xml:space="preserve"> </w:t>
            </w:r>
            <w:r w:rsidRPr="00037153">
              <w:rPr>
                <w:rFonts w:hint="eastAsia"/>
                <w:sz w:val="18"/>
                <w:szCs w:val="20"/>
                <w:rtl/>
              </w:rPr>
              <w:t>ממטבע</w:t>
            </w:r>
            <w:r w:rsidRPr="00037153">
              <w:rPr>
                <w:sz w:val="18"/>
                <w:szCs w:val="20"/>
                <w:rtl/>
              </w:rPr>
              <w:t xml:space="preserve"> </w:t>
            </w:r>
            <w:r w:rsidRPr="00037153">
              <w:rPr>
                <w:rFonts w:hint="eastAsia"/>
                <w:sz w:val="18"/>
                <w:szCs w:val="20"/>
                <w:rtl/>
              </w:rPr>
              <w:t>הפעילות</w:t>
            </w:r>
            <w:r w:rsidRPr="00037153">
              <w:rPr>
                <w:sz w:val="18"/>
                <w:szCs w:val="20"/>
                <w:rtl/>
              </w:rPr>
              <w:t xml:space="preserve"> </w:t>
            </w:r>
            <w:r w:rsidRPr="00037153">
              <w:rPr>
                <w:rFonts w:hint="eastAsia"/>
                <w:sz w:val="18"/>
                <w:szCs w:val="20"/>
                <w:rtl/>
              </w:rPr>
              <w:t>למטבע</w:t>
            </w:r>
            <w:r w:rsidRPr="00037153">
              <w:rPr>
                <w:sz w:val="18"/>
                <w:szCs w:val="20"/>
                <w:rtl/>
              </w:rPr>
              <w:t xml:space="preserve"> </w:t>
            </w:r>
            <w:r w:rsidRPr="00037153">
              <w:rPr>
                <w:rFonts w:hint="eastAsia"/>
                <w:sz w:val="18"/>
                <w:szCs w:val="20"/>
                <w:rtl/>
              </w:rPr>
              <w:t>ההצגה</w:t>
            </w:r>
          </w:p>
        </w:tc>
        <w:tc>
          <w:tcPr>
            <w:tcW w:w="113" w:type="dxa"/>
            <w:shd w:val="clear" w:color="auto" w:fill="auto"/>
            <w:vAlign w:val="bottom"/>
          </w:tcPr>
          <w:p w14:paraId="3CD8D3B8" w14:textId="77777777" w:rsidR="001B1350" w:rsidRPr="00037153" w:rsidRDefault="001B1350" w:rsidP="000E53E9">
            <w:pPr>
              <w:spacing w:line="200" w:lineRule="exact"/>
              <w:rPr>
                <w:sz w:val="18"/>
                <w:szCs w:val="20"/>
              </w:rPr>
            </w:pPr>
          </w:p>
        </w:tc>
        <w:tc>
          <w:tcPr>
            <w:tcW w:w="907" w:type="dxa"/>
            <w:gridSpan w:val="2"/>
            <w:vAlign w:val="bottom"/>
          </w:tcPr>
          <w:p w14:paraId="653F04C5"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3DA6EBFB"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47B7E409"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74B3FDAA"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38175F24"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73A9AFA2"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4FC3C599"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24806037"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6BF7EB74" w14:textId="77777777" w:rsidR="001B1350" w:rsidRPr="00037153" w:rsidRDefault="001B1350" w:rsidP="000E53E9">
            <w:pPr>
              <w:tabs>
                <w:tab w:val="decimal" w:pos="113"/>
              </w:tabs>
              <w:spacing w:line="200" w:lineRule="exact"/>
              <w:rPr>
                <w:sz w:val="18"/>
                <w:szCs w:val="20"/>
                <w:rtl/>
              </w:rPr>
            </w:pPr>
          </w:p>
        </w:tc>
      </w:tr>
      <w:tr w:rsidR="001B1350" w:rsidRPr="00037153" w14:paraId="1925C742" w14:textId="77777777" w:rsidTr="006B7985">
        <w:tc>
          <w:tcPr>
            <w:tcW w:w="1409" w:type="dxa"/>
            <w:tcBorders>
              <w:top w:val="single" w:sz="4" w:space="0" w:color="auto"/>
              <w:bottom w:val="single" w:sz="4" w:space="0" w:color="auto"/>
              <w:right w:val="single" w:sz="6" w:space="0" w:color="auto"/>
            </w:tcBorders>
          </w:tcPr>
          <w:p w14:paraId="19C7EAE0"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Pr>
            </w:pPr>
            <w:r w:rsidRPr="0007242C">
              <w:rPr>
                <w:i/>
                <w:iCs/>
                <w:sz w:val="12"/>
                <w:szCs w:val="14"/>
              </w:rPr>
              <w:t>IAS 19.120(C)</w:t>
            </w:r>
          </w:p>
          <w:p w14:paraId="258A511E"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 IAS 19.122</w:t>
            </w:r>
          </w:p>
        </w:tc>
        <w:tc>
          <w:tcPr>
            <w:tcW w:w="2902" w:type="dxa"/>
            <w:tcBorders>
              <w:left w:val="single" w:sz="6" w:space="0" w:color="auto"/>
            </w:tcBorders>
            <w:shd w:val="clear" w:color="auto" w:fill="auto"/>
            <w:vAlign w:val="bottom"/>
          </w:tcPr>
          <w:p w14:paraId="4656B926"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(הפסד) </w:t>
            </w:r>
            <w:r>
              <w:rPr>
                <w:rFonts w:hint="cs"/>
                <w:sz w:val="18"/>
                <w:szCs w:val="20"/>
                <w:rtl/>
              </w:rPr>
              <w:t>ממדידה מחדש</w:t>
            </w:r>
            <w:r w:rsidRPr="00037153">
              <w:rPr>
                <w:sz w:val="18"/>
                <w:szCs w:val="20"/>
                <w:rtl/>
              </w:rPr>
              <w:t xml:space="preserve"> </w:t>
            </w:r>
            <w:r w:rsidRPr="00037153">
              <w:rPr>
                <w:rFonts w:hint="eastAsia"/>
                <w:sz w:val="18"/>
                <w:szCs w:val="20"/>
                <w:rtl/>
              </w:rPr>
              <w:t>ב</w:t>
            </w:r>
            <w:r>
              <w:rPr>
                <w:rFonts w:hint="cs"/>
                <w:sz w:val="18"/>
                <w:szCs w:val="20"/>
                <w:rtl/>
              </w:rPr>
              <w:t>של</w:t>
            </w:r>
            <w:r w:rsidRPr="00037153">
              <w:rPr>
                <w:sz w:val="18"/>
                <w:szCs w:val="20"/>
                <w:rtl/>
              </w:rPr>
              <w:t xml:space="preserve"> </w:t>
            </w:r>
            <w:r>
              <w:rPr>
                <w:rFonts w:hint="eastAsia"/>
                <w:sz w:val="18"/>
                <w:szCs w:val="20"/>
                <w:rtl/>
              </w:rPr>
              <w:t>תכני</w:t>
            </w:r>
            <w:r w:rsidRPr="00037153">
              <w:rPr>
                <w:rFonts w:hint="eastAsia"/>
                <w:sz w:val="18"/>
                <w:szCs w:val="20"/>
                <w:rtl/>
              </w:rPr>
              <w:t>ת</w:t>
            </w:r>
            <w:r w:rsidRPr="00037153">
              <w:rPr>
                <w:sz w:val="18"/>
                <w:szCs w:val="20"/>
                <w:rtl/>
              </w:rPr>
              <w:t xml:space="preserve"> </w:t>
            </w:r>
            <w:r w:rsidRPr="00037153">
              <w:rPr>
                <w:rFonts w:hint="eastAsia"/>
                <w:sz w:val="18"/>
                <w:szCs w:val="20"/>
                <w:rtl/>
              </w:rPr>
              <w:t>להטבה</w:t>
            </w:r>
            <w:r w:rsidRPr="00037153">
              <w:rPr>
                <w:sz w:val="18"/>
                <w:szCs w:val="20"/>
                <w:rtl/>
              </w:rPr>
              <w:t xml:space="preserve"> </w:t>
            </w:r>
            <w:r w:rsidRPr="00037153">
              <w:rPr>
                <w:rFonts w:hint="eastAsia"/>
                <w:sz w:val="18"/>
                <w:szCs w:val="20"/>
                <w:rtl/>
              </w:rPr>
              <w:t>מוגדרת</w:t>
            </w:r>
            <w:r w:rsidRPr="00037153">
              <w:rPr>
                <w:sz w:val="18"/>
                <w:szCs w:val="20"/>
                <w:rtl/>
              </w:rPr>
              <w:t xml:space="preserve"> </w:t>
            </w:r>
          </w:p>
        </w:tc>
        <w:tc>
          <w:tcPr>
            <w:tcW w:w="113" w:type="dxa"/>
            <w:shd w:val="clear" w:color="auto" w:fill="auto"/>
            <w:vAlign w:val="bottom"/>
          </w:tcPr>
          <w:p w14:paraId="0809CB10" w14:textId="77777777" w:rsidR="001B1350" w:rsidRPr="00037153" w:rsidRDefault="001B1350" w:rsidP="000E53E9">
            <w:pPr>
              <w:spacing w:line="200" w:lineRule="exact"/>
              <w:rPr>
                <w:sz w:val="18"/>
                <w:szCs w:val="20"/>
              </w:rPr>
            </w:pPr>
          </w:p>
        </w:tc>
        <w:tc>
          <w:tcPr>
            <w:tcW w:w="907" w:type="dxa"/>
            <w:gridSpan w:val="2"/>
            <w:vAlign w:val="bottom"/>
          </w:tcPr>
          <w:p w14:paraId="7ABFD9A2"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2D0D1E3A"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B4D7301"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541E8B3"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C88CDE8"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474FFD92"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2BF9E08"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C1E8A7F"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6AB4120F" w14:textId="77777777" w:rsidR="001B1350" w:rsidRPr="00037153" w:rsidRDefault="001B1350" w:rsidP="000E53E9">
            <w:pPr>
              <w:tabs>
                <w:tab w:val="decimal" w:pos="113"/>
              </w:tabs>
              <w:spacing w:line="200" w:lineRule="exact"/>
              <w:rPr>
                <w:sz w:val="18"/>
                <w:szCs w:val="20"/>
                <w:rtl/>
              </w:rPr>
            </w:pPr>
          </w:p>
        </w:tc>
      </w:tr>
      <w:tr w:rsidR="001B1350" w:rsidRPr="00037153" w14:paraId="730DBE63" w14:textId="77777777" w:rsidTr="006B7985">
        <w:tc>
          <w:tcPr>
            <w:tcW w:w="1409" w:type="dxa"/>
            <w:tcBorders>
              <w:top w:val="single" w:sz="4" w:space="0" w:color="auto"/>
              <w:right w:val="single" w:sz="6" w:space="0" w:color="auto"/>
            </w:tcBorders>
          </w:tcPr>
          <w:p w14:paraId="5959E17A"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Pr>
            </w:pPr>
            <w:r w:rsidRPr="0007242C">
              <w:rPr>
                <w:rFonts w:hint="cs"/>
                <w:i/>
                <w:iCs/>
                <w:sz w:val="12"/>
                <w:szCs w:val="14"/>
              </w:rPr>
              <w:t>IAS</w:t>
            </w:r>
            <w:r w:rsidRPr="0007242C">
              <w:rPr>
                <w:i/>
                <w:iCs/>
                <w:sz w:val="12"/>
                <w:szCs w:val="14"/>
              </w:rPr>
              <w:t> 1.82(h)</w:t>
            </w:r>
          </w:p>
          <w:p w14:paraId="682BEF7E"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p>
        </w:tc>
        <w:tc>
          <w:tcPr>
            <w:tcW w:w="2902" w:type="dxa"/>
            <w:tcBorders>
              <w:left w:val="single" w:sz="6" w:space="0" w:color="auto"/>
            </w:tcBorders>
            <w:shd w:val="clear" w:color="auto" w:fill="auto"/>
            <w:vAlign w:val="bottom"/>
          </w:tcPr>
          <w:p w14:paraId="788F9D5F"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חלק</w:t>
            </w:r>
            <w:r w:rsidRPr="00037153">
              <w:rPr>
                <w:sz w:val="18"/>
                <w:szCs w:val="20"/>
                <w:rtl/>
              </w:rPr>
              <w:t xml:space="preserve"> </w:t>
            </w:r>
            <w:r w:rsidRPr="00037153">
              <w:rPr>
                <w:rFonts w:hint="eastAsia"/>
                <w:sz w:val="18"/>
                <w:szCs w:val="20"/>
                <w:rtl/>
              </w:rPr>
              <w:t>הקבוצה</w:t>
            </w:r>
            <w:r w:rsidRPr="00037153">
              <w:rPr>
                <w:sz w:val="18"/>
                <w:szCs w:val="20"/>
                <w:rtl/>
              </w:rPr>
              <w:t xml:space="preserve"> </w:t>
            </w:r>
            <w:r w:rsidRPr="00037153">
              <w:rPr>
                <w:rFonts w:hint="eastAsia"/>
                <w:sz w:val="18"/>
                <w:szCs w:val="20"/>
                <w:rtl/>
              </w:rPr>
              <w:t>ברווח</w:t>
            </w:r>
            <w:r w:rsidRPr="00037153">
              <w:rPr>
                <w:sz w:val="18"/>
                <w:szCs w:val="20"/>
                <w:rtl/>
              </w:rPr>
              <w:t xml:space="preserve"> (הפסד) </w:t>
            </w:r>
            <w:r w:rsidRPr="00037153">
              <w:rPr>
                <w:rFonts w:hint="eastAsia"/>
                <w:sz w:val="18"/>
                <w:szCs w:val="20"/>
                <w:rtl/>
              </w:rPr>
              <w:t>כולל</w:t>
            </w:r>
            <w:r w:rsidRPr="00037153">
              <w:rPr>
                <w:sz w:val="18"/>
                <w:szCs w:val="20"/>
                <w:rtl/>
              </w:rPr>
              <w:t xml:space="preserve"> </w:t>
            </w:r>
            <w:r w:rsidRPr="00037153">
              <w:rPr>
                <w:rFonts w:hint="eastAsia"/>
                <w:sz w:val="18"/>
                <w:szCs w:val="20"/>
                <w:rtl/>
              </w:rPr>
              <w:t>אחר</w:t>
            </w:r>
            <w:r w:rsidRPr="00037153">
              <w:rPr>
                <w:sz w:val="18"/>
                <w:szCs w:val="20"/>
                <w:rtl/>
              </w:rPr>
              <w:t xml:space="preserve">, </w:t>
            </w:r>
            <w:r w:rsidRPr="00037153">
              <w:rPr>
                <w:rFonts w:hint="eastAsia"/>
                <w:sz w:val="18"/>
                <w:szCs w:val="20"/>
                <w:rtl/>
              </w:rPr>
              <w:t>נטו</w:t>
            </w:r>
            <w:r w:rsidRPr="00037153">
              <w:rPr>
                <w:sz w:val="18"/>
                <w:szCs w:val="20"/>
                <w:rtl/>
              </w:rPr>
              <w:t xml:space="preserve"> </w:t>
            </w:r>
            <w:r w:rsidRPr="00037153">
              <w:rPr>
                <w:rFonts w:hint="eastAsia"/>
                <w:sz w:val="18"/>
                <w:szCs w:val="20"/>
                <w:rtl/>
              </w:rPr>
              <w:t>של</w:t>
            </w:r>
            <w:r w:rsidRPr="00037153">
              <w:rPr>
                <w:sz w:val="18"/>
                <w:szCs w:val="20"/>
                <w:rtl/>
              </w:rPr>
              <w:t xml:space="preserve"> </w:t>
            </w:r>
            <w:r w:rsidRPr="00037153">
              <w:rPr>
                <w:rFonts w:hint="eastAsia"/>
                <w:sz w:val="18"/>
                <w:szCs w:val="20"/>
                <w:rtl/>
              </w:rPr>
              <w:t>חברות</w:t>
            </w:r>
            <w:r w:rsidRPr="00037153">
              <w:rPr>
                <w:sz w:val="18"/>
                <w:szCs w:val="20"/>
                <w:rtl/>
              </w:rPr>
              <w:t xml:space="preserve"> </w:t>
            </w:r>
            <w:r w:rsidRPr="00037153">
              <w:rPr>
                <w:rFonts w:hint="eastAsia"/>
                <w:sz w:val="18"/>
                <w:szCs w:val="20"/>
                <w:rtl/>
              </w:rPr>
              <w:t>המטופלות</w:t>
            </w:r>
            <w:r w:rsidRPr="00037153">
              <w:rPr>
                <w:sz w:val="18"/>
                <w:szCs w:val="20"/>
                <w:rtl/>
              </w:rPr>
              <w:t xml:space="preserve"> </w:t>
            </w:r>
            <w:r w:rsidRPr="00037153">
              <w:rPr>
                <w:rFonts w:hint="eastAsia"/>
                <w:sz w:val="18"/>
                <w:szCs w:val="20"/>
                <w:rtl/>
              </w:rPr>
              <w:t>לפי</w:t>
            </w:r>
            <w:r w:rsidRPr="00037153">
              <w:rPr>
                <w:sz w:val="18"/>
                <w:szCs w:val="20"/>
                <w:rtl/>
              </w:rPr>
              <w:t xml:space="preserve"> </w:t>
            </w:r>
            <w:r w:rsidRPr="00037153">
              <w:rPr>
                <w:rFonts w:hint="eastAsia"/>
                <w:sz w:val="18"/>
                <w:szCs w:val="20"/>
                <w:rtl/>
              </w:rPr>
              <w:t>שיטת</w:t>
            </w:r>
            <w:r w:rsidRPr="00037153">
              <w:rPr>
                <w:sz w:val="18"/>
                <w:szCs w:val="20"/>
                <w:rtl/>
              </w:rPr>
              <w:t xml:space="preserve"> </w:t>
            </w:r>
            <w:r w:rsidRPr="00037153">
              <w:rPr>
                <w:rFonts w:hint="eastAsia"/>
                <w:sz w:val="18"/>
                <w:szCs w:val="20"/>
                <w:rtl/>
              </w:rPr>
              <w:t>השווי</w:t>
            </w:r>
            <w:r w:rsidRPr="00037153">
              <w:rPr>
                <w:sz w:val="18"/>
                <w:szCs w:val="20"/>
                <w:rtl/>
              </w:rPr>
              <w:t xml:space="preserve"> </w:t>
            </w:r>
            <w:r w:rsidRPr="00037153">
              <w:rPr>
                <w:rFonts w:hint="eastAsia"/>
                <w:sz w:val="18"/>
                <w:szCs w:val="20"/>
                <w:rtl/>
              </w:rPr>
              <w:t>המאזני</w:t>
            </w:r>
            <w:r w:rsidRPr="00037153">
              <w:rPr>
                <w:sz w:val="18"/>
                <w:szCs w:val="20"/>
                <w:rtl/>
              </w:rPr>
              <w:t xml:space="preserve"> </w:t>
            </w:r>
          </w:p>
        </w:tc>
        <w:tc>
          <w:tcPr>
            <w:tcW w:w="113" w:type="dxa"/>
            <w:shd w:val="clear" w:color="auto" w:fill="auto"/>
            <w:vAlign w:val="bottom"/>
          </w:tcPr>
          <w:p w14:paraId="3895353B" w14:textId="77777777" w:rsidR="001B1350" w:rsidRPr="00037153" w:rsidRDefault="001B1350" w:rsidP="000E53E9">
            <w:pPr>
              <w:spacing w:line="200" w:lineRule="exact"/>
              <w:rPr>
                <w:sz w:val="18"/>
                <w:szCs w:val="20"/>
              </w:rPr>
            </w:pPr>
          </w:p>
        </w:tc>
        <w:tc>
          <w:tcPr>
            <w:tcW w:w="907" w:type="dxa"/>
            <w:gridSpan w:val="2"/>
            <w:tcBorders>
              <w:bottom w:val="single" w:sz="4" w:space="0" w:color="auto"/>
            </w:tcBorders>
            <w:vAlign w:val="bottom"/>
          </w:tcPr>
          <w:p w14:paraId="4F27EBAE"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4989447B"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32150D75"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CB2151F"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06E13B61"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09AFA81F"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32D1635C"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25DD9FCF" w14:textId="77777777" w:rsidR="001B1350" w:rsidRPr="00037153" w:rsidRDefault="001B1350" w:rsidP="000E53E9">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42488471" w14:textId="77777777" w:rsidR="001B1350" w:rsidRPr="00037153" w:rsidRDefault="001B1350" w:rsidP="000E53E9">
            <w:pPr>
              <w:tabs>
                <w:tab w:val="decimal" w:pos="113"/>
              </w:tabs>
              <w:spacing w:line="200" w:lineRule="exact"/>
              <w:rPr>
                <w:sz w:val="18"/>
                <w:szCs w:val="20"/>
                <w:rtl/>
              </w:rPr>
            </w:pPr>
          </w:p>
        </w:tc>
      </w:tr>
      <w:tr w:rsidR="001B1350" w:rsidRPr="00037153" w14:paraId="5144D3B7" w14:textId="77777777" w:rsidTr="006B7985">
        <w:tc>
          <w:tcPr>
            <w:tcW w:w="1409" w:type="dxa"/>
            <w:tcBorders>
              <w:right w:val="single" w:sz="6" w:space="0" w:color="auto"/>
            </w:tcBorders>
          </w:tcPr>
          <w:p w14:paraId="714DC5E9"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4FAE75DA" w14:textId="77777777" w:rsidR="001B1350" w:rsidRPr="00037153" w:rsidRDefault="001B1350" w:rsidP="000E53E9">
            <w:pPr>
              <w:widowControl/>
              <w:spacing w:line="200" w:lineRule="exact"/>
              <w:jc w:val="left"/>
              <w:rPr>
                <w:sz w:val="18"/>
                <w:szCs w:val="20"/>
                <w:rtl/>
              </w:rPr>
            </w:pPr>
          </w:p>
        </w:tc>
        <w:tc>
          <w:tcPr>
            <w:tcW w:w="113" w:type="dxa"/>
            <w:shd w:val="clear" w:color="auto" w:fill="auto"/>
            <w:vAlign w:val="bottom"/>
          </w:tcPr>
          <w:p w14:paraId="72EC0FEC" w14:textId="77777777" w:rsidR="001B1350" w:rsidRPr="00037153" w:rsidRDefault="001B1350" w:rsidP="000E53E9">
            <w:pPr>
              <w:widowControl/>
              <w:spacing w:line="200" w:lineRule="exact"/>
              <w:rPr>
                <w:sz w:val="18"/>
                <w:szCs w:val="20"/>
              </w:rPr>
            </w:pPr>
          </w:p>
        </w:tc>
        <w:tc>
          <w:tcPr>
            <w:tcW w:w="907" w:type="dxa"/>
            <w:gridSpan w:val="2"/>
            <w:tcBorders>
              <w:top w:val="single" w:sz="4" w:space="0" w:color="auto"/>
            </w:tcBorders>
            <w:vAlign w:val="bottom"/>
          </w:tcPr>
          <w:p w14:paraId="652BC7DE" w14:textId="77777777" w:rsidR="001B1350" w:rsidRPr="00037153" w:rsidRDefault="001B1350" w:rsidP="000E53E9">
            <w:pPr>
              <w:widowControl/>
              <w:tabs>
                <w:tab w:val="decimal" w:pos="113"/>
              </w:tabs>
              <w:spacing w:line="200" w:lineRule="exact"/>
              <w:rPr>
                <w:sz w:val="18"/>
                <w:szCs w:val="20"/>
                <w:rtl/>
              </w:rPr>
            </w:pPr>
          </w:p>
        </w:tc>
        <w:tc>
          <w:tcPr>
            <w:tcW w:w="113" w:type="dxa"/>
            <w:vAlign w:val="bottom"/>
          </w:tcPr>
          <w:p w14:paraId="5B9F88A8" w14:textId="77777777" w:rsidR="001B1350" w:rsidRPr="00037153" w:rsidRDefault="001B1350" w:rsidP="000E53E9">
            <w:pPr>
              <w:widowControl/>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124A7C49" w14:textId="77777777" w:rsidR="001B1350" w:rsidRPr="00037153" w:rsidRDefault="001B1350" w:rsidP="000E53E9">
            <w:pPr>
              <w:widowControl/>
              <w:tabs>
                <w:tab w:val="decimal" w:pos="113"/>
              </w:tabs>
              <w:spacing w:line="200" w:lineRule="exact"/>
              <w:rPr>
                <w:sz w:val="18"/>
                <w:szCs w:val="20"/>
              </w:rPr>
            </w:pPr>
          </w:p>
        </w:tc>
        <w:tc>
          <w:tcPr>
            <w:tcW w:w="113" w:type="dxa"/>
            <w:shd w:val="clear" w:color="auto" w:fill="auto"/>
            <w:vAlign w:val="bottom"/>
          </w:tcPr>
          <w:p w14:paraId="4E8EBB89" w14:textId="77777777" w:rsidR="001B1350" w:rsidRPr="00037153" w:rsidRDefault="001B1350" w:rsidP="000E53E9">
            <w:pPr>
              <w:widowControl/>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54BD4764" w14:textId="77777777" w:rsidR="001B1350" w:rsidRPr="00037153" w:rsidRDefault="001B1350" w:rsidP="000E53E9">
            <w:pPr>
              <w:widowControl/>
              <w:tabs>
                <w:tab w:val="decimal" w:pos="113"/>
              </w:tabs>
              <w:spacing w:line="200" w:lineRule="exact"/>
              <w:rPr>
                <w:sz w:val="18"/>
                <w:szCs w:val="20"/>
                <w:rtl/>
              </w:rPr>
            </w:pPr>
          </w:p>
        </w:tc>
        <w:tc>
          <w:tcPr>
            <w:tcW w:w="113" w:type="dxa"/>
            <w:shd w:val="clear" w:color="auto" w:fill="auto"/>
            <w:vAlign w:val="bottom"/>
          </w:tcPr>
          <w:p w14:paraId="7C68B23F" w14:textId="77777777" w:rsidR="001B1350" w:rsidRPr="00037153" w:rsidRDefault="001B1350" w:rsidP="000E53E9">
            <w:pPr>
              <w:widowControl/>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578B22CE" w14:textId="77777777" w:rsidR="001B1350" w:rsidRPr="00037153" w:rsidRDefault="001B1350" w:rsidP="000E53E9">
            <w:pPr>
              <w:widowControl/>
              <w:tabs>
                <w:tab w:val="decimal" w:pos="113"/>
              </w:tabs>
              <w:spacing w:line="200" w:lineRule="exact"/>
              <w:rPr>
                <w:sz w:val="18"/>
                <w:szCs w:val="20"/>
              </w:rPr>
            </w:pPr>
          </w:p>
        </w:tc>
        <w:tc>
          <w:tcPr>
            <w:tcW w:w="113" w:type="dxa"/>
            <w:shd w:val="clear" w:color="auto" w:fill="auto"/>
            <w:vAlign w:val="bottom"/>
          </w:tcPr>
          <w:p w14:paraId="0FC325DC" w14:textId="77777777" w:rsidR="001B1350" w:rsidRPr="00037153" w:rsidRDefault="001B1350" w:rsidP="000E53E9">
            <w:pPr>
              <w:widowControl/>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4C902769" w14:textId="77777777" w:rsidR="001B1350" w:rsidRPr="00037153" w:rsidRDefault="001B1350" w:rsidP="000E53E9">
            <w:pPr>
              <w:widowControl/>
              <w:tabs>
                <w:tab w:val="decimal" w:pos="113"/>
              </w:tabs>
              <w:spacing w:line="200" w:lineRule="exact"/>
              <w:rPr>
                <w:sz w:val="18"/>
                <w:szCs w:val="20"/>
                <w:rtl/>
              </w:rPr>
            </w:pPr>
          </w:p>
        </w:tc>
      </w:tr>
      <w:tr w:rsidR="001B1350" w:rsidRPr="00037153" w14:paraId="394FFF36" w14:textId="77777777" w:rsidTr="006B7985">
        <w:tc>
          <w:tcPr>
            <w:tcW w:w="1409" w:type="dxa"/>
            <w:tcBorders>
              <w:right w:val="single" w:sz="6" w:space="0" w:color="auto"/>
            </w:tcBorders>
          </w:tcPr>
          <w:p w14:paraId="587AF4E3"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00118767"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סה</w:t>
            </w:r>
            <w:r w:rsidRPr="00037153">
              <w:rPr>
                <w:sz w:val="18"/>
                <w:szCs w:val="20"/>
                <w:rtl/>
              </w:rPr>
              <w:t xml:space="preserve">"כ </w:t>
            </w:r>
            <w:r w:rsidRPr="00037153">
              <w:rPr>
                <w:rFonts w:hint="cs"/>
                <w:sz w:val="18"/>
                <w:szCs w:val="20"/>
                <w:rtl/>
              </w:rPr>
              <w:t>רכיבים שלא יסווגו לאחר מכן לרווח או הפסד</w:t>
            </w:r>
          </w:p>
        </w:tc>
        <w:tc>
          <w:tcPr>
            <w:tcW w:w="113" w:type="dxa"/>
            <w:shd w:val="clear" w:color="auto" w:fill="auto"/>
            <w:vAlign w:val="bottom"/>
          </w:tcPr>
          <w:p w14:paraId="3B843337" w14:textId="77777777" w:rsidR="001B1350" w:rsidRPr="00037153" w:rsidRDefault="001B1350" w:rsidP="000E53E9">
            <w:pPr>
              <w:spacing w:line="200" w:lineRule="exact"/>
              <w:rPr>
                <w:sz w:val="18"/>
                <w:szCs w:val="20"/>
              </w:rPr>
            </w:pPr>
          </w:p>
        </w:tc>
        <w:tc>
          <w:tcPr>
            <w:tcW w:w="907" w:type="dxa"/>
            <w:gridSpan w:val="2"/>
            <w:tcBorders>
              <w:bottom w:val="single" w:sz="4" w:space="0" w:color="auto"/>
            </w:tcBorders>
            <w:vAlign w:val="bottom"/>
          </w:tcPr>
          <w:p w14:paraId="59AD92AE"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72E1128C"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3F916FEF"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497FED07"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4BB51124"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7C5F659F"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72CA72E7"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5BA708B8" w14:textId="77777777" w:rsidR="001B1350" w:rsidRPr="00037153" w:rsidRDefault="001B1350" w:rsidP="000E53E9">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32065DFA" w14:textId="77777777" w:rsidR="001B1350" w:rsidRPr="00037153" w:rsidRDefault="001B1350" w:rsidP="000E53E9">
            <w:pPr>
              <w:tabs>
                <w:tab w:val="decimal" w:pos="113"/>
              </w:tabs>
              <w:spacing w:line="200" w:lineRule="exact"/>
              <w:rPr>
                <w:sz w:val="18"/>
                <w:szCs w:val="20"/>
                <w:rtl/>
              </w:rPr>
            </w:pPr>
          </w:p>
        </w:tc>
      </w:tr>
      <w:tr w:rsidR="001B1350" w:rsidRPr="00037153" w14:paraId="20607EBC" w14:textId="77777777" w:rsidTr="006B7985">
        <w:tc>
          <w:tcPr>
            <w:tcW w:w="1409" w:type="dxa"/>
            <w:tcBorders>
              <w:right w:val="single" w:sz="6" w:space="0" w:color="auto"/>
            </w:tcBorders>
          </w:tcPr>
          <w:p w14:paraId="4CFE87B8"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5BA97429" w14:textId="77777777" w:rsidR="001B1350" w:rsidRPr="00037153" w:rsidRDefault="001B1350" w:rsidP="000E53E9">
            <w:pPr>
              <w:spacing w:line="200" w:lineRule="exact"/>
              <w:ind w:left="227" w:hanging="170"/>
              <w:jc w:val="left"/>
              <w:rPr>
                <w:sz w:val="18"/>
                <w:szCs w:val="20"/>
                <w:rtl/>
              </w:rPr>
            </w:pPr>
          </w:p>
        </w:tc>
        <w:tc>
          <w:tcPr>
            <w:tcW w:w="113" w:type="dxa"/>
            <w:shd w:val="clear" w:color="auto" w:fill="auto"/>
            <w:vAlign w:val="bottom"/>
          </w:tcPr>
          <w:p w14:paraId="0EDA2C54" w14:textId="77777777" w:rsidR="001B1350" w:rsidRPr="00037153" w:rsidRDefault="001B1350" w:rsidP="000E53E9">
            <w:pPr>
              <w:spacing w:line="200" w:lineRule="exact"/>
              <w:rPr>
                <w:sz w:val="18"/>
                <w:szCs w:val="20"/>
              </w:rPr>
            </w:pPr>
          </w:p>
        </w:tc>
        <w:tc>
          <w:tcPr>
            <w:tcW w:w="907" w:type="dxa"/>
            <w:gridSpan w:val="2"/>
            <w:tcBorders>
              <w:top w:val="single" w:sz="4" w:space="0" w:color="auto"/>
            </w:tcBorders>
            <w:vAlign w:val="bottom"/>
          </w:tcPr>
          <w:p w14:paraId="62E3476A"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4437907D"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22AEE33A"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2A4FFD6A"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59B9A113"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41654060"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646380FC"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585822C8" w14:textId="77777777" w:rsidR="001B1350" w:rsidRPr="00037153" w:rsidRDefault="001B1350" w:rsidP="000E53E9">
            <w:pPr>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483B2753" w14:textId="77777777" w:rsidR="001B1350" w:rsidRPr="00037153" w:rsidRDefault="001B1350" w:rsidP="000E53E9">
            <w:pPr>
              <w:tabs>
                <w:tab w:val="decimal" w:pos="113"/>
              </w:tabs>
              <w:spacing w:line="200" w:lineRule="exact"/>
              <w:rPr>
                <w:sz w:val="18"/>
                <w:szCs w:val="20"/>
                <w:rtl/>
              </w:rPr>
            </w:pPr>
          </w:p>
        </w:tc>
      </w:tr>
      <w:tr w:rsidR="001B1350" w:rsidRPr="00037153" w14:paraId="2532BE7A" w14:textId="77777777" w:rsidTr="006B7985">
        <w:tc>
          <w:tcPr>
            <w:tcW w:w="1409" w:type="dxa"/>
            <w:tcBorders>
              <w:bottom w:val="single" w:sz="4" w:space="0" w:color="auto"/>
              <w:right w:val="single" w:sz="6" w:space="0" w:color="auto"/>
            </w:tcBorders>
          </w:tcPr>
          <w:p w14:paraId="30EAB522" w14:textId="77777777" w:rsidR="001B1350" w:rsidRDefault="001B1350" w:rsidP="000E53E9">
            <w:pPr>
              <w:tabs>
                <w:tab w:val="left" w:pos="227"/>
                <w:tab w:val="left" w:pos="397"/>
                <w:tab w:val="left" w:pos="567"/>
              </w:tabs>
              <w:bidi w:val="0"/>
              <w:spacing w:line="200" w:lineRule="exact"/>
              <w:ind w:right="113"/>
              <w:jc w:val="right"/>
              <w:rPr>
                <w:i/>
                <w:iCs/>
                <w:sz w:val="18"/>
                <w:szCs w:val="20"/>
                <w:rtl/>
              </w:rPr>
            </w:pPr>
            <w:r w:rsidRPr="00DD74D5">
              <w:rPr>
                <w:i/>
                <w:iCs/>
                <w:sz w:val="12"/>
                <w:szCs w:val="14"/>
              </w:rPr>
              <w:t>IAS 1.82A</w:t>
            </w:r>
            <w:r>
              <w:rPr>
                <w:i/>
                <w:iCs/>
                <w:sz w:val="12"/>
                <w:szCs w:val="14"/>
              </w:rPr>
              <w:t>(a)(ii)</w:t>
            </w:r>
          </w:p>
          <w:p w14:paraId="3733B417" w14:textId="77777777" w:rsidR="001B1350" w:rsidRPr="0007242C" w:rsidRDefault="001B1350" w:rsidP="000E53E9">
            <w:pPr>
              <w:bidi w:val="0"/>
              <w:jc w:val="center"/>
              <w:rPr>
                <w:sz w:val="18"/>
                <w:szCs w:val="20"/>
                <w:rtl/>
              </w:rPr>
            </w:pPr>
          </w:p>
        </w:tc>
        <w:tc>
          <w:tcPr>
            <w:tcW w:w="2902" w:type="dxa"/>
            <w:tcBorders>
              <w:left w:val="single" w:sz="6" w:space="0" w:color="auto"/>
            </w:tcBorders>
            <w:shd w:val="clear" w:color="auto" w:fill="auto"/>
            <w:vAlign w:val="bottom"/>
          </w:tcPr>
          <w:p w14:paraId="5590AEEB" w14:textId="77777777" w:rsidR="001B1350" w:rsidRPr="00037153" w:rsidRDefault="001B1350" w:rsidP="000E53E9">
            <w:pPr>
              <w:spacing w:line="200" w:lineRule="exact"/>
              <w:ind w:left="227" w:hanging="170"/>
              <w:jc w:val="left"/>
              <w:rPr>
                <w:sz w:val="18"/>
                <w:szCs w:val="20"/>
                <w:u w:val="single"/>
                <w:rtl/>
              </w:rPr>
            </w:pPr>
            <w:r w:rsidRPr="00037153">
              <w:rPr>
                <w:rFonts w:hint="eastAsia"/>
                <w:sz w:val="18"/>
                <w:szCs w:val="20"/>
                <w:u w:val="single"/>
                <w:rtl/>
              </w:rPr>
              <w:t>סכומים</w:t>
            </w:r>
            <w:r w:rsidRPr="00037153">
              <w:rPr>
                <w:sz w:val="18"/>
                <w:szCs w:val="20"/>
                <w:u w:val="single"/>
                <w:rtl/>
              </w:rPr>
              <w:t xml:space="preserve"> </w:t>
            </w:r>
            <w:r w:rsidRPr="00037153">
              <w:rPr>
                <w:rFonts w:hint="eastAsia"/>
                <w:sz w:val="18"/>
                <w:szCs w:val="20"/>
                <w:u w:val="single"/>
                <w:rtl/>
              </w:rPr>
              <w:t>שיסווגו</w:t>
            </w:r>
            <w:r w:rsidRPr="00037153">
              <w:rPr>
                <w:sz w:val="18"/>
                <w:szCs w:val="20"/>
                <w:u w:val="single"/>
                <w:rtl/>
              </w:rPr>
              <w:t xml:space="preserve"> </w:t>
            </w:r>
            <w:r w:rsidRPr="00037153">
              <w:rPr>
                <w:rFonts w:hint="cs"/>
                <w:sz w:val="18"/>
                <w:szCs w:val="20"/>
                <w:u w:val="single"/>
                <w:rtl/>
              </w:rPr>
              <w:t xml:space="preserve">או המסווגים </w:t>
            </w:r>
            <w:r w:rsidRPr="00037153">
              <w:rPr>
                <w:rFonts w:hint="eastAsia"/>
                <w:sz w:val="18"/>
                <w:szCs w:val="20"/>
                <w:u w:val="single"/>
                <w:rtl/>
              </w:rPr>
              <w:t>מחדש</w:t>
            </w:r>
            <w:r w:rsidRPr="00037153">
              <w:rPr>
                <w:sz w:val="18"/>
                <w:szCs w:val="20"/>
                <w:u w:val="single"/>
                <w:rtl/>
              </w:rPr>
              <w:t xml:space="preserve"> </w:t>
            </w:r>
            <w:r w:rsidRPr="00037153">
              <w:rPr>
                <w:rFonts w:hint="eastAsia"/>
                <w:sz w:val="18"/>
                <w:szCs w:val="20"/>
                <w:u w:val="single"/>
                <w:rtl/>
              </w:rPr>
              <w:t>לרווח</w:t>
            </w:r>
            <w:r w:rsidRPr="00037153">
              <w:rPr>
                <w:sz w:val="18"/>
                <w:szCs w:val="20"/>
                <w:u w:val="single"/>
                <w:rtl/>
              </w:rPr>
              <w:t xml:space="preserve"> </w:t>
            </w:r>
            <w:r w:rsidRPr="00037153">
              <w:rPr>
                <w:rFonts w:hint="eastAsia"/>
                <w:sz w:val="18"/>
                <w:szCs w:val="20"/>
                <w:u w:val="single"/>
                <w:rtl/>
              </w:rPr>
              <w:t>או</w:t>
            </w:r>
            <w:r w:rsidRPr="00037153">
              <w:rPr>
                <w:sz w:val="18"/>
                <w:szCs w:val="20"/>
                <w:u w:val="single"/>
                <w:rtl/>
              </w:rPr>
              <w:t xml:space="preserve"> </w:t>
            </w:r>
            <w:r w:rsidRPr="00037153">
              <w:rPr>
                <w:rFonts w:hint="eastAsia"/>
                <w:sz w:val="18"/>
                <w:szCs w:val="20"/>
                <w:u w:val="single"/>
                <w:rtl/>
              </w:rPr>
              <w:t>הפסד</w:t>
            </w:r>
            <w:r w:rsidRPr="00037153">
              <w:rPr>
                <w:sz w:val="18"/>
                <w:szCs w:val="20"/>
                <w:u w:val="single"/>
                <w:rtl/>
              </w:rPr>
              <w:t xml:space="preserve"> </w:t>
            </w:r>
            <w:r w:rsidRPr="00037153">
              <w:rPr>
                <w:rFonts w:hint="eastAsia"/>
                <w:sz w:val="18"/>
                <w:szCs w:val="20"/>
                <w:u w:val="single"/>
                <w:rtl/>
              </w:rPr>
              <w:t>בהתקיים</w:t>
            </w:r>
            <w:r w:rsidRPr="00037153">
              <w:rPr>
                <w:sz w:val="18"/>
                <w:szCs w:val="20"/>
                <w:u w:val="single"/>
                <w:rtl/>
              </w:rPr>
              <w:t xml:space="preserve"> </w:t>
            </w:r>
            <w:r w:rsidRPr="00037153">
              <w:rPr>
                <w:rFonts w:hint="eastAsia"/>
                <w:sz w:val="18"/>
                <w:szCs w:val="20"/>
                <w:u w:val="single"/>
                <w:rtl/>
              </w:rPr>
              <w:t>תנאים</w:t>
            </w:r>
            <w:r w:rsidRPr="00037153">
              <w:rPr>
                <w:sz w:val="18"/>
                <w:szCs w:val="20"/>
                <w:u w:val="single"/>
                <w:rtl/>
              </w:rPr>
              <w:t xml:space="preserve"> </w:t>
            </w:r>
            <w:r w:rsidRPr="00037153">
              <w:rPr>
                <w:rFonts w:hint="eastAsia"/>
                <w:sz w:val="18"/>
                <w:szCs w:val="20"/>
                <w:u w:val="single"/>
                <w:rtl/>
              </w:rPr>
              <w:t>ספציפיים</w:t>
            </w:r>
            <w:r w:rsidRPr="00037153">
              <w:rPr>
                <w:rStyle w:val="ab"/>
                <w:sz w:val="18"/>
                <w:szCs w:val="20"/>
                <w:u w:val="single"/>
                <w:rtl/>
              </w:rPr>
              <w:footnoteReference w:id="27"/>
            </w:r>
            <w:r w:rsidRPr="00037153">
              <w:rPr>
                <w:sz w:val="18"/>
                <w:szCs w:val="20"/>
                <w:u w:val="single"/>
                <w:rtl/>
              </w:rPr>
              <w:t>:</w:t>
            </w:r>
          </w:p>
        </w:tc>
        <w:tc>
          <w:tcPr>
            <w:tcW w:w="113" w:type="dxa"/>
            <w:shd w:val="clear" w:color="auto" w:fill="auto"/>
            <w:vAlign w:val="bottom"/>
          </w:tcPr>
          <w:p w14:paraId="2A936209" w14:textId="77777777" w:rsidR="001B1350" w:rsidRPr="00037153" w:rsidRDefault="001B1350" w:rsidP="000E53E9">
            <w:pPr>
              <w:spacing w:line="200" w:lineRule="exact"/>
              <w:rPr>
                <w:sz w:val="18"/>
                <w:szCs w:val="20"/>
                <w:u w:val="single"/>
              </w:rPr>
            </w:pPr>
          </w:p>
        </w:tc>
        <w:tc>
          <w:tcPr>
            <w:tcW w:w="907" w:type="dxa"/>
            <w:gridSpan w:val="2"/>
            <w:vAlign w:val="bottom"/>
          </w:tcPr>
          <w:p w14:paraId="7324C5FD"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64CC6921"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0E9F853"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7AE839C0"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39FC8465"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276FE418"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A8E388D"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0D1C25CF"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0BE32C9A" w14:textId="77777777" w:rsidR="001B1350" w:rsidRPr="00037153" w:rsidRDefault="001B1350" w:rsidP="000E53E9">
            <w:pPr>
              <w:tabs>
                <w:tab w:val="decimal" w:pos="113"/>
              </w:tabs>
              <w:spacing w:line="200" w:lineRule="exact"/>
              <w:rPr>
                <w:sz w:val="18"/>
                <w:szCs w:val="20"/>
                <w:rtl/>
              </w:rPr>
            </w:pPr>
          </w:p>
        </w:tc>
      </w:tr>
      <w:tr w:rsidR="001B1350" w:rsidRPr="00037153" w14:paraId="0751A050" w14:textId="77777777" w:rsidTr="006B7985">
        <w:tc>
          <w:tcPr>
            <w:tcW w:w="1409" w:type="dxa"/>
            <w:tcBorders>
              <w:bottom w:val="single" w:sz="4" w:space="0" w:color="auto"/>
              <w:right w:val="single" w:sz="6" w:space="0" w:color="auto"/>
            </w:tcBorders>
          </w:tcPr>
          <w:p w14:paraId="26604CD5"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IFRS 9.5.7.1(d)</w:t>
            </w:r>
          </w:p>
        </w:tc>
        <w:tc>
          <w:tcPr>
            <w:tcW w:w="2902" w:type="dxa"/>
            <w:tcBorders>
              <w:left w:val="single" w:sz="6" w:space="0" w:color="auto"/>
            </w:tcBorders>
            <w:shd w:val="clear" w:color="auto" w:fill="auto"/>
            <w:vAlign w:val="bottom"/>
          </w:tcPr>
          <w:p w14:paraId="57704D49" w14:textId="77777777" w:rsidR="001B1350" w:rsidRPr="00037153" w:rsidRDefault="001B1350" w:rsidP="000E53E9">
            <w:pPr>
              <w:spacing w:line="200" w:lineRule="exact"/>
              <w:ind w:left="227" w:hanging="170"/>
              <w:jc w:val="left"/>
              <w:rPr>
                <w:sz w:val="18"/>
                <w:szCs w:val="20"/>
                <w:rtl/>
              </w:rPr>
            </w:pPr>
            <w:r w:rsidRPr="00E91246">
              <w:rPr>
                <w:rFonts w:hint="eastAsia"/>
                <w:sz w:val="18"/>
                <w:szCs w:val="20"/>
                <w:rtl/>
              </w:rPr>
              <w:t>רווח</w:t>
            </w:r>
            <w:r w:rsidRPr="00E91246">
              <w:rPr>
                <w:sz w:val="18"/>
                <w:szCs w:val="20"/>
                <w:rtl/>
              </w:rPr>
              <w:t xml:space="preserve"> (הפסד) </w:t>
            </w:r>
            <w:r w:rsidRPr="00E91246">
              <w:rPr>
                <w:rFonts w:hint="eastAsia"/>
                <w:sz w:val="18"/>
                <w:szCs w:val="20"/>
                <w:rtl/>
              </w:rPr>
              <w:t>בגין</w:t>
            </w:r>
            <w:r w:rsidRPr="00E91246">
              <w:rPr>
                <w:sz w:val="18"/>
                <w:szCs w:val="20"/>
                <w:rtl/>
              </w:rPr>
              <w:t xml:space="preserve"> </w:t>
            </w:r>
            <w:r w:rsidRPr="00E91246">
              <w:rPr>
                <w:rFonts w:hint="eastAsia"/>
                <w:sz w:val="18"/>
                <w:szCs w:val="20"/>
                <w:rtl/>
              </w:rPr>
              <w:t>השקעה</w:t>
            </w:r>
            <w:r w:rsidRPr="00E91246">
              <w:rPr>
                <w:sz w:val="18"/>
                <w:szCs w:val="20"/>
                <w:rtl/>
              </w:rPr>
              <w:t xml:space="preserve"> </w:t>
            </w:r>
            <w:r w:rsidRPr="00E91246">
              <w:rPr>
                <w:rFonts w:hint="eastAsia"/>
                <w:sz w:val="18"/>
                <w:szCs w:val="20"/>
                <w:rtl/>
              </w:rPr>
              <w:t>במכשירי</w:t>
            </w:r>
            <w:r w:rsidRPr="00E91246">
              <w:rPr>
                <w:sz w:val="18"/>
                <w:szCs w:val="20"/>
                <w:rtl/>
              </w:rPr>
              <w:t xml:space="preserve"> </w:t>
            </w:r>
            <w:r w:rsidRPr="00E91246">
              <w:rPr>
                <w:rFonts w:hint="eastAsia"/>
                <w:sz w:val="18"/>
                <w:szCs w:val="20"/>
                <w:rtl/>
              </w:rPr>
              <w:t>חוב</w:t>
            </w:r>
            <w:r w:rsidRPr="00E91246">
              <w:rPr>
                <w:sz w:val="18"/>
                <w:szCs w:val="20"/>
                <w:rtl/>
              </w:rPr>
              <w:t xml:space="preserve"> </w:t>
            </w:r>
            <w:r w:rsidRPr="00E91246">
              <w:rPr>
                <w:rFonts w:hint="eastAsia"/>
                <w:sz w:val="18"/>
                <w:szCs w:val="20"/>
                <w:rtl/>
              </w:rPr>
              <w:t>בשווי</w:t>
            </w:r>
            <w:r w:rsidRPr="00E91246">
              <w:rPr>
                <w:sz w:val="18"/>
                <w:szCs w:val="20"/>
                <w:rtl/>
              </w:rPr>
              <w:t xml:space="preserve"> </w:t>
            </w:r>
            <w:r w:rsidRPr="00E91246">
              <w:rPr>
                <w:rFonts w:hint="eastAsia"/>
                <w:sz w:val="18"/>
                <w:szCs w:val="20"/>
                <w:rtl/>
              </w:rPr>
              <w:t>הוגן</w:t>
            </w:r>
            <w:r w:rsidRPr="00E91246">
              <w:rPr>
                <w:sz w:val="18"/>
                <w:szCs w:val="20"/>
                <w:rtl/>
              </w:rPr>
              <w:t xml:space="preserve"> </w:t>
            </w:r>
            <w:r w:rsidRPr="00E91246">
              <w:rPr>
                <w:rFonts w:hint="eastAsia"/>
                <w:sz w:val="18"/>
                <w:szCs w:val="20"/>
                <w:rtl/>
              </w:rPr>
              <w:t>דרך</w:t>
            </w:r>
            <w:r w:rsidRPr="00E91246">
              <w:rPr>
                <w:sz w:val="18"/>
                <w:szCs w:val="20"/>
                <w:rtl/>
              </w:rPr>
              <w:t xml:space="preserve"> </w:t>
            </w:r>
            <w:r w:rsidRPr="00E91246">
              <w:rPr>
                <w:rFonts w:hint="eastAsia"/>
                <w:sz w:val="18"/>
                <w:szCs w:val="20"/>
                <w:rtl/>
              </w:rPr>
              <w:t>רווח</w:t>
            </w:r>
            <w:r w:rsidRPr="00E91246">
              <w:rPr>
                <w:sz w:val="18"/>
                <w:szCs w:val="20"/>
                <w:rtl/>
              </w:rPr>
              <w:t xml:space="preserve"> </w:t>
            </w:r>
            <w:r w:rsidRPr="00E91246">
              <w:rPr>
                <w:rFonts w:hint="eastAsia"/>
                <w:sz w:val="18"/>
                <w:szCs w:val="20"/>
                <w:rtl/>
              </w:rPr>
              <w:t>כולל</w:t>
            </w:r>
            <w:r w:rsidRPr="00E91246">
              <w:rPr>
                <w:sz w:val="18"/>
                <w:szCs w:val="20"/>
                <w:rtl/>
              </w:rPr>
              <w:t xml:space="preserve"> </w:t>
            </w:r>
            <w:r w:rsidRPr="00E91246">
              <w:rPr>
                <w:rFonts w:hint="eastAsia"/>
                <w:sz w:val="18"/>
                <w:szCs w:val="20"/>
                <w:rtl/>
              </w:rPr>
              <w:t>אחר</w:t>
            </w:r>
          </w:p>
        </w:tc>
        <w:tc>
          <w:tcPr>
            <w:tcW w:w="113" w:type="dxa"/>
            <w:shd w:val="clear" w:color="auto" w:fill="auto"/>
            <w:vAlign w:val="bottom"/>
          </w:tcPr>
          <w:p w14:paraId="0A51D56B" w14:textId="77777777" w:rsidR="001B1350" w:rsidRPr="00037153" w:rsidRDefault="001B1350" w:rsidP="000E53E9">
            <w:pPr>
              <w:spacing w:line="200" w:lineRule="exact"/>
              <w:rPr>
                <w:sz w:val="18"/>
                <w:szCs w:val="20"/>
                <w:u w:val="single"/>
              </w:rPr>
            </w:pPr>
          </w:p>
        </w:tc>
        <w:tc>
          <w:tcPr>
            <w:tcW w:w="907" w:type="dxa"/>
            <w:gridSpan w:val="2"/>
            <w:vAlign w:val="bottom"/>
          </w:tcPr>
          <w:p w14:paraId="007532EE"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2B2F8BC2"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5A116D43"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9999C3C"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450B99BD"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6915CFBC"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4CF449B"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E87919A"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51E989A0" w14:textId="77777777" w:rsidR="001B1350" w:rsidRPr="00037153" w:rsidRDefault="001B1350" w:rsidP="000E53E9">
            <w:pPr>
              <w:tabs>
                <w:tab w:val="decimal" w:pos="113"/>
              </w:tabs>
              <w:spacing w:line="200" w:lineRule="exact"/>
              <w:rPr>
                <w:sz w:val="18"/>
                <w:szCs w:val="20"/>
                <w:rtl/>
              </w:rPr>
            </w:pPr>
          </w:p>
        </w:tc>
      </w:tr>
      <w:tr w:rsidR="001B1350" w:rsidRPr="00037153" w14:paraId="368504C9" w14:textId="77777777" w:rsidTr="006B7985">
        <w:tc>
          <w:tcPr>
            <w:tcW w:w="1409" w:type="dxa"/>
            <w:tcBorders>
              <w:top w:val="single" w:sz="4" w:space="0" w:color="auto"/>
              <w:bottom w:val="single" w:sz="4" w:space="0" w:color="auto"/>
              <w:right w:val="single" w:sz="6" w:space="0" w:color="auto"/>
            </w:tcBorders>
          </w:tcPr>
          <w:p w14:paraId="617FC0BA"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IFRS 9.5.7.10</w:t>
            </w:r>
          </w:p>
        </w:tc>
        <w:tc>
          <w:tcPr>
            <w:tcW w:w="2902" w:type="dxa"/>
            <w:tcBorders>
              <w:left w:val="single" w:sz="6" w:space="0" w:color="auto"/>
            </w:tcBorders>
            <w:shd w:val="clear" w:color="auto" w:fill="auto"/>
            <w:vAlign w:val="bottom"/>
          </w:tcPr>
          <w:p w14:paraId="7D118B17" w14:textId="77777777" w:rsidR="001B1350" w:rsidRPr="00037153" w:rsidRDefault="001B1350" w:rsidP="000E53E9">
            <w:pPr>
              <w:widowControl/>
              <w:tabs>
                <w:tab w:val="left" w:pos="227"/>
                <w:tab w:val="left" w:pos="397"/>
                <w:tab w:val="left" w:pos="567"/>
              </w:tabs>
              <w:bidi w:val="0"/>
              <w:spacing w:line="200" w:lineRule="exact"/>
              <w:ind w:right="113"/>
              <w:jc w:val="right"/>
              <w:rPr>
                <w:sz w:val="18"/>
                <w:szCs w:val="20"/>
                <w:rtl/>
              </w:rPr>
            </w:pPr>
            <w:r>
              <w:rPr>
                <w:rFonts w:hint="cs"/>
                <w:sz w:val="18"/>
                <w:szCs w:val="20"/>
                <w:rtl/>
              </w:rPr>
              <w:t>העברה לדוח רווח או הפסד בגין מימוש השקעות במכשירי חוב בשווי הוגן דרך רווח כולל אחר</w:t>
            </w:r>
          </w:p>
        </w:tc>
        <w:tc>
          <w:tcPr>
            <w:tcW w:w="113" w:type="dxa"/>
            <w:shd w:val="clear" w:color="auto" w:fill="auto"/>
            <w:vAlign w:val="bottom"/>
          </w:tcPr>
          <w:p w14:paraId="2511E44C" w14:textId="77777777" w:rsidR="001B1350" w:rsidRPr="00037153" w:rsidRDefault="001B1350" w:rsidP="000E53E9">
            <w:pPr>
              <w:spacing w:line="200" w:lineRule="exact"/>
              <w:rPr>
                <w:sz w:val="18"/>
                <w:szCs w:val="20"/>
                <w:u w:val="single"/>
              </w:rPr>
            </w:pPr>
          </w:p>
        </w:tc>
        <w:tc>
          <w:tcPr>
            <w:tcW w:w="907" w:type="dxa"/>
            <w:gridSpan w:val="2"/>
            <w:vAlign w:val="bottom"/>
          </w:tcPr>
          <w:p w14:paraId="3A7003AA"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7649523E"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75E50B48"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EEEC59C"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591FE6A2"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37DFC385"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E5CAA06"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3F36073"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0AC8056E" w14:textId="77777777" w:rsidR="001B1350" w:rsidRPr="00037153" w:rsidRDefault="001B1350" w:rsidP="000E53E9">
            <w:pPr>
              <w:tabs>
                <w:tab w:val="decimal" w:pos="113"/>
              </w:tabs>
              <w:spacing w:line="200" w:lineRule="exact"/>
              <w:rPr>
                <w:sz w:val="18"/>
                <w:szCs w:val="20"/>
                <w:rtl/>
              </w:rPr>
            </w:pPr>
          </w:p>
        </w:tc>
      </w:tr>
      <w:tr w:rsidR="001B1350" w:rsidRPr="00037153" w14:paraId="2AECC215" w14:textId="77777777" w:rsidTr="006B7985">
        <w:tc>
          <w:tcPr>
            <w:tcW w:w="1409" w:type="dxa"/>
            <w:tcBorders>
              <w:top w:val="single" w:sz="4" w:space="0" w:color="auto"/>
              <w:bottom w:val="single" w:sz="4" w:space="0" w:color="auto"/>
              <w:right w:val="single" w:sz="6" w:space="0" w:color="auto"/>
            </w:tcBorders>
          </w:tcPr>
          <w:p w14:paraId="281552DC"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IAS 39.95(a)</w:t>
            </w:r>
          </w:p>
        </w:tc>
        <w:tc>
          <w:tcPr>
            <w:tcW w:w="2902" w:type="dxa"/>
            <w:tcBorders>
              <w:left w:val="single" w:sz="6" w:space="0" w:color="auto"/>
            </w:tcBorders>
            <w:shd w:val="clear" w:color="auto" w:fill="auto"/>
            <w:vAlign w:val="bottom"/>
          </w:tcPr>
          <w:p w14:paraId="55189278"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(הפסד) </w:t>
            </w:r>
            <w:r w:rsidRPr="00037153">
              <w:rPr>
                <w:rFonts w:hint="eastAsia"/>
                <w:sz w:val="18"/>
                <w:szCs w:val="20"/>
                <w:rtl/>
              </w:rPr>
              <w:t>בגין</w:t>
            </w:r>
            <w:r w:rsidRPr="00037153">
              <w:rPr>
                <w:sz w:val="18"/>
                <w:szCs w:val="20"/>
                <w:rtl/>
              </w:rPr>
              <w:t xml:space="preserve"> </w:t>
            </w:r>
            <w:r w:rsidRPr="00037153">
              <w:rPr>
                <w:rFonts w:hint="eastAsia"/>
                <w:sz w:val="18"/>
                <w:szCs w:val="20"/>
                <w:rtl/>
              </w:rPr>
              <w:t>עסקאות</w:t>
            </w:r>
            <w:r w:rsidRPr="00037153">
              <w:rPr>
                <w:sz w:val="18"/>
                <w:szCs w:val="20"/>
                <w:rtl/>
              </w:rPr>
              <w:t xml:space="preserve"> </w:t>
            </w:r>
            <w:r w:rsidRPr="00037153">
              <w:rPr>
                <w:rFonts w:hint="eastAsia"/>
                <w:sz w:val="18"/>
                <w:szCs w:val="20"/>
                <w:rtl/>
              </w:rPr>
              <w:t>גידור</w:t>
            </w:r>
            <w:r w:rsidRPr="00037153">
              <w:rPr>
                <w:sz w:val="18"/>
                <w:szCs w:val="20"/>
                <w:rtl/>
              </w:rPr>
              <w:t xml:space="preserve"> </w:t>
            </w:r>
            <w:r w:rsidRPr="00037153">
              <w:rPr>
                <w:rFonts w:hint="eastAsia"/>
                <w:sz w:val="18"/>
                <w:szCs w:val="20"/>
                <w:rtl/>
              </w:rPr>
              <w:t>תזרימי</w:t>
            </w:r>
            <w:r w:rsidRPr="00037153">
              <w:rPr>
                <w:sz w:val="18"/>
                <w:szCs w:val="20"/>
                <w:rtl/>
              </w:rPr>
              <w:t xml:space="preserve"> </w:t>
            </w:r>
            <w:r w:rsidRPr="00037153">
              <w:rPr>
                <w:rFonts w:hint="eastAsia"/>
                <w:sz w:val="18"/>
                <w:szCs w:val="20"/>
                <w:rtl/>
              </w:rPr>
              <w:t>מזומנים</w:t>
            </w:r>
            <w:r w:rsidRPr="00037153">
              <w:rPr>
                <w:rStyle w:val="ab"/>
                <w:sz w:val="18"/>
                <w:szCs w:val="20"/>
                <w:rtl/>
              </w:rPr>
              <w:footnoteReference w:id="28"/>
            </w:r>
          </w:p>
        </w:tc>
        <w:tc>
          <w:tcPr>
            <w:tcW w:w="113" w:type="dxa"/>
            <w:shd w:val="clear" w:color="auto" w:fill="auto"/>
            <w:vAlign w:val="bottom"/>
          </w:tcPr>
          <w:p w14:paraId="2AB7E98D" w14:textId="77777777" w:rsidR="001B1350" w:rsidRPr="00037153" w:rsidRDefault="001B1350" w:rsidP="000E53E9">
            <w:pPr>
              <w:spacing w:line="200" w:lineRule="exact"/>
              <w:rPr>
                <w:sz w:val="18"/>
                <w:szCs w:val="20"/>
                <w:u w:val="single"/>
              </w:rPr>
            </w:pPr>
          </w:p>
        </w:tc>
        <w:tc>
          <w:tcPr>
            <w:tcW w:w="907" w:type="dxa"/>
            <w:gridSpan w:val="2"/>
            <w:vAlign w:val="bottom"/>
          </w:tcPr>
          <w:p w14:paraId="6C878589"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261AC545"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C0E9C24"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0788F423"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2C0A9B4A"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2DF41EAE"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949C6EA"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E60C058"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10BFD8CC" w14:textId="77777777" w:rsidR="001B1350" w:rsidRPr="00037153" w:rsidRDefault="001B1350" w:rsidP="000E53E9">
            <w:pPr>
              <w:tabs>
                <w:tab w:val="decimal" w:pos="113"/>
              </w:tabs>
              <w:spacing w:line="200" w:lineRule="exact"/>
              <w:rPr>
                <w:sz w:val="18"/>
                <w:szCs w:val="20"/>
                <w:rtl/>
              </w:rPr>
            </w:pPr>
          </w:p>
        </w:tc>
      </w:tr>
      <w:tr w:rsidR="001B1350" w:rsidRPr="00037153" w14:paraId="5EADBB7F" w14:textId="77777777" w:rsidTr="006B7985">
        <w:tc>
          <w:tcPr>
            <w:tcW w:w="1409" w:type="dxa"/>
            <w:tcBorders>
              <w:top w:val="single" w:sz="4" w:space="0" w:color="auto"/>
              <w:bottom w:val="single" w:sz="4" w:space="0" w:color="auto"/>
              <w:right w:val="single" w:sz="6" w:space="0" w:color="auto"/>
            </w:tcBorders>
          </w:tcPr>
          <w:p w14:paraId="57DE6D67"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IFRS 7.23(c)</w:t>
            </w:r>
          </w:p>
        </w:tc>
        <w:tc>
          <w:tcPr>
            <w:tcW w:w="2902" w:type="dxa"/>
            <w:tcBorders>
              <w:left w:val="single" w:sz="6" w:space="0" w:color="auto"/>
            </w:tcBorders>
            <w:shd w:val="clear" w:color="auto" w:fill="auto"/>
            <w:vAlign w:val="bottom"/>
          </w:tcPr>
          <w:p w14:paraId="0B17F717"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העברה</w:t>
            </w:r>
            <w:r w:rsidRPr="00037153">
              <w:rPr>
                <w:sz w:val="18"/>
                <w:szCs w:val="20"/>
                <w:rtl/>
              </w:rPr>
              <w:t xml:space="preserve"> </w:t>
            </w:r>
            <w:r w:rsidRPr="00037153">
              <w:rPr>
                <w:rFonts w:hint="eastAsia"/>
                <w:sz w:val="18"/>
                <w:szCs w:val="20"/>
                <w:rtl/>
              </w:rPr>
              <w:t>לרווח</w:t>
            </w:r>
            <w:r w:rsidRPr="00037153">
              <w:rPr>
                <w:sz w:val="18"/>
                <w:szCs w:val="20"/>
                <w:rtl/>
              </w:rPr>
              <w:t xml:space="preserve"> </w:t>
            </w:r>
            <w:r w:rsidRPr="00037153">
              <w:rPr>
                <w:rFonts w:hint="eastAsia"/>
                <w:sz w:val="18"/>
                <w:szCs w:val="20"/>
                <w:rtl/>
              </w:rPr>
              <w:t>או</w:t>
            </w:r>
            <w:r w:rsidRPr="00037153">
              <w:rPr>
                <w:sz w:val="18"/>
                <w:szCs w:val="20"/>
                <w:rtl/>
              </w:rPr>
              <w:t xml:space="preserve"> </w:t>
            </w:r>
            <w:r w:rsidRPr="00037153">
              <w:rPr>
                <w:rFonts w:hint="eastAsia"/>
                <w:sz w:val="18"/>
                <w:szCs w:val="20"/>
                <w:rtl/>
              </w:rPr>
              <w:t>הפסד</w:t>
            </w:r>
            <w:r w:rsidRPr="00037153">
              <w:rPr>
                <w:sz w:val="18"/>
                <w:szCs w:val="20"/>
                <w:rtl/>
              </w:rPr>
              <w:t xml:space="preserve"> </w:t>
            </w:r>
            <w:r w:rsidRPr="00037153">
              <w:rPr>
                <w:rFonts w:hint="eastAsia"/>
                <w:sz w:val="18"/>
                <w:szCs w:val="20"/>
                <w:rtl/>
              </w:rPr>
              <w:t>בגין</w:t>
            </w:r>
            <w:r w:rsidRPr="00037153">
              <w:rPr>
                <w:sz w:val="18"/>
                <w:szCs w:val="20"/>
                <w:rtl/>
              </w:rPr>
              <w:t xml:space="preserve"> </w:t>
            </w:r>
            <w:r w:rsidRPr="00037153">
              <w:rPr>
                <w:rFonts w:hint="eastAsia"/>
                <w:sz w:val="18"/>
                <w:szCs w:val="20"/>
                <w:rtl/>
              </w:rPr>
              <w:t>עסקאות</w:t>
            </w:r>
            <w:r w:rsidRPr="00037153">
              <w:rPr>
                <w:sz w:val="18"/>
                <w:szCs w:val="20"/>
                <w:rtl/>
              </w:rPr>
              <w:t xml:space="preserve"> </w:t>
            </w:r>
            <w:r w:rsidRPr="00037153">
              <w:rPr>
                <w:rFonts w:hint="eastAsia"/>
                <w:sz w:val="18"/>
                <w:szCs w:val="20"/>
                <w:rtl/>
              </w:rPr>
              <w:t>גידור</w:t>
            </w:r>
            <w:r w:rsidRPr="00037153">
              <w:rPr>
                <w:sz w:val="18"/>
                <w:szCs w:val="20"/>
                <w:rtl/>
              </w:rPr>
              <w:t xml:space="preserve"> </w:t>
            </w:r>
            <w:r w:rsidRPr="00037153">
              <w:rPr>
                <w:rFonts w:hint="eastAsia"/>
                <w:sz w:val="18"/>
                <w:szCs w:val="20"/>
                <w:rtl/>
              </w:rPr>
              <w:t>תזרימי</w:t>
            </w:r>
            <w:r w:rsidRPr="00037153">
              <w:rPr>
                <w:sz w:val="18"/>
                <w:szCs w:val="20"/>
                <w:rtl/>
              </w:rPr>
              <w:t xml:space="preserve"> </w:t>
            </w:r>
            <w:r w:rsidRPr="00037153">
              <w:rPr>
                <w:rFonts w:hint="eastAsia"/>
                <w:sz w:val="18"/>
                <w:szCs w:val="20"/>
                <w:rtl/>
              </w:rPr>
              <w:t>מזומנים</w:t>
            </w:r>
          </w:p>
        </w:tc>
        <w:tc>
          <w:tcPr>
            <w:tcW w:w="113" w:type="dxa"/>
            <w:shd w:val="clear" w:color="auto" w:fill="auto"/>
            <w:vAlign w:val="bottom"/>
          </w:tcPr>
          <w:p w14:paraId="316EEBB2" w14:textId="77777777" w:rsidR="001B1350" w:rsidRPr="00037153" w:rsidRDefault="001B1350" w:rsidP="000E53E9">
            <w:pPr>
              <w:spacing w:line="200" w:lineRule="exact"/>
              <w:rPr>
                <w:sz w:val="18"/>
                <w:szCs w:val="20"/>
                <w:u w:val="single"/>
              </w:rPr>
            </w:pPr>
          </w:p>
        </w:tc>
        <w:tc>
          <w:tcPr>
            <w:tcW w:w="907" w:type="dxa"/>
            <w:gridSpan w:val="2"/>
            <w:vAlign w:val="bottom"/>
          </w:tcPr>
          <w:p w14:paraId="0754EA4D"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5FAD4F42"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6C6752A"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56898C18"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75D06BA1"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57BDE371"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2ACB4BE1"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542ACACF"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08B33966" w14:textId="77777777" w:rsidR="001B1350" w:rsidRPr="00037153" w:rsidRDefault="001B1350" w:rsidP="000E53E9">
            <w:pPr>
              <w:tabs>
                <w:tab w:val="decimal" w:pos="113"/>
              </w:tabs>
              <w:spacing w:line="200" w:lineRule="exact"/>
              <w:rPr>
                <w:sz w:val="18"/>
                <w:szCs w:val="20"/>
                <w:rtl/>
              </w:rPr>
            </w:pPr>
          </w:p>
        </w:tc>
      </w:tr>
      <w:tr w:rsidR="001B1350" w:rsidRPr="00037153" w14:paraId="3DF39A64" w14:textId="77777777" w:rsidTr="006B7985">
        <w:tc>
          <w:tcPr>
            <w:tcW w:w="1409" w:type="dxa"/>
            <w:vMerge w:val="restart"/>
            <w:tcBorders>
              <w:top w:val="single" w:sz="4" w:space="0" w:color="auto"/>
              <w:right w:val="single" w:sz="6" w:space="0" w:color="auto"/>
            </w:tcBorders>
          </w:tcPr>
          <w:p w14:paraId="49FECEE1"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Pr>
            </w:pPr>
            <w:r w:rsidRPr="0007242C">
              <w:rPr>
                <w:i/>
                <w:iCs/>
                <w:sz w:val="12"/>
                <w:szCs w:val="14"/>
              </w:rPr>
              <w:t>IAS 21.32;</w:t>
            </w:r>
          </w:p>
          <w:p w14:paraId="4F535C1D"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IAS 21.52</w:t>
            </w:r>
          </w:p>
        </w:tc>
        <w:tc>
          <w:tcPr>
            <w:tcW w:w="2902" w:type="dxa"/>
            <w:tcBorders>
              <w:left w:val="single" w:sz="6" w:space="0" w:color="auto"/>
            </w:tcBorders>
            <w:shd w:val="clear" w:color="auto" w:fill="auto"/>
            <w:vAlign w:val="bottom"/>
          </w:tcPr>
          <w:p w14:paraId="4C019E39"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התאמות</w:t>
            </w:r>
            <w:r w:rsidRPr="00037153">
              <w:rPr>
                <w:sz w:val="18"/>
                <w:szCs w:val="20"/>
                <w:rtl/>
              </w:rPr>
              <w:t xml:space="preserve"> הנובעות מתרגום דוחות כספיים של פעילויות חוץ </w:t>
            </w:r>
          </w:p>
        </w:tc>
        <w:tc>
          <w:tcPr>
            <w:tcW w:w="113" w:type="dxa"/>
            <w:shd w:val="clear" w:color="auto" w:fill="auto"/>
            <w:vAlign w:val="bottom"/>
          </w:tcPr>
          <w:p w14:paraId="751FDACD" w14:textId="77777777" w:rsidR="001B1350" w:rsidRPr="00037153" w:rsidRDefault="001B1350" w:rsidP="000E53E9">
            <w:pPr>
              <w:spacing w:line="200" w:lineRule="exact"/>
              <w:rPr>
                <w:sz w:val="18"/>
                <w:szCs w:val="20"/>
              </w:rPr>
            </w:pPr>
          </w:p>
        </w:tc>
        <w:tc>
          <w:tcPr>
            <w:tcW w:w="907" w:type="dxa"/>
            <w:gridSpan w:val="2"/>
            <w:vAlign w:val="bottom"/>
          </w:tcPr>
          <w:p w14:paraId="6219F277"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1877B326"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43206C35"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4DE3F7F5"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3DAC4F84"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167348CE"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5FBCD61C"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A6ED0C1"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384B5B20" w14:textId="77777777" w:rsidR="001B1350" w:rsidRPr="00037153" w:rsidRDefault="001B1350" w:rsidP="000E53E9">
            <w:pPr>
              <w:tabs>
                <w:tab w:val="decimal" w:pos="113"/>
              </w:tabs>
              <w:spacing w:line="200" w:lineRule="exact"/>
              <w:rPr>
                <w:sz w:val="18"/>
                <w:szCs w:val="20"/>
                <w:rtl/>
              </w:rPr>
            </w:pPr>
          </w:p>
        </w:tc>
      </w:tr>
      <w:tr w:rsidR="001B1350" w:rsidRPr="00037153" w14:paraId="1E19375A" w14:textId="77777777" w:rsidTr="006B7985">
        <w:tc>
          <w:tcPr>
            <w:tcW w:w="1409" w:type="dxa"/>
            <w:vMerge/>
            <w:tcBorders>
              <w:bottom w:val="single" w:sz="4" w:space="0" w:color="auto"/>
              <w:right w:val="single" w:sz="6" w:space="0" w:color="auto"/>
            </w:tcBorders>
          </w:tcPr>
          <w:p w14:paraId="4576B7E8"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p>
        </w:tc>
        <w:tc>
          <w:tcPr>
            <w:tcW w:w="2902" w:type="dxa"/>
            <w:tcBorders>
              <w:left w:val="single" w:sz="6" w:space="0" w:color="auto"/>
            </w:tcBorders>
            <w:shd w:val="clear" w:color="auto" w:fill="auto"/>
            <w:vAlign w:val="bottom"/>
          </w:tcPr>
          <w:p w14:paraId="767A275B"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העברה</w:t>
            </w:r>
            <w:r w:rsidRPr="00037153">
              <w:rPr>
                <w:sz w:val="18"/>
                <w:szCs w:val="20"/>
                <w:rtl/>
              </w:rPr>
              <w:t xml:space="preserve"> </w:t>
            </w:r>
            <w:r w:rsidRPr="00037153">
              <w:rPr>
                <w:rFonts w:hint="eastAsia"/>
                <w:sz w:val="18"/>
                <w:szCs w:val="20"/>
                <w:rtl/>
              </w:rPr>
              <w:t>לרווח</w:t>
            </w:r>
            <w:r w:rsidRPr="00037153">
              <w:rPr>
                <w:sz w:val="18"/>
                <w:szCs w:val="20"/>
                <w:rtl/>
              </w:rPr>
              <w:t xml:space="preserve"> </w:t>
            </w:r>
            <w:r w:rsidRPr="00037153">
              <w:rPr>
                <w:rFonts w:hint="eastAsia"/>
                <w:sz w:val="18"/>
                <w:szCs w:val="20"/>
                <w:rtl/>
              </w:rPr>
              <w:t>או</w:t>
            </w:r>
            <w:r w:rsidRPr="00037153">
              <w:rPr>
                <w:sz w:val="18"/>
                <w:szCs w:val="20"/>
                <w:rtl/>
              </w:rPr>
              <w:t xml:space="preserve"> </w:t>
            </w:r>
            <w:r w:rsidRPr="00037153">
              <w:rPr>
                <w:rFonts w:hint="eastAsia"/>
                <w:sz w:val="18"/>
                <w:szCs w:val="20"/>
                <w:rtl/>
              </w:rPr>
              <w:t>הפסד</w:t>
            </w:r>
            <w:r w:rsidRPr="00037153">
              <w:rPr>
                <w:sz w:val="18"/>
                <w:szCs w:val="20"/>
                <w:rtl/>
              </w:rPr>
              <w:t xml:space="preserve"> </w:t>
            </w:r>
            <w:r w:rsidRPr="00037153">
              <w:rPr>
                <w:rFonts w:hint="eastAsia"/>
                <w:sz w:val="18"/>
                <w:szCs w:val="20"/>
                <w:rtl/>
              </w:rPr>
              <w:t>בגין</w:t>
            </w:r>
            <w:r w:rsidRPr="00037153">
              <w:rPr>
                <w:sz w:val="18"/>
                <w:szCs w:val="20"/>
                <w:rtl/>
              </w:rPr>
              <w:t xml:space="preserve"> </w:t>
            </w:r>
            <w:r w:rsidRPr="00037153">
              <w:rPr>
                <w:rFonts w:hint="eastAsia"/>
                <w:sz w:val="18"/>
                <w:szCs w:val="20"/>
                <w:rtl/>
              </w:rPr>
              <w:t>מימוש</w:t>
            </w:r>
            <w:r w:rsidRPr="00037153">
              <w:rPr>
                <w:sz w:val="18"/>
                <w:szCs w:val="20"/>
                <w:rtl/>
              </w:rPr>
              <w:t xml:space="preserve"> </w:t>
            </w:r>
            <w:r w:rsidRPr="00037153">
              <w:rPr>
                <w:rFonts w:hint="eastAsia"/>
                <w:sz w:val="18"/>
                <w:szCs w:val="20"/>
                <w:rtl/>
              </w:rPr>
              <w:t>פעילות</w:t>
            </w:r>
            <w:r w:rsidRPr="00037153">
              <w:rPr>
                <w:sz w:val="18"/>
                <w:szCs w:val="20"/>
                <w:rtl/>
              </w:rPr>
              <w:t xml:space="preserve"> </w:t>
            </w:r>
            <w:r w:rsidRPr="00037153">
              <w:rPr>
                <w:rFonts w:hint="eastAsia"/>
                <w:sz w:val="18"/>
                <w:szCs w:val="20"/>
                <w:rtl/>
              </w:rPr>
              <w:t>חוץ</w:t>
            </w:r>
          </w:p>
        </w:tc>
        <w:tc>
          <w:tcPr>
            <w:tcW w:w="113" w:type="dxa"/>
            <w:shd w:val="clear" w:color="auto" w:fill="auto"/>
            <w:vAlign w:val="bottom"/>
          </w:tcPr>
          <w:p w14:paraId="4744B35D" w14:textId="77777777" w:rsidR="001B1350" w:rsidRPr="00037153" w:rsidRDefault="001B1350" w:rsidP="000E53E9">
            <w:pPr>
              <w:spacing w:line="200" w:lineRule="exact"/>
              <w:rPr>
                <w:sz w:val="18"/>
                <w:szCs w:val="20"/>
              </w:rPr>
            </w:pPr>
          </w:p>
        </w:tc>
        <w:tc>
          <w:tcPr>
            <w:tcW w:w="907" w:type="dxa"/>
            <w:gridSpan w:val="2"/>
            <w:vAlign w:val="bottom"/>
          </w:tcPr>
          <w:p w14:paraId="31A1C071"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256077BC"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0DE221F"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4CFA2ED"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CAA49A0"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7BD730CD"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97812BA"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5E730C8F"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7EB5C37B" w14:textId="77777777" w:rsidR="001B1350" w:rsidRPr="00037153" w:rsidRDefault="001B1350" w:rsidP="000E53E9">
            <w:pPr>
              <w:tabs>
                <w:tab w:val="decimal" w:pos="113"/>
              </w:tabs>
              <w:spacing w:line="200" w:lineRule="exact"/>
              <w:rPr>
                <w:sz w:val="18"/>
                <w:szCs w:val="20"/>
                <w:rtl/>
              </w:rPr>
            </w:pPr>
          </w:p>
        </w:tc>
      </w:tr>
      <w:tr w:rsidR="001B1350" w:rsidRPr="00037153" w14:paraId="11B9DFDD" w14:textId="77777777" w:rsidTr="006B7985">
        <w:tc>
          <w:tcPr>
            <w:tcW w:w="1409" w:type="dxa"/>
            <w:tcBorders>
              <w:top w:val="single" w:sz="4" w:space="0" w:color="auto"/>
              <w:bottom w:val="single" w:sz="4" w:space="0" w:color="auto"/>
              <w:right w:val="single" w:sz="6" w:space="0" w:color="auto"/>
            </w:tcBorders>
          </w:tcPr>
          <w:p w14:paraId="486D404D"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Pr>
            </w:pPr>
            <w:r w:rsidRPr="0007242C">
              <w:rPr>
                <w:rFonts w:hint="cs"/>
                <w:i/>
                <w:iCs/>
                <w:sz w:val="12"/>
                <w:szCs w:val="14"/>
              </w:rPr>
              <w:t>IAS</w:t>
            </w:r>
            <w:r w:rsidRPr="0007242C">
              <w:rPr>
                <w:i/>
                <w:iCs/>
                <w:sz w:val="12"/>
                <w:szCs w:val="14"/>
              </w:rPr>
              <w:t> 1.82(h)</w:t>
            </w:r>
          </w:p>
          <w:p w14:paraId="2248A430"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p>
        </w:tc>
        <w:tc>
          <w:tcPr>
            <w:tcW w:w="2902" w:type="dxa"/>
            <w:tcBorders>
              <w:left w:val="single" w:sz="6" w:space="0" w:color="auto"/>
            </w:tcBorders>
            <w:shd w:val="clear" w:color="auto" w:fill="auto"/>
            <w:vAlign w:val="bottom"/>
          </w:tcPr>
          <w:p w14:paraId="57CF9396"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חלק</w:t>
            </w:r>
            <w:r w:rsidRPr="00037153">
              <w:rPr>
                <w:sz w:val="18"/>
                <w:szCs w:val="20"/>
                <w:rtl/>
              </w:rPr>
              <w:t xml:space="preserve"> </w:t>
            </w:r>
            <w:r w:rsidRPr="00037153">
              <w:rPr>
                <w:rFonts w:hint="eastAsia"/>
                <w:sz w:val="18"/>
                <w:szCs w:val="20"/>
                <w:rtl/>
              </w:rPr>
              <w:t>הקבוצה</w:t>
            </w:r>
            <w:r w:rsidRPr="00037153">
              <w:rPr>
                <w:sz w:val="18"/>
                <w:szCs w:val="20"/>
                <w:rtl/>
              </w:rPr>
              <w:t xml:space="preserve"> </w:t>
            </w:r>
            <w:r w:rsidRPr="00037153">
              <w:rPr>
                <w:rFonts w:hint="eastAsia"/>
                <w:sz w:val="18"/>
                <w:szCs w:val="20"/>
                <w:rtl/>
              </w:rPr>
              <w:t>ברווח</w:t>
            </w:r>
            <w:r w:rsidRPr="00037153">
              <w:rPr>
                <w:sz w:val="18"/>
                <w:szCs w:val="20"/>
                <w:rtl/>
              </w:rPr>
              <w:t xml:space="preserve"> (הפסד) </w:t>
            </w:r>
            <w:r w:rsidRPr="00037153">
              <w:rPr>
                <w:rFonts w:hint="eastAsia"/>
                <w:sz w:val="18"/>
                <w:szCs w:val="20"/>
                <w:rtl/>
              </w:rPr>
              <w:t>כולל</w:t>
            </w:r>
            <w:r w:rsidRPr="00037153">
              <w:rPr>
                <w:sz w:val="18"/>
                <w:szCs w:val="20"/>
                <w:rtl/>
              </w:rPr>
              <w:t xml:space="preserve"> </w:t>
            </w:r>
            <w:r w:rsidRPr="00037153">
              <w:rPr>
                <w:rFonts w:hint="eastAsia"/>
                <w:sz w:val="18"/>
                <w:szCs w:val="20"/>
                <w:rtl/>
              </w:rPr>
              <w:t>אחר</w:t>
            </w:r>
            <w:r w:rsidRPr="00037153">
              <w:rPr>
                <w:sz w:val="18"/>
                <w:szCs w:val="20"/>
                <w:rtl/>
              </w:rPr>
              <w:t xml:space="preserve">, </w:t>
            </w:r>
            <w:r w:rsidRPr="00037153">
              <w:rPr>
                <w:rFonts w:hint="eastAsia"/>
                <w:sz w:val="18"/>
                <w:szCs w:val="20"/>
                <w:rtl/>
              </w:rPr>
              <w:t>נטו</w:t>
            </w:r>
            <w:r w:rsidRPr="00037153">
              <w:rPr>
                <w:sz w:val="18"/>
                <w:szCs w:val="20"/>
                <w:rtl/>
              </w:rPr>
              <w:t xml:space="preserve"> </w:t>
            </w:r>
            <w:r w:rsidRPr="00037153">
              <w:rPr>
                <w:rFonts w:hint="eastAsia"/>
                <w:sz w:val="18"/>
                <w:szCs w:val="20"/>
                <w:rtl/>
              </w:rPr>
              <w:t>של</w:t>
            </w:r>
            <w:r w:rsidRPr="00037153">
              <w:rPr>
                <w:sz w:val="18"/>
                <w:szCs w:val="20"/>
                <w:rtl/>
              </w:rPr>
              <w:t xml:space="preserve"> </w:t>
            </w:r>
            <w:r w:rsidRPr="00037153">
              <w:rPr>
                <w:rFonts w:hint="eastAsia"/>
                <w:sz w:val="18"/>
                <w:szCs w:val="20"/>
                <w:rtl/>
              </w:rPr>
              <w:t>חברות</w:t>
            </w:r>
            <w:r w:rsidRPr="00037153">
              <w:rPr>
                <w:sz w:val="18"/>
                <w:szCs w:val="20"/>
                <w:rtl/>
              </w:rPr>
              <w:t xml:space="preserve"> </w:t>
            </w:r>
            <w:r w:rsidRPr="00037153">
              <w:rPr>
                <w:rFonts w:hint="eastAsia"/>
                <w:sz w:val="18"/>
                <w:szCs w:val="20"/>
                <w:rtl/>
              </w:rPr>
              <w:t>המטופלות</w:t>
            </w:r>
            <w:r w:rsidRPr="00037153">
              <w:rPr>
                <w:sz w:val="18"/>
                <w:szCs w:val="20"/>
                <w:rtl/>
              </w:rPr>
              <w:t xml:space="preserve"> </w:t>
            </w:r>
            <w:r w:rsidRPr="00037153">
              <w:rPr>
                <w:rFonts w:hint="eastAsia"/>
                <w:sz w:val="18"/>
                <w:szCs w:val="20"/>
                <w:rtl/>
              </w:rPr>
              <w:t>לפי</w:t>
            </w:r>
            <w:r w:rsidRPr="00037153">
              <w:rPr>
                <w:sz w:val="18"/>
                <w:szCs w:val="20"/>
                <w:rtl/>
              </w:rPr>
              <w:t xml:space="preserve"> </w:t>
            </w:r>
            <w:r w:rsidRPr="00037153">
              <w:rPr>
                <w:rFonts w:hint="eastAsia"/>
                <w:sz w:val="18"/>
                <w:szCs w:val="20"/>
                <w:rtl/>
              </w:rPr>
              <w:t>שיטת</w:t>
            </w:r>
            <w:r w:rsidRPr="00037153">
              <w:rPr>
                <w:sz w:val="18"/>
                <w:szCs w:val="20"/>
                <w:rtl/>
              </w:rPr>
              <w:t xml:space="preserve"> </w:t>
            </w:r>
            <w:r w:rsidRPr="00037153">
              <w:rPr>
                <w:rFonts w:hint="eastAsia"/>
                <w:sz w:val="18"/>
                <w:szCs w:val="20"/>
                <w:rtl/>
              </w:rPr>
              <w:t>השווי</w:t>
            </w:r>
            <w:r w:rsidRPr="00037153">
              <w:rPr>
                <w:sz w:val="18"/>
                <w:szCs w:val="20"/>
                <w:rtl/>
              </w:rPr>
              <w:t xml:space="preserve"> </w:t>
            </w:r>
            <w:r w:rsidRPr="00037153">
              <w:rPr>
                <w:rFonts w:hint="eastAsia"/>
                <w:sz w:val="18"/>
                <w:szCs w:val="20"/>
                <w:rtl/>
              </w:rPr>
              <w:t>המאזני</w:t>
            </w:r>
            <w:r w:rsidRPr="00037153">
              <w:rPr>
                <w:sz w:val="18"/>
                <w:szCs w:val="20"/>
                <w:rtl/>
              </w:rPr>
              <w:t xml:space="preserve"> </w:t>
            </w:r>
          </w:p>
        </w:tc>
        <w:tc>
          <w:tcPr>
            <w:tcW w:w="113" w:type="dxa"/>
            <w:shd w:val="clear" w:color="auto" w:fill="auto"/>
            <w:vAlign w:val="bottom"/>
          </w:tcPr>
          <w:p w14:paraId="515DCCA4" w14:textId="77777777" w:rsidR="001B1350" w:rsidRPr="00037153" w:rsidRDefault="001B1350" w:rsidP="000E53E9">
            <w:pPr>
              <w:spacing w:line="200" w:lineRule="exact"/>
              <w:rPr>
                <w:sz w:val="18"/>
                <w:szCs w:val="20"/>
              </w:rPr>
            </w:pPr>
          </w:p>
        </w:tc>
        <w:tc>
          <w:tcPr>
            <w:tcW w:w="907" w:type="dxa"/>
            <w:gridSpan w:val="2"/>
            <w:tcBorders>
              <w:bottom w:val="single" w:sz="4" w:space="0" w:color="auto"/>
            </w:tcBorders>
            <w:vAlign w:val="bottom"/>
          </w:tcPr>
          <w:p w14:paraId="16807FAE"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5AAEF05B"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0447AB1A"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4C7BC854"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43C12E15"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6511C739"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7614CF9D"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76DA82F" w14:textId="77777777" w:rsidR="001B1350" w:rsidRPr="00037153" w:rsidRDefault="001B1350" w:rsidP="000E53E9">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64D9C726" w14:textId="77777777" w:rsidR="001B1350" w:rsidRPr="00037153" w:rsidRDefault="001B1350" w:rsidP="000E53E9">
            <w:pPr>
              <w:tabs>
                <w:tab w:val="decimal" w:pos="113"/>
              </w:tabs>
              <w:spacing w:line="200" w:lineRule="exact"/>
              <w:rPr>
                <w:sz w:val="18"/>
                <w:szCs w:val="20"/>
                <w:rtl/>
              </w:rPr>
            </w:pPr>
          </w:p>
        </w:tc>
      </w:tr>
      <w:tr w:rsidR="001B1350" w:rsidRPr="00037153" w14:paraId="47C6DE92" w14:textId="77777777" w:rsidTr="006B7985">
        <w:tc>
          <w:tcPr>
            <w:tcW w:w="1409" w:type="dxa"/>
            <w:tcBorders>
              <w:top w:val="single" w:sz="4" w:space="0" w:color="auto"/>
              <w:right w:val="single" w:sz="6" w:space="0" w:color="auto"/>
            </w:tcBorders>
          </w:tcPr>
          <w:p w14:paraId="22CDD9B5"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4E25C5FA" w14:textId="77777777" w:rsidR="001B1350" w:rsidRPr="00037153" w:rsidRDefault="001B1350" w:rsidP="000E53E9">
            <w:pPr>
              <w:spacing w:line="200" w:lineRule="exact"/>
              <w:ind w:left="227" w:hanging="170"/>
              <w:jc w:val="left"/>
              <w:rPr>
                <w:sz w:val="18"/>
                <w:szCs w:val="20"/>
                <w:rtl/>
              </w:rPr>
            </w:pPr>
          </w:p>
        </w:tc>
        <w:tc>
          <w:tcPr>
            <w:tcW w:w="113" w:type="dxa"/>
            <w:shd w:val="clear" w:color="auto" w:fill="auto"/>
            <w:vAlign w:val="bottom"/>
          </w:tcPr>
          <w:p w14:paraId="1A28DDC4" w14:textId="77777777" w:rsidR="001B1350" w:rsidRPr="00037153" w:rsidRDefault="001B1350" w:rsidP="000E53E9">
            <w:pPr>
              <w:spacing w:line="200" w:lineRule="exact"/>
              <w:rPr>
                <w:sz w:val="18"/>
                <w:szCs w:val="20"/>
              </w:rPr>
            </w:pPr>
          </w:p>
        </w:tc>
        <w:tc>
          <w:tcPr>
            <w:tcW w:w="907" w:type="dxa"/>
            <w:gridSpan w:val="2"/>
            <w:tcBorders>
              <w:top w:val="single" w:sz="4" w:space="0" w:color="auto"/>
            </w:tcBorders>
            <w:vAlign w:val="bottom"/>
          </w:tcPr>
          <w:p w14:paraId="2CD068CB"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5250FD40"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0810615C"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7773C97B"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30056354"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59C059DE"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43447702"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34966E01" w14:textId="77777777" w:rsidR="001B1350" w:rsidRPr="00037153" w:rsidRDefault="001B1350" w:rsidP="000E53E9">
            <w:pPr>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0A06F3E2" w14:textId="77777777" w:rsidR="001B1350" w:rsidRPr="00037153" w:rsidRDefault="001B1350" w:rsidP="000E53E9">
            <w:pPr>
              <w:tabs>
                <w:tab w:val="decimal" w:pos="113"/>
              </w:tabs>
              <w:spacing w:line="200" w:lineRule="exact"/>
              <w:rPr>
                <w:sz w:val="18"/>
                <w:szCs w:val="20"/>
                <w:rtl/>
              </w:rPr>
            </w:pPr>
          </w:p>
        </w:tc>
      </w:tr>
      <w:tr w:rsidR="001B1350" w:rsidRPr="00037153" w14:paraId="790233AA" w14:textId="77777777" w:rsidTr="006B7985">
        <w:tc>
          <w:tcPr>
            <w:tcW w:w="1409" w:type="dxa"/>
            <w:tcBorders>
              <w:right w:val="single" w:sz="6" w:space="0" w:color="auto"/>
            </w:tcBorders>
          </w:tcPr>
          <w:p w14:paraId="33556D18"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6F46F454" w14:textId="77777777" w:rsidR="001B1350" w:rsidRPr="00037153" w:rsidRDefault="001B1350" w:rsidP="000E53E9">
            <w:pPr>
              <w:spacing w:line="200" w:lineRule="exact"/>
              <w:ind w:left="227" w:hanging="170"/>
              <w:jc w:val="left"/>
              <w:rPr>
                <w:sz w:val="18"/>
                <w:szCs w:val="20"/>
                <w:rtl/>
              </w:rPr>
            </w:pPr>
            <w:r w:rsidRPr="00037153">
              <w:rPr>
                <w:rFonts w:hint="cs"/>
                <w:sz w:val="18"/>
                <w:szCs w:val="20"/>
                <w:rtl/>
              </w:rPr>
              <w:t>סה"כ רכיבים שיסווגו או המסווגים מחדש לרווח או הפסד</w:t>
            </w:r>
          </w:p>
        </w:tc>
        <w:tc>
          <w:tcPr>
            <w:tcW w:w="113" w:type="dxa"/>
            <w:shd w:val="clear" w:color="auto" w:fill="auto"/>
            <w:vAlign w:val="bottom"/>
          </w:tcPr>
          <w:p w14:paraId="101826B7" w14:textId="77777777" w:rsidR="001B1350" w:rsidRPr="00037153" w:rsidRDefault="001B1350" w:rsidP="000E53E9">
            <w:pPr>
              <w:spacing w:line="200" w:lineRule="exact"/>
              <w:rPr>
                <w:sz w:val="18"/>
                <w:szCs w:val="20"/>
              </w:rPr>
            </w:pPr>
          </w:p>
        </w:tc>
        <w:tc>
          <w:tcPr>
            <w:tcW w:w="907" w:type="dxa"/>
            <w:gridSpan w:val="2"/>
            <w:tcBorders>
              <w:bottom w:val="single" w:sz="4" w:space="0" w:color="auto"/>
            </w:tcBorders>
            <w:vAlign w:val="bottom"/>
          </w:tcPr>
          <w:p w14:paraId="0991F90D"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400C0E89"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9967B0F"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0CFBA766"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D51A955"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30D9DAFA"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30B26C08"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47E7461F" w14:textId="77777777" w:rsidR="001B1350" w:rsidRPr="00037153" w:rsidRDefault="001B1350" w:rsidP="000E53E9">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0E79FD97" w14:textId="77777777" w:rsidR="001B1350" w:rsidRPr="00037153" w:rsidRDefault="001B1350" w:rsidP="000E53E9">
            <w:pPr>
              <w:tabs>
                <w:tab w:val="decimal" w:pos="113"/>
              </w:tabs>
              <w:spacing w:line="200" w:lineRule="exact"/>
              <w:rPr>
                <w:sz w:val="18"/>
                <w:szCs w:val="20"/>
                <w:rtl/>
              </w:rPr>
            </w:pPr>
          </w:p>
        </w:tc>
      </w:tr>
      <w:tr w:rsidR="001B1350" w:rsidRPr="00037153" w14:paraId="6D7782A4" w14:textId="77777777" w:rsidTr="006B7985">
        <w:tc>
          <w:tcPr>
            <w:tcW w:w="1409" w:type="dxa"/>
            <w:tcBorders>
              <w:right w:val="single" w:sz="6" w:space="0" w:color="auto"/>
            </w:tcBorders>
          </w:tcPr>
          <w:p w14:paraId="6383EDB7"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5743605E" w14:textId="77777777" w:rsidR="001B1350" w:rsidRPr="00037153" w:rsidRDefault="001B1350" w:rsidP="000E53E9">
            <w:pPr>
              <w:spacing w:line="200" w:lineRule="exact"/>
              <w:ind w:left="227" w:hanging="170"/>
              <w:jc w:val="left"/>
              <w:rPr>
                <w:sz w:val="18"/>
                <w:szCs w:val="20"/>
                <w:rtl/>
              </w:rPr>
            </w:pPr>
          </w:p>
        </w:tc>
        <w:tc>
          <w:tcPr>
            <w:tcW w:w="113" w:type="dxa"/>
            <w:shd w:val="clear" w:color="auto" w:fill="auto"/>
            <w:vAlign w:val="bottom"/>
          </w:tcPr>
          <w:p w14:paraId="4ED4DCA6" w14:textId="77777777" w:rsidR="001B1350" w:rsidRPr="00037153" w:rsidRDefault="001B1350" w:rsidP="000E53E9">
            <w:pPr>
              <w:spacing w:line="200" w:lineRule="exact"/>
              <w:rPr>
                <w:sz w:val="18"/>
                <w:szCs w:val="20"/>
              </w:rPr>
            </w:pPr>
          </w:p>
        </w:tc>
        <w:tc>
          <w:tcPr>
            <w:tcW w:w="907" w:type="dxa"/>
            <w:gridSpan w:val="2"/>
            <w:tcBorders>
              <w:top w:val="single" w:sz="4" w:space="0" w:color="auto"/>
            </w:tcBorders>
            <w:vAlign w:val="bottom"/>
          </w:tcPr>
          <w:p w14:paraId="5721B8BA"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43B88B0A"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19BAE5D0"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320F149C"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0796796B"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32BCC20F"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0E6D782B"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8A7BE60" w14:textId="77777777" w:rsidR="001B1350" w:rsidRPr="00037153" w:rsidRDefault="001B1350" w:rsidP="000E53E9">
            <w:pPr>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763F178D" w14:textId="77777777" w:rsidR="001B1350" w:rsidRPr="00037153" w:rsidRDefault="001B1350" w:rsidP="000E53E9">
            <w:pPr>
              <w:tabs>
                <w:tab w:val="decimal" w:pos="113"/>
              </w:tabs>
              <w:spacing w:line="200" w:lineRule="exact"/>
              <w:rPr>
                <w:sz w:val="18"/>
                <w:szCs w:val="20"/>
                <w:rtl/>
              </w:rPr>
            </w:pPr>
          </w:p>
        </w:tc>
      </w:tr>
      <w:tr w:rsidR="001B1350" w:rsidRPr="00037153" w14:paraId="5758514D" w14:textId="77777777" w:rsidTr="006B7985">
        <w:tc>
          <w:tcPr>
            <w:tcW w:w="1409" w:type="dxa"/>
            <w:tcBorders>
              <w:right w:val="single" w:sz="6" w:space="0" w:color="auto"/>
            </w:tcBorders>
            <w:vAlign w:val="center"/>
          </w:tcPr>
          <w:p w14:paraId="0CCDF547" w14:textId="0141265A" w:rsidR="001B1350" w:rsidRPr="00037153" w:rsidRDefault="001B1350" w:rsidP="001B1350">
            <w:pPr>
              <w:tabs>
                <w:tab w:val="left" w:pos="227"/>
                <w:tab w:val="left" w:pos="397"/>
                <w:tab w:val="left" w:pos="567"/>
              </w:tabs>
              <w:bidi w:val="0"/>
              <w:spacing w:line="200" w:lineRule="exact"/>
              <w:ind w:right="113"/>
              <w:jc w:val="right"/>
              <w:rPr>
                <w:i/>
                <w:iCs/>
                <w:sz w:val="18"/>
                <w:szCs w:val="20"/>
                <w:rtl/>
              </w:rPr>
            </w:pPr>
            <w:r w:rsidRPr="008D0A42">
              <w:rPr>
                <w:i/>
                <w:iCs/>
                <w:sz w:val="13"/>
                <w:szCs w:val="13"/>
              </w:rPr>
              <w:t>IAS 1.85</w:t>
            </w:r>
          </w:p>
        </w:tc>
        <w:tc>
          <w:tcPr>
            <w:tcW w:w="2902" w:type="dxa"/>
            <w:tcBorders>
              <w:left w:val="single" w:sz="6" w:space="0" w:color="auto"/>
            </w:tcBorders>
            <w:shd w:val="clear" w:color="auto" w:fill="auto"/>
            <w:vAlign w:val="bottom"/>
          </w:tcPr>
          <w:p w14:paraId="54474C47" w14:textId="3B68F195" w:rsidR="001B1350" w:rsidRPr="00037153" w:rsidRDefault="001B1350" w:rsidP="001B1350">
            <w:pPr>
              <w:spacing w:line="200" w:lineRule="exact"/>
              <w:ind w:left="227" w:hanging="170"/>
              <w:jc w:val="left"/>
              <w:rPr>
                <w:sz w:val="18"/>
                <w:szCs w:val="20"/>
                <w:rtl/>
              </w:rPr>
            </w:pPr>
            <w:r w:rsidRPr="008D0A42">
              <w:rPr>
                <w:rFonts w:hint="eastAsia"/>
                <w:b/>
                <w:sz w:val="18"/>
                <w:szCs w:val="20"/>
                <w:rtl/>
              </w:rPr>
              <w:t>סה</w:t>
            </w:r>
            <w:r w:rsidRPr="008D0A42">
              <w:rPr>
                <w:b/>
                <w:sz w:val="18"/>
                <w:szCs w:val="20"/>
                <w:rtl/>
              </w:rPr>
              <w:t xml:space="preserve">"כ </w:t>
            </w:r>
            <w:r w:rsidRPr="008D0A42">
              <w:rPr>
                <w:rFonts w:hint="eastAsia"/>
                <w:b/>
                <w:sz w:val="18"/>
                <w:szCs w:val="20"/>
                <w:rtl/>
              </w:rPr>
              <w:t>רווח</w:t>
            </w:r>
            <w:r w:rsidRPr="008D0A42">
              <w:rPr>
                <w:b/>
                <w:sz w:val="18"/>
                <w:szCs w:val="20"/>
                <w:rtl/>
              </w:rPr>
              <w:t xml:space="preserve"> (הפסד) </w:t>
            </w:r>
            <w:r w:rsidRPr="008D0A42">
              <w:rPr>
                <w:rFonts w:hint="eastAsia"/>
                <w:b/>
                <w:sz w:val="18"/>
                <w:szCs w:val="20"/>
                <w:rtl/>
              </w:rPr>
              <w:t>כולל</w:t>
            </w:r>
            <w:r w:rsidRPr="008D0A42">
              <w:rPr>
                <w:b/>
                <w:sz w:val="18"/>
                <w:szCs w:val="20"/>
                <w:rtl/>
              </w:rPr>
              <w:t xml:space="preserve"> </w:t>
            </w:r>
            <w:r w:rsidRPr="008D0A42">
              <w:rPr>
                <w:rFonts w:hint="eastAsia"/>
                <w:b/>
                <w:sz w:val="18"/>
                <w:szCs w:val="20"/>
                <w:rtl/>
              </w:rPr>
              <w:t>אחר</w:t>
            </w:r>
          </w:p>
        </w:tc>
        <w:tc>
          <w:tcPr>
            <w:tcW w:w="113" w:type="dxa"/>
            <w:shd w:val="clear" w:color="auto" w:fill="auto"/>
            <w:vAlign w:val="bottom"/>
          </w:tcPr>
          <w:p w14:paraId="4E46356E" w14:textId="77777777" w:rsidR="001B1350" w:rsidRPr="00037153" w:rsidRDefault="001B1350" w:rsidP="001B1350">
            <w:pPr>
              <w:spacing w:line="200" w:lineRule="exact"/>
              <w:rPr>
                <w:sz w:val="18"/>
                <w:szCs w:val="20"/>
              </w:rPr>
            </w:pPr>
          </w:p>
        </w:tc>
        <w:tc>
          <w:tcPr>
            <w:tcW w:w="907" w:type="dxa"/>
            <w:gridSpan w:val="2"/>
            <w:tcBorders>
              <w:bottom w:val="single" w:sz="4" w:space="0" w:color="auto"/>
            </w:tcBorders>
            <w:vAlign w:val="bottom"/>
          </w:tcPr>
          <w:p w14:paraId="767C9D8A" w14:textId="77777777" w:rsidR="001B1350" w:rsidRPr="00037153" w:rsidRDefault="001B1350" w:rsidP="001B1350">
            <w:pPr>
              <w:tabs>
                <w:tab w:val="decimal" w:pos="113"/>
              </w:tabs>
              <w:spacing w:line="200" w:lineRule="exact"/>
              <w:rPr>
                <w:sz w:val="18"/>
                <w:szCs w:val="20"/>
                <w:rtl/>
              </w:rPr>
            </w:pPr>
          </w:p>
        </w:tc>
        <w:tc>
          <w:tcPr>
            <w:tcW w:w="113" w:type="dxa"/>
            <w:vAlign w:val="bottom"/>
          </w:tcPr>
          <w:p w14:paraId="25B4BC82" w14:textId="77777777" w:rsidR="001B1350" w:rsidRPr="00037153" w:rsidRDefault="001B1350" w:rsidP="001B1350">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1B086FE" w14:textId="77777777" w:rsidR="001B1350" w:rsidRPr="00037153" w:rsidRDefault="001B1350" w:rsidP="001B1350">
            <w:pPr>
              <w:tabs>
                <w:tab w:val="decimal" w:pos="113"/>
              </w:tabs>
              <w:spacing w:line="200" w:lineRule="exact"/>
              <w:rPr>
                <w:sz w:val="18"/>
                <w:szCs w:val="20"/>
              </w:rPr>
            </w:pPr>
          </w:p>
        </w:tc>
        <w:tc>
          <w:tcPr>
            <w:tcW w:w="113" w:type="dxa"/>
            <w:shd w:val="clear" w:color="auto" w:fill="auto"/>
            <w:vAlign w:val="bottom"/>
          </w:tcPr>
          <w:p w14:paraId="0C3787DB" w14:textId="77777777" w:rsidR="001B1350" w:rsidRPr="00037153" w:rsidRDefault="001B1350" w:rsidP="001B1350">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49639E45" w14:textId="77777777" w:rsidR="001B1350" w:rsidRPr="00037153" w:rsidRDefault="001B1350" w:rsidP="001B1350">
            <w:pPr>
              <w:tabs>
                <w:tab w:val="decimal" w:pos="113"/>
              </w:tabs>
              <w:spacing w:line="200" w:lineRule="exact"/>
              <w:rPr>
                <w:sz w:val="18"/>
                <w:szCs w:val="20"/>
                <w:rtl/>
              </w:rPr>
            </w:pPr>
          </w:p>
        </w:tc>
        <w:tc>
          <w:tcPr>
            <w:tcW w:w="113" w:type="dxa"/>
            <w:shd w:val="clear" w:color="auto" w:fill="auto"/>
            <w:vAlign w:val="bottom"/>
          </w:tcPr>
          <w:p w14:paraId="0DBBA25F" w14:textId="77777777" w:rsidR="001B1350" w:rsidRPr="00037153" w:rsidRDefault="001B1350" w:rsidP="001B1350">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7250E02A" w14:textId="77777777" w:rsidR="001B1350" w:rsidRPr="00037153" w:rsidRDefault="001B1350" w:rsidP="001B1350">
            <w:pPr>
              <w:tabs>
                <w:tab w:val="decimal" w:pos="113"/>
              </w:tabs>
              <w:spacing w:line="200" w:lineRule="exact"/>
              <w:rPr>
                <w:sz w:val="18"/>
                <w:szCs w:val="20"/>
              </w:rPr>
            </w:pPr>
          </w:p>
        </w:tc>
        <w:tc>
          <w:tcPr>
            <w:tcW w:w="113" w:type="dxa"/>
            <w:shd w:val="clear" w:color="auto" w:fill="auto"/>
            <w:vAlign w:val="bottom"/>
          </w:tcPr>
          <w:p w14:paraId="23B49A4E" w14:textId="77777777" w:rsidR="001B1350" w:rsidRPr="00037153" w:rsidRDefault="001B1350" w:rsidP="001B1350">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62905D4D" w14:textId="77777777" w:rsidR="001B1350" w:rsidRPr="00037153" w:rsidRDefault="001B1350" w:rsidP="001B1350">
            <w:pPr>
              <w:tabs>
                <w:tab w:val="decimal" w:pos="113"/>
              </w:tabs>
              <w:spacing w:line="200" w:lineRule="exact"/>
              <w:rPr>
                <w:sz w:val="18"/>
                <w:szCs w:val="20"/>
                <w:rtl/>
              </w:rPr>
            </w:pPr>
          </w:p>
        </w:tc>
      </w:tr>
      <w:tr w:rsidR="001B1350" w:rsidRPr="00037153" w14:paraId="2AB214A0" w14:textId="77777777" w:rsidTr="006B7985">
        <w:tc>
          <w:tcPr>
            <w:tcW w:w="1409" w:type="dxa"/>
            <w:tcBorders>
              <w:right w:val="single" w:sz="6" w:space="0" w:color="auto"/>
            </w:tcBorders>
          </w:tcPr>
          <w:p w14:paraId="21447772" w14:textId="77777777" w:rsidR="001B1350" w:rsidRPr="00037153" w:rsidRDefault="001B1350" w:rsidP="001B1350">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5AA71738" w14:textId="77777777" w:rsidR="001B1350" w:rsidRPr="00037153" w:rsidRDefault="001B1350" w:rsidP="001B1350">
            <w:pPr>
              <w:spacing w:line="200" w:lineRule="exact"/>
              <w:ind w:left="227" w:hanging="170"/>
              <w:jc w:val="left"/>
              <w:rPr>
                <w:sz w:val="18"/>
                <w:szCs w:val="20"/>
                <w:rtl/>
              </w:rPr>
            </w:pPr>
          </w:p>
        </w:tc>
        <w:tc>
          <w:tcPr>
            <w:tcW w:w="113" w:type="dxa"/>
            <w:shd w:val="clear" w:color="auto" w:fill="auto"/>
            <w:vAlign w:val="bottom"/>
          </w:tcPr>
          <w:p w14:paraId="5732B222" w14:textId="77777777" w:rsidR="001B1350" w:rsidRPr="00037153" w:rsidRDefault="001B1350" w:rsidP="001B1350">
            <w:pPr>
              <w:spacing w:line="200" w:lineRule="exact"/>
              <w:rPr>
                <w:sz w:val="18"/>
                <w:szCs w:val="20"/>
              </w:rPr>
            </w:pPr>
          </w:p>
        </w:tc>
        <w:tc>
          <w:tcPr>
            <w:tcW w:w="907" w:type="dxa"/>
            <w:gridSpan w:val="2"/>
            <w:tcBorders>
              <w:top w:val="single" w:sz="4" w:space="0" w:color="auto"/>
            </w:tcBorders>
            <w:vAlign w:val="bottom"/>
          </w:tcPr>
          <w:p w14:paraId="4EE8A6AE" w14:textId="77777777" w:rsidR="001B1350" w:rsidRPr="00037153" w:rsidRDefault="001B1350" w:rsidP="001B1350">
            <w:pPr>
              <w:tabs>
                <w:tab w:val="decimal" w:pos="113"/>
              </w:tabs>
              <w:spacing w:line="200" w:lineRule="exact"/>
              <w:rPr>
                <w:sz w:val="18"/>
                <w:szCs w:val="20"/>
                <w:rtl/>
              </w:rPr>
            </w:pPr>
          </w:p>
        </w:tc>
        <w:tc>
          <w:tcPr>
            <w:tcW w:w="113" w:type="dxa"/>
            <w:vAlign w:val="bottom"/>
          </w:tcPr>
          <w:p w14:paraId="4E4F435E" w14:textId="77777777" w:rsidR="001B1350" w:rsidRPr="00037153" w:rsidRDefault="001B1350" w:rsidP="001B1350">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51D8450A" w14:textId="77777777" w:rsidR="001B1350" w:rsidRPr="00037153" w:rsidRDefault="001B1350" w:rsidP="001B1350">
            <w:pPr>
              <w:tabs>
                <w:tab w:val="decimal" w:pos="113"/>
              </w:tabs>
              <w:spacing w:line="200" w:lineRule="exact"/>
              <w:rPr>
                <w:sz w:val="18"/>
                <w:szCs w:val="20"/>
              </w:rPr>
            </w:pPr>
          </w:p>
        </w:tc>
        <w:tc>
          <w:tcPr>
            <w:tcW w:w="113" w:type="dxa"/>
            <w:shd w:val="clear" w:color="auto" w:fill="auto"/>
            <w:vAlign w:val="bottom"/>
          </w:tcPr>
          <w:p w14:paraId="70DD6CF1" w14:textId="77777777" w:rsidR="001B1350" w:rsidRPr="00037153" w:rsidRDefault="001B1350" w:rsidP="001B1350">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79A9515C" w14:textId="77777777" w:rsidR="001B1350" w:rsidRPr="00037153" w:rsidRDefault="001B1350" w:rsidP="001B1350">
            <w:pPr>
              <w:tabs>
                <w:tab w:val="decimal" w:pos="113"/>
              </w:tabs>
              <w:spacing w:line="200" w:lineRule="exact"/>
              <w:rPr>
                <w:sz w:val="18"/>
                <w:szCs w:val="20"/>
                <w:rtl/>
              </w:rPr>
            </w:pPr>
          </w:p>
        </w:tc>
        <w:tc>
          <w:tcPr>
            <w:tcW w:w="113" w:type="dxa"/>
            <w:shd w:val="clear" w:color="auto" w:fill="auto"/>
            <w:vAlign w:val="bottom"/>
          </w:tcPr>
          <w:p w14:paraId="6FA32158" w14:textId="77777777" w:rsidR="001B1350" w:rsidRPr="00037153" w:rsidRDefault="001B1350" w:rsidP="001B1350">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60430E99" w14:textId="77777777" w:rsidR="001B1350" w:rsidRPr="00037153" w:rsidRDefault="001B1350" w:rsidP="001B1350">
            <w:pPr>
              <w:tabs>
                <w:tab w:val="decimal" w:pos="113"/>
              </w:tabs>
              <w:spacing w:line="200" w:lineRule="exact"/>
              <w:rPr>
                <w:sz w:val="18"/>
                <w:szCs w:val="20"/>
              </w:rPr>
            </w:pPr>
          </w:p>
        </w:tc>
        <w:tc>
          <w:tcPr>
            <w:tcW w:w="113" w:type="dxa"/>
            <w:shd w:val="clear" w:color="auto" w:fill="auto"/>
            <w:vAlign w:val="bottom"/>
          </w:tcPr>
          <w:p w14:paraId="0793F780" w14:textId="77777777" w:rsidR="001B1350" w:rsidRPr="00037153" w:rsidRDefault="001B1350" w:rsidP="001B1350">
            <w:pPr>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528A9CE6" w14:textId="77777777" w:rsidR="001B1350" w:rsidRPr="00037153" w:rsidRDefault="001B1350" w:rsidP="001B1350">
            <w:pPr>
              <w:tabs>
                <w:tab w:val="decimal" w:pos="113"/>
              </w:tabs>
              <w:spacing w:line="200" w:lineRule="exact"/>
              <w:rPr>
                <w:sz w:val="18"/>
                <w:szCs w:val="20"/>
                <w:rtl/>
              </w:rPr>
            </w:pPr>
          </w:p>
        </w:tc>
      </w:tr>
      <w:tr w:rsidR="001B1350" w:rsidRPr="00037153" w14:paraId="46BD13B2" w14:textId="77777777" w:rsidTr="006B7985">
        <w:tc>
          <w:tcPr>
            <w:tcW w:w="1409" w:type="dxa"/>
            <w:tcBorders>
              <w:right w:val="single" w:sz="6" w:space="0" w:color="auto"/>
            </w:tcBorders>
            <w:vAlign w:val="center"/>
          </w:tcPr>
          <w:p w14:paraId="61F0E2E2" w14:textId="3450B987" w:rsidR="001B1350" w:rsidRPr="00037153" w:rsidRDefault="001B1350" w:rsidP="001B1350">
            <w:pPr>
              <w:tabs>
                <w:tab w:val="left" w:pos="227"/>
                <w:tab w:val="left" w:pos="397"/>
                <w:tab w:val="left" w:pos="567"/>
              </w:tabs>
              <w:bidi w:val="0"/>
              <w:spacing w:line="200" w:lineRule="exact"/>
              <w:ind w:right="113"/>
              <w:jc w:val="right"/>
              <w:rPr>
                <w:i/>
                <w:iCs/>
                <w:sz w:val="18"/>
                <w:szCs w:val="20"/>
                <w:rtl/>
              </w:rPr>
            </w:pPr>
            <w:r w:rsidRPr="008D0A42">
              <w:rPr>
                <w:bCs/>
                <w:i/>
                <w:iCs/>
                <w:sz w:val="13"/>
                <w:szCs w:val="13"/>
              </w:rPr>
              <w:t>IAS 1.82(i)</w:t>
            </w:r>
          </w:p>
        </w:tc>
        <w:tc>
          <w:tcPr>
            <w:tcW w:w="2902" w:type="dxa"/>
            <w:tcBorders>
              <w:left w:val="single" w:sz="6" w:space="0" w:color="auto"/>
            </w:tcBorders>
            <w:shd w:val="clear" w:color="auto" w:fill="auto"/>
            <w:vAlign w:val="bottom"/>
          </w:tcPr>
          <w:p w14:paraId="713CE019" w14:textId="17EA3CEC" w:rsidR="001B1350" w:rsidRPr="00037153" w:rsidRDefault="001B1350" w:rsidP="001B1350">
            <w:pPr>
              <w:spacing w:line="200" w:lineRule="exact"/>
              <w:ind w:left="227" w:hanging="170"/>
              <w:jc w:val="left"/>
              <w:rPr>
                <w:sz w:val="18"/>
                <w:szCs w:val="20"/>
                <w:rtl/>
              </w:rPr>
            </w:pPr>
            <w:r w:rsidRPr="008D0A42">
              <w:rPr>
                <w:rFonts w:hint="eastAsia"/>
                <w:b/>
                <w:sz w:val="18"/>
                <w:szCs w:val="20"/>
                <w:rtl/>
              </w:rPr>
              <w:t>סה</w:t>
            </w:r>
            <w:r w:rsidRPr="008D0A42">
              <w:rPr>
                <w:b/>
                <w:sz w:val="18"/>
                <w:szCs w:val="20"/>
                <w:rtl/>
              </w:rPr>
              <w:t xml:space="preserve">"כ </w:t>
            </w:r>
            <w:r w:rsidRPr="008D0A42">
              <w:rPr>
                <w:rFonts w:hint="eastAsia"/>
                <w:b/>
                <w:sz w:val="18"/>
                <w:szCs w:val="20"/>
                <w:rtl/>
              </w:rPr>
              <w:t>רווח</w:t>
            </w:r>
            <w:r w:rsidRPr="008D0A42">
              <w:rPr>
                <w:b/>
                <w:sz w:val="18"/>
                <w:szCs w:val="20"/>
                <w:rtl/>
              </w:rPr>
              <w:t xml:space="preserve"> (הפסד) </w:t>
            </w:r>
            <w:r w:rsidRPr="008D0A42">
              <w:rPr>
                <w:rFonts w:hint="eastAsia"/>
                <w:b/>
                <w:sz w:val="18"/>
                <w:szCs w:val="20"/>
                <w:rtl/>
              </w:rPr>
              <w:t>כולל</w:t>
            </w:r>
          </w:p>
        </w:tc>
        <w:tc>
          <w:tcPr>
            <w:tcW w:w="113" w:type="dxa"/>
            <w:shd w:val="clear" w:color="auto" w:fill="auto"/>
            <w:vAlign w:val="bottom"/>
          </w:tcPr>
          <w:p w14:paraId="476E23C8" w14:textId="77777777" w:rsidR="001B1350" w:rsidRPr="00037153" w:rsidRDefault="001B1350" w:rsidP="001B1350">
            <w:pPr>
              <w:spacing w:line="200" w:lineRule="exact"/>
              <w:rPr>
                <w:sz w:val="18"/>
                <w:szCs w:val="20"/>
              </w:rPr>
            </w:pPr>
          </w:p>
        </w:tc>
        <w:tc>
          <w:tcPr>
            <w:tcW w:w="907" w:type="dxa"/>
            <w:gridSpan w:val="2"/>
            <w:tcBorders>
              <w:bottom w:val="single" w:sz="4" w:space="0" w:color="auto"/>
            </w:tcBorders>
            <w:vAlign w:val="bottom"/>
          </w:tcPr>
          <w:p w14:paraId="675F7D81" w14:textId="77777777" w:rsidR="001B1350" w:rsidRPr="00037153" w:rsidRDefault="001B1350" w:rsidP="001B1350">
            <w:pPr>
              <w:tabs>
                <w:tab w:val="decimal" w:pos="113"/>
              </w:tabs>
              <w:spacing w:line="200" w:lineRule="exact"/>
              <w:rPr>
                <w:sz w:val="18"/>
                <w:szCs w:val="20"/>
                <w:rtl/>
              </w:rPr>
            </w:pPr>
          </w:p>
        </w:tc>
        <w:tc>
          <w:tcPr>
            <w:tcW w:w="113" w:type="dxa"/>
            <w:vAlign w:val="bottom"/>
          </w:tcPr>
          <w:p w14:paraId="555EB380" w14:textId="77777777" w:rsidR="001B1350" w:rsidRPr="00037153" w:rsidRDefault="001B1350" w:rsidP="001B1350">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D191616" w14:textId="77777777" w:rsidR="001B1350" w:rsidRPr="00037153" w:rsidRDefault="001B1350" w:rsidP="001B1350">
            <w:pPr>
              <w:tabs>
                <w:tab w:val="decimal" w:pos="113"/>
              </w:tabs>
              <w:spacing w:line="200" w:lineRule="exact"/>
              <w:rPr>
                <w:sz w:val="18"/>
                <w:szCs w:val="20"/>
              </w:rPr>
            </w:pPr>
          </w:p>
        </w:tc>
        <w:tc>
          <w:tcPr>
            <w:tcW w:w="113" w:type="dxa"/>
            <w:shd w:val="clear" w:color="auto" w:fill="auto"/>
            <w:vAlign w:val="bottom"/>
          </w:tcPr>
          <w:p w14:paraId="367102A4" w14:textId="77777777" w:rsidR="001B1350" w:rsidRPr="00037153" w:rsidRDefault="001B1350" w:rsidP="001B1350">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87F0D58" w14:textId="77777777" w:rsidR="001B1350" w:rsidRPr="00037153" w:rsidRDefault="001B1350" w:rsidP="001B1350">
            <w:pPr>
              <w:tabs>
                <w:tab w:val="decimal" w:pos="113"/>
              </w:tabs>
              <w:spacing w:line="200" w:lineRule="exact"/>
              <w:rPr>
                <w:sz w:val="18"/>
                <w:szCs w:val="20"/>
                <w:rtl/>
              </w:rPr>
            </w:pPr>
          </w:p>
        </w:tc>
        <w:tc>
          <w:tcPr>
            <w:tcW w:w="113" w:type="dxa"/>
            <w:shd w:val="clear" w:color="auto" w:fill="auto"/>
            <w:vAlign w:val="bottom"/>
          </w:tcPr>
          <w:p w14:paraId="2D2FB28D" w14:textId="77777777" w:rsidR="001B1350" w:rsidRPr="00037153" w:rsidRDefault="001B1350" w:rsidP="001B1350">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19E18CF0" w14:textId="77777777" w:rsidR="001B1350" w:rsidRPr="00037153" w:rsidRDefault="001B1350" w:rsidP="001B1350">
            <w:pPr>
              <w:tabs>
                <w:tab w:val="decimal" w:pos="113"/>
              </w:tabs>
              <w:spacing w:line="200" w:lineRule="exact"/>
              <w:rPr>
                <w:sz w:val="18"/>
                <w:szCs w:val="20"/>
              </w:rPr>
            </w:pPr>
          </w:p>
        </w:tc>
        <w:tc>
          <w:tcPr>
            <w:tcW w:w="113" w:type="dxa"/>
            <w:shd w:val="clear" w:color="auto" w:fill="auto"/>
            <w:vAlign w:val="bottom"/>
          </w:tcPr>
          <w:p w14:paraId="7CE89220" w14:textId="77777777" w:rsidR="001B1350" w:rsidRPr="00037153" w:rsidRDefault="001B1350" w:rsidP="001B1350">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013AC5A6" w14:textId="77777777" w:rsidR="001B1350" w:rsidRPr="00037153" w:rsidRDefault="001B1350" w:rsidP="001B1350">
            <w:pPr>
              <w:tabs>
                <w:tab w:val="decimal" w:pos="113"/>
              </w:tabs>
              <w:spacing w:line="200" w:lineRule="exact"/>
              <w:rPr>
                <w:sz w:val="18"/>
                <w:szCs w:val="20"/>
                <w:rtl/>
              </w:rPr>
            </w:pPr>
          </w:p>
        </w:tc>
      </w:tr>
    </w:tbl>
    <w:p w14:paraId="7E909C49" w14:textId="77777777" w:rsidR="00AD2383" w:rsidRPr="001B1350" w:rsidRDefault="00AD2383"/>
    <w:p w14:paraId="5A15EDDA" w14:textId="77777777" w:rsidR="00BD264E" w:rsidRDefault="00BD264E" w:rsidP="00BD264E">
      <w:pPr>
        <w:pStyle w:val="1"/>
        <w:spacing w:line="240" w:lineRule="auto"/>
        <w:rPr>
          <w:rtl/>
        </w:rPr>
      </w:pPr>
      <w:r>
        <w:rPr>
          <w:rtl/>
        </w:rPr>
        <w:br w:type="page"/>
      </w:r>
      <w:r>
        <w:rPr>
          <w:rFonts w:hint="cs"/>
          <w:rtl/>
        </w:rPr>
        <w:lastRenderedPageBreak/>
        <w:t>דוחות מאוחדים על רווח או הפסד ורווח כולל אחר (המשך)</w:t>
      </w:r>
    </w:p>
    <w:p w14:paraId="165297AB" w14:textId="77777777" w:rsidR="00BD264E" w:rsidRDefault="00BD264E" w:rsidP="00BD264E">
      <w:pPr>
        <w:spacing w:line="240" w:lineRule="auto"/>
        <w:rPr>
          <w:rtl/>
        </w:rPr>
      </w:pPr>
    </w:p>
    <w:tbl>
      <w:tblPr>
        <w:bidiVisual/>
        <w:tblW w:w="9643" w:type="dxa"/>
        <w:tblInd w:w="35" w:type="dxa"/>
        <w:tblLayout w:type="fixed"/>
        <w:tblCellMar>
          <w:left w:w="0" w:type="dxa"/>
          <w:right w:w="0" w:type="dxa"/>
        </w:tblCellMar>
        <w:tblLook w:val="01E0" w:firstRow="1" w:lastRow="1" w:firstColumn="1" w:lastColumn="1" w:noHBand="0" w:noVBand="0"/>
      </w:tblPr>
      <w:tblGrid>
        <w:gridCol w:w="1410"/>
        <w:gridCol w:w="8"/>
        <w:gridCol w:w="2807"/>
        <w:gridCol w:w="140"/>
        <w:gridCol w:w="892"/>
        <w:gridCol w:w="16"/>
        <w:gridCol w:w="97"/>
        <w:gridCol w:w="16"/>
        <w:gridCol w:w="567"/>
        <w:gridCol w:w="328"/>
        <w:gridCol w:w="12"/>
        <w:gridCol w:w="101"/>
        <w:gridCol w:w="12"/>
        <w:gridCol w:w="899"/>
        <w:gridCol w:w="8"/>
        <w:gridCol w:w="105"/>
        <w:gridCol w:w="8"/>
        <w:gridCol w:w="907"/>
        <w:gridCol w:w="113"/>
        <w:gridCol w:w="1197"/>
      </w:tblGrid>
      <w:tr w:rsidR="00BD264E" w:rsidRPr="00E342AA" w14:paraId="6AA168CB" w14:textId="77777777" w:rsidTr="00AF4CE7">
        <w:tc>
          <w:tcPr>
            <w:tcW w:w="1418" w:type="dxa"/>
            <w:gridSpan w:val="2"/>
            <w:tcBorders>
              <w:bottom w:val="single" w:sz="4" w:space="0" w:color="auto"/>
              <w:right w:val="single" w:sz="4" w:space="0" w:color="auto"/>
            </w:tcBorders>
          </w:tcPr>
          <w:p w14:paraId="53B51E3C" w14:textId="77777777" w:rsidR="00BD264E" w:rsidRDefault="00BD264E" w:rsidP="00D258BA">
            <w:pPr>
              <w:pStyle w:val="4"/>
              <w:keepNext w:val="0"/>
              <w:bidi w:val="0"/>
              <w:spacing w:line="200" w:lineRule="exact"/>
              <w:ind w:right="57"/>
              <w:jc w:val="right"/>
              <w:rPr>
                <w:i/>
                <w:iCs/>
                <w:sz w:val="13"/>
                <w:szCs w:val="13"/>
                <w:u w:val="none"/>
              </w:rPr>
            </w:pPr>
            <w:r w:rsidRPr="009F318F">
              <w:rPr>
                <w:i/>
                <w:iCs/>
                <w:sz w:val="13"/>
                <w:szCs w:val="13"/>
                <w:u w:val="none"/>
              </w:rPr>
              <w:t xml:space="preserve">IAS 1.10(b); </w:t>
            </w:r>
          </w:p>
          <w:p w14:paraId="6655B88A" w14:textId="77777777" w:rsidR="00BD264E" w:rsidRDefault="00BD264E" w:rsidP="00D258BA">
            <w:pPr>
              <w:tabs>
                <w:tab w:val="left" w:pos="227"/>
                <w:tab w:val="left" w:pos="397"/>
                <w:tab w:val="left" w:pos="567"/>
              </w:tabs>
              <w:bidi w:val="0"/>
              <w:spacing w:line="200" w:lineRule="exact"/>
              <w:ind w:left="227" w:hanging="170"/>
              <w:jc w:val="right"/>
              <w:rPr>
                <w:i/>
                <w:iCs/>
                <w:sz w:val="13"/>
                <w:szCs w:val="13"/>
              </w:rPr>
            </w:pPr>
            <w:r w:rsidRPr="009F318F">
              <w:rPr>
                <w:i/>
                <w:iCs/>
                <w:sz w:val="13"/>
                <w:szCs w:val="13"/>
              </w:rPr>
              <w:t xml:space="preserve">IAS 1.51(b), (c); IAS 1.81(a); </w:t>
            </w:r>
          </w:p>
          <w:p w14:paraId="019570AF" w14:textId="77777777" w:rsidR="00BD264E" w:rsidRPr="00744C06" w:rsidRDefault="00BD264E" w:rsidP="00D258BA">
            <w:pPr>
              <w:tabs>
                <w:tab w:val="left" w:pos="227"/>
                <w:tab w:val="left" w:pos="397"/>
                <w:tab w:val="left" w:pos="567"/>
              </w:tabs>
              <w:bidi w:val="0"/>
              <w:spacing w:line="200" w:lineRule="exact"/>
              <w:ind w:left="227" w:hanging="170"/>
              <w:jc w:val="right"/>
              <w:rPr>
                <w:sz w:val="22"/>
              </w:rPr>
            </w:pPr>
            <w:r w:rsidRPr="009F318F">
              <w:rPr>
                <w:i/>
                <w:iCs/>
                <w:sz w:val="13"/>
                <w:szCs w:val="13"/>
              </w:rPr>
              <w:t>IAS 34.10</w:t>
            </w:r>
          </w:p>
        </w:tc>
        <w:tc>
          <w:tcPr>
            <w:tcW w:w="2807" w:type="dxa"/>
            <w:tcBorders>
              <w:left w:val="single" w:sz="4" w:space="0" w:color="auto"/>
            </w:tcBorders>
            <w:shd w:val="clear" w:color="auto" w:fill="auto"/>
            <w:vAlign w:val="bottom"/>
          </w:tcPr>
          <w:p w14:paraId="5D10A84A" w14:textId="77777777" w:rsidR="00BD264E" w:rsidRPr="00817B6A" w:rsidRDefault="00BD264E" w:rsidP="00D258BA">
            <w:pPr>
              <w:tabs>
                <w:tab w:val="left" w:pos="227"/>
                <w:tab w:val="left" w:pos="397"/>
                <w:tab w:val="left" w:pos="567"/>
              </w:tabs>
              <w:spacing w:line="200" w:lineRule="exact"/>
              <w:ind w:left="227" w:hanging="170"/>
              <w:rPr>
                <w:sz w:val="18"/>
                <w:szCs w:val="20"/>
                <w:rtl/>
              </w:rPr>
            </w:pPr>
          </w:p>
        </w:tc>
        <w:tc>
          <w:tcPr>
            <w:tcW w:w="140" w:type="dxa"/>
            <w:shd w:val="clear" w:color="auto" w:fill="auto"/>
            <w:vAlign w:val="bottom"/>
          </w:tcPr>
          <w:p w14:paraId="6314F9FF" w14:textId="77777777" w:rsidR="00BD264E" w:rsidRPr="00817B6A" w:rsidRDefault="00BD264E" w:rsidP="00D258BA">
            <w:pPr>
              <w:spacing w:line="200" w:lineRule="exact"/>
              <w:rPr>
                <w:sz w:val="18"/>
                <w:szCs w:val="20"/>
                <w:rtl/>
              </w:rPr>
            </w:pPr>
          </w:p>
        </w:tc>
        <w:tc>
          <w:tcPr>
            <w:tcW w:w="1928" w:type="dxa"/>
            <w:gridSpan w:val="7"/>
            <w:tcBorders>
              <w:bottom w:val="single" w:sz="6" w:space="0" w:color="auto"/>
            </w:tcBorders>
            <w:shd w:val="clear" w:color="auto" w:fill="auto"/>
            <w:vAlign w:val="bottom"/>
          </w:tcPr>
          <w:p w14:paraId="36C78C25" w14:textId="77777777" w:rsidR="00BD264E" w:rsidRPr="00817B6A" w:rsidRDefault="00BD264E" w:rsidP="00D258BA">
            <w:pPr>
              <w:spacing w:line="200" w:lineRule="exact"/>
              <w:jc w:val="center"/>
              <w:rPr>
                <w:sz w:val="18"/>
                <w:szCs w:val="20"/>
                <w:rtl/>
              </w:rPr>
            </w:pPr>
            <w:r w:rsidRPr="00AE7425">
              <w:rPr>
                <w:rFonts w:hint="eastAsia"/>
                <w:sz w:val="18"/>
                <w:szCs w:val="20"/>
                <w:rtl/>
              </w:rPr>
              <w:t>ל</w:t>
            </w:r>
            <w:r w:rsidRPr="00AE7425">
              <w:rPr>
                <w:sz w:val="18"/>
                <w:szCs w:val="20"/>
                <w:rtl/>
              </w:rPr>
              <w:t xml:space="preserve">-9 </w:t>
            </w:r>
            <w:r w:rsidRPr="00AE7425">
              <w:rPr>
                <w:rFonts w:hint="eastAsia"/>
                <w:sz w:val="18"/>
                <w:szCs w:val="20"/>
                <w:rtl/>
              </w:rPr>
              <w:t>החודשים</w:t>
            </w:r>
            <w:r w:rsidRPr="00AE7425">
              <w:rPr>
                <w:sz w:val="18"/>
                <w:szCs w:val="20"/>
                <w:rtl/>
              </w:rPr>
              <w:t xml:space="preserve"> </w:t>
            </w:r>
            <w:r w:rsidRPr="00AE7425">
              <w:rPr>
                <w:rFonts w:hint="eastAsia"/>
                <w:sz w:val="18"/>
                <w:szCs w:val="20"/>
                <w:rtl/>
              </w:rPr>
              <w:t>שהסתיימו</w:t>
            </w:r>
            <w:r w:rsidRPr="00AE7425">
              <w:rPr>
                <w:sz w:val="18"/>
                <w:szCs w:val="20"/>
                <w:rtl/>
              </w:rPr>
              <w:t xml:space="preserve"> </w:t>
            </w:r>
            <w:r w:rsidRPr="00AE7425">
              <w:rPr>
                <w:rFonts w:hint="eastAsia"/>
                <w:sz w:val="18"/>
                <w:szCs w:val="20"/>
                <w:rtl/>
              </w:rPr>
              <w:t>ביום</w:t>
            </w:r>
            <w:r w:rsidRPr="00AE7425">
              <w:rPr>
                <w:sz w:val="18"/>
                <w:szCs w:val="20"/>
                <w:rtl/>
              </w:rPr>
              <w:t xml:space="preserve"> 30 </w:t>
            </w:r>
            <w:r w:rsidRPr="00AE7425">
              <w:rPr>
                <w:rFonts w:hint="eastAsia"/>
                <w:sz w:val="18"/>
                <w:szCs w:val="20"/>
                <w:rtl/>
              </w:rPr>
              <w:t>בספטמבר</w:t>
            </w:r>
          </w:p>
        </w:tc>
        <w:tc>
          <w:tcPr>
            <w:tcW w:w="113" w:type="dxa"/>
            <w:gridSpan w:val="2"/>
            <w:shd w:val="clear" w:color="auto" w:fill="auto"/>
            <w:vAlign w:val="bottom"/>
          </w:tcPr>
          <w:p w14:paraId="20583F7C" w14:textId="77777777" w:rsidR="00BD264E" w:rsidRPr="00817B6A" w:rsidRDefault="00BD264E" w:rsidP="00D258BA">
            <w:pPr>
              <w:spacing w:line="200" w:lineRule="exact"/>
              <w:jc w:val="center"/>
              <w:rPr>
                <w:sz w:val="18"/>
                <w:szCs w:val="20"/>
              </w:rPr>
            </w:pPr>
          </w:p>
        </w:tc>
        <w:tc>
          <w:tcPr>
            <w:tcW w:w="1927" w:type="dxa"/>
            <w:gridSpan w:val="5"/>
            <w:tcBorders>
              <w:bottom w:val="single" w:sz="6" w:space="0" w:color="auto"/>
            </w:tcBorders>
            <w:shd w:val="clear" w:color="auto" w:fill="auto"/>
            <w:vAlign w:val="bottom"/>
          </w:tcPr>
          <w:p w14:paraId="74883BEE" w14:textId="77777777" w:rsidR="00BD264E" w:rsidRPr="00817B6A" w:rsidRDefault="00BD264E" w:rsidP="00D258BA">
            <w:pPr>
              <w:spacing w:line="200" w:lineRule="exact"/>
              <w:jc w:val="center"/>
              <w:rPr>
                <w:sz w:val="18"/>
                <w:szCs w:val="20"/>
                <w:rtl/>
              </w:rPr>
            </w:pPr>
            <w:r w:rsidRPr="00AE7425">
              <w:rPr>
                <w:rFonts w:hint="eastAsia"/>
                <w:sz w:val="18"/>
                <w:szCs w:val="20"/>
                <w:rtl/>
              </w:rPr>
              <w:t>ל</w:t>
            </w:r>
            <w:r w:rsidRPr="00AE7425">
              <w:rPr>
                <w:sz w:val="18"/>
                <w:szCs w:val="20"/>
                <w:rtl/>
              </w:rPr>
              <w:t xml:space="preserve">-3 </w:t>
            </w:r>
            <w:r w:rsidRPr="00AE7425">
              <w:rPr>
                <w:rFonts w:hint="eastAsia"/>
                <w:sz w:val="18"/>
                <w:szCs w:val="20"/>
                <w:rtl/>
              </w:rPr>
              <w:t>החודשים</w:t>
            </w:r>
            <w:r w:rsidRPr="00AE7425">
              <w:rPr>
                <w:sz w:val="18"/>
                <w:szCs w:val="20"/>
                <w:rtl/>
              </w:rPr>
              <w:t xml:space="preserve"> </w:t>
            </w:r>
            <w:r w:rsidRPr="00AE7425">
              <w:rPr>
                <w:rFonts w:hint="eastAsia"/>
                <w:sz w:val="18"/>
                <w:szCs w:val="20"/>
                <w:rtl/>
              </w:rPr>
              <w:t>שהסתיימו</w:t>
            </w:r>
            <w:r w:rsidRPr="00AE7425">
              <w:rPr>
                <w:sz w:val="18"/>
                <w:szCs w:val="20"/>
                <w:rtl/>
              </w:rPr>
              <w:t xml:space="preserve"> </w:t>
            </w:r>
            <w:r w:rsidRPr="00AE7425">
              <w:rPr>
                <w:rFonts w:hint="eastAsia"/>
                <w:sz w:val="18"/>
                <w:szCs w:val="20"/>
                <w:rtl/>
              </w:rPr>
              <w:t>ביום</w:t>
            </w:r>
            <w:r w:rsidRPr="00AE7425">
              <w:rPr>
                <w:sz w:val="18"/>
                <w:szCs w:val="20"/>
                <w:rtl/>
              </w:rPr>
              <w:t xml:space="preserve"> 30 </w:t>
            </w:r>
            <w:r w:rsidRPr="00AE7425">
              <w:rPr>
                <w:rFonts w:hint="eastAsia"/>
                <w:sz w:val="18"/>
                <w:szCs w:val="20"/>
                <w:rtl/>
              </w:rPr>
              <w:t>בספטמבר</w:t>
            </w:r>
          </w:p>
        </w:tc>
        <w:tc>
          <w:tcPr>
            <w:tcW w:w="113" w:type="dxa"/>
            <w:shd w:val="clear" w:color="auto" w:fill="auto"/>
            <w:vAlign w:val="bottom"/>
          </w:tcPr>
          <w:p w14:paraId="29700908" w14:textId="77777777" w:rsidR="00BD264E" w:rsidRPr="00817B6A" w:rsidRDefault="00BD264E" w:rsidP="00D258BA">
            <w:pPr>
              <w:tabs>
                <w:tab w:val="decimal" w:pos="113"/>
              </w:tabs>
              <w:spacing w:line="200" w:lineRule="exact"/>
              <w:jc w:val="center"/>
              <w:rPr>
                <w:sz w:val="18"/>
                <w:szCs w:val="20"/>
              </w:rPr>
            </w:pPr>
          </w:p>
        </w:tc>
        <w:tc>
          <w:tcPr>
            <w:tcW w:w="1197" w:type="dxa"/>
            <w:shd w:val="clear" w:color="auto" w:fill="auto"/>
            <w:vAlign w:val="bottom"/>
          </w:tcPr>
          <w:p w14:paraId="4A173D37" w14:textId="77777777" w:rsidR="00BD264E" w:rsidRPr="00817B6A" w:rsidRDefault="00BD264E" w:rsidP="00D258BA">
            <w:pPr>
              <w:spacing w:line="200" w:lineRule="exact"/>
              <w:jc w:val="center"/>
              <w:rPr>
                <w:sz w:val="18"/>
                <w:szCs w:val="20"/>
                <w:rtl/>
              </w:rPr>
            </w:pPr>
            <w:r w:rsidRPr="00AE7425">
              <w:rPr>
                <w:rFonts w:hint="eastAsia"/>
                <w:sz w:val="18"/>
                <w:szCs w:val="20"/>
                <w:rtl/>
              </w:rPr>
              <w:t>לשנה</w:t>
            </w:r>
            <w:r w:rsidRPr="00AE7425">
              <w:rPr>
                <w:sz w:val="18"/>
                <w:szCs w:val="20"/>
                <w:rtl/>
              </w:rPr>
              <w:t xml:space="preserve"> </w:t>
            </w:r>
            <w:r w:rsidRPr="00AE7425">
              <w:rPr>
                <w:rFonts w:hint="eastAsia"/>
                <w:sz w:val="18"/>
                <w:szCs w:val="20"/>
                <w:rtl/>
              </w:rPr>
              <w:t>שהסתיימה</w:t>
            </w:r>
            <w:r w:rsidRPr="00AE7425">
              <w:rPr>
                <w:sz w:val="18"/>
                <w:szCs w:val="20"/>
                <w:rtl/>
              </w:rPr>
              <w:t xml:space="preserve"> </w:t>
            </w:r>
            <w:r w:rsidRPr="00AE7425">
              <w:rPr>
                <w:rFonts w:hint="eastAsia"/>
                <w:sz w:val="18"/>
                <w:szCs w:val="20"/>
                <w:rtl/>
              </w:rPr>
              <w:t>ביום</w:t>
            </w:r>
          </w:p>
          <w:p w14:paraId="7894417E" w14:textId="77777777" w:rsidR="00BD264E" w:rsidRPr="00817B6A" w:rsidRDefault="00BD264E" w:rsidP="00D258BA">
            <w:pPr>
              <w:spacing w:line="200" w:lineRule="exact"/>
              <w:jc w:val="center"/>
              <w:rPr>
                <w:sz w:val="18"/>
                <w:szCs w:val="20"/>
                <w:rtl/>
              </w:rPr>
            </w:pPr>
            <w:r w:rsidRPr="00AE7425">
              <w:rPr>
                <w:sz w:val="18"/>
                <w:szCs w:val="20"/>
                <w:rtl/>
              </w:rPr>
              <w:t xml:space="preserve">31 </w:t>
            </w:r>
            <w:r w:rsidRPr="00AE7425">
              <w:rPr>
                <w:rFonts w:hint="eastAsia"/>
                <w:sz w:val="18"/>
                <w:szCs w:val="20"/>
                <w:rtl/>
              </w:rPr>
              <w:t>בדצמבר</w:t>
            </w:r>
          </w:p>
        </w:tc>
      </w:tr>
      <w:tr w:rsidR="00AF4CE7" w:rsidRPr="00E342AA" w14:paraId="4BCA16CC" w14:textId="77777777" w:rsidTr="00AF4CE7">
        <w:tc>
          <w:tcPr>
            <w:tcW w:w="1418" w:type="dxa"/>
            <w:gridSpan w:val="2"/>
            <w:tcBorders>
              <w:top w:val="single" w:sz="4" w:space="0" w:color="auto"/>
            </w:tcBorders>
          </w:tcPr>
          <w:p w14:paraId="4D3E34D9" w14:textId="77777777" w:rsidR="00AF4CE7" w:rsidRPr="00E342AA" w:rsidRDefault="00AF4CE7" w:rsidP="00AF4CE7">
            <w:pPr>
              <w:tabs>
                <w:tab w:val="left" w:pos="227"/>
                <w:tab w:val="left" w:pos="397"/>
                <w:tab w:val="left" w:pos="567"/>
              </w:tabs>
              <w:spacing w:line="200" w:lineRule="exact"/>
              <w:ind w:left="227" w:hanging="170"/>
              <w:rPr>
                <w:sz w:val="22"/>
                <w:rtl/>
              </w:rPr>
            </w:pPr>
          </w:p>
        </w:tc>
        <w:tc>
          <w:tcPr>
            <w:tcW w:w="2807" w:type="dxa"/>
            <w:shd w:val="clear" w:color="auto" w:fill="auto"/>
            <w:vAlign w:val="bottom"/>
          </w:tcPr>
          <w:p w14:paraId="667E4165" w14:textId="77777777" w:rsidR="00AF4CE7" w:rsidRPr="00817B6A" w:rsidRDefault="00AF4CE7" w:rsidP="00AF4CE7">
            <w:pPr>
              <w:tabs>
                <w:tab w:val="left" w:pos="227"/>
                <w:tab w:val="left" w:pos="397"/>
                <w:tab w:val="left" w:pos="567"/>
              </w:tabs>
              <w:spacing w:line="200" w:lineRule="exact"/>
              <w:ind w:left="227" w:hanging="170"/>
              <w:rPr>
                <w:sz w:val="18"/>
                <w:szCs w:val="20"/>
                <w:rtl/>
              </w:rPr>
            </w:pPr>
          </w:p>
        </w:tc>
        <w:tc>
          <w:tcPr>
            <w:tcW w:w="140" w:type="dxa"/>
            <w:shd w:val="clear" w:color="auto" w:fill="auto"/>
            <w:vAlign w:val="bottom"/>
          </w:tcPr>
          <w:p w14:paraId="149FB45C" w14:textId="77777777" w:rsidR="00AF4CE7" w:rsidRPr="00817B6A" w:rsidRDefault="00AF4CE7" w:rsidP="00AF4CE7">
            <w:pPr>
              <w:spacing w:line="200" w:lineRule="exact"/>
              <w:rPr>
                <w:sz w:val="18"/>
                <w:szCs w:val="20"/>
                <w:rtl/>
              </w:rPr>
            </w:pPr>
          </w:p>
        </w:tc>
        <w:tc>
          <w:tcPr>
            <w:tcW w:w="908" w:type="dxa"/>
            <w:gridSpan w:val="2"/>
            <w:tcBorders>
              <w:bottom w:val="single" w:sz="6" w:space="0" w:color="auto"/>
            </w:tcBorders>
            <w:shd w:val="clear" w:color="auto" w:fill="auto"/>
            <w:vAlign w:val="bottom"/>
          </w:tcPr>
          <w:p w14:paraId="4DD6D9C7" w14:textId="328EBD5E" w:rsidR="00AF4CE7" w:rsidRPr="00AF4CE7" w:rsidRDefault="00AF4CE7" w:rsidP="00AF4CE7">
            <w:pPr>
              <w:spacing w:line="180" w:lineRule="exact"/>
              <w:jc w:val="center"/>
              <w:rPr>
                <w:szCs w:val="20"/>
                <w:u w:val="single"/>
              </w:rPr>
            </w:pPr>
            <w:r w:rsidRPr="00AF4CE7">
              <w:rPr>
                <w:rFonts w:hint="cs"/>
                <w:szCs w:val="20"/>
                <w:rtl/>
              </w:rPr>
              <w:t>2019</w:t>
            </w:r>
          </w:p>
        </w:tc>
        <w:tc>
          <w:tcPr>
            <w:tcW w:w="113" w:type="dxa"/>
            <w:gridSpan w:val="2"/>
            <w:vAlign w:val="bottom"/>
          </w:tcPr>
          <w:p w14:paraId="466D9583" w14:textId="77777777" w:rsidR="00AF4CE7" w:rsidRPr="00AF4CE7" w:rsidRDefault="00AF4CE7" w:rsidP="00AF4CE7">
            <w:pPr>
              <w:spacing w:line="180" w:lineRule="exact"/>
              <w:jc w:val="center"/>
              <w:rPr>
                <w:szCs w:val="20"/>
              </w:rPr>
            </w:pPr>
          </w:p>
        </w:tc>
        <w:tc>
          <w:tcPr>
            <w:tcW w:w="907" w:type="dxa"/>
            <w:gridSpan w:val="3"/>
            <w:tcBorders>
              <w:bottom w:val="single" w:sz="6" w:space="0" w:color="auto"/>
            </w:tcBorders>
            <w:shd w:val="clear" w:color="auto" w:fill="auto"/>
            <w:vAlign w:val="bottom"/>
          </w:tcPr>
          <w:p w14:paraId="750DA3D8" w14:textId="07259536" w:rsidR="00AF4CE7" w:rsidRPr="00AF4CE7" w:rsidRDefault="00AF4CE7" w:rsidP="00AF4CE7">
            <w:pPr>
              <w:spacing w:line="180" w:lineRule="exact"/>
              <w:jc w:val="center"/>
              <w:rPr>
                <w:szCs w:val="20"/>
                <w:u w:val="single"/>
              </w:rPr>
            </w:pPr>
            <w:r w:rsidRPr="00AF4CE7">
              <w:rPr>
                <w:rFonts w:hint="cs"/>
                <w:szCs w:val="20"/>
                <w:rtl/>
              </w:rPr>
              <w:t>2018</w:t>
            </w:r>
          </w:p>
        </w:tc>
        <w:tc>
          <w:tcPr>
            <w:tcW w:w="113" w:type="dxa"/>
            <w:gridSpan w:val="2"/>
            <w:shd w:val="clear" w:color="auto" w:fill="auto"/>
            <w:vAlign w:val="bottom"/>
          </w:tcPr>
          <w:p w14:paraId="27538CD5" w14:textId="77777777" w:rsidR="00AF4CE7" w:rsidRPr="00AF4CE7" w:rsidRDefault="00AF4CE7" w:rsidP="00AF4CE7">
            <w:pPr>
              <w:spacing w:line="180" w:lineRule="exact"/>
              <w:jc w:val="center"/>
              <w:rPr>
                <w:szCs w:val="20"/>
              </w:rPr>
            </w:pPr>
          </w:p>
        </w:tc>
        <w:tc>
          <w:tcPr>
            <w:tcW w:w="907" w:type="dxa"/>
            <w:gridSpan w:val="2"/>
            <w:tcBorders>
              <w:bottom w:val="single" w:sz="6" w:space="0" w:color="auto"/>
            </w:tcBorders>
            <w:shd w:val="clear" w:color="auto" w:fill="auto"/>
            <w:vAlign w:val="bottom"/>
          </w:tcPr>
          <w:p w14:paraId="4B4E887E" w14:textId="0DCA6BD3" w:rsidR="00AF4CE7" w:rsidRPr="00AF4CE7" w:rsidRDefault="00AF4CE7" w:rsidP="00AF4CE7">
            <w:pPr>
              <w:spacing w:line="180" w:lineRule="exact"/>
              <w:jc w:val="center"/>
              <w:rPr>
                <w:szCs w:val="20"/>
                <w:u w:val="single"/>
              </w:rPr>
            </w:pPr>
            <w:r w:rsidRPr="00AF4CE7">
              <w:rPr>
                <w:rFonts w:hint="cs"/>
                <w:szCs w:val="20"/>
                <w:rtl/>
              </w:rPr>
              <w:t>2019</w:t>
            </w:r>
          </w:p>
        </w:tc>
        <w:tc>
          <w:tcPr>
            <w:tcW w:w="113" w:type="dxa"/>
            <w:gridSpan w:val="2"/>
            <w:shd w:val="clear" w:color="auto" w:fill="auto"/>
            <w:vAlign w:val="bottom"/>
          </w:tcPr>
          <w:p w14:paraId="1ED71DB2" w14:textId="77777777" w:rsidR="00AF4CE7" w:rsidRPr="00AF4CE7" w:rsidRDefault="00AF4CE7" w:rsidP="00AF4CE7">
            <w:pPr>
              <w:spacing w:line="180" w:lineRule="exact"/>
              <w:jc w:val="center"/>
              <w:rPr>
                <w:szCs w:val="20"/>
              </w:rPr>
            </w:pPr>
          </w:p>
        </w:tc>
        <w:tc>
          <w:tcPr>
            <w:tcW w:w="907" w:type="dxa"/>
            <w:tcBorders>
              <w:bottom w:val="single" w:sz="6" w:space="0" w:color="auto"/>
            </w:tcBorders>
            <w:shd w:val="clear" w:color="auto" w:fill="auto"/>
            <w:vAlign w:val="bottom"/>
          </w:tcPr>
          <w:p w14:paraId="3D9AF9ED" w14:textId="2B246F8E" w:rsidR="00AF4CE7" w:rsidRPr="00AF4CE7" w:rsidRDefault="00AF4CE7" w:rsidP="00AF4CE7">
            <w:pPr>
              <w:spacing w:line="180" w:lineRule="exact"/>
              <w:jc w:val="center"/>
              <w:rPr>
                <w:szCs w:val="20"/>
                <w:u w:val="single"/>
              </w:rPr>
            </w:pPr>
            <w:r w:rsidRPr="00AF4CE7">
              <w:rPr>
                <w:rFonts w:hint="cs"/>
                <w:szCs w:val="20"/>
                <w:rtl/>
              </w:rPr>
              <w:t>2018</w:t>
            </w:r>
          </w:p>
        </w:tc>
        <w:tc>
          <w:tcPr>
            <w:tcW w:w="113" w:type="dxa"/>
            <w:shd w:val="clear" w:color="auto" w:fill="auto"/>
            <w:vAlign w:val="bottom"/>
          </w:tcPr>
          <w:p w14:paraId="7D72BEC7" w14:textId="77777777" w:rsidR="00AF4CE7" w:rsidRPr="00AF4CE7" w:rsidRDefault="00AF4CE7" w:rsidP="00AF4CE7">
            <w:pPr>
              <w:tabs>
                <w:tab w:val="decimal" w:pos="113"/>
              </w:tabs>
              <w:spacing w:line="200" w:lineRule="exact"/>
              <w:jc w:val="center"/>
              <w:rPr>
                <w:szCs w:val="20"/>
              </w:rPr>
            </w:pPr>
          </w:p>
        </w:tc>
        <w:tc>
          <w:tcPr>
            <w:tcW w:w="1197" w:type="dxa"/>
            <w:tcBorders>
              <w:bottom w:val="single" w:sz="6" w:space="0" w:color="auto"/>
            </w:tcBorders>
            <w:shd w:val="clear" w:color="auto" w:fill="auto"/>
            <w:vAlign w:val="bottom"/>
          </w:tcPr>
          <w:p w14:paraId="360DD5A6" w14:textId="1B062D28" w:rsidR="00AF4CE7" w:rsidRPr="00AF4CE7" w:rsidRDefault="00AF4CE7" w:rsidP="00AF4CE7">
            <w:pPr>
              <w:spacing w:line="200" w:lineRule="exact"/>
              <w:jc w:val="center"/>
              <w:rPr>
                <w:szCs w:val="20"/>
                <w:u w:val="single"/>
                <w:rtl/>
              </w:rPr>
            </w:pPr>
            <w:r w:rsidRPr="00AF4CE7">
              <w:rPr>
                <w:rFonts w:hint="cs"/>
                <w:szCs w:val="20"/>
                <w:rtl/>
              </w:rPr>
              <w:t>2018</w:t>
            </w:r>
          </w:p>
        </w:tc>
      </w:tr>
      <w:tr w:rsidR="00AF4CE7" w:rsidRPr="00E342AA" w14:paraId="6DD7A4E6" w14:textId="77777777" w:rsidTr="00AF4CE7">
        <w:tc>
          <w:tcPr>
            <w:tcW w:w="1418" w:type="dxa"/>
            <w:gridSpan w:val="2"/>
          </w:tcPr>
          <w:p w14:paraId="22D9739E" w14:textId="77777777" w:rsidR="00AF4CE7" w:rsidRPr="00E342AA" w:rsidRDefault="00AF4CE7" w:rsidP="00AF4CE7">
            <w:pPr>
              <w:tabs>
                <w:tab w:val="left" w:pos="227"/>
                <w:tab w:val="left" w:pos="397"/>
                <w:tab w:val="left" w:pos="567"/>
              </w:tabs>
              <w:spacing w:line="200" w:lineRule="exact"/>
              <w:ind w:left="227" w:hanging="170"/>
              <w:rPr>
                <w:sz w:val="22"/>
                <w:rtl/>
              </w:rPr>
            </w:pPr>
          </w:p>
        </w:tc>
        <w:tc>
          <w:tcPr>
            <w:tcW w:w="2807" w:type="dxa"/>
            <w:shd w:val="clear" w:color="auto" w:fill="auto"/>
            <w:vAlign w:val="bottom"/>
          </w:tcPr>
          <w:p w14:paraId="0B353045" w14:textId="77777777" w:rsidR="00AF4CE7" w:rsidRPr="00817B6A" w:rsidRDefault="00AF4CE7" w:rsidP="00AF4CE7">
            <w:pPr>
              <w:tabs>
                <w:tab w:val="left" w:pos="227"/>
                <w:tab w:val="left" w:pos="397"/>
                <w:tab w:val="left" w:pos="567"/>
              </w:tabs>
              <w:spacing w:line="200" w:lineRule="exact"/>
              <w:ind w:left="227" w:hanging="170"/>
              <w:rPr>
                <w:sz w:val="18"/>
                <w:szCs w:val="20"/>
                <w:rtl/>
              </w:rPr>
            </w:pPr>
          </w:p>
        </w:tc>
        <w:tc>
          <w:tcPr>
            <w:tcW w:w="140" w:type="dxa"/>
            <w:shd w:val="clear" w:color="auto" w:fill="auto"/>
            <w:vAlign w:val="bottom"/>
          </w:tcPr>
          <w:p w14:paraId="12897F91" w14:textId="77777777" w:rsidR="00AF4CE7" w:rsidRPr="00817B6A" w:rsidRDefault="00AF4CE7" w:rsidP="00AF4CE7">
            <w:pPr>
              <w:spacing w:line="200" w:lineRule="exact"/>
              <w:rPr>
                <w:sz w:val="18"/>
                <w:szCs w:val="20"/>
                <w:rtl/>
              </w:rPr>
            </w:pPr>
          </w:p>
        </w:tc>
        <w:tc>
          <w:tcPr>
            <w:tcW w:w="3968" w:type="dxa"/>
            <w:gridSpan w:val="14"/>
            <w:tcBorders>
              <w:bottom w:val="single" w:sz="6" w:space="0" w:color="auto"/>
            </w:tcBorders>
            <w:shd w:val="clear" w:color="auto" w:fill="auto"/>
            <w:vAlign w:val="bottom"/>
          </w:tcPr>
          <w:p w14:paraId="3FEF8F81" w14:textId="77777777" w:rsidR="00AF4CE7" w:rsidRPr="00817B6A" w:rsidRDefault="00AF4CE7" w:rsidP="00AF4CE7">
            <w:pPr>
              <w:spacing w:line="200" w:lineRule="exact"/>
              <w:jc w:val="center"/>
              <w:rPr>
                <w:sz w:val="18"/>
                <w:szCs w:val="20"/>
              </w:rPr>
            </w:pPr>
            <w:r w:rsidRPr="00AE7425">
              <w:rPr>
                <w:rFonts w:hint="eastAsia"/>
                <w:sz w:val="18"/>
                <w:szCs w:val="20"/>
                <w:rtl/>
              </w:rPr>
              <w:t>בלתי</w:t>
            </w:r>
            <w:r w:rsidRPr="00AE7425">
              <w:rPr>
                <w:sz w:val="18"/>
                <w:szCs w:val="20"/>
                <w:rtl/>
              </w:rPr>
              <w:t xml:space="preserve"> </w:t>
            </w:r>
            <w:r w:rsidRPr="00AE7425">
              <w:rPr>
                <w:rFonts w:hint="eastAsia"/>
                <w:sz w:val="18"/>
                <w:szCs w:val="20"/>
                <w:rtl/>
              </w:rPr>
              <w:t>מבוקר</w:t>
            </w:r>
          </w:p>
        </w:tc>
        <w:tc>
          <w:tcPr>
            <w:tcW w:w="113" w:type="dxa"/>
            <w:shd w:val="clear" w:color="auto" w:fill="auto"/>
            <w:vAlign w:val="bottom"/>
          </w:tcPr>
          <w:p w14:paraId="646119AF" w14:textId="77777777" w:rsidR="00AF4CE7" w:rsidRPr="00817B6A" w:rsidRDefault="00AF4CE7" w:rsidP="00AF4CE7">
            <w:pPr>
              <w:tabs>
                <w:tab w:val="decimal" w:pos="113"/>
              </w:tabs>
              <w:spacing w:line="200" w:lineRule="exact"/>
              <w:jc w:val="center"/>
              <w:rPr>
                <w:sz w:val="18"/>
                <w:szCs w:val="20"/>
              </w:rPr>
            </w:pPr>
          </w:p>
        </w:tc>
        <w:tc>
          <w:tcPr>
            <w:tcW w:w="1197" w:type="dxa"/>
            <w:tcBorders>
              <w:bottom w:val="single" w:sz="6" w:space="0" w:color="auto"/>
            </w:tcBorders>
            <w:shd w:val="clear" w:color="auto" w:fill="auto"/>
            <w:vAlign w:val="bottom"/>
          </w:tcPr>
          <w:p w14:paraId="7C2335E6" w14:textId="77777777" w:rsidR="00AF4CE7" w:rsidRPr="00817B6A" w:rsidRDefault="00AF4CE7" w:rsidP="00AF4CE7">
            <w:pPr>
              <w:spacing w:line="200" w:lineRule="exact"/>
              <w:jc w:val="center"/>
              <w:rPr>
                <w:sz w:val="18"/>
                <w:szCs w:val="20"/>
              </w:rPr>
            </w:pPr>
            <w:r w:rsidRPr="00AE7425">
              <w:rPr>
                <w:rFonts w:hint="eastAsia"/>
                <w:sz w:val="18"/>
                <w:szCs w:val="20"/>
                <w:rtl/>
              </w:rPr>
              <w:t>מבוקר</w:t>
            </w:r>
          </w:p>
        </w:tc>
      </w:tr>
      <w:tr w:rsidR="00AF4CE7" w:rsidRPr="00E342AA" w14:paraId="6FBE2770" w14:textId="77777777" w:rsidTr="00AF4CE7">
        <w:tc>
          <w:tcPr>
            <w:tcW w:w="1418" w:type="dxa"/>
            <w:gridSpan w:val="2"/>
          </w:tcPr>
          <w:p w14:paraId="04DDFE93" w14:textId="77777777" w:rsidR="00AF4CE7" w:rsidRPr="00E342AA" w:rsidRDefault="00AF4CE7" w:rsidP="00AF4CE7">
            <w:pPr>
              <w:pStyle w:val="a3"/>
              <w:tabs>
                <w:tab w:val="left" w:pos="227"/>
                <w:tab w:val="left" w:pos="397"/>
                <w:tab w:val="left" w:pos="567"/>
              </w:tabs>
              <w:spacing w:line="200" w:lineRule="exact"/>
              <w:ind w:left="227" w:hanging="170"/>
              <w:rPr>
                <w:sz w:val="22"/>
                <w:rtl/>
              </w:rPr>
            </w:pPr>
          </w:p>
        </w:tc>
        <w:tc>
          <w:tcPr>
            <w:tcW w:w="2807" w:type="dxa"/>
            <w:shd w:val="clear" w:color="auto" w:fill="auto"/>
            <w:vAlign w:val="bottom"/>
          </w:tcPr>
          <w:p w14:paraId="537BF9FC" w14:textId="77777777" w:rsidR="00AF4CE7" w:rsidRPr="00817B6A" w:rsidRDefault="00AF4CE7" w:rsidP="00AF4CE7">
            <w:pPr>
              <w:pStyle w:val="a3"/>
              <w:tabs>
                <w:tab w:val="left" w:pos="227"/>
                <w:tab w:val="left" w:pos="397"/>
                <w:tab w:val="left" w:pos="567"/>
              </w:tabs>
              <w:spacing w:line="200" w:lineRule="exact"/>
              <w:ind w:left="227" w:hanging="170"/>
              <w:rPr>
                <w:sz w:val="18"/>
                <w:szCs w:val="20"/>
                <w:rtl/>
              </w:rPr>
            </w:pPr>
          </w:p>
        </w:tc>
        <w:tc>
          <w:tcPr>
            <w:tcW w:w="140" w:type="dxa"/>
            <w:shd w:val="clear" w:color="auto" w:fill="auto"/>
            <w:vAlign w:val="bottom"/>
          </w:tcPr>
          <w:p w14:paraId="5632154F" w14:textId="77777777" w:rsidR="00AF4CE7" w:rsidRPr="00817B6A" w:rsidRDefault="00AF4CE7" w:rsidP="00AF4CE7">
            <w:pPr>
              <w:tabs>
                <w:tab w:val="decimal" w:pos="113"/>
              </w:tabs>
              <w:spacing w:line="200" w:lineRule="exact"/>
              <w:ind w:left="57"/>
              <w:rPr>
                <w:sz w:val="18"/>
                <w:szCs w:val="20"/>
              </w:rPr>
            </w:pPr>
          </w:p>
        </w:tc>
        <w:tc>
          <w:tcPr>
            <w:tcW w:w="1588" w:type="dxa"/>
            <w:gridSpan w:val="5"/>
            <w:tcBorders>
              <w:bottom w:val="single" w:sz="4" w:space="0" w:color="auto"/>
            </w:tcBorders>
            <w:shd w:val="clear" w:color="auto" w:fill="auto"/>
            <w:vAlign w:val="bottom"/>
          </w:tcPr>
          <w:p w14:paraId="5A684C97" w14:textId="77777777" w:rsidR="00AF4CE7" w:rsidRPr="00817B6A" w:rsidRDefault="00AF4CE7" w:rsidP="00AF4CE7">
            <w:pPr>
              <w:spacing w:line="200" w:lineRule="exact"/>
              <w:ind w:left="737"/>
              <w:jc w:val="left"/>
              <w:rPr>
                <w:i/>
                <w:iCs/>
                <w:sz w:val="12"/>
                <w:szCs w:val="14"/>
              </w:rPr>
            </w:pPr>
            <w:r w:rsidRPr="00AE7425">
              <w:rPr>
                <w:i/>
                <w:iCs/>
                <w:sz w:val="12"/>
                <w:szCs w:val="14"/>
              </w:rPr>
              <w:t>IAS 1.51(d), (e)</w:t>
            </w:r>
          </w:p>
        </w:tc>
        <w:tc>
          <w:tcPr>
            <w:tcW w:w="3690" w:type="dxa"/>
            <w:gridSpan w:val="11"/>
            <w:tcBorders>
              <w:bottom w:val="single" w:sz="4" w:space="0" w:color="auto"/>
            </w:tcBorders>
            <w:shd w:val="clear" w:color="auto" w:fill="auto"/>
            <w:vAlign w:val="bottom"/>
          </w:tcPr>
          <w:p w14:paraId="6E4F3556" w14:textId="77777777" w:rsidR="00AF4CE7" w:rsidRPr="00817B6A" w:rsidRDefault="00AF4CE7" w:rsidP="00AF4CE7">
            <w:pPr>
              <w:spacing w:line="200" w:lineRule="exact"/>
              <w:ind w:left="227"/>
              <w:jc w:val="left"/>
              <w:rPr>
                <w:sz w:val="18"/>
                <w:szCs w:val="20"/>
                <w:u w:val="single"/>
              </w:rPr>
            </w:pPr>
            <w:r w:rsidRPr="00AE7425">
              <w:rPr>
                <w:rFonts w:hint="eastAsia"/>
                <w:sz w:val="18"/>
                <w:szCs w:val="20"/>
                <w:rtl/>
              </w:rPr>
              <w:t>אלפי</w:t>
            </w:r>
            <w:r w:rsidRPr="00AE7425">
              <w:rPr>
                <w:sz w:val="18"/>
                <w:szCs w:val="20"/>
                <w:rtl/>
              </w:rPr>
              <w:t xml:space="preserve"> </w:t>
            </w:r>
            <w:r w:rsidRPr="00AE7425">
              <w:rPr>
                <w:rFonts w:hint="eastAsia"/>
                <w:sz w:val="18"/>
                <w:szCs w:val="20"/>
                <w:rtl/>
              </w:rPr>
              <w:t>ש</w:t>
            </w:r>
            <w:r w:rsidRPr="00AE7425">
              <w:rPr>
                <w:sz w:val="18"/>
                <w:szCs w:val="20"/>
                <w:rtl/>
              </w:rPr>
              <w:t>"ח</w:t>
            </w:r>
          </w:p>
        </w:tc>
      </w:tr>
      <w:tr w:rsidR="00AF4CE7" w:rsidRPr="00E342AA" w14:paraId="2AF8D802" w14:textId="77777777" w:rsidTr="00AF4CE7">
        <w:trPr>
          <w:trHeight w:val="59"/>
        </w:trPr>
        <w:tc>
          <w:tcPr>
            <w:tcW w:w="1418" w:type="dxa"/>
            <w:gridSpan w:val="2"/>
          </w:tcPr>
          <w:p w14:paraId="6CFBF5FC" w14:textId="77777777" w:rsidR="00AF4CE7" w:rsidRPr="00E342AA" w:rsidRDefault="00AF4CE7" w:rsidP="00AF4CE7">
            <w:pPr>
              <w:tabs>
                <w:tab w:val="left" w:pos="227"/>
                <w:tab w:val="left" w:pos="397"/>
                <w:tab w:val="left" w:pos="567"/>
              </w:tabs>
              <w:spacing w:line="200" w:lineRule="exact"/>
              <w:ind w:left="227" w:hanging="170"/>
              <w:rPr>
                <w:sz w:val="22"/>
                <w:rtl/>
              </w:rPr>
            </w:pPr>
          </w:p>
        </w:tc>
        <w:tc>
          <w:tcPr>
            <w:tcW w:w="2807" w:type="dxa"/>
            <w:shd w:val="clear" w:color="auto" w:fill="auto"/>
            <w:vAlign w:val="bottom"/>
          </w:tcPr>
          <w:p w14:paraId="1918BFF5" w14:textId="77777777" w:rsidR="00AF4CE7" w:rsidRPr="000E4D5E" w:rsidRDefault="00AF4CE7" w:rsidP="00AF4CE7">
            <w:pPr>
              <w:tabs>
                <w:tab w:val="left" w:pos="227"/>
                <w:tab w:val="left" w:pos="397"/>
                <w:tab w:val="left" w:pos="567"/>
              </w:tabs>
              <w:spacing w:line="200" w:lineRule="exact"/>
              <w:ind w:left="227" w:hanging="170"/>
              <w:rPr>
                <w:sz w:val="14"/>
                <w:szCs w:val="16"/>
                <w:rtl/>
              </w:rPr>
            </w:pPr>
          </w:p>
        </w:tc>
        <w:tc>
          <w:tcPr>
            <w:tcW w:w="140" w:type="dxa"/>
            <w:shd w:val="clear" w:color="auto" w:fill="auto"/>
            <w:vAlign w:val="bottom"/>
          </w:tcPr>
          <w:p w14:paraId="6588D3C6" w14:textId="77777777" w:rsidR="00AF4CE7" w:rsidRPr="002D37D9" w:rsidRDefault="00AF4CE7" w:rsidP="00AF4CE7">
            <w:pPr>
              <w:spacing w:line="200" w:lineRule="exact"/>
              <w:rPr>
                <w:szCs w:val="22"/>
              </w:rPr>
            </w:pPr>
          </w:p>
        </w:tc>
        <w:tc>
          <w:tcPr>
            <w:tcW w:w="908" w:type="dxa"/>
            <w:gridSpan w:val="2"/>
            <w:vAlign w:val="bottom"/>
          </w:tcPr>
          <w:p w14:paraId="4D312E7E" w14:textId="77777777" w:rsidR="00AF4CE7" w:rsidRPr="002D37D9" w:rsidRDefault="00AF4CE7" w:rsidP="00AF4CE7">
            <w:pPr>
              <w:tabs>
                <w:tab w:val="decimal" w:pos="113"/>
              </w:tabs>
              <w:spacing w:line="200" w:lineRule="exact"/>
              <w:rPr>
                <w:szCs w:val="22"/>
                <w:rtl/>
              </w:rPr>
            </w:pPr>
          </w:p>
        </w:tc>
        <w:tc>
          <w:tcPr>
            <w:tcW w:w="113" w:type="dxa"/>
            <w:gridSpan w:val="2"/>
            <w:vAlign w:val="bottom"/>
          </w:tcPr>
          <w:p w14:paraId="72D17043" w14:textId="77777777" w:rsidR="00AF4CE7" w:rsidRPr="002D37D9" w:rsidRDefault="00AF4CE7" w:rsidP="00AF4CE7">
            <w:pPr>
              <w:tabs>
                <w:tab w:val="decimal" w:pos="113"/>
              </w:tabs>
              <w:spacing w:line="200" w:lineRule="exact"/>
              <w:rPr>
                <w:szCs w:val="22"/>
              </w:rPr>
            </w:pPr>
          </w:p>
        </w:tc>
        <w:tc>
          <w:tcPr>
            <w:tcW w:w="907" w:type="dxa"/>
            <w:gridSpan w:val="3"/>
            <w:shd w:val="clear" w:color="auto" w:fill="auto"/>
            <w:vAlign w:val="bottom"/>
          </w:tcPr>
          <w:p w14:paraId="67CCA808" w14:textId="77777777" w:rsidR="00AF4CE7" w:rsidRPr="002D37D9" w:rsidRDefault="00AF4CE7" w:rsidP="00AF4CE7">
            <w:pPr>
              <w:tabs>
                <w:tab w:val="decimal" w:pos="113"/>
              </w:tabs>
              <w:spacing w:line="200" w:lineRule="exact"/>
              <w:rPr>
                <w:szCs w:val="22"/>
              </w:rPr>
            </w:pPr>
          </w:p>
        </w:tc>
        <w:tc>
          <w:tcPr>
            <w:tcW w:w="113" w:type="dxa"/>
            <w:gridSpan w:val="2"/>
            <w:shd w:val="clear" w:color="auto" w:fill="auto"/>
            <w:vAlign w:val="bottom"/>
          </w:tcPr>
          <w:p w14:paraId="3157381D" w14:textId="77777777" w:rsidR="00AF4CE7" w:rsidRPr="002D37D9" w:rsidRDefault="00AF4CE7" w:rsidP="00AF4CE7">
            <w:pPr>
              <w:tabs>
                <w:tab w:val="decimal" w:pos="113"/>
              </w:tabs>
              <w:spacing w:line="200" w:lineRule="exact"/>
              <w:rPr>
                <w:szCs w:val="22"/>
              </w:rPr>
            </w:pPr>
          </w:p>
        </w:tc>
        <w:tc>
          <w:tcPr>
            <w:tcW w:w="907" w:type="dxa"/>
            <w:gridSpan w:val="2"/>
            <w:shd w:val="clear" w:color="auto" w:fill="auto"/>
            <w:vAlign w:val="bottom"/>
          </w:tcPr>
          <w:p w14:paraId="7A107803" w14:textId="77777777" w:rsidR="00AF4CE7" w:rsidRPr="002D37D9" w:rsidRDefault="00AF4CE7" w:rsidP="00AF4CE7">
            <w:pPr>
              <w:tabs>
                <w:tab w:val="decimal" w:pos="113"/>
              </w:tabs>
              <w:spacing w:line="200" w:lineRule="exact"/>
              <w:rPr>
                <w:szCs w:val="22"/>
                <w:rtl/>
              </w:rPr>
            </w:pPr>
          </w:p>
        </w:tc>
        <w:tc>
          <w:tcPr>
            <w:tcW w:w="113" w:type="dxa"/>
            <w:gridSpan w:val="2"/>
            <w:shd w:val="clear" w:color="auto" w:fill="auto"/>
            <w:vAlign w:val="bottom"/>
          </w:tcPr>
          <w:p w14:paraId="64D9163B" w14:textId="77777777" w:rsidR="00AF4CE7" w:rsidRPr="002D37D9" w:rsidRDefault="00AF4CE7" w:rsidP="00AF4CE7">
            <w:pPr>
              <w:tabs>
                <w:tab w:val="decimal" w:pos="113"/>
              </w:tabs>
              <w:spacing w:line="200" w:lineRule="exact"/>
              <w:rPr>
                <w:szCs w:val="22"/>
              </w:rPr>
            </w:pPr>
          </w:p>
        </w:tc>
        <w:tc>
          <w:tcPr>
            <w:tcW w:w="907" w:type="dxa"/>
            <w:shd w:val="clear" w:color="auto" w:fill="auto"/>
            <w:vAlign w:val="bottom"/>
          </w:tcPr>
          <w:p w14:paraId="7736BB1C" w14:textId="77777777" w:rsidR="00AF4CE7" w:rsidRPr="002D37D9" w:rsidRDefault="00AF4CE7" w:rsidP="00AF4CE7">
            <w:pPr>
              <w:tabs>
                <w:tab w:val="decimal" w:pos="113"/>
              </w:tabs>
              <w:spacing w:line="200" w:lineRule="exact"/>
              <w:rPr>
                <w:szCs w:val="22"/>
              </w:rPr>
            </w:pPr>
          </w:p>
        </w:tc>
        <w:tc>
          <w:tcPr>
            <w:tcW w:w="113" w:type="dxa"/>
            <w:shd w:val="clear" w:color="auto" w:fill="auto"/>
            <w:vAlign w:val="bottom"/>
          </w:tcPr>
          <w:p w14:paraId="09B50DAC" w14:textId="77777777" w:rsidR="00AF4CE7" w:rsidRPr="002D37D9" w:rsidRDefault="00AF4CE7" w:rsidP="00AF4CE7">
            <w:pPr>
              <w:tabs>
                <w:tab w:val="decimal" w:pos="113"/>
              </w:tabs>
              <w:spacing w:line="200" w:lineRule="exact"/>
              <w:rPr>
                <w:szCs w:val="22"/>
              </w:rPr>
            </w:pPr>
          </w:p>
        </w:tc>
        <w:tc>
          <w:tcPr>
            <w:tcW w:w="1197" w:type="dxa"/>
            <w:shd w:val="clear" w:color="auto" w:fill="auto"/>
            <w:vAlign w:val="bottom"/>
          </w:tcPr>
          <w:p w14:paraId="01DA3390" w14:textId="77777777" w:rsidR="00AF4CE7" w:rsidRPr="002D37D9" w:rsidRDefault="00AF4CE7" w:rsidP="00AF4CE7">
            <w:pPr>
              <w:tabs>
                <w:tab w:val="decimal" w:pos="113"/>
              </w:tabs>
              <w:spacing w:line="200" w:lineRule="exact"/>
              <w:rPr>
                <w:szCs w:val="22"/>
                <w:rtl/>
              </w:rPr>
            </w:pPr>
          </w:p>
        </w:tc>
      </w:tr>
      <w:tr w:rsidR="00AF4CE7" w:rsidRPr="002D37D9" w14:paraId="3A0F1E45" w14:textId="77777777" w:rsidTr="00AF4CE7">
        <w:tc>
          <w:tcPr>
            <w:tcW w:w="1410" w:type="dxa"/>
            <w:vAlign w:val="center"/>
          </w:tcPr>
          <w:p w14:paraId="27837D27" w14:textId="77777777" w:rsidR="00AF4CE7" w:rsidRPr="00621421" w:rsidRDefault="00AF4CE7" w:rsidP="00AF4CE7">
            <w:pPr>
              <w:bidi w:val="0"/>
              <w:spacing w:line="200" w:lineRule="exact"/>
              <w:ind w:right="57"/>
              <w:jc w:val="right"/>
              <w:rPr>
                <w:b/>
                <w:i/>
                <w:iCs/>
                <w:sz w:val="13"/>
                <w:szCs w:val="13"/>
                <w:rtl/>
              </w:rPr>
            </w:pPr>
          </w:p>
        </w:tc>
        <w:tc>
          <w:tcPr>
            <w:tcW w:w="2815" w:type="dxa"/>
            <w:gridSpan w:val="2"/>
            <w:shd w:val="clear" w:color="auto" w:fill="auto"/>
            <w:vAlign w:val="bottom"/>
          </w:tcPr>
          <w:p w14:paraId="7A650307" w14:textId="77777777" w:rsidR="00AF4CE7" w:rsidRPr="002D37D9" w:rsidRDefault="00AF4CE7" w:rsidP="00AF4CE7">
            <w:pPr>
              <w:widowControl/>
              <w:tabs>
                <w:tab w:val="left" w:pos="227"/>
                <w:tab w:val="left" w:pos="397"/>
                <w:tab w:val="left" w:pos="567"/>
              </w:tabs>
              <w:spacing w:line="200" w:lineRule="exact"/>
              <w:ind w:left="284" w:hanging="227"/>
              <w:jc w:val="left"/>
              <w:rPr>
                <w:b/>
                <w:sz w:val="18"/>
                <w:szCs w:val="20"/>
                <w:rtl/>
              </w:rPr>
            </w:pPr>
            <w:r w:rsidRPr="002D37D9">
              <w:rPr>
                <w:rFonts w:hint="cs"/>
                <w:b/>
                <w:sz w:val="18"/>
                <w:szCs w:val="20"/>
                <w:rtl/>
              </w:rPr>
              <w:t>רווח נקי (הפסד) מיוחס ל:</w:t>
            </w:r>
          </w:p>
        </w:tc>
        <w:tc>
          <w:tcPr>
            <w:tcW w:w="140" w:type="dxa"/>
            <w:shd w:val="clear" w:color="auto" w:fill="auto"/>
            <w:vAlign w:val="bottom"/>
          </w:tcPr>
          <w:p w14:paraId="103216C9" w14:textId="77777777" w:rsidR="00AF4CE7" w:rsidRPr="002D37D9" w:rsidRDefault="00AF4CE7" w:rsidP="00AF4CE7">
            <w:pPr>
              <w:spacing w:line="200" w:lineRule="exact"/>
              <w:rPr>
                <w:sz w:val="18"/>
                <w:szCs w:val="20"/>
              </w:rPr>
            </w:pPr>
          </w:p>
        </w:tc>
        <w:tc>
          <w:tcPr>
            <w:tcW w:w="892" w:type="dxa"/>
            <w:vAlign w:val="bottom"/>
          </w:tcPr>
          <w:p w14:paraId="6CA0DE94"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7287D17E"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5F7CC72E"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50F22C04"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758F7C67"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1CA46B4A"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6AB4B0B3"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30EBB36C"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5D4EFB64" w14:textId="77777777" w:rsidR="00AF4CE7" w:rsidRPr="002D37D9" w:rsidRDefault="00AF4CE7" w:rsidP="00AF4CE7">
            <w:pPr>
              <w:tabs>
                <w:tab w:val="decimal" w:pos="113"/>
              </w:tabs>
              <w:spacing w:line="200" w:lineRule="exact"/>
              <w:rPr>
                <w:sz w:val="18"/>
                <w:szCs w:val="20"/>
                <w:rtl/>
              </w:rPr>
            </w:pPr>
          </w:p>
        </w:tc>
      </w:tr>
      <w:tr w:rsidR="00AF4CE7" w:rsidRPr="002D37D9" w14:paraId="4CF406FB" w14:textId="77777777" w:rsidTr="00AF4CE7">
        <w:tc>
          <w:tcPr>
            <w:tcW w:w="1410" w:type="dxa"/>
            <w:vAlign w:val="center"/>
          </w:tcPr>
          <w:p w14:paraId="710908F7" w14:textId="77777777" w:rsidR="00AF4CE7" w:rsidRPr="00621421" w:rsidRDefault="00AF4CE7" w:rsidP="00AF4CE7">
            <w:pPr>
              <w:bidi w:val="0"/>
              <w:spacing w:line="200" w:lineRule="exact"/>
              <w:ind w:right="57"/>
              <w:jc w:val="right"/>
              <w:rPr>
                <w:b/>
                <w:i/>
                <w:iCs/>
                <w:sz w:val="13"/>
                <w:szCs w:val="13"/>
                <w:rtl/>
              </w:rPr>
            </w:pPr>
          </w:p>
        </w:tc>
        <w:tc>
          <w:tcPr>
            <w:tcW w:w="2815" w:type="dxa"/>
            <w:gridSpan w:val="2"/>
            <w:shd w:val="clear" w:color="auto" w:fill="auto"/>
            <w:vAlign w:val="bottom"/>
          </w:tcPr>
          <w:p w14:paraId="02A9EC03" w14:textId="77777777" w:rsidR="00AF4CE7" w:rsidRPr="002D37D9" w:rsidRDefault="00AF4CE7" w:rsidP="00AF4CE7">
            <w:pPr>
              <w:widowControl/>
              <w:tabs>
                <w:tab w:val="left" w:pos="227"/>
                <w:tab w:val="left" w:pos="397"/>
                <w:tab w:val="left" w:pos="567"/>
              </w:tabs>
              <w:spacing w:line="200" w:lineRule="exact"/>
              <w:ind w:left="57"/>
              <w:jc w:val="left"/>
              <w:rPr>
                <w:b/>
                <w:sz w:val="18"/>
                <w:szCs w:val="20"/>
                <w:rtl/>
              </w:rPr>
            </w:pPr>
          </w:p>
        </w:tc>
        <w:tc>
          <w:tcPr>
            <w:tcW w:w="140" w:type="dxa"/>
            <w:shd w:val="clear" w:color="auto" w:fill="auto"/>
            <w:vAlign w:val="bottom"/>
          </w:tcPr>
          <w:p w14:paraId="4BCFE15E" w14:textId="77777777" w:rsidR="00AF4CE7" w:rsidRPr="002D37D9" w:rsidRDefault="00AF4CE7" w:rsidP="00AF4CE7">
            <w:pPr>
              <w:spacing w:line="200" w:lineRule="exact"/>
              <w:rPr>
                <w:sz w:val="18"/>
                <w:szCs w:val="20"/>
              </w:rPr>
            </w:pPr>
          </w:p>
        </w:tc>
        <w:tc>
          <w:tcPr>
            <w:tcW w:w="892" w:type="dxa"/>
            <w:vAlign w:val="bottom"/>
          </w:tcPr>
          <w:p w14:paraId="0105A86C"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511AF679"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126E657D"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30383012"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7698FD33"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636857C"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54ABDEE8"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60934398"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0C950BD8" w14:textId="77777777" w:rsidR="00AF4CE7" w:rsidRPr="002D37D9" w:rsidRDefault="00AF4CE7" w:rsidP="00AF4CE7">
            <w:pPr>
              <w:tabs>
                <w:tab w:val="decimal" w:pos="113"/>
              </w:tabs>
              <w:spacing w:line="200" w:lineRule="exact"/>
              <w:rPr>
                <w:sz w:val="18"/>
                <w:szCs w:val="20"/>
                <w:rtl/>
              </w:rPr>
            </w:pPr>
          </w:p>
        </w:tc>
      </w:tr>
      <w:tr w:rsidR="00AF4CE7" w:rsidRPr="002D37D9" w14:paraId="6DD64BCE" w14:textId="77777777" w:rsidTr="00AF4CE7">
        <w:tc>
          <w:tcPr>
            <w:tcW w:w="1410" w:type="dxa"/>
            <w:tcBorders>
              <w:bottom w:val="single" w:sz="6" w:space="0" w:color="auto"/>
              <w:right w:val="single" w:sz="6" w:space="0" w:color="auto"/>
            </w:tcBorders>
            <w:vAlign w:val="center"/>
          </w:tcPr>
          <w:p w14:paraId="48BC96C9" w14:textId="77777777" w:rsidR="00AF4CE7" w:rsidRPr="00167ACA" w:rsidRDefault="00AF4CE7" w:rsidP="00AF4CE7">
            <w:pPr>
              <w:bidi w:val="0"/>
              <w:spacing w:line="200" w:lineRule="exact"/>
              <w:ind w:right="57"/>
              <w:jc w:val="right"/>
              <w:rPr>
                <w:bCs/>
                <w:i/>
                <w:iCs/>
                <w:sz w:val="13"/>
                <w:szCs w:val="13"/>
                <w:rtl/>
              </w:rPr>
            </w:pPr>
            <w:r>
              <w:rPr>
                <w:bCs/>
                <w:i/>
                <w:iCs/>
                <w:sz w:val="13"/>
                <w:szCs w:val="13"/>
              </w:rPr>
              <w:t>IAS </w:t>
            </w:r>
            <w:r w:rsidRPr="00167ACA">
              <w:rPr>
                <w:bCs/>
                <w:i/>
                <w:iCs/>
                <w:sz w:val="13"/>
                <w:szCs w:val="13"/>
              </w:rPr>
              <w:t>1.83(a)(ii)</w:t>
            </w:r>
          </w:p>
        </w:tc>
        <w:tc>
          <w:tcPr>
            <w:tcW w:w="2815" w:type="dxa"/>
            <w:gridSpan w:val="2"/>
            <w:tcBorders>
              <w:left w:val="single" w:sz="6" w:space="0" w:color="auto"/>
            </w:tcBorders>
            <w:shd w:val="clear" w:color="auto" w:fill="auto"/>
            <w:vAlign w:val="bottom"/>
          </w:tcPr>
          <w:p w14:paraId="05F1816D" w14:textId="77777777" w:rsidR="00AF4CE7" w:rsidRPr="002D37D9" w:rsidRDefault="00AF4CE7" w:rsidP="00AF4CE7">
            <w:pPr>
              <w:widowControl/>
              <w:tabs>
                <w:tab w:val="left" w:pos="227"/>
                <w:tab w:val="left" w:pos="397"/>
                <w:tab w:val="left" w:pos="567"/>
              </w:tabs>
              <w:spacing w:line="200" w:lineRule="exact"/>
              <w:ind w:left="57"/>
              <w:jc w:val="left"/>
              <w:rPr>
                <w:b/>
                <w:sz w:val="18"/>
                <w:szCs w:val="20"/>
                <w:rtl/>
              </w:rPr>
            </w:pPr>
            <w:r w:rsidRPr="002D37D9">
              <w:rPr>
                <w:rFonts w:hint="cs"/>
                <w:b/>
                <w:sz w:val="18"/>
                <w:szCs w:val="20"/>
                <w:rtl/>
              </w:rPr>
              <w:t>בעלי מניות החברה</w:t>
            </w:r>
          </w:p>
        </w:tc>
        <w:tc>
          <w:tcPr>
            <w:tcW w:w="140" w:type="dxa"/>
            <w:shd w:val="clear" w:color="auto" w:fill="auto"/>
            <w:vAlign w:val="bottom"/>
          </w:tcPr>
          <w:p w14:paraId="1CFEF55C" w14:textId="77777777" w:rsidR="00AF4CE7" w:rsidRPr="002D37D9" w:rsidRDefault="00AF4CE7" w:rsidP="00AF4CE7">
            <w:pPr>
              <w:spacing w:line="200" w:lineRule="exact"/>
              <w:rPr>
                <w:sz w:val="18"/>
                <w:szCs w:val="20"/>
              </w:rPr>
            </w:pPr>
          </w:p>
        </w:tc>
        <w:tc>
          <w:tcPr>
            <w:tcW w:w="892" w:type="dxa"/>
            <w:vAlign w:val="bottom"/>
          </w:tcPr>
          <w:p w14:paraId="7C179E30"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311C9A7D"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315F7B69"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370E485B"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39FAA366"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5F5B5FD0"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4F778DA5"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3881E00A"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697CA517" w14:textId="77777777" w:rsidR="00AF4CE7" w:rsidRPr="002D37D9" w:rsidRDefault="00AF4CE7" w:rsidP="00AF4CE7">
            <w:pPr>
              <w:tabs>
                <w:tab w:val="decimal" w:pos="113"/>
              </w:tabs>
              <w:spacing w:line="200" w:lineRule="exact"/>
              <w:rPr>
                <w:sz w:val="18"/>
                <w:szCs w:val="20"/>
                <w:rtl/>
              </w:rPr>
            </w:pPr>
          </w:p>
        </w:tc>
      </w:tr>
      <w:tr w:rsidR="00AF4CE7" w:rsidRPr="002D37D9" w14:paraId="08612227" w14:textId="77777777" w:rsidTr="00AF4CE7">
        <w:tc>
          <w:tcPr>
            <w:tcW w:w="1410" w:type="dxa"/>
            <w:tcBorders>
              <w:top w:val="single" w:sz="6" w:space="0" w:color="auto"/>
              <w:bottom w:val="single" w:sz="6" w:space="0" w:color="auto"/>
              <w:right w:val="single" w:sz="6" w:space="0" w:color="auto"/>
            </w:tcBorders>
            <w:vAlign w:val="center"/>
          </w:tcPr>
          <w:p w14:paraId="5126FF9E" w14:textId="77777777" w:rsidR="00AF4CE7" w:rsidRPr="00167ACA" w:rsidRDefault="00AF4CE7" w:rsidP="00AF4CE7">
            <w:pPr>
              <w:bidi w:val="0"/>
              <w:spacing w:line="200" w:lineRule="exact"/>
              <w:ind w:right="57"/>
              <w:jc w:val="right"/>
              <w:rPr>
                <w:bCs/>
                <w:i/>
                <w:iCs/>
                <w:sz w:val="13"/>
                <w:szCs w:val="13"/>
                <w:rtl/>
              </w:rPr>
            </w:pPr>
            <w:r>
              <w:rPr>
                <w:bCs/>
                <w:i/>
                <w:iCs/>
                <w:sz w:val="13"/>
                <w:szCs w:val="13"/>
              </w:rPr>
              <w:t>IAS </w:t>
            </w:r>
            <w:r w:rsidRPr="00167ACA">
              <w:rPr>
                <w:bCs/>
                <w:i/>
                <w:iCs/>
                <w:sz w:val="13"/>
                <w:szCs w:val="13"/>
              </w:rPr>
              <w:t xml:space="preserve">1.83(a)(i); </w:t>
            </w:r>
            <w:r>
              <w:rPr>
                <w:bCs/>
                <w:i/>
                <w:iCs/>
                <w:sz w:val="13"/>
                <w:szCs w:val="13"/>
              </w:rPr>
              <w:t>IAS </w:t>
            </w:r>
            <w:r w:rsidRPr="00167ACA">
              <w:rPr>
                <w:bCs/>
                <w:i/>
                <w:iCs/>
                <w:sz w:val="13"/>
                <w:szCs w:val="13"/>
              </w:rPr>
              <w:t>27.27</w:t>
            </w:r>
          </w:p>
        </w:tc>
        <w:tc>
          <w:tcPr>
            <w:tcW w:w="2815" w:type="dxa"/>
            <w:gridSpan w:val="2"/>
            <w:tcBorders>
              <w:left w:val="single" w:sz="6" w:space="0" w:color="auto"/>
            </w:tcBorders>
            <w:shd w:val="clear" w:color="auto" w:fill="auto"/>
            <w:vAlign w:val="bottom"/>
          </w:tcPr>
          <w:p w14:paraId="60292BE2" w14:textId="77777777" w:rsidR="00AF4CE7" w:rsidRPr="002D37D9" w:rsidRDefault="00AF4CE7" w:rsidP="00AF4CE7">
            <w:pPr>
              <w:widowControl/>
              <w:tabs>
                <w:tab w:val="left" w:pos="227"/>
                <w:tab w:val="left" w:pos="397"/>
                <w:tab w:val="left" w:pos="567"/>
              </w:tabs>
              <w:spacing w:line="200" w:lineRule="exact"/>
              <w:ind w:left="57"/>
              <w:jc w:val="left"/>
              <w:rPr>
                <w:b/>
                <w:sz w:val="18"/>
                <w:szCs w:val="20"/>
                <w:rtl/>
              </w:rPr>
            </w:pPr>
            <w:r w:rsidRPr="002D37D9">
              <w:rPr>
                <w:rFonts w:hint="cs"/>
                <w:b/>
                <w:sz w:val="18"/>
                <w:szCs w:val="20"/>
                <w:rtl/>
              </w:rPr>
              <w:t>זכויות שאינן מקנות שליטה</w:t>
            </w:r>
          </w:p>
        </w:tc>
        <w:tc>
          <w:tcPr>
            <w:tcW w:w="140" w:type="dxa"/>
            <w:shd w:val="clear" w:color="auto" w:fill="auto"/>
            <w:vAlign w:val="bottom"/>
          </w:tcPr>
          <w:p w14:paraId="268574FD" w14:textId="77777777" w:rsidR="00AF4CE7" w:rsidRPr="002D37D9" w:rsidRDefault="00AF4CE7" w:rsidP="00AF4CE7">
            <w:pPr>
              <w:spacing w:line="200" w:lineRule="exact"/>
              <w:rPr>
                <w:sz w:val="18"/>
                <w:szCs w:val="20"/>
              </w:rPr>
            </w:pPr>
          </w:p>
        </w:tc>
        <w:tc>
          <w:tcPr>
            <w:tcW w:w="892" w:type="dxa"/>
            <w:tcBorders>
              <w:bottom w:val="single" w:sz="6" w:space="0" w:color="auto"/>
            </w:tcBorders>
            <w:shd w:val="clear" w:color="auto" w:fill="auto"/>
            <w:vAlign w:val="bottom"/>
          </w:tcPr>
          <w:p w14:paraId="68E5D95C"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54D09B40" w14:textId="77777777" w:rsidR="00AF4CE7" w:rsidRPr="002D37D9" w:rsidRDefault="00AF4CE7" w:rsidP="00AF4CE7">
            <w:pPr>
              <w:tabs>
                <w:tab w:val="decimal" w:pos="113"/>
              </w:tabs>
              <w:spacing w:line="200" w:lineRule="exact"/>
              <w:rPr>
                <w:sz w:val="18"/>
                <w:szCs w:val="20"/>
              </w:rPr>
            </w:pPr>
          </w:p>
        </w:tc>
        <w:tc>
          <w:tcPr>
            <w:tcW w:w="911" w:type="dxa"/>
            <w:gridSpan w:val="3"/>
            <w:tcBorders>
              <w:bottom w:val="single" w:sz="6" w:space="0" w:color="auto"/>
            </w:tcBorders>
            <w:shd w:val="clear" w:color="auto" w:fill="auto"/>
            <w:vAlign w:val="bottom"/>
          </w:tcPr>
          <w:p w14:paraId="61E0D79D"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09BC9B6C" w14:textId="77777777" w:rsidR="00AF4CE7" w:rsidRPr="002D37D9" w:rsidRDefault="00AF4CE7" w:rsidP="00AF4CE7">
            <w:pPr>
              <w:tabs>
                <w:tab w:val="decimal" w:pos="113"/>
              </w:tabs>
              <w:spacing w:line="200" w:lineRule="exact"/>
              <w:rPr>
                <w:sz w:val="18"/>
                <w:szCs w:val="20"/>
              </w:rPr>
            </w:pPr>
          </w:p>
        </w:tc>
        <w:tc>
          <w:tcPr>
            <w:tcW w:w="911" w:type="dxa"/>
            <w:gridSpan w:val="2"/>
            <w:tcBorders>
              <w:bottom w:val="single" w:sz="6" w:space="0" w:color="auto"/>
            </w:tcBorders>
            <w:shd w:val="clear" w:color="auto" w:fill="auto"/>
            <w:vAlign w:val="bottom"/>
          </w:tcPr>
          <w:p w14:paraId="23A33B9A"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83253B8" w14:textId="77777777" w:rsidR="00AF4CE7" w:rsidRPr="002D37D9" w:rsidRDefault="00AF4CE7" w:rsidP="00AF4CE7">
            <w:pPr>
              <w:tabs>
                <w:tab w:val="decimal" w:pos="113"/>
              </w:tabs>
              <w:spacing w:line="200" w:lineRule="exact"/>
              <w:rPr>
                <w:sz w:val="18"/>
                <w:szCs w:val="20"/>
              </w:rPr>
            </w:pPr>
          </w:p>
        </w:tc>
        <w:tc>
          <w:tcPr>
            <w:tcW w:w="915" w:type="dxa"/>
            <w:gridSpan w:val="2"/>
            <w:tcBorders>
              <w:bottom w:val="single" w:sz="6" w:space="0" w:color="auto"/>
            </w:tcBorders>
            <w:shd w:val="clear" w:color="auto" w:fill="auto"/>
            <w:vAlign w:val="bottom"/>
          </w:tcPr>
          <w:p w14:paraId="4DC28C57"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3B8EBEEC" w14:textId="77777777" w:rsidR="00AF4CE7" w:rsidRPr="002D37D9" w:rsidRDefault="00AF4CE7" w:rsidP="00AF4CE7">
            <w:pPr>
              <w:tabs>
                <w:tab w:val="decimal" w:pos="113"/>
              </w:tabs>
              <w:spacing w:line="200" w:lineRule="exact"/>
              <w:rPr>
                <w:sz w:val="18"/>
                <w:szCs w:val="20"/>
              </w:rPr>
            </w:pPr>
          </w:p>
        </w:tc>
        <w:tc>
          <w:tcPr>
            <w:tcW w:w="1197" w:type="dxa"/>
            <w:tcBorders>
              <w:bottom w:val="single" w:sz="6" w:space="0" w:color="auto"/>
            </w:tcBorders>
            <w:shd w:val="clear" w:color="auto" w:fill="auto"/>
            <w:vAlign w:val="bottom"/>
          </w:tcPr>
          <w:p w14:paraId="6E3F2AFD" w14:textId="77777777" w:rsidR="00AF4CE7" w:rsidRPr="002D37D9" w:rsidRDefault="00AF4CE7" w:rsidP="00AF4CE7">
            <w:pPr>
              <w:tabs>
                <w:tab w:val="decimal" w:pos="113"/>
              </w:tabs>
              <w:spacing w:line="200" w:lineRule="exact"/>
              <w:rPr>
                <w:sz w:val="18"/>
                <w:szCs w:val="20"/>
                <w:rtl/>
              </w:rPr>
            </w:pPr>
          </w:p>
        </w:tc>
      </w:tr>
      <w:tr w:rsidR="00AF4CE7" w:rsidRPr="002D37D9" w14:paraId="48D68BD1" w14:textId="77777777" w:rsidTr="00AF4CE7">
        <w:tc>
          <w:tcPr>
            <w:tcW w:w="1410" w:type="dxa"/>
            <w:tcBorders>
              <w:top w:val="single" w:sz="6" w:space="0" w:color="auto"/>
            </w:tcBorders>
            <w:vAlign w:val="center"/>
          </w:tcPr>
          <w:p w14:paraId="1167D78F" w14:textId="77777777" w:rsidR="00AF4CE7" w:rsidRPr="00621421" w:rsidRDefault="00AF4CE7" w:rsidP="00AF4CE7">
            <w:pPr>
              <w:bidi w:val="0"/>
              <w:spacing w:line="200" w:lineRule="exact"/>
              <w:ind w:right="57"/>
              <w:jc w:val="right"/>
              <w:rPr>
                <w:b/>
                <w:i/>
                <w:iCs/>
                <w:sz w:val="13"/>
                <w:szCs w:val="13"/>
                <w:rtl/>
              </w:rPr>
            </w:pPr>
          </w:p>
        </w:tc>
        <w:tc>
          <w:tcPr>
            <w:tcW w:w="2815" w:type="dxa"/>
            <w:gridSpan w:val="2"/>
            <w:shd w:val="clear" w:color="auto" w:fill="auto"/>
            <w:vAlign w:val="bottom"/>
          </w:tcPr>
          <w:p w14:paraId="57C554ED" w14:textId="77777777" w:rsidR="00AF4CE7" w:rsidRPr="002D37D9" w:rsidRDefault="00AF4CE7" w:rsidP="00AF4CE7">
            <w:pPr>
              <w:widowControl/>
              <w:tabs>
                <w:tab w:val="left" w:pos="227"/>
                <w:tab w:val="left" w:pos="397"/>
                <w:tab w:val="left" w:pos="567"/>
              </w:tabs>
              <w:spacing w:line="200" w:lineRule="exact"/>
              <w:ind w:left="57"/>
              <w:jc w:val="left"/>
              <w:rPr>
                <w:b/>
                <w:sz w:val="18"/>
                <w:szCs w:val="20"/>
                <w:rtl/>
              </w:rPr>
            </w:pPr>
          </w:p>
        </w:tc>
        <w:tc>
          <w:tcPr>
            <w:tcW w:w="140" w:type="dxa"/>
            <w:shd w:val="clear" w:color="auto" w:fill="auto"/>
            <w:vAlign w:val="bottom"/>
          </w:tcPr>
          <w:p w14:paraId="4857E8FB" w14:textId="77777777" w:rsidR="00AF4CE7" w:rsidRPr="002D37D9" w:rsidRDefault="00AF4CE7" w:rsidP="00AF4CE7">
            <w:pPr>
              <w:spacing w:line="200" w:lineRule="exact"/>
              <w:rPr>
                <w:sz w:val="18"/>
                <w:szCs w:val="20"/>
              </w:rPr>
            </w:pPr>
          </w:p>
        </w:tc>
        <w:tc>
          <w:tcPr>
            <w:tcW w:w="892" w:type="dxa"/>
            <w:tcBorders>
              <w:top w:val="single" w:sz="6" w:space="0" w:color="auto"/>
            </w:tcBorders>
            <w:vAlign w:val="bottom"/>
          </w:tcPr>
          <w:p w14:paraId="6F91B9B3"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448E0409" w14:textId="77777777" w:rsidR="00AF4CE7" w:rsidRPr="002D37D9" w:rsidRDefault="00AF4CE7" w:rsidP="00AF4CE7">
            <w:pPr>
              <w:tabs>
                <w:tab w:val="decimal" w:pos="113"/>
              </w:tabs>
              <w:spacing w:line="200" w:lineRule="exact"/>
              <w:rPr>
                <w:sz w:val="18"/>
                <w:szCs w:val="20"/>
              </w:rPr>
            </w:pPr>
          </w:p>
        </w:tc>
        <w:tc>
          <w:tcPr>
            <w:tcW w:w="911" w:type="dxa"/>
            <w:gridSpan w:val="3"/>
            <w:tcBorders>
              <w:top w:val="single" w:sz="6" w:space="0" w:color="auto"/>
            </w:tcBorders>
            <w:shd w:val="clear" w:color="auto" w:fill="auto"/>
            <w:vAlign w:val="bottom"/>
          </w:tcPr>
          <w:p w14:paraId="173D986D"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310D4831" w14:textId="77777777" w:rsidR="00AF4CE7" w:rsidRPr="002D37D9" w:rsidRDefault="00AF4CE7" w:rsidP="00AF4CE7">
            <w:pPr>
              <w:tabs>
                <w:tab w:val="decimal" w:pos="113"/>
              </w:tabs>
              <w:spacing w:line="200" w:lineRule="exact"/>
              <w:rPr>
                <w:sz w:val="18"/>
                <w:szCs w:val="20"/>
              </w:rPr>
            </w:pPr>
          </w:p>
        </w:tc>
        <w:tc>
          <w:tcPr>
            <w:tcW w:w="911" w:type="dxa"/>
            <w:gridSpan w:val="2"/>
            <w:tcBorders>
              <w:top w:val="single" w:sz="6" w:space="0" w:color="auto"/>
            </w:tcBorders>
            <w:shd w:val="clear" w:color="auto" w:fill="auto"/>
            <w:vAlign w:val="bottom"/>
          </w:tcPr>
          <w:p w14:paraId="65975B49"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7A95F767" w14:textId="77777777" w:rsidR="00AF4CE7" w:rsidRPr="002D37D9" w:rsidRDefault="00AF4CE7" w:rsidP="00AF4CE7">
            <w:pPr>
              <w:tabs>
                <w:tab w:val="decimal" w:pos="113"/>
              </w:tabs>
              <w:spacing w:line="200" w:lineRule="exact"/>
              <w:rPr>
                <w:sz w:val="18"/>
                <w:szCs w:val="20"/>
              </w:rPr>
            </w:pPr>
          </w:p>
        </w:tc>
        <w:tc>
          <w:tcPr>
            <w:tcW w:w="915" w:type="dxa"/>
            <w:gridSpan w:val="2"/>
            <w:tcBorders>
              <w:top w:val="single" w:sz="6" w:space="0" w:color="auto"/>
            </w:tcBorders>
            <w:shd w:val="clear" w:color="auto" w:fill="auto"/>
            <w:vAlign w:val="bottom"/>
          </w:tcPr>
          <w:p w14:paraId="66411C3B"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6AE50056" w14:textId="77777777" w:rsidR="00AF4CE7" w:rsidRPr="002D37D9" w:rsidRDefault="00AF4CE7" w:rsidP="00AF4CE7">
            <w:pPr>
              <w:tabs>
                <w:tab w:val="decimal" w:pos="113"/>
              </w:tabs>
              <w:spacing w:line="200" w:lineRule="exact"/>
              <w:rPr>
                <w:sz w:val="18"/>
                <w:szCs w:val="20"/>
              </w:rPr>
            </w:pPr>
          </w:p>
        </w:tc>
        <w:tc>
          <w:tcPr>
            <w:tcW w:w="1197" w:type="dxa"/>
            <w:tcBorders>
              <w:top w:val="single" w:sz="6" w:space="0" w:color="auto"/>
            </w:tcBorders>
            <w:shd w:val="clear" w:color="auto" w:fill="auto"/>
            <w:vAlign w:val="bottom"/>
          </w:tcPr>
          <w:p w14:paraId="6E4ADB93" w14:textId="77777777" w:rsidR="00AF4CE7" w:rsidRPr="002D37D9" w:rsidRDefault="00AF4CE7" w:rsidP="00AF4CE7">
            <w:pPr>
              <w:tabs>
                <w:tab w:val="decimal" w:pos="113"/>
              </w:tabs>
              <w:spacing w:line="200" w:lineRule="exact"/>
              <w:rPr>
                <w:sz w:val="18"/>
                <w:szCs w:val="20"/>
                <w:rtl/>
              </w:rPr>
            </w:pPr>
          </w:p>
        </w:tc>
      </w:tr>
      <w:tr w:rsidR="00AF4CE7" w:rsidRPr="002D37D9" w14:paraId="18B02FD0" w14:textId="77777777" w:rsidTr="00AF4CE7">
        <w:tc>
          <w:tcPr>
            <w:tcW w:w="1410" w:type="dxa"/>
            <w:vAlign w:val="center"/>
          </w:tcPr>
          <w:p w14:paraId="69BE9CAD"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508D8B30" w14:textId="77777777" w:rsidR="00AF4CE7" w:rsidRPr="002D37D9" w:rsidRDefault="00AF4CE7" w:rsidP="00AF4CE7">
            <w:pPr>
              <w:pStyle w:val="a3"/>
              <w:spacing w:line="200" w:lineRule="exact"/>
              <w:ind w:left="0"/>
              <w:rPr>
                <w:sz w:val="18"/>
                <w:szCs w:val="20"/>
              </w:rPr>
            </w:pPr>
          </w:p>
        </w:tc>
        <w:tc>
          <w:tcPr>
            <w:tcW w:w="140" w:type="dxa"/>
            <w:shd w:val="clear" w:color="auto" w:fill="auto"/>
            <w:vAlign w:val="bottom"/>
          </w:tcPr>
          <w:p w14:paraId="61219151" w14:textId="77777777" w:rsidR="00AF4CE7" w:rsidRPr="002D37D9" w:rsidRDefault="00AF4CE7" w:rsidP="00AF4CE7">
            <w:pPr>
              <w:spacing w:line="200" w:lineRule="exact"/>
              <w:rPr>
                <w:sz w:val="18"/>
                <w:szCs w:val="20"/>
              </w:rPr>
            </w:pPr>
          </w:p>
        </w:tc>
        <w:tc>
          <w:tcPr>
            <w:tcW w:w="892" w:type="dxa"/>
            <w:tcBorders>
              <w:bottom w:val="double" w:sz="6" w:space="0" w:color="auto"/>
            </w:tcBorders>
            <w:shd w:val="clear" w:color="auto" w:fill="auto"/>
            <w:vAlign w:val="bottom"/>
          </w:tcPr>
          <w:p w14:paraId="5FD0CB4E"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68146B57" w14:textId="77777777" w:rsidR="00AF4CE7" w:rsidRPr="002D37D9" w:rsidRDefault="00AF4CE7" w:rsidP="00AF4CE7">
            <w:pPr>
              <w:tabs>
                <w:tab w:val="decimal" w:pos="113"/>
              </w:tabs>
              <w:spacing w:line="200" w:lineRule="exact"/>
              <w:rPr>
                <w:sz w:val="18"/>
                <w:szCs w:val="20"/>
              </w:rPr>
            </w:pPr>
          </w:p>
        </w:tc>
        <w:tc>
          <w:tcPr>
            <w:tcW w:w="911" w:type="dxa"/>
            <w:gridSpan w:val="3"/>
            <w:tcBorders>
              <w:bottom w:val="double" w:sz="6" w:space="0" w:color="auto"/>
            </w:tcBorders>
            <w:shd w:val="clear" w:color="auto" w:fill="auto"/>
            <w:vAlign w:val="bottom"/>
          </w:tcPr>
          <w:p w14:paraId="7266DA0B"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6EC7D859" w14:textId="77777777" w:rsidR="00AF4CE7" w:rsidRPr="002D37D9" w:rsidRDefault="00AF4CE7" w:rsidP="00AF4CE7">
            <w:pPr>
              <w:tabs>
                <w:tab w:val="decimal" w:pos="113"/>
              </w:tabs>
              <w:spacing w:line="200" w:lineRule="exact"/>
              <w:rPr>
                <w:sz w:val="18"/>
                <w:szCs w:val="20"/>
              </w:rPr>
            </w:pPr>
          </w:p>
        </w:tc>
        <w:tc>
          <w:tcPr>
            <w:tcW w:w="911" w:type="dxa"/>
            <w:gridSpan w:val="2"/>
            <w:tcBorders>
              <w:bottom w:val="double" w:sz="6" w:space="0" w:color="auto"/>
            </w:tcBorders>
            <w:shd w:val="clear" w:color="auto" w:fill="auto"/>
            <w:vAlign w:val="bottom"/>
          </w:tcPr>
          <w:p w14:paraId="03C3AE05"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04F7A7A6" w14:textId="77777777" w:rsidR="00AF4CE7" w:rsidRPr="002D37D9" w:rsidRDefault="00AF4CE7" w:rsidP="00AF4CE7">
            <w:pPr>
              <w:tabs>
                <w:tab w:val="decimal" w:pos="113"/>
              </w:tabs>
              <w:spacing w:line="200" w:lineRule="exact"/>
              <w:rPr>
                <w:sz w:val="18"/>
                <w:szCs w:val="20"/>
              </w:rPr>
            </w:pPr>
          </w:p>
        </w:tc>
        <w:tc>
          <w:tcPr>
            <w:tcW w:w="915" w:type="dxa"/>
            <w:gridSpan w:val="2"/>
            <w:tcBorders>
              <w:bottom w:val="double" w:sz="6" w:space="0" w:color="auto"/>
            </w:tcBorders>
            <w:shd w:val="clear" w:color="auto" w:fill="auto"/>
            <w:vAlign w:val="bottom"/>
          </w:tcPr>
          <w:p w14:paraId="2BE736C4"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602CBE2A" w14:textId="77777777" w:rsidR="00AF4CE7" w:rsidRPr="002D37D9" w:rsidRDefault="00AF4CE7" w:rsidP="00AF4CE7">
            <w:pPr>
              <w:tabs>
                <w:tab w:val="decimal" w:pos="113"/>
              </w:tabs>
              <w:spacing w:line="200" w:lineRule="exact"/>
              <w:rPr>
                <w:sz w:val="18"/>
                <w:szCs w:val="20"/>
              </w:rPr>
            </w:pPr>
          </w:p>
        </w:tc>
        <w:tc>
          <w:tcPr>
            <w:tcW w:w="1197" w:type="dxa"/>
            <w:tcBorders>
              <w:bottom w:val="double" w:sz="6" w:space="0" w:color="auto"/>
            </w:tcBorders>
            <w:shd w:val="clear" w:color="auto" w:fill="auto"/>
            <w:vAlign w:val="bottom"/>
          </w:tcPr>
          <w:p w14:paraId="2F883D9B" w14:textId="77777777" w:rsidR="00AF4CE7" w:rsidRPr="002D37D9" w:rsidRDefault="00AF4CE7" w:rsidP="00AF4CE7">
            <w:pPr>
              <w:tabs>
                <w:tab w:val="decimal" w:pos="113"/>
              </w:tabs>
              <w:spacing w:line="200" w:lineRule="exact"/>
              <w:rPr>
                <w:sz w:val="18"/>
                <w:szCs w:val="20"/>
                <w:rtl/>
              </w:rPr>
            </w:pPr>
          </w:p>
        </w:tc>
      </w:tr>
      <w:tr w:rsidR="00AF4CE7" w:rsidRPr="002D37D9" w14:paraId="182C46FF" w14:textId="77777777" w:rsidTr="00AF4CE7">
        <w:tc>
          <w:tcPr>
            <w:tcW w:w="1410" w:type="dxa"/>
            <w:vAlign w:val="center"/>
          </w:tcPr>
          <w:p w14:paraId="3A27037F" w14:textId="77777777" w:rsidR="00AF4CE7" w:rsidRPr="00621421" w:rsidRDefault="00AF4CE7" w:rsidP="00AF4CE7">
            <w:pPr>
              <w:bidi w:val="0"/>
              <w:spacing w:line="200" w:lineRule="exact"/>
              <w:ind w:right="57"/>
              <w:jc w:val="right"/>
              <w:rPr>
                <w:i/>
                <w:iCs/>
                <w:sz w:val="13"/>
                <w:szCs w:val="13"/>
                <w:rtl/>
              </w:rPr>
            </w:pPr>
          </w:p>
        </w:tc>
        <w:tc>
          <w:tcPr>
            <w:tcW w:w="2815" w:type="dxa"/>
            <w:gridSpan w:val="2"/>
            <w:shd w:val="clear" w:color="auto" w:fill="auto"/>
            <w:vAlign w:val="bottom"/>
          </w:tcPr>
          <w:p w14:paraId="05BDFD2D" w14:textId="77777777" w:rsidR="00AF4CE7" w:rsidRPr="002D37D9" w:rsidRDefault="00AF4CE7" w:rsidP="00AF4CE7">
            <w:pPr>
              <w:spacing w:line="200" w:lineRule="exact"/>
              <w:ind w:left="227" w:hanging="170"/>
              <w:rPr>
                <w:sz w:val="18"/>
                <w:szCs w:val="20"/>
              </w:rPr>
            </w:pPr>
            <w:r w:rsidRPr="002D37D9">
              <w:rPr>
                <w:rFonts w:hint="cs"/>
                <w:sz w:val="18"/>
                <w:szCs w:val="20"/>
                <w:rtl/>
              </w:rPr>
              <w:t>סה"כ רווח (הפסד) כולל מיוחס ל:</w:t>
            </w:r>
          </w:p>
        </w:tc>
        <w:tc>
          <w:tcPr>
            <w:tcW w:w="140" w:type="dxa"/>
            <w:shd w:val="clear" w:color="auto" w:fill="auto"/>
            <w:vAlign w:val="bottom"/>
          </w:tcPr>
          <w:p w14:paraId="64A6593F" w14:textId="77777777" w:rsidR="00AF4CE7" w:rsidRPr="002D37D9" w:rsidRDefault="00AF4CE7" w:rsidP="00AF4CE7">
            <w:pPr>
              <w:spacing w:line="200" w:lineRule="exact"/>
              <w:rPr>
                <w:sz w:val="18"/>
                <w:szCs w:val="20"/>
              </w:rPr>
            </w:pPr>
          </w:p>
        </w:tc>
        <w:tc>
          <w:tcPr>
            <w:tcW w:w="892" w:type="dxa"/>
            <w:tcBorders>
              <w:top w:val="double" w:sz="6" w:space="0" w:color="auto"/>
            </w:tcBorders>
            <w:vAlign w:val="bottom"/>
          </w:tcPr>
          <w:p w14:paraId="5CBAC50A"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0425F3D8" w14:textId="77777777" w:rsidR="00AF4CE7" w:rsidRPr="002D37D9" w:rsidRDefault="00AF4CE7" w:rsidP="00AF4CE7">
            <w:pPr>
              <w:tabs>
                <w:tab w:val="decimal" w:pos="113"/>
              </w:tabs>
              <w:spacing w:line="200" w:lineRule="exact"/>
              <w:rPr>
                <w:sz w:val="18"/>
                <w:szCs w:val="20"/>
              </w:rPr>
            </w:pPr>
          </w:p>
        </w:tc>
        <w:tc>
          <w:tcPr>
            <w:tcW w:w="911" w:type="dxa"/>
            <w:gridSpan w:val="3"/>
            <w:tcBorders>
              <w:top w:val="double" w:sz="6" w:space="0" w:color="auto"/>
            </w:tcBorders>
            <w:shd w:val="clear" w:color="auto" w:fill="auto"/>
            <w:vAlign w:val="bottom"/>
          </w:tcPr>
          <w:p w14:paraId="3F084577"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3B5DAF36" w14:textId="77777777" w:rsidR="00AF4CE7" w:rsidRPr="002D37D9" w:rsidRDefault="00AF4CE7" w:rsidP="00AF4CE7">
            <w:pPr>
              <w:tabs>
                <w:tab w:val="decimal" w:pos="113"/>
              </w:tabs>
              <w:spacing w:line="200" w:lineRule="exact"/>
              <w:rPr>
                <w:sz w:val="18"/>
                <w:szCs w:val="20"/>
              </w:rPr>
            </w:pPr>
          </w:p>
        </w:tc>
        <w:tc>
          <w:tcPr>
            <w:tcW w:w="911" w:type="dxa"/>
            <w:gridSpan w:val="2"/>
            <w:tcBorders>
              <w:top w:val="double" w:sz="6" w:space="0" w:color="auto"/>
            </w:tcBorders>
            <w:shd w:val="clear" w:color="auto" w:fill="auto"/>
            <w:vAlign w:val="bottom"/>
          </w:tcPr>
          <w:p w14:paraId="14178150"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4C8939B" w14:textId="77777777" w:rsidR="00AF4CE7" w:rsidRPr="002D37D9" w:rsidRDefault="00AF4CE7" w:rsidP="00AF4CE7">
            <w:pPr>
              <w:tabs>
                <w:tab w:val="decimal" w:pos="113"/>
              </w:tabs>
              <w:spacing w:line="200" w:lineRule="exact"/>
              <w:rPr>
                <w:sz w:val="18"/>
                <w:szCs w:val="20"/>
              </w:rPr>
            </w:pPr>
          </w:p>
        </w:tc>
        <w:tc>
          <w:tcPr>
            <w:tcW w:w="915" w:type="dxa"/>
            <w:gridSpan w:val="2"/>
            <w:tcBorders>
              <w:top w:val="double" w:sz="6" w:space="0" w:color="auto"/>
            </w:tcBorders>
            <w:shd w:val="clear" w:color="auto" w:fill="auto"/>
            <w:vAlign w:val="bottom"/>
          </w:tcPr>
          <w:p w14:paraId="7DD38E53"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3808115F" w14:textId="77777777" w:rsidR="00AF4CE7" w:rsidRPr="002D37D9" w:rsidRDefault="00AF4CE7" w:rsidP="00AF4CE7">
            <w:pPr>
              <w:tabs>
                <w:tab w:val="decimal" w:pos="113"/>
              </w:tabs>
              <w:spacing w:line="200" w:lineRule="exact"/>
              <w:rPr>
                <w:sz w:val="18"/>
                <w:szCs w:val="20"/>
              </w:rPr>
            </w:pPr>
          </w:p>
        </w:tc>
        <w:tc>
          <w:tcPr>
            <w:tcW w:w="1197" w:type="dxa"/>
            <w:tcBorders>
              <w:top w:val="double" w:sz="6" w:space="0" w:color="auto"/>
            </w:tcBorders>
            <w:shd w:val="clear" w:color="auto" w:fill="auto"/>
            <w:vAlign w:val="bottom"/>
          </w:tcPr>
          <w:p w14:paraId="288F2FDF" w14:textId="77777777" w:rsidR="00AF4CE7" w:rsidRPr="002D37D9" w:rsidRDefault="00AF4CE7" w:rsidP="00AF4CE7">
            <w:pPr>
              <w:tabs>
                <w:tab w:val="decimal" w:pos="113"/>
              </w:tabs>
              <w:spacing w:line="200" w:lineRule="exact"/>
              <w:rPr>
                <w:sz w:val="18"/>
                <w:szCs w:val="20"/>
                <w:rtl/>
              </w:rPr>
            </w:pPr>
          </w:p>
        </w:tc>
      </w:tr>
      <w:tr w:rsidR="00AF4CE7" w:rsidRPr="002D37D9" w14:paraId="6AFC6AA0" w14:textId="77777777" w:rsidTr="00AF4CE7">
        <w:tc>
          <w:tcPr>
            <w:tcW w:w="1410" w:type="dxa"/>
            <w:vAlign w:val="center"/>
          </w:tcPr>
          <w:p w14:paraId="75AC54F6" w14:textId="77777777" w:rsidR="00AF4CE7" w:rsidRPr="00621421" w:rsidRDefault="00AF4CE7" w:rsidP="00AF4CE7">
            <w:pPr>
              <w:bidi w:val="0"/>
              <w:spacing w:line="200" w:lineRule="exact"/>
              <w:ind w:right="57"/>
              <w:jc w:val="right"/>
              <w:rPr>
                <w:i/>
                <w:iCs/>
                <w:sz w:val="13"/>
                <w:szCs w:val="13"/>
                <w:rtl/>
              </w:rPr>
            </w:pPr>
          </w:p>
        </w:tc>
        <w:tc>
          <w:tcPr>
            <w:tcW w:w="2815" w:type="dxa"/>
            <w:gridSpan w:val="2"/>
            <w:shd w:val="clear" w:color="auto" w:fill="auto"/>
            <w:vAlign w:val="bottom"/>
          </w:tcPr>
          <w:p w14:paraId="6F4467A3" w14:textId="77777777" w:rsidR="00AF4CE7" w:rsidRPr="002D37D9" w:rsidRDefault="00AF4CE7" w:rsidP="00AF4CE7">
            <w:pPr>
              <w:spacing w:line="200" w:lineRule="exact"/>
              <w:ind w:left="227" w:hanging="170"/>
              <w:rPr>
                <w:sz w:val="18"/>
                <w:szCs w:val="20"/>
                <w:rtl/>
              </w:rPr>
            </w:pPr>
          </w:p>
        </w:tc>
        <w:tc>
          <w:tcPr>
            <w:tcW w:w="140" w:type="dxa"/>
            <w:shd w:val="clear" w:color="auto" w:fill="auto"/>
            <w:vAlign w:val="bottom"/>
          </w:tcPr>
          <w:p w14:paraId="2E48C53D" w14:textId="77777777" w:rsidR="00AF4CE7" w:rsidRPr="002D37D9" w:rsidRDefault="00AF4CE7" w:rsidP="00AF4CE7">
            <w:pPr>
              <w:spacing w:line="200" w:lineRule="exact"/>
              <w:rPr>
                <w:sz w:val="18"/>
                <w:szCs w:val="20"/>
              </w:rPr>
            </w:pPr>
          </w:p>
        </w:tc>
        <w:tc>
          <w:tcPr>
            <w:tcW w:w="892" w:type="dxa"/>
            <w:vAlign w:val="bottom"/>
          </w:tcPr>
          <w:p w14:paraId="38C373BA"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3D3B73BF"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2CD443AD"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6634FCCB"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19D2D363"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804360F"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649AC705"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20D20866"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3498F504" w14:textId="77777777" w:rsidR="00AF4CE7" w:rsidRPr="002D37D9" w:rsidRDefault="00AF4CE7" w:rsidP="00AF4CE7">
            <w:pPr>
              <w:tabs>
                <w:tab w:val="decimal" w:pos="113"/>
              </w:tabs>
              <w:spacing w:line="200" w:lineRule="exact"/>
              <w:rPr>
                <w:sz w:val="18"/>
                <w:szCs w:val="20"/>
                <w:rtl/>
              </w:rPr>
            </w:pPr>
          </w:p>
        </w:tc>
      </w:tr>
      <w:tr w:rsidR="00AF4CE7" w:rsidRPr="002D37D9" w14:paraId="7149FE75" w14:textId="77777777" w:rsidTr="00AF4CE7">
        <w:tc>
          <w:tcPr>
            <w:tcW w:w="1410" w:type="dxa"/>
            <w:tcBorders>
              <w:bottom w:val="single" w:sz="6" w:space="0" w:color="auto"/>
              <w:right w:val="single" w:sz="6" w:space="0" w:color="auto"/>
            </w:tcBorders>
            <w:vAlign w:val="center"/>
          </w:tcPr>
          <w:p w14:paraId="70936399" w14:textId="77777777" w:rsidR="00AF4CE7" w:rsidRPr="00167ACA" w:rsidRDefault="00AF4CE7" w:rsidP="00AF4CE7">
            <w:pPr>
              <w:bidi w:val="0"/>
              <w:spacing w:line="200" w:lineRule="exact"/>
              <w:ind w:right="57"/>
              <w:jc w:val="right"/>
              <w:rPr>
                <w:bCs/>
                <w:i/>
                <w:iCs/>
                <w:sz w:val="13"/>
                <w:szCs w:val="13"/>
              </w:rPr>
            </w:pPr>
            <w:r>
              <w:rPr>
                <w:bCs/>
                <w:i/>
                <w:iCs/>
                <w:sz w:val="13"/>
                <w:szCs w:val="13"/>
              </w:rPr>
              <w:t>IAS </w:t>
            </w:r>
            <w:r w:rsidRPr="00167ACA">
              <w:rPr>
                <w:bCs/>
                <w:i/>
                <w:iCs/>
                <w:sz w:val="13"/>
                <w:szCs w:val="13"/>
              </w:rPr>
              <w:t>1.83(b)(ii)</w:t>
            </w:r>
          </w:p>
        </w:tc>
        <w:tc>
          <w:tcPr>
            <w:tcW w:w="2815" w:type="dxa"/>
            <w:gridSpan w:val="2"/>
            <w:tcBorders>
              <w:left w:val="single" w:sz="6" w:space="0" w:color="auto"/>
            </w:tcBorders>
            <w:shd w:val="clear" w:color="auto" w:fill="auto"/>
            <w:vAlign w:val="bottom"/>
          </w:tcPr>
          <w:p w14:paraId="6160DEF0" w14:textId="77777777" w:rsidR="00AF4CE7" w:rsidRPr="002D37D9" w:rsidRDefault="00AF4CE7" w:rsidP="00AF4CE7">
            <w:pPr>
              <w:spacing w:line="200" w:lineRule="exact"/>
              <w:ind w:left="227" w:hanging="170"/>
              <w:rPr>
                <w:sz w:val="18"/>
                <w:szCs w:val="20"/>
              </w:rPr>
            </w:pPr>
            <w:r w:rsidRPr="002D37D9">
              <w:rPr>
                <w:rFonts w:hint="cs"/>
                <w:sz w:val="18"/>
                <w:szCs w:val="20"/>
                <w:rtl/>
              </w:rPr>
              <w:t>בעלי מניות החברה</w:t>
            </w:r>
          </w:p>
        </w:tc>
        <w:tc>
          <w:tcPr>
            <w:tcW w:w="140" w:type="dxa"/>
            <w:shd w:val="clear" w:color="auto" w:fill="auto"/>
            <w:vAlign w:val="bottom"/>
          </w:tcPr>
          <w:p w14:paraId="5C558EDA" w14:textId="77777777" w:rsidR="00AF4CE7" w:rsidRPr="002D37D9" w:rsidRDefault="00AF4CE7" w:rsidP="00AF4CE7">
            <w:pPr>
              <w:spacing w:line="200" w:lineRule="exact"/>
              <w:rPr>
                <w:sz w:val="18"/>
                <w:szCs w:val="20"/>
              </w:rPr>
            </w:pPr>
          </w:p>
        </w:tc>
        <w:tc>
          <w:tcPr>
            <w:tcW w:w="892" w:type="dxa"/>
            <w:vAlign w:val="bottom"/>
          </w:tcPr>
          <w:p w14:paraId="59563017"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5A7FB599"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7066A737"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2D29D3C1"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38AD66CF"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F4DE8EA"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1AED516C"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1D594BD1"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05BE5185" w14:textId="77777777" w:rsidR="00AF4CE7" w:rsidRPr="002D37D9" w:rsidRDefault="00AF4CE7" w:rsidP="00AF4CE7">
            <w:pPr>
              <w:tabs>
                <w:tab w:val="decimal" w:pos="113"/>
              </w:tabs>
              <w:spacing w:line="200" w:lineRule="exact"/>
              <w:rPr>
                <w:sz w:val="18"/>
                <w:szCs w:val="20"/>
                <w:rtl/>
              </w:rPr>
            </w:pPr>
          </w:p>
        </w:tc>
      </w:tr>
      <w:tr w:rsidR="00AF4CE7" w:rsidRPr="002D37D9" w14:paraId="5431F9A5" w14:textId="77777777" w:rsidTr="00AF4CE7">
        <w:tc>
          <w:tcPr>
            <w:tcW w:w="1410" w:type="dxa"/>
            <w:tcBorders>
              <w:top w:val="single" w:sz="6" w:space="0" w:color="auto"/>
              <w:bottom w:val="single" w:sz="6" w:space="0" w:color="auto"/>
              <w:right w:val="single" w:sz="6" w:space="0" w:color="auto"/>
            </w:tcBorders>
            <w:vAlign w:val="center"/>
          </w:tcPr>
          <w:p w14:paraId="3EB3AF9D" w14:textId="77777777" w:rsidR="00AF4CE7" w:rsidRPr="00167ACA" w:rsidRDefault="00AF4CE7" w:rsidP="00AF4CE7">
            <w:pPr>
              <w:bidi w:val="0"/>
              <w:spacing w:line="200" w:lineRule="exact"/>
              <w:ind w:right="57"/>
              <w:jc w:val="right"/>
              <w:rPr>
                <w:bCs/>
                <w:i/>
                <w:iCs/>
                <w:sz w:val="13"/>
                <w:szCs w:val="13"/>
              </w:rPr>
            </w:pPr>
            <w:r>
              <w:rPr>
                <w:bCs/>
                <w:i/>
                <w:iCs/>
                <w:sz w:val="13"/>
                <w:szCs w:val="13"/>
              </w:rPr>
              <w:t>IAS </w:t>
            </w:r>
            <w:r w:rsidRPr="00167ACA">
              <w:rPr>
                <w:bCs/>
                <w:i/>
                <w:iCs/>
                <w:sz w:val="13"/>
                <w:szCs w:val="13"/>
              </w:rPr>
              <w:t>1.83(</w:t>
            </w:r>
            <w:r>
              <w:rPr>
                <w:bCs/>
                <w:i/>
                <w:iCs/>
                <w:sz w:val="13"/>
                <w:szCs w:val="13"/>
              </w:rPr>
              <w:t>b</w:t>
            </w:r>
            <w:r w:rsidRPr="00167ACA">
              <w:rPr>
                <w:bCs/>
                <w:i/>
                <w:iCs/>
                <w:sz w:val="13"/>
                <w:szCs w:val="13"/>
              </w:rPr>
              <w:t xml:space="preserve">)(i); </w:t>
            </w:r>
            <w:r>
              <w:rPr>
                <w:bCs/>
                <w:i/>
                <w:iCs/>
                <w:sz w:val="13"/>
                <w:szCs w:val="13"/>
              </w:rPr>
              <w:t>IAS </w:t>
            </w:r>
            <w:r w:rsidRPr="00167ACA">
              <w:rPr>
                <w:bCs/>
                <w:i/>
                <w:iCs/>
                <w:sz w:val="13"/>
                <w:szCs w:val="13"/>
              </w:rPr>
              <w:t>27.27</w:t>
            </w:r>
          </w:p>
        </w:tc>
        <w:tc>
          <w:tcPr>
            <w:tcW w:w="2815" w:type="dxa"/>
            <w:gridSpan w:val="2"/>
            <w:tcBorders>
              <w:left w:val="single" w:sz="6" w:space="0" w:color="auto"/>
            </w:tcBorders>
            <w:shd w:val="clear" w:color="auto" w:fill="auto"/>
            <w:vAlign w:val="bottom"/>
          </w:tcPr>
          <w:p w14:paraId="0E64DD19" w14:textId="77777777" w:rsidR="00AF4CE7" w:rsidRPr="002D37D9" w:rsidRDefault="00AF4CE7" w:rsidP="00AF4CE7">
            <w:pPr>
              <w:spacing w:line="200" w:lineRule="exact"/>
              <w:ind w:left="227" w:hanging="170"/>
              <w:rPr>
                <w:sz w:val="18"/>
                <w:szCs w:val="20"/>
              </w:rPr>
            </w:pPr>
            <w:r w:rsidRPr="002D37D9">
              <w:rPr>
                <w:rFonts w:hint="cs"/>
                <w:sz w:val="18"/>
                <w:szCs w:val="20"/>
                <w:rtl/>
              </w:rPr>
              <w:t>זכויות שאינן מקנות שליטה</w:t>
            </w:r>
          </w:p>
        </w:tc>
        <w:tc>
          <w:tcPr>
            <w:tcW w:w="140" w:type="dxa"/>
            <w:shd w:val="clear" w:color="auto" w:fill="auto"/>
            <w:vAlign w:val="bottom"/>
          </w:tcPr>
          <w:p w14:paraId="4E82D15D" w14:textId="77777777" w:rsidR="00AF4CE7" w:rsidRPr="002D37D9" w:rsidRDefault="00AF4CE7" w:rsidP="00AF4CE7">
            <w:pPr>
              <w:spacing w:line="200" w:lineRule="exact"/>
              <w:rPr>
                <w:sz w:val="18"/>
                <w:szCs w:val="20"/>
              </w:rPr>
            </w:pPr>
          </w:p>
        </w:tc>
        <w:tc>
          <w:tcPr>
            <w:tcW w:w="892" w:type="dxa"/>
            <w:tcBorders>
              <w:bottom w:val="single" w:sz="6" w:space="0" w:color="auto"/>
            </w:tcBorders>
            <w:shd w:val="clear" w:color="auto" w:fill="auto"/>
            <w:vAlign w:val="bottom"/>
          </w:tcPr>
          <w:p w14:paraId="0BA6A8FE"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13ADC156" w14:textId="77777777" w:rsidR="00AF4CE7" w:rsidRPr="002D37D9" w:rsidRDefault="00AF4CE7" w:rsidP="00AF4CE7">
            <w:pPr>
              <w:tabs>
                <w:tab w:val="decimal" w:pos="113"/>
              </w:tabs>
              <w:spacing w:line="200" w:lineRule="exact"/>
              <w:rPr>
                <w:sz w:val="18"/>
                <w:szCs w:val="20"/>
              </w:rPr>
            </w:pPr>
          </w:p>
        </w:tc>
        <w:tc>
          <w:tcPr>
            <w:tcW w:w="911" w:type="dxa"/>
            <w:gridSpan w:val="3"/>
            <w:tcBorders>
              <w:bottom w:val="single" w:sz="6" w:space="0" w:color="auto"/>
            </w:tcBorders>
            <w:shd w:val="clear" w:color="auto" w:fill="auto"/>
            <w:vAlign w:val="bottom"/>
          </w:tcPr>
          <w:p w14:paraId="0BDEC867"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7CBAC7D1" w14:textId="77777777" w:rsidR="00AF4CE7" w:rsidRPr="002D37D9" w:rsidRDefault="00AF4CE7" w:rsidP="00AF4CE7">
            <w:pPr>
              <w:tabs>
                <w:tab w:val="decimal" w:pos="113"/>
              </w:tabs>
              <w:spacing w:line="200" w:lineRule="exact"/>
              <w:rPr>
                <w:sz w:val="18"/>
                <w:szCs w:val="20"/>
              </w:rPr>
            </w:pPr>
          </w:p>
        </w:tc>
        <w:tc>
          <w:tcPr>
            <w:tcW w:w="911" w:type="dxa"/>
            <w:gridSpan w:val="2"/>
            <w:tcBorders>
              <w:bottom w:val="single" w:sz="6" w:space="0" w:color="auto"/>
            </w:tcBorders>
            <w:shd w:val="clear" w:color="auto" w:fill="auto"/>
            <w:vAlign w:val="bottom"/>
          </w:tcPr>
          <w:p w14:paraId="2490AA2B"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5CDCF63B" w14:textId="77777777" w:rsidR="00AF4CE7" w:rsidRPr="002D37D9" w:rsidRDefault="00AF4CE7" w:rsidP="00AF4CE7">
            <w:pPr>
              <w:tabs>
                <w:tab w:val="decimal" w:pos="113"/>
              </w:tabs>
              <w:spacing w:line="200" w:lineRule="exact"/>
              <w:rPr>
                <w:sz w:val="18"/>
                <w:szCs w:val="20"/>
              </w:rPr>
            </w:pPr>
          </w:p>
        </w:tc>
        <w:tc>
          <w:tcPr>
            <w:tcW w:w="915" w:type="dxa"/>
            <w:gridSpan w:val="2"/>
            <w:tcBorders>
              <w:bottom w:val="single" w:sz="6" w:space="0" w:color="auto"/>
            </w:tcBorders>
            <w:shd w:val="clear" w:color="auto" w:fill="auto"/>
            <w:vAlign w:val="bottom"/>
          </w:tcPr>
          <w:p w14:paraId="23DF21A2"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421A026B" w14:textId="77777777" w:rsidR="00AF4CE7" w:rsidRPr="002D37D9" w:rsidRDefault="00AF4CE7" w:rsidP="00AF4CE7">
            <w:pPr>
              <w:tabs>
                <w:tab w:val="decimal" w:pos="113"/>
              </w:tabs>
              <w:spacing w:line="200" w:lineRule="exact"/>
              <w:rPr>
                <w:sz w:val="18"/>
                <w:szCs w:val="20"/>
              </w:rPr>
            </w:pPr>
          </w:p>
        </w:tc>
        <w:tc>
          <w:tcPr>
            <w:tcW w:w="1197" w:type="dxa"/>
            <w:tcBorders>
              <w:bottom w:val="single" w:sz="6" w:space="0" w:color="auto"/>
            </w:tcBorders>
            <w:shd w:val="clear" w:color="auto" w:fill="auto"/>
            <w:vAlign w:val="bottom"/>
          </w:tcPr>
          <w:p w14:paraId="7ADB900B" w14:textId="77777777" w:rsidR="00AF4CE7" w:rsidRPr="002D37D9" w:rsidRDefault="00AF4CE7" w:rsidP="00AF4CE7">
            <w:pPr>
              <w:tabs>
                <w:tab w:val="decimal" w:pos="113"/>
              </w:tabs>
              <w:spacing w:line="200" w:lineRule="exact"/>
              <w:rPr>
                <w:sz w:val="18"/>
                <w:szCs w:val="20"/>
                <w:rtl/>
              </w:rPr>
            </w:pPr>
          </w:p>
        </w:tc>
      </w:tr>
      <w:tr w:rsidR="00AF4CE7" w:rsidRPr="002D37D9" w14:paraId="6153FA7E" w14:textId="77777777" w:rsidTr="00AF4CE7">
        <w:tc>
          <w:tcPr>
            <w:tcW w:w="1410" w:type="dxa"/>
            <w:tcBorders>
              <w:top w:val="single" w:sz="6" w:space="0" w:color="auto"/>
            </w:tcBorders>
            <w:vAlign w:val="center"/>
          </w:tcPr>
          <w:p w14:paraId="1C430E54"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538968C2" w14:textId="77777777" w:rsidR="00AF4CE7" w:rsidRPr="002D37D9" w:rsidRDefault="00AF4CE7" w:rsidP="00AF4CE7">
            <w:pPr>
              <w:spacing w:line="200" w:lineRule="exact"/>
              <w:rPr>
                <w:sz w:val="18"/>
                <w:szCs w:val="20"/>
              </w:rPr>
            </w:pPr>
          </w:p>
        </w:tc>
        <w:tc>
          <w:tcPr>
            <w:tcW w:w="140" w:type="dxa"/>
            <w:shd w:val="clear" w:color="auto" w:fill="auto"/>
            <w:vAlign w:val="bottom"/>
          </w:tcPr>
          <w:p w14:paraId="5984B5D0" w14:textId="77777777" w:rsidR="00AF4CE7" w:rsidRPr="002D37D9" w:rsidRDefault="00AF4CE7" w:rsidP="00AF4CE7">
            <w:pPr>
              <w:spacing w:line="200" w:lineRule="exact"/>
              <w:rPr>
                <w:sz w:val="18"/>
                <w:szCs w:val="20"/>
              </w:rPr>
            </w:pPr>
          </w:p>
        </w:tc>
        <w:tc>
          <w:tcPr>
            <w:tcW w:w="892" w:type="dxa"/>
            <w:tcBorders>
              <w:top w:val="single" w:sz="6" w:space="0" w:color="auto"/>
            </w:tcBorders>
            <w:vAlign w:val="bottom"/>
          </w:tcPr>
          <w:p w14:paraId="533FD683"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53153349" w14:textId="77777777" w:rsidR="00AF4CE7" w:rsidRPr="002D37D9" w:rsidRDefault="00AF4CE7" w:rsidP="00AF4CE7">
            <w:pPr>
              <w:tabs>
                <w:tab w:val="decimal" w:pos="113"/>
              </w:tabs>
              <w:spacing w:line="200" w:lineRule="exact"/>
              <w:rPr>
                <w:sz w:val="18"/>
                <w:szCs w:val="20"/>
              </w:rPr>
            </w:pPr>
          </w:p>
        </w:tc>
        <w:tc>
          <w:tcPr>
            <w:tcW w:w="911" w:type="dxa"/>
            <w:gridSpan w:val="3"/>
            <w:tcBorders>
              <w:top w:val="single" w:sz="6" w:space="0" w:color="auto"/>
            </w:tcBorders>
            <w:shd w:val="clear" w:color="auto" w:fill="auto"/>
            <w:vAlign w:val="bottom"/>
          </w:tcPr>
          <w:p w14:paraId="6F5D4D3C"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6968EF34" w14:textId="77777777" w:rsidR="00AF4CE7" w:rsidRPr="002D37D9" w:rsidRDefault="00AF4CE7" w:rsidP="00AF4CE7">
            <w:pPr>
              <w:tabs>
                <w:tab w:val="decimal" w:pos="113"/>
              </w:tabs>
              <w:spacing w:line="200" w:lineRule="exact"/>
              <w:rPr>
                <w:sz w:val="18"/>
                <w:szCs w:val="20"/>
              </w:rPr>
            </w:pPr>
          </w:p>
        </w:tc>
        <w:tc>
          <w:tcPr>
            <w:tcW w:w="911" w:type="dxa"/>
            <w:gridSpan w:val="2"/>
            <w:tcBorders>
              <w:top w:val="single" w:sz="6" w:space="0" w:color="auto"/>
            </w:tcBorders>
            <w:shd w:val="clear" w:color="auto" w:fill="auto"/>
            <w:vAlign w:val="bottom"/>
          </w:tcPr>
          <w:p w14:paraId="79AD9A32"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1401571E" w14:textId="77777777" w:rsidR="00AF4CE7" w:rsidRPr="002D37D9" w:rsidRDefault="00AF4CE7" w:rsidP="00AF4CE7">
            <w:pPr>
              <w:tabs>
                <w:tab w:val="decimal" w:pos="113"/>
              </w:tabs>
              <w:spacing w:line="200" w:lineRule="exact"/>
              <w:rPr>
                <w:sz w:val="18"/>
                <w:szCs w:val="20"/>
              </w:rPr>
            </w:pPr>
          </w:p>
        </w:tc>
        <w:tc>
          <w:tcPr>
            <w:tcW w:w="915" w:type="dxa"/>
            <w:gridSpan w:val="2"/>
            <w:tcBorders>
              <w:top w:val="single" w:sz="6" w:space="0" w:color="auto"/>
            </w:tcBorders>
            <w:shd w:val="clear" w:color="auto" w:fill="auto"/>
            <w:vAlign w:val="bottom"/>
          </w:tcPr>
          <w:p w14:paraId="1277E38E"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1C618745" w14:textId="77777777" w:rsidR="00AF4CE7" w:rsidRPr="002D37D9" w:rsidRDefault="00AF4CE7" w:rsidP="00AF4CE7">
            <w:pPr>
              <w:tabs>
                <w:tab w:val="decimal" w:pos="113"/>
              </w:tabs>
              <w:spacing w:line="200" w:lineRule="exact"/>
              <w:rPr>
                <w:sz w:val="18"/>
                <w:szCs w:val="20"/>
              </w:rPr>
            </w:pPr>
          </w:p>
        </w:tc>
        <w:tc>
          <w:tcPr>
            <w:tcW w:w="1197" w:type="dxa"/>
            <w:tcBorders>
              <w:top w:val="single" w:sz="6" w:space="0" w:color="auto"/>
            </w:tcBorders>
            <w:shd w:val="clear" w:color="auto" w:fill="auto"/>
            <w:vAlign w:val="bottom"/>
          </w:tcPr>
          <w:p w14:paraId="648F1CE2" w14:textId="77777777" w:rsidR="00AF4CE7" w:rsidRPr="002D37D9" w:rsidRDefault="00AF4CE7" w:rsidP="00AF4CE7">
            <w:pPr>
              <w:tabs>
                <w:tab w:val="decimal" w:pos="113"/>
              </w:tabs>
              <w:spacing w:line="200" w:lineRule="exact"/>
              <w:rPr>
                <w:sz w:val="18"/>
                <w:szCs w:val="20"/>
                <w:rtl/>
              </w:rPr>
            </w:pPr>
          </w:p>
        </w:tc>
      </w:tr>
      <w:tr w:rsidR="00AF4CE7" w:rsidRPr="002D37D9" w14:paraId="653075FA" w14:textId="77777777" w:rsidTr="00AF4CE7">
        <w:tc>
          <w:tcPr>
            <w:tcW w:w="1410" w:type="dxa"/>
            <w:vAlign w:val="center"/>
          </w:tcPr>
          <w:p w14:paraId="6DBD9F4B"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1E94F330" w14:textId="77777777" w:rsidR="00AF4CE7" w:rsidRPr="002D37D9" w:rsidRDefault="00AF4CE7" w:rsidP="00AF4CE7">
            <w:pPr>
              <w:spacing w:line="200" w:lineRule="exact"/>
              <w:ind w:left="227" w:hanging="170"/>
              <w:rPr>
                <w:sz w:val="18"/>
                <w:szCs w:val="20"/>
              </w:rPr>
            </w:pPr>
          </w:p>
        </w:tc>
        <w:tc>
          <w:tcPr>
            <w:tcW w:w="140" w:type="dxa"/>
            <w:shd w:val="clear" w:color="auto" w:fill="auto"/>
            <w:vAlign w:val="bottom"/>
          </w:tcPr>
          <w:p w14:paraId="5342447D" w14:textId="77777777" w:rsidR="00AF4CE7" w:rsidRPr="002D37D9" w:rsidRDefault="00AF4CE7" w:rsidP="00AF4CE7">
            <w:pPr>
              <w:spacing w:line="200" w:lineRule="exact"/>
              <w:rPr>
                <w:sz w:val="18"/>
                <w:szCs w:val="20"/>
              </w:rPr>
            </w:pPr>
          </w:p>
        </w:tc>
        <w:tc>
          <w:tcPr>
            <w:tcW w:w="892" w:type="dxa"/>
            <w:tcBorders>
              <w:bottom w:val="double" w:sz="6" w:space="0" w:color="auto"/>
            </w:tcBorders>
            <w:shd w:val="clear" w:color="auto" w:fill="auto"/>
            <w:vAlign w:val="bottom"/>
          </w:tcPr>
          <w:p w14:paraId="304A5743"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2F0275BD" w14:textId="77777777" w:rsidR="00AF4CE7" w:rsidRPr="002D37D9" w:rsidRDefault="00AF4CE7" w:rsidP="00AF4CE7">
            <w:pPr>
              <w:tabs>
                <w:tab w:val="decimal" w:pos="113"/>
              </w:tabs>
              <w:spacing w:line="200" w:lineRule="exact"/>
              <w:rPr>
                <w:sz w:val="18"/>
                <w:szCs w:val="20"/>
              </w:rPr>
            </w:pPr>
          </w:p>
        </w:tc>
        <w:tc>
          <w:tcPr>
            <w:tcW w:w="911" w:type="dxa"/>
            <w:gridSpan w:val="3"/>
            <w:tcBorders>
              <w:bottom w:val="double" w:sz="6" w:space="0" w:color="auto"/>
            </w:tcBorders>
            <w:shd w:val="clear" w:color="auto" w:fill="auto"/>
            <w:vAlign w:val="bottom"/>
          </w:tcPr>
          <w:p w14:paraId="0C6BA9AE"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19593FC5" w14:textId="77777777" w:rsidR="00AF4CE7" w:rsidRPr="002D37D9" w:rsidRDefault="00AF4CE7" w:rsidP="00AF4CE7">
            <w:pPr>
              <w:tabs>
                <w:tab w:val="decimal" w:pos="113"/>
              </w:tabs>
              <w:spacing w:line="200" w:lineRule="exact"/>
              <w:rPr>
                <w:sz w:val="18"/>
                <w:szCs w:val="20"/>
              </w:rPr>
            </w:pPr>
          </w:p>
        </w:tc>
        <w:tc>
          <w:tcPr>
            <w:tcW w:w="911" w:type="dxa"/>
            <w:gridSpan w:val="2"/>
            <w:tcBorders>
              <w:bottom w:val="double" w:sz="6" w:space="0" w:color="auto"/>
            </w:tcBorders>
            <w:shd w:val="clear" w:color="auto" w:fill="auto"/>
            <w:vAlign w:val="bottom"/>
          </w:tcPr>
          <w:p w14:paraId="0FF02DF4"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0C1FA4C3" w14:textId="77777777" w:rsidR="00AF4CE7" w:rsidRPr="002D37D9" w:rsidRDefault="00AF4CE7" w:rsidP="00AF4CE7">
            <w:pPr>
              <w:tabs>
                <w:tab w:val="decimal" w:pos="113"/>
              </w:tabs>
              <w:spacing w:line="200" w:lineRule="exact"/>
              <w:rPr>
                <w:sz w:val="18"/>
                <w:szCs w:val="20"/>
              </w:rPr>
            </w:pPr>
          </w:p>
        </w:tc>
        <w:tc>
          <w:tcPr>
            <w:tcW w:w="915" w:type="dxa"/>
            <w:gridSpan w:val="2"/>
            <w:tcBorders>
              <w:bottom w:val="double" w:sz="6" w:space="0" w:color="auto"/>
            </w:tcBorders>
            <w:shd w:val="clear" w:color="auto" w:fill="auto"/>
            <w:vAlign w:val="bottom"/>
          </w:tcPr>
          <w:p w14:paraId="35008C61"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1164046" w14:textId="77777777" w:rsidR="00AF4CE7" w:rsidRPr="002D37D9" w:rsidRDefault="00AF4CE7" w:rsidP="00AF4CE7">
            <w:pPr>
              <w:tabs>
                <w:tab w:val="decimal" w:pos="113"/>
              </w:tabs>
              <w:spacing w:line="200" w:lineRule="exact"/>
              <w:rPr>
                <w:sz w:val="18"/>
                <w:szCs w:val="20"/>
              </w:rPr>
            </w:pPr>
          </w:p>
        </w:tc>
        <w:tc>
          <w:tcPr>
            <w:tcW w:w="1197" w:type="dxa"/>
            <w:tcBorders>
              <w:bottom w:val="double" w:sz="6" w:space="0" w:color="auto"/>
            </w:tcBorders>
            <w:shd w:val="clear" w:color="auto" w:fill="auto"/>
            <w:vAlign w:val="bottom"/>
          </w:tcPr>
          <w:p w14:paraId="7DACB1DD" w14:textId="77777777" w:rsidR="00AF4CE7" w:rsidRPr="002D37D9" w:rsidRDefault="00AF4CE7" w:rsidP="00AF4CE7">
            <w:pPr>
              <w:tabs>
                <w:tab w:val="decimal" w:pos="113"/>
              </w:tabs>
              <w:spacing w:line="200" w:lineRule="exact"/>
              <w:rPr>
                <w:sz w:val="18"/>
                <w:szCs w:val="20"/>
                <w:rtl/>
              </w:rPr>
            </w:pPr>
          </w:p>
        </w:tc>
      </w:tr>
      <w:tr w:rsidR="00AF4CE7" w:rsidRPr="002D37D9" w14:paraId="66DB22F8" w14:textId="77777777" w:rsidTr="00AF4CE7">
        <w:tc>
          <w:tcPr>
            <w:tcW w:w="1410" w:type="dxa"/>
            <w:vAlign w:val="center"/>
          </w:tcPr>
          <w:p w14:paraId="0F2ADA0E" w14:textId="77777777" w:rsidR="00AF4CE7" w:rsidRPr="00621421" w:rsidRDefault="00AF4CE7" w:rsidP="00AF4CE7">
            <w:pPr>
              <w:bidi w:val="0"/>
              <w:spacing w:line="200" w:lineRule="exact"/>
              <w:ind w:right="57"/>
              <w:jc w:val="right"/>
              <w:rPr>
                <w:b/>
                <w:bCs/>
                <w:i/>
                <w:iCs/>
                <w:sz w:val="13"/>
                <w:szCs w:val="13"/>
                <w:rtl/>
              </w:rPr>
            </w:pPr>
          </w:p>
        </w:tc>
        <w:tc>
          <w:tcPr>
            <w:tcW w:w="2815" w:type="dxa"/>
            <w:gridSpan w:val="2"/>
            <w:shd w:val="clear" w:color="auto" w:fill="auto"/>
            <w:vAlign w:val="bottom"/>
          </w:tcPr>
          <w:p w14:paraId="79FC0394" w14:textId="77777777" w:rsidR="00AF4CE7" w:rsidRPr="002D37D9" w:rsidRDefault="00AF4CE7" w:rsidP="00AF4CE7">
            <w:pPr>
              <w:spacing w:line="200" w:lineRule="exact"/>
              <w:ind w:left="227" w:hanging="170"/>
              <w:jc w:val="left"/>
              <w:rPr>
                <w:b/>
                <w:bCs/>
                <w:sz w:val="18"/>
                <w:szCs w:val="20"/>
                <w:u w:val="single"/>
                <w:rtl/>
              </w:rPr>
            </w:pPr>
          </w:p>
        </w:tc>
        <w:tc>
          <w:tcPr>
            <w:tcW w:w="140" w:type="dxa"/>
            <w:shd w:val="clear" w:color="auto" w:fill="auto"/>
            <w:vAlign w:val="bottom"/>
          </w:tcPr>
          <w:p w14:paraId="54224352" w14:textId="77777777" w:rsidR="00AF4CE7" w:rsidRPr="002D37D9" w:rsidRDefault="00AF4CE7" w:rsidP="00AF4CE7">
            <w:pPr>
              <w:spacing w:line="200" w:lineRule="exact"/>
              <w:rPr>
                <w:sz w:val="18"/>
                <w:szCs w:val="20"/>
              </w:rPr>
            </w:pPr>
          </w:p>
        </w:tc>
        <w:tc>
          <w:tcPr>
            <w:tcW w:w="892" w:type="dxa"/>
            <w:tcBorders>
              <w:top w:val="double" w:sz="6" w:space="0" w:color="auto"/>
            </w:tcBorders>
            <w:vAlign w:val="bottom"/>
          </w:tcPr>
          <w:p w14:paraId="417D72B0"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04A591DF" w14:textId="77777777" w:rsidR="00AF4CE7" w:rsidRPr="002D37D9" w:rsidRDefault="00AF4CE7" w:rsidP="00AF4CE7">
            <w:pPr>
              <w:tabs>
                <w:tab w:val="decimal" w:pos="113"/>
              </w:tabs>
              <w:spacing w:line="200" w:lineRule="exact"/>
              <w:rPr>
                <w:sz w:val="18"/>
                <w:szCs w:val="20"/>
              </w:rPr>
            </w:pPr>
          </w:p>
        </w:tc>
        <w:tc>
          <w:tcPr>
            <w:tcW w:w="911" w:type="dxa"/>
            <w:gridSpan w:val="3"/>
            <w:tcBorders>
              <w:top w:val="double" w:sz="6" w:space="0" w:color="auto"/>
            </w:tcBorders>
            <w:shd w:val="clear" w:color="auto" w:fill="auto"/>
            <w:vAlign w:val="bottom"/>
          </w:tcPr>
          <w:p w14:paraId="5ED9D9DF"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66883340" w14:textId="77777777" w:rsidR="00AF4CE7" w:rsidRPr="002D37D9" w:rsidRDefault="00AF4CE7" w:rsidP="00AF4CE7">
            <w:pPr>
              <w:tabs>
                <w:tab w:val="decimal" w:pos="113"/>
              </w:tabs>
              <w:spacing w:line="200" w:lineRule="exact"/>
              <w:rPr>
                <w:sz w:val="18"/>
                <w:szCs w:val="20"/>
              </w:rPr>
            </w:pPr>
          </w:p>
        </w:tc>
        <w:tc>
          <w:tcPr>
            <w:tcW w:w="911" w:type="dxa"/>
            <w:gridSpan w:val="2"/>
            <w:tcBorders>
              <w:top w:val="double" w:sz="6" w:space="0" w:color="auto"/>
            </w:tcBorders>
            <w:shd w:val="clear" w:color="auto" w:fill="auto"/>
            <w:vAlign w:val="bottom"/>
          </w:tcPr>
          <w:p w14:paraId="12230607"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4AB03F9" w14:textId="77777777" w:rsidR="00AF4CE7" w:rsidRPr="002D37D9" w:rsidRDefault="00AF4CE7" w:rsidP="00AF4CE7">
            <w:pPr>
              <w:tabs>
                <w:tab w:val="decimal" w:pos="113"/>
              </w:tabs>
              <w:spacing w:line="200" w:lineRule="exact"/>
              <w:rPr>
                <w:sz w:val="18"/>
                <w:szCs w:val="20"/>
              </w:rPr>
            </w:pPr>
          </w:p>
        </w:tc>
        <w:tc>
          <w:tcPr>
            <w:tcW w:w="915" w:type="dxa"/>
            <w:gridSpan w:val="2"/>
            <w:tcBorders>
              <w:top w:val="double" w:sz="6" w:space="0" w:color="auto"/>
            </w:tcBorders>
            <w:shd w:val="clear" w:color="auto" w:fill="auto"/>
            <w:vAlign w:val="bottom"/>
          </w:tcPr>
          <w:p w14:paraId="0FC44199"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71551C3" w14:textId="77777777" w:rsidR="00AF4CE7" w:rsidRPr="002D37D9" w:rsidRDefault="00AF4CE7" w:rsidP="00AF4CE7">
            <w:pPr>
              <w:tabs>
                <w:tab w:val="decimal" w:pos="113"/>
              </w:tabs>
              <w:spacing w:line="200" w:lineRule="exact"/>
              <w:rPr>
                <w:sz w:val="18"/>
                <w:szCs w:val="20"/>
              </w:rPr>
            </w:pPr>
          </w:p>
        </w:tc>
        <w:tc>
          <w:tcPr>
            <w:tcW w:w="1197" w:type="dxa"/>
            <w:tcBorders>
              <w:top w:val="double" w:sz="6" w:space="0" w:color="auto"/>
            </w:tcBorders>
            <w:shd w:val="clear" w:color="auto" w:fill="auto"/>
            <w:vAlign w:val="bottom"/>
          </w:tcPr>
          <w:p w14:paraId="07EE951D" w14:textId="77777777" w:rsidR="00AF4CE7" w:rsidRPr="002D37D9" w:rsidRDefault="00AF4CE7" w:rsidP="00AF4CE7">
            <w:pPr>
              <w:tabs>
                <w:tab w:val="decimal" w:pos="113"/>
              </w:tabs>
              <w:spacing w:line="200" w:lineRule="exact"/>
              <w:rPr>
                <w:sz w:val="18"/>
                <w:szCs w:val="20"/>
                <w:rtl/>
              </w:rPr>
            </w:pPr>
          </w:p>
        </w:tc>
      </w:tr>
      <w:tr w:rsidR="00AF4CE7" w:rsidRPr="002D37D9" w14:paraId="068D06C6" w14:textId="77777777" w:rsidTr="00AF4CE7">
        <w:tc>
          <w:tcPr>
            <w:tcW w:w="1410" w:type="dxa"/>
            <w:tcBorders>
              <w:bottom w:val="single" w:sz="6" w:space="0" w:color="auto"/>
              <w:right w:val="single" w:sz="6" w:space="0" w:color="auto"/>
            </w:tcBorders>
            <w:vAlign w:val="center"/>
          </w:tcPr>
          <w:p w14:paraId="7FD96F16" w14:textId="77777777" w:rsidR="00AF4CE7" w:rsidRPr="00167ACA" w:rsidRDefault="00AF4CE7" w:rsidP="00AF4CE7">
            <w:pPr>
              <w:bidi w:val="0"/>
              <w:spacing w:line="200" w:lineRule="exact"/>
              <w:ind w:right="57"/>
              <w:jc w:val="right"/>
              <w:rPr>
                <w:i/>
                <w:iCs/>
                <w:sz w:val="13"/>
                <w:szCs w:val="13"/>
              </w:rPr>
            </w:pPr>
            <w:r>
              <w:rPr>
                <w:i/>
                <w:iCs/>
                <w:sz w:val="13"/>
                <w:szCs w:val="13"/>
              </w:rPr>
              <w:t>IAS </w:t>
            </w:r>
            <w:r w:rsidRPr="00167ACA">
              <w:rPr>
                <w:i/>
                <w:iCs/>
                <w:sz w:val="13"/>
                <w:szCs w:val="13"/>
              </w:rPr>
              <w:t>33.66,</w:t>
            </w:r>
            <w:r>
              <w:rPr>
                <w:i/>
                <w:iCs/>
                <w:sz w:val="13"/>
                <w:szCs w:val="13"/>
              </w:rPr>
              <w:t xml:space="preserve"> </w:t>
            </w:r>
            <w:r w:rsidRPr="00167ACA">
              <w:rPr>
                <w:i/>
                <w:iCs/>
                <w:sz w:val="13"/>
                <w:szCs w:val="13"/>
              </w:rPr>
              <w:t xml:space="preserve">68; </w:t>
            </w:r>
            <w:r>
              <w:rPr>
                <w:i/>
                <w:iCs/>
                <w:sz w:val="13"/>
                <w:szCs w:val="13"/>
              </w:rPr>
              <w:t>IAS </w:t>
            </w:r>
            <w:r w:rsidRPr="00167ACA">
              <w:rPr>
                <w:i/>
                <w:iCs/>
                <w:sz w:val="13"/>
                <w:szCs w:val="13"/>
              </w:rPr>
              <w:t>34.11</w:t>
            </w:r>
          </w:p>
        </w:tc>
        <w:tc>
          <w:tcPr>
            <w:tcW w:w="2815" w:type="dxa"/>
            <w:gridSpan w:val="2"/>
            <w:tcBorders>
              <w:left w:val="single" w:sz="6" w:space="0" w:color="auto"/>
            </w:tcBorders>
            <w:shd w:val="clear" w:color="auto" w:fill="auto"/>
            <w:vAlign w:val="bottom"/>
          </w:tcPr>
          <w:p w14:paraId="5387ADE1" w14:textId="77777777" w:rsidR="00AF4CE7" w:rsidRPr="002D37D9" w:rsidRDefault="00AF4CE7" w:rsidP="00AF4CE7">
            <w:pPr>
              <w:spacing w:line="200" w:lineRule="exact"/>
              <w:ind w:left="227" w:hanging="170"/>
              <w:jc w:val="left"/>
              <w:rPr>
                <w:sz w:val="18"/>
                <w:szCs w:val="20"/>
                <w:u w:val="single"/>
              </w:rPr>
            </w:pPr>
            <w:r w:rsidRPr="002D37D9">
              <w:rPr>
                <w:rFonts w:hint="cs"/>
                <w:b/>
                <w:bCs/>
                <w:sz w:val="18"/>
                <w:szCs w:val="20"/>
                <w:u w:val="single"/>
                <w:rtl/>
              </w:rPr>
              <w:t>רווח נקי (הפסד) למניה המיוחס לבעלי מניות החברה (בש"ח)</w:t>
            </w:r>
            <w:r w:rsidRPr="002D37D9">
              <w:rPr>
                <w:rStyle w:val="ab"/>
                <w:sz w:val="18"/>
                <w:szCs w:val="20"/>
                <w:u w:val="single"/>
              </w:rPr>
              <w:footnoteReference w:id="29"/>
            </w:r>
          </w:p>
        </w:tc>
        <w:tc>
          <w:tcPr>
            <w:tcW w:w="140" w:type="dxa"/>
            <w:shd w:val="clear" w:color="auto" w:fill="auto"/>
            <w:vAlign w:val="bottom"/>
          </w:tcPr>
          <w:p w14:paraId="17267991" w14:textId="77777777" w:rsidR="00AF4CE7" w:rsidRPr="002D37D9" w:rsidRDefault="00AF4CE7" w:rsidP="00AF4CE7">
            <w:pPr>
              <w:spacing w:line="200" w:lineRule="exact"/>
              <w:rPr>
                <w:sz w:val="18"/>
                <w:szCs w:val="20"/>
              </w:rPr>
            </w:pPr>
          </w:p>
        </w:tc>
        <w:tc>
          <w:tcPr>
            <w:tcW w:w="892" w:type="dxa"/>
            <w:vAlign w:val="bottom"/>
          </w:tcPr>
          <w:p w14:paraId="3A126793"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6F1C3935"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28CB990C"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25BB1F54"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16AD9550"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1C45CF98"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3D39B02B"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69283311"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463BFE06" w14:textId="77777777" w:rsidR="00AF4CE7" w:rsidRPr="002D37D9" w:rsidRDefault="00AF4CE7" w:rsidP="00AF4CE7">
            <w:pPr>
              <w:tabs>
                <w:tab w:val="decimal" w:pos="113"/>
              </w:tabs>
              <w:spacing w:line="200" w:lineRule="exact"/>
              <w:rPr>
                <w:sz w:val="18"/>
                <w:szCs w:val="20"/>
                <w:rtl/>
              </w:rPr>
            </w:pPr>
          </w:p>
        </w:tc>
      </w:tr>
      <w:tr w:rsidR="00AF4CE7" w:rsidRPr="002D37D9" w14:paraId="021A3A41" w14:textId="77777777" w:rsidTr="00AF4CE7">
        <w:tc>
          <w:tcPr>
            <w:tcW w:w="1410" w:type="dxa"/>
            <w:tcBorders>
              <w:top w:val="single" w:sz="6" w:space="0" w:color="auto"/>
            </w:tcBorders>
            <w:vAlign w:val="center"/>
          </w:tcPr>
          <w:p w14:paraId="6B497E31"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7D7B1AB4" w14:textId="77777777" w:rsidR="00AF4CE7" w:rsidRPr="002D37D9" w:rsidRDefault="00AF4CE7" w:rsidP="00AF4CE7">
            <w:pPr>
              <w:pStyle w:val="a3"/>
              <w:spacing w:line="200" w:lineRule="exact"/>
              <w:ind w:left="0"/>
              <w:rPr>
                <w:sz w:val="18"/>
                <w:szCs w:val="20"/>
              </w:rPr>
            </w:pPr>
          </w:p>
        </w:tc>
        <w:tc>
          <w:tcPr>
            <w:tcW w:w="140" w:type="dxa"/>
            <w:shd w:val="clear" w:color="auto" w:fill="auto"/>
            <w:vAlign w:val="bottom"/>
          </w:tcPr>
          <w:p w14:paraId="76BC63CC" w14:textId="77777777" w:rsidR="00AF4CE7" w:rsidRPr="002D37D9" w:rsidRDefault="00AF4CE7" w:rsidP="00AF4CE7">
            <w:pPr>
              <w:spacing w:line="200" w:lineRule="exact"/>
              <w:rPr>
                <w:sz w:val="18"/>
                <w:szCs w:val="20"/>
              </w:rPr>
            </w:pPr>
          </w:p>
        </w:tc>
        <w:tc>
          <w:tcPr>
            <w:tcW w:w="892" w:type="dxa"/>
            <w:vAlign w:val="bottom"/>
          </w:tcPr>
          <w:p w14:paraId="344D856B"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1D041A89"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417ACA3E"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1EAD8983"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02812A08"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3036144D"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25B5ABF0"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4591D820"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071D1779" w14:textId="77777777" w:rsidR="00AF4CE7" w:rsidRPr="002D37D9" w:rsidRDefault="00AF4CE7" w:rsidP="00AF4CE7">
            <w:pPr>
              <w:tabs>
                <w:tab w:val="decimal" w:pos="113"/>
              </w:tabs>
              <w:spacing w:line="200" w:lineRule="exact"/>
              <w:rPr>
                <w:sz w:val="18"/>
                <w:szCs w:val="20"/>
                <w:rtl/>
              </w:rPr>
            </w:pPr>
          </w:p>
        </w:tc>
      </w:tr>
      <w:tr w:rsidR="00AF4CE7" w:rsidRPr="002D37D9" w14:paraId="2E678CF2" w14:textId="77777777" w:rsidTr="00AF4CE7">
        <w:tc>
          <w:tcPr>
            <w:tcW w:w="1410" w:type="dxa"/>
            <w:vAlign w:val="center"/>
          </w:tcPr>
          <w:p w14:paraId="4339730E" w14:textId="77777777" w:rsidR="00AF4CE7" w:rsidRPr="00621421" w:rsidRDefault="00AF4CE7" w:rsidP="00AF4CE7">
            <w:pPr>
              <w:bidi w:val="0"/>
              <w:spacing w:line="200" w:lineRule="exact"/>
              <w:ind w:right="57"/>
              <w:jc w:val="right"/>
              <w:rPr>
                <w:b/>
                <w:bCs/>
                <w:i/>
                <w:iCs/>
                <w:sz w:val="13"/>
                <w:szCs w:val="13"/>
                <w:rtl/>
              </w:rPr>
            </w:pPr>
          </w:p>
        </w:tc>
        <w:tc>
          <w:tcPr>
            <w:tcW w:w="2815" w:type="dxa"/>
            <w:gridSpan w:val="2"/>
            <w:shd w:val="clear" w:color="auto" w:fill="auto"/>
            <w:vAlign w:val="bottom"/>
          </w:tcPr>
          <w:p w14:paraId="0DFFB6B5" w14:textId="77777777" w:rsidR="00AF4CE7" w:rsidRPr="002D37D9" w:rsidRDefault="00AF4CE7" w:rsidP="00AF4CE7">
            <w:pPr>
              <w:spacing w:line="200" w:lineRule="exact"/>
              <w:ind w:left="227" w:hanging="170"/>
              <w:rPr>
                <w:b/>
                <w:bCs/>
                <w:sz w:val="18"/>
                <w:szCs w:val="20"/>
              </w:rPr>
            </w:pPr>
            <w:r w:rsidRPr="002D37D9">
              <w:rPr>
                <w:rFonts w:hint="cs"/>
                <w:b/>
                <w:bCs/>
                <w:sz w:val="18"/>
                <w:szCs w:val="20"/>
                <w:rtl/>
              </w:rPr>
              <w:t>רווח נקי (הפסד) בסיסי</w:t>
            </w:r>
          </w:p>
        </w:tc>
        <w:tc>
          <w:tcPr>
            <w:tcW w:w="140" w:type="dxa"/>
            <w:shd w:val="clear" w:color="auto" w:fill="auto"/>
            <w:vAlign w:val="bottom"/>
          </w:tcPr>
          <w:p w14:paraId="26110756" w14:textId="77777777" w:rsidR="00AF4CE7" w:rsidRPr="002D37D9" w:rsidRDefault="00AF4CE7" w:rsidP="00AF4CE7">
            <w:pPr>
              <w:spacing w:line="200" w:lineRule="exact"/>
              <w:rPr>
                <w:sz w:val="18"/>
                <w:szCs w:val="20"/>
              </w:rPr>
            </w:pPr>
          </w:p>
        </w:tc>
        <w:tc>
          <w:tcPr>
            <w:tcW w:w="892" w:type="dxa"/>
            <w:vAlign w:val="bottom"/>
          </w:tcPr>
          <w:p w14:paraId="76532FF4"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706388F1"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35897592"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75702ACB"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6B2695E5"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2515E9D"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46A78095"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22FC9BEA"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4FF613EF" w14:textId="77777777" w:rsidR="00AF4CE7" w:rsidRPr="002D37D9" w:rsidRDefault="00AF4CE7" w:rsidP="00AF4CE7">
            <w:pPr>
              <w:tabs>
                <w:tab w:val="decimal" w:pos="113"/>
              </w:tabs>
              <w:spacing w:line="200" w:lineRule="exact"/>
              <w:rPr>
                <w:sz w:val="18"/>
                <w:szCs w:val="20"/>
                <w:rtl/>
              </w:rPr>
            </w:pPr>
          </w:p>
        </w:tc>
      </w:tr>
      <w:tr w:rsidR="00AF4CE7" w:rsidRPr="002D37D9" w14:paraId="0990A919" w14:textId="77777777" w:rsidTr="00AF4CE7">
        <w:tc>
          <w:tcPr>
            <w:tcW w:w="1410" w:type="dxa"/>
            <w:vAlign w:val="center"/>
          </w:tcPr>
          <w:p w14:paraId="5596E094" w14:textId="77777777" w:rsidR="00AF4CE7" w:rsidRPr="00621421" w:rsidRDefault="00AF4CE7" w:rsidP="00AF4CE7">
            <w:pPr>
              <w:bidi w:val="0"/>
              <w:spacing w:line="200" w:lineRule="exact"/>
              <w:ind w:right="57"/>
              <w:jc w:val="right"/>
              <w:rPr>
                <w:i/>
                <w:iCs/>
                <w:sz w:val="13"/>
                <w:szCs w:val="13"/>
                <w:rtl/>
              </w:rPr>
            </w:pPr>
          </w:p>
        </w:tc>
        <w:tc>
          <w:tcPr>
            <w:tcW w:w="2815" w:type="dxa"/>
            <w:gridSpan w:val="2"/>
            <w:shd w:val="clear" w:color="auto" w:fill="auto"/>
            <w:vAlign w:val="bottom"/>
          </w:tcPr>
          <w:p w14:paraId="18325E3E" w14:textId="77777777" w:rsidR="00AF4CE7" w:rsidRPr="002D37D9" w:rsidRDefault="00AF4CE7" w:rsidP="00AF4CE7">
            <w:pPr>
              <w:widowControl/>
              <w:spacing w:line="200" w:lineRule="exact"/>
              <w:rPr>
                <w:sz w:val="18"/>
                <w:szCs w:val="20"/>
                <w:rtl/>
              </w:rPr>
            </w:pPr>
          </w:p>
        </w:tc>
        <w:tc>
          <w:tcPr>
            <w:tcW w:w="140" w:type="dxa"/>
            <w:shd w:val="clear" w:color="auto" w:fill="auto"/>
            <w:vAlign w:val="bottom"/>
          </w:tcPr>
          <w:p w14:paraId="5F562725" w14:textId="77777777" w:rsidR="00AF4CE7" w:rsidRPr="002D37D9" w:rsidRDefault="00AF4CE7" w:rsidP="00AF4CE7">
            <w:pPr>
              <w:spacing w:line="200" w:lineRule="exact"/>
              <w:rPr>
                <w:sz w:val="18"/>
                <w:szCs w:val="20"/>
              </w:rPr>
            </w:pPr>
          </w:p>
        </w:tc>
        <w:tc>
          <w:tcPr>
            <w:tcW w:w="892" w:type="dxa"/>
            <w:vAlign w:val="bottom"/>
          </w:tcPr>
          <w:p w14:paraId="0728A03E"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3C983048"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3581181E"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34870832"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3B524313"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5DE412BB"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11AF802E"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14D51BF0"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4E9D74A4" w14:textId="77777777" w:rsidR="00AF4CE7" w:rsidRPr="002D37D9" w:rsidRDefault="00AF4CE7" w:rsidP="00AF4CE7">
            <w:pPr>
              <w:tabs>
                <w:tab w:val="decimal" w:pos="113"/>
              </w:tabs>
              <w:spacing w:line="200" w:lineRule="exact"/>
              <w:rPr>
                <w:sz w:val="18"/>
                <w:szCs w:val="20"/>
                <w:rtl/>
              </w:rPr>
            </w:pPr>
          </w:p>
        </w:tc>
      </w:tr>
      <w:tr w:rsidR="00AF4CE7" w:rsidRPr="002D37D9" w14:paraId="3B26125A" w14:textId="77777777" w:rsidTr="00AF4CE7">
        <w:tc>
          <w:tcPr>
            <w:tcW w:w="1410" w:type="dxa"/>
            <w:tcBorders>
              <w:bottom w:val="single" w:sz="6" w:space="0" w:color="auto"/>
              <w:right w:val="single" w:sz="6" w:space="0" w:color="auto"/>
            </w:tcBorders>
            <w:vAlign w:val="center"/>
          </w:tcPr>
          <w:p w14:paraId="0DB3DEAE" w14:textId="77777777" w:rsidR="00AF4CE7" w:rsidRPr="00621421" w:rsidRDefault="00AF4CE7" w:rsidP="00AF4CE7">
            <w:pPr>
              <w:bidi w:val="0"/>
              <w:spacing w:line="200" w:lineRule="exact"/>
              <w:ind w:right="57"/>
              <w:jc w:val="right"/>
              <w:rPr>
                <w:i/>
                <w:iCs/>
                <w:sz w:val="13"/>
                <w:szCs w:val="13"/>
                <w:rtl/>
              </w:rPr>
            </w:pPr>
            <w:r>
              <w:rPr>
                <w:i/>
                <w:iCs/>
                <w:sz w:val="13"/>
                <w:szCs w:val="13"/>
              </w:rPr>
              <w:t>IAS 33.66</w:t>
            </w:r>
          </w:p>
        </w:tc>
        <w:tc>
          <w:tcPr>
            <w:tcW w:w="2815" w:type="dxa"/>
            <w:gridSpan w:val="2"/>
            <w:tcBorders>
              <w:left w:val="single" w:sz="6" w:space="0" w:color="auto"/>
            </w:tcBorders>
            <w:shd w:val="clear" w:color="auto" w:fill="auto"/>
            <w:vAlign w:val="bottom"/>
          </w:tcPr>
          <w:p w14:paraId="48726E56" w14:textId="77777777" w:rsidR="00AF4CE7" w:rsidRPr="002D37D9" w:rsidRDefault="00AF4CE7" w:rsidP="00AF4CE7">
            <w:pPr>
              <w:spacing w:line="200" w:lineRule="exact"/>
              <w:ind w:left="227" w:hanging="170"/>
              <w:rPr>
                <w:sz w:val="18"/>
                <w:szCs w:val="20"/>
              </w:rPr>
            </w:pPr>
            <w:r w:rsidRPr="002D37D9">
              <w:rPr>
                <w:rFonts w:hint="cs"/>
                <w:sz w:val="18"/>
                <w:szCs w:val="20"/>
                <w:rtl/>
              </w:rPr>
              <w:t>רווח (הפסד) מפעילויות נמשכות</w:t>
            </w:r>
          </w:p>
        </w:tc>
        <w:tc>
          <w:tcPr>
            <w:tcW w:w="140" w:type="dxa"/>
            <w:shd w:val="clear" w:color="auto" w:fill="auto"/>
            <w:vAlign w:val="bottom"/>
          </w:tcPr>
          <w:p w14:paraId="68FFAAC3" w14:textId="77777777" w:rsidR="00AF4CE7" w:rsidRPr="002D37D9" w:rsidRDefault="00AF4CE7" w:rsidP="00AF4CE7">
            <w:pPr>
              <w:spacing w:line="200" w:lineRule="exact"/>
              <w:rPr>
                <w:sz w:val="18"/>
                <w:szCs w:val="20"/>
              </w:rPr>
            </w:pPr>
          </w:p>
        </w:tc>
        <w:tc>
          <w:tcPr>
            <w:tcW w:w="892" w:type="dxa"/>
            <w:vAlign w:val="bottom"/>
          </w:tcPr>
          <w:p w14:paraId="3346ECA8"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42F1BF80"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4F4C5C81"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3F8593E2"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028728D6"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16364428"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3AE15EAB"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2F99013"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6B190D74" w14:textId="77777777" w:rsidR="00AF4CE7" w:rsidRPr="002D37D9" w:rsidRDefault="00AF4CE7" w:rsidP="00AF4CE7">
            <w:pPr>
              <w:tabs>
                <w:tab w:val="decimal" w:pos="113"/>
              </w:tabs>
              <w:spacing w:line="200" w:lineRule="exact"/>
              <w:rPr>
                <w:sz w:val="18"/>
                <w:szCs w:val="20"/>
                <w:rtl/>
              </w:rPr>
            </w:pPr>
          </w:p>
        </w:tc>
      </w:tr>
      <w:tr w:rsidR="00AF4CE7" w:rsidRPr="002D37D9" w14:paraId="7A810CBD" w14:textId="77777777" w:rsidTr="00AF4CE7">
        <w:tc>
          <w:tcPr>
            <w:tcW w:w="1410" w:type="dxa"/>
            <w:tcBorders>
              <w:top w:val="single" w:sz="6" w:space="0" w:color="auto"/>
              <w:bottom w:val="single" w:sz="6" w:space="0" w:color="auto"/>
              <w:right w:val="single" w:sz="6" w:space="0" w:color="auto"/>
            </w:tcBorders>
            <w:vAlign w:val="center"/>
          </w:tcPr>
          <w:p w14:paraId="3E9AE03C" w14:textId="77777777" w:rsidR="00AF4CE7" w:rsidRPr="00621421" w:rsidRDefault="00AF4CE7" w:rsidP="00AF4CE7">
            <w:pPr>
              <w:bidi w:val="0"/>
              <w:spacing w:line="200" w:lineRule="exact"/>
              <w:ind w:right="57"/>
              <w:jc w:val="right"/>
              <w:rPr>
                <w:i/>
                <w:iCs/>
                <w:sz w:val="13"/>
                <w:szCs w:val="13"/>
              </w:rPr>
            </w:pPr>
            <w:r>
              <w:rPr>
                <w:i/>
                <w:iCs/>
                <w:sz w:val="13"/>
                <w:szCs w:val="13"/>
              </w:rPr>
              <w:t>IAS 33.68</w:t>
            </w:r>
          </w:p>
        </w:tc>
        <w:tc>
          <w:tcPr>
            <w:tcW w:w="2815" w:type="dxa"/>
            <w:gridSpan w:val="2"/>
            <w:tcBorders>
              <w:left w:val="single" w:sz="6" w:space="0" w:color="auto"/>
            </w:tcBorders>
            <w:shd w:val="clear" w:color="auto" w:fill="auto"/>
            <w:vAlign w:val="bottom"/>
          </w:tcPr>
          <w:p w14:paraId="569939F5" w14:textId="77777777" w:rsidR="00AF4CE7" w:rsidRPr="002D37D9" w:rsidRDefault="00AF4CE7" w:rsidP="00AF4CE7">
            <w:pPr>
              <w:spacing w:line="200" w:lineRule="exact"/>
              <w:ind w:left="227" w:hanging="170"/>
              <w:rPr>
                <w:sz w:val="18"/>
                <w:szCs w:val="20"/>
              </w:rPr>
            </w:pPr>
            <w:r w:rsidRPr="002D37D9">
              <w:rPr>
                <w:rFonts w:hint="cs"/>
                <w:sz w:val="18"/>
                <w:szCs w:val="20"/>
                <w:rtl/>
              </w:rPr>
              <w:t>רווח (הפסד) מפעילויות שהופסקו</w:t>
            </w:r>
          </w:p>
        </w:tc>
        <w:tc>
          <w:tcPr>
            <w:tcW w:w="140" w:type="dxa"/>
            <w:shd w:val="clear" w:color="auto" w:fill="auto"/>
            <w:vAlign w:val="bottom"/>
          </w:tcPr>
          <w:p w14:paraId="4F5155E1" w14:textId="77777777" w:rsidR="00AF4CE7" w:rsidRPr="002D37D9" w:rsidRDefault="00AF4CE7" w:rsidP="00AF4CE7">
            <w:pPr>
              <w:spacing w:line="200" w:lineRule="exact"/>
              <w:rPr>
                <w:sz w:val="18"/>
                <w:szCs w:val="20"/>
              </w:rPr>
            </w:pPr>
          </w:p>
        </w:tc>
        <w:tc>
          <w:tcPr>
            <w:tcW w:w="892" w:type="dxa"/>
            <w:tcBorders>
              <w:bottom w:val="single" w:sz="6" w:space="0" w:color="auto"/>
            </w:tcBorders>
            <w:shd w:val="clear" w:color="auto" w:fill="auto"/>
            <w:vAlign w:val="bottom"/>
          </w:tcPr>
          <w:p w14:paraId="7E586576"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20396012" w14:textId="77777777" w:rsidR="00AF4CE7" w:rsidRPr="002D37D9" w:rsidRDefault="00AF4CE7" w:rsidP="00AF4CE7">
            <w:pPr>
              <w:tabs>
                <w:tab w:val="decimal" w:pos="113"/>
              </w:tabs>
              <w:spacing w:line="200" w:lineRule="exact"/>
              <w:rPr>
                <w:sz w:val="18"/>
                <w:szCs w:val="20"/>
              </w:rPr>
            </w:pPr>
          </w:p>
        </w:tc>
        <w:tc>
          <w:tcPr>
            <w:tcW w:w="911" w:type="dxa"/>
            <w:gridSpan w:val="3"/>
            <w:tcBorders>
              <w:bottom w:val="single" w:sz="6" w:space="0" w:color="auto"/>
            </w:tcBorders>
            <w:shd w:val="clear" w:color="auto" w:fill="auto"/>
            <w:vAlign w:val="bottom"/>
          </w:tcPr>
          <w:p w14:paraId="54276449"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063F24E2" w14:textId="77777777" w:rsidR="00AF4CE7" w:rsidRPr="002D37D9" w:rsidRDefault="00AF4CE7" w:rsidP="00AF4CE7">
            <w:pPr>
              <w:tabs>
                <w:tab w:val="decimal" w:pos="113"/>
              </w:tabs>
              <w:spacing w:line="200" w:lineRule="exact"/>
              <w:rPr>
                <w:sz w:val="18"/>
                <w:szCs w:val="20"/>
              </w:rPr>
            </w:pPr>
          </w:p>
        </w:tc>
        <w:tc>
          <w:tcPr>
            <w:tcW w:w="911" w:type="dxa"/>
            <w:gridSpan w:val="2"/>
            <w:tcBorders>
              <w:bottom w:val="single" w:sz="6" w:space="0" w:color="auto"/>
            </w:tcBorders>
            <w:shd w:val="clear" w:color="auto" w:fill="auto"/>
            <w:vAlign w:val="bottom"/>
          </w:tcPr>
          <w:p w14:paraId="3F7695D8"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35F4B99" w14:textId="77777777" w:rsidR="00AF4CE7" w:rsidRPr="002D37D9" w:rsidRDefault="00AF4CE7" w:rsidP="00AF4CE7">
            <w:pPr>
              <w:tabs>
                <w:tab w:val="decimal" w:pos="113"/>
              </w:tabs>
              <w:spacing w:line="200" w:lineRule="exact"/>
              <w:rPr>
                <w:sz w:val="18"/>
                <w:szCs w:val="20"/>
              </w:rPr>
            </w:pPr>
          </w:p>
        </w:tc>
        <w:tc>
          <w:tcPr>
            <w:tcW w:w="915" w:type="dxa"/>
            <w:gridSpan w:val="2"/>
            <w:tcBorders>
              <w:bottom w:val="single" w:sz="6" w:space="0" w:color="auto"/>
            </w:tcBorders>
            <w:shd w:val="clear" w:color="auto" w:fill="auto"/>
            <w:vAlign w:val="bottom"/>
          </w:tcPr>
          <w:p w14:paraId="39E3F50A"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93C4CE8" w14:textId="77777777" w:rsidR="00AF4CE7" w:rsidRPr="002D37D9" w:rsidRDefault="00AF4CE7" w:rsidP="00AF4CE7">
            <w:pPr>
              <w:tabs>
                <w:tab w:val="decimal" w:pos="113"/>
              </w:tabs>
              <w:spacing w:line="200" w:lineRule="exact"/>
              <w:rPr>
                <w:sz w:val="18"/>
                <w:szCs w:val="20"/>
              </w:rPr>
            </w:pPr>
          </w:p>
        </w:tc>
        <w:tc>
          <w:tcPr>
            <w:tcW w:w="1197" w:type="dxa"/>
            <w:tcBorders>
              <w:bottom w:val="single" w:sz="6" w:space="0" w:color="auto"/>
            </w:tcBorders>
            <w:shd w:val="clear" w:color="auto" w:fill="auto"/>
            <w:vAlign w:val="bottom"/>
          </w:tcPr>
          <w:p w14:paraId="195F5D0A" w14:textId="77777777" w:rsidR="00AF4CE7" w:rsidRPr="002D37D9" w:rsidRDefault="00AF4CE7" w:rsidP="00AF4CE7">
            <w:pPr>
              <w:tabs>
                <w:tab w:val="decimal" w:pos="113"/>
              </w:tabs>
              <w:spacing w:line="200" w:lineRule="exact"/>
              <w:rPr>
                <w:sz w:val="18"/>
                <w:szCs w:val="20"/>
                <w:rtl/>
              </w:rPr>
            </w:pPr>
          </w:p>
        </w:tc>
      </w:tr>
      <w:tr w:rsidR="00AF4CE7" w:rsidRPr="002D37D9" w14:paraId="17FFDC13" w14:textId="77777777" w:rsidTr="00AF4CE7">
        <w:tc>
          <w:tcPr>
            <w:tcW w:w="1410" w:type="dxa"/>
            <w:tcBorders>
              <w:top w:val="single" w:sz="6" w:space="0" w:color="auto"/>
            </w:tcBorders>
            <w:vAlign w:val="center"/>
          </w:tcPr>
          <w:p w14:paraId="43D2B322"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052EFE97" w14:textId="77777777" w:rsidR="00AF4CE7" w:rsidRPr="002D37D9" w:rsidRDefault="00AF4CE7" w:rsidP="00AF4CE7">
            <w:pPr>
              <w:pStyle w:val="a3"/>
              <w:spacing w:line="200" w:lineRule="exact"/>
              <w:ind w:left="0"/>
              <w:rPr>
                <w:sz w:val="18"/>
                <w:szCs w:val="20"/>
              </w:rPr>
            </w:pPr>
          </w:p>
        </w:tc>
        <w:tc>
          <w:tcPr>
            <w:tcW w:w="140" w:type="dxa"/>
            <w:shd w:val="clear" w:color="auto" w:fill="auto"/>
            <w:vAlign w:val="bottom"/>
          </w:tcPr>
          <w:p w14:paraId="76E99528" w14:textId="77777777" w:rsidR="00AF4CE7" w:rsidRPr="002D37D9" w:rsidRDefault="00AF4CE7" w:rsidP="00AF4CE7">
            <w:pPr>
              <w:spacing w:line="200" w:lineRule="exact"/>
              <w:rPr>
                <w:sz w:val="18"/>
                <w:szCs w:val="20"/>
              </w:rPr>
            </w:pPr>
          </w:p>
        </w:tc>
        <w:tc>
          <w:tcPr>
            <w:tcW w:w="892" w:type="dxa"/>
            <w:tcBorders>
              <w:top w:val="single" w:sz="6" w:space="0" w:color="auto"/>
            </w:tcBorders>
            <w:vAlign w:val="bottom"/>
          </w:tcPr>
          <w:p w14:paraId="7A0C2979"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3F9FF03B" w14:textId="77777777" w:rsidR="00AF4CE7" w:rsidRPr="002D37D9" w:rsidRDefault="00AF4CE7" w:rsidP="00AF4CE7">
            <w:pPr>
              <w:tabs>
                <w:tab w:val="decimal" w:pos="113"/>
              </w:tabs>
              <w:spacing w:line="200" w:lineRule="exact"/>
              <w:rPr>
                <w:sz w:val="18"/>
                <w:szCs w:val="20"/>
              </w:rPr>
            </w:pPr>
          </w:p>
        </w:tc>
        <w:tc>
          <w:tcPr>
            <w:tcW w:w="911" w:type="dxa"/>
            <w:gridSpan w:val="3"/>
            <w:tcBorders>
              <w:top w:val="single" w:sz="6" w:space="0" w:color="auto"/>
            </w:tcBorders>
            <w:shd w:val="clear" w:color="auto" w:fill="auto"/>
            <w:vAlign w:val="bottom"/>
          </w:tcPr>
          <w:p w14:paraId="75CFE936"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4432BE65" w14:textId="77777777" w:rsidR="00AF4CE7" w:rsidRPr="002D37D9" w:rsidRDefault="00AF4CE7" w:rsidP="00AF4CE7">
            <w:pPr>
              <w:tabs>
                <w:tab w:val="decimal" w:pos="113"/>
              </w:tabs>
              <w:spacing w:line="200" w:lineRule="exact"/>
              <w:rPr>
                <w:sz w:val="18"/>
                <w:szCs w:val="20"/>
              </w:rPr>
            </w:pPr>
          </w:p>
        </w:tc>
        <w:tc>
          <w:tcPr>
            <w:tcW w:w="911" w:type="dxa"/>
            <w:gridSpan w:val="2"/>
            <w:tcBorders>
              <w:top w:val="single" w:sz="6" w:space="0" w:color="auto"/>
            </w:tcBorders>
            <w:shd w:val="clear" w:color="auto" w:fill="auto"/>
            <w:vAlign w:val="bottom"/>
          </w:tcPr>
          <w:p w14:paraId="69BEF33E"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5D868776" w14:textId="77777777" w:rsidR="00AF4CE7" w:rsidRPr="002D37D9" w:rsidRDefault="00AF4CE7" w:rsidP="00AF4CE7">
            <w:pPr>
              <w:tabs>
                <w:tab w:val="decimal" w:pos="113"/>
              </w:tabs>
              <w:spacing w:line="200" w:lineRule="exact"/>
              <w:rPr>
                <w:sz w:val="18"/>
                <w:szCs w:val="20"/>
              </w:rPr>
            </w:pPr>
          </w:p>
        </w:tc>
        <w:tc>
          <w:tcPr>
            <w:tcW w:w="915" w:type="dxa"/>
            <w:gridSpan w:val="2"/>
            <w:tcBorders>
              <w:top w:val="single" w:sz="6" w:space="0" w:color="auto"/>
            </w:tcBorders>
            <w:shd w:val="clear" w:color="auto" w:fill="auto"/>
            <w:vAlign w:val="bottom"/>
          </w:tcPr>
          <w:p w14:paraId="0D078FF7"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62A9EE4" w14:textId="77777777" w:rsidR="00AF4CE7" w:rsidRPr="002D37D9" w:rsidRDefault="00AF4CE7" w:rsidP="00AF4CE7">
            <w:pPr>
              <w:tabs>
                <w:tab w:val="decimal" w:pos="113"/>
              </w:tabs>
              <w:spacing w:line="200" w:lineRule="exact"/>
              <w:rPr>
                <w:sz w:val="18"/>
                <w:szCs w:val="20"/>
              </w:rPr>
            </w:pPr>
          </w:p>
        </w:tc>
        <w:tc>
          <w:tcPr>
            <w:tcW w:w="1197" w:type="dxa"/>
            <w:tcBorders>
              <w:top w:val="single" w:sz="6" w:space="0" w:color="auto"/>
            </w:tcBorders>
            <w:shd w:val="clear" w:color="auto" w:fill="auto"/>
            <w:vAlign w:val="bottom"/>
          </w:tcPr>
          <w:p w14:paraId="5C1E7874" w14:textId="77777777" w:rsidR="00AF4CE7" w:rsidRPr="002D37D9" w:rsidRDefault="00AF4CE7" w:rsidP="00AF4CE7">
            <w:pPr>
              <w:tabs>
                <w:tab w:val="decimal" w:pos="113"/>
              </w:tabs>
              <w:spacing w:line="200" w:lineRule="exact"/>
              <w:rPr>
                <w:sz w:val="18"/>
                <w:szCs w:val="20"/>
                <w:rtl/>
              </w:rPr>
            </w:pPr>
          </w:p>
        </w:tc>
      </w:tr>
      <w:tr w:rsidR="00AF4CE7" w:rsidRPr="002D37D9" w14:paraId="285C23FF" w14:textId="77777777" w:rsidTr="00AF4CE7">
        <w:tc>
          <w:tcPr>
            <w:tcW w:w="1410" w:type="dxa"/>
            <w:tcBorders>
              <w:bottom w:val="single" w:sz="6" w:space="0" w:color="auto"/>
              <w:right w:val="single" w:sz="6" w:space="0" w:color="auto"/>
            </w:tcBorders>
            <w:vAlign w:val="center"/>
          </w:tcPr>
          <w:p w14:paraId="4DAA87E3" w14:textId="77777777" w:rsidR="00AF4CE7" w:rsidRPr="00621421" w:rsidRDefault="00AF4CE7" w:rsidP="00AF4CE7">
            <w:pPr>
              <w:bidi w:val="0"/>
              <w:spacing w:line="200" w:lineRule="exact"/>
              <w:ind w:right="57"/>
              <w:jc w:val="right"/>
              <w:rPr>
                <w:i/>
                <w:iCs/>
                <w:sz w:val="13"/>
                <w:szCs w:val="13"/>
                <w:rtl/>
              </w:rPr>
            </w:pPr>
            <w:r>
              <w:rPr>
                <w:i/>
                <w:iCs/>
                <w:sz w:val="13"/>
                <w:szCs w:val="13"/>
              </w:rPr>
              <w:t>IAS 33.66</w:t>
            </w:r>
          </w:p>
        </w:tc>
        <w:tc>
          <w:tcPr>
            <w:tcW w:w="2815" w:type="dxa"/>
            <w:gridSpan w:val="2"/>
            <w:tcBorders>
              <w:left w:val="single" w:sz="6" w:space="0" w:color="auto"/>
            </w:tcBorders>
            <w:shd w:val="clear" w:color="auto" w:fill="auto"/>
            <w:vAlign w:val="bottom"/>
          </w:tcPr>
          <w:p w14:paraId="222BF824" w14:textId="77777777" w:rsidR="00AF4CE7" w:rsidRPr="002D37D9" w:rsidRDefault="00AF4CE7" w:rsidP="00AF4CE7">
            <w:pPr>
              <w:spacing w:line="200" w:lineRule="exact"/>
              <w:ind w:left="227" w:hanging="170"/>
              <w:rPr>
                <w:sz w:val="18"/>
                <w:szCs w:val="20"/>
              </w:rPr>
            </w:pPr>
            <w:r w:rsidRPr="002D37D9">
              <w:rPr>
                <w:rFonts w:hint="cs"/>
                <w:sz w:val="18"/>
                <w:szCs w:val="20"/>
                <w:rtl/>
              </w:rPr>
              <w:t>רווח נקי (הפסד)</w:t>
            </w:r>
          </w:p>
        </w:tc>
        <w:tc>
          <w:tcPr>
            <w:tcW w:w="140" w:type="dxa"/>
            <w:shd w:val="clear" w:color="auto" w:fill="auto"/>
            <w:vAlign w:val="bottom"/>
          </w:tcPr>
          <w:p w14:paraId="0BDB4D68" w14:textId="77777777" w:rsidR="00AF4CE7" w:rsidRPr="002D37D9" w:rsidRDefault="00AF4CE7" w:rsidP="00AF4CE7">
            <w:pPr>
              <w:spacing w:line="200" w:lineRule="exact"/>
              <w:rPr>
                <w:sz w:val="18"/>
                <w:szCs w:val="20"/>
              </w:rPr>
            </w:pPr>
          </w:p>
        </w:tc>
        <w:tc>
          <w:tcPr>
            <w:tcW w:w="892" w:type="dxa"/>
            <w:tcBorders>
              <w:bottom w:val="double" w:sz="6" w:space="0" w:color="auto"/>
            </w:tcBorders>
            <w:shd w:val="clear" w:color="auto" w:fill="auto"/>
            <w:vAlign w:val="bottom"/>
          </w:tcPr>
          <w:p w14:paraId="77353777"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4F9DC245" w14:textId="77777777" w:rsidR="00AF4CE7" w:rsidRPr="002D37D9" w:rsidRDefault="00AF4CE7" w:rsidP="00AF4CE7">
            <w:pPr>
              <w:tabs>
                <w:tab w:val="decimal" w:pos="113"/>
              </w:tabs>
              <w:spacing w:line="200" w:lineRule="exact"/>
              <w:rPr>
                <w:sz w:val="18"/>
                <w:szCs w:val="20"/>
              </w:rPr>
            </w:pPr>
          </w:p>
        </w:tc>
        <w:tc>
          <w:tcPr>
            <w:tcW w:w="911" w:type="dxa"/>
            <w:gridSpan w:val="3"/>
            <w:tcBorders>
              <w:bottom w:val="double" w:sz="6" w:space="0" w:color="auto"/>
            </w:tcBorders>
            <w:shd w:val="clear" w:color="auto" w:fill="auto"/>
            <w:vAlign w:val="bottom"/>
          </w:tcPr>
          <w:p w14:paraId="7232BC96"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1F79B96F" w14:textId="77777777" w:rsidR="00AF4CE7" w:rsidRPr="002D37D9" w:rsidRDefault="00AF4CE7" w:rsidP="00AF4CE7">
            <w:pPr>
              <w:tabs>
                <w:tab w:val="decimal" w:pos="113"/>
              </w:tabs>
              <w:spacing w:line="200" w:lineRule="exact"/>
              <w:rPr>
                <w:sz w:val="18"/>
                <w:szCs w:val="20"/>
              </w:rPr>
            </w:pPr>
          </w:p>
        </w:tc>
        <w:tc>
          <w:tcPr>
            <w:tcW w:w="911" w:type="dxa"/>
            <w:gridSpan w:val="2"/>
            <w:tcBorders>
              <w:bottom w:val="double" w:sz="6" w:space="0" w:color="auto"/>
            </w:tcBorders>
            <w:shd w:val="clear" w:color="auto" w:fill="auto"/>
            <w:vAlign w:val="bottom"/>
          </w:tcPr>
          <w:p w14:paraId="1BCBA361"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E4781B9" w14:textId="77777777" w:rsidR="00AF4CE7" w:rsidRPr="002D37D9" w:rsidRDefault="00AF4CE7" w:rsidP="00AF4CE7">
            <w:pPr>
              <w:tabs>
                <w:tab w:val="decimal" w:pos="113"/>
              </w:tabs>
              <w:spacing w:line="200" w:lineRule="exact"/>
              <w:rPr>
                <w:sz w:val="18"/>
                <w:szCs w:val="20"/>
              </w:rPr>
            </w:pPr>
          </w:p>
        </w:tc>
        <w:tc>
          <w:tcPr>
            <w:tcW w:w="915" w:type="dxa"/>
            <w:gridSpan w:val="2"/>
            <w:tcBorders>
              <w:bottom w:val="double" w:sz="6" w:space="0" w:color="auto"/>
            </w:tcBorders>
            <w:shd w:val="clear" w:color="auto" w:fill="auto"/>
            <w:vAlign w:val="bottom"/>
          </w:tcPr>
          <w:p w14:paraId="48488CF8"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2254DC30" w14:textId="77777777" w:rsidR="00AF4CE7" w:rsidRPr="002D37D9" w:rsidRDefault="00AF4CE7" w:rsidP="00AF4CE7">
            <w:pPr>
              <w:tabs>
                <w:tab w:val="decimal" w:pos="113"/>
              </w:tabs>
              <w:spacing w:line="200" w:lineRule="exact"/>
              <w:rPr>
                <w:sz w:val="18"/>
                <w:szCs w:val="20"/>
              </w:rPr>
            </w:pPr>
          </w:p>
        </w:tc>
        <w:tc>
          <w:tcPr>
            <w:tcW w:w="1197" w:type="dxa"/>
            <w:tcBorders>
              <w:bottom w:val="double" w:sz="6" w:space="0" w:color="auto"/>
            </w:tcBorders>
            <w:shd w:val="clear" w:color="auto" w:fill="auto"/>
            <w:vAlign w:val="bottom"/>
          </w:tcPr>
          <w:p w14:paraId="2C8FEBF7" w14:textId="77777777" w:rsidR="00AF4CE7" w:rsidRPr="002D37D9" w:rsidRDefault="00AF4CE7" w:rsidP="00AF4CE7">
            <w:pPr>
              <w:tabs>
                <w:tab w:val="decimal" w:pos="113"/>
              </w:tabs>
              <w:spacing w:line="200" w:lineRule="exact"/>
              <w:rPr>
                <w:sz w:val="18"/>
                <w:szCs w:val="20"/>
                <w:rtl/>
              </w:rPr>
            </w:pPr>
          </w:p>
        </w:tc>
      </w:tr>
      <w:tr w:rsidR="00AF4CE7" w:rsidRPr="002D37D9" w14:paraId="4ECCBD5E" w14:textId="77777777" w:rsidTr="00AF4CE7">
        <w:tc>
          <w:tcPr>
            <w:tcW w:w="1410" w:type="dxa"/>
            <w:tcBorders>
              <w:top w:val="single" w:sz="6" w:space="0" w:color="auto"/>
            </w:tcBorders>
            <w:vAlign w:val="center"/>
          </w:tcPr>
          <w:p w14:paraId="71DDA921"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5FAE395E" w14:textId="77777777" w:rsidR="00AF4CE7" w:rsidRPr="002D37D9" w:rsidRDefault="00AF4CE7" w:rsidP="00AF4CE7">
            <w:pPr>
              <w:spacing w:line="200" w:lineRule="exact"/>
              <w:jc w:val="right"/>
              <w:rPr>
                <w:sz w:val="18"/>
                <w:szCs w:val="20"/>
              </w:rPr>
            </w:pPr>
          </w:p>
        </w:tc>
        <w:tc>
          <w:tcPr>
            <w:tcW w:w="140" w:type="dxa"/>
            <w:shd w:val="clear" w:color="auto" w:fill="auto"/>
            <w:vAlign w:val="bottom"/>
          </w:tcPr>
          <w:p w14:paraId="39DBB805" w14:textId="77777777" w:rsidR="00AF4CE7" w:rsidRPr="002D37D9" w:rsidRDefault="00AF4CE7" w:rsidP="00AF4CE7">
            <w:pPr>
              <w:spacing w:line="200" w:lineRule="exact"/>
              <w:rPr>
                <w:sz w:val="18"/>
                <w:szCs w:val="20"/>
              </w:rPr>
            </w:pPr>
          </w:p>
        </w:tc>
        <w:tc>
          <w:tcPr>
            <w:tcW w:w="892" w:type="dxa"/>
            <w:tcBorders>
              <w:top w:val="double" w:sz="6" w:space="0" w:color="auto"/>
            </w:tcBorders>
            <w:vAlign w:val="bottom"/>
          </w:tcPr>
          <w:p w14:paraId="3D2F6EBC"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5FB7F0BF" w14:textId="77777777" w:rsidR="00AF4CE7" w:rsidRPr="002D37D9" w:rsidRDefault="00AF4CE7" w:rsidP="00AF4CE7">
            <w:pPr>
              <w:tabs>
                <w:tab w:val="decimal" w:pos="113"/>
              </w:tabs>
              <w:spacing w:line="200" w:lineRule="exact"/>
              <w:rPr>
                <w:sz w:val="18"/>
                <w:szCs w:val="20"/>
              </w:rPr>
            </w:pPr>
          </w:p>
        </w:tc>
        <w:tc>
          <w:tcPr>
            <w:tcW w:w="911" w:type="dxa"/>
            <w:gridSpan w:val="3"/>
            <w:tcBorders>
              <w:top w:val="double" w:sz="6" w:space="0" w:color="auto"/>
            </w:tcBorders>
            <w:shd w:val="clear" w:color="auto" w:fill="auto"/>
            <w:vAlign w:val="bottom"/>
          </w:tcPr>
          <w:p w14:paraId="2E9BB00C"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25BD7BFA" w14:textId="77777777" w:rsidR="00AF4CE7" w:rsidRPr="002D37D9" w:rsidRDefault="00AF4CE7" w:rsidP="00AF4CE7">
            <w:pPr>
              <w:tabs>
                <w:tab w:val="decimal" w:pos="113"/>
              </w:tabs>
              <w:spacing w:line="200" w:lineRule="exact"/>
              <w:rPr>
                <w:sz w:val="18"/>
                <w:szCs w:val="20"/>
              </w:rPr>
            </w:pPr>
          </w:p>
        </w:tc>
        <w:tc>
          <w:tcPr>
            <w:tcW w:w="911" w:type="dxa"/>
            <w:gridSpan w:val="2"/>
            <w:tcBorders>
              <w:top w:val="double" w:sz="6" w:space="0" w:color="auto"/>
            </w:tcBorders>
            <w:shd w:val="clear" w:color="auto" w:fill="auto"/>
            <w:vAlign w:val="bottom"/>
          </w:tcPr>
          <w:p w14:paraId="7149E176"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3A5B5C2F" w14:textId="77777777" w:rsidR="00AF4CE7" w:rsidRPr="002D37D9" w:rsidRDefault="00AF4CE7" w:rsidP="00AF4CE7">
            <w:pPr>
              <w:tabs>
                <w:tab w:val="decimal" w:pos="113"/>
              </w:tabs>
              <w:spacing w:line="200" w:lineRule="exact"/>
              <w:rPr>
                <w:sz w:val="18"/>
                <w:szCs w:val="20"/>
              </w:rPr>
            </w:pPr>
          </w:p>
        </w:tc>
        <w:tc>
          <w:tcPr>
            <w:tcW w:w="915" w:type="dxa"/>
            <w:gridSpan w:val="2"/>
            <w:tcBorders>
              <w:top w:val="double" w:sz="6" w:space="0" w:color="auto"/>
            </w:tcBorders>
            <w:shd w:val="clear" w:color="auto" w:fill="auto"/>
            <w:vAlign w:val="bottom"/>
          </w:tcPr>
          <w:p w14:paraId="5DEC5BB4"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4F86E00E" w14:textId="77777777" w:rsidR="00AF4CE7" w:rsidRPr="002D37D9" w:rsidRDefault="00AF4CE7" w:rsidP="00AF4CE7">
            <w:pPr>
              <w:tabs>
                <w:tab w:val="decimal" w:pos="113"/>
              </w:tabs>
              <w:spacing w:line="200" w:lineRule="exact"/>
              <w:rPr>
                <w:sz w:val="18"/>
                <w:szCs w:val="20"/>
              </w:rPr>
            </w:pPr>
          </w:p>
        </w:tc>
        <w:tc>
          <w:tcPr>
            <w:tcW w:w="1197" w:type="dxa"/>
            <w:tcBorders>
              <w:top w:val="double" w:sz="6" w:space="0" w:color="auto"/>
            </w:tcBorders>
            <w:shd w:val="clear" w:color="auto" w:fill="auto"/>
            <w:vAlign w:val="bottom"/>
          </w:tcPr>
          <w:p w14:paraId="044E66DC" w14:textId="77777777" w:rsidR="00AF4CE7" w:rsidRPr="002D37D9" w:rsidRDefault="00AF4CE7" w:rsidP="00AF4CE7">
            <w:pPr>
              <w:tabs>
                <w:tab w:val="decimal" w:pos="113"/>
              </w:tabs>
              <w:spacing w:line="200" w:lineRule="exact"/>
              <w:rPr>
                <w:sz w:val="18"/>
                <w:szCs w:val="20"/>
                <w:rtl/>
              </w:rPr>
            </w:pPr>
          </w:p>
        </w:tc>
      </w:tr>
      <w:tr w:rsidR="00AF4CE7" w:rsidRPr="002D37D9" w14:paraId="762D003D" w14:textId="77777777" w:rsidTr="00AF4CE7">
        <w:tc>
          <w:tcPr>
            <w:tcW w:w="1410" w:type="dxa"/>
            <w:vAlign w:val="center"/>
          </w:tcPr>
          <w:p w14:paraId="1F89A8E0" w14:textId="77777777" w:rsidR="00AF4CE7" w:rsidRPr="00621421" w:rsidRDefault="00AF4CE7" w:rsidP="00AF4CE7">
            <w:pPr>
              <w:bidi w:val="0"/>
              <w:spacing w:line="200" w:lineRule="exact"/>
              <w:ind w:right="57"/>
              <w:jc w:val="right"/>
              <w:rPr>
                <w:b/>
                <w:bCs/>
                <w:i/>
                <w:iCs/>
                <w:sz w:val="13"/>
                <w:szCs w:val="13"/>
                <w:rtl/>
              </w:rPr>
            </w:pPr>
          </w:p>
        </w:tc>
        <w:tc>
          <w:tcPr>
            <w:tcW w:w="2815" w:type="dxa"/>
            <w:gridSpan w:val="2"/>
            <w:shd w:val="clear" w:color="auto" w:fill="auto"/>
            <w:vAlign w:val="bottom"/>
          </w:tcPr>
          <w:p w14:paraId="7F205829" w14:textId="77777777" w:rsidR="00AF4CE7" w:rsidRPr="002D37D9" w:rsidRDefault="00AF4CE7" w:rsidP="00AF4CE7">
            <w:pPr>
              <w:spacing w:line="200" w:lineRule="exact"/>
              <w:ind w:left="227" w:hanging="170"/>
              <w:rPr>
                <w:b/>
                <w:bCs/>
                <w:sz w:val="18"/>
                <w:szCs w:val="20"/>
              </w:rPr>
            </w:pPr>
            <w:r w:rsidRPr="002D37D9">
              <w:rPr>
                <w:rFonts w:hint="cs"/>
                <w:b/>
                <w:bCs/>
                <w:sz w:val="18"/>
                <w:szCs w:val="20"/>
                <w:rtl/>
              </w:rPr>
              <w:t>רווח נקי (הפסד) מדולל</w:t>
            </w:r>
          </w:p>
        </w:tc>
        <w:tc>
          <w:tcPr>
            <w:tcW w:w="140" w:type="dxa"/>
            <w:shd w:val="clear" w:color="auto" w:fill="auto"/>
            <w:vAlign w:val="bottom"/>
          </w:tcPr>
          <w:p w14:paraId="16E32557" w14:textId="77777777" w:rsidR="00AF4CE7" w:rsidRPr="002D37D9" w:rsidRDefault="00AF4CE7" w:rsidP="00AF4CE7">
            <w:pPr>
              <w:spacing w:line="200" w:lineRule="exact"/>
              <w:rPr>
                <w:sz w:val="18"/>
                <w:szCs w:val="20"/>
              </w:rPr>
            </w:pPr>
          </w:p>
        </w:tc>
        <w:tc>
          <w:tcPr>
            <w:tcW w:w="892" w:type="dxa"/>
            <w:vAlign w:val="bottom"/>
          </w:tcPr>
          <w:p w14:paraId="231C4B9B"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0F8D3A5A"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38043549"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147CF9E7"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198BD83B"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24F30396"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19DD5528"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5B1893D4"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58EC23FA" w14:textId="77777777" w:rsidR="00AF4CE7" w:rsidRPr="002D37D9" w:rsidRDefault="00AF4CE7" w:rsidP="00AF4CE7">
            <w:pPr>
              <w:tabs>
                <w:tab w:val="decimal" w:pos="113"/>
              </w:tabs>
              <w:spacing w:line="200" w:lineRule="exact"/>
              <w:rPr>
                <w:sz w:val="18"/>
                <w:szCs w:val="20"/>
                <w:rtl/>
              </w:rPr>
            </w:pPr>
          </w:p>
        </w:tc>
      </w:tr>
      <w:tr w:rsidR="00AF4CE7" w:rsidRPr="002D37D9" w14:paraId="0B84C44E" w14:textId="77777777" w:rsidTr="00AF4CE7">
        <w:tc>
          <w:tcPr>
            <w:tcW w:w="1410" w:type="dxa"/>
            <w:vAlign w:val="center"/>
          </w:tcPr>
          <w:p w14:paraId="376F1CDF" w14:textId="77777777" w:rsidR="00AF4CE7" w:rsidRPr="00621421" w:rsidRDefault="00AF4CE7" w:rsidP="00AF4CE7">
            <w:pPr>
              <w:bidi w:val="0"/>
              <w:spacing w:line="200" w:lineRule="exact"/>
              <w:ind w:right="57"/>
              <w:jc w:val="right"/>
              <w:rPr>
                <w:i/>
                <w:iCs/>
                <w:sz w:val="13"/>
                <w:szCs w:val="13"/>
                <w:rtl/>
              </w:rPr>
            </w:pPr>
          </w:p>
        </w:tc>
        <w:tc>
          <w:tcPr>
            <w:tcW w:w="2815" w:type="dxa"/>
            <w:gridSpan w:val="2"/>
            <w:shd w:val="clear" w:color="auto" w:fill="auto"/>
            <w:vAlign w:val="bottom"/>
          </w:tcPr>
          <w:p w14:paraId="3CB36277" w14:textId="77777777" w:rsidR="00AF4CE7" w:rsidRPr="002D37D9" w:rsidRDefault="00AF4CE7" w:rsidP="00AF4CE7">
            <w:pPr>
              <w:widowControl/>
              <w:spacing w:line="200" w:lineRule="exact"/>
              <w:rPr>
                <w:sz w:val="18"/>
                <w:szCs w:val="20"/>
                <w:rtl/>
              </w:rPr>
            </w:pPr>
          </w:p>
        </w:tc>
        <w:tc>
          <w:tcPr>
            <w:tcW w:w="140" w:type="dxa"/>
            <w:shd w:val="clear" w:color="auto" w:fill="auto"/>
            <w:vAlign w:val="bottom"/>
          </w:tcPr>
          <w:p w14:paraId="48D545B3" w14:textId="77777777" w:rsidR="00AF4CE7" w:rsidRPr="002D37D9" w:rsidRDefault="00AF4CE7" w:rsidP="00AF4CE7">
            <w:pPr>
              <w:spacing w:line="200" w:lineRule="exact"/>
              <w:rPr>
                <w:sz w:val="18"/>
                <w:szCs w:val="20"/>
              </w:rPr>
            </w:pPr>
          </w:p>
        </w:tc>
        <w:tc>
          <w:tcPr>
            <w:tcW w:w="892" w:type="dxa"/>
            <w:vAlign w:val="bottom"/>
          </w:tcPr>
          <w:p w14:paraId="38DFAF08"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784A98EC"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60D99FD3"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17D558DE"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6EBEEFBF"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2E006DF2"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6186A49E"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05663B16"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3DF56DDE" w14:textId="77777777" w:rsidR="00AF4CE7" w:rsidRPr="002D37D9" w:rsidRDefault="00AF4CE7" w:rsidP="00AF4CE7">
            <w:pPr>
              <w:tabs>
                <w:tab w:val="decimal" w:pos="113"/>
              </w:tabs>
              <w:spacing w:line="200" w:lineRule="exact"/>
              <w:rPr>
                <w:sz w:val="18"/>
                <w:szCs w:val="20"/>
                <w:rtl/>
              </w:rPr>
            </w:pPr>
          </w:p>
        </w:tc>
      </w:tr>
      <w:tr w:rsidR="00AF4CE7" w:rsidRPr="002D37D9" w14:paraId="4F668207" w14:textId="77777777" w:rsidTr="00AF4CE7">
        <w:tc>
          <w:tcPr>
            <w:tcW w:w="1410" w:type="dxa"/>
            <w:tcBorders>
              <w:bottom w:val="single" w:sz="6" w:space="0" w:color="auto"/>
              <w:right w:val="single" w:sz="6" w:space="0" w:color="auto"/>
            </w:tcBorders>
            <w:vAlign w:val="center"/>
          </w:tcPr>
          <w:p w14:paraId="7F6B91F7" w14:textId="77777777" w:rsidR="00AF4CE7" w:rsidRPr="00621421" w:rsidRDefault="00AF4CE7" w:rsidP="00AF4CE7">
            <w:pPr>
              <w:bidi w:val="0"/>
              <w:spacing w:line="200" w:lineRule="exact"/>
              <w:ind w:right="57"/>
              <w:jc w:val="right"/>
              <w:rPr>
                <w:i/>
                <w:iCs/>
                <w:sz w:val="13"/>
                <w:szCs w:val="13"/>
              </w:rPr>
            </w:pPr>
            <w:r>
              <w:rPr>
                <w:i/>
                <w:iCs/>
                <w:sz w:val="13"/>
                <w:szCs w:val="13"/>
              </w:rPr>
              <w:t>IAS 33.66</w:t>
            </w:r>
          </w:p>
        </w:tc>
        <w:tc>
          <w:tcPr>
            <w:tcW w:w="2815" w:type="dxa"/>
            <w:gridSpan w:val="2"/>
            <w:tcBorders>
              <w:left w:val="single" w:sz="6" w:space="0" w:color="auto"/>
            </w:tcBorders>
            <w:shd w:val="clear" w:color="auto" w:fill="auto"/>
            <w:vAlign w:val="bottom"/>
          </w:tcPr>
          <w:p w14:paraId="5CCBA252" w14:textId="77777777" w:rsidR="00AF4CE7" w:rsidRPr="002D37D9" w:rsidRDefault="00AF4CE7" w:rsidP="00AF4CE7">
            <w:pPr>
              <w:spacing w:line="200" w:lineRule="exact"/>
              <w:ind w:left="227" w:hanging="170"/>
              <w:rPr>
                <w:sz w:val="18"/>
                <w:szCs w:val="20"/>
              </w:rPr>
            </w:pPr>
            <w:r w:rsidRPr="002D37D9">
              <w:rPr>
                <w:rFonts w:hint="cs"/>
                <w:sz w:val="18"/>
                <w:szCs w:val="20"/>
                <w:rtl/>
              </w:rPr>
              <w:t>רווח (הפסד) מפעילויות נמשכות</w:t>
            </w:r>
          </w:p>
        </w:tc>
        <w:tc>
          <w:tcPr>
            <w:tcW w:w="140" w:type="dxa"/>
            <w:shd w:val="clear" w:color="auto" w:fill="auto"/>
            <w:vAlign w:val="bottom"/>
          </w:tcPr>
          <w:p w14:paraId="0B1F0BB8" w14:textId="77777777" w:rsidR="00AF4CE7" w:rsidRPr="002D37D9" w:rsidRDefault="00AF4CE7" w:rsidP="00AF4CE7">
            <w:pPr>
              <w:spacing w:line="200" w:lineRule="exact"/>
              <w:rPr>
                <w:sz w:val="18"/>
                <w:szCs w:val="20"/>
              </w:rPr>
            </w:pPr>
          </w:p>
        </w:tc>
        <w:tc>
          <w:tcPr>
            <w:tcW w:w="892" w:type="dxa"/>
            <w:vAlign w:val="bottom"/>
          </w:tcPr>
          <w:p w14:paraId="411142D9"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4E3E50BA"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47ABDDDD"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276B4F83"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5AD62177"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3CEBA01"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0CC2A829"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22B9E0AC"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4FECEDAA" w14:textId="77777777" w:rsidR="00AF4CE7" w:rsidRPr="002D37D9" w:rsidRDefault="00AF4CE7" w:rsidP="00AF4CE7">
            <w:pPr>
              <w:tabs>
                <w:tab w:val="decimal" w:pos="113"/>
              </w:tabs>
              <w:spacing w:line="200" w:lineRule="exact"/>
              <w:rPr>
                <w:sz w:val="18"/>
                <w:szCs w:val="20"/>
                <w:rtl/>
              </w:rPr>
            </w:pPr>
          </w:p>
        </w:tc>
      </w:tr>
      <w:tr w:rsidR="00AF4CE7" w:rsidRPr="002D37D9" w14:paraId="561BC766" w14:textId="77777777" w:rsidTr="00AF4CE7">
        <w:tc>
          <w:tcPr>
            <w:tcW w:w="1410" w:type="dxa"/>
            <w:tcBorders>
              <w:top w:val="single" w:sz="6" w:space="0" w:color="auto"/>
              <w:bottom w:val="single" w:sz="6" w:space="0" w:color="auto"/>
              <w:right w:val="single" w:sz="6" w:space="0" w:color="auto"/>
            </w:tcBorders>
            <w:vAlign w:val="center"/>
          </w:tcPr>
          <w:p w14:paraId="2A971645" w14:textId="77777777" w:rsidR="00AF4CE7" w:rsidRPr="00621421" w:rsidRDefault="00AF4CE7" w:rsidP="00AF4CE7">
            <w:pPr>
              <w:bidi w:val="0"/>
              <w:spacing w:line="200" w:lineRule="exact"/>
              <w:ind w:right="57"/>
              <w:jc w:val="right"/>
              <w:rPr>
                <w:i/>
                <w:iCs/>
                <w:sz w:val="13"/>
                <w:szCs w:val="13"/>
                <w:rtl/>
              </w:rPr>
            </w:pPr>
            <w:r>
              <w:rPr>
                <w:i/>
                <w:iCs/>
                <w:sz w:val="13"/>
                <w:szCs w:val="13"/>
              </w:rPr>
              <w:t>IAS 33.68</w:t>
            </w:r>
          </w:p>
        </w:tc>
        <w:tc>
          <w:tcPr>
            <w:tcW w:w="2815" w:type="dxa"/>
            <w:gridSpan w:val="2"/>
            <w:tcBorders>
              <w:left w:val="single" w:sz="6" w:space="0" w:color="auto"/>
            </w:tcBorders>
            <w:shd w:val="clear" w:color="auto" w:fill="auto"/>
            <w:vAlign w:val="bottom"/>
          </w:tcPr>
          <w:p w14:paraId="013E12BD" w14:textId="77777777" w:rsidR="00AF4CE7" w:rsidRPr="002D37D9" w:rsidRDefault="00AF4CE7" w:rsidP="00AF4CE7">
            <w:pPr>
              <w:spacing w:line="200" w:lineRule="exact"/>
              <w:ind w:left="227" w:hanging="170"/>
              <w:rPr>
                <w:sz w:val="18"/>
                <w:szCs w:val="20"/>
              </w:rPr>
            </w:pPr>
            <w:r w:rsidRPr="002D37D9">
              <w:rPr>
                <w:rFonts w:hint="cs"/>
                <w:sz w:val="18"/>
                <w:szCs w:val="20"/>
                <w:rtl/>
              </w:rPr>
              <w:t>רווח (הפסד) מפעילויות שהופסקו</w:t>
            </w:r>
          </w:p>
        </w:tc>
        <w:tc>
          <w:tcPr>
            <w:tcW w:w="140" w:type="dxa"/>
            <w:shd w:val="clear" w:color="auto" w:fill="auto"/>
            <w:vAlign w:val="bottom"/>
          </w:tcPr>
          <w:p w14:paraId="45617C94" w14:textId="77777777" w:rsidR="00AF4CE7" w:rsidRPr="002D37D9" w:rsidRDefault="00AF4CE7" w:rsidP="00AF4CE7">
            <w:pPr>
              <w:spacing w:line="200" w:lineRule="exact"/>
              <w:rPr>
                <w:sz w:val="18"/>
                <w:szCs w:val="20"/>
              </w:rPr>
            </w:pPr>
          </w:p>
        </w:tc>
        <w:tc>
          <w:tcPr>
            <w:tcW w:w="892" w:type="dxa"/>
            <w:tcBorders>
              <w:bottom w:val="single" w:sz="6" w:space="0" w:color="auto"/>
            </w:tcBorders>
            <w:shd w:val="clear" w:color="auto" w:fill="auto"/>
            <w:vAlign w:val="bottom"/>
          </w:tcPr>
          <w:p w14:paraId="47F52224"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222BA55B" w14:textId="77777777" w:rsidR="00AF4CE7" w:rsidRPr="002D37D9" w:rsidRDefault="00AF4CE7" w:rsidP="00AF4CE7">
            <w:pPr>
              <w:tabs>
                <w:tab w:val="decimal" w:pos="113"/>
              </w:tabs>
              <w:spacing w:line="200" w:lineRule="exact"/>
              <w:rPr>
                <w:sz w:val="18"/>
                <w:szCs w:val="20"/>
              </w:rPr>
            </w:pPr>
          </w:p>
        </w:tc>
        <w:tc>
          <w:tcPr>
            <w:tcW w:w="911" w:type="dxa"/>
            <w:gridSpan w:val="3"/>
            <w:tcBorders>
              <w:bottom w:val="single" w:sz="6" w:space="0" w:color="auto"/>
            </w:tcBorders>
            <w:shd w:val="clear" w:color="auto" w:fill="auto"/>
            <w:vAlign w:val="bottom"/>
          </w:tcPr>
          <w:p w14:paraId="7F736B92"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09F2C63D" w14:textId="77777777" w:rsidR="00AF4CE7" w:rsidRPr="002D37D9" w:rsidRDefault="00AF4CE7" w:rsidP="00AF4CE7">
            <w:pPr>
              <w:tabs>
                <w:tab w:val="decimal" w:pos="113"/>
              </w:tabs>
              <w:spacing w:line="200" w:lineRule="exact"/>
              <w:rPr>
                <w:sz w:val="18"/>
                <w:szCs w:val="20"/>
              </w:rPr>
            </w:pPr>
          </w:p>
        </w:tc>
        <w:tc>
          <w:tcPr>
            <w:tcW w:w="911" w:type="dxa"/>
            <w:gridSpan w:val="2"/>
            <w:tcBorders>
              <w:bottom w:val="single" w:sz="6" w:space="0" w:color="auto"/>
            </w:tcBorders>
            <w:shd w:val="clear" w:color="auto" w:fill="auto"/>
            <w:vAlign w:val="bottom"/>
          </w:tcPr>
          <w:p w14:paraId="41ABD1ED"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77A13AAD" w14:textId="77777777" w:rsidR="00AF4CE7" w:rsidRPr="002D37D9" w:rsidRDefault="00AF4CE7" w:rsidP="00AF4CE7">
            <w:pPr>
              <w:tabs>
                <w:tab w:val="decimal" w:pos="113"/>
              </w:tabs>
              <w:spacing w:line="200" w:lineRule="exact"/>
              <w:rPr>
                <w:sz w:val="18"/>
                <w:szCs w:val="20"/>
              </w:rPr>
            </w:pPr>
          </w:p>
        </w:tc>
        <w:tc>
          <w:tcPr>
            <w:tcW w:w="915" w:type="dxa"/>
            <w:gridSpan w:val="2"/>
            <w:tcBorders>
              <w:bottom w:val="single" w:sz="6" w:space="0" w:color="auto"/>
            </w:tcBorders>
            <w:shd w:val="clear" w:color="auto" w:fill="auto"/>
            <w:vAlign w:val="bottom"/>
          </w:tcPr>
          <w:p w14:paraId="7F54E6EB"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72BD11C" w14:textId="77777777" w:rsidR="00AF4CE7" w:rsidRPr="002D37D9" w:rsidRDefault="00AF4CE7" w:rsidP="00AF4CE7">
            <w:pPr>
              <w:tabs>
                <w:tab w:val="decimal" w:pos="113"/>
              </w:tabs>
              <w:spacing w:line="200" w:lineRule="exact"/>
              <w:rPr>
                <w:sz w:val="18"/>
                <w:szCs w:val="20"/>
              </w:rPr>
            </w:pPr>
          </w:p>
        </w:tc>
        <w:tc>
          <w:tcPr>
            <w:tcW w:w="1197" w:type="dxa"/>
            <w:tcBorders>
              <w:bottom w:val="single" w:sz="6" w:space="0" w:color="auto"/>
            </w:tcBorders>
            <w:shd w:val="clear" w:color="auto" w:fill="auto"/>
            <w:vAlign w:val="bottom"/>
          </w:tcPr>
          <w:p w14:paraId="6702163B" w14:textId="77777777" w:rsidR="00AF4CE7" w:rsidRPr="002D37D9" w:rsidRDefault="00AF4CE7" w:rsidP="00AF4CE7">
            <w:pPr>
              <w:tabs>
                <w:tab w:val="decimal" w:pos="113"/>
              </w:tabs>
              <w:spacing w:line="200" w:lineRule="exact"/>
              <w:rPr>
                <w:sz w:val="18"/>
                <w:szCs w:val="20"/>
                <w:rtl/>
              </w:rPr>
            </w:pPr>
          </w:p>
        </w:tc>
      </w:tr>
      <w:tr w:rsidR="00AF4CE7" w:rsidRPr="002D37D9" w14:paraId="646EDC4E" w14:textId="77777777" w:rsidTr="00AF4CE7">
        <w:tc>
          <w:tcPr>
            <w:tcW w:w="1410" w:type="dxa"/>
            <w:tcBorders>
              <w:top w:val="single" w:sz="6" w:space="0" w:color="auto"/>
            </w:tcBorders>
            <w:vAlign w:val="center"/>
          </w:tcPr>
          <w:p w14:paraId="02BD7876"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39C309A1" w14:textId="77777777" w:rsidR="00AF4CE7" w:rsidRPr="002D37D9" w:rsidRDefault="00AF4CE7" w:rsidP="00AF4CE7">
            <w:pPr>
              <w:spacing w:line="200" w:lineRule="exact"/>
              <w:jc w:val="right"/>
              <w:rPr>
                <w:sz w:val="18"/>
                <w:szCs w:val="20"/>
              </w:rPr>
            </w:pPr>
          </w:p>
        </w:tc>
        <w:tc>
          <w:tcPr>
            <w:tcW w:w="140" w:type="dxa"/>
            <w:shd w:val="clear" w:color="auto" w:fill="auto"/>
            <w:vAlign w:val="bottom"/>
          </w:tcPr>
          <w:p w14:paraId="0A553944" w14:textId="77777777" w:rsidR="00AF4CE7" w:rsidRPr="002D37D9" w:rsidRDefault="00AF4CE7" w:rsidP="00AF4CE7">
            <w:pPr>
              <w:spacing w:line="200" w:lineRule="exact"/>
              <w:rPr>
                <w:sz w:val="18"/>
                <w:szCs w:val="20"/>
              </w:rPr>
            </w:pPr>
          </w:p>
        </w:tc>
        <w:tc>
          <w:tcPr>
            <w:tcW w:w="892" w:type="dxa"/>
            <w:tcBorders>
              <w:top w:val="single" w:sz="6" w:space="0" w:color="auto"/>
            </w:tcBorders>
            <w:vAlign w:val="bottom"/>
          </w:tcPr>
          <w:p w14:paraId="02828CAB"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655B40FA" w14:textId="77777777" w:rsidR="00AF4CE7" w:rsidRPr="002D37D9" w:rsidRDefault="00AF4CE7" w:rsidP="00AF4CE7">
            <w:pPr>
              <w:tabs>
                <w:tab w:val="decimal" w:pos="113"/>
              </w:tabs>
              <w:spacing w:line="200" w:lineRule="exact"/>
              <w:rPr>
                <w:sz w:val="18"/>
                <w:szCs w:val="20"/>
              </w:rPr>
            </w:pPr>
          </w:p>
        </w:tc>
        <w:tc>
          <w:tcPr>
            <w:tcW w:w="911" w:type="dxa"/>
            <w:gridSpan w:val="3"/>
            <w:tcBorders>
              <w:top w:val="single" w:sz="6" w:space="0" w:color="auto"/>
            </w:tcBorders>
            <w:shd w:val="clear" w:color="auto" w:fill="auto"/>
            <w:vAlign w:val="bottom"/>
          </w:tcPr>
          <w:p w14:paraId="78D8B440"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2C87EEA4" w14:textId="77777777" w:rsidR="00AF4CE7" w:rsidRPr="002D37D9" w:rsidRDefault="00AF4CE7" w:rsidP="00AF4CE7">
            <w:pPr>
              <w:tabs>
                <w:tab w:val="decimal" w:pos="113"/>
              </w:tabs>
              <w:spacing w:line="200" w:lineRule="exact"/>
              <w:rPr>
                <w:sz w:val="18"/>
                <w:szCs w:val="20"/>
              </w:rPr>
            </w:pPr>
          </w:p>
        </w:tc>
        <w:tc>
          <w:tcPr>
            <w:tcW w:w="911" w:type="dxa"/>
            <w:gridSpan w:val="2"/>
            <w:tcBorders>
              <w:top w:val="single" w:sz="6" w:space="0" w:color="auto"/>
            </w:tcBorders>
            <w:shd w:val="clear" w:color="auto" w:fill="auto"/>
            <w:vAlign w:val="bottom"/>
          </w:tcPr>
          <w:p w14:paraId="75DAD8ED"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7C0E3A5" w14:textId="77777777" w:rsidR="00AF4CE7" w:rsidRPr="002D37D9" w:rsidRDefault="00AF4CE7" w:rsidP="00AF4CE7">
            <w:pPr>
              <w:tabs>
                <w:tab w:val="decimal" w:pos="113"/>
              </w:tabs>
              <w:spacing w:line="200" w:lineRule="exact"/>
              <w:rPr>
                <w:sz w:val="18"/>
                <w:szCs w:val="20"/>
              </w:rPr>
            </w:pPr>
          </w:p>
        </w:tc>
        <w:tc>
          <w:tcPr>
            <w:tcW w:w="915" w:type="dxa"/>
            <w:gridSpan w:val="2"/>
            <w:tcBorders>
              <w:top w:val="single" w:sz="6" w:space="0" w:color="auto"/>
            </w:tcBorders>
            <w:shd w:val="clear" w:color="auto" w:fill="auto"/>
            <w:vAlign w:val="bottom"/>
          </w:tcPr>
          <w:p w14:paraId="6DEA3257"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4C9A280B" w14:textId="77777777" w:rsidR="00AF4CE7" w:rsidRPr="002D37D9" w:rsidRDefault="00AF4CE7" w:rsidP="00AF4CE7">
            <w:pPr>
              <w:tabs>
                <w:tab w:val="decimal" w:pos="113"/>
              </w:tabs>
              <w:spacing w:line="200" w:lineRule="exact"/>
              <w:rPr>
                <w:sz w:val="18"/>
                <w:szCs w:val="20"/>
              </w:rPr>
            </w:pPr>
          </w:p>
        </w:tc>
        <w:tc>
          <w:tcPr>
            <w:tcW w:w="1197" w:type="dxa"/>
            <w:tcBorders>
              <w:top w:val="single" w:sz="6" w:space="0" w:color="auto"/>
            </w:tcBorders>
            <w:shd w:val="clear" w:color="auto" w:fill="auto"/>
            <w:vAlign w:val="bottom"/>
          </w:tcPr>
          <w:p w14:paraId="50FF1253" w14:textId="77777777" w:rsidR="00AF4CE7" w:rsidRPr="002D37D9" w:rsidRDefault="00AF4CE7" w:rsidP="00AF4CE7">
            <w:pPr>
              <w:tabs>
                <w:tab w:val="decimal" w:pos="113"/>
              </w:tabs>
              <w:spacing w:line="200" w:lineRule="exact"/>
              <w:rPr>
                <w:sz w:val="18"/>
                <w:szCs w:val="20"/>
                <w:rtl/>
              </w:rPr>
            </w:pPr>
          </w:p>
        </w:tc>
      </w:tr>
      <w:tr w:rsidR="00AF4CE7" w:rsidRPr="002D37D9" w14:paraId="36F8ECC4" w14:textId="77777777" w:rsidTr="00AF4CE7">
        <w:tc>
          <w:tcPr>
            <w:tcW w:w="1410" w:type="dxa"/>
            <w:tcBorders>
              <w:bottom w:val="single" w:sz="6" w:space="0" w:color="auto"/>
              <w:right w:val="single" w:sz="6" w:space="0" w:color="auto"/>
            </w:tcBorders>
            <w:vAlign w:val="center"/>
          </w:tcPr>
          <w:p w14:paraId="0C069A98" w14:textId="77777777" w:rsidR="00AF4CE7" w:rsidRPr="00621421" w:rsidRDefault="00AF4CE7" w:rsidP="00AF4CE7">
            <w:pPr>
              <w:bidi w:val="0"/>
              <w:spacing w:line="200" w:lineRule="exact"/>
              <w:ind w:right="57"/>
              <w:jc w:val="right"/>
              <w:rPr>
                <w:i/>
                <w:iCs/>
                <w:sz w:val="13"/>
                <w:szCs w:val="13"/>
                <w:rtl/>
              </w:rPr>
            </w:pPr>
            <w:r>
              <w:rPr>
                <w:i/>
                <w:iCs/>
                <w:sz w:val="13"/>
                <w:szCs w:val="13"/>
              </w:rPr>
              <w:t>IAS 33.66</w:t>
            </w:r>
          </w:p>
        </w:tc>
        <w:tc>
          <w:tcPr>
            <w:tcW w:w="2815" w:type="dxa"/>
            <w:gridSpan w:val="2"/>
            <w:tcBorders>
              <w:left w:val="single" w:sz="6" w:space="0" w:color="auto"/>
            </w:tcBorders>
            <w:shd w:val="clear" w:color="auto" w:fill="auto"/>
            <w:vAlign w:val="bottom"/>
          </w:tcPr>
          <w:p w14:paraId="74656F2A" w14:textId="77777777" w:rsidR="00AF4CE7" w:rsidRPr="002D37D9" w:rsidRDefault="00AF4CE7" w:rsidP="00AF4CE7">
            <w:pPr>
              <w:spacing w:line="200" w:lineRule="exact"/>
              <w:ind w:left="227" w:hanging="170"/>
              <w:rPr>
                <w:sz w:val="18"/>
                <w:szCs w:val="20"/>
              </w:rPr>
            </w:pPr>
            <w:r w:rsidRPr="002D37D9">
              <w:rPr>
                <w:rFonts w:hint="cs"/>
                <w:sz w:val="18"/>
                <w:szCs w:val="20"/>
                <w:rtl/>
              </w:rPr>
              <w:t>רווח נקי (הפסד)</w:t>
            </w:r>
          </w:p>
        </w:tc>
        <w:tc>
          <w:tcPr>
            <w:tcW w:w="140" w:type="dxa"/>
            <w:shd w:val="clear" w:color="auto" w:fill="auto"/>
            <w:vAlign w:val="bottom"/>
          </w:tcPr>
          <w:p w14:paraId="72669611" w14:textId="77777777" w:rsidR="00AF4CE7" w:rsidRPr="002D37D9" w:rsidRDefault="00AF4CE7" w:rsidP="00AF4CE7">
            <w:pPr>
              <w:spacing w:line="200" w:lineRule="exact"/>
              <w:rPr>
                <w:sz w:val="18"/>
                <w:szCs w:val="20"/>
              </w:rPr>
            </w:pPr>
          </w:p>
        </w:tc>
        <w:tc>
          <w:tcPr>
            <w:tcW w:w="892" w:type="dxa"/>
            <w:tcBorders>
              <w:bottom w:val="double" w:sz="6" w:space="0" w:color="auto"/>
            </w:tcBorders>
            <w:shd w:val="clear" w:color="auto" w:fill="auto"/>
            <w:vAlign w:val="bottom"/>
          </w:tcPr>
          <w:p w14:paraId="6497F519"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34A2A1B7" w14:textId="77777777" w:rsidR="00AF4CE7" w:rsidRPr="002D37D9" w:rsidRDefault="00AF4CE7" w:rsidP="00AF4CE7">
            <w:pPr>
              <w:tabs>
                <w:tab w:val="decimal" w:pos="113"/>
              </w:tabs>
              <w:spacing w:line="200" w:lineRule="exact"/>
              <w:rPr>
                <w:sz w:val="18"/>
                <w:szCs w:val="20"/>
              </w:rPr>
            </w:pPr>
          </w:p>
        </w:tc>
        <w:tc>
          <w:tcPr>
            <w:tcW w:w="911" w:type="dxa"/>
            <w:gridSpan w:val="3"/>
            <w:tcBorders>
              <w:bottom w:val="double" w:sz="6" w:space="0" w:color="auto"/>
            </w:tcBorders>
            <w:shd w:val="clear" w:color="auto" w:fill="auto"/>
            <w:vAlign w:val="bottom"/>
          </w:tcPr>
          <w:p w14:paraId="5E22B6F4"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74D1A7CC" w14:textId="77777777" w:rsidR="00AF4CE7" w:rsidRPr="002D37D9" w:rsidRDefault="00AF4CE7" w:rsidP="00AF4CE7">
            <w:pPr>
              <w:tabs>
                <w:tab w:val="decimal" w:pos="113"/>
              </w:tabs>
              <w:spacing w:line="200" w:lineRule="exact"/>
              <w:rPr>
                <w:sz w:val="18"/>
                <w:szCs w:val="20"/>
              </w:rPr>
            </w:pPr>
          </w:p>
        </w:tc>
        <w:tc>
          <w:tcPr>
            <w:tcW w:w="911" w:type="dxa"/>
            <w:gridSpan w:val="2"/>
            <w:tcBorders>
              <w:bottom w:val="double" w:sz="6" w:space="0" w:color="auto"/>
            </w:tcBorders>
            <w:shd w:val="clear" w:color="auto" w:fill="auto"/>
            <w:vAlign w:val="bottom"/>
          </w:tcPr>
          <w:p w14:paraId="2A1F324D"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09D96AC0" w14:textId="77777777" w:rsidR="00AF4CE7" w:rsidRPr="002D37D9" w:rsidRDefault="00AF4CE7" w:rsidP="00AF4CE7">
            <w:pPr>
              <w:tabs>
                <w:tab w:val="decimal" w:pos="113"/>
              </w:tabs>
              <w:spacing w:line="200" w:lineRule="exact"/>
              <w:rPr>
                <w:sz w:val="18"/>
                <w:szCs w:val="20"/>
              </w:rPr>
            </w:pPr>
          </w:p>
        </w:tc>
        <w:tc>
          <w:tcPr>
            <w:tcW w:w="915" w:type="dxa"/>
            <w:gridSpan w:val="2"/>
            <w:tcBorders>
              <w:bottom w:val="double" w:sz="6" w:space="0" w:color="auto"/>
            </w:tcBorders>
            <w:shd w:val="clear" w:color="auto" w:fill="auto"/>
            <w:vAlign w:val="bottom"/>
          </w:tcPr>
          <w:p w14:paraId="74E0F2C2"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4CDE05A" w14:textId="77777777" w:rsidR="00AF4CE7" w:rsidRPr="002D37D9" w:rsidRDefault="00AF4CE7" w:rsidP="00AF4CE7">
            <w:pPr>
              <w:tabs>
                <w:tab w:val="decimal" w:pos="113"/>
              </w:tabs>
              <w:spacing w:line="200" w:lineRule="exact"/>
              <w:rPr>
                <w:sz w:val="18"/>
                <w:szCs w:val="20"/>
              </w:rPr>
            </w:pPr>
          </w:p>
        </w:tc>
        <w:tc>
          <w:tcPr>
            <w:tcW w:w="1197" w:type="dxa"/>
            <w:tcBorders>
              <w:bottom w:val="double" w:sz="6" w:space="0" w:color="auto"/>
            </w:tcBorders>
            <w:shd w:val="clear" w:color="auto" w:fill="auto"/>
            <w:vAlign w:val="bottom"/>
          </w:tcPr>
          <w:p w14:paraId="1924E1D8" w14:textId="77777777" w:rsidR="00AF4CE7" w:rsidRPr="002D37D9" w:rsidRDefault="00AF4CE7" w:rsidP="00AF4CE7">
            <w:pPr>
              <w:tabs>
                <w:tab w:val="decimal" w:pos="113"/>
              </w:tabs>
              <w:spacing w:line="200" w:lineRule="exact"/>
              <w:rPr>
                <w:sz w:val="18"/>
                <w:szCs w:val="20"/>
                <w:rtl/>
              </w:rPr>
            </w:pPr>
          </w:p>
        </w:tc>
      </w:tr>
    </w:tbl>
    <w:p w14:paraId="069FF81E" w14:textId="77777777" w:rsidR="00AD05EC" w:rsidRDefault="00AD05EC" w:rsidP="00AD05EC">
      <w:pPr>
        <w:overflowPunct/>
        <w:autoSpaceDE/>
        <w:autoSpaceDN/>
        <w:adjustRightInd/>
        <w:jc w:val="left"/>
        <w:rPr>
          <w:sz w:val="26"/>
          <w:rtl/>
        </w:rPr>
      </w:pPr>
    </w:p>
    <w:p w14:paraId="41FE535E" w14:textId="77777777" w:rsidR="00AD05EC" w:rsidRDefault="00AD05EC" w:rsidP="00AD05EC">
      <w:pPr>
        <w:overflowPunct/>
        <w:autoSpaceDE/>
        <w:autoSpaceDN/>
        <w:adjustRightInd/>
        <w:jc w:val="left"/>
        <w:rPr>
          <w:sz w:val="26"/>
          <w:rtl/>
        </w:rPr>
      </w:pPr>
    </w:p>
    <w:p w14:paraId="54D10707" w14:textId="77777777" w:rsidR="00AD05EC" w:rsidRDefault="00AD05EC" w:rsidP="00AD05EC">
      <w:pPr>
        <w:rPr>
          <w:sz w:val="16"/>
          <w:szCs w:val="20"/>
          <w:rtl/>
        </w:rPr>
      </w:pPr>
      <w:r w:rsidRPr="00F2585A">
        <w:rPr>
          <w:sz w:val="16"/>
          <w:szCs w:val="20"/>
          <w:rtl/>
        </w:rPr>
        <w:t>*)</w:t>
      </w:r>
      <w:r w:rsidRPr="00F2585A">
        <w:rPr>
          <w:sz w:val="16"/>
          <w:szCs w:val="20"/>
          <w:rtl/>
        </w:rPr>
        <w:tab/>
      </w:r>
      <w:r w:rsidRPr="00F2585A">
        <w:rPr>
          <w:rFonts w:hint="eastAsia"/>
          <w:sz w:val="16"/>
          <w:szCs w:val="20"/>
          <w:rtl/>
        </w:rPr>
        <w:t>הוצג</w:t>
      </w:r>
      <w:r w:rsidRPr="00F2585A">
        <w:rPr>
          <w:sz w:val="16"/>
          <w:szCs w:val="20"/>
          <w:rtl/>
        </w:rPr>
        <w:t xml:space="preserve"> מחדש, ראה באור </w:t>
      </w:r>
      <w:r w:rsidRPr="00F2585A">
        <w:rPr>
          <w:sz w:val="16"/>
          <w:szCs w:val="20"/>
          <w:shd w:val="clear" w:color="auto" w:fill="D9D9D9" w:themeFill="background1" w:themeFillShade="D9"/>
          <w:rtl/>
        </w:rPr>
        <w:t>____</w:t>
      </w:r>
      <w:r w:rsidRPr="00F2585A">
        <w:rPr>
          <w:sz w:val="16"/>
          <w:szCs w:val="20"/>
          <w:rtl/>
        </w:rPr>
        <w:t>.</w:t>
      </w:r>
    </w:p>
    <w:p w14:paraId="72077520" w14:textId="77777777" w:rsidR="00E53258" w:rsidRPr="00376906" w:rsidRDefault="00E53258" w:rsidP="00E53258">
      <w:pPr>
        <w:ind w:left="567" w:hanging="567"/>
        <w:rPr>
          <w:szCs w:val="20"/>
          <w:rtl/>
        </w:rPr>
      </w:pPr>
      <w:r w:rsidRPr="00376906">
        <w:rPr>
          <w:rFonts w:hint="cs"/>
          <w:szCs w:val="20"/>
          <w:rtl/>
        </w:rPr>
        <w:t>**)</w:t>
      </w:r>
      <w:r w:rsidRPr="00376906">
        <w:rPr>
          <w:szCs w:val="20"/>
          <w:rtl/>
        </w:rPr>
        <w:tab/>
      </w:r>
      <w:r w:rsidRPr="00376906">
        <w:rPr>
          <w:rFonts w:hint="cs"/>
          <w:szCs w:val="20"/>
          <w:rtl/>
        </w:rPr>
        <w:t xml:space="preserve">יושם למפרע, ראה באור </w:t>
      </w:r>
      <w:r w:rsidRPr="00376906">
        <w:rPr>
          <w:rFonts w:hint="cs"/>
          <w:sz w:val="16"/>
          <w:szCs w:val="20"/>
          <w:shd w:val="clear" w:color="auto" w:fill="D9D9D9" w:themeFill="background1" w:themeFillShade="D9"/>
          <w:rtl/>
        </w:rPr>
        <w:t>__</w:t>
      </w:r>
      <w:r w:rsidR="00376906">
        <w:rPr>
          <w:rFonts w:hint="cs"/>
          <w:sz w:val="16"/>
          <w:szCs w:val="20"/>
          <w:shd w:val="clear" w:color="auto" w:fill="D9D9D9" w:themeFill="background1" w:themeFillShade="D9"/>
          <w:rtl/>
        </w:rPr>
        <w:t>_</w:t>
      </w:r>
      <w:r w:rsidRPr="00376906">
        <w:rPr>
          <w:rFonts w:hint="cs"/>
          <w:sz w:val="16"/>
          <w:szCs w:val="20"/>
          <w:shd w:val="clear" w:color="auto" w:fill="D9D9D9" w:themeFill="background1" w:themeFillShade="D9"/>
          <w:rtl/>
        </w:rPr>
        <w:t>_</w:t>
      </w:r>
      <w:r w:rsidRPr="00376906">
        <w:rPr>
          <w:rFonts w:hint="cs"/>
          <w:sz w:val="16"/>
          <w:szCs w:val="20"/>
          <w:rtl/>
        </w:rPr>
        <w:t>.</w:t>
      </w:r>
    </w:p>
    <w:p w14:paraId="232547CF" w14:textId="77777777" w:rsidR="00AD05EC" w:rsidRPr="00D765A9" w:rsidRDefault="00AD05EC" w:rsidP="00AD05EC">
      <w:pPr>
        <w:ind w:left="567" w:hanging="567"/>
        <w:rPr>
          <w:szCs w:val="20"/>
          <w:rtl/>
        </w:rPr>
      </w:pPr>
      <w:r w:rsidRPr="00D765A9">
        <w:rPr>
          <w:rFonts w:hint="cs"/>
          <w:szCs w:val="20"/>
          <w:rtl/>
        </w:rPr>
        <w:t>*</w:t>
      </w:r>
      <w:r w:rsidR="00E53258">
        <w:rPr>
          <w:rFonts w:hint="cs"/>
          <w:szCs w:val="20"/>
          <w:rtl/>
        </w:rPr>
        <w:t>*</w:t>
      </w:r>
      <w:r w:rsidRPr="00D765A9">
        <w:rPr>
          <w:rFonts w:hint="cs"/>
          <w:szCs w:val="20"/>
          <w:rtl/>
        </w:rPr>
        <w:t>*)</w:t>
      </w:r>
      <w:r w:rsidRPr="00D765A9">
        <w:rPr>
          <w:szCs w:val="20"/>
          <w:rtl/>
        </w:rPr>
        <w:tab/>
      </w:r>
      <w:r w:rsidRPr="00D765A9">
        <w:rPr>
          <w:rFonts w:hint="cs"/>
          <w:szCs w:val="20"/>
          <w:rtl/>
        </w:rPr>
        <w:t xml:space="preserve">התאמה לא מהותית של מספרי השוואה, ראה </w:t>
      </w:r>
      <w:r>
        <w:rPr>
          <w:rFonts w:hint="cs"/>
          <w:szCs w:val="20"/>
          <w:rtl/>
        </w:rPr>
        <w:t>באור</w:t>
      </w:r>
      <w:r w:rsidRPr="00D765A9">
        <w:rPr>
          <w:rFonts w:hint="cs"/>
          <w:szCs w:val="20"/>
          <w:rtl/>
        </w:rPr>
        <w:t xml:space="preserve"> ___.</w:t>
      </w:r>
    </w:p>
    <w:p w14:paraId="68409B5A" w14:textId="77777777" w:rsidR="00AD05EC" w:rsidRPr="0017410B" w:rsidRDefault="00AD05EC" w:rsidP="00AD05EC">
      <w:pPr>
        <w:rPr>
          <w:sz w:val="16"/>
          <w:szCs w:val="20"/>
          <w:rtl/>
        </w:rPr>
      </w:pPr>
    </w:p>
    <w:p w14:paraId="1194ACA8" w14:textId="77777777" w:rsidR="00AD05EC" w:rsidRPr="0017410B" w:rsidRDefault="00AD05EC" w:rsidP="00AD05EC">
      <w:pPr>
        <w:overflowPunct/>
        <w:autoSpaceDE/>
        <w:autoSpaceDN/>
        <w:adjustRightInd/>
        <w:jc w:val="left"/>
        <w:rPr>
          <w:sz w:val="24"/>
          <w:szCs w:val="22"/>
          <w:rtl/>
        </w:rPr>
      </w:pPr>
    </w:p>
    <w:p w14:paraId="0FB05E29" w14:textId="77777777" w:rsidR="00AD05EC" w:rsidRPr="0017410B" w:rsidRDefault="00AD05EC" w:rsidP="00AD05EC">
      <w:pPr>
        <w:overflowPunct/>
        <w:autoSpaceDE/>
        <w:autoSpaceDN/>
        <w:adjustRightInd/>
        <w:jc w:val="left"/>
        <w:rPr>
          <w:sz w:val="24"/>
          <w:szCs w:val="22"/>
          <w:rtl/>
        </w:rPr>
      </w:pPr>
    </w:p>
    <w:p w14:paraId="7C18F60D" w14:textId="77777777" w:rsidR="00AD05EC" w:rsidRPr="00635E27" w:rsidRDefault="00AD05EC" w:rsidP="00AD05EC">
      <w:pPr>
        <w:rPr>
          <w:szCs w:val="22"/>
          <w:rtl/>
        </w:rPr>
      </w:pPr>
      <w:r w:rsidRPr="00635E27">
        <w:rPr>
          <w:rFonts w:hint="eastAsia"/>
          <w:rtl/>
        </w:rPr>
        <w:t>הבאורים</w:t>
      </w:r>
      <w:r w:rsidRPr="00635E27">
        <w:rPr>
          <w:rtl/>
        </w:rPr>
        <w:t xml:space="preserve"> המצורפים מהווים חלק בלתי נפרד מהדוחות הכספיים ביניים מאוחדים.</w:t>
      </w:r>
    </w:p>
    <w:p w14:paraId="64A44289" w14:textId="77777777" w:rsidR="00100040" w:rsidRDefault="00100040">
      <w:pPr>
        <w:rPr>
          <w:rtl/>
        </w:rPr>
      </w:pPr>
    </w:p>
    <w:p w14:paraId="0C997EAE" w14:textId="77777777" w:rsidR="00BC6353" w:rsidRDefault="00BC6353">
      <w:pPr>
        <w:overflowPunct/>
        <w:autoSpaceDE/>
        <w:autoSpaceDN/>
        <w:adjustRightInd/>
        <w:jc w:val="left"/>
        <w:rPr>
          <w:szCs w:val="22"/>
          <w:rtl/>
        </w:rPr>
        <w:sectPr w:rsidR="00BC6353" w:rsidSect="00BA7D9A">
          <w:headerReference w:type="default" r:id="rId15"/>
          <w:footnotePr>
            <w:numRestart w:val="eachPage"/>
          </w:footnotePr>
          <w:endnotePr>
            <w:numFmt w:val="lowerLetter"/>
          </w:endnotePr>
          <w:pgSz w:w="11907" w:h="16840" w:code="9"/>
          <w:pgMar w:top="851" w:right="1134" w:bottom="1134" w:left="1134" w:header="567" w:footer="567" w:gutter="0"/>
          <w:cols w:space="720"/>
          <w:bidi/>
          <w:rtlGutter/>
        </w:sectPr>
      </w:pPr>
    </w:p>
    <w:p w14:paraId="779D84D1" w14:textId="77777777" w:rsidR="00AB7D68" w:rsidRPr="00785F4C" w:rsidRDefault="002A6FC1" w:rsidP="008E7F39">
      <w:pPr>
        <w:pBdr>
          <w:bottom w:val="single" w:sz="12" w:space="1" w:color="auto"/>
        </w:pBdr>
        <w:rPr>
          <w:b/>
          <w:bCs/>
          <w:rtl/>
        </w:rPr>
      </w:pPr>
      <w:bookmarkStart w:id="28" w:name="_Toc60984411"/>
      <w:bookmarkStart w:id="29" w:name="_Toc29797699"/>
      <w:bookmarkStart w:id="30" w:name="_Toc29797471"/>
      <w:bookmarkStart w:id="31" w:name="_Toc29796632"/>
      <w:bookmarkStart w:id="32" w:name="_Toc26614784"/>
      <w:bookmarkStart w:id="33" w:name="_Toc26607711"/>
      <w:bookmarkStart w:id="34" w:name="_Toc26607182"/>
      <w:bookmarkStart w:id="35" w:name="_Toc535127676"/>
      <w:bookmarkStart w:id="36" w:name="_Toc532800356"/>
      <w:r>
        <w:rPr>
          <w:rFonts w:hint="eastAsia"/>
          <w:b/>
          <w:bCs/>
          <w:rtl/>
        </w:rPr>
        <w:lastRenderedPageBreak/>
        <w:t>דוחות</w:t>
      </w:r>
      <w:r>
        <w:rPr>
          <w:b/>
          <w:bCs/>
          <w:rtl/>
        </w:rPr>
        <w:t xml:space="preserve"> </w:t>
      </w:r>
      <w:r>
        <w:rPr>
          <w:rFonts w:hint="eastAsia"/>
          <w:b/>
          <w:bCs/>
          <w:rtl/>
        </w:rPr>
        <w:t>מאוחדים</w:t>
      </w:r>
      <w:r>
        <w:rPr>
          <w:b/>
          <w:bCs/>
          <w:rtl/>
        </w:rPr>
        <w:t xml:space="preserve"> </w:t>
      </w:r>
      <w:r>
        <w:rPr>
          <w:rFonts w:hint="eastAsia"/>
          <w:b/>
          <w:bCs/>
          <w:rtl/>
        </w:rPr>
        <w:t>על</w:t>
      </w:r>
      <w:r>
        <w:rPr>
          <w:b/>
          <w:bCs/>
          <w:rtl/>
        </w:rPr>
        <w:t xml:space="preserve"> </w:t>
      </w:r>
      <w:r>
        <w:rPr>
          <w:rFonts w:hint="eastAsia"/>
          <w:b/>
          <w:bCs/>
          <w:rtl/>
        </w:rPr>
        <w:t>השינויים</w:t>
      </w:r>
      <w:r>
        <w:rPr>
          <w:b/>
          <w:bCs/>
          <w:rtl/>
        </w:rPr>
        <w:t xml:space="preserve"> </w:t>
      </w:r>
      <w:r w:rsidRPr="002E462C">
        <w:rPr>
          <w:rFonts w:hint="eastAsia"/>
          <w:b/>
          <w:bCs/>
          <w:rtl/>
        </w:rPr>
        <w:t>בהון</w:t>
      </w:r>
      <w:r w:rsidRPr="002E462C">
        <w:rPr>
          <w:rStyle w:val="ab"/>
          <w:b/>
          <w:bCs w:val="0"/>
          <w:rtl/>
        </w:rPr>
        <w:footnoteReference w:id="30"/>
      </w:r>
    </w:p>
    <w:p w14:paraId="70FD3B30" w14:textId="77777777" w:rsidR="00AF0CD5" w:rsidRDefault="00AF0CD5" w:rsidP="006514D3">
      <w:pPr>
        <w:widowControl/>
        <w:spacing w:line="120" w:lineRule="auto"/>
        <w:rPr>
          <w:rtl/>
        </w:rPr>
      </w:pPr>
    </w:p>
    <w:tbl>
      <w:tblPr>
        <w:bidiVisual/>
        <w:tblW w:w="15783" w:type="dxa"/>
        <w:tblInd w:w="80" w:type="dxa"/>
        <w:tblLayout w:type="fixed"/>
        <w:tblCellMar>
          <w:left w:w="0" w:type="dxa"/>
          <w:right w:w="0" w:type="dxa"/>
        </w:tblCellMar>
        <w:tblLook w:val="0000" w:firstRow="0" w:lastRow="0" w:firstColumn="0" w:lastColumn="0" w:noHBand="0" w:noVBand="0"/>
      </w:tblPr>
      <w:tblGrid>
        <w:gridCol w:w="972"/>
        <w:gridCol w:w="2682"/>
        <w:gridCol w:w="113"/>
        <w:gridCol w:w="621"/>
        <w:gridCol w:w="112"/>
        <w:gridCol w:w="621"/>
        <w:gridCol w:w="113"/>
        <w:gridCol w:w="622"/>
        <w:gridCol w:w="113"/>
        <w:gridCol w:w="677"/>
        <w:gridCol w:w="113"/>
        <w:gridCol w:w="622"/>
        <w:gridCol w:w="113"/>
        <w:gridCol w:w="246"/>
        <w:gridCol w:w="376"/>
        <w:gridCol w:w="113"/>
        <w:gridCol w:w="734"/>
        <w:gridCol w:w="113"/>
        <w:gridCol w:w="622"/>
        <w:gridCol w:w="113"/>
        <w:gridCol w:w="622"/>
        <w:gridCol w:w="113"/>
        <w:gridCol w:w="677"/>
        <w:gridCol w:w="113"/>
        <w:gridCol w:w="622"/>
        <w:gridCol w:w="113"/>
        <w:gridCol w:w="677"/>
        <w:gridCol w:w="113"/>
        <w:gridCol w:w="677"/>
        <w:gridCol w:w="113"/>
        <w:gridCol w:w="677"/>
        <w:gridCol w:w="113"/>
        <w:gridCol w:w="622"/>
        <w:gridCol w:w="113"/>
        <w:gridCol w:w="607"/>
      </w:tblGrid>
      <w:tr w:rsidR="00C561BD" w:rsidRPr="00224C22" w14:paraId="399E50E6" w14:textId="77777777" w:rsidTr="00C20882">
        <w:tc>
          <w:tcPr>
            <w:tcW w:w="972" w:type="dxa"/>
            <w:tcBorders>
              <w:bottom w:val="single" w:sz="4" w:space="0" w:color="auto"/>
              <w:right w:val="single" w:sz="4" w:space="0" w:color="auto"/>
            </w:tcBorders>
            <w:vAlign w:val="center"/>
          </w:tcPr>
          <w:p w14:paraId="3DD4849E" w14:textId="77777777" w:rsidR="00C561BD" w:rsidRPr="00224C22" w:rsidRDefault="00C561BD" w:rsidP="00C561BD">
            <w:pPr>
              <w:bidi w:val="0"/>
              <w:spacing w:line="140" w:lineRule="exact"/>
              <w:ind w:right="110"/>
              <w:jc w:val="right"/>
              <w:rPr>
                <w:i/>
                <w:iCs/>
                <w:sz w:val="12"/>
                <w:szCs w:val="12"/>
              </w:rPr>
            </w:pPr>
            <w:r w:rsidRPr="00224C22">
              <w:rPr>
                <w:rFonts w:hint="cs"/>
                <w:i/>
                <w:iCs/>
                <w:sz w:val="12"/>
                <w:szCs w:val="12"/>
              </w:rPr>
              <w:t>IAS</w:t>
            </w:r>
            <w:r w:rsidRPr="00224C22">
              <w:rPr>
                <w:i/>
                <w:iCs/>
                <w:sz w:val="12"/>
                <w:szCs w:val="12"/>
              </w:rPr>
              <w:t> 1.10(c);</w:t>
            </w:r>
          </w:p>
          <w:p w14:paraId="1CF075B2" w14:textId="77777777" w:rsidR="00C561BD" w:rsidRPr="00224C22" w:rsidRDefault="00C561BD" w:rsidP="00C561BD">
            <w:pPr>
              <w:bidi w:val="0"/>
              <w:spacing w:line="140" w:lineRule="exact"/>
              <w:ind w:right="110"/>
              <w:jc w:val="right"/>
              <w:rPr>
                <w:i/>
                <w:iCs/>
                <w:sz w:val="12"/>
                <w:szCs w:val="12"/>
              </w:rPr>
            </w:pPr>
            <w:r w:rsidRPr="00224C22">
              <w:rPr>
                <w:i/>
                <w:iCs/>
                <w:sz w:val="12"/>
                <w:szCs w:val="12"/>
              </w:rPr>
              <w:t>IAS 1.51 (b), (c); IAS 34.10</w:t>
            </w:r>
          </w:p>
        </w:tc>
        <w:tc>
          <w:tcPr>
            <w:tcW w:w="2682" w:type="dxa"/>
            <w:tcBorders>
              <w:left w:val="single" w:sz="4" w:space="0" w:color="auto"/>
            </w:tcBorders>
            <w:vAlign w:val="bottom"/>
          </w:tcPr>
          <w:p w14:paraId="4FDFEE67" w14:textId="77777777" w:rsidR="00C561BD" w:rsidRPr="00224C22" w:rsidRDefault="00C561BD" w:rsidP="00C561BD">
            <w:pPr>
              <w:tabs>
                <w:tab w:val="left" w:pos="227"/>
                <w:tab w:val="left" w:pos="397"/>
                <w:tab w:val="left" w:pos="567"/>
              </w:tabs>
              <w:spacing w:line="140" w:lineRule="exact"/>
              <w:jc w:val="left"/>
              <w:rPr>
                <w:sz w:val="16"/>
                <w:szCs w:val="16"/>
              </w:rPr>
            </w:pPr>
          </w:p>
        </w:tc>
        <w:tc>
          <w:tcPr>
            <w:tcW w:w="113" w:type="dxa"/>
            <w:vAlign w:val="bottom"/>
          </w:tcPr>
          <w:p w14:paraId="5CC9BCDC" w14:textId="77777777" w:rsidR="00C561BD" w:rsidRPr="00224C22" w:rsidRDefault="00C561BD" w:rsidP="00C561BD">
            <w:pPr>
              <w:spacing w:line="140" w:lineRule="exact"/>
              <w:jc w:val="left"/>
              <w:rPr>
                <w:sz w:val="16"/>
                <w:szCs w:val="16"/>
              </w:rPr>
            </w:pPr>
          </w:p>
        </w:tc>
        <w:tc>
          <w:tcPr>
            <w:tcW w:w="10561" w:type="dxa"/>
            <w:gridSpan w:val="28"/>
            <w:tcBorders>
              <w:left w:val="nil"/>
              <w:bottom w:val="single" w:sz="6" w:space="0" w:color="auto"/>
            </w:tcBorders>
            <w:shd w:val="clear" w:color="auto" w:fill="auto"/>
            <w:vAlign w:val="bottom"/>
          </w:tcPr>
          <w:p w14:paraId="425F1CC9" w14:textId="77777777" w:rsidR="00C561BD" w:rsidRPr="00224C22" w:rsidRDefault="00C561BD" w:rsidP="00C561BD">
            <w:pPr>
              <w:spacing w:line="140" w:lineRule="exact"/>
              <w:jc w:val="center"/>
              <w:rPr>
                <w:sz w:val="16"/>
                <w:szCs w:val="16"/>
                <w:rtl/>
              </w:rPr>
            </w:pPr>
            <w:r w:rsidRPr="00224C22">
              <w:rPr>
                <w:rFonts w:hint="cs"/>
                <w:sz w:val="16"/>
                <w:szCs w:val="16"/>
                <w:rtl/>
              </w:rPr>
              <w:t>מיוחס לבעלי מניות החברה</w:t>
            </w:r>
          </w:p>
        </w:tc>
        <w:tc>
          <w:tcPr>
            <w:tcW w:w="113" w:type="dxa"/>
            <w:tcBorders>
              <w:left w:val="nil"/>
            </w:tcBorders>
            <w:vAlign w:val="bottom"/>
          </w:tcPr>
          <w:p w14:paraId="55E03531" w14:textId="77777777" w:rsidR="00C561BD" w:rsidRPr="00224C22" w:rsidRDefault="00C561BD" w:rsidP="00C561BD">
            <w:pPr>
              <w:spacing w:line="140" w:lineRule="exact"/>
              <w:jc w:val="center"/>
              <w:rPr>
                <w:sz w:val="16"/>
                <w:szCs w:val="16"/>
              </w:rPr>
            </w:pPr>
          </w:p>
        </w:tc>
        <w:tc>
          <w:tcPr>
            <w:tcW w:w="622" w:type="dxa"/>
            <w:tcBorders>
              <w:left w:val="nil"/>
              <w:right w:val="nil"/>
            </w:tcBorders>
            <w:shd w:val="clear" w:color="auto" w:fill="auto"/>
            <w:vAlign w:val="bottom"/>
          </w:tcPr>
          <w:p w14:paraId="15658167" w14:textId="77777777" w:rsidR="00C561BD" w:rsidRPr="00224C22" w:rsidRDefault="00C561BD" w:rsidP="00C561BD">
            <w:pPr>
              <w:spacing w:line="140" w:lineRule="exact"/>
              <w:jc w:val="center"/>
              <w:rPr>
                <w:sz w:val="16"/>
                <w:szCs w:val="16"/>
                <w:rtl/>
              </w:rPr>
            </w:pPr>
          </w:p>
        </w:tc>
        <w:tc>
          <w:tcPr>
            <w:tcW w:w="113" w:type="dxa"/>
            <w:vAlign w:val="bottom"/>
          </w:tcPr>
          <w:p w14:paraId="722215C5" w14:textId="77777777" w:rsidR="00C561BD" w:rsidRPr="00224C22" w:rsidRDefault="00C561BD" w:rsidP="00C561BD">
            <w:pPr>
              <w:spacing w:line="140" w:lineRule="exact"/>
              <w:jc w:val="center"/>
              <w:rPr>
                <w:sz w:val="16"/>
                <w:szCs w:val="16"/>
              </w:rPr>
            </w:pPr>
          </w:p>
        </w:tc>
        <w:tc>
          <w:tcPr>
            <w:tcW w:w="607" w:type="dxa"/>
            <w:tcBorders>
              <w:left w:val="nil"/>
              <w:right w:val="nil"/>
            </w:tcBorders>
            <w:shd w:val="clear" w:color="auto" w:fill="auto"/>
            <w:vAlign w:val="bottom"/>
          </w:tcPr>
          <w:p w14:paraId="20AA201A" w14:textId="77777777" w:rsidR="00C561BD" w:rsidRPr="00224C22" w:rsidRDefault="00C561BD" w:rsidP="00C561BD">
            <w:pPr>
              <w:spacing w:line="140" w:lineRule="exact"/>
              <w:jc w:val="center"/>
              <w:rPr>
                <w:sz w:val="16"/>
                <w:szCs w:val="16"/>
                <w:rtl/>
              </w:rPr>
            </w:pPr>
          </w:p>
        </w:tc>
      </w:tr>
      <w:tr w:rsidR="00CF57B7" w:rsidRPr="00224C22" w14:paraId="2A43CFB6" w14:textId="77777777" w:rsidTr="00A7568E">
        <w:tc>
          <w:tcPr>
            <w:tcW w:w="972" w:type="dxa"/>
            <w:tcBorders>
              <w:top w:val="single" w:sz="4" w:space="0" w:color="auto"/>
            </w:tcBorders>
            <w:vAlign w:val="center"/>
          </w:tcPr>
          <w:p w14:paraId="09925E07" w14:textId="77777777" w:rsidR="00C561BD" w:rsidRPr="00224C22" w:rsidRDefault="00C561BD" w:rsidP="00C561BD">
            <w:pPr>
              <w:bidi w:val="0"/>
              <w:spacing w:line="140" w:lineRule="exact"/>
              <w:ind w:right="110"/>
              <w:jc w:val="right"/>
              <w:rPr>
                <w:i/>
                <w:iCs/>
                <w:sz w:val="12"/>
                <w:szCs w:val="12"/>
              </w:rPr>
            </w:pPr>
          </w:p>
        </w:tc>
        <w:tc>
          <w:tcPr>
            <w:tcW w:w="2682" w:type="dxa"/>
            <w:vAlign w:val="bottom"/>
          </w:tcPr>
          <w:p w14:paraId="4F2DD72F" w14:textId="77777777" w:rsidR="00C561BD" w:rsidRPr="00224C22" w:rsidRDefault="00C561BD" w:rsidP="00C561BD">
            <w:pPr>
              <w:tabs>
                <w:tab w:val="left" w:pos="227"/>
                <w:tab w:val="left" w:pos="397"/>
                <w:tab w:val="left" w:pos="567"/>
              </w:tabs>
              <w:spacing w:line="140" w:lineRule="exact"/>
              <w:jc w:val="left"/>
              <w:rPr>
                <w:sz w:val="16"/>
                <w:szCs w:val="16"/>
              </w:rPr>
            </w:pPr>
          </w:p>
        </w:tc>
        <w:tc>
          <w:tcPr>
            <w:tcW w:w="113" w:type="dxa"/>
            <w:vAlign w:val="bottom"/>
          </w:tcPr>
          <w:p w14:paraId="2CA4F919" w14:textId="77777777" w:rsidR="00C561BD" w:rsidRPr="00224C22" w:rsidRDefault="00C561BD" w:rsidP="00C561BD">
            <w:pPr>
              <w:spacing w:line="140" w:lineRule="exact"/>
              <w:jc w:val="left"/>
              <w:rPr>
                <w:sz w:val="16"/>
                <w:szCs w:val="16"/>
              </w:rPr>
            </w:pPr>
          </w:p>
        </w:tc>
        <w:tc>
          <w:tcPr>
            <w:tcW w:w="621" w:type="dxa"/>
            <w:tcBorders>
              <w:top w:val="single" w:sz="6" w:space="0" w:color="auto"/>
              <w:left w:val="nil"/>
              <w:bottom w:val="single" w:sz="6" w:space="0" w:color="auto"/>
              <w:right w:val="nil"/>
            </w:tcBorders>
            <w:vAlign w:val="bottom"/>
          </w:tcPr>
          <w:p w14:paraId="4FF4F173" w14:textId="77777777" w:rsidR="00C561BD" w:rsidRPr="00224C22" w:rsidRDefault="00C561BD" w:rsidP="00C561BD">
            <w:pPr>
              <w:spacing w:line="140" w:lineRule="exact"/>
              <w:jc w:val="center"/>
              <w:rPr>
                <w:sz w:val="16"/>
                <w:szCs w:val="16"/>
                <w:rtl/>
              </w:rPr>
            </w:pPr>
            <w:r w:rsidRPr="00224C22">
              <w:rPr>
                <w:rFonts w:hint="cs"/>
                <w:sz w:val="16"/>
                <w:szCs w:val="16"/>
                <w:rtl/>
              </w:rPr>
              <w:t>הון</w:t>
            </w:r>
          </w:p>
          <w:p w14:paraId="02DF998E" w14:textId="77777777" w:rsidR="00C561BD" w:rsidRPr="00224C22" w:rsidRDefault="00C561BD" w:rsidP="00C561BD">
            <w:pPr>
              <w:spacing w:line="140" w:lineRule="exact"/>
              <w:jc w:val="center"/>
              <w:rPr>
                <w:sz w:val="16"/>
                <w:szCs w:val="16"/>
              </w:rPr>
            </w:pPr>
            <w:r w:rsidRPr="00224C22">
              <w:rPr>
                <w:rFonts w:hint="cs"/>
                <w:sz w:val="16"/>
                <w:szCs w:val="16"/>
                <w:rtl/>
              </w:rPr>
              <w:t>מניות</w:t>
            </w:r>
          </w:p>
        </w:tc>
        <w:tc>
          <w:tcPr>
            <w:tcW w:w="112" w:type="dxa"/>
            <w:tcBorders>
              <w:top w:val="single" w:sz="6" w:space="0" w:color="auto"/>
              <w:left w:val="nil"/>
              <w:bottom w:val="nil"/>
              <w:right w:val="nil"/>
            </w:tcBorders>
            <w:vAlign w:val="bottom"/>
          </w:tcPr>
          <w:p w14:paraId="571288B8" w14:textId="77777777" w:rsidR="00C561BD" w:rsidRPr="00224C22" w:rsidRDefault="00C561BD" w:rsidP="00C561BD">
            <w:pPr>
              <w:spacing w:line="140" w:lineRule="exact"/>
              <w:jc w:val="left"/>
              <w:rPr>
                <w:sz w:val="16"/>
                <w:szCs w:val="16"/>
              </w:rPr>
            </w:pPr>
          </w:p>
        </w:tc>
        <w:tc>
          <w:tcPr>
            <w:tcW w:w="621" w:type="dxa"/>
            <w:tcBorders>
              <w:top w:val="single" w:sz="6" w:space="0" w:color="auto"/>
              <w:left w:val="nil"/>
              <w:bottom w:val="single" w:sz="6" w:space="0" w:color="auto"/>
              <w:right w:val="nil"/>
            </w:tcBorders>
            <w:vAlign w:val="bottom"/>
          </w:tcPr>
          <w:p w14:paraId="7D13D428" w14:textId="77777777" w:rsidR="00C561BD" w:rsidRPr="00224C22" w:rsidRDefault="00C561BD" w:rsidP="00C561BD">
            <w:pPr>
              <w:spacing w:line="140" w:lineRule="exact"/>
              <w:jc w:val="center"/>
              <w:rPr>
                <w:sz w:val="16"/>
                <w:szCs w:val="16"/>
                <w:rtl/>
              </w:rPr>
            </w:pPr>
            <w:r w:rsidRPr="00224C22">
              <w:rPr>
                <w:rFonts w:hint="cs"/>
                <w:sz w:val="16"/>
                <w:szCs w:val="16"/>
                <w:rtl/>
              </w:rPr>
              <w:t xml:space="preserve">פרמיה על </w:t>
            </w:r>
          </w:p>
          <w:p w14:paraId="7CBF0727" w14:textId="77777777" w:rsidR="00C561BD" w:rsidRPr="00224C22" w:rsidRDefault="00C561BD" w:rsidP="00C561BD">
            <w:pPr>
              <w:spacing w:line="140" w:lineRule="exact"/>
              <w:jc w:val="center"/>
              <w:rPr>
                <w:sz w:val="16"/>
                <w:szCs w:val="16"/>
              </w:rPr>
            </w:pPr>
            <w:r w:rsidRPr="00224C22">
              <w:rPr>
                <w:rFonts w:hint="cs"/>
                <w:sz w:val="16"/>
                <w:szCs w:val="16"/>
                <w:rtl/>
              </w:rPr>
              <w:t>מניות</w:t>
            </w:r>
          </w:p>
        </w:tc>
        <w:tc>
          <w:tcPr>
            <w:tcW w:w="113" w:type="dxa"/>
            <w:tcBorders>
              <w:top w:val="single" w:sz="6" w:space="0" w:color="auto"/>
              <w:left w:val="nil"/>
              <w:bottom w:val="nil"/>
              <w:right w:val="nil"/>
            </w:tcBorders>
            <w:vAlign w:val="bottom"/>
          </w:tcPr>
          <w:p w14:paraId="4782507D" w14:textId="77777777" w:rsidR="00C561BD" w:rsidRPr="00224C22" w:rsidRDefault="00C561BD" w:rsidP="00C561BD">
            <w:pPr>
              <w:spacing w:line="140" w:lineRule="exact"/>
              <w:jc w:val="center"/>
              <w:rPr>
                <w:sz w:val="16"/>
                <w:szCs w:val="16"/>
              </w:rPr>
            </w:pPr>
          </w:p>
        </w:tc>
        <w:tc>
          <w:tcPr>
            <w:tcW w:w="622" w:type="dxa"/>
            <w:tcBorders>
              <w:top w:val="single" w:sz="6" w:space="0" w:color="auto"/>
              <w:left w:val="nil"/>
              <w:bottom w:val="single" w:sz="6" w:space="0" w:color="auto"/>
              <w:right w:val="nil"/>
            </w:tcBorders>
            <w:vAlign w:val="bottom"/>
          </w:tcPr>
          <w:p w14:paraId="6D56A5D9" w14:textId="77777777" w:rsidR="00C561BD" w:rsidRPr="00224C22" w:rsidRDefault="00C561BD" w:rsidP="00C561BD">
            <w:pPr>
              <w:spacing w:line="140" w:lineRule="exact"/>
              <w:jc w:val="center"/>
              <w:rPr>
                <w:sz w:val="16"/>
                <w:szCs w:val="16"/>
                <w:rtl/>
              </w:rPr>
            </w:pPr>
            <w:r w:rsidRPr="00224C22">
              <w:rPr>
                <w:rFonts w:hint="cs"/>
                <w:sz w:val="16"/>
                <w:szCs w:val="16"/>
                <w:rtl/>
              </w:rPr>
              <w:t>כתבי</w:t>
            </w:r>
          </w:p>
          <w:p w14:paraId="302558E3" w14:textId="77777777" w:rsidR="00C561BD" w:rsidRPr="00224C22" w:rsidRDefault="00C561BD" w:rsidP="00C561BD">
            <w:pPr>
              <w:spacing w:line="140" w:lineRule="exact"/>
              <w:jc w:val="center"/>
              <w:rPr>
                <w:sz w:val="16"/>
                <w:szCs w:val="16"/>
              </w:rPr>
            </w:pPr>
            <w:r w:rsidRPr="00224C22">
              <w:rPr>
                <w:rFonts w:hint="cs"/>
                <w:sz w:val="16"/>
                <w:szCs w:val="16"/>
                <w:rtl/>
              </w:rPr>
              <w:t xml:space="preserve"> אופציה</w:t>
            </w:r>
          </w:p>
        </w:tc>
        <w:tc>
          <w:tcPr>
            <w:tcW w:w="113" w:type="dxa"/>
            <w:tcBorders>
              <w:top w:val="single" w:sz="6" w:space="0" w:color="auto"/>
              <w:left w:val="nil"/>
              <w:bottom w:val="nil"/>
              <w:right w:val="nil"/>
            </w:tcBorders>
            <w:vAlign w:val="bottom"/>
          </w:tcPr>
          <w:p w14:paraId="23CFDB67" w14:textId="77777777" w:rsidR="00C561BD" w:rsidRPr="00224C22" w:rsidRDefault="00C561BD" w:rsidP="00C561BD">
            <w:pPr>
              <w:spacing w:line="140" w:lineRule="exact"/>
              <w:jc w:val="center"/>
              <w:rPr>
                <w:sz w:val="16"/>
                <w:szCs w:val="16"/>
              </w:rPr>
            </w:pPr>
          </w:p>
        </w:tc>
        <w:tc>
          <w:tcPr>
            <w:tcW w:w="677" w:type="dxa"/>
            <w:tcBorders>
              <w:top w:val="single" w:sz="6" w:space="0" w:color="auto"/>
              <w:left w:val="nil"/>
              <w:bottom w:val="single" w:sz="6" w:space="0" w:color="auto"/>
              <w:right w:val="nil"/>
            </w:tcBorders>
            <w:vAlign w:val="bottom"/>
          </w:tcPr>
          <w:p w14:paraId="7820B736" w14:textId="1020C72D" w:rsidR="00C561BD" w:rsidRPr="00224C22" w:rsidRDefault="00516850" w:rsidP="00C561BD">
            <w:pPr>
              <w:spacing w:line="140" w:lineRule="exact"/>
              <w:jc w:val="center"/>
              <w:rPr>
                <w:sz w:val="16"/>
                <w:szCs w:val="16"/>
              </w:rPr>
            </w:pPr>
            <w:r w:rsidRPr="00224C22">
              <w:rPr>
                <w:rFonts w:hint="cs"/>
                <w:sz w:val="16"/>
                <w:szCs w:val="16"/>
                <w:rtl/>
              </w:rPr>
              <w:t>קרן בגין עסקאות  עם בעלי זכויות שאינן מקנות שליטה</w:t>
            </w:r>
            <w:r w:rsidRPr="00224C22">
              <w:rPr>
                <w:rStyle w:val="ab"/>
                <w:sz w:val="16"/>
                <w:szCs w:val="16"/>
                <w:rtl/>
              </w:rPr>
              <w:footnoteReference w:id="31"/>
            </w:r>
          </w:p>
        </w:tc>
        <w:tc>
          <w:tcPr>
            <w:tcW w:w="113" w:type="dxa"/>
            <w:tcBorders>
              <w:top w:val="single" w:sz="6" w:space="0" w:color="auto"/>
              <w:left w:val="nil"/>
              <w:bottom w:val="nil"/>
              <w:right w:val="nil"/>
            </w:tcBorders>
            <w:vAlign w:val="bottom"/>
          </w:tcPr>
          <w:p w14:paraId="1A2186AF" w14:textId="77777777" w:rsidR="00C561BD" w:rsidRPr="00224C22" w:rsidRDefault="00C561BD" w:rsidP="00C561BD">
            <w:pPr>
              <w:spacing w:line="140" w:lineRule="exact"/>
              <w:jc w:val="center"/>
              <w:rPr>
                <w:sz w:val="16"/>
                <w:szCs w:val="16"/>
              </w:rPr>
            </w:pPr>
          </w:p>
        </w:tc>
        <w:tc>
          <w:tcPr>
            <w:tcW w:w="622" w:type="dxa"/>
            <w:tcBorders>
              <w:top w:val="single" w:sz="6" w:space="0" w:color="auto"/>
              <w:left w:val="nil"/>
              <w:bottom w:val="single" w:sz="6" w:space="0" w:color="auto"/>
              <w:right w:val="nil"/>
            </w:tcBorders>
            <w:vAlign w:val="bottom"/>
          </w:tcPr>
          <w:p w14:paraId="1338A8FD" w14:textId="77777777" w:rsidR="00C561BD" w:rsidRPr="00224C22" w:rsidRDefault="00C561BD" w:rsidP="00C561BD">
            <w:pPr>
              <w:spacing w:line="140" w:lineRule="exact"/>
              <w:jc w:val="center"/>
              <w:rPr>
                <w:sz w:val="16"/>
                <w:szCs w:val="16"/>
                <w:rtl/>
              </w:rPr>
            </w:pPr>
            <w:r w:rsidRPr="00224C22">
              <w:rPr>
                <w:rFonts w:hint="cs"/>
                <w:sz w:val="16"/>
                <w:szCs w:val="16"/>
                <w:rtl/>
              </w:rPr>
              <w:t xml:space="preserve">מניות </w:t>
            </w:r>
          </w:p>
          <w:p w14:paraId="7FB7BB56" w14:textId="77777777" w:rsidR="00C561BD" w:rsidRPr="00224C22" w:rsidRDefault="00C561BD" w:rsidP="00C561BD">
            <w:pPr>
              <w:spacing w:line="140" w:lineRule="exact"/>
              <w:jc w:val="center"/>
              <w:rPr>
                <w:sz w:val="16"/>
                <w:szCs w:val="16"/>
              </w:rPr>
            </w:pPr>
            <w:r w:rsidRPr="00224C22">
              <w:rPr>
                <w:rFonts w:hint="cs"/>
                <w:sz w:val="16"/>
                <w:szCs w:val="16"/>
                <w:rtl/>
              </w:rPr>
              <w:t>אוצר</w:t>
            </w:r>
          </w:p>
        </w:tc>
        <w:tc>
          <w:tcPr>
            <w:tcW w:w="113" w:type="dxa"/>
            <w:tcBorders>
              <w:top w:val="single" w:sz="6" w:space="0" w:color="auto"/>
              <w:left w:val="nil"/>
              <w:bottom w:val="nil"/>
              <w:right w:val="nil"/>
            </w:tcBorders>
            <w:vAlign w:val="bottom"/>
          </w:tcPr>
          <w:p w14:paraId="469AD2BE" w14:textId="77777777" w:rsidR="00C561BD" w:rsidRPr="00224C22" w:rsidRDefault="00C561BD" w:rsidP="00C561BD">
            <w:pPr>
              <w:spacing w:line="140" w:lineRule="exact"/>
              <w:jc w:val="center"/>
              <w:rPr>
                <w:sz w:val="16"/>
                <w:szCs w:val="16"/>
              </w:rPr>
            </w:pPr>
          </w:p>
        </w:tc>
        <w:tc>
          <w:tcPr>
            <w:tcW w:w="622" w:type="dxa"/>
            <w:gridSpan w:val="2"/>
            <w:tcBorders>
              <w:top w:val="single" w:sz="6" w:space="0" w:color="auto"/>
              <w:left w:val="nil"/>
              <w:bottom w:val="single" w:sz="6" w:space="0" w:color="auto"/>
              <w:right w:val="nil"/>
            </w:tcBorders>
            <w:vAlign w:val="bottom"/>
          </w:tcPr>
          <w:p w14:paraId="3C93B0A5" w14:textId="77777777" w:rsidR="00C561BD" w:rsidRPr="00224C22" w:rsidRDefault="00C561BD" w:rsidP="00C561BD">
            <w:pPr>
              <w:spacing w:line="140" w:lineRule="exact"/>
              <w:jc w:val="center"/>
              <w:rPr>
                <w:sz w:val="16"/>
                <w:szCs w:val="16"/>
              </w:rPr>
            </w:pPr>
            <w:r w:rsidRPr="00224C22">
              <w:rPr>
                <w:rFonts w:hint="cs"/>
                <w:sz w:val="16"/>
                <w:szCs w:val="16"/>
                <w:rtl/>
              </w:rPr>
              <w:t>קרן בגין עסקה עם בעל שליטה</w:t>
            </w:r>
          </w:p>
        </w:tc>
        <w:tc>
          <w:tcPr>
            <w:tcW w:w="113" w:type="dxa"/>
            <w:tcBorders>
              <w:top w:val="single" w:sz="6" w:space="0" w:color="auto"/>
              <w:left w:val="nil"/>
              <w:bottom w:val="nil"/>
              <w:right w:val="nil"/>
            </w:tcBorders>
            <w:vAlign w:val="bottom"/>
          </w:tcPr>
          <w:p w14:paraId="08EC79D2" w14:textId="77777777" w:rsidR="00C561BD" w:rsidRPr="00224C22" w:rsidRDefault="00C561BD" w:rsidP="00C561BD">
            <w:pPr>
              <w:spacing w:line="140" w:lineRule="exact"/>
              <w:jc w:val="center"/>
              <w:rPr>
                <w:sz w:val="16"/>
                <w:szCs w:val="16"/>
              </w:rPr>
            </w:pPr>
          </w:p>
        </w:tc>
        <w:tc>
          <w:tcPr>
            <w:tcW w:w="734" w:type="dxa"/>
            <w:tcBorders>
              <w:top w:val="single" w:sz="6" w:space="0" w:color="auto"/>
              <w:left w:val="nil"/>
              <w:bottom w:val="single" w:sz="6" w:space="0" w:color="auto"/>
              <w:right w:val="nil"/>
            </w:tcBorders>
            <w:vAlign w:val="bottom"/>
          </w:tcPr>
          <w:p w14:paraId="730A1287"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קרן בגין עסקאות תשלום מבוסס מניות</w:t>
            </w:r>
            <w:r w:rsidRPr="00224C22" w:rsidDel="00FD1F23">
              <w:rPr>
                <w:rFonts w:hint="cs"/>
                <w:sz w:val="16"/>
                <w:szCs w:val="16"/>
                <w:rtl/>
              </w:rPr>
              <w:t xml:space="preserve"> </w:t>
            </w:r>
          </w:p>
        </w:tc>
        <w:tc>
          <w:tcPr>
            <w:tcW w:w="113" w:type="dxa"/>
            <w:tcBorders>
              <w:top w:val="single" w:sz="6" w:space="0" w:color="auto"/>
              <w:left w:val="nil"/>
              <w:bottom w:val="nil"/>
              <w:right w:val="nil"/>
            </w:tcBorders>
            <w:vAlign w:val="bottom"/>
          </w:tcPr>
          <w:p w14:paraId="6475A972" w14:textId="77777777" w:rsidR="00C561BD" w:rsidRPr="00224C22" w:rsidRDefault="00C561BD" w:rsidP="00C561BD">
            <w:pPr>
              <w:spacing w:line="140" w:lineRule="exact"/>
              <w:jc w:val="center"/>
              <w:rPr>
                <w:sz w:val="16"/>
                <w:szCs w:val="16"/>
              </w:rPr>
            </w:pPr>
          </w:p>
        </w:tc>
        <w:tc>
          <w:tcPr>
            <w:tcW w:w="622" w:type="dxa"/>
            <w:tcBorders>
              <w:top w:val="single" w:sz="6" w:space="0" w:color="auto"/>
              <w:left w:val="nil"/>
              <w:bottom w:val="single" w:sz="6" w:space="0" w:color="auto"/>
              <w:right w:val="nil"/>
            </w:tcBorders>
            <w:vAlign w:val="bottom"/>
          </w:tcPr>
          <w:p w14:paraId="10F2638B"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יתרת</w:t>
            </w:r>
          </w:p>
          <w:p w14:paraId="3DE178E7"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 xml:space="preserve"> רווח (הפסד)</w:t>
            </w:r>
          </w:p>
        </w:tc>
        <w:tc>
          <w:tcPr>
            <w:tcW w:w="113" w:type="dxa"/>
            <w:tcBorders>
              <w:top w:val="single" w:sz="6" w:space="0" w:color="auto"/>
              <w:left w:val="nil"/>
              <w:bottom w:val="nil"/>
              <w:right w:val="nil"/>
            </w:tcBorders>
            <w:vAlign w:val="bottom"/>
          </w:tcPr>
          <w:p w14:paraId="0DE8129C" w14:textId="77777777" w:rsidR="00C561BD" w:rsidRPr="00224C22" w:rsidRDefault="00C561BD" w:rsidP="00C561BD">
            <w:pPr>
              <w:spacing w:line="140" w:lineRule="exact"/>
              <w:jc w:val="center"/>
              <w:rPr>
                <w:sz w:val="16"/>
                <w:szCs w:val="16"/>
              </w:rPr>
            </w:pPr>
          </w:p>
        </w:tc>
        <w:tc>
          <w:tcPr>
            <w:tcW w:w="622" w:type="dxa"/>
            <w:tcBorders>
              <w:top w:val="single" w:sz="6" w:space="0" w:color="auto"/>
              <w:left w:val="nil"/>
              <w:bottom w:val="single" w:sz="6" w:space="0" w:color="auto"/>
              <w:right w:val="nil"/>
            </w:tcBorders>
            <w:shd w:val="clear" w:color="auto" w:fill="auto"/>
            <w:vAlign w:val="bottom"/>
          </w:tcPr>
          <w:p w14:paraId="1B1E923D"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קרן הערכה מחדש</w:t>
            </w:r>
          </w:p>
        </w:tc>
        <w:tc>
          <w:tcPr>
            <w:tcW w:w="113" w:type="dxa"/>
            <w:tcBorders>
              <w:top w:val="single" w:sz="6" w:space="0" w:color="auto"/>
              <w:left w:val="nil"/>
              <w:right w:val="nil"/>
            </w:tcBorders>
            <w:shd w:val="clear" w:color="auto" w:fill="auto"/>
          </w:tcPr>
          <w:p w14:paraId="7EDCDE09" w14:textId="77777777" w:rsidR="00C561BD" w:rsidRPr="00224C22" w:rsidRDefault="00C561BD" w:rsidP="00C561BD">
            <w:pPr>
              <w:pStyle w:val="a3"/>
              <w:widowControl/>
              <w:spacing w:line="140" w:lineRule="exact"/>
              <w:ind w:left="0"/>
              <w:jc w:val="center"/>
              <w:rPr>
                <w:sz w:val="16"/>
                <w:szCs w:val="16"/>
                <w:rtl/>
              </w:rPr>
            </w:pPr>
          </w:p>
        </w:tc>
        <w:tc>
          <w:tcPr>
            <w:tcW w:w="677" w:type="dxa"/>
            <w:tcBorders>
              <w:top w:val="single" w:sz="6" w:space="0" w:color="auto"/>
              <w:left w:val="nil"/>
              <w:bottom w:val="single" w:sz="6" w:space="0" w:color="auto"/>
              <w:right w:val="nil"/>
            </w:tcBorders>
            <w:shd w:val="clear" w:color="auto" w:fill="auto"/>
            <w:vAlign w:val="bottom"/>
          </w:tcPr>
          <w:p w14:paraId="7A3F0217" w14:textId="09625BB1" w:rsidR="00C561BD" w:rsidRPr="00224C22" w:rsidRDefault="00C561BD" w:rsidP="00827093">
            <w:pPr>
              <w:pStyle w:val="a3"/>
              <w:widowControl/>
              <w:spacing w:line="140" w:lineRule="exact"/>
              <w:ind w:left="0"/>
              <w:jc w:val="center"/>
              <w:rPr>
                <w:sz w:val="16"/>
                <w:szCs w:val="16"/>
                <w:rtl/>
              </w:rPr>
            </w:pPr>
            <w:r w:rsidRPr="00224C22">
              <w:rPr>
                <w:rFonts w:hint="cs"/>
                <w:sz w:val="16"/>
                <w:szCs w:val="16"/>
                <w:rtl/>
              </w:rPr>
              <w:t xml:space="preserve">קרן בגין נכסים פיננסיים </w:t>
            </w:r>
            <w:r w:rsidR="00827093">
              <w:rPr>
                <w:rFonts w:hint="cs"/>
                <w:sz w:val="16"/>
                <w:szCs w:val="16"/>
                <w:rtl/>
              </w:rPr>
              <w:t>הנמדדים בשווי הוגן דרך רווח כולל אחר</w:t>
            </w:r>
          </w:p>
        </w:tc>
        <w:tc>
          <w:tcPr>
            <w:tcW w:w="113" w:type="dxa"/>
            <w:tcBorders>
              <w:top w:val="single" w:sz="6" w:space="0" w:color="auto"/>
              <w:left w:val="nil"/>
              <w:right w:val="nil"/>
            </w:tcBorders>
            <w:shd w:val="clear" w:color="auto" w:fill="auto"/>
          </w:tcPr>
          <w:p w14:paraId="5E403240" w14:textId="77777777" w:rsidR="00C561BD" w:rsidRPr="00224C22" w:rsidRDefault="00C561BD" w:rsidP="00C561BD">
            <w:pPr>
              <w:pStyle w:val="a3"/>
              <w:widowControl/>
              <w:spacing w:line="140" w:lineRule="exact"/>
              <w:ind w:left="0"/>
              <w:jc w:val="center"/>
              <w:rPr>
                <w:sz w:val="16"/>
                <w:szCs w:val="16"/>
                <w:rtl/>
              </w:rPr>
            </w:pPr>
          </w:p>
        </w:tc>
        <w:tc>
          <w:tcPr>
            <w:tcW w:w="622" w:type="dxa"/>
            <w:tcBorders>
              <w:top w:val="single" w:sz="6" w:space="0" w:color="auto"/>
              <w:left w:val="nil"/>
              <w:bottom w:val="single" w:sz="6" w:space="0" w:color="auto"/>
              <w:right w:val="nil"/>
            </w:tcBorders>
            <w:shd w:val="clear" w:color="auto" w:fill="auto"/>
            <w:vAlign w:val="bottom"/>
          </w:tcPr>
          <w:p w14:paraId="5FD4B1DE"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קרן</w:t>
            </w:r>
          </w:p>
          <w:p w14:paraId="7DB86BB5"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 xml:space="preserve"> בגין עסקאות גידור</w:t>
            </w:r>
          </w:p>
        </w:tc>
        <w:tc>
          <w:tcPr>
            <w:tcW w:w="113" w:type="dxa"/>
            <w:tcBorders>
              <w:top w:val="single" w:sz="6" w:space="0" w:color="auto"/>
              <w:left w:val="nil"/>
              <w:right w:val="nil"/>
            </w:tcBorders>
            <w:shd w:val="clear" w:color="auto" w:fill="auto"/>
            <w:vAlign w:val="bottom"/>
          </w:tcPr>
          <w:p w14:paraId="27090BB2" w14:textId="77777777" w:rsidR="00C561BD" w:rsidRPr="00224C22" w:rsidRDefault="00C561BD" w:rsidP="00C561BD">
            <w:pPr>
              <w:pStyle w:val="a3"/>
              <w:widowControl/>
              <w:spacing w:line="140" w:lineRule="exact"/>
              <w:ind w:left="0"/>
              <w:jc w:val="center"/>
              <w:rPr>
                <w:sz w:val="16"/>
                <w:szCs w:val="16"/>
                <w:rtl/>
              </w:rPr>
            </w:pPr>
          </w:p>
        </w:tc>
        <w:tc>
          <w:tcPr>
            <w:tcW w:w="677" w:type="dxa"/>
            <w:tcBorders>
              <w:top w:val="single" w:sz="6" w:space="0" w:color="auto"/>
              <w:left w:val="nil"/>
              <w:bottom w:val="single" w:sz="6" w:space="0" w:color="auto"/>
              <w:right w:val="nil"/>
            </w:tcBorders>
            <w:shd w:val="clear" w:color="auto" w:fill="auto"/>
            <w:vAlign w:val="bottom"/>
          </w:tcPr>
          <w:p w14:paraId="211278C4"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התאמות הנובעות מתרגום דוחות כספיים של פעילויות חוץ</w:t>
            </w:r>
            <w:r w:rsidRPr="00224C22">
              <w:rPr>
                <w:rStyle w:val="ab"/>
                <w:sz w:val="16"/>
                <w:szCs w:val="16"/>
                <w:rtl/>
              </w:rPr>
              <w:footnoteReference w:id="32"/>
            </w:r>
            <w:r w:rsidRPr="00224C22">
              <w:rPr>
                <w:rFonts w:hint="cs"/>
                <w:sz w:val="16"/>
                <w:szCs w:val="16"/>
                <w:rtl/>
              </w:rPr>
              <w:t xml:space="preserve"> </w:t>
            </w:r>
          </w:p>
        </w:tc>
        <w:tc>
          <w:tcPr>
            <w:tcW w:w="113" w:type="dxa"/>
            <w:tcBorders>
              <w:top w:val="single" w:sz="6" w:space="0" w:color="auto"/>
              <w:left w:val="nil"/>
              <w:right w:val="nil"/>
            </w:tcBorders>
            <w:shd w:val="clear" w:color="auto" w:fill="auto"/>
            <w:vAlign w:val="bottom"/>
          </w:tcPr>
          <w:p w14:paraId="5CAFCD85" w14:textId="77777777" w:rsidR="00C561BD" w:rsidRPr="00224C22" w:rsidRDefault="00C561BD" w:rsidP="00C561BD">
            <w:pPr>
              <w:pStyle w:val="a3"/>
              <w:widowControl/>
              <w:spacing w:line="140" w:lineRule="exact"/>
              <w:ind w:left="0"/>
              <w:jc w:val="center"/>
              <w:rPr>
                <w:sz w:val="16"/>
                <w:szCs w:val="16"/>
                <w:rtl/>
              </w:rPr>
            </w:pPr>
          </w:p>
        </w:tc>
        <w:tc>
          <w:tcPr>
            <w:tcW w:w="677" w:type="dxa"/>
            <w:tcBorders>
              <w:top w:val="single" w:sz="6" w:space="0" w:color="auto"/>
              <w:left w:val="nil"/>
              <w:bottom w:val="single" w:sz="6" w:space="0" w:color="auto"/>
              <w:right w:val="nil"/>
            </w:tcBorders>
            <w:shd w:val="clear" w:color="auto" w:fill="auto"/>
            <w:vAlign w:val="bottom"/>
          </w:tcPr>
          <w:p w14:paraId="5F6C4ABF" w14:textId="0043FE3E" w:rsidR="00C561BD" w:rsidRPr="00224C22" w:rsidRDefault="00516850" w:rsidP="00C561BD">
            <w:pPr>
              <w:pStyle w:val="a3"/>
              <w:widowControl/>
              <w:spacing w:line="140" w:lineRule="exact"/>
              <w:ind w:left="0"/>
              <w:jc w:val="center"/>
              <w:rPr>
                <w:sz w:val="16"/>
                <w:szCs w:val="16"/>
                <w:rtl/>
              </w:rPr>
            </w:pPr>
            <w:r>
              <w:rPr>
                <w:rFonts w:hint="cs"/>
                <w:sz w:val="16"/>
                <w:szCs w:val="16"/>
                <w:rtl/>
              </w:rPr>
              <w:t>קרן בגין מדידה מחדש בשל תכנית להטבה מוגדרת</w:t>
            </w:r>
          </w:p>
        </w:tc>
        <w:tc>
          <w:tcPr>
            <w:tcW w:w="113" w:type="dxa"/>
            <w:tcBorders>
              <w:left w:val="nil"/>
              <w:right w:val="nil"/>
            </w:tcBorders>
            <w:vAlign w:val="bottom"/>
          </w:tcPr>
          <w:p w14:paraId="587C5CA6" w14:textId="77777777" w:rsidR="00C561BD" w:rsidRPr="00224C22" w:rsidRDefault="00C561BD" w:rsidP="00C561BD">
            <w:pPr>
              <w:spacing w:line="140" w:lineRule="exact"/>
              <w:jc w:val="center"/>
              <w:rPr>
                <w:sz w:val="16"/>
                <w:szCs w:val="16"/>
              </w:rPr>
            </w:pPr>
          </w:p>
        </w:tc>
        <w:tc>
          <w:tcPr>
            <w:tcW w:w="677" w:type="dxa"/>
            <w:tcBorders>
              <w:left w:val="nil"/>
              <w:bottom w:val="single" w:sz="6" w:space="0" w:color="auto"/>
              <w:right w:val="nil"/>
            </w:tcBorders>
            <w:shd w:val="clear" w:color="auto" w:fill="auto"/>
            <w:vAlign w:val="bottom"/>
          </w:tcPr>
          <w:p w14:paraId="35FB2F49" w14:textId="77777777" w:rsidR="00C561BD" w:rsidRPr="00224C22" w:rsidRDefault="00C561BD" w:rsidP="00C561BD">
            <w:pPr>
              <w:spacing w:line="140" w:lineRule="exact"/>
              <w:jc w:val="center"/>
              <w:rPr>
                <w:sz w:val="16"/>
                <w:szCs w:val="16"/>
              </w:rPr>
            </w:pPr>
            <w:r w:rsidRPr="00224C22">
              <w:rPr>
                <w:rFonts w:hint="cs"/>
                <w:sz w:val="16"/>
                <w:szCs w:val="16"/>
                <w:rtl/>
              </w:rPr>
              <w:t>סה"כ</w:t>
            </w:r>
          </w:p>
        </w:tc>
        <w:tc>
          <w:tcPr>
            <w:tcW w:w="113" w:type="dxa"/>
            <w:vAlign w:val="bottom"/>
          </w:tcPr>
          <w:p w14:paraId="0051DB57" w14:textId="77777777" w:rsidR="00C561BD" w:rsidRPr="00224C22" w:rsidRDefault="00C561BD" w:rsidP="00C561BD">
            <w:pPr>
              <w:spacing w:line="140" w:lineRule="exact"/>
              <w:jc w:val="center"/>
              <w:rPr>
                <w:sz w:val="16"/>
                <w:szCs w:val="16"/>
              </w:rPr>
            </w:pPr>
          </w:p>
        </w:tc>
        <w:tc>
          <w:tcPr>
            <w:tcW w:w="622" w:type="dxa"/>
            <w:tcBorders>
              <w:left w:val="nil"/>
              <w:bottom w:val="single" w:sz="6" w:space="0" w:color="auto"/>
              <w:right w:val="nil"/>
            </w:tcBorders>
            <w:shd w:val="clear" w:color="auto" w:fill="auto"/>
            <w:vAlign w:val="bottom"/>
          </w:tcPr>
          <w:p w14:paraId="5F584795" w14:textId="77777777" w:rsidR="00C561BD" w:rsidRPr="00224C22" w:rsidRDefault="00C561BD" w:rsidP="00C561BD">
            <w:pPr>
              <w:spacing w:line="140" w:lineRule="exact"/>
              <w:jc w:val="center"/>
              <w:rPr>
                <w:sz w:val="16"/>
                <w:szCs w:val="16"/>
              </w:rPr>
            </w:pPr>
            <w:r w:rsidRPr="00224C22">
              <w:rPr>
                <w:rFonts w:hint="cs"/>
                <w:sz w:val="16"/>
                <w:szCs w:val="16"/>
                <w:rtl/>
              </w:rPr>
              <w:t>זכויות שאינן מקנות שליטה</w:t>
            </w:r>
          </w:p>
        </w:tc>
        <w:tc>
          <w:tcPr>
            <w:tcW w:w="113" w:type="dxa"/>
            <w:vAlign w:val="bottom"/>
          </w:tcPr>
          <w:p w14:paraId="58BF1B10" w14:textId="77777777" w:rsidR="00C561BD" w:rsidRPr="00224C22" w:rsidRDefault="00C561BD" w:rsidP="00C561BD">
            <w:pPr>
              <w:spacing w:line="140" w:lineRule="exact"/>
              <w:jc w:val="center"/>
              <w:rPr>
                <w:sz w:val="16"/>
                <w:szCs w:val="16"/>
              </w:rPr>
            </w:pPr>
          </w:p>
        </w:tc>
        <w:tc>
          <w:tcPr>
            <w:tcW w:w="607" w:type="dxa"/>
            <w:tcBorders>
              <w:left w:val="nil"/>
              <w:bottom w:val="single" w:sz="6" w:space="0" w:color="auto"/>
              <w:right w:val="nil"/>
            </w:tcBorders>
            <w:shd w:val="clear" w:color="auto" w:fill="auto"/>
            <w:vAlign w:val="bottom"/>
          </w:tcPr>
          <w:p w14:paraId="367E074F" w14:textId="77777777" w:rsidR="00C561BD" w:rsidRPr="00224C22" w:rsidRDefault="00C561BD" w:rsidP="00C561BD">
            <w:pPr>
              <w:spacing w:line="140" w:lineRule="exact"/>
              <w:jc w:val="center"/>
              <w:rPr>
                <w:sz w:val="16"/>
                <w:szCs w:val="16"/>
                <w:rtl/>
              </w:rPr>
            </w:pPr>
            <w:r w:rsidRPr="00224C22">
              <w:rPr>
                <w:rFonts w:hint="cs"/>
                <w:sz w:val="16"/>
                <w:szCs w:val="16"/>
                <w:rtl/>
              </w:rPr>
              <w:t xml:space="preserve">סה"כ </w:t>
            </w:r>
          </w:p>
          <w:p w14:paraId="1BEB3B04" w14:textId="77777777" w:rsidR="00C561BD" w:rsidRPr="00224C22" w:rsidRDefault="00C561BD" w:rsidP="00C561BD">
            <w:pPr>
              <w:spacing w:line="140" w:lineRule="exact"/>
              <w:jc w:val="center"/>
              <w:rPr>
                <w:sz w:val="16"/>
                <w:szCs w:val="16"/>
              </w:rPr>
            </w:pPr>
            <w:r w:rsidRPr="00224C22">
              <w:rPr>
                <w:rFonts w:hint="cs"/>
                <w:sz w:val="16"/>
                <w:szCs w:val="16"/>
                <w:rtl/>
              </w:rPr>
              <w:t>הון</w:t>
            </w:r>
          </w:p>
        </w:tc>
      </w:tr>
      <w:tr w:rsidR="00C561BD" w:rsidRPr="00224C22" w14:paraId="0F4CB7A5" w14:textId="77777777" w:rsidTr="00C20882">
        <w:tc>
          <w:tcPr>
            <w:tcW w:w="972" w:type="dxa"/>
            <w:vAlign w:val="center"/>
          </w:tcPr>
          <w:p w14:paraId="068448FF" w14:textId="77777777" w:rsidR="00C561BD" w:rsidRPr="00224C22" w:rsidRDefault="00C561BD" w:rsidP="00C561BD">
            <w:pPr>
              <w:pStyle w:val="a3"/>
              <w:bidi w:val="0"/>
              <w:spacing w:line="140" w:lineRule="exact"/>
              <w:ind w:left="0" w:right="110"/>
              <w:jc w:val="right"/>
              <w:rPr>
                <w:b/>
                <w:i/>
                <w:iCs/>
                <w:sz w:val="12"/>
                <w:szCs w:val="12"/>
              </w:rPr>
            </w:pPr>
          </w:p>
        </w:tc>
        <w:tc>
          <w:tcPr>
            <w:tcW w:w="2682" w:type="dxa"/>
            <w:vAlign w:val="bottom"/>
          </w:tcPr>
          <w:p w14:paraId="1BF103E1" w14:textId="77777777" w:rsidR="00C561BD" w:rsidRPr="00224C22" w:rsidRDefault="00C561BD" w:rsidP="00C561BD">
            <w:pPr>
              <w:pStyle w:val="a3"/>
              <w:tabs>
                <w:tab w:val="left" w:pos="227"/>
                <w:tab w:val="left" w:pos="397"/>
                <w:tab w:val="left" w:pos="567"/>
              </w:tabs>
              <w:spacing w:line="140" w:lineRule="exact"/>
              <w:ind w:left="0"/>
              <w:rPr>
                <w:b/>
                <w:sz w:val="16"/>
                <w:szCs w:val="16"/>
                <w:u w:val="single"/>
              </w:rPr>
            </w:pPr>
          </w:p>
        </w:tc>
        <w:tc>
          <w:tcPr>
            <w:tcW w:w="113" w:type="dxa"/>
            <w:vAlign w:val="bottom"/>
          </w:tcPr>
          <w:p w14:paraId="082E8CC8" w14:textId="77777777" w:rsidR="00C561BD" w:rsidRPr="00224C22" w:rsidRDefault="00C561BD" w:rsidP="00C561BD">
            <w:pPr>
              <w:spacing w:line="140" w:lineRule="exact"/>
              <w:jc w:val="left"/>
              <w:rPr>
                <w:sz w:val="16"/>
                <w:szCs w:val="16"/>
              </w:rPr>
            </w:pPr>
          </w:p>
        </w:tc>
        <w:tc>
          <w:tcPr>
            <w:tcW w:w="12016" w:type="dxa"/>
            <w:gridSpan w:val="32"/>
            <w:tcBorders>
              <w:left w:val="nil"/>
              <w:bottom w:val="single" w:sz="6" w:space="0" w:color="auto"/>
              <w:right w:val="nil"/>
            </w:tcBorders>
            <w:shd w:val="clear" w:color="auto" w:fill="auto"/>
            <w:vAlign w:val="bottom"/>
          </w:tcPr>
          <w:p w14:paraId="7CDB976A" w14:textId="77777777" w:rsidR="00C561BD" w:rsidRPr="00224C22" w:rsidRDefault="00C561BD" w:rsidP="00C561BD">
            <w:pPr>
              <w:tabs>
                <w:tab w:val="decimal" w:pos="113"/>
              </w:tabs>
              <w:spacing w:line="140" w:lineRule="exact"/>
              <w:jc w:val="center"/>
              <w:rPr>
                <w:sz w:val="16"/>
                <w:szCs w:val="16"/>
                <w:rtl/>
              </w:rPr>
            </w:pPr>
            <w:r w:rsidRPr="00224C22">
              <w:rPr>
                <w:rFonts w:hint="cs"/>
                <w:sz w:val="16"/>
                <w:szCs w:val="16"/>
                <w:rtl/>
              </w:rPr>
              <w:t>בלתי מבוקר</w:t>
            </w:r>
          </w:p>
        </w:tc>
      </w:tr>
      <w:tr w:rsidR="00C561BD" w:rsidRPr="00224C22" w14:paraId="3B3F2852" w14:textId="77777777" w:rsidTr="00C20882">
        <w:tc>
          <w:tcPr>
            <w:tcW w:w="972" w:type="dxa"/>
            <w:vAlign w:val="center"/>
          </w:tcPr>
          <w:p w14:paraId="0D2DEB6B" w14:textId="77777777" w:rsidR="00C561BD" w:rsidRPr="00224C22" w:rsidRDefault="00C561BD" w:rsidP="00C561BD">
            <w:pPr>
              <w:pStyle w:val="a3"/>
              <w:bidi w:val="0"/>
              <w:spacing w:line="140" w:lineRule="exact"/>
              <w:ind w:left="0" w:right="110"/>
              <w:jc w:val="right"/>
              <w:rPr>
                <w:b/>
                <w:i/>
                <w:iCs/>
                <w:sz w:val="12"/>
                <w:szCs w:val="12"/>
              </w:rPr>
            </w:pPr>
          </w:p>
        </w:tc>
        <w:tc>
          <w:tcPr>
            <w:tcW w:w="2682" w:type="dxa"/>
            <w:vAlign w:val="bottom"/>
          </w:tcPr>
          <w:p w14:paraId="35AD1D5F" w14:textId="77777777" w:rsidR="00C561BD" w:rsidRPr="00224C22" w:rsidRDefault="00C561BD" w:rsidP="00C561BD">
            <w:pPr>
              <w:pStyle w:val="a3"/>
              <w:tabs>
                <w:tab w:val="left" w:pos="227"/>
                <w:tab w:val="left" w:pos="397"/>
                <w:tab w:val="left" w:pos="567"/>
              </w:tabs>
              <w:spacing w:line="140" w:lineRule="exact"/>
              <w:ind w:left="0"/>
              <w:rPr>
                <w:b/>
                <w:sz w:val="16"/>
                <w:szCs w:val="16"/>
                <w:u w:val="single"/>
              </w:rPr>
            </w:pPr>
          </w:p>
        </w:tc>
        <w:tc>
          <w:tcPr>
            <w:tcW w:w="113" w:type="dxa"/>
            <w:vAlign w:val="bottom"/>
          </w:tcPr>
          <w:p w14:paraId="4D4C9383" w14:textId="77777777" w:rsidR="00C561BD" w:rsidRPr="00224C22" w:rsidRDefault="00C561BD" w:rsidP="00C561BD">
            <w:pPr>
              <w:spacing w:line="140" w:lineRule="exact"/>
              <w:jc w:val="left"/>
              <w:rPr>
                <w:sz w:val="16"/>
                <w:szCs w:val="16"/>
              </w:rPr>
            </w:pPr>
          </w:p>
        </w:tc>
        <w:tc>
          <w:tcPr>
            <w:tcW w:w="3973" w:type="dxa"/>
            <w:gridSpan w:val="11"/>
            <w:tcBorders>
              <w:left w:val="nil"/>
              <w:bottom w:val="single" w:sz="6" w:space="0" w:color="auto"/>
              <w:right w:val="nil"/>
            </w:tcBorders>
            <w:shd w:val="clear" w:color="auto" w:fill="auto"/>
            <w:vAlign w:val="bottom"/>
          </w:tcPr>
          <w:p w14:paraId="0DC3E5CE" w14:textId="77777777" w:rsidR="00C561BD" w:rsidRPr="00744C06" w:rsidRDefault="00C561BD" w:rsidP="00C561BD">
            <w:pPr>
              <w:tabs>
                <w:tab w:val="decimal" w:pos="113"/>
              </w:tabs>
              <w:bidi w:val="0"/>
              <w:spacing w:line="140" w:lineRule="exact"/>
              <w:jc w:val="left"/>
              <w:rPr>
                <w:i/>
                <w:iCs/>
                <w:sz w:val="13"/>
                <w:szCs w:val="13"/>
              </w:rPr>
            </w:pPr>
            <w:r w:rsidRPr="00744C06">
              <w:rPr>
                <w:rFonts w:hint="cs"/>
                <w:i/>
                <w:iCs/>
                <w:sz w:val="13"/>
                <w:szCs w:val="13"/>
              </w:rPr>
              <w:t>IAS</w:t>
            </w:r>
            <w:r w:rsidRPr="00744C06">
              <w:rPr>
                <w:i/>
                <w:iCs/>
                <w:sz w:val="13"/>
                <w:szCs w:val="13"/>
              </w:rPr>
              <w:t> 1.51(d),(e)</w:t>
            </w:r>
          </w:p>
        </w:tc>
        <w:tc>
          <w:tcPr>
            <w:tcW w:w="8043" w:type="dxa"/>
            <w:gridSpan w:val="21"/>
            <w:tcBorders>
              <w:left w:val="nil"/>
              <w:bottom w:val="single" w:sz="6" w:space="0" w:color="auto"/>
              <w:right w:val="nil"/>
            </w:tcBorders>
            <w:shd w:val="clear" w:color="auto" w:fill="auto"/>
            <w:vAlign w:val="bottom"/>
          </w:tcPr>
          <w:p w14:paraId="2F53C1D1" w14:textId="77777777" w:rsidR="00C561BD" w:rsidRPr="00224C22" w:rsidRDefault="00C561BD" w:rsidP="00C561BD">
            <w:pPr>
              <w:spacing w:line="140" w:lineRule="exact"/>
              <w:ind w:left="1980"/>
              <w:jc w:val="left"/>
              <w:rPr>
                <w:sz w:val="16"/>
                <w:szCs w:val="16"/>
              </w:rPr>
            </w:pPr>
            <w:r w:rsidRPr="00224C22">
              <w:rPr>
                <w:rFonts w:hint="cs"/>
                <w:sz w:val="16"/>
                <w:szCs w:val="16"/>
                <w:rtl/>
              </w:rPr>
              <w:t>אלפי ש"ח</w:t>
            </w:r>
          </w:p>
        </w:tc>
      </w:tr>
      <w:tr w:rsidR="00C561BD" w:rsidRPr="00224C22" w14:paraId="4792E883" w14:textId="77777777" w:rsidTr="00702EBC">
        <w:tc>
          <w:tcPr>
            <w:tcW w:w="972" w:type="dxa"/>
            <w:vAlign w:val="center"/>
          </w:tcPr>
          <w:p w14:paraId="00FAB0E1" w14:textId="77777777" w:rsidR="00C561BD" w:rsidRPr="00224C22" w:rsidRDefault="00C561BD" w:rsidP="00C561BD">
            <w:pPr>
              <w:pStyle w:val="a3"/>
              <w:bidi w:val="0"/>
              <w:spacing w:line="140" w:lineRule="exact"/>
              <w:ind w:right="110"/>
              <w:jc w:val="right"/>
              <w:rPr>
                <w:b/>
                <w:i/>
                <w:iCs/>
                <w:sz w:val="12"/>
                <w:szCs w:val="12"/>
                <w:rtl/>
              </w:rPr>
            </w:pPr>
          </w:p>
        </w:tc>
        <w:tc>
          <w:tcPr>
            <w:tcW w:w="2682" w:type="dxa"/>
            <w:vAlign w:val="bottom"/>
          </w:tcPr>
          <w:p w14:paraId="2C60481C" w14:textId="1219949B" w:rsidR="00C561BD" w:rsidRDefault="00C561BD" w:rsidP="00AF4CE7">
            <w:pPr>
              <w:pStyle w:val="a3"/>
              <w:tabs>
                <w:tab w:val="left" w:pos="227"/>
                <w:tab w:val="left" w:pos="397"/>
                <w:tab w:val="left" w:pos="567"/>
              </w:tabs>
              <w:spacing w:line="140" w:lineRule="exact"/>
              <w:ind w:left="227" w:hanging="170"/>
              <w:rPr>
                <w:b/>
                <w:sz w:val="16"/>
                <w:szCs w:val="16"/>
              </w:rPr>
            </w:pPr>
            <w:r w:rsidRPr="00224C22">
              <w:rPr>
                <w:rFonts w:hint="cs"/>
                <w:b/>
                <w:sz w:val="16"/>
                <w:szCs w:val="16"/>
                <w:u w:val="single"/>
                <w:rtl/>
              </w:rPr>
              <w:t xml:space="preserve">יתרה ליום </w:t>
            </w:r>
            <w:r w:rsidR="00BF1A21">
              <w:rPr>
                <w:rFonts w:hint="cs"/>
                <w:b/>
                <w:sz w:val="16"/>
                <w:szCs w:val="16"/>
                <w:u w:val="single"/>
                <w:rtl/>
              </w:rPr>
              <w:t>31 בדצמבר, 201</w:t>
            </w:r>
            <w:r w:rsidR="00AF4CE7">
              <w:rPr>
                <w:rFonts w:hint="cs"/>
                <w:b/>
                <w:sz w:val="16"/>
                <w:szCs w:val="16"/>
                <w:u w:val="single"/>
                <w:rtl/>
              </w:rPr>
              <w:t>8</w:t>
            </w:r>
            <w:r>
              <w:rPr>
                <w:rFonts w:hint="cs"/>
                <w:b/>
                <w:sz w:val="16"/>
                <w:szCs w:val="16"/>
                <w:u w:val="single"/>
                <w:rtl/>
              </w:rPr>
              <w:t xml:space="preserve"> </w:t>
            </w:r>
            <w:r w:rsidRPr="00224C22">
              <w:rPr>
                <w:rFonts w:hint="cs"/>
                <w:b/>
                <w:sz w:val="16"/>
                <w:szCs w:val="16"/>
                <w:rtl/>
              </w:rPr>
              <w:t>(מבוקר)</w:t>
            </w:r>
          </w:p>
        </w:tc>
        <w:tc>
          <w:tcPr>
            <w:tcW w:w="113" w:type="dxa"/>
            <w:vAlign w:val="bottom"/>
          </w:tcPr>
          <w:p w14:paraId="04BB1FA3" w14:textId="77777777" w:rsidR="00C561BD" w:rsidRPr="00224C22" w:rsidRDefault="00C561BD" w:rsidP="00C561BD">
            <w:pPr>
              <w:spacing w:line="140" w:lineRule="exact"/>
              <w:jc w:val="left"/>
              <w:rPr>
                <w:sz w:val="16"/>
                <w:szCs w:val="16"/>
              </w:rPr>
            </w:pPr>
          </w:p>
        </w:tc>
        <w:tc>
          <w:tcPr>
            <w:tcW w:w="621" w:type="dxa"/>
            <w:shd w:val="clear" w:color="auto" w:fill="auto"/>
            <w:vAlign w:val="bottom"/>
          </w:tcPr>
          <w:p w14:paraId="19B95771"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765C541D" w14:textId="77777777" w:rsidR="00C561BD" w:rsidRPr="00224C22" w:rsidRDefault="00C561BD" w:rsidP="00C561BD">
            <w:pPr>
              <w:tabs>
                <w:tab w:val="decimal" w:pos="113"/>
              </w:tabs>
              <w:spacing w:line="140" w:lineRule="exact"/>
              <w:jc w:val="left"/>
              <w:rPr>
                <w:sz w:val="16"/>
                <w:szCs w:val="16"/>
              </w:rPr>
            </w:pPr>
          </w:p>
        </w:tc>
        <w:tc>
          <w:tcPr>
            <w:tcW w:w="621" w:type="dxa"/>
            <w:shd w:val="clear" w:color="auto" w:fill="auto"/>
            <w:vAlign w:val="bottom"/>
          </w:tcPr>
          <w:p w14:paraId="4F13DEB9"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48543CF1" w14:textId="77777777" w:rsidR="00C561BD" w:rsidRPr="00224C22" w:rsidRDefault="00C561BD" w:rsidP="00C561BD">
            <w:pPr>
              <w:tabs>
                <w:tab w:val="decimal" w:pos="113"/>
              </w:tabs>
              <w:spacing w:line="140" w:lineRule="exact"/>
              <w:rPr>
                <w:sz w:val="16"/>
                <w:szCs w:val="16"/>
              </w:rPr>
            </w:pPr>
          </w:p>
        </w:tc>
        <w:tc>
          <w:tcPr>
            <w:tcW w:w="622" w:type="dxa"/>
            <w:shd w:val="clear" w:color="auto" w:fill="auto"/>
            <w:vAlign w:val="bottom"/>
          </w:tcPr>
          <w:p w14:paraId="62B2CC4E" w14:textId="77777777" w:rsidR="00C561BD" w:rsidRPr="00224C22" w:rsidRDefault="00C561BD" w:rsidP="00C561BD">
            <w:pPr>
              <w:tabs>
                <w:tab w:val="decimal" w:pos="113"/>
              </w:tabs>
              <w:spacing w:line="140" w:lineRule="exact"/>
              <w:rPr>
                <w:sz w:val="16"/>
                <w:szCs w:val="16"/>
              </w:rPr>
            </w:pPr>
          </w:p>
        </w:tc>
        <w:tc>
          <w:tcPr>
            <w:tcW w:w="113" w:type="dxa"/>
          </w:tcPr>
          <w:p w14:paraId="0054B59D" w14:textId="77777777" w:rsidR="00C561BD" w:rsidRPr="00224C22" w:rsidRDefault="00C561BD" w:rsidP="00C561BD">
            <w:pPr>
              <w:tabs>
                <w:tab w:val="decimal" w:pos="113"/>
              </w:tabs>
              <w:spacing w:line="140" w:lineRule="exact"/>
              <w:rPr>
                <w:sz w:val="16"/>
                <w:szCs w:val="16"/>
              </w:rPr>
            </w:pPr>
          </w:p>
        </w:tc>
        <w:tc>
          <w:tcPr>
            <w:tcW w:w="677" w:type="dxa"/>
            <w:shd w:val="clear" w:color="auto" w:fill="auto"/>
          </w:tcPr>
          <w:p w14:paraId="4CC80361" w14:textId="77777777" w:rsidR="00C561BD" w:rsidRPr="00224C22" w:rsidRDefault="00C561BD" w:rsidP="00C561BD">
            <w:pPr>
              <w:tabs>
                <w:tab w:val="decimal" w:pos="113"/>
              </w:tabs>
              <w:spacing w:line="140" w:lineRule="exact"/>
              <w:rPr>
                <w:sz w:val="16"/>
                <w:szCs w:val="16"/>
              </w:rPr>
            </w:pPr>
          </w:p>
        </w:tc>
        <w:tc>
          <w:tcPr>
            <w:tcW w:w="113" w:type="dxa"/>
          </w:tcPr>
          <w:p w14:paraId="303674AF" w14:textId="77777777" w:rsidR="00C561BD" w:rsidRPr="00224C22" w:rsidRDefault="00C561BD" w:rsidP="00C561BD">
            <w:pPr>
              <w:tabs>
                <w:tab w:val="decimal" w:pos="113"/>
              </w:tabs>
              <w:spacing w:line="140" w:lineRule="exact"/>
              <w:rPr>
                <w:sz w:val="16"/>
                <w:szCs w:val="16"/>
              </w:rPr>
            </w:pPr>
          </w:p>
        </w:tc>
        <w:tc>
          <w:tcPr>
            <w:tcW w:w="622" w:type="dxa"/>
            <w:shd w:val="clear" w:color="auto" w:fill="auto"/>
          </w:tcPr>
          <w:p w14:paraId="34273AA3" w14:textId="77777777" w:rsidR="00C561BD" w:rsidRPr="00224C22" w:rsidRDefault="00C561BD" w:rsidP="00C561BD">
            <w:pPr>
              <w:tabs>
                <w:tab w:val="decimal" w:pos="113"/>
              </w:tabs>
              <w:spacing w:line="140" w:lineRule="exact"/>
              <w:rPr>
                <w:sz w:val="16"/>
                <w:szCs w:val="16"/>
              </w:rPr>
            </w:pPr>
          </w:p>
        </w:tc>
        <w:tc>
          <w:tcPr>
            <w:tcW w:w="113" w:type="dxa"/>
            <w:vAlign w:val="bottom"/>
          </w:tcPr>
          <w:p w14:paraId="6001499E" w14:textId="77777777" w:rsidR="00C561BD" w:rsidRPr="00224C22" w:rsidRDefault="00C561BD" w:rsidP="00C561BD">
            <w:pPr>
              <w:tabs>
                <w:tab w:val="decimal" w:pos="113"/>
              </w:tabs>
              <w:spacing w:line="140" w:lineRule="exact"/>
              <w:rPr>
                <w:sz w:val="16"/>
                <w:szCs w:val="16"/>
              </w:rPr>
            </w:pPr>
          </w:p>
        </w:tc>
        <w:tc>
          <w:tcPr>
            <w:tcW w:w="622" w:type="dxa"/>
            <w:gridSpan w:val="2"/>
            <w:shd w:val="clear" w:color="auto" w:fill="auto"/>
            <w:vAlign w:val="bottom"/>
          </w:tcPr>
          <w:p w14:paraId="2C721A67" w14:textId="77777777" w:rsidR="00C561BD" w:rsidRPr="00224C22" w:rsidRDefault="00C561BD" w:rsidP="00C561BD">
            <w:pPr>
              <w:tabs>
                <w:tab w:val="decimal" w:pos="113"/>
              </w:tabs>
              <w:spacing w:line="140" w:lineRule="exact"/>
              <w:rPr>
                <w:sz w:val="16"/>
                <w:szCs w:val="16"/>
              </w:rPr>
            </w:pPr>
          </w:p>
        </w:tc>
        <w:tc>
          <w:tcPr>
            <w:tcW w:w="113" w:type="dxa"/>
            <w:vAlign w:val="bottom"/>
          </w:tcPr>
          <w:p w14:paraId="306B9964" w14:textId="77777777" w:rsidR="00C561BD" w:rsidRPr="00224C22" w:rsidRDefault="00C561BD" w:rsidP="00C561BD">
            <w:pPr>
              <w:tabs>
                <w:tab w:val="decimal" w:pos="113"/>
              </w:tabs>
              <w:spacing w:line="140" w:lineRule="exact"/>
              <w:rPr>
                <w:sz w:val="16"/>
                <w:szCs w:val="16"/>
              </w:rPr>
            </w:pPr>
          </w:p>
        </w:tc>
        <w:tc>
          <w:tcPr>
            <w:tcW w:w="734" w:type="dxa"/>
            <w:shd w:val="clear" w:color="auto" w:fill="auto"/>
            <w:vAlign w:val="bottom"/>
          </w:tcPr>
          <w:p w14:paraId="2AE85F1B" w14:textId="77777777" w:rsidR="00C561BD" w:rsidRPr="00224C22" w:rsidRDefault="00C561BD" w:rsidP="00C561BD">
            <w:pPr>
              <w:tabs>
                <w:tab w:val="decimal" w:pos="113"/>
              </w:tabs>
              <w:spacing w:line="140" w:lineRule="exact"/>
              <w:rPr>
                <w:sz w:val="16"/>
                <w:szCs w:val="16"/>
              </w:rPr>
            </w:pPr>
          </w:p>
        </w:tc>
        <w:tc>
          <w:tcPr>
            <w:tcW w:w="113" w:type="dxa"/>
            <w:vAlign w:val="bottom"/>
          </w:tcPr>
          <w:p w14:paraId="2F95571E" w14:textId="77777777" w:rsidR="00C561BD" w:rsidRPr="00224C22" w:rsidRDefault="00C561BD" w:rsidP="00C561BD">
            <w:pPr>
              <w:tabs>
                <w:tab w:val="decimal" w:pos="113"/>
              </w:tabs>
              <w:spacing w:line="140" w:lineRule="exact"/>
              <w:rPr>
                <w:sz w:val="16"/>
                <w:szCs w:val="16"/>
              </w:rPr>
            </w:pPr>
          </w:p>
        </w:tc>
        <w:tc>
          <w:tcPr>
            <w:tcW w:w="622" w:type="dxa"/>
            <w:shd w:val="clear" w:color="auto" w:fill="auto"/>
            <w:vAlign w:val="bottom"/>
          </w:tcPr>
          <w:p w14:paraId="0F3BD83E" w14:textId="77777777" w:rsidR="00C561BD" w:rsidRPr="00224C22" w:rsidRDefault="00C561BD" w:rsidP="00C561BD">
            <w:pPr>
              <w:tabs>
                <w:tab w:val="decimal" w:pos="113"/>
              </w:tabs>
              <w:spacing w:line="140" w:lineRule="exact"/>
              <w:rPr>
                <w:sz w:val="16"/>
                <w:szCs w:val="16"/>
              </w:rPr>
            </w:pPr>
          </w:p>
        </w:tc>
        <w:tc>
          <w:tcPr>
            <w:tcW w:w="113" w:type="dxa"/>
            <w:vAlign w:val="bottom"/>
          </w:tcPr>
          <w:p w14:paraId="05E37ACC" w14:textId="77777777" w:rsidR="00C561BD" w:rsidRPr="00224C22" w:rsidRDefault="00C561BD" w:rsidP="00C561BD">
            <w:pPr>
              <w:tabs>
                <w:tab w:val="decimal" w:pos="113"/>
              </w:tabs>
              <w:spacing w:line="140" w:lineRule="exact"/>
              <w:rPr>
                <w:sz w:val="16"/>
                <w:szCs w:val="16"/>
              </w:rPr>
            </w:pPr>
          </w:p>
        </w:tc>
        <w:tc>
          <w:tcPr>
            <w:tcW w:w="622" w:type="dxa"/>
            <w:shd w:val="clear" w:color="auto" w:fill="auto"/>
            <w:vAlign w:val="bottom"/>
          </w:tcPr>
          <w:p w14:paraId="02EAA766" w14:textId="77777777" w:rsidR="00C561BD" w:rsidRPr="00224C22" w:rsidRDefault="00C561BD" w:rsidP="00C561BD">
            <w:pPr>
              <w:tabs>
                <w:tab w:val="decimal" w:pos="113"/>
              </w:tabs>
              <w:spacing w:line="140" w:lineRule="exact"/>
              <w:rPr>
                <w:sz w:val="16"/>
                <w:szCs w:val="16"/>
              </w:rPr>
            </w:pPr>
          </w:p>
        </w:tc>
        <w:tc>
          <w:tcPr>
            <w:tcW w:w="113" w:type="dxa"/>
            <w:shd w:val="clear" w:color="auto" w:fill="auto"/>
            <w:vAlign w:val="bottom"/>
          </w:tcPr>
          <w:p w14:paraId="7F24ABDF" w14:textId="77777777" w:rsidR="00C561BD" w:rsidRPr="00224C22" w:rsidRDefault="00C561BD" w:rsidP="00C561BD">
            <w:pPr>
              <w:tabs>
                <w:tab w:val="decimal" w:pos="113"/>
              </w:tabs>
              <w:spacing w:line="140" w:lineRule="exact"/>
              <w:rPr>
                <w:sz w:val="16"/>
                <w:szCs w:val="16"/>
              </w:rPr>
            </w:pPr>
          </w:p>
        </w:tc>
        <w:tc>
          <w:tcPr>
            <w:tcW w:w="677" w:type="dxa"/>
            <w:shd w:val="clear" w:color="auto" w:fill="auto"/>
            <w:vAlign w:val="bottom"/>
          </w:tcPr>
          <w:p w14:paraId="3CE29694" w14:textId="77777777" w:rsidR="00C561BD" w:rsidRPr="00224C22" w:rsidRDefault="00C561BD" w:rsidP="00C561BD">
            <w:pPr>
              <w:tabs>
                <w:tab w:val="decimal" w:pos="113"/>
              </w:tabs>
              <w:spacing w:line="140" w:lineRule="exact"/>
              <w:rPr>
                <w:sz w:val="16"/>
                <w:szCs w:val="16"/>
              </w:rPr>
            </w:pPr>
          </w:p>
        </w:tc>
        <w:tc>
          <w:tcPr>
            <w:tcW w:w="113" w:type="dxa"/>
            <w:shd w:val="clear" w:color="auto" w:fill="auto"/>
            <w:vAlign w:val="bottom"/>
          </w:tcPr>
          <w:p w14:paraId="5BB79364" w14:textId="77777777" w:rsidR="00C561BD" w:rsidRPr="00224C22" w:rsidRDefault="00C561BD" w:rsidP="00C561BD">
            <w:pPr>
              <w:tabs>
                <w:tab w:val="decimal" w:pos="113"/>
              </w:tabs>
              <w:spacing w:line="140" w:lineRule="exact"/>
              <w:rPr>
                <w:sz w:val="16"/>
                <w:szCs w:val="16"/>
              </w:rPr>
            </w:pPr>
          </w:p>
        </w:tc>
        <w:tc>
          <w:tcPr>
            <w:tcW w:w="622" w:type="dxa"/>
            <w:shd w:val="clear" w:color="auto" w:fill="auto"/>
            <w:vAlign w:val="bottom"/>
          </w:tcPr>
          <w:p w14:paraId="2C9E4530" w14:textId="77777777" w:rsidR="00C561BD" w:rsidRPr="00224C22" w:rsidRDefault="00C561BD" w:rsidP="00C561BD">
            <w:pPr>
              <w:tabs>
                <w:tab w:val="decimal" w:pos="113"/>
              </w:tabs>
              <w:spacing w:line="140" w:lineRule="exact"/>
              <w:rPr>
                <w:sz w:val="16"/>
                <w:szCs w:val="16"/>
              </w:rPr>
            </w:pPr>
          </w:p>
        </w:tc>
        <w:tc>
          <w:tcPr>
            <w:tcW w:w="113" w:type="dxa"/>
            <w:shd w:val="clear" w:color="auto" w:fill="auto"/>
            <w:vAlign w:val="bottom"/>
          </w:tcPr>
          <w:p w14:paraId="4ED0FE74" w14:textId="77777777" w:rsidR="00C561BD" w:rsidRPr="00224C22" w:rsidRDefault="00C561BD" w:rsidP="00C561BD">
            <w:pPr>
              <w:tabs>
                <w:tab w:val="decimal" w:pos="113"/>
              </w:tabs>
              <w:spacing w:line="140" w:lineRule="exact"/>
              <w:rPr>
                <w:sz w:val="16"/>
                <w:szCs w:val="16"/>
              </w:rPr>
            </w:pPr>
          </w:p>
        </w:tc>
        <w:tc>
          <w:tcPr>
            <w:tcW w:w="677" w:type="dxa"/>
            <w:shd w:val="clear" w:color="auto" w:fill="auto"/>
            <w:vAlign w:val="bottom"/>
          </w:tcPr>
          <w:p w14:paraId="42BE94F0" w14:textId="77777777" w:rsidR="00C561BD" w:rsidRPr="00224C22" w:rsidRDefault="00C561BD" w:rsidP="00C561BD">
            <w:pPr>
              <w:tabs>
                <w:tab w:val="decimal" w:pos="113"/>
              </w:tabs>
              <w:spacing w:line="140" w:lineRule="exact"/>
              <w:rPr>
                <w:sz w:val="16"/>
                <w:szCs w:val="16"/>
              </w:rPr>
            </w:pPr>
          </w:p>
        </w:tc>
        <w:tc>
          <w:tcPr>
            <w:tcW w:w="113" w:type="dxa"/>
            <w:shd w:val="clear" w:color="auto" w:fill="auto"/>
            <w:vAlign w:val="bottom"/>
          </w:tcPr>
          <w:p w14:paraId="24648B23" w14:textId="77777777" w:rsidR="00C561BD" w:rsidRPr="00224C22" w:rsidRDefault="00C561BD" w:rsidP="00C561BD">
            <w:pPr>
              <w:tabs>
                <w:tab w:val="decimal" w:pos="113"/>
              </w:tabs>
              <w:spacing w:line="140" w:lineRule="exact"/>
              <w:rPr>
                <w:sz w:val="16"/>
                <w:szCs w:val="16"/>
              </w:rPr>
            </w:pPr>
          </w:p>
        </w:tc>
        <w:tc>
          <w:tcPr>
            <w:tcW w:w="677" w:type="dxa"/>
            <w:shd w:val="clear" w:color="auto" w:fill="auto"/>
            <w:vAlign w:val="bottom"/>
          </w:tcPr>
          <w:p w14:paraId="403A9049" w14:textId="77777777" w:rsidR="00C561BD" w:rsidRPr="00224C22" w:rsidRDefault="00C561BD" w:rsidP="00C561BD">
            <w:pPr>
              <w:tabs>
                <w:tab w:val="decimal" w:pos="113"/>
              </w:tabs>
              <w:spacing w:line="140" w:lineRule="exact"/>
              <w:rPr>
                <w:sz w:val="16"/>
                <w:szCs w:val="16"/>
              </w:rPr>
            </w:pPr>
          </w:p>
        </w:tc>
        <w:tc>
          <w:tcPr>
            <w:tcW w:w="113" w:type="dxa"/>
            <w:vAlign w:val="bottom"/>
          </w:tcPr>
          <w:p w14:paraId="21BE20CE" w14:textId="77777777" w:rsidR="00C561BD" w:rsidRPr="00224C22" w:rsidRDefault="00C561BD" w:rsidP="00C561BD">
            <w:pPr>
              <w:tabs>
                <w:tab w:val="decimal" w:pos="113"/>
              </w:tabs>
              <w:spacing w:line="140" w:lineRule="exact"/>
              <w:rPr>
                <w:sz w:val="16"/>
                <w:szCs w:val="16"/>
              </w:rPr>
            </w:pPr>
          </w:p>
        </w:tc>
        <w:tc>
          <w:tcPr>
            <w:tcW w:w="677" w:type="dxa"/>
            <w:shd w:val="clear" w:color="auto" w:fill="auto"/>
            <w:vAlign w:val="bottom"/>
          </w:tcPr>
          <w:p w14:paraId="15FD41F9" w14:textId="77777777" w:rsidR="00C561BD" w:rsidRPr="00224C22" w:rsidRDefault="00C561BD" w:rsidP="00C561BD">
            <w:pPr>
              <w:tabs>
                <w:tab w:val="decimal" w:pos="113"/>
              </w:tabs>
              <w:spacing w:line="140" w:lineRule="exact"/>
              <w:rPr>
                <w:sz w:val="16"/>
                <w:szCs w:val="16"/>
              </w:rPr>
            </w:pPr>
          </w:p>
        </w:tc>
        <w:tc>
          <w:tcPr>
            <w:tcW w:w="113" w:type="dxa"/>
            <w:vAlign w:val="bottom"/>
          </w:tcPr>
          <w:p w14:paraId="2FD8BDB5" w14:textId="77777777" w:rsidR="00C561BD" w:rsidRPr="00224C22" w:rsidRDefault="00C561BD" w:rsidP="00C561BD">
            <w:pPr>
              <w:tabs>
                <w:tab w:val="decimal" w:pos="113"/>
              </w:tabs>
              <w:spacing w:line="140" w:lineRule="exact"/>
              <w:rPr>
                <w:sz w:val="16"/>
                <w:szCs w:val="16"/>
              </w:rPr>
            </w:pPr>
          </w:p>
        </w:tc>
        <w:tc>
          <w:tcPr>
            <w:tcW w:w="622" w:type="dxa"/>
            <w:shd w:val="clear" w:color="auto" w:fill="auto"/>
            <w:vAlign w:val="bottom"/>
          </w:tcPr>
          <w:p w14:paraId="28F290D6" w14:textId="77777777" w:rsidR="00C561BD" w:rsidRPr="00224C22" w:rsidRDefault="00C561BD" w:rsidP="00C561BD">
            <w:pPr>
              <w:tabs>
                <w:tab w:val="decimal" w:pos="113"/>
              </w:tabs>
              <w:spacing w:line="140" w:lineRule="exact"/>
              <w:rPr>
                <w:sz w:val="16"/>
                <w:szCs w:val="16"/>
              </w:rPr>
            </w:pPr>
          </w:p>
        </w:tc>
        <w:tc>
          <w:tcPr>
            <w:tcW w:w="113" w:type="dxa"/>
          </w:tcPr>
          <w:p w14:paraId="7CAB318A" w14:textId="77777777" w:rsidR="00C561BD" w:rsidRPr="00224C22" w:rsidRDefault="00C561BD" w:rsidP="00C561BD">
            <w:pPr>
              <w:tabs>
                <w:tab w:val="decimal" w:pos="113"/>
              </w:tabs>
              <w:spacing w:line="140" w:lineRule="exact"/>
              <w:rPr>
                <w:sz w:val="16"/>
                <w:szCs w:val="16"/>
              </w:rPr>
            </w:pPr>
          </w:p>
        </w:tc>
        <w:tc>
          <w:tcPr>
            <w:tcW w:w="607" w:type="dxa"/>
            <w:shd w:val="clear" w:color="auto" w:fill="auto"/>
          </w:tcPr>
          <w:p w14:paraId="4E986621" w14:textId="77777777" w:rsidR="00C561BD" w:rsidRPr="00224C22" w:rsidRDefault="00C561BD" w:rsidP="00C561BD">
            <w:pPr>
              <w:tabs>
                <w:tab w:val="decimal" w:pos="113"/>
              </w:tabs>
              <w:spacing w:line="140" w:lineRule="exact"/>
              <w:rPr>
                <w:sz w:val="16"/>
                <w:szCs w:val="16"/>
              </w:rPr>
            </w:pPr>
          </w:p>
        </w:tc>
      </w:tr>
      <w:tr w:rsidR="00CF57B7" w:rsidRPr="00224C22" w14:paraId="72F46C93" w14:textId="77777777" w:rsidTr="00702EBC">
        <w:tc>
          <w:tcPr>
            <w:tcW w:w="972" w:type="dxa"/>
            <w:vAlign w:val="center"/>
          </w:tcPr>
          <w:p w14:paraId="5D0D4EF5" w14:textId="77777777" w:rsidR="00827093" w:rsidRPr="00224C22" w:rsidRDefault="00827093" w:rsidP="00C561BD">
            <w:pPr>
              <w:pStyle w:val="a3"/>
              <w:bidi w:val="0"/>
              <w:spacing w:line="140" w:lineRule="exact"/>
              <w:ind w:right="110"/>
              <w:jc w:val="right"/>
              <w:rPr>
                <w:bCs/>
                <w:i/>
                <w:iCs/>
                <w:sz w:val="12"/>
                <w:szCs w:val="12"/>
              </w:rPr>
            </w:pPr>
          </w:p>
        </w:tc>
        <w:tc>
          <w:tcPr>
            <w:tcW w:w="2682" w:type="dxa"/>
            <w:tcBorders>
              <w:left w:val="nil"/>
            </w:tcBorders>
            <w:vAlign w:val="bottom"/>
          </w:tcPr>
          <w:p w14:paraId="629AF886" w14:textId="77777777" w:rsidR="00827093" w:rsidRDefault="00827093" w:rsidP="00827093">
            <w:pPr>
              <w:widowControl/>
              <w:tabs>
                <w:tab w:val="left" w:pos="227"/>
                <w:tab w:val="left" w:pos="397"/>
                <w:tab w:val="left" w:pos="567"/>
              </w:tabs>
              <w:spacing w:line="140" w:lineRule="exact"/>
              <w:ind w:left="57"/>
              <w:jc w:val="left"/>
              <w:rPr>
                <w:sz w:val="16"/>
                <w:szCs w:val="16"/>
                <w:rtl/>
              </w:rPr>
            </w:pPr>
          </w:p>
        </w:tc>
        <w:tc>
          <w:tcPr>
            <w:tcW w:w="113" w:type="dxa"/>
            <w:vAlign w:val="bottom"/>
          </w:tcPr>
          <w:p w14:paraId="6E3D1F9E" w14:textId="77777777" w:rsidR="00827093" w:rsidRPr="00224C22" w:rsidRDefault="00827093"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39F2E2AA" w14:textId="77777777" w:rsidR="00827093" w:rsidRPr="00224C22" w:rsidRDefault="00827093" w:rsidP="00C561BD">
            <w:pPr>
              <w:tabs>
                <w:tab w:val="decimal" w:pos="113"/>
              </w:tabs>
              <w:spacing w:line="140" w:lineRule="exact"/>
              <w:jc w:val="left"/>
              <w:rPr>
                <w:sz w:val="16"/>
                <w:szCs w:val="16"/>
              </w:rPr>
            </w:pPr>
          </w:p>
        </w:tc>
        <w:tc>
          <w:tcPr>
            <w:tcW w:w="112" w:type="dxa"/>
            <w:vAlign w:val="bottom"/>
          </w:tcPr>
          <w:p w14:paraId="35EE6DBF" w14:textId="77777777" w:rsidR="00827093" w:rsidRPr="00224C22" w:rsidRDefault="00827093"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16F51800" w14:textId="77777777" w:rsidR="00827093" w:rsidRPr="00224C22" w:rsidRDefault="00827093" w:rsidP="00C561BD">
            <w:pPr>
              <w:tabs>
                <w:tab w:val="decimal" w:pos="113"/>
              </w:tabs>
              <w:spacing w:line="140" w:lineRule="exact"/>
              <w:jc w:val="left"/>
              <w:rPr>
                <w:sz w:val="16"/>
                <w:szCs w:val="16"/>
              </w:rPr>
            </w:pPr>
          </w:p>
        </w:tc>
        <w:tc>
          <w:tcPr>
            <w:tcW w:w="113" w:type="dxa"/>
            <w:vAlign w:val="bottom"/>
          </w:tcPr>
          <w:p w14:paraId="53A662C8"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12887FF" w14:textId="77777777" w:rsidR="00827093" w:rsidRPr="00224C22" w:rsidRDefault="00827093" w:rsidP="00C561BD">
            <w:pPr>
              <w:tabs>
                <w:tab w:val="decimal" w:pos="113"/>
              </w:tabs>
              <w:spacing w:line="140" w:lineRule="exact"/>
              <w:rPr>
                <w:sz w:val="16"/>
                <w:szCs w:val="16"/>
              </w:rPr>
            </w:pPr>
          </w:p>
        </w:tc>
        <w:tc>
          <w:tcPr>
            <w:tcW w:w="113" w:type="dxa"/>
          </w:tcPr>
          <w:p w14:paraId="7AF60658"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B5E4D76" w14:textId="77777777" w:rsidR="00827093" w:rsidRPr="00224C22" w:rsidRDefault="00827093" w:rsidP="00C561BD">
            <w:pPr>
              <w:tabs>
                <w:tab w:val="decimal" w:pos="113"/>
              </w:tabs>
              <w:spacing w:line="140" w:lineRule="exact"/>
              <w:rPr>
                <w:sz w:val="16"/>
                <w:szCs w:val="16"/>
              </w:rPr>
            </w:pPr>
          </w:p>
        </w:tc>
        <w:tc>
          <w:tcPr>
            <w:tcW w:w="113" w:type="dxa"/>
          </w:tcPr>
          <w:p w14:paraId="7BCE8C7E"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3DF0BBCE" w14:textId="77777777" w:rsidR="00827093" w:rsidRPr="00224C22" w:rsidRDefault="00827093" w:rsidP="00C561BD">
            <w:pPr>
              <w:tabs>
                <w:tab w:val="decimal" w:pos="113"/>
              </w:tabs>
              <w:spacing w:line="140" w:lineRule="exact"/>
              <w:rPr>
                <w:sz w:val="16"/>
                <w:szCs w:val="16"/>
              </w:rPr>
            </w:pPr>
          </w:p>
        </w:tc>
        <w:tc>
          <w:tcPr>
            <w:tcW w:w="113" w:type="dxa"/>
            <w:vAlign w:val="bottom"/>
          </w:tcPr>
          <w:p w14:paraId="57619564" w14:textId="77777777" w:rsidR="00827093" w:rsidRPr="00224C22" w:rsidRDefault="00827093"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55AD0913" w14:textId="77777777" w:rsidR="00827093" w:rsidRPr="00224C22" w:rsidRDefault="00827093" w:rsidP="00C561BD">
            <w:pPr>
              <w:tabs>
                <w:tab w:val="decimal" w:pos="113"/>
              </w:tabs>
              <w:spacing w:line="140" w:lineRule="exact"/>
              <w:rPr>
                <w:sz w:val="16"/>
                <w:szCs w:val="16"/>
              </w:rPr>
            </w:pPr>
          </w:p>
        </w:tc>
        <w:tc>
          <w:tcPr>
            <w:tcW w:w="113" w:type="dxa"/>
            <w:vAlign w:val="bottom"/>
          </w:tcPr>
          <w:p w14:paraId="6A41FF62" w14:textId="77777777" w:rsidR="00827093" w:rsidRPr="00224C22" w:rsidRDefault="00827093"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00EF3882" w14:textId="77777777" w:rsidR="00827093" w:rsidRPr="00224C22" w:rsidRDefault="00827093" w:rsidP="00C561BD">
            <w:pPr>
              <w:tabs>
                <w:tab w:val="decimal" w:pos="113"/>
              </w:tabs>
              <w:spacing w:line="140" w:lineRule="exact"/>
              <w:rPr>
                <w:sz w:val="16"/>
                <w:szCs w:val="16"/>
              </w:rPr>
            </w:pPr>
          </w:p>
        </w:tc>
        <w:tc>
          <w:tcPr>
            <w:tcW w:w="113" w:type="dxa"/>
            <w:vAlign w:val="bottom"/>
          </w:tcPr>
          <w:p w14:paraId="745787E6"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D0576FE" w14:textId="77777777" w:rsidR="00827093" w:rsidRPr="00224C22" w:rsidRDefault="00827093" w:rsidP="00C561BD">
            <w:pPr>
              <w:tabs>
                <w:tab w:val="decimal" w:pos="113"/>
              </w:tabs>
              <w:spacing w:line="140" w:lineRule="exact"/>
              <w:rPr>
                <w:sz w:val="16"/>
                <w:szCs w:val="16"/>
              </w:rPr>
            </w:pPr>
          </w:p>
        </w:tc>
        <w:tc>
          <w:tcPr>
            <w:tcW w:w="113" w:type="dxa"/>
            <w:vAlign w:val="bottom"/>
          </w:tcPr>
          <w:p w14:paraId="35B2DDFE"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9FB2C72"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3E4DCB8"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DF44760"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F63011F"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42ED488"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39C502E"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3EBCC855"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B5E33A0"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7EF7DA9" w14:textId="77777777" w:rsidR="00827093" w:rsidRPr="00224C22" w:rsidRDefault="00827093" w:rsidP="00C561BD">
            <w:pPr>
              <w:tabs>
                <w:tab w:val="decimal" w:pos="113"/>
              </w:tabs>
              <w:spacing w:line="140" w:lineRule="exact"/>
              <w:rPr>
                <w:sz w:val="16"/>
                <w:szCs w:val="16"/>
              </w:rPr>
            </w:pPr>
          </w:p>
        </w:tc>
        <w:tc>
          <w:tcPr>
            <w:tcW w:w="113" w:type="dxa"/>
            <w:vAlign w:val="bottom"/>
          </w:tcPr>
          <w:p w14:paraId="59B46BAC"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799396EC" w14:textId="77777777" w:rsidR="00827093" w:rsidRPr="00224C22" w:rsidRDefault="00827093" w:rsidP="00C561BD">
            <w:pPr>
              <w:tabs>
                <w:tab w:val="decimal" w:pos="113"/>
              </w:tabs>
              <w:spacing w:line="140" w:lineRule="exact"/>
              <w:rPr>
                <w:sz w:val="16"/>
                <w:szCs w:val="16"/>
              </w:rPr>
            </w:pPr>
          </w:p>
        </w:tc>
        <w:tc>
          <w:tcPr>
            <w:tcW w:w="113" w:type="dxa"/>
            <w:vAlign w:val="bottom"/>
          </w:tcPr>
          <w:p w14:paraId="2E11DC17"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E3517AC" w14:textId="77777777" w:rsidR="00827093" w:rsidRPr="00224C22" w:rsidDel="00260764" w:rsidRDefault="00827093" w:rsidP="00C561BD">
            <w:pPr>
              <w:widowControl/>
              <w:tabs>
                <w:tab w:val="decimal" w:pos="74"/>
              </w:tabs>
              <w:spacing w:line="140" w:lineRule="exact"/>
              <w:ind w:left="57"/>
              <w:rPr>
                <w:sz w:val="16"/>
                <w:szCs w:val="16"/>
              </w:rPr>
            </w:pPr>
          </w:p>
        </w:tc>
        <w:tc>
          <w:tcPr>
            <w:tcW w:w="113" w:type="dxa"/>
          </w:tcPr>
          <w:p w14:paraId="55DA1FF6" w14:textId="77777777" w:rsidR="00827093" w:rsidRPr="00224C22" w:rsidRDefault="00827093"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2C091196" w14:textId="77777777" w:rsidR="00827093" w:rsidRPr="00224C22" w:rsidRDefault="00827093" w:rsidP="00C561BD">
            <w:pPr>
              <w:tabs>
                <w:tab w:val="decimal" w:pos="113"/>
              </w:tabs>
              <w:spacing w:line="140" w:lineRule="exact"/>
              <w:rPr>
                <w:sz w:val="16"/>
                <w:szCs w:val="16"/>
              </w:rPr>
            </w:pPr>
          </w:p>
        </w:tc>
      </w:tr>
      <w:tr w:rsidR="00CF57B7" w:rsidRPr="00224C22" w14:paraId="2CAA3108" w14:textId="77777777" w:rsidTr="00702EBC">
        <w:tc>
          <w:tcPr>
            <w:tcW w:w="972" w:type="dxa"/>
            <w:vAlign w:val="center"/>
          </w:tcPr>
          <w:p w14:paraId="69E7ADDD" w14:textId="77777777" w:rsidR="00827093" w:rsidRPr="00224C22" w:rsidRDefault="00827093" w:rsidP="00C561BD">
            <w:pPr>
              <w:pStyle w:val="a3"/>
              <w:bidi w:val="0"/>
              <w:spacing w:line="140" w:lineRule="exact"/>
              <w:ind w:right="110"/>
              <w:jc w:val="right"/>
              <w:rPr>
                <w:bCs/>
                <w:i/>
                <w:iCs/>
                <w:sz w:val="12"/>
                <w:szCs w:val="12"/>
              </w:rPr>
            </w:pPr>
          </w:p>
        </w:tc>
        <w:tc>
          <w:tcPr>
            <w:tcW w:w="2682" w:type="dxa"/>
            <w:tcBorders>
              <w:left w:val="nil"/>
            </w:tcBorders>
            <w:vAlign w:val="bottom"/>
          </w:tcPr>
          <w:p w14:paraId="7805F6CF" w14:textId="22347CB0" w:rsidR="00827093" w:rsidRPr="00224C22" w:rsidRDefault="000E53E9" w:rsidP="000E53E9">
            <w:pPr>
              <w:widowControl/>
              <w:tabs>
                <w:tab w:val="left" w:pos="227"/>
                <w:tab w:val="left" w:pos="397"/>
                <w:tab w:val="left" w:pos="567"/>
              </w:tabs>
              <w:spacing w:line="140" w:lineRule="exact"/>
              <w:ind w:left="57"/>
              <w:jc w:val="left"/>
              <w:rPr>
                <w:sz w:val="16"/>
                <w:szCs w:val="16"/>
                <w:rtl/>
              </w:rPr>
            </w:pPr>
            <w:r>
              <w:rPr>
                <w:rFonts w:hint="cs"/>
                <w:sz w:val="16"/>
                <w:szCs w:val="16"/>
                <w:rtl/>
              </w:rPr>
              <w:t xml:space="preserve">השפעה מצטברת כתוצאה מאימוץ לראשונה של </w:t>
            </w:r>
            <w:r>
              <w:rPr>
                <w:rFonts w:hint="cs"/>
                <w:sz w:val="16"/>
                <w:szCs w:val="16"/>
              </w:rPr>
              <w:t xml:space="preserve">IFRS </w:t>
            </w:r>
            <w:r>
              <w:rPr>
                <w:sz w:val="16"/>
                <w:szCs w:val="16"/>
              </w:rPr>
              <w:t>16</w:t>
            </w:r>
            <w:r>
              <w:rPr>
                <w:rFonts w:hint="cs"/>
                <w:sz w:val="16"/>
                <w:szCs w:val="16"/>
                <w:rtl/>
              </w:rPr>
              <w:t xml:space="preserve"> ליום 1 בינואר 2019 </w:t>
            </w:r>
            <w:r>
              <w:rPr>
                <w:sz w:val="16"/>
                <w:szCs w:val="16"/>
                <w:rtl/>
              </w:rPr>
              <w:t>-</w:t>
            </w:r>
            <w:r>
              <w:rPr>
                <w:rFonts w:hint="cs"/>
                <w:sz w:val="16"/>
                <w:szCs w:val="16"/>
                <w:rtl/>
              </w:rPr>
              <w:t xml:space="preserve"> ראה באור </w:t>
            </w:r>
            <w:r w:rsidR="006448AF">
              <w:rPr>
                <w:sz w:val="16"/>
                <w:szCs w:val="16"/>
                <w:rtl/>
              </w:rPr>
              <w:t>2</w:t>
            </w:r>
            <w:r w:rsidR="006448AF">
              <w:rPr>
                <w:rFonts w:hint="cs"/>
                <w:sz w:val="16"/>
                <w:szCs w:val="16"/>
                <w:rtl/>
              </w:rPr>
              <w:t>ג</w:t>
            </w:r>
            <w:r w:rsidRPr="002C44CE">
              <w:rPr>
                <w:sz w:val="16"/>
                <w:szCs w:val="16"/>
                <w:rtl/>
              </w:rPr>
              <w:t>'1</w:t>
            </w:r>
            <w:r w:rsidR="00991010">
              <w:rPr>
                <w:rStyle w:val="ab"/>
                <w:sz w:val="16"/>
                <w:szCs w:val="16"/>
                <w:rtl/>
              </w:rPr>
              <w:footnoteReference w:id="33"/>
            </w:r>
          </w:p>
        </w:tc>
        <w:tc>
          <w:tcPr>
            <w:tcW w:w="113" w:type="dxa"/>
            <w:vAlign w:val="bottom"/>
          </w:tcPr>
          <w:p w14:paraId="17DA6940" w14:textId="77777777" w:rsidR="00827093" w:rsidRPr="00224C22" w:rsidRDefault="00827093"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31046E14" w14:textId="77777777" w:rsidR="00827093" w:rsidRPr="00224C22" w:rsidRDefault="00827093" w:rsidP="00C561BD">
            <w:pPr>
              <w:tabs>
                <w:tab w:val="decimal" w:pos="113"/>
              </w:tabs>
              <w:spacing w:line="140" w:lineRule="exact"/>
              <w:jc w:val="left"/>
              <w:rPr>
                <w:sz w:val="16"/>
                <w:szCs w:val="16"/>
              </w:rPr>
            </w:pPr>
          </w:p>
        </w:tc>
        <w:tc>
          <w:tcPr>
            <w:tcW w:w="112" w:type="dxa"/>
            <w:vAlign w:val="bottom"/>
          </w:tcPr>
          <w:p w14:paraId="11FFC717" w14:textId="77777777" w:rsidR="00827093" w:rsidRPr="00224C22" w:rsidRDefault="00827093"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1C857E52" w14:textId="77777777" w:rsidR="00827093" w:rsidRPr="00224C22" w:rsidRDefault="00827093" w:rsidP="00C561BD">
            <w:pPr>
              <w:tabs>
                <w:tab w:val="decimal" w:pos="113"/>
              </w:tabs>
              <w:spacing w:line="140" w:lineRule="exact"/>
              <w:jc w:val="left"/>
              <w:rPr>
                <w:sz w:val="16"/>
                <w:szCs w:val="16"/>
              </w:rPr>
            </w:pPr>
          </w:p>
        </w:tc>
        <w:tc>
          <w:tcPr>
            <w:tcW w:w="113" w:type="dxa"/>
            <w:vAlign w:val="bottom"/>
          </w:tcPr>
          <w:p w14:paraId="484BD5C6"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054D96F" w14:textId="77777777" w:rsidR="00827093" w:rsidRPr="00224C22" w:rsidRDefault="00827093" w:rsidP="00C561BD">
            <w:pPr>
              <w:tabs>
                <w:tab w:val="decimal" w:pos="113"/>
              </w:tabs>
              <w:spacing w:line="140" w:lineRule="exact"/>
              <w:rPr>
                <w:sz w:val="16"/>
                <w:szCs w:val="16"/>
              </w:rPr>
            </w:pPr>
          </w:p>
        </w:tc>
        <w:tc>
          <w:tcPr>
            <w:tcW w:w="113" w:type="dxa"/>
          </w:tcPr>
          <w:p w14:paraId="72263C41"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3FE28E03" w14:textId="77777777" w:rsidR="00827093" w:rsidRPr="00224C22" w:rsidRDefault="00827093" w:rsidP="00C561BD">
            <w:pPr>
              <w:tabs>
                <w:tab w:val="decimal" w:pos="113"/>
              </w:tabs>
              <w:spacing w:line="140" w:lineRule="exact"/>
              <w:rPr>
                <w:sz w:val="16"/>
                <w:szCs w:val="16"/>
              </w:rPr>
            </w:pPr>
          </w:p>
        </w:tc>
        <w:tc>
          <w:tcPr>
            <w:tcW w:w="113" w:type="dxa"/>
          </w:tcPr>
          <w:p w14:paraId="716EE16D"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45CB18B8" w14:textId="77777777" w:rsidR="00827093" w:rsidRPr="00224C22" w:rsidRDefault="00827093" w:rsidP="00C561BD">
            <w:pPr>
              <w:tabs>
                <w:tab w:val="decimal" w:pos="113"/>
              </w:tabs>
              <w:spacing w:line="140" w:lineRule="exact"/>
              <w:rPr>
                <w:sz w:val="16"/>
                <w:szCs w:val="16"/>
              </w:rPr>
            </w:pPr>
          </w:p>
        </w:tc>
        <w:tc>
          <w:tcPr>
            <w:tcW w:w="113" w:type="dxa"/>
            <w:vAlign w:val="bottom"/>
          </w:tcPr>
          <w:p w14:paraId="1B802A15" w14:textId="77777777" w:rsidR="00827093" w:rsidRPr="00224C22" w:rsidRDefault="00827093"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1EDB15F0" w14:textId="77777777" w:rsidR="00827093" w:rsidRPr="00224C22" w:rsidRDefault="00827093" w:rsidP="00C561BD">
            <w:pPr>
              <w:tabs>
                <w:tab w:val="decimal" w:pos="113"/>
              </w:tabs>
              <w:spacing w:line="140" w:lineRule="exact"/>
              <w:rPr>
                <w:sz w:val="16"/>
                <w:szCs w:val="16"/>
              </w:rPr>
            </w:pPr>
          </w:p>
        </w:tc>
        <w:tc>
          <w:tcPr>
            <w:tcW w:w="113" w:type="dxa"/>
            <w:vAlign w:val="bottom"/>
          </w:tcPr>
          <w:p w14:paraId="55E55567" w14:textId="77777777" w:rsidR="00827093" w:rsidRPr="00224C22" w:rsidRDefault="00827093"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5A0A399E" w14:textId="77777777" w:rsidR="00827093" w:rsidRPr="00224C22" w:rsidRDefault="00827093" w:rsidP="00C561BD">
            <w:pPr>
              <w:tabs>
                <w:tab w:val="decimal" w:pos="113"/>
              </w:tabs>
              <w:spacing w:line="140" w:lineRule="exact"/>
              <w:rPr>
                <w:sz w:val="16"/>
                <w:szCs w:val="16"/>
              </w:rPr>
            </w:pPr>
          </w:p>
        </w:tc>
        <w:tc>
          <w:tcPr>
            <w:tcW w:w="113" w:type="dxa"/>
            <w:vAlign w:val="bottom"/>
          </w:tcPr>
          <w:p w14:paraId="55513D23"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8A34048" w14:textId="77777777" w:rsidR="00827093" w:rsidRPr="00224C22" w:rsidRDefault="00827093" w:rsidP="00C561BD">
            <w:pPr>
              <w:tabs>
                <w:tab w:val="decimal" w:pos="113"/>
              </w:tabs>
              <w:spacing w:line="140" w:lineRule="exact"/>
              <w:rPr>
                <w:sz w:val="16"/>
                <w:szCs w:val="16"/>
              </w:rPr>
            </w:pPr>
          </w:p>
        </w:tc>
        <w:tc>
          <w:tcPr>
            <w:tcW w:w="113" w:type="dxa"/>
            <w:vAlign w:val="bottom"/>
          </w:tcPr>
          <w:p w14:paraId="19E5D875"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1ADD33A"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48D1FEE"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50EA85B"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E5D7C0F"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36D0C7C"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984E45D"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A398C2B"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CC312EE"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2BA0EF9" w14:textId="77777777" w:rsidR="00827093" w:rsidRPr="00224C22" w:rsidRDefault="00827093" w:rsidP="00C561BD">
            <w:pPr>
              <w:tabs>
                <w:tab w:val="decimal" w:pos="113"/>
              </w:tabs>
              <w:spacing w:line="140" w:lineRule="exact"/>
              <w:rPr>
                <w:sz w:val="16"/>
                <w:szCs w:val="16"/>
              </w:rPr>
            </w:pPr>
          </w:p>
        </w:tc>
        <w:tc>
          <w:tcPr>
            <w:tcW w:w="113" w:type="dxa"/>
            <w:vAlign w:val="bottom"/>
          </w:tcPr>
          <w:p w14:paraId="46DD507B"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33655959" w14:textId="77777777" w:rsidR="00827093" w:rsidRPr="00224C22" w:rsidRDefault="00827093" w:rsidP="00C561BD">
            <w:pPr>
              <w:tabs>
                <w:tab w:val="decimal" w:pos="113"/>
              </w:tabs>
              <w:spacing w:line="140" w:lineRule="exact"/>
              <w:rPr>
                <w:sz w:val="16"/>
                <w:szCs w:val="16"/>
              </w:rPr>
            </w:pPr>
          </w:p>
        </w:tc>
        <w:tc>
          <w:tcPr>
            <w:tcW w:w="113" w:type="dxa"/>
            <w:vAlign w:val="bottom"/>
          </w:tcPr>
          <w:p w14:paraId="52217CEE"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69C288E1" w14:textId="77777777" w:rsidR="00827093" w:rsidRPr="00224C22" w:rsidDel="00260764" w:rsidRDefault="00827093" w:rsidP="00C561BD">
            <w:pPr>
              <w:widowControl/>
              <w:tabs>
                <w:tab w:val="decimal" w:pos="74"/>
              </w:tabs>
              <w:spacing w:line="140" w:lineRule="exact"/>
              <w:ind w:left="57"/>
              <w:rPr>
                <w:sz w:val="16"/>
                <w:szCs w:val="16"/>
              </w:rPr>
            </w:pPr>
          </w:p>
        </w:tc>
        <w:tc>
          <w:tcPr>
            <w:tcW w:w="113" w:type="dxa"/>
          </w:tcPr>
          <w:p w14:paraId="670A1872" w14:textId="77777777" w:rsidR="00827093" w:rsidRPr="00224C22" w:rsidRDefault="00827093"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0958BF29" w14:textId="77777777" w:rsidR="00827093" w:rsidRPr="00224C22" w:rsidRDefault="00827093" w:rsidP="00C561BD">
            <w:pPr>
              <w:tabs>
                <w:tab w:val="decimal" w:pos="113"/>
              </w:tabs>
              <w:spacing w:line="140" w:lineRule="exact"/>
              <w:rPr>
                <w:sz w:val="16"/>
                <w:szCs w:val="16"/>
              </w:rPr>
            </w:pPr>
          </w:p>
        </w:tc>
      </w:tr>
      <w:tr w:rsidR="00CF57B7" w:rsidRPr="00224C22" w14:paraId="0078FFE3" w14:textId="77777777" w:rsidTr="00702EBC">
        <w:tc>
          <w:tcPr>
            <w:tcW w:w="972" w:type="dxa"/>
            <w:vAlign w:val="center"/>
          </w:tcPr>
          <w:p w14:paraId="427CDD5E" w14:textId="77777777" w:rsidR="00FB1080" w:rsidRPr="00224C22" w:rsidRDefault="00FB1080" w:rsidP="00C561BD">
            <w:pPr>
              <w:pStyle w:val="a3"/>
              <w:bidi w:val="0"/>
              <w:spacing w:line="140" w:lineRule="exact"/>
              <w:ind w:right="110"/>
              <w:jc w:val="right"/>
              <w:rPr>
                <w:bCs/>
                <w:i/>
                <w:iCs/>
                <w:sz w:val="12"/>
                <w:szCs w:val="12"/>
              </w:rPr>
            </w:pPr>
          </w:p>
        </w:tc>
        <w:tc>
          <w:tcPr>
            <w:tcW w:w="2682" w:type="dxa"/>
            <w:tcBorders>
              <w:left w:val="nil"/>
            </w:tcBorders>
            <w:vAlign w:val="bottom"/>
          </w:tcPr>
          <w:p w14:paraId="4B453C49" w14:textId="77777777" w:rsidR="00FB1080" w:rsidRDefault="00FB1080" w:rsidP="00C561BD">
            <w:pPr>
              <w:widowControl/>
              <w:tabs>
                <w:tab w:val="left" w:pos="227"/>
                <w:tab w:val="left" w:pos="397"/>
                <w:tab w:val="left" w:pos="567"/>
              </w:tabs>
              <w:spacing w:line="140" w:lineRule="exact"/>
              <w:ind w:left="57"/>
              <w:jc w:val="left"/>
              <w:rPr>
                <w:sz w:val="16"/>
                <w:szCs w:val="16"/>
                <w:rtl/>
              </w:rPr>
            </w:pPr>
          </w:p>
        </w:tc>
        <w:tc>
          <w:tcPr>
            <w:tcW w:w="113" w:type="dxa"/>
            <w:vAlign w:val="bottom"/>
          </w:tcPr>
          <w:p w14:paraId="3A268DE4" w14:textId="77777777" w:rsidR="00FB1080" w:rsidRPr="00224C22" w:rsidRDefault="00FB1080"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741E47B4" w14:textId="77777777" w:rsidR="00FB1080" w:rsidRPr="00224C22" w:rsidRDefault="00FB1080" w:rsidP="00C561BD">
            <w:pPr>
              <w:tabs>
                <w:tab w:val="decimal" w:pos="113"/>
              </w:tabs>
              <w:spacing w:line="140" w:lineRule="exact"/>
              <w:jc w:val="left"/>
              <w:rPr>
                <w:sz w:val="16"/>
                <w:szCs w:val="16"/>
              </w:rPr>
            </w:pPr>
          </w:p>
        </w:tc>
        <w:tc>
          <w:tcPr>
            <w:tcW w:w="112" w:type="dxa"/>
            <w:vAlign w:val="bottom"/>
          </w:tcPr>
          <w:p w14:paraId="48B1C977" w14:textId="77777777" w:rsidR="00FB1080" w:rsidRPr="00224C22" w:rsidRDefault="00FB1080"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678AA47B" w14:textId="77777777" w:rsidR="00FB1080" w:rsidRPr="00224C22" w:rsidRDefault="00FB1080" w:rsidP="00C561BD">
            <w:pPr>
              <w:tabs>
                <w:tab w:val="decimal" w:pos="113"/>
              </w:tabs>
              <w:spacing w:line="140" w:lineRule="exact"/>
              <w:jc w:val="left"/>
              <w:rPr>
                <w:sz w:val="16"/>
                <w:szCs w:val="16"/>
              </w:rPr>
            </w:pPr>
          </w:p>
        </w:tc>
        <w:tc>
          <w:tcPr>
            <w:tcW w:w="113" w:type="dxa"/>
            <w:vAlign w:val="bottom"/>
          </w:tcPr>
          <w:p w14:paraId="4CD5031C" w14:textId="77777777" w:rsidR="00FB1080" w:rsidRPr="00224C22" w:rsidRDefault="00FB1080"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2E52FC0" w14:textId="77777777" w:rsidR="00FB1080" w:rsidRPr="00224C22" w:rsidRDefault="00FB1080" w:rsidP="00C561BD">
            <w:pPr>
              <w:tabs>
                <w:tab w:val="decimal" w:pos="113"/>
              </w:tabs>
              <w:spacing w:line="140" w:lineRule="exact"/>
              <w:rPr>
                <w:sz w:val="16"/>
                <w:szCs w:val="16"/>
              </w:rPr>
            </w:pPr>
          </w:p>
        </w:tc>
        <w:tc>
          <w:tcPr>
            <w:tcW w:w="113" w:type="dxa"/>
          </w:tcPr>
          <w:p w14:paraId="4D65A5C7" w14:textId="77777777" w:rsidR="00FB1080" w:rsidRPr="00224C22" w:rsidRDefault="00FB1080"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F9592A4" w14:textId="77777777" w:rsidR="00FB1080" w:rsidRPr="00224C22" w:rsidRDefault="00FB1080" w:rsidP="00C561BD">
            <w:pPr>
              <w:tabs>
                <w:tab w:val="decimal" w:pos="113"/>
              </w:tabs>
              <w:spacing w:line="140" w:lineRule="exact"/>
              <w:rPr>
                <w:sz w:val="16"/>
                <w:szCs w:val="16"/>
              </w:rPr>
            </w:pPr>
          </w:p>
        </w:tc>
        <w:tc>
          <w:tcPr>
            <w:tcW w:w="113" w:type="dxa"/>
          </w:tcPr>
          <w:p w14:paraId="38278521" w14:textId="77777777" w:rsidR="00FB1080" w:rsidRPr="00224C22" w:rsidRDefault="00FB1080"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5F2B1DE0" w14:textId="77777777" w:rsidR="00FB1080" w:rsidRPr="00224C22" w:rsidRDefault="00FB1080" w:rsidP="00C561BD">
            <w:pPr>
              <w:tabs>
                <w:tab w:val="decimal" w:pos="113"/>
              </w:tabs>
              <w:spacing w:line="140" w:lineRule="exact"/>
              <w:rPr>
                <w:sz w:val="16"/>
                <w:szCs w:val="16"/>
              </w:rPr>
            </w:pPr>
          </w:p>
        </w:tc>
        <w:tc>
          <w:tcPr>
            <w:tcW w:w="113" w:type="dxa"/>
            <w:vAlign w:val="bottom"/>
          </w:tcPr>
          <w:p w14:paraId="142600E1" w14:textId="77777777" w:rsidR="00FB1080" w:rsidRPr="00224C22" w:rsidRDefault="00FB1080"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10FC7DCD" w14:textId="77777777" w:rsidR="00FB1080" w:rsidRPr="00224C22" w:rsidRDefault="00FB1080" w:rsidP="00C561BD">
            <w:pPr>
              <w:tabs>
                <w:tab w:val="decimal" w:pos="113"/>
              </w:tabs>
              <w:spacing w:line="140" w:lineRule="exact"/>
              <w:rPr>
                <w:sz w:val="16"/>
                <w:szCs w:val="16"/>
              </w:rPr>
            </w:pPr>
          </w:p>
        </w:tc>
        <w:tc>
          <w:tcPr>
            <w:tcW w:w="113" w:type="dxa"/>
            <w:vAlign w:val="bottom"/>
          </w:tcPr>
          <w:p w14:paraId="4172CE94" w14:textId="77777777" w:rsidR="00FB1080" w:rsidRPr="00224C22" w:rsidRDefault="00FB1080"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6C6BEAF1" w14:textId="77777777" w:rsidR="00FB1080" w:rsidRPr="00224C22" w:rsidRDefault="00FB1080" w:rsidP="00C561BD">
            <w:pPr>
              <w:tabs>
                <w:tab w:val="decimal" w:pos="113"/>
              </w:tabs>
              <w:spacing w:line="140" w:lineRule="exact"/>
              <w:rPr>
                <w:sz w:val="16"/>
                <w:szCs w:val="16"/>
              </w:rPr>
            </w:pPr>
          </w:p>
        </w:tc>
        <w:tc>
          <w:tcPr>
            <w:tcW w:w="113" w:type="dxa"/>
            <w:vAlign w:val="bottom"/>
          </w:tcPr>
          <w:p w14:paraId="0320FDF7" w14:textId="77777777" w:rsidR="00FB1080" w:rsidRPr="00224C22" w:rsidRDefault="00FB1080"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3BB9B1D" w14:textId="77777777" w:rsidR="00FB1080" w:rsidRPr="00224C22" w:rsidRDefault="00FB1080" w:rsidP="00C561BD">
            <w:pPr>
              <w:tabs>
                <w:tab w:val="decimal" w:pos="113"/>
              </w:tabs>
              <w:spacing w:line="140" w:lineRule="exact"/>
              <w:rPr>
                <w:sz w:val="16"/>
                <w:szCs w:val="16"/>
              </w:rPr>
            </w:pPr>
          </w:p>
        </w:tc>
        <w:tc>
          <w:tcPr>
            <w:tcW w:w="113" w:type="dxa"/>
            <w:vAlign w:val="bottom"/>
          </w:tcPr>
          <w:p w14:paraId="6F3A6BB8" w14:textId="77777777" w:rsidR="00FB1080" w:rsidRPr="00224C22" w:rsidRDefault="00FB1080"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F436DED" w14:textId="77777777" w:rsidR="00FB1080" w:rsidRPr="00224C22" w:rsidRDefault="00FB1080"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8DCEF25" w14:textId="77777777" w:rsidR="00FB1080" w:rsidRPr="00224C22" w:rsidRDefault="00FB1080"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ECF344F" w14:textId="77777777" w:rsidR="00FB1080" w:rsidRPr="00224C22" w:rsidRDefault="00FB1080"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E169AAF" w14:textId="77777777" w:rsidR="00FB1080" w:rsidRPr="00224C22" w:rsidRDefault="00FB1080"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438F933" w14:textId="77777777" w:rsidR="00FB1080" w:rsidRPr="00224C22" w:rsidRDefault="00FB1080"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8BCFA43" w14:textId="77777777" w:rsidR="00FB1080" w:rsidRPr="00224C22" w:rsidRDefault="00FB1080"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4D9A2EB" w14:textId="77777777" w:rsidR="00FB1080" w:rsidRPr="00224C22" w:rsidRDefault="00FB1080"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C4C159E" w14:textId="77777777" w:rsidR="00FB1080" w:rsidRPr="00224C22" w:rsidRDefault="00FB1080"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DE63F2A" w14:textId="77777777" w:rsidR="00FB1080" w:rsidRPr="00224C22" w:rsidRDefault="00FB1080" w:rsidP="00C561BD">
            <w:pPr>
              <w:tabs>
                <w:tab w:val="decimal" w:pos="113"/>
              </w:tabs>
              <w:spacing w:line="140" w:lineRule="exact"/>
              <w:rPr>
                <w:sz w:val="16"/>
                <w:szCs w:val="16"/>
              </w:rPr>
            </w:pPr>
          </w:p>
        </w:tc>
        <w:tc>
          <w:tcPr>
            <w:tcW w:w="113" w:type="dxa"/>
            <w:vAlign w:val="bottom"/>
          </w:tcPr>
          <w:p w14:paraId="35121642" w14:textId="77777777" w:rsidR="00FB1080" w:rsidRPr="00224C22" w:rsidRDefault="00FB1080"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11ECC050" w14:textId="77777777" w:rsidR="00FB1080" w:rsidRPr="00224C22" w:rsidRDefault="00FB1080" w:rsidP="00C561BD">
            <w:pPr>
              <w:tabs>
                <w:tab w:val="decimal" w:pos="113"/>
              </w:tabs>
              <w:spacing w:line="140" w:lineRule="exact"/>
              <w:rPr>
                <w:sz w:val="16"/>
                <w:szCs w:val="16"/>
              </w:rPr>
            </w:pPr>
          </w:p>
        </w:tc>
        <w:tc>
          <w:tcPr>
            <w:tcW w:w="113" w:type="dxa"/>
            <w:vAlign w:val="bottom"/>
          </w:tcPr>
          <w:p w14:paraId="429A8AD7" w14:textId="77777777" w:rsidR="00FB1080" w:rsidRPr="00224C22" w:rsidRDefault="00FB1080"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DCD2269" w14:textId="77777777" w:rsidR="00FB1080" w:rsidRPr="00224C22" w:rsidDel="00260764" w:rsidRDefault="00FB1080" w:rsidP="00C561BD">
            <w:pPr>
              <w:widowControl/>
              <w:tabs>
                <w:tab w:val="decimal" w:pos="74"/>
              </w:tabs>
              <w:spacing w:line="140" w:lineRule="exact"/>
              <w:ind w:left="57"/>
              <w:rPr>
                <w:sz w:val="16"/>
                <w:szCs w:val="16"/>
              </w:rPr>
            </w:pPr>
          </w:p>
        </w:tc>
        <w:tc>
          <w:tcPr>
            <w:tcW w:w="113" w:type="dxa"/>
          </w:tcPr>
          <w:p w14:paraId="01ADFADA" w14:textId="77777777" w:rsidR="00FB1080" w:rsidRPr="00224C22" w:rsidRDefault="00FB1080"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0A7D3578" w14:textId="77777777" w:rsidR="00FB1080" w:rsidRPr="00224C22" w:rsidRDefault="00FB1080" w:rsidP="00C561BD">
            <w:pPr>
              <w:tabs>
                <w:tab w:val="decimal" w:pos="113"/>
              </w:tabs>
              <w:spacing w:line="140" w:lineRule="exact"/>
              <w:rPr>
                <w:sz w:val="16"/>
                <w:szCs w:val="16"/>
              </w:rPr>
            </w:pPr>
          </w:p>
        </w:tc>
      </w:tr>
      <w:tr w:rsidR="00CF57B7" w:rsidRPr="00224C22" w14:paraId="66CB3C48" w14:textId="77777777" w:rsidTr="00702EBC">
        <w:tc>
          <w:tcPr>
            <w:tcW w:w="972" w:type="dxa"/>
            <w:vAlign w:val="center"/>
          </w:tcPr>
          <w:p w14:paraId="1780E866" w14:textId="77777777" w:rsidR="00827093" w:rsidRPr="00224C22" w:rsidRDefault="00827093" w:rsidP="00C561BD">
            <w:pPr>
              <w:pStyle w:val="a3"/>
              <w:bidi w:val="0"/>
              <w:spacing w:line="140" w:lineRule="exact"/>
              <w:ind w:right="110"/>
              <w:jc w:val="right"/>
              <w:rPr>
                <w:bCs/>
                <w:i/>
                <w:iCs/>
                <w:sz w:val="12"/>
                <w:szCs w:val="12"/>
              </w:rPr>
            </w:pPr>
          </w:p>
        </w:tc>
        <w:tc>
          <w:tcPr>
            <w:tcW w:w="2682" w:type="dxa"/>
            <w:tcBorders>
              <w:left w:val="nil"/>
            </w:tcBorders>
            <w:vAlign w:val="bottom"/>
          </w:tcPr>
          <w:p w14:paraId="4760613A" w14:textId="354CE77E" w:rsidR="00827093" w:rsidRPr="00224C22" w:rsidRDefault="000E53E9" w:rsidP="000E53E9">
            <w:pPr>
              <w:widowControl/>
              <w:tabs>
                <w:tab w:val="left" w:pos="227"/>
                <w:tab w:val="left" w:pos="397"/>
                <w:tab w:val="left" w:pos="567"/>
              </w:tabs>
              <w:spacing w:line="140" w:lineRule="exact"/>
              <w:ind w:left="57"/>
              <w:jc w:val="left"/>
              <w:rPr>
                <w:sz w:val="16"/>
                <w:szCs w:val="16"/>
                <w:rtl/>
              </w:rPr>
            </w:pPr>
            <w:r>
              <w:rPr>
                <w:rFonts w:hint="cs"/>
                <w:sz w:val="16"/>
                <w:szCs w:val="16"/>
                <w:rtl/>
              </w:rPr>
              <w:t xml:space="preserve">יתרה ליום 1 בינואר 2019 (לאחר אימוץ לראשונה של </w:t>
            </w:r>
            <w:r>
              <w:rPr>
                <w:rFonts w:hint="cs"/>
                <w:sz w:val="16"/>
                <w:szCs w:val="16"/>
              </w:rPr>
              <w:t xml:space="preserve">IFRS </w:t>
            </w:r>
            <w:r>
              <w:rPr>
                <w:sz w:val="16"/>
                <w:szCs w:val="16"/>
              </w:rPr>
              <w:t>16</w:t>
            </w:r>
            <w:r>
              <w:rPr>
                <w:rFonts w:hint="cs"/>
                <w:sz w:val="16"/>
                <w:szCs w:val="16"/>
                <w:rtl/>
              </w:rPr>
              <w:t>)</w:t>
            </w:r>
          </w:p>
        </w:tc>
        <w:tc>
          <w:tcPr>
            <w:tcW w:w="113" w:type="dxa"/>
            <w:vAlign w:val="bottom"/>
          </w:tcPr>
          <w:p w14:paraId="577ED58C" w14:textId="77777777" w:rsidR="00827093" w:rsidRPr="00224C22" w:rsidRDefault="00827093"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37D32FC8" w14:textId="77777777" w:rsidR="00827093" w:rsidRPr="00224C22" w:rsidRDefault="00827093" w:rsidP="00C561BD">
            <w:pPr>
              <w:tabs>
                <w:tab w:val="decimal" w:pos="113"/>
              </w:tabs>
              <w:spacing w:line="140" w:lineRule="exact"/>
              <w:jc w:val="left"/>
              <w:rPr>
                <w:sz w:val="16"/>
                <w:szCs w:val="16"/>
              </w:rPr>
            </w:pPr>
          </w:p>
        </w:tc>
        <w:tc>
          <w:tcPr>
            <w:tcW w:w="112" w:type="dxa"/>
            <w:vAlign w:val="bottom"/>
          </w:tcPr>
          <w:p w14:paraId="3BDCCFEB" w14:textId="77777777" w:rsidR="00827093" w:rsidRPr="00224C22" w:rsidRDefault="00827093"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2121300E" w14:textId="77777777" w:rsidR="00827093" w:rsidRPr="00224C22" w:rsidRDefault="00827093" w:rsidP="00C561BD">
            <w:pPr>
              <w:tabs>
                <w:tab w:val="decimal" w:pos="113"/>
              </w:tabs>
              <w:spacing w:line="140" w:lineRule="exact"/>
              <w:jc w:val="left"/>
              <w:rPr>
                <w:sz w:val="16"/>
                <w:szCs w:val="16"/>
              </w:rPr>
            </w:pPr>
          </w:p>
        </w:tc>
        <w:tc>
          <w:tcPr>
            <w:tcW w:w="113" w:type="dxa"/>
            <w:vAlign w:val="bottom"/>
          </w:tcPr>
          <w:p w14:paraId="113D6015"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A9BB4AE" w14:textId="77777777" w:rsidR="00827093" w:rsidRPr="00224C22" w:rsidRDefault="00827093" w:rsidP="00C561BD">
            <w:pPr>
              <w:tabs>
                <w:tab w:val="decimal" w:pos="113"/>
              </w:tabs>
              <w:spacing w:line="140" w:lineRule="exact"/>
              <w:rPr>
                <w:sz w:val="16"/>
                <w:szCs w:val="16"/>
              </w:rPr>
            </w:pPr>
          </w:p>
        </w:tc>
        <w:tc>
          <w:tcPr>
            <w:tcW w:w="113" w:type="dxa"/>
          </w:tcPr>
          <w:p w14:paraId="426F7A1C"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9AC6A99" w14:textId="77777777" w:rsidR="00827093" w:rsidRPr="00224C22" w:rsidRDefault="00827093" w:rsidP="00C561BD">
            <w:pPr>
              <w:tabs>
                <w:tab w:val="decimal" w:pos="113"/>
              </w:tabs>
              <w:spacing w:line="140" w:lineRule="exact"/>
              <w:rPr>
                <w:sz w:val="16"/>
                <w:szCs w:val="16"/>
              </w:rPr>
            </w:pPr>
          </w:p>
        </w:tc>
        <w:tc>
          <w:tcPr>
            <w:tcW w:w="113" w:type="dxa"/>
          </w:tcPr>
          <w:p w14:paraId="76825508"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010511DD" w14:textId="77777777" w:rsidR="00827093" w:rsidRPr="00224C22" w:rsidRDefault="00827093" w:rsidP="00C561BD">
            <w:pPr>
              <w:tabs>
                <w:tab w:val="decimal" w:pos="113"/>
              </w:tabs>
              <w:spacing w:line="140" w:lineRule="exact"/>
              <w:rPr>
                <w:sz w:val="16"/>
                <w:szCs w:val="16"/>
              </w:rPr>
            </w:pPr>
          </w:p>
        </w:tc>
        <w:tc>
          <w:tcPr>
            <w:tcW w:w="113" w:type="dxa"/>
            <w:vAlign w:val="bottom"/>
          </w:tcPr>
          <w:p w14:paraId="3A8B0BCD" w14:textId="77777777" w:rsidR="00827093" w:rsidRPr="00224C22" w:rsidRDefault="00827093"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03507A04" w14:textId="77777777" w:rsidR="00827093" w:rsidRPr="00224C22" w:rsidRDefault="00827093" w:rsidP="00C561BD">
            <w:pPr>
              <w:tabs>
                <w:tab w:val="decimal" w:pos="113"/>
              </w:tabs>
              <w:spacing w:line="140" w:lineRule="exact"/>
              <w:rPr>
                <w:sz w:val="16"/>
                <w:szCs w:val="16"/>
              </w:rPr>
            </w:pPr>
          </w:p>
        </w:tc>
        <w:tc>
          <w:tcPr>
            <w:tcW w:w="113" w:type="dxa"/>
            <w:vAlign w:val="bottom"/>
          </w:tcPr>
          <w:p w14:paraId="41658F6B" w14:textId="77777777" w:rsidR="00827093" w:rsidRPr="00224C22" w:rsidRDefault="00827093"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703BDCE7" w14:textId="77777777" w:rsidR="00827093" w:rsidRPr="00224C22" w:rsidRDefault="00827093" w:rsidP="00C561BD">
            <w:pPr>
              <w:tabs>
                <w:tab w:val="decimal" w:pos="113"/>
              </w:tabs>
              <w:spacing w:line="140" w:lineRule="exact"/>
              <w:rPr>
                <w:sz w:val="16"/>
                <w:szCs w:val="16"/>
              </w:rPr>
            </w:pPr>
          </w:p>
        </w:tc>
        <w:tc>
          <w:tcPr>
            <w:tcW w:w="113" w:type="dxa"/>
            <w:vAlign w:val="bottom"/>
          </w:tcPr>
          <w:p w14:paraId="43968360"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03AE4A7" w14:textId="77777777" w:rsidR="00827093" w:rsidRPr="00224C22" w:rsidRDefault="00827093" w:rsidP="00C561BD">
            <w:pPr>
              <w:tabs>
                <w:tab w:val="decimal" w:pos="113"/>
              </w:tabs>
              <w:spacing w:line="140" w:lineRule="exact"/>
              <w:rPr>
                <w:sz w:val="16"/>
                <w:szCs w:val="16"/>
              </w:rPr>
            </w:pPr>
          </w:p>
        </w:tc>
        <w:tc>
          <w:tcPr>
            <w:tcW w:w="113" w:type="dxa"/>
            <w:vAlign w:val="bottom"/>
          </w:tcPr>
          <w:p w14:paraId="6E6287EC"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5055DD9"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9EE3276"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212B088"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20B3F2D"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74837F28"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3B20B41"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066A1D8"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C5B9E3B"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1D21133" w14:textId="77777777" w:rsidR="00827093" w:rsidRPr="00224C22" w:rsidRDefault="00827093" w:rsidP="00C561BD">
            <w:pPr>
              <w:tabs>
                <w:tab w:val="decimal" w:pos="113"/>
              </w:tabs>
              <w:spacing w:line="140" w:lineRule="exact"/>
              <w:rPr>
                <w:sz w:val="16"/>
                <w:szCs w:val="16"/>
              </w:rPr>
            </w:pPr>
          </w:p>
        </w:tc>
        <w:tc>
          <w:tcPr>
            <w:tcW w:w="113" w:type="dxa"/>
            <w:vAlign w:val="bottom"/>
          </w:tcPr>
          <w:p w14:paraId="22EAD494"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25E9FFC5" w14:textId="77777777" w:rsidR="00827093" w:rsidRPr="00224C22" w:rsidRDefault="00827093" w:rsidP="00C561BD">
            <w:pPr>
              <w:tabs>
                <w:tab w:val="decimal" w:pos="113"/>
              </w:tabs>
              <w:spacing w:line="140" w:lineRule="exact"/>
              <w:rPr>
                <w:sz w:val="16"/>
                <w:szCs w:val="16"/>
              </w:rPr>
            </w:pPr>
          </w:p>
        </w:tc>
        <w:tc>
          <w:tcPr>
            <w:tcW w:w="113" w:type="dxa"/>
            <w:vAlign w:val="bottom"/>
          </w:tcPr>
          <w:p w14:paraId="1D05DF6B"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558BDDA" w14:textId="77777777" w:rsidR="00827093" w:rsidRPr="00224C22" w:rsidDel="00260764" w:rsidRDefault="00827093" w:rsidP="00C561BD">
            <w:pPr>
              <w:widowControl/>
              <w:tabs>
                <w:tab w:val="decimal" w:pos="74"/>
              </w:tabs>
              <w:spacing w:line="140" w:lineRule="exact"/>
              <w:ind w:left="57"/>
              <w:rPr>
                <w:sz w:val="16"/>
                <w:szCs w:val="16"/>
              </w:rPr>
            </w:pPr>
          </w:p>
        </w:tc>
        <w:tc>
          <w:tcPr>
            <w:tcW w:w="113" w:type="dxa"/>
          </w:tcPr>
          <w:p w14:paraId="38780D97" w14:textId="77777777" w:rsidR="00827093" w:rsidRPr="00224C22" w:rsidRDefault="00827093"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70AE38F0" w14:textId="77777777" w:rsidR="00827093" w:rsidRPr="00224C22" w:rsidRDefault="00827093" w:rsidP="00C561BD">
            <w:pPr>
              <w:tabs>
                <w:tab w:val="decimal" w:pos="113"/>
              </w:tabs>
              <w:spacing w:line="140" w:lineRule="exact"/>
              <w:rPr>
                <w:sz w:val="16"/>
                <w:szCs w:val="16"/>
              </w:rPr>
            </w:pPr>
          </w:p>
        </w:tc>
      </w:tr>
      <w:tr w:rsidR="00CF57B7" w:rsidRPr="00224C22" w14:paraId="337D53A6" w14:textId="77777777" w:rsidTr="00702EBC">
        <w:tc>
          <w:tcPr>
            <w:tcW w:w="972" w:type="dxa"/>
            <w:vAlign w:val="center"/>
          </w:tcPr>
          <w:p w14:paraId="792D3DBB" w14:textId="77777777" w:rsidR="00827093" w:rsidRPr="00224C22" w:rsidRDefault="00827093" w:rsidP="00C561BD">
            <w:pPr>
              <w:pStyle w:val="a3"/>
              <w:bidi w:val="0"/>
              <w:spacing w:line="140" w:lineRule="exact"/>
              <w:ind w:right="110"/>
              <w:jc w:val="right"/>
              <w:rPr>
                <w:bCs/>
                <w:i/>
                <w:iCs/>
                <w:sz w:val="12"/>
                <w:szCs w:val="12"/>
              </w:rPr>
            </w:pPr>
          </w:p>
        </w:tc>
        <w:tc>
          <w:tcPr>
            <w:tcW w:w="2682" w:type="dxa"/>
            <w:tcBorders>
              <w:left w:val="nil"/>
            </w:tcBorders>
            <w:vAlign w:val="bottom"/>
          </w:tcPr>
          <w:p w14:paraId="57A630C9" w14:textId="77777777" w:rsidR="00827093" w:rsidRPr="00224C22" w:rsidRDefault="00827093" w:rsidP="00C561BD">
            <w:pPr>
              <w:widowControl/>
              <w:tabs>
                <w:tab w:val="left" w:pos="227"/>
                <w:tab w:val="left" w:pos="397"/>
                <w:tab w:val="left" w:pos="567"/>
              </w:tabs>
              <w:spacing w:line="140" w:lineRule="exact"/>
              <w:ind w:left="57"/>
              <w:jc w:val="left"/>
              <w:rPr>
                <w:sz w:val="16"/>
                <w:szCs w:val="16"/>
                <w:rtl/>
              </w:rPr>
            </w:pPr>
          </w:p>
        </w:tc>
        <w:tc>
          <w:tcPr>
            <w:tcW w:w="113" w:type="dxa"/>
            <w:vAlign w:val="bottom"/>
          </w:tcPr>
          <w:p w14:paraId="1DAA609E" w14:textId="77777777" w:rsidR="00827093" w:rsidRPr="00224C22" w:rsidRDefault="00827093"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2C495FD2" w14:textId="77777777" w:rsidR="00827093" w:rsidRPr="00224C22" w:rsidRDefault="00827093" w:rsidP="00C561BD">
            <w:pPr>
              <w:tabs>
                <w:tab w:val="decimal" w:pos="113"/>
              </w:tabs>
              <w:spacing w:line="140" w:lineRule="exact"/>
              <w:jc w:val="left"/>
              <w:rPr>
                <w:sz w:val="16"/>
                <w:szCs w:val="16"/>
              </w:rPr>
            </w:pPr>
          </w:p>
        </w:tc>
        <w:tc>
          <w:tcPr>
            <w:tcW w:w="112" w:type="dxa"/>
            <w:vAlign w:val="bottom"/>
          </w:tcPr>
          <w:p w14:paraId="15EDCDA3" w14:textId="77777777" w:rsidR="00827093" w:rsidRPr="00224C22" w:rsidRDefault="00827093"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5EF6B197" w14:textId="77777777" w:rsidR="00827093" w:rsidRPr="00224C22" w:rsidRDefault="00827093" w:rsidP="00C561BD">
            <w:pPr>
              <w:tabs>
                <w:tab w:val="decimal" w:pos="113"/>
              </w:tabs>
              <w:spacing w:line="140" w:lineRule="exact"/>
              <w:jc w:val="left"/>
              <w:rPr>
                <w:sz w:val="16"/>
                <w:szCs w:val="16"/>
              </w:rPr>
            </w:pPr>
          </w:p>
        </w:tc>
        <w:tc>
          <w:tcPr>
            <w:tcW w:w="113" w:type="dxa"/>
            <w:vAlign w:val="bottom"/>
          </w:tcPr>
          <w:p w14:paraId="3907E3B8"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EB7D8F7" w14:textId="77777777" w:rsidR="00827093" w:rsidRPr="00224C22" w:rsidRDefault="00827093" w:rsidP="00C561BD">
            <w:pPr>
              <w:tabs>
                <w:tab w:val="decimal" w:pos="113"/>
              </w:tabs>
              <w:spacing w:line="140" w:lineRule="exact"/>
              <w:rPr>
                <w:sz w:val="16"/>
                <w:szCs w:val="16"/>
              </w:rPr>
            </w:pPr>
          </w:p>
        </w:tc>
        <w:tc>
          <w:tcPr>
            <w:tcW w:w="113" w:type="dxa"/>
          </w:tcPr>
          <w:p w14:paraId="6E0B74BD"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88A5DFC" w14:textId="77777777" w:rsidR="00827093" w:rsidRPr="00224C22" w:rsidRDefault="00827093" w:rsidP="00C561BD">
            <w:pPr>
              <w:tabs>
                <w:tab w:val="decimal" w:pos="113"/>
              </w:tabs>
              <w:spacing w:line="140" w:lineRule="exact"/>
              <w:rPr>
                <w:sz w:val="16"/>
                <w:szCs w:val="16"/>
              </w:rPr>
            </w:pPr>
          </w:p>
        </w:tc>
        <w:tc>
          <w:tcPr>
            <w:tcW w:w="113" w:type="dxa"/>
          </w:tcPr>
          <w:p w14:paraId="7F4478F7"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00E19591" w14:textId="77777777" w:rsidR="00827093" w:rsidRPr="00224C22" w:rsidRDefault="00827093" w:rsidP="00C561BD">
            <w:pPr>
              <w:tabs>
                <w:tab w:val="decimal" w:pos="113"/>
              </w:tabs>
              <w:spacing w:line="140" w:lineRule="exact"/>
              <w:rPr>
                <w:sz w:val="16"/>
                <w:szCs w:val="16"/>
              </w:rPr>
            </w:pPr>
          </w:p>
        </w:tc>
        <w:tc>
          <w:tcPr>
            <w:tcW w:w="113" w:type="dxa"/>
            <w:vAlign w:val="bottom"/>
          </w:tcPr>
          <w:p w14:paraId="69339CA3" w14:textId="77777777" w:rsidR="00827093" w:rsidRPr="00224C22" w:rsidRDefault="00827093"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7C0D058F" w14:textId="77777777" w:rsidR="00827093" w:rsidRPr="00224C22" w:rsidRDefault="00827093" w:rsidP="00C561BD">
            <w:pPr>
              <w:tabs>
                <w:tab w:val="decimal" w:pos="113"/>
              </w:tabs>
              <w:spacing w:line="140" w:lineRule="exact"/>
              <w:rPr>
                <w:sz w:val="16"/>
                <w:szCs w:val="16"/>
              </w:rPr>
            </w:pPr>
          </w:p>
        </w:tc>
        <w:tc>
          <w:tcPr>
            <w:tcW w:w="113" w:type="dxa"/>
            <w:vAlign w:val="bottom"/>
          </w:tcPr>
          <w:p w14:paraId="1A9B3D48" w14:textId="77777777" w:rsidR="00827093" w:rsidRPr="00224C22" w:rsidRDefault="00827093"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508AB039" w14:textId="77777777" w:rsidR="00827093" w:rsidRPr="00224C22" w:rsidRDefault="00827093" w:rsidP="00C561BD">
            <w:pPr>
              <w:tabs>
                <w:tab w:val="decimal" w:pos="113"/>
              </w:tabs>
              <w:spacing w:line="140" w:lineRule="exact"/>
              <w:rPr>
                <w:sz w:val="16"/>
                <w:szCs w:val="16"/>
              </w:rPr>
            </w:pPr>
          </w:p>
        </w:tc>
        <w:tc>
          <w:tcPr>
            <w:tcW w:w="113" w:type="dxa"/>
            <w:vAlign w:val="bottom"/>
          </w:tcPr>
          <w:p w14:paraId="739755F8"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FC9EE14" w14:textId="77777777" w:rsidR="00827093" w:rsidRPr="00224C22" w:rsidRDefault="00827093" w:rsidP="00C561BD">
            <w:pPr>
              <w:tabs>
                <w:tab w:val="decimal" w:pos="113"/>
              </w:tabs>
              <w:spacing w:line="140" w:lineRule="exact"/>
              <w:rPr>
                <w:sz w:val="16"/>
                <w:szCs w:val="16"/>
              </w:rPr>
            </w:pPr>
          </w:p>
        </w:tc>
        <w:tc>
          <w:tcPr>
            <w:tcW w:w="113" w:type="dxa"/>
            <w:vAlign w:val="bottom"/>
          </w:tcPr>
          <w:p w14:paraId="50BF26CB"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040160F"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59B0EE5"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8975209"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0332439"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15016957"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232DEC8"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49996FE"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3425D53"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40304D5" w14:textId="77777777" w:rsidR="00827093" w:rsidRPr="00224C22" w:rsidRDefault="00827093" w:rsidP="00C561BD">
            <w:pPr>
              <w:tabs>
                <w:tab w:val="decimal" w:pos="113"/>
              </w:tabs>
              <w:spacing w:line="140" w:lineRule="exact"/>
              <w:rPr>
                <w:sz w:val="16"/>
                <w:szCs w:val="16"/>
              </w:rPr>
            </w:pPr>
          </w:p>
        </w:tc>
        <w:tc>
          <w:tcPr>
            <w:tcW w:w="113" w:type="dxa"/>
            <w:vAlign w:val="bottom"/>
          </w:tcPr>
          <w:p w14:paraId="52DD2463"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08C9CEF9" w14:textId="77777777" w:rsidR="00827093" w:rsidRPr="00224C22" w:rsidRDefault="00827093" w:rsidP="00C561BD">
            <w:pPr>
              <w:tabs>
                <w:tab w:val="decimal" w:pos="113"/>
              </w:tabs>
              <w:spacing w:line="140" w:lineRule="exact"/>
              <w:rPr>
                <w:sz w:val="16"/>
                <w:szCs w:val="16"/>
              </w:rPr>
            </w:pPr>
          </w:p>
        </w:tc>
        <w:tc>
          <w:tcPr>
            <w:tcW w:w="113" w:type="dxa"/>
            <w:vAlign w:val="bottom"/>
          </w:tcPr>
          <w:p w14:paraId="4115D43D"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D7C0152" w14:textId="77777777" w:rsidR="00827093" w:rsidRPr="00224C22" w:rsidDel="00260764" w:rsidRDefault="00827093" w:rsidP="00C561BD">
            <w:pPr>
              <w:widowControl/>
              <w:tabs>
                <w:tab w:val="decimal" w:pos="74"/>
              </w:tabs>
              <w:spacing w:line="140" w:lineRule="exact"/>
              <w:ind w:left="57"/>
              <w:rPr>
                <w:sz w:val="16"/>
                <w:szCs w:val="16"/>
              </w:rPr>
            </w:pPr>
          </w:p>
        </w:tc>
        <w:tc>
          <w:tcPr>
            <w:tcW w:w="113" w:type="dxa"/>
          </w:tcPr>
          <w:p w14:paraId="194BACD7" w14:textId="77777777" w:rsidR="00827093" w:rsidRPr="00224C22" w:rsidRDefault="00827093"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073265F0" w14:textId="77777777" w:rsidR="00827093" w:rsidRPr="00224C22" w:rsidRDefault="00827093" w:rsidP="00C561BD">
            <w:pPr>
              <w:tabs>
                <w:tab w:val="decimal" w:pos="113"/>
              </w:tabs>
              <w:spacing w:line="140" w:lineRule="exact"/>
              <w:rPr>
                <w:sz w:val="16"/>
                <w:szCs w:val="16"/>
              </w:rPr>
            </w:pPr>
          </w:p>
        </w:tc>
      </w:tr>
      <w:tr w:rsidR="00CF57B7" w:rsidRPr="00224C22" w14:paraId="7935CCDA" w14:textId="77777777" w:rsidTr="00702EBC">
        <w:tc>
          <w:tcPr>
            <w:tcW w:w="972" w:type="dxa"/>
            <w:tcBorders>
              <w:bottom w:val="single" w:sz="4" w:space="0" w:color="auto"/>
              <w:right w:val="single" w:sz="4" w:space="0" w:color="auto"/>
            </w:tcBorders>
            <w:vAlign w:val="center"/>
          </w:tcPr>
          <w:p w14:paraId="69EED256" w14:textId="77777777" w:rsidR="00C561BD" w:rsidRPr="00224C22" w:rsidRDefault="00C561BD" w:rsidP="00C561BD">
            <w:pPr>
              <w:pStyle w:val="a3"/>
              <w:bidi w:val="0"/>
              <w:spacing w:line="140" w:lineRule="exact"/>
              <w:ind w:right="110"/>
              <w:jc w:val="right"/>
              <w:rPr>
                <w:bCs/>
                <w:i/>
                <w:iCs/>
                <w:sz w:val="12"/>
                <w:szCs w:val="12"/>
                <w:rtl/>
              </w:rPr>
            </w:pPr>
            <w:r w:rsidRPr="00224C22">
              <w:rPr>
                <w:bCs/>
                <w:i/>
                <w:iCs/>
                <w:sz w:val="12"/>
                <w:szCs w:val="12"/>
              </w:rPr>
              <w:t>IAS 1.106(d)(i)</w:t>
            </w:r>
          </w:p>
        </w:tc>
        <w:tc>
          <w:tcPr>
            <w:tcW w:w="2682" w:type="dxa"/>
            <w:tcBorders>
              <w:left w:val="single" w:sz="4" w:space="0" w:color="auto"/>
            </w:tcBorders>
            <w:vAlign w:val="bottom"/>
          </w:tcPr>
          <w:p w14:paraId="0A082AE7" w14:textId="77777777" w:rsidR="00C561BD" w:rsidRPr="00224C22" w:rsidRDefault="00C561BD" w:rsidP="00C561BD">
            <w:pPr>
              <w:widowControl/>
              <w:tabs>
                <w:tab w:val="left" w:pos="227"/>
                <w:tab w:val="left" w:pos="397"/>
                <w:tab w:val="left" w:pos="567"/>
              </w:tabs>
              <w:spacing w:line="140" w:lineRule="exact"/>
              <w:ind w:left="57"/>
              <w:jc w:val="left"/>
              <w:rPr>
                <w:sz w:val="16"/>
                <w:szCs w:val="16"/>
                <w:rtl/>
              </w:rPr>
            </w:pPr>
            <w:r w:rsidRPr="00224C22">
              <w:rPr>
                <w:rFonts w:hint="cs"/>
                <w:sz w:val="16"/>
                <w:szCs w:val="16"/>
                <w:rtl/>
              </w:rPr>
              <w:t>רווח נקי (הפסד)</w:t>
            </w:r>
          </w:p>
        </w:tc>
        <w:tc>
          <w:tcPr>
            <w:tcW w:w="113" w:type="dxa"/>
            <w:vAlign w:val="bottom"/>
          </w:tcPr>
          <w:p w14:paraId="7662847B"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3C81551A"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48AA8802"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51308C18"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4E7B469D"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6A50E354" w14:textId="77777777" w:rsidR="00C561BD" w:rsidRPr="00224C22" w:rsidRDefault="00C561BD" w:rsidP="00C561BD">
            <w:pPr>
              <w:tabs>
                <w:tab w:val="decimal" w:pos="113"/>
              </w:tabs>
              <w:spacing w:line="140" w:lineRule="exact"/>
              <w:rPr>
                <w:sz w:val="16"/>
                <w:szCs w:val="16"/>
              </w:rPr>
            </w:pPr>
          </w:p>
        </w:tc>
        <w:tc>
          <w:tcPr>
            <w:tcW w:w="113" w:type="dxa"/>
          </w:tcPr>
          <w:p w14:paraId="3C2DF5BE"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A3946E6" w14:textId="77777777" w:rsidR="00C561BD" w:rsidRPr="00224C22" w:rsidRDefault="00C561BD" w:rsidP="00C561BD">
            <w:pPr>
              <w:tabs>
                <w:tab w:val="decimal" w:pos="113"/>
              </w:tabs>
              <w:spacing w:line="140" w:lineRule="exact"/>
              <w:rPr>
                <w:sz w:val="16"/>
                <w:szCs w:val="16"/>
              </w:rPr>
            </w:pPr>
          </w:p>
        </w:tc>
        <w:tc>
          <w:tcPr>
            <w:tcW w:w="113" w:type="dxa"/>
          </w:tcPr>
          <w:p w14:paraId="1261CD55"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4D0EFF4F" w14:textId="77777777" w:rsidR="00C561BD" w:rsidRPr="00224C22" w:rsidRDefault="00C561BD" w:rsidP="00C561BD">
            <w:pPr>
              <w:tabs>
                <w:tab w:val="decimal" w:pos="113"/>
              </w:tabs>
              <w:spacing w:line="140" w:lineRule="exact"/>
              <w:rPr>
                <w:sz w:val="16"/>
                <w:szCs w:val="16"/>
              </w:rPr>
            </w:pPr>
          </w:p>
        </w:tc>
        <w:tc>
          <w:tcPr>
            <w:tcW w:w="113" w:type="dxa"/>
            <w:vAlign w:val="bottom"/>
          </w:tcPr>
          <w:p w14:paraId="536553D6"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714E2649" w14:textId="77777777" w:rsidR="00C561BD" w:rsidRPr="00224C22" w:rsidRDefault="00C561BD" w:rsidP="00C561BD">
            <w:pPr>
              <w:tabs>
                <w:tab w:val="decimal" w:pos="113"/>
              </w:tabs>
              <w:spacing w:line="140" w:lineRule="exact"/>
              <w:rPr>
                <w:sz w:val="16"/>
                <w:szCs w:val="16"/>
              </w:rPr>
            </w:pPr>
          </w:p>
        </w:tc>
        <w:tc>
          <w:tcPr>
            <w:tcW w:w="113" w:type="dxa"/>
            <w:vAlign w:val="bottom"/>
          </w:tcPr>
          <w:p w14:paraId="5E1FADC9"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005AEE30" w14:textId="77777777" w:rsidR="00C561BD" w:rsidRPr="00224C22" w:rsidRDefault="00C561BD" w:rsidP="00C561BD">
            <w:pPr>
              <w:tabs>
                <w:tab w:val="decimal" w:pos="113"/>
              </w:tabs>
              <w:spacing w:line="140" w:lineRule="exact"/>
              <w:rPr>
                <w:sz w:val="16"/>
                <w:szCs w:val="16"/>
              </w:rPr>
            </w:pPr>
          </w:p>
        </w:tc>
        <w:tc>
          <w:tcPr>
            <w:tcW w:w="113" w:type="dxa"/>
            <w:vAlign w:val="bottom"/>
          </w:tcPr>
          <w:p w14:paraId="3B7045B6"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D2F1947" w14:textId="77777777" w:rsidR="00C561BD" w:rsidRPr="00224C22" w:rsidRDefault="00C561BD" w:rsidP="00C561BD">
            <w:pPr>
              <w:tabs>
                <w:tab w:val="decimal" w:pos="113"/>
              </w:tabs>
              <w:spacing w:line="140" w:lineRule="exact"/>
              <w:rPr>
                <w:sz w:val="16"/>
                <w:szCs w:val="16"/>
              </w:rPr>
            </w:pPr>
          </w:p>
        </w:tc>
        <w:tc>
          <w:tcPr>
            <w:tcW w:w="113" w:type="dxa"/>
            <w:vAlign w:val="bottom"/>
          </w:tcPr>
          <w:p w14:paraId="72E9AFED"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0A0F0FF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EE40364"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C6307EC"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E338E20"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AE02D9B"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5424DD3"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BB0928A"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0FF2676A"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1761896" w14:textId="77777777" w:rsidR="00C561BD" w:rsidRPr="00224C22" w:rsidRDefault="00C561BD" w:rsidP="00C561BD">
            <w:pPr>
              <w:tabs>
                <w:tab w:val="decimal" w:pos="113"/>
              </w:tabs>
              <w:spacing w:line="140" w:lineRule="exact"/>
              <w:rPr>
                <w:sz w:val="16"/>
                <w:szCs w:val="16"/>
              </w:rPr>
            </w:pPr>
          </w:p>
        </w:tc>
        <w:tc>
          <w:tcPr>
            <w:tcW w:w="113" w:type="dxa"/>
            <w:vAlign w:val="bottom"/>
          </w:tcPr>
          <w:p w14:paraId="0A9A0C7C"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52DDAA4B" w14:textId="77777777" w:rsidR="00C561BD" w:rsidRPr="00224C22" w:rsidRDefault="00C561BD" w:rsidP="00C561BD">
            <w:pPr>
              <w:tabs>
                <w:tab w:val="decimal" w:pos="113"/>
              </w:tabs>
              <w:spacing w:line="140" w:lineRule="exact"/>
              <w:rPr>
                <w:sz w:val="16"/>
                <w:szCs w:val="16"/>
              </w:rPr>
            </w:pPr>
          </w:p>
        </w:tc>
        <w:tc>
          <w:tcPr>
            <w:tcW w:w="113" w:type="dxa"/>
            <w:vAlign w:val="bottom"/>
          </w:tcPr>
          <w:p w14:paraId="1CDAD065"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17981AB" w14:textId="77777777" w:rsidR="00C561BD" w:rsidRPr="00224C22" w:rsidDel="00260764" w:rsidRDefault="00C561BD" w:rsidP="00C561BD">
            <w:pPr>
              <w:widowControl/>
              <w:tabs>
                <w:tab w:val="decimal" w:pos="74"/>
              </w:tabs>
              <w:spacing w:line="140" w:lineRule="exact"/>
              <w:ind w:left="57"/>
              <w:rPr>
                <w:sz w:val="16"/>
                <w:szCs w:val="16"/>
              </w:rPr>
            </w:pPr>
          </w:p>
        </w:tc>
        <w:tc>
          <w:tcPr>
            <w:tcW w:w="113" w:type="dxa"/>
          </w:tcPr>
          <w:p w14:paraId="7D7041D4"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569A5182" w14:textId="77777777" w:rsidR="00C561BD" w:rsidRPr="00224C22" w:rsidRDefault="00C561BD" w:rsidP="00C561BD">
            <w:pPr>
              <w:tabs>
                <w:tab w:val="decimal" w:pos="113"/>
              </w:tabs>
              <w:spacing w:line="140" w:lineRule="exact"/>
              <w:rPr>
                <w:sz w:val="16"/>
                <w:szCs w:val="16"/>
              </w:rPr>
            </w:pPr>
          </w:p>
        </w:tc>
      </w:tr>
      <w:tr w:rsidR="00CF57B7" w:rsidRPr="00224C22" w14:paraId="77BDFDAE" w14:textId="77777777" w:rsidTr="00A7568E">
        <w:tc>
          <w:tcPr>
            <w:tcW w:w="972" w:type="dxa"/>
            <w:tcBorders>
              <w:top w:val="single" w:sz="4" w:space="0" w:color="auto"/>
              <w:bottom w:val="single" w:sz="4" w:space="0" w:color="auto"/>
              <w:right w:val="single" w:sz="4" w:space="0" w:color="auto"/>
            </w:tcBorders>
            <w:vAlign w:val="center"/>
          </w:tcPr>
          <w:p w14:paraId="2000C53A" w14:textId="77777777" w:rsidR="00C561BD" w:rsidRPr="00224C22" w:rsidRDefault="00C561BD" w:rsidP="00C561BD">
            <w:pPr>
              <w:widowControl/>
              <w:bidi w:val="0"/>
              <w:spacing w:line="140" w:lineRule="exact"/>
              <w:ind w:right="110"/>
              <w:jc w:val="right"/>
              <w:rPr>
                <w:i/>
                <w:iCs/>
                <w:sz w:val="12"/>
                <w:szCs w:val="12"/>
                <w:rtl/>
              </w:rPr>
            </w:pPr>
            <w:r>
              <w:rPr>
                <w:i/>
                <w:iCs/>
                <w:sz w:val="12"/>
                <w:szCs w:val="12"/>
              </w:rPr>
              <w:t>IAS 1.106(d)</w:t>
            </w:r>
            <w:r w:rsidRPr="00224C22">
              <w:rPr>
                <w:i/>
                <w:iCs/>
                <w:sz w:val="12"/>
                <w:szCs w:val="12"/>
              </w:rPr>
              <w:t>(ii)</w:t>
            </w:r>
          </w:p>
        </w:tc>
        <w:tc>
          <w:tcPr>
            <w:tcW w:w="2682" w:type="dxa"/>
            <w:tcBorders>
              <w:left w:val="single" w:sz="4" w:space="0" w:color="auto"/>
            </w:tcBorders>
            <w:vAlign w:val="bottom"/>
          </w:tcPr>
          <w:p w14:paraId="589B09A0" w14:textId="77777777" w:rsidR="00C561BD" w:rsidRPr="00224C22" w:rsidRDefault="00C561BD" w:rsidP="00C561BD">
            <w:pPr>
              <w:widowControl/>
              <w:tabs>
                <w:tab w:val="left" w:pos="227"/>
                <w:tab w:val="left" w:pos="397"/>
                <w:tab w:val="left" w:pos="567"/>
              </w:tabs>
              <w:spacing w:line="140" w:lineRule="exact"/>
              <w:ind w:left="57"/>
              <w:jc w:val="left"/>
              <w:rPr>
                <w:sz w:val="16"/>
                <w:szCs w:val="16"/>
                <w:rtl/>
              </w:rPr>
            </w:pPr>
            <w:r w:rsidRPr="00224C22">
              <w:rPr>
                <w:rFonts w:hint="eastAsia"/>
                <w:sz w:val="16"/>
                <w:szCs w:val="16"/>
                <w:rtl/>
              </w:rPr>
              <w:t>סה</w:t>
            </w:r>
            <w:r w:rsidRPr="00224C22">
              <w:rPr>
                <w:sz w:val="16"/>
                <w:szCs w:val="16"/>
                <w:rtl/>
              </w:rPr>
              <w:t xml:space="preserve">"כ </w:t>
            </w:r>
            <w:r w:rsidRPr="00224C22">
              <w:rPr>
                <w:rFonts w:hint="eastAsia"/>
                <w:sz w:val="16"/>
                <w:szCs w:val="16"/>
                <w:rtl/>
              </w:rPr>
              <w:t>רווח</w:t>
            </w:r>
            <w:r w:rsidRPr="00224C22">
              <w:rPr>
                <w:sz w:val="16"/>
                <w:szCs w:val="16"/>
                <w:rtl/>
              </w:rPr>
              <w:t xml:space="preserve"> (הפסד) </w:t>
            </w:r>
            <w:r w:rsidRPr="00224C22">
              <w:rPr>
                <w:rFonts w:hint="eastAsia"/>
                <w:sz w:val="16"/>
                <w:szCs w:val="16"/>
                <w:rtl/>
              </w:rPr>
              <w:t>כולל</w:t>
            </w:r>
            <w:r w:rsidRPr="00224C22">
              <w:rPr>
                <w:sz w:val="16"/>
                <w:szCs w:val="16"/>
                <w:rtl/>
              </w:rPr>
              <w:t xml:space="preserve"> </w:t>
            </w:r>
            <w:r w:rsidRPr="00224C22">
              <w:rPr>
                <w:rFonts w:hint="eastAsia"/>
                <w:sz w:val="16"/>
                <w:szCs w:val="16"/>
                <w:rtl/>
              </w:rPr>
              <w:t>אחר</w:t>
            </w:r>
          </w:p>
        </w:tc>
        <w:tc>
          <w:tcPr>
            <w:tcW w:w="113" w:type="dxa"/>
            <w:vAlign w:val="bottom"/>
          </w:tcPr>
          <w:p w14:paraId="4ECD2ADF" w14:textId="77777777" w:rsidR="00C561BD" w:rsidRPr="00224C22" w:rsidRDefault="00C561BD" w:rsidP="00C561BD">
            <w:pPr>
              <w:spacing w:line="140" w:lineRule="exact"/>
              <w:jc w:val="left"/>
              <w:rPr>
                <w:sz w:val="16"/>
                <w:szCs w:val="16"/>
              </w:rPr>
            </w:pPr>
          </w:p>
        </w:tc>
        <w:tc>
          <w:tcPr>
            <w:tcW w:w="621" w:type="dxa"/>
            <w:tcBorders>
              <w:top w:val="nil"/>
              <w:left w:val="nil"/>
              <w:bottom w:val="single" w:sz="6" w:space="0" w:color="auto"/>
              <w:right w:val="nil"/>
            </w:tcBorders>
            <w:shd w:val="clear" w:color="auto" w:fill="auto"/>
            <w:vAlign w:val="bottom"/>
          </w:tcPr>
          <w:p w14:paraId="2FF28E7F"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07515DAE"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bottom w:val="single" w:sz="6" w:space="0" w:color="auto"/>
              <w:right w:val="nil"/>
            </w:tcBorders>
            <w:shd w:val="clear" w:color="auto" w:fill="auto"/>
            <w:vAlign w:val="bottom"/>
          </w:tcPr>
          <w:p w14:paraId="578390E2"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6D5A228A"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single" w:sz="6" w:space="0" w:color="auto"/>
              <w:right w:val="nil"/>
            </w:tcBorders>
            <w:shd w:val="clear" w:color="auto" w:fill="auto"/>
            <w:vAlign w:val="bottom"/>
          </w:tcPr>
          <w:p w14:paraId="35EBEC50" w14:textId="77777777" w:rsidR="00C561BD" w:rsidRPr="00224C22" w:rsidRDefault="00C561BD" w:rsidP="00C561BD">
            <w:pPr>
              <w:tabs>
                <w:tab w:val="decimal" w:pos="113"/>
              </w:tabs>
              <w:spacing w:line="140" w:lineRule="exact"/>
              <w:rPr>
                <w:sz w:val="16"/>
                <w:szCs w:val="16"/>
              </w:rPr>
            </w:pPr>
          </w:p>
        </w:tc>
        <w:tc>
          <w:tcPr>
            <w:tcW w:w="113" w:type="dxa"/>
          </w:tcPr>
          <w:p w14:paraId="36D58D5C" w14:textId="77777777" w:rsidR="00C561BD" w:rsidRPr="00224C22" w:rsidRDefault="00C561BD" w:rsidP="00C561BD">
            <w:pPr>
              <w:tabs>
                <w:tab w:val="decimal" w:pos="113"/>
              </w:tabs>
              <w:spacing w:line="140" w:lineRule="exact"/>
              <w:rPr>
                <w:sz w:val="16"/>
                <w:szCs w:val="16"/>
              </w:rPr>
            </w:pPr>
          </w:p>
        </w:tc>
        <w:tc>
          <w:tcPr>
            <w:tcW w:w="677" w:type="dxa"/>
            <w:tcBorders>
              <w:top w:val="nil"/>
              <w:left w:val="nil"/>
              <w:bottom w:val="single" w:sz="6" w:space="0" w:color="auto"/>
              <w:right w:val="nil"/>
            </w:tcBorders>
            <w:shd w:val="clear" w:color="auto" w:fill="auto"/>
          </w:tcPr>
          <w:p w14:paraId="399CC329" w14:textId="77777777" w:rsidR="00C561BD" w:rsidRPr="00224C22" w:rsidRDefault="00C561BD" w:rsidP="00C561BD">
            <w:pPr>
              <w:tabs>
                <w:tab w:val="decimal" w:pos="113"/>
              </w:tabs>
              <w:spacing w:line="140" w:lineRule="exact"/>
              <w:rPr>
                <w:sz w:val="16"/>
                <w:szCs w:val="16"/>
              </w:rPr>
            </w:pPr>
          </w:p>
        </w:tc>
        <w:tc>
          <w:tcPr>
            <w:tcW w:w="113" w:type="dxa"/>
          </w:tcPr>
          <w:p w14:paraId="4DF7D356"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single" w:sz="6" w:space="0" w:color="auto"/>
              <w:right w:val="nil"/>
            </w:tcBorders>
            <w:shd w:val="clear" w:color="auto" w:fill="auto"/>
          </w:tcPr>
          <w:p w14:paraId="3773631C" w14:textId="77777777" w:rsidR="00C561BD" w:rsidRPr="00224C22" w:rsidRDefault="00C561BD" w:rsidP="00C561BD">
            <w:pPr>
              <w:tabs>
                <w:tab w:val="decimal" w:pos="113"/>
              </w:tabs>
              <w:spacing w:line="140" w:lineRule="exact"/>
              <w:rPr>
                <w:sz w:val="16"/>
                <w:szCs w:val="16"/>
              </w:rPr>
            </w:pPr>
          </w:p>
        </w:tc>
        <w:tc>
          <w:tcPr>
            <w:tcW w:w="113" w:type="dxa"/>
            <w:vAlign w:val="bottom"/>
          </w:tcPr>
          <w:p w14:paraId="60ADECFB"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bottom w:val="single" w:sz="6" w:space="0" w:color="auto"/>
              <w:right w:val="nil"/>
            </w:tcBorders>
            <w:shd w:val="clear" w:color="auto" w:fill="auto"/>
            <w:vAlign w:val="bottom"/>
          </w:tcPr>
          <w:p w14:paraId="0B6941C9" w14:textId="77777777" w:rsidR="00C561BD" w:rsidRPr="00224C22" w:rsidRDefault="00C561BD" w:rsidP="00C561BD">
            <w:pPr>
              <w:tabs>
                <w:tab w:val="decimal" w:pos="113"/>
              </w:tabs>
              <w:spacing w:line="140" w:lineRule="exact"/>
              <w:rPr>
                <w:sz w:val="16"/>
                <w:szCs w:val="16"/>
              </w:rPr>
            </w:pPr>
          </w:p>
        </w:tc>
        <w:tc>
          <w:tcPr>
            <w:tcW w:w="113" w:type="dxa"/>
            <w:vAlign w:val="bottom"/>
          </w:tcPr>
          <w:p w14:paraId="600D855F" w14:textId="77777777" w:rsidR="00C561BD" w:rsidRPr="00224C22" w:rsidRDefault="00C561BD" w:rsidP="00C561BD">
            <w:pPr>
              <w:tabs>
                <w:tab w:val="decimal" w:pos="113"/>
              </w:tabs>
              <w:spacing w:line="140" w:lineRule="exact"/>
              <w:rPr>
                <w:sz w:val="16"/>
                <w:szCs w:val="16"/>
              </w:rPr>
            </w:pPr>
          </w:p>
        </w:tc>
        <w:tc>
          <w:tcPr>
            <w:tcW w:w="734" w:type="dxa"/>
            <w:tcBorders>
              <w:top w:val="nil"/>
              <w:left w:val="nil"/>
              <w:bottom w:val="single" w:sz="6" w:space="0" w:color="auto"/>
              <w:right w:val="nil"/>
            </w:tcBorders>
            <w:shd w:val="clear" w:color="auto" w:fill="auto"/>
            <w:vAlign w:val="bottom"/>
          </w:tcPr>
          <w:p w14:paraId="01C2870D" w14:textId="77777777" w:rsidR="00C561BD" w:rsidRPr="00224C22" w:rsidRDefault="00C561BD" w:rsidP="00C561BD">
            <w:pPr>
              <w:tabs>
                <w:tab w:val="decimal" w:pos="113"/>
              </w:tabs>
              <w:spacing w:line="140" w:lineRule="exact"/>
              <w:rPr>
                <w:sz w:val="16"/>
                <w:szCs w:val="16"/>
              </w:rPr>
            </w:pPr>
          </w:p>
        </w:tc>
        <w:tc>
          <w:tcPr>
            <w:tcW w:w="113" w:type="dxa"/>
            <w:vAlign w:val="bottom"/>
          </w:tcPr>
          <w:p w14:paraId="1EC3A2AA"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single" w:sz="6" w:space="0" w:color="auto"/>
              <w:right w:val="nil"/>
            </w:tcBorders>
            <w:shd w:val="clear" w:color="auto" w:fill="auto"/>
            <w:vAlign w:val="bottom"/>
          </w:tcPr>
          <w:p w14:paraId="52441C4A" w14:textId="77777777" w:rsidR="00C561BD" w:rsidRPr="00224C22" w:rsidRDefault="00C561BD" w:rsidP="00C561BD">
            <w:pPr>
              <w:tabs>
                <w:tab w:val="decimal" w:pos="113"/>
              </w:tabs>
              <w:spacing w:line="140" w:lineRule="exact"/>
              <w:rPr>
                <w:sz w:val="16"/>
                <w:szCs w:val="16"/>
              </w:rPr>
            </w:pPr>
          </w:p>
        </w:tc>
        <w:tc>
          <w:tcPr>
            <w:tcW w:w="113" w:type="dxa"/>
            <w:vAlign w:val="bottom"/>
          </w:tcPr>
          <w:p w14:paraId="19FE2D22"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47163A8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AD1452F"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0957EF9F"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0D906E8C"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78EDA4C8"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FD78823"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1A8E8DB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9E0827F"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64FB1F1F" w14:textId="77777777" w:rsidR="00C561BD" w:rsidRPr="00224C22" w:rsidRDefault="00C561BD" w:rsidP="00C561BD">
            <w:pPr>
              <w:tabs>
                <w:tab w:val="decimal" w:pos="113"/>
              </w:tabs>
              <w:spacing w:line="140" w:lineRule="exact"/>
              <w:rPr>
                <w:sz w:val="16"/>
                <w:szCs w:val="16"/>
              </w:rPr>
            </w:pPr>
          </w:p>
        </w:tc>
        <w:tc>
          <w:tcPr>
            <w:tcW w:w="113" w:type="dxa"/>
            <w:vAlign w:val="bottom"/>
          </w:tcPr>
          <w:p w14:paraId="10E5D210" w14:textId="77777777" w:rsidR="00C561BD" w:rsidRPr="00224C22" w:rsidRDefault="00C561BD" w:rsidP="00C561BD">
            <w:pPr>
              <w:tabs>
                <w:tab w:val="decimal" w:pos="113"/>
              </w:tabs>
              <w:spacing w:line="140" w:lineRule="exact"/>
              <w:rPr>
                <w:sz w:val="16"/>
                <w:szCs w:val="16"/>
              </w:rPr>
            </w:pPr>
          </w:p>
        </w:tc>
        <w:tc>
          <w:tcPr>
            <w:tcW w:w="677" w:type="dxa"/>
            <w:tcBorders>
              <w:top w:val="nil"/>
              <w:left w:val="nil"/>
              <w:bottom w:val="single" w:sz="6" w:space="0" w:color="auto"/>
              <w:right w:val="nil"/>
            </w:tcBorders>
            <w:shd w:val="clear" w:color="auto" w:fill="auto"/>
            <w:vAlign w:val="bottom"/>
          </w:tcPr>
          <w:p w14:paraId="5BB87592" w14:textId="77777777" w:rsidR="00C561BD" w:rsidRPr="00224C22" w:rsidRDefault="00C561BD" w:rsidP="00C561BD">
            <w:pPr>
              <w:tabs>
                <w:tab w:val="decimal" w:pos="113"/>
              </w:tabs>
              <w:spacing w:line="140" w:lineRule="exact"/>
              <w:rPr>
                <w:sz w:val="16"/>
                <w:szCs w:val="16"/>
              </w:rPr>
            </w:pPr>
          </w:p>
        </w:tc>
        <w:tc>
          <w:tcPr>
            <w:tcW w:w="113" w:type="dxa"/>
            <w:vAlign w:val="bottom"/>
          </w:tcPr>
          <w:p w14:paraId="4E834000"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single" w:sz="6" w:space="0" w:color="auto"/>
              <w:right w:val="nil"/>
            </w:tcBorders>
            <w:shd w:val="clear" w:color="auto" w:fill="auto"/>
            <w:vAlign w:val="bottom"/>
          </w:tcPr>
          <w:p w14:paraId="1C3B114D" w14:textId="77777777" w:rsidR="00C561BD" w:rsidRPr="00224C22" w:rsidDel="00260764" w:rsidRDefault="00C561BD" w:rsidP="00C561BD">
            <w:pPr>
              <w:widowControl/>
              <w:tabs>
                <w:tab w:val="decimal" w:pos="74"/>
              </w:tabs>
              <w:spacing w:line="140" w:lineRule="exact"/>
              <w:ind w:left="57"/>
              <w:rPr>
                <w:sz w:val="16"/>
                <w:szCs w:val="16"/>
              </w:rPr>
            </w:pPr>
          </w:p>
        </w:tc>
        <w:tc>
          <w:tcPr>
            <w:tcW w:w="113" w:type="dxa"/>
          </w:tcPr>
          <w:p w14:paraId="21136D86" w14:textId="77777777" w:rsidR="00C561BD" w:rsidRPr="00224C22" w:rsidRDefault="00C561BD" w:rsidP="00C561BD">
            <w:pPr>
              <w:tabs>
                <w:tab w:val="decimal" w:pos="113"/>
              </w:tabs>
              <w:spacing w:line="140" w:lineRule="exact"/>
              <w:rPr>
                <w:sz w:val="16"/>
                <w:szCs w:val="16"/>
              </w:rPr>
            </w:pPr>
          </w:p>
        </w:tc>
        <w:tc>
          <w:tcPr>
            <w:tcW w:w="607" w:type="dxa"/>
            <w:tcBorders>
              <w:top w:val="nil"/>
              <w:left w:val="nil"/>
              <w:bottom w:val="single" w:sz="6" w:space="0" w:color="auto"/>
              <w:right w:val="nil"/>
            </w:tcBorders>
            <w:shd w:val="clear" w:color="auto" w:fill="auto"/>
          </w:tcPr>
          <w:p w14:paraId="015D6A27" w14:textId="77777777" w:rsidR="00C561BD" w:rsidRPr="00224C22" w:rsidRDefault="00C561BD" w:rsidP="00C561BD">
            <w:pPr>
              <w:tabs>
                <w:tab w:val="decimal" w:pos="113"/>
              </w:tabs>
              <w:spacing w:line="140" w:lineRule="exact"/>
              <w:rPr>
                <w:sz w:val="16"/>
                <w:szCs w:val="16"/>
              </w:rPr>
            </w:pPr>
          </w:p>
        </w:tc>
      </w:tr>
      <w:tr w:rsidR="00CF57B7" w:rsidRPr="00224C22" w14:paraId="1B48833C" w14:textId="77777777" w:rsidTr="00A7568E">
        <w:tc>
          <w:tcPr>
            <w:tcW w:w="972" w:type="dxa"/>
            <w:tcBorders>
              <w:top w:val="single" w:sz="4" w:space="0" w:color="auto"/>
            </w:tcBorders>
            <w:vAlign w:val="center"/>
          </w:tcPr>
          <w:p w14:paraId="4EBA0029" w14:textId="77777777" w:rsidR="00C561BD" w:rsidRPr="00224C22" w:rsidRDefault="00C561BD" w:rsidP="00C561BD">
            <w:pPr>
              <w:bidi w:val="0"/>
              <w:spacing w:line="140" w:lineRule="exact"/>
              <w:ind w:left="227" w:right="110" w:hanging="170"/>
              <w:jc w:val="right"/>
              <w:rPr>
                <w:i/>
                <w:iCs/>
                <w:sz w:val="12"/>
                <w:szCs w:val="12"/>
                <w:rtl/>
              </w:rPr>
            </w:pPr>
          </w:p>
        </w:tc>
        <w:tc>
          <w:tcPr>
            <w:tcW w:w="2682" w:type="dxa"/>
            <w:vAlign w:val="bottom"/>
          </w:tcPr>
          <w:p w14:paraId="50A50554" w14:textId="77777777" w:rsidR="00C561BD" w:rsidRPr="00224C22" w:rsidRDefault="00C561BD" w:rsidP="00C561BD">
            <w:pPr>
              <w:widowControl/>
              <w:tabs>
                <w:tab w:val="left" w:pos="227"/>
                <w:tab w:val="left" w:pos="397"/>
                <w:tab w:val="left" w:pos="567"/>
              </w:tabs>
              <w:spacing w:line="140" w:lineRule="exact"/>
              <w:ind w:left="57"/>
              <w:jc w:val="left"/>
              <w:rPr>
                <w:sz w:val="16"/>
                <w:szCs w:val="16"/>
                <w:rtl/>
              </w:rPr>
            </w:pPr>
            <w:r w:rsidRPr="00224C22">
              <w:rPr>
                <w:rFonts w:hint="cs"/>
                <w:sz w:val="16"/>
                <w:szCs w:val="16"/>
                <w:rtl/>
              </w:rPr>
              <w:t>סה"כ רווח (הפסד) כולל</w:t>
            </w:r>
          </w:p>
        </w:tc>
        <w:tc>
          <w:tcPr>
            <w:tcW w:w="113" w:type="dxa"/>
            <w:vAlign w:val="bottom"/>
          </w:tcPr>
          <w:p w14:paraId="65CA3896" w14:textId="77777777" w:rsidR="00C561BD" w:rsidRPr="00224C22" w:rsidRDefault="00C561BD" w:rsidP="00C561BD">
            <w:pPr>
              <w:spacing w:line="140" w:lineRule="exact"/>
              <w:jc w:val="left"/>
              <w:rPr>
                <w:sz w:val="16"/>
                <w:szCs w:val="16"/>
              </w:rPr>
            </w:pPr>
          </w:p>
        </w:tc>
        <w:tc>
          <w:tcPr>
            <w:tcW w:w="621" w:type="dxa"/>
            <w:tcBorders>
              <w:top w:val="single" w:sz="6" w:space="0" w:color="auto"/>
              <w:left w:val="nil"/>
              <w:right w:val="nil"/>
            </w:tcBorders>
            <w:shd w:val="clear" w:color="auto" w:fill="auto"/>
            <w:vAlign w:val="bottom"/>
          </w:tcPr>
          <w:p w14:paraId="19E9C0DD"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3798A71E" w14:textId="77777777" w:rsidR="00C561BD" w:rsidRPr="00224C22" w:rsidRDefault="00C561BD" w:rsidP="00C561BD">
            <w:pPr>
              <w:tabs>
                <w:tab w:val="decimal" w:pos="113"/>
              </w:tabs>
              <w:spacing w:line="140" w:lineRule="exact"/>
              <w:jc w:val="left"/>
              <w:rPr>
                <w:sz w:val="16"/>
                <w:szCs w:val="16"/>
              </w:rPr>
            </w:pPr>
          </w:p>
        </w:tc>
        <w:tc>
          <w:tcPr>
            <w:tcW w:w="621" w:type="dxa"/>
            <w:tcBorders>
              <w:top w:val="single" w:sz="6" w:space="0" w:color="auto"/>
              <w:left w:val="nil"/>
              <w:right w:val="nil"/>
            </w:tcBorders>
            <w:shd w:val="clear" w:color="auto" w:fill="auto"/>
            <w:vAlign w:val="bottom"/>
          </w:tcPr>
          <w:p w14:paraId="764FF2A7"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741CD8D1" w14:textId="77777777" w:rsidR="00C561BD" w:rsidRPr="00224C22" w:rsidRDefault="00C561BD" w:rsidP="00C561BD">
            <w:pPr>
              <w:tabs>
                <w:tab w:val="decimal" w:pos="113"/>
              </w:tabs>
              <w:spacing w:line="140" w:lineRule="exact"/>
              <w:rPr>
                <w:sz w:val="16"/>
                <w:szCs w:val="16"/>
              </w:rPr>
            </w:pPr>
          </w:p>
        </w:tc>
        <w:tc>
          <w:tcPr>
            <w:tcW w:w="622" w:type="dxa"/>
            <w:tcBorders>
              <w:top w:val="single" w:sz="6" w:space="0" w:color="auto"/>
              <w:left w:val="nil"/>
              <w:right w:val="nil"/>
            </w:tcBorders>
            <w:shd w:val="clear" w:color="auto" w:fill="auto"/>
            <w:vAlign w:val="bottom"/>
          </w:tcPr>
          <w:p w14:paraId="11B6B65A" w14:textId="77777777" w:rsidR="00C561BD" w:rsidRPr="00224C22" w:rsidRDefault="00C561BD" w:rsidP="00C561BD">
            <w:pPr>
              <w:tabs>
                <w:tab w:val="decimal" w:pos="113"/>
              </w:tabs>
              <w:spacing w:line="140" w:lineRule="exact"/>
              <w:rPr>
                <w:sz w:val="16"/>
                <w:szCs w:val="16"/>
              </w:rPr>
            </w:pPr>
          </w:p>
        </w:tc>
        <w:tc>
          <w:tcPr>
            <w:tcW w:w="113" w:type="dxa"/>
          </w:tcPr>
          <w:p w14:paraId="297E47E1" w14:textId="77777777" w:rsidR="00C561BD" w:rsidRPr="00224C22" w:rsidRDefault="00C561BD" w:rsidP="00C561BD">
            <w:pPr>
              <w:tabs>
                <w:tab w:val="decimal" w:pos="113"/>
              </w:tabs>
              <w:spacing w:line="140" w:lineRule="exact"/>
              <w:rPr>
                <w:sz w:val="16"/>
                <w:szCs w:val="16"/>
              </w:rPr>
            </w:pPr>
          </w:p>
        </w:tc>
        <w:tc>
          <w:tcPr>
            <w:tcW w:w="677" w:type="dxa"/>
            <w:tcBorders>
              <w:top w:val="single" w:sz="6" w:space="0" w:color="auto"/>
              <w:left w:val="nil"/>
              <w:right w:val="nil"/>
            </w:tcBorders>
            <w:shd w:val="clear" w:color="auto" w:fill="auto"/>
          </w:tcPr>
          <w:p w14:paraId="6C984A84" w14:textId="77777777" w:rsidR="00C561BD" w:rsidRPr="00224C22" w:rsidRDefault="00C561BD" w:rsidP="00C561BD">
            <w:pPr>
              <w:tabs>
                <w:tab w:val="decimal" w:pos="113"/>
              </w:tabs>
              <w:spacing w:line="140" w:lineRule="exact"/>
              <w:rPr>
                <w:sz w:val="16"/>
                <w:szCs w:val="16"/>
              </w:rPr>
            </w:pPr>
          </w:p>
        </w:tc>
        <w:tc>
          <w:tcPr>
            <w:tcW w:w="113" w:type="dxa"/>
          </w:tcPr>
          <w:p w14:paraId="296FAA9B" w14:textId="77777777" w:rsidR="00C561BD" w:rsidRPr="00224C22" w:rsidRDefault="00C561BD" w:rsidP="00C561BD">
            <w:pPr>
              <w:tabs>
                <w:tab w:val="decimal" w:pos="113"/>
              </w:tabs>
              <w:spacing w:line="140" w:lineRule="exact"/>
              <w:rPr>
                <w:sz w:val="16"/>
                <w:szCs w:val="16"/>
              </w:rPr>
            </w:pPr>
          </w:p>
        </w:tc>
        <w:tc>
          <w:tcPr>
            <w:tcW w:w="622" w:type="dxa"/>
            <w:tcBorders>
              <w:top w:val="single" w:sz="6" w:space="0" w:color="auto"/>
              <w:left w:val="nil"/>
              <w:right w:val="nil"/>
            </w:tcBorders>
            <w:shd w:val="clear" w:color="auto" w:fill="auto"/>
          </w:tcPr>
          <w:p w14:paraId="3BF0D181" w14:textId="77777777" w:rsidR="00C561BD" w:rsidRPr="00224C22" w:rsidRDefault="00C561BD" w:rsidP="00C561BD">
            <w:pPr>
              <w:tabs>
                <w:tab w:val="decimal" w:pos="113"/>
              </w:tabs>
              <w:spacing w:line="140" w:lineRule="exact"/>
              <w:rPr>
                <w:sz w:val="16"/>
                <w:szCs w:val="16"/>
              </w:rPr>
            </w:pPr>
          </w:p>
        </w:tc>
        <w:tc>
          <w:tcPr>
            <w:tcW w:w="113" w:type="dxa"/>
            <w:vAlign w:val="bottom"/>
          </w:tcPr>
          <w:p w14:paraId="20A2097F" w14:textId="77777777" w:rsidR="00C561BD" w:rsidRPr="00224C22" w:rsidRDefault="00C561BD" w:rsidP="00C561BD">
            <w:pPr>
              <w:tabs>
                <w:tab w:val="decimal" w:pos="113"/>
              </w:tabs>
              <w:spacing w:line="140" w:lineRule="exact"/>
              <w:rPr>
                <w:sz w:val="16"/>
                <w:szCs w:val="16"/>
              </w:rPr>
            </w:pPr>
          </w:p>
        </w:tc>
        <w:tc>
          <w:tcPr>
            <w:tcW w:w="622" w:type="dxa"/>
            <w:gridSpan w:val="2"/>
            <w:tcBorders>
              <w:top w:val="single" w:sz="6" w:space="0" w:color="auto"/>
              <w:left w:val="nil"/>
              <w:right w:val="nil"/>
            </w:tcBorders>
            <w:shd w:val="clear" w:color="auto" w:fill="auto"/>
            <w:vAlign w:val="bottom"/>
          </w:tcPr>
          <w:p w14:paraId="0353197E" w14:textId="77777777" w:rsidR="00C561BD" w:rsidRPr="00224C22" w:rsidRDefault="00C561BD" w:rsidP="00C561BD">
            <w:pPr>
              <w:tabs>
                <w:tab w:val="decimal" w:pos="113"/>
              </w:tabs>
              <w:spacing w:line="140" w:lineRule="exact"/>
              <w:rPr>
                <w:sz w:val="16"/>
                <w:szCs w:val="16"/>
              </w:rPr>
            </w:pPr>
          </w:p>
        </w:tc>
        <w:tc>
          <w:tcPr>
            <w:tcW w:w="113" w:type="dxa"/>
            <w:vAlign w:val="bottom"/>
          </w:tcPr>
          <w:p w14:paraId="2605ADC6" w14:textId="77777777" w:rsidR="00C561BD" w:rsidRPr="00224C22" w:rsidRDefault="00C561BD" w:rsidP="00C561BD">
            <w:pPr>
              <w:tabs>
                <w:tab w:val="decimal" w:pos="113"/>
              </w:tabs>
              <w:spacing w:line="140" w:lineRule="exact"/>
              <w:rPr>
                <w:sz w:val="16"/>
                <w:szCs w:val="16"/>
              </w:rPr>
            </w:pPr>
          </w:p>
        </w:tc>
        <w:tc>
          <w:tcPr>
            <w:tcW w:w="734" w:type="dxa"/>
            <w:tcBorders>
              <w:top w:val="single" w:sz="6" w:space="0" w:color="auto"/>
              <w:left w:val="nil"/>
              <w:right w:val="nil"/>
            </w:tcBorders>
            <w:shd w:val="clear" w:color="auto" w:fill="auto"/>
            <w:vAlign w:val="bottom"/>
          </w:tcPr>
          <w:p w14:paraId="42E844D9" w14:textId="77777777" w:rsidR="00C561BD" w:rsidRPr="00224C22" w:rsidRDefault="00C561BD" w:rsidP="00C561BD">
            <w:pPr>
              <w:tabs>
                <w:tab w:val="decimal" w:pos="113"/>
              </w:tabs>
              <w:spacing w:line="140" w:lineRule="exact"/>
              <w:rPr>
                <w:sz w:val="16"/>
                <w:szCs w:val="16"/>
              </w:rPr>
            </w:pPr>
          </w:p>
        </w:tc>
        <w:tc>
          <w:tcPr>
            <w:tcW w:w="113" w:type="dxa"/>
            <w:vAlign w:val="bottom"/>
          </w:tcPr>
          <w:p w14:paraId="63A600FC" w14:textId="77777777" w:rsidR="00C561BD" w:rsidRPr="00224C22" w:rsidRDefault="00C561BD" w:rsidP="00C561BD">
            <w:pPr>
              <w:tabs>
                <w:tab w:val="decimal" w:pos="113"/>
              </w:tabs>
              <w:spacing w:line="140" w:lineRule="exact"/>
              <w:rPr>
                <w:sz w:val="16"/>
                <w:szCs w:val="16"/>
              </w:rPr>
            </w:pPr>
          </w:p>
        </w:tc>
        <w:tc>
          <w:tcPr>
            <w:tcW w:w="622" w:type="dxa"/>
            <w:tcBorders>
              <w:top w:val="single" w:sz="6" w:space="0" w:color="auto"/>
              <w:left w:val="nil"/>
              <w:right w:val="nil"/>
            </w:tcBorders>
            <w:shd w:val="clear" w:color="auto" w:fill="auto"/>
            <w:vAlign w:val="bottom"/>
          </w:tcPr>
          <w:p w14:paraId="7280C0AD" w14:textId="77777777" w:rsidR="00C561BD" w:rsidRPr="00224C22" w:rsidRDefault="00C561BD" w:rsidP="00C561BD">
            <w:pPr>
              <w:tabs>
                <w:tab w:val="decimal" w:pos="113"/>
              </w:tabs>
              <w:spacing w:line="140" w:lineRule="exact"/>
              <w:rPr>
                <w:sz w:val="16"/>
                <w:szCs w:val="16"/>
              </w:rPr>
            </w:pPr>
          </w:p>
        </w:tc>
        <w:tc>
          <w:tcPr>
            <w:tcW w:w="113" w:type="dxa"/>
            <w:vAlign w:val="bottom"/>
          </w:tcPr>
          <w:p w14:paraId="506C93B9" w14:textId="77777777" w:rsidR="00C561BD" w:rsidRPr="00224C22" w:rsidRDefault="00C561BD" w:rsidP="00C561BD">
            <w:pPr>
              <w:tabs>
                <w:tab w:val="decimal" w:pos="113"/>
              </w:tabs>
              <w:spacing w:line="140" w:lineRule="exact"/>
              <w:rPr>
                <w:sz w:val="16"/>
                <w:szCs w:val="16"/>
              </w:rPr>
            </w:pPr>
          </w:p>
        </w:tc>
        <w:tc>
          <w:tcPr>
            <w:tcW w:w="622" w:type="dxa"/>
            <w:tcBorders>
              <w:top w:val="single" w:sz="6" w:space="0" w:color="auto"/>
              <w:left w:val="nil"/>
              <w:right w:val="nil"/>
            </w:tcBorders>
            <w:shd w:val="clear" w:color="auto" w:fill="auto"/>
            <w:vAlign w:val="bottom"/>
          </w:tcPr>
          <w:p w14:paraId="706C092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BA915E7" w14:textId="77777777" w:rsidR="00C561BD" w:rsidRPr="00224C22" w:rsidRDefault="00C561BD" w:rsidP="00C561BD">
            <w:pPr>
              <w:tabs>
                <w:tab w:val="decimal" w:pos="113"/>
              </w:tabs>
              <w:spacing w:line="140" w:lineRule="exact"/>
              <w:rPr>
                <w:sz w:val="16"/>
                <w:szCs w:val="16"/>
              </w:rPr>
            </w:pPr>
          </w:p>
        </w:tc>
        <w:tc>
          <w:tcPr>
            <w:tcW w:w="677" w:type="dxa"/>
            <w:tcBorders>
              <w:top w:val="single" w:sz="6" w:space="0" w:color="auto"/>
              <w:left w:val="nil"/>
              <w:right w:val="nil"/>
            </w:tcBorders>
            <w:shd w:val="clear" w:color="auto" w:fill="auto"/>
            <w:vAlign w:val="bottom"/>
          </w:tcPr>
          <w:p w14:paraId="20BA4A3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5BDC6DF" w14:textId="77777777" w:rsidR="00C561BD" w:rsidRPr="00224C22" w:rsidRDefault="00C561BD" w:rsidP="00C561BD">
            <w:pPr>
              <w:tabs>
                <w:tab w:val="decimal" w:pos="113"/>
              </w:tabs>
              <w:spacing w:line="140" w:lineRule="exact"/>
              <w:rPr>
                <w:sz w:val="16"/>
                <w:szCs w:val="16"/>
              </w:rPr>
            </w:pPr>
          </w:p>
        </w:tc>
        <w:tc>
          <w:tcPr>
            <w:tcW w:w="622" w:type="dxa"/>
            <w:tcBorders>
              <w:top w:val="single" w:sz="6" w:space="0" w:color="auto"/>
              <w:left w:val="nil"/>
              <w:right w:val="nil"/>
            </w:tcBorders>
            <w:shd w:val="clear" w:color="auto" w:fill="auto"/>
            <w:vAlign w:val="bottom"/>
          </w:tcPr>
          <w:p w14:paraId="7C8316E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C12771B" w14:textId="77777777" w:rsidR="00C561BD" w:rsidRPr="00224C22" w:rsidRDefault="00C561BD" w:rsidP="00C561BD">
            <w:pPr>
              <w:tabs>
                <w:tab w:val="decimal" w:pos="113"/>
              </w:tabs>
              <w:spacing w:line="140" w:lineRule="exact"/>
              <w:rPr>
                <w:sz w:val="16"/>
                <w:szCs w:val="16"/>
              </w:rPr>
            </w:pPr>
          </w:p>
        </w:tc>
        <w:tc>
          <w:tcPr>
            <w:tcW w:w="677" w:type="dxa"/>
            <w:tcBorders>
              <w:top w:val="single" w:sz="6" w:space="0" w:color="auto"/>
              <w:left w:val="nil"/>
              <w:right w:val="nil"/>
            </w:tcBorders>
            <w:shd w:val="clear" w:color="auto" w:fill="auto"/>
            <w:vAlign w:val="bottom"/>
          </w:tcPr>
          <w:p w14:paraId="7B7022E4"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7F78E19" w14:textId="77777777" w:rsidR="00C561BD" w:rsidRPr="00224C22" w:rsidRDefault="00C561BD" w:rsidP="00C561BD">
            <w:pPr>
              <w:tabs>
                <w:tab w:val="decimal" w:pos="113"/>
              </w:tabs>
              <w:spacing w:line="140" w:lineRule="exact"/>
              <w:rPr>
                <w:sz w:val="16"/>
                <w:szCs w:val="16"/>
              </w:rPr>
            </w:pPr>
          </w:p>
        </w:tc>
        <w:tc>
          <w:tcPr>
            <w:tcW w:w="677" w:type="dxa"/>
            <w:tcBorders>
              <w:top w:val="single" w:sz="6" w:space="0" w:color="auto"/>
              <w:left w:val="nil"/>
              <w:right w:val="nil"/>
            </w:tcBorders>
            <w:shd w:val="clear" w:color="auto" w:fill="auto"/>
            <w:vAlign w:val="bottom"/>
          </w:tcPr>
          <w:p w14:paraId="0F1325EF" w14:textId="77777777" w:rsidR="00C561BD" w:rsidRPr="00224C22" w:rsidRDefault="00C561BD" w:rsidP="00C561BD">
            <w:pPr>
              <w:tabs>
                <w:tab w:val="decimal" w:pos="113"/>
              </w:tabs>
              <w:spacing w:line="140" w:lineRule="exact"/>
              <w:rPr>
                <w:sz w:val="16"/>
                <w:szCs w:val="16"/>
              </w:rPr>
            </w:pPr>
          </w:p>
        </w:tc>
        <w:tc>
          <w:tcPr>
            <w:tcW w:w="113" w:type="dxa"/>
            <w:vAlign w:val="bottom"/>
          </w:tcPr>
          <w:p w14:paraId="6CA2F4EC" w14:textId="77777777" w:rsidR="00C561BD" w:rsidRPr="00224C22" w:rsidRDefault="00C561BD" w:rsidP="00C561BD">
            <w:pPr>
              <w:tabs>
                <w:tab w:val="decimal" w:pos="113"/>
              </w:tabs>
              <w:spacing w:line="140" w:lineRule="exact"/>
              <w:rPr>
                <w:sz w:val="16"/>
                <w:szCs w:val="16"/>
              </w:rPr>
            </w:pPr>
          </w:p>
        </w:tc>
        <w:tc>
          <w:tcPr>
            <w:tcW w:w="677" w:type="dxa"/>
            <w:tcBorders>
              <w:top w:val="single" w:sz="6" w:space="0" w:color="auto"/>
              <w:left w:val="nil"/>
              <w:right w:val="nil"/>
            </w:tcBorders>
            <w:shd w:val="clear" w:color="auto" w:fill="auto"/>
            <w:vAlign w:val="bottom"/>
          </w:tcPr>
          <w:p w14:paraId="429AFD4B" w14:textId="77777777" w:rsidR="00C561BD" w:rsidRPr="00224C22" w:rsidRDefault="00C561BD" w:rsidP="00C561BD">
            <w:pPr>
              <w:tabs>
                <w:tab w:val="decimal" w:pos="113"/>
              </w:tabs>
              <w:spacing w:line="140" w:lineRule="exact"/>
              <w:rPr>
                <w:sz w:val="16"/>
                <w:szCs w:val="16"/>
              </w:rPr>
            </w:pPr>
          </w:p>
        </w:tc>
        <w:tc>
          <w:tcPr>
            <w:tcW w:w="113" w:type="dxa"/>
            <w:vAlign w:val="bottom"/>
          </w:tcPr>
          <w:p w14:paraId="4EF3EDF4" w14:textId="77777777" w:rsidR="00C561BD" w:rsidRPr="00224C22" w:rsidRDefault="00C561BD" w:rsidP="00C561BD">
            <w:pPr>
              <w:tabs>
                <w:tab w:val="decimal" w:pos="113"/>
              </w:tabs>
              <w:spacing w:line="140" w:lineRule="exact"/>
              <w:rPr>
                <w:sz w:val="16"/>
                <w:szCs w:val="16"/>
              </w:rPr>
            </w:pPr>
          </w:p>
        </w:tc>
        <w:tc>
          <w:tcPr>
            <w:tcW w:w="622" w:type="dxa"/>
            <w:tcBorders>
              <w:top w:val="single" w:sz="6" w:space="0" w:color="auto"/>
              <w:left w:val="nil"/>
              <w:right w:val="nil"/>
            </w:tcBorders>
            <w:shd w:val="clear" w:color="auto" w:fill="auto"/>
            <w:vAlign w:val="bottom"/>
          </w:tcPr>
          <w:p w14:paraId="7EFC7CF5" w14:textId="77777777" w:rsidR="00C561BD" w:rsidRPr="00224C22" w:rsidRDefault="00C561BD" w:rsidP="00C561BD">
            <w:pPr>
              <w:widowControl/>
              <w:tabs>
                <w:tab w:val="decimal" w:pos="74"/>
              </w:tabs>
              <w:spacing w:line="140" w:lineRule="exact"/>
              <w:ind w:left="57"/>
              <w:rPr>
                <w:sz w:val="16"/>
                <w:szCs w:val="16"/>
                <w:rtl/>
              </w:rPr>
            </w:pPr>
          </w:p>
        </w:tc>
        <w:tc>
          <w:tcPr>
            <w:tcW w:w="113" w:type="dxa"/>
          </w:tcPr>
          <w:p w14:paraId="3752C29C" w14:textId="77777777" w:rsidR="00C561BD" w:rsidRPr="00224C22" w:rsidRDefault="00C561BD" w:rsidP="00C561BD">
            <w:pPr>
              <w:tabs>
                <w:tab w:val="decimal" w:pos="113"/>
              </w:tabs>
              <w:spacing w:line="140" w:lineRule="exact"/>
              <w:rPr>
                <w:sz w:val="16"/>
                <w:szCs w:val="16"/>
              </w:rPr>
            </w:pPr>
          </w:p>
        </w:tc>
        <w:tc>
          <w:tcPr>
            <w:tcW w:w="607" w:type="dxa"/>
            <w:tcBorders>
              <w:top w:val="single" w:sz="6" w:space="0" w:color="auto"/>
              <w:left w:val="nil"/>
              <w:right w:val="nil"/>
            </w:tcBorders>
            <w:shd w:val="clear" w:color="auto" w:fill="auto"/>
          </w:tcPr>
          <w:p w14:paraId="7D009B08" w14:textId="77777777" w:rsidR="00C561BD" w:rsidRPr="00224C22" w:rsidRDefault="00C561BD" w:rsidP="00C561BD">
            <w:pPr>
              <w:tabs>
                <w:tab w:val="decimal" w:pos="113"/>
              </w:tabs>
              <w:spacing w:line="140" w:lineRule="exact"/>
              <w:rPr>
                <w:sz w:val="16"/>
                <w:szCs w:val="16"/>
              </w:rPr>
            </w:pPr>
          </w:p>
        </w:tc>
      </w:tr>
      <w:tr w:rsidR="00CF57B7" w:rsidRPr="00224C22" w14:paraId="53061BCD" w14:textId="77777777" w:rsidTr="00A7568E">
        <w:tc>
          <w:tcPr>
            <w:tcW w:w="972" w:type="dxa"/>
            <w:vAlign w:val="center"/>
          </w:tcPr>
          <w:p w14:paraId="47DF5C0E" w14:textId="77777777" w:rsidR="00C561BD" w:rsidRPr="00224C22" w:rsidRDefault="00C561BD" w:rsidP="00C561BD">
            <w:pPr>
              <w:widowControl/>
              <w:spacing w:line="140" w:lineRule="exact"/>
              <w:jc w:val="right"/>
              <w:rPr>
                <w:i/>
                <w:iCs/>
                <w:sz w:val="12"/>
                <w:szCs w:val="12"/>
                <w:rtl/>
              </w:rPr>
            </w:pPr>
          </w:p>
        </w:tc>
        <w:tc>
          <w:tcPr>
            <w:tcW w:w="2682" w:type="dxa"/>
            <w:vAlign w:val="bottom"/>
          </w:tcPr>
          <w:p w14:paraId="5EDB54F5" w14:textId="77777777" w:rsidR="00C561BD" w:rsidRPr="00224C22" w:rsidRDefault="00C561BD" w:rsidP="00C561BD">
            <w:pPr>
              <w:pStyle w:val="a3"/>
              <w:widowControl/>
              <w:tabs>
                <w:tab w:val="left" w:pos="227"/>
                <w:tab w:val="left" w:pos="397"/>
                <w:tab w:val="left" w:pos="567"/>
              </w:tabs>
              <w:spacing w:line="140" w:lineRule="exact"/>
              <w:ind w:left="0"/>
              <w:rPr>
                <w:b/>
                <w:sz w:val="16"/>
                <w:szCs w:val="16"/>
                <w:u w:val="single"/>
                <w:rtl/>
              </w:rPr>
            </w:pPr>
          </w:p>
        </w:tc>
        <w:tc>
          <w:tcPr>
            <w:tcW w:w="113" w:type="dxa"/>
            <w:vAlign w:val="bottom"/>
          </w:tcPr>
          <w:p w14:paraId="1F572CF9" w14:textId="77777777" w:rsidR="00C561BD" w:rsidRPr="00224C22" w:rsidRDefault="00C561BD" w:rsidP="00C561BD">
            <w:pPr>
              <w:pStyle w:val="a3"/>
              <w:widowControl/>
              <w:spacing w:line="140" w:lineRule="exact"/>
              <w:ind w:left="0"/>
              <w:rPr>
                <w:b/>
                <w:sz w:val="16"/>
                <w:szCs w:val="16"/>
                <w:u w:val="single"/>
              </w:rPr>
            </w:pPr>
          </w:p>
        </w:tc>
        <w:tc>
          <w:tcPr>
            <w:tcW w:w="621" w:type="dxa"/>
            <w:tcBorders>
              <w:top w:val="nil"/>
              <w:left w:val="nil"/>
              <w:right w:val="nil"/>
            </w:tcBorders>
            <w:shd w:val="clear" w:color="auto" w:fill="auto"/>
            <w:vAlign w:val="bottom"/>
          </w:tcPr>
          <w:p w14:paraId="6E650A7F" w14:textId="77777777" w:rsidR="00C561BD" w:rsidRPr="00224C22" w:rsidRDefault="00C561BD" w:rsidP="00C561BD">
            <w:pPr>
              <w:pStyle w:val="a3"/>
              <w:widowControl/>
              <w:spacing w:line="140" w:lineRule="exact"/>
              <w:ind w:left="0"/>
              <w:rPr>
                <w:b/>
                <w:sz w:val="16"/>
                <w:szCs w:val="16"/>
                <w:u w:val="single"/>
              </w:rPr>
            </w:pPr>
          </w:p>
        </w:tc>
        <w:tc>
          <w:tcPr>
            <w:tcW w:w="112" w:type="dxa"/>
            <w:vAlign w:val="bottom"/>
          </w:tcPr>
          <w:p w14:paraId="35509343" w14:textId="77777777" w:rsidR="00C561BD" w:rsidRPr="00224C22" w:rsidRDefault="00C561BD" w:rsidP="00C561BD">
            <w:pPr>
              <w:pStyle w:val="a3"/>
              <w:widowControl/>
              <w:spacing w:line="140" w:lineRule="exact"/>
              <w:ind w:left="0"/>
              <w:rPr>
                <w:b/>
                <w:sz w:val="16"/>
                <w:szCs w:val="16"/>
                <w:u w:val="single"/>
              </w:rPr>
            </w:pPr>
          </w:p>
        </w:tc>
        <w:tc>
          <w:tcPr>
            <w:tcW w:w="621" w:type="dxa"/>
            <w:tcBorders>
              <w:top w:val="nil"/>
              <w:left w:val="nil"/>
              <w:right w:val="nil"/>
            </w:tcBorders>
            <w:shd w:val="clear" w:color="auto" w:fill="auto"/>
            <w:vAlign w:val="bottom"/>
          </w:tcPr>
          <w:p w14:paraId="6F2E452F"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5D20FFBA"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nil"/>
              <w:left w:val="nil"/>
              <w:right w:val="nil"/>
            </w:tcBorders>
            <w:shd w:val="clear" w:color="auto" w:fill="auto"/>
            <w:vAlign w:val="bottom"/>
          </w:tcPr>
          <w:p w14:paraId="55FF72E3" w14:textId="77777777" w:rsidR="00C561BD" w:rsidRPr="00224C22" w:rsidRDefault="00C561BD" w:rsidP="00C561BD">
            <w:pPr>
              <w:pStyle w:val="a3"/>
              <w:widowControl/>
              <w:spacing w:line="140" w:lineRule="exact"/>
              <w:ind w:left="0"/>
              <w:rPr>
                <w:b/>
                <w:sz w:val="16"/>
                <w:szCs w:val="16"/>
                <w:u w:val="single"/>
              </w:rPr>
            </w:pPr>
          </w:p>
        </w:tc>
        <w:tc>
          <w:tcPr>
            <w:tcW w:w="113" w:type="dxa"/>
          </w:tcPr>
          <w:p w14:paraId="43E75305"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nil"/>
              <w:left w:val="nil"/>
              <w:right w:val="nil"/>
            </w:tcBorders>
            <w:shd w:val="clear" w:color="auto" w:fill="auto"/>
          </w:tcPr>
          <w:p w14:paraId="1C68B784" w14:textId="77777777" w:rsidR="00C561BD" w:rsidRPr="00224C22" w:rsidRDefault="00C561BD" w:rsidP="00C561BD">
            <w:pPr>
              <w:pStyle w:val="a3"/>
              <w:widowControl/>
              <w:spacing w:line="140" w:lineRule="exact"/>
              <w:ind w:left="0"/>
              <w:rPr>
                <w:b/>
                <w:sz w:val="16"/>
                <w:szCs w:val="16"/>
                <w:u w:val="single"/>
              </w:rPr>
            </w:pPr>
          </w:p>
        </w:tc>
        <w:tc>
          <w:tcPr>
            <w:tcW w:w="113" w:type="dxa"/>
          </w:tcPr>
          <w:p w14:paraId="78550E7A"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nil"/>
              <w:left w:val="nil"/>
              <w:right w:val="nil"/>
            </w:tcBorders>
            <w:shd w:val="clear" w:color="auto" w:fill="auto"/>
          </w:tcPr>
          <w:p w14:paraId="7219621E"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52D60638" w14:textId="77777777" w:rsidR="00C561BD" w:rsidRPr="00224C22" w:rsidRDefault="00C561BD" w:rsidP="00C561BD">
            <w:pPr>
              <w:pStyle w:val="a3"/>
              <w:widowControl/>
              <w:spacing w:line="140" w:lineRule="exact"/>
              <w:ind w:left="0"/>
              <w:rPr>
                <w:b/>
                <w:sz w:val="16"/>
                <w:szCs w:val="16"/>
                <w:u w:val="single"/>
              </w:rPr>
            </w:pPr>
          </w:p>
        </w:tc>
        <w:tc>
          <w:tcPr>
            <w:tcW w:w="622" w:type="dxa"/>
            <w:gridSpan w:val="2"/>
            <w:tcBorders>
              <w:top w:val="nil"/>
              <w:left w:val="nil"/>
              <w:right w:val="nil"/>
            </w:tcBorders>
            <w:shd w:val="clear" w:color="auto" w:fill="auto"/>
            <w:vAlign w:val="bottom"/>
          </w:tcPr>
          <w:p w14:paraId="77B96CC7"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1F8F17B7" w14:textId="77777777" w:rsidR="00C561BD" w:rsidRPr="00224C22" w:rsidRDefault="00C561BD" w:rsidP="00C561BD">
            <w:pPr>
              <w:pStyle w:val="a3"/>
              <w:widowControl/>
              <w:spacing w:line="140" w:lineRule="exact"/>
              <w:ind w:left="0"/>
              <w:rPr>
                <w:b/>
                <w:sz w:val="16"/>
                <w:szCs w:val="16"/>
                <w:u w:val="single"/>
              </w:rPr>
            </w:pPr>
          </w:p>
        </w:tc>
        <w:tc>
          <w:tcPr>
            <w:tcW w:w="734" w:type="dxa"/>
            <w:tcBorders>
              <w:top w:val="nil"/>
              <w:left w:val="nil"/>
              <w:right w:val="nil"/>
            </w:tcBorders>
            <w:shd w:val="clear" w:color="auto" w:fill="auto"/>
            <w:vAlign w:val="bottom"/>
          </w:tcPr>
          <w:p w14:paraId="4F8D800D"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027651E3"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nil"/>
              <w:left w:val="nil"/>
              <w:right w:val="nil"/>
            </w:tcBorders>
            <w:shd w:val="clear" w:color="auto" w:fill="auto"/>
            <w:vAlign w:val="bottom"/>
          </w:tcPr>
          <w:p w14:paraId="103018CE"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2034582E" w14:textId="77777777" w:rsidR="00C561BD" w:rsidRPr="00224C22" w:rsidRDefault="00C561BD" w:rsidP="00C561BD">
            <w:pPr>
              <w:pStyle w:val="a3"/>
              <w:widowControl/>
              <w:spacing w:line="140" w:lineRule="exact"/>
              <w:ind w:left="0"/>
              <w:rPr>
                <w:b/>
                <w:sz w:val="16"/>
                <w:szCs w:val="16"/>
                <w:u w:val="single"/>
              </w:rPr>
            </w:pPr>
          </w:p>
        </w:tc>
        <w:tc>
          <w:tcPr>
            <w:tcW w:w="622" w:type="dxa"/>
            <w:tcBorders>
              <w:left w:val="nil"/>
              <w:right w:val="nil"/>
            </w:tcBorders>
            <w:shd w:val="clear" w:color="auto" w:fill="auto"/>
            <w:vAlign w:val="bottom"/>
          </w:tcPr>
          <w:p w14:paraId="13278FD1"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6FC4F3C1" w14:textId="77777777" w:rsidR="00C561BD" w:rsidRPr="00224C22" w:rsidRDefault="00C561BD" w:rsidP="00C561BD">
            <w:pPr>
              <w:pStyle w:val="a3"/>
              <w:widowControl/>
              <w:spacing w:line="140" w:lineRule="exact"/>
              <w:ind w:left="0"/>
              <w:rPr>
                <w:b/>
                <w:sz w:val="16"/>
                <w:szCs w:val="16"/>
                <w:u w:val="single"/>
              </w:rPr>
            </w:pPr>
          </w:p>
        </w:tc>
        <w:tc>
          <w:tcPr>
            <w:tcW w:w="677" w:type="dxa"/>
            <w:tcBorders>
              <w:left w:val="nil"/>
              <w:right w:val="nil"/>
            </w:tcBorders>
            <w:shd w:val="clear" w:color="auto" w:fill="auto"/>
            <w:vAlign w:val="bottom"/>
          </w:tcPr>
          <w:p w14:paraId="71C8211B"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25AAFB87" w14:textId="77777777" w:rsidR="00C561BD" w:rsidRPr="00224C22" w:rsidRDefault="00C561BD" w:rsidP="00C561BD">
            <w:pPr>
              <w:pStyle w:val="a3"/>
              <w:widowControl/>
              <w:spacing w:line="140" w:lineRule="exact"/>
              <w:ind w:left="0"/>
              <w:rPr>
                <w:b/>
                <w:sz w:val="16"/>
                <w:szCs w:val="16"/>
                <w:u w:val="single"/>
              </w:rPr>
            </w:pPr>
          </w:p>
        </w:tc>
        <w:tc>
          <w:tcPr>
            <w:tcW w:w="622" w:type="dxa"/>
            <w:tcBorders>
              <w:left w:val="nil"/>
              <w:right w:val="nil"/>
            </w:tcBorders>
            <w:shd w:val="clear" w:color="auto" w:fill="auto"/>
            <w:vAlign w:val="bottom"/>
          </w:tcPr>
          <w:p w14:paraId="2B80211E"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6D8342C7" w14:textId="77777777" w:rsidR="00C561BD" w:rsidRPr="00224C22" w:rsidRDefault="00C561BD" w:rsidP="00C561BD">
            <w:pPr>
              <w:pStyle w:val="a3"/>
              <w:widowControl/>
              <w:spacing w:line="140" w:lineRule="exact"/>
              <w:ind w:left="0"/>
              <w:rPr>
                <w:b/>
                <w:sz w:val="16"/>
                <w:szCs w:val="16"/>
                <w:u w:val="single"/>
              </w:rPr>
            </w:pPr>
          </w:p>
        </w:tc>
        <w:tc>
          <w:tcPr>
            <w:tcW w:w="677" w:type="dxa"/>
            <w:tcBorders>
              <w:left w:val="nil"/>
              <w:right w:val="nil"/>
            </w:tcBorders>
            <w:shd w:val="clear" w:color="auto" w:fill="auto"/>
            <w:vAlign w:val="bottom"/>
          </w:tcPr>
          <w:p w14:paraId="5FA5C60D"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75ABC101" w14:textId="77777777" w:rsidR="00C561BD" w:rsidRPr="00224C22" w:rsidRDefault="00C561BD" w:rsidP="00C561BD">
            <w:pPr>
              <w:pStyle w:val="a3"/>
              <w:widowControl/>
              <w:spacing w:line="140" w:lineRule="exact"/>
              <w:ind w:left="0"/>
              <w:rPr>
                <w:b/>
                <w:sz w:val="16"/>
                <w:szCs w:val="16"/>
                <w:u w:val="single"/>
              </w:rPr>
            </w:pPr>
          </w:p>
        </w:tc>
        <w:tc>
          <w:tcPr>
            <w:tcW w:w="677" w:type="dxa"/>
            <w:tcBorders>
              <w:left w:val="nil"/>
              <w:right w:val="nil"/>
            </w:tcBorders>
            <w:shd w:val="clear" w:color="auto" w:fill="auto"/>
            <w:vAlign w:val="bottom"/>
          </w:tcPr>
          <w:p w14:paraId="59182CDC"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0F7DEA89"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nil"/>
              <w:left w:val="nil"/>
              <w:right w:val="nil"/>
            </w:tcBorders>
            <w:shd w:val="clear" w:color="auto" w:fill="auto"/>
            <w:vAlign w:val="bottom"/>
          </w:tcPr>
          <w:p w14:paraId="6C9B51D9"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1D9FE7FF"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nil"/>
              <w:left w:val="nil"/>
              <w:right w:val="nil"/>
            </w:tcBorders>
            <w:shd w:val="clear" w:color="auto" w:fill="auto"/>
            <w:vAlign w:val="bottom"/>
          </w:tcPr>
          <w:p w14:paraId="1A93E659" w14:textId="77777777" w:rsidR="00C561BD" w:rsidRPr="00224C22" w:rsidRDefault="00C561BD" w:rsidP="00C561BD">
            <w:pPr>
              <w:pStyle w:val="a3"/>
              <w:widowControl/>
              <w:spacing w:line="140" w:lineRule="exact"/>
              <w:ind w:left="0"/>
              <w:rPr>
                <w:b/>
                <w:sz w:val="16"/>
                <w:szCs w:val="16"/>
                <w:u w:val="single"/>
              </w:rPr>
            </w:pPr>
          </w:p>
        </w:tc>
        <w:tc>
          <w:tcPr>
            <w:tcW w:w="113" w:type="dxa"/>
          </w:tcPr>
          <w:p w14:paraId="36F8AD77" w14:textId="77777777" w:rsidR="00C561BD" w:rsidRPr="00224C22" w:rsidRDefault="00C561BD" w:rsidP="00C561BD">
            <w:pPr>
              <w:pStyle w:val="a3"/>
              <w:widowControl/>
              <w:spacing w:line="140" w:lineRule="exact"/>
              <w:ind w:left="0"/>
              <w:rPr>
                <w:b/>
                <w:sz w:val="16"/>
                <w:szCs w:val="16"/>
                <w:u w:val="single"/>
              </w:rPr>
            </w:pPr>
          </w:p>
        </w:tc>
        <w:tc>
          <w:tcPr>
            <w:tcW w:w="607" w:type="dxa"/>
            <w:tcBorders>
              <w:top w:val="nil"/>
              <w:left w:val="nil"/>
              <w:right w:val="nil"/>
            </w:tcBorders>
            <w:shd w:val="clear" w:color="auto" w:fill="auto"/>
          </w:tcPr>
          <w:p w14:paraId="7D236C7E" w14:textId="77777777" w:rsidR="00C561BD" w:rsidRPr="00224C22" w:rsidRDefault="00C561BD" w:rsidP="00C561BD">
            <w:pPr>
              <w:pStyle w:val="a3"/>
              <w:widowControl/>
              <w:spacing w:line="140" w:lineRule="exact"/>
              <w:ind w:left="0"/>
              <w:rPr>
                <w:b/>
                <w:sz w:val="16"/>
                <w:szCs w:val="16"/>
                <w:u w:val="single"/>
              </w:rPr>
            </w:pPr>
          </w:p>
        </w:tc>
      </w:tr>
      <w:tr w:rsidR="00CF57B7" w:rsidRPr="00224C22" w14:paraId="06969509" w14:textId="77777777" w:rsidTr="00A7568E">
        <w:tc>
          <w:tcPr>
            <w:tcW w:w="972" w:type="dxa"/>
            <w:vAlign w:val="center"/>
          </w:tcPr>
          <w:p w14:paraId="2C657565" w14:textId="77777777" w:rsidR="00C561BD" w:rsidRPr="00224C22" w:rsidRDefault="00C561BD" w:rsidP="00C561BD">
            <w:pPr>
              <w:bidi w:val="0"/>
              <w:spacing w:line="140" w:lineRule="exact"/>
              <w:ind w:left="227" w:right="110" w:hanging="170"/>
              <w:jc w:val="right"/>
              <w:rPr>
                <w:i/>
                <w:iCs/>
                <w:sz w:val="12"/>
                <w:szCs w:val="12"/>
                <w:rtl/>
              </w:rPr>
            </w:pPr>
          </w:p>
        </w:tc>
        <w:tc>
          <w:tcPr>
            <w:tcW w:w="2682" w:type="dxa"/>
            <w:vAlign w:val="bottom"/>
          </w:tcPr>
          <w:p w14:paraId="4B556913"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העברה מקרן הערכה מחדש בגין מימוש רכוש קבוע</w:t>
            </w:r>
          </w:p>
        </w:tc>
        <w:tc>
          <w:tcPr>
            <w:tcW w:w="113" w:type="dxa"/>
            <w:vAlign w:val="bottom"/>
          </w:tcPr>
          <w:p w14:paraId="26ACDF63"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51029881"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6BA167E6"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2A1BD6FF"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0913B29B"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3B7A01A" w14:textId="77777777" w:rsidR="00C561BD" w:rsidRPr="00224C22" w:rsidRDefault="00C561BD" w:rsidP="00C561BD">
            <w:pPr>
              <w:tabs>
                <w:tab w:val="decimal" w:pos="113"/>
              </w:tabs>
              <w:spacing w:line="140" w:lineRule="exact"/>
              <w:rPr>
                <w:sz w:val="16"/>
                <w:szCs w:val="16"/>
              </w:rPr>
            </w:pPr>
          </w:p>
        </w:tc>
        <w:tc>
          <w:tcPr>
            <w:tcW w:w="113" w:type="dxa"/>
          </w:tcPr>
          <w:p w14:paraId="4685DD56"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1889088E" w14:textId="77777777" w:rsidR="00C561BD" w:rsidRPr="00224C22" w:rsidRDefault="00C561BD" w:rsidP="00C561BD">
            <w:pPr>
              <w:tabs>
                <w:tab w:val="decimal" w:pos="113"/>
              </w:tabs>
              <w:spacing w:line="140" w:lineRule="exact"/>
              <w:rPr>
                <w:sz w:val="16"/>
                <w:szCs w:val="16"/>
              </w:rPr>
            </w:pPr>
          </w:p>
        </w:tc>
        <w:tc>
          <w:tcPr>
            <w:tcW w:w="113" w:type="dxa"/>
          </w:tcPr>
          <w:p w14:paraId="5C1A0108"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6CA67AC0" w14:textId="77777777" w:rsidR="00C561BD" w:rsidRPr="00224C22" w:rsidRDefault="00C561BD" w:rsidP="00C561BD">
            <w:pPr>
              <w:tabs>
                <w:tab w:val="decimal" w:pos="113"/>
              </w:tabs>
              <w:spacing w:line="140" w:lineRule="exact"/>
              <w:rPr>
                <w:sz w:val="16"/>
                <w:szCs w:val="16"/>
              </w:rPr>
            </w:pPr>
          </w:p>
        </w:tc>
        <w:tc>
          <w:tcPr>
            <w:tcW w:w="113" w:type="dxa"/>
            <w:vAlign w:val="bottom"/>
          </w:tcPr>
          <w:p w14:paraId="49C018B4"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69807C18" w14:textId="77777777" w:rsidR="00C561BD" w:rsidRPr="00224C22" w:rsidRDefault="00C561BD" w:rsidP="00C561BD">
            <w:pPr>
              <w:tabs>
                <w:tab w:val="decimal" w:pos="113"/>
              </w:tabs>
              <w:spacing w:line="140" w:lineRule="exact"/>
              <w:rPr>
                <w:sz w:val="16"/>
                <w:szCs w:val="16"/>
              </w:rPr>
            </w:pPr>
          </w:p>
        </w:tc>
        <w:tc>
          <w:tcPr>
            <w:tcW w:w="113" w:type="dxa"/>
            <w:vAlign w:val="bottom"/>
          </w:tcPr>
          <w:p w14:paraId="0125823C"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1701DF49" w14:textId="77777777" w:rsidR="00C561BD" w:rsidRPr="00224C22" w:rsidRDefault="00C561BD" w:rsidP="00C561BD">
            <w:pPr>
              <w:tabs>
                <w:tab w:val="decimal" w:pos="113"/>
              </w:tabs>
              <w:spacing w:line="140" w:lineRule="exact"/>
              <w:rPr>
                <w:sz w:val="16"/>
                <w:szCs w:val="16"/>
              </w:rPr>
            </w:pPr>
          </w:p>
        </w:tc>
        <w:tc>
          <w:tcPr>
            <w:tcW w:w="113" w:type="dxa"/>
            <w:vAlign w:val="bottom"/>
          </w:tcPr>
          <w:p w14:paraId="3DDFC2CC"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C40D1D4" w14:textId="77777777" w:rsidR="00C561BD" w:rsidRPr="00224C22" w:rsidRDefault="00C561BD" w:rsidP="00C561BD">
            <w:pPr>
              <w:tabs>
                <w:tab w:val="decimal" w:pos="113"/>
              </w:tabs>
              <w:spacing w:line="140" w:lineRule="exact"/>
              <w:rPr>
                <w:sz w:val="16"/>
                <w:szCs w:val="16"/>
              </w:rPr>
            </w:pPr>
          </w:p>
        </w:tc>
        <w:tc>
          <w:tcPr>
            <w:tcW w:w="113" w:type="dxa"/>
            <w:vAlign w:val="bottom"/>
          </w:tcPr>
          <w:p w14:paraId="6DBE9FB5"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4501DFF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3F9A7E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4BABF47B"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ECEF451"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047F94E8"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D8034B7"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A731F4F"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D84D079"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B3E8355" w14:textId="77777777" w:rsidR="00C561BD" w:rsidRPr="00224C22" w:rsidRDefault="00C561BD" w:rsidP="00C561BD">
            <w:pPr>
              <w:tabs>
                <w:tab w:val="decimal" w:pos="113"/>
              </w:tabs>
              <w:spacing w:line="140" w:lineRule="exact"/>
              <w:rPr>
                <w:sz w:val="16"/>
                <w:szCs w:val="16"/>
              </w:rPr>
            </w:pPr>
          </w:p>
        </w:tc>
        <w:tc>
          <w:tcPr>
            <w:tcW w:w="113" w:type="dxa"/>
            <w:vAlign w:val="bottom"/>
          </w:tcPr>
          <w:p w14:paraId="78411164"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73452E66" w14:textId="77777777" w:rsidR="00C561BD" w:rsidRPr="00224C22" w:rsidRDefault="00C561BD" w:rsidP="00C561BD">
            <w:pPr>
              <w:tabs>
                <w:tab w:val="decimal" w:pos="113"/>
              </w:tabs>
              <w:spacing w:line="140" w:lineRule="exact"/>
              <w:rPr>
                <w:sz w:val="16"/>
                <w:szCs w:val="16"/>
              </w:rPr>
            </w:pPr>
          </w:p>
        </w:tc>
        <w:tc>
          <w:tcPr>
            <w:tcW w:w="113" w:type="dxa"/>
            <w:vAlign w:val="bottom"/>
          </w:tcPr>
          <w:p w14:paraId="4011EFAC"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B2473A0" w14:textId="77777777" w:rsidR="00C561BD" w:rsidRPr="00224C22" w:rsidRDefault="00C561BD" w:rsidP="00C561BD">
            <w:pPr>
              <w:tabs>
                <w:tab w:val="decimal" w:pos="113"/>
              </w:tabs>
              <w:spacing w:line="140" w:lineRule="exact"/>
              <w:rPr>
                <w:sz w:val="16"/>
                <w:szCs w:val="16"/>
              </w:rPr>
            </w:pPr>
          </w:p>
        </w:tc>
        <w:tc>
          <w:tcPr>
            <w:tcW w:w="113" w:type="dxa"/>
          </w:tcPr>
          <w:p w14:paraId="1074884F"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619E079A" w14:textId="77777777" w:rsidR="00C561BD" w:rsidRPr="00224C22" w:rsidRDefault="00C561BD" w:rsidP="00C561BD">
            <w:pPr>
              <w:tabs>
                <w:tab w:val="decimal" w:pos="113"/>
              </w:tabs>
              <w:spacing w:line="140" w:lineRule="exact"/>
              <w:rPr>
                <w:sz w:val="16"/>
                <w:szCs w:val="16"/>
              </w:rPr>
            </w:pPr>
          </w:p>
        </w:tc>
      </w:tr>
      <w:tr w:rsidR="00CF57B7" w:rsidRPr="00224C22" w14:paraId="00338F2F" w14:textId="77777777" w:rsidTr="00A7568E">
        <w:tc>
          <w:tcPr>
            <w:tcW w:w="972" w:type="dxa"/>
            <w:tcBorders>
              <w:bottom w:val="single" w:sz="4" w:space="0" w:color="auto"/>
              <w:right w:val="single" w:sz="4" w:space="0" w:color="auto"/>
            </w:tcBorders>
            <w:vAlign w:val="center"/>
          </w:tcPr>
          <w:p w14:paraId="59E037EF" w14:textId="77777777" w:rsidR="00C561BD" w:rsidRPr="00224C22" w:rsidRDefault="00C561BD" w:rsidP="00C561BD">
            <w:pPr>
              <w:bidi w:val="0"/>
              <w:spacing w:line="140" w:lineRule="exact"/>
              <w:ind w:left="227" w:right="110" w:hanging="170"/>
              <w:jc w:val="right"/>
              <w:rPr>
                <w:i/>
                <w:iCs/>
                <w:sz w:val="12"/>
                <w:szCs w:val="12"/>
                <w:rtl/>
              </w:rPr>
            </w:pPr>
            <w:r w:rsidRPr="00224C22">
              <w:rPr>
                <w:i/>
                <w:iCs/>
                <w:sz w:val="12"/>
                <w:szCs w:val="12"/>
              </w:rPr>
              <w:t>IAS 1.96</w:t>
            </w:r>
          </w:p>
        </w:tc>
        <w:tc>
          <w:tcPr>
            <w:tcW w:w="2682" w:type="dxa"/>
            <w:tcBorders>
              <w:left w:val="single" w:sz="4" w:space="0" w:color="auto"/>
            </w:tcBorders>
            <w:vAlign w:val="bottom"/>
          </w:tcPr>
          <w:p w14:paraId="09CEB879"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העברה מקרן הערכה מחדש בגין שערוך רכוש קבוע, בגובה הפחת</w:t>
            </w:r>
          </w:p>
        </w:tc>
        <w:tc>
          <w:tcPr>
            <w:tcW w:w="113" w:type="dxa"/>
            <w:vAlign w:val="bottom"/>
          </w:tcPr>
          <w:p w14:paraId="5A87BBF8"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2442F3E9"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3793EAD1"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40A41E1B"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7323C4E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E45BC9E" w14:textId="77777777" w:rsidR="00C561BD" w:rsidRPr="00224C22" w:rsidRDefault="00C561BD" w:rsidP="00C561BD">
            <w:pPr>
              <w:tabs>
                <w:tab w:val="decimal" w:pos="113"/>
              </w:tabs>
              <w:spacing w:line="140" w:lineRule="exact"/>
              <w:rPr>
                <w:sz w:val="16"/>
                <w:szCs w:val="16"/>
              </w:rPr>
            </w:pPr>
          </w:p>
        </w:tc>
        <w:tc>
          <w:tcPr>
            <w:tcW w:w="113" w:type="dxa"/>
          </w:tcPr>
          <w:p w14:paraId="1461C60E"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05F7B399" w14:textId="77777777" w:rsidR="00C561BD" w:rsidRPr="00224C22" w:rsidRDefault="00C561BD" w:rsidP="00C561BD">
            <w:pPr>
              <w:tabs>
                <w:tab w:val="decimal" w:pos="113"/>
              </w:tabs>
              <w:spacing w:line="140" w:lineRule="exact"/>
              <w:rPr>
                <w:sz w:val="16"/>
                <w:szCs w:val="16"/>
              </w:rPr>
            </w:pPr>
          </w:p>
        </w:tc>
        <w:tc>
          <w:tcPr>
            <w:tcW w:w="113" w:type="dxa"/>
          </w:tcPr>
          <w:p w14:paraId="0AB1A404"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5BEDE01A" w14:textId="77777777" w:rsidR="00C561BD" w:rsidRPr="00224C22" w:rsidRDefault="00C561BD" w:rsidP="00C561BD">
            <w:pPr>
              <w:tabs>
                <w:tab w:val="decimal" w:pos="113"/>
              </w:tabs>
              <w:spacing w:line="140" w:lineRule="exact"/>
              <w:rPr>
                <w:sz w:val="16"/>
                <w:szCs w:val="16"/>
              </w:rPr>
            </w:pPr>
          </w:p>
        </w:tc>
        <w:tc>
          <w:tcPr>
            <w:tcW w:w="113" w:type="dxa"/>
            <w:vAlign w:val="bottom"/>
          </w:tcPr>
          <w:p w14:paraId="4FBB3D8E"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5D3550F1" w14:textId="77777777" w:rsidR="00C561BD" w:rsidRPr="00224C22" w:rsidRDefault="00C561BD" w:rsidP="00C561BD">
            <w:pPr>
              <w:tabs>
                <w:tab w:val="decimal" w:pos="113"/>
              </w:tabs>
              <w:spacing w:line="140" w:lineRule="exact"/>
              <w:rPr>
                <w:sz w:val="16"/>
                <w:szCs w:val="16"/>
              </w:rPr>
            </w:pPr>
          </w:p>
        </w:tc>
        <w:tc>
          <w:tcPr>
            <w:tcW w:w="113" w:type="dxa"/>
            <w:vAlign w:val="bottom"/>
          </w:tcPr>
          <w:p w14:paraId="616F1E04"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7EDF71F1" w14:textId="77777777" w:rsidR="00C561BD" w:rsidRPr="00224C22" w:rsidRDefault="00C561BD" w:rsidP="00C561BD">
            <w:pPr>
              <w:tabs>
                <w:tab w:val="decimal" w:pos="113"/>
              </w:tabs>
              <w:spacing w:line="140" w:lineRule="exact"/>
              <w:rPr>
                <w:sz w:val="16"/>
                <w:szCs w:val="16"/>
              </w:rPr>
            </w:pPr>
          </w:p>
        </w:tc>
        <w:tc>
          <w:tcPr>
            <w:tcW w:w="113" w:type="dxa"/>
            <w:vAlign w:val="bottom"/>
          </w:tcPr>
          <w:p w14:paraId="5D23195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6911DDE" w14:textId="77777777" w:rsidR="00C561BD" w:rsidRPr="00224C22" w:rsidRDefault="00C561BD" w:rsidP="00C561BD">
            <w:pPr>
              <w:tabs>
                <w:tab w:val="decimal" w:pos="113"/>
              </w:tabs>
              <w:spacing w:line="140" w:lineRule="exact"/>
              <w:rPr>
                <w:sz w:val="16"/>
                <w:szCs w:val="16"/>
              </w:rPr>
            </w:pPr>
          </w:p>
        </w:tc>
        <w:tc>
          <w:tcPr>
            <w:tcW w:w="113" w:type="dxa"/>
            <w:vAlign w:val="bottom"/>
          </w:tcPr>
          <w:p w14:paraId="283384A6"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B749438"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266FFDD"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4727AC1"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6DC242B"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1664483C"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033EBA2"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2E3646C"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8902A0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DA9EBA5" w14:textId="77777777" w:rsidR="00C561BD" w:rsidRPr="00224C22" w:rsidRDefault="00C561BD" w:rsidP="00C561BD">
            <w:pPr>
              <w:tabs>
                <w:tab w:val="decimal" w:pos="113"/>
              </w:tabs>
              <w:spacing w:line="140" w:lineRule="exact"/>
              <w:rPr>
                <w:sz w:val="16"/>
                <w:szCs w:val="16"/>
              </w:rPr>
            </w:pPr>
          </w:p>
        </w:tc>
        <w:tc>
          <w:tcPr>
            <w:tcW w:w="113" w:type="dxa"/>
            <w:vAlign w:val="bottom"/>
          </w:tcPr>
          <w:p w14:paraId="7AC20F40"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01D00343" w14:textId="77777777" w:rsidR="00C561BD" w:rsidRPr="00224C22" w:rsidRDefault="00C561BD" w:rsidP="00C561BD">
            <w:pPr>
              <w:tabs>
                <w:tab w:val="decimal" w:pos="113"/>
              </w:tabs>
              <w:spacing w:line="140" w:lineRule="exact"/>
              <w:rPr>
                <w:sz w:val="16"/>
                <w:szCs w:val="16"/>
              </w:rPr>
            </w:pPr>
          </w:p>
        </w:tc>
        <w:tc>
          <w:tcPr>
            <w:tcW w:w="113" w:type="dxa"/>
            <w:vAlign w:val="bottom"/>
          </w:tcPr>
          <w:p w14:paraId="2419E24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00B9053" w14:textId="77777777" w:rsidR="00C561BD" w:rsidRPr="00224C22" w:rsidRDefault="00C561BD" w:rsidP="00C561BD">
            <w:pPr>
              <w:tabs>
                <w:tab w:val="decimal" w:pos="113"/>
              </w:tabs>
              <w:spacing w:line="140" w:lineRule="exact"/>
              <w:rPr>
                <w:sz w:val="16"/>
                <w:szCs w:val="16"/>
              </w:rPr>
            </w:pPr>
          </w:p>
        </w:tc>
        <w:tc>
          <w:tcPr>
            <w:tcW w:w="113" w:type="dxa"/>
          </w:tcPr>
          <w:p w14:paraId="26AC7D4C"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424F887A" w14:textId="77777777" w:rsidR="00C561BD" w:rsidRPr="00224C22" w:rsidRDefault="00C561BD" w:rsidP="00C561BD">
            <w:pPr>
              <w:tabs>
                <w:tab w:val="decimal" w:pos="113"/>
              </w:tabs>
              <w:spacing w:line="140" w:lineRule="exact"/>
              <w:rPr>
                <w:sz w:val="16"/>
                <w:szCs w:val="16"/>
              </w:rPr>
            </w:pPr>
          </w:p>
        </w:tc>
      </w:tr>
      <w:tr w:rsidR="00CF57B7" w:rsidRPr="00224C22" w14:paraId="3D381894" w14:textId="77777777" w:rsidTr="00A7568E">
        <w:tc>
          <w:tcPr>
            <w:tcW w:w="972" w:type="dxa"/>
            <w:vMerge w:val="restart"/>
            <w:tcBorders>
              <w:top w:val="single" w:sz="4" w:space="0" w:color="auto"/>
              <w:bottom w:val="single" w:sz="4" w:space="0" w:color="auto"/>
              <w:right w:val="single" w:sz="4" w:space="0" w:color="auto"/>
            </w:tcBorders>
            <w:vAlign w:val="center"/>
          </w:tcPr>
          <w:p w14:paraId="5508AFE7" w14:textId="77777777" w:rsidR="00C561BD" w:rsidRPr="00224C22" w:rsidRDefault="00C561BD" w:rsidP="00C561BD">
            <w:pPr>
              <w:bidi w:val="0"/>
              <w:spacing w:line="140" w:lineRule="exact"/>
              <w:ind w:left="227" w:right="110" w:hanging="170"/>
              <w:jc w:val="right"/>
              <w:rPr>
                <w:i/>
                <w:iCs/>
                <w:sz w:val="12"/>
                <w:szCs w:val="12"/>
                <w:rtl/>
              </w:rPr>
            </w:pPr>
            <w:r w:rsidRPr="00224C22">
              <w:rPr>
                <w:i/>
                <w:iCs/>
                <w:sz w:val="12"/>
                <w:szCs w:val="12"/>
              </w:rPr>
              <w:t>IAS 1.106 (d)(iii)</w:t>
            </w:r>
          </w:p>
        </w:tc>
        <w:tc>
          <w:tcPr>
            <w:tcW w:w="2682" w:type="dxa"/>
            <w:tcBorders>
              <w:left w:val="single" w:sz="4" w:space="0" w:color="auto"/>
            </w:tcBorders>
            <w:vAlign w:val="bottom"/>
          </w:tcPr>
          <w:p w14:paraId="495102BE"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 xml:space="preserve">הנפקת הון מניות (בניכוי הוצאות הנפקה </w:t>
            </w:r>
            <w:r w:rsidRPr="00224C22">
              <w:rPr>
                <w:rFonts w:hint="eastAsia"/>
                <w:sz w:val="16"/>
                <w:szCs w:val="16"/>
                <w:rtl/>
              </w:rPr>
              <w:t>בסך</w:t>
            </w:r>
            <w:r w:rsidRPr="00224C22">
              <w:rPr>
                <w:sz w:val="16"/>
                <w:szCs w:val="16"/>
                <w:rtl/>
              </w:rPr>
              <w:t xml:space="preserve"> ____ </w:t>
            </w:r>
            <w:r w:rsidRPr="00224C22">
              <w:rPr>
                <w:rFonts w:hint="eastAsia"/>
                <w:sz w:val="16"/>
                <w:szCs w:val="16"/>
                <w:rtl/>
              </w:rPr>
              <w:t>אלפי</w:t>
            </w:r>
            <w:r w:rsidRPr="00224C22">
              <w:rPr>
                <w:sz w:val="16"/>
                <w:szCs w:val="16"/>
                <w:rtl/>
              </w:rPr>
              <w:t xml:space="preserve"> </w:t>
            </w:r>
            <w:r w:rsidRPr="00224C22">
              <w:rPr>
                <w:rFonts w:hint="eastAsia"/>
                <w:sz w:val="16"/>
                <w:szCs w:val="16"/>
                <w:rtl/>
              </w:rPr>
              <w:t>ש</w:t>
            </w:r>
            <w:r w:rsidRPr="00224C22">
              <w:rPr>
                <w:sz w:val="16"/>
                <w:szCs w:val="16"/>
                <w:rtl/>
              </w:rPr>
              <w:t>"ח)</w:t>
            </w:r>
          </w:p>
        </w:tc>
        <w:tc>
          <w:tcPr>
            <w:tcW w:w="113" w:type="dxa"/>
            <w:vAlign w:val="bottom"/>
          </w:tcPr>
          <w:p w14:paraId="43E3025F"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76DEDE0F"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5EF9E6B3"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3414479B"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090BD25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590FC98" w14:textId="77777777" w:rsidR="00C561BD" w:rsidRPr="00224C22" w:rsidRDefault="00C561BD" w:rsidP="00C561BD">
            <w:pPr>
              <w:tabs>
                <w:tab w:val="decimal" w:pos="113"/>
              </w:tabs>
              <w:spacing w:line="140" w:lineRule="exact"/>
              <w:rPr>
                <w:sz w:val="16"/>
                <w:szCs w:val="16"/>
              </w:rPr>
            </w:pPr>
          </w:p>
        </w:tc>
        <w:tc>
          <w:tcPr>
            <w:tcW w:w="113" w:type="dxa"/>
          </w:tcPr>
          <w:p w14:paraId="46371468"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A16B4AB" w14:textId="77777777" w:rsidR="00C561BD" w:rsidRPr="00224C22" w:rsidRDefault="00C561BD" w:rsidP="00C561BD">
            <w:pPr>
              <w:tabs>
                <w:tab w:val="decimal" w:pos="113"/>
              </w:tabs>
              <w:spacing w:line="140" w:lineRule="exact"/>
              <w:rPr>
                <w:sz w:val="16"/>
                <w:szCs w:val="16"/>
              </w:rPr>
            </w:pPr>
          </w:p>
        </w:tc>
        <w:tc>
          <w:tcPr>
            <w:tcW w:w="113" w:type="dxa"/>
          </w:tcPr>
          <w:p w14:paraId="641DEA9F"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6ABEC22E" w14:textId="77777777" w:rsidR="00C561BD" w:rsidRPr="00224C22" w:rsidRDefault="00C561BD" w:rsidP="00C561BD">
            <w:pPr>
              <w:tabs>
                <w:tab w:val="decimal" w:pos="113"/>
              </w:tabs>
              <w:spacing w:line="140" w:lineRule="exact"/>
              <w:rPr>
                <w:sz w:val="16"/>
                <w:szCs w:val="16"/>
              </w:rPr>
            </w:pPr>
          </w:p>
        </w:tc>
        <w:tc>
          <w:tcPr>
            <w:tcW w:w="113" w:type="dxa"/>
            <w:vAlign w:val="bottom"/>
          </w:tcPr>
          <w:p w14:paraId="332C588C"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474DB3AC" w14:textId="77777777" w:rsidR="00C561BD" w:rsidRPr="00224C22" w:rsidRDefault="00C561BD" w:rsidP="00C561BD">
            <w:pPr>
              <w:tabs>
                <w:tab w:val="decimal" w:pos="113"/>
              </w:tabs>
              <w:spacing w:line="140" w:lineRule="exact"/>
              <w:rPr>
                <w:sz w:val="16"/>
                <w:szCs w:val="16"/>
              </w:rPr>
            </w:pPr>
          </w:p>
        </w:tc>
        <w:tc>
          <w:tcPr>
            <w:tcW w:w="113" w:type="dxa"/>
            <w:vAlign w:val="bottom"/>
          </w:tcPr>
          <w:p w14:paraId="0AF2ABE6"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1AB944F0" w14:textId="77777777" w:rsidR="00C561BD" w:rsidRPr="00224C22" w:rsidRDefault="00C561BD" w:rsidP="00C561BD">
            <w:pPr>
              <w:tabs>
                <w:tab w:val="decimal" w:pos="113"/>
              </w:tabs>
              <w:spacing w:line="140" w:lineRule="exact"/>
              <w:rPr>
                <w:sz w:val="16"/>
                <w:szCs w:val="16"/>
              </w:rPr>
            </w:pPr>
          </w:p>
        </w:tc>
        <w:tc>
          <w:tcPr>
            <w:tcW w:w="113" w:type="dxa"/>
            <w:vAlign w:val="bottom"/>
          </w:tcPr>
          <w:p w14:paraId="50966F5F"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63B7497" w14:textId="77777777" w:rsidR="00C561BD" w:rsidRPr="00224C22" w:rsidRDefault="00C561BD" w:rsidP="00C561BD">
            <w:pPr>
              <w:tabs>
                <w:tab w:val="decimal" w:pos="113"/>
              </w:tabs>
              <w:spacing w:line="140" w:lineRule="exact"/>
              <w:rPr>
                <w:sz w:val="16"/>
                <w:szCs w:val="16"/>
              </w:rPr>
            </w:pPr>
          </w:p>
        </w:tc>
        <w:tc>
          <w:tcPr>
            <w:tcW w:w="113" w:type="dxa"/>
            <w:vAlign w:val="bottom"/>
          </w:tcPr>
          <w:p w14:paraId="21F49FF8"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40A9C223"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B8998C6"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8B6B885"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4D1C94B"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4F240934"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481EA41"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7049BB2"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06D604F0"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B8815AC" w14:textId="77777777" w:rsidR="00C561BD" w:rsidRPr="00224C22" w:rsidRDefault="00C561BD" w:rsidP="00C561BD">
            <w:pPr>
              <w:tabs>
                <w:tab w:val="decimal" w:pos="113"/>
              </w:tabs>
              <w:spacing w:line="140" w:lineRule="exact"/>
              <w:rPr>
                <w:sz w:val="16"/>
                <w:szCs w:val="16"/>
              </w:rPr>
            </w:pPr>
          </w:p>
        </w:tc>
        <w:tc>
          <w:tcPr>
            <w:tcW w:w="113" w:type="dxa"/>
            <w:vAlign w:val="bottom"/>
          </w:tcPr>
          <w:p w14:paraId="0EB440F4"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342C7F79" w14:textId="77777777" w:rsidR="00C561BD" w:rsidRPr="00224C22" w:rsidRDefault="00C561BD" w:rsidP="00C561BD">
            <w:pPr>
              <w:tabs>
                <w:tab w:val="decimal" w:pos="113"/>
              </w:tabs>
              <w:spacing w:line="140" w:lineRule="exact"/>
              <w:rPr>
                <w:sz w:val="16"/>
                <w:szCs w:val="16"/>
              </w:rPr>
            </w:pPr>
          </w:p>
        </w:tc>
        <w:tc>
          <w:tcPr>
            <w:tcW w:w="113" w:type="dxa"/>
            <w:vAlign w:val="bottom"/>
          </w:tcPr>
          <w:p w14:paraId="2A230C9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DA6C936" w14:textId="77777777" w:rsidR="00C561BD" w:rsidRPr="00224C22" w:rsidRDefault="00C561BD" w:rsidP="00C561BD">
            <w:pPr>
              <w:tabs>
                <w:tab w:val="decimal" w:pos="113"/>
              </w:tabs>
              <w:spacing w:line="140" w:lineRule="exact"/>
              <w:rPr>
                <w:sz w:val="16"/>
                <w:szCs w:val="16"/>
              </w:rPr>
            </w:pPr>
          </w:p>
        </w:tc>
        <w:tc>
          <w:tcPr>
            <w:tcW w:w="113" w:type="dxa"/>
          </w:tcPr>
          <w:p w14:paraId="2281D39E"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69A0144F" w14:textId="77777777" w:rsidR="00C561BD" w:rsidRPr="00224C22" w:rsidRDefault="00C561BD" w:rsidP="00C561BD">
            <w:pPr>
              <w:tabs>
                <w:tab w:val="decimal" w:pos="113"/>
              </w:tabs>
              <w:spacing w:line="140" w:lineRule="exact"/>
              <w:rPr>
                <w:sz w:val="16"/>
                <w:szCs w:val="16"/>
              </w:rPr>
            </w:pPr>
          </w:p>
        </w:tc>
      </w:tr>
      <w:tr w:rsidR="00CF57B7" w:rsidRPr="00224C22" w14:paraId="63D508BB" w14:textId="77777777" w:rsidTr="00A7568E">
        <w:tc>
          <w:tcPr>
            <w:tcW w:w="972" w:type="dxa"/>
            <w:vMerge/>
            <w:tcBorders>
              <w:top w:val="single" w:sz="4" w:space="0" w:color="auto"/>
              <w:bottom w:val="single" w:sz="4" w:space="0" w:color="auto"/>
              <w:right w:val="single" w:sz="4" w:space="0" w:color="auto"/>
            </w:tcBorders>
            <w:vAlign w:val="center"/>
          </w:tcPr>
          <w:p w14:paraId="2C13C59A" w14:textId="77777777" w:rsidR="00C561BD" w:rsidRPr="00224C22" w:rsidRDefault="00C561BD" w:rsidP="00C561BD">
            <w:pPr>
              <w:bidi w:val="0"/>
              <w:spacing w:line="140" w:lineRule="exact"/>
              <w:ind w:left="227" w:right="110" w:hanging="170"/>
              <w:jc w:val="right"/>
              <w:rPr>
                <w:i/>
                <w:iCs/>
                <w:sz w:val="12"/>
                <w:szCs w:val="12"/>
                <w:rtl/>
              </w:rPr>
            </w:pPr>
          </w:p>
        </w:tc>
        <w:tc>
          <w:tcPr>
            <w:tcW w:w="2682" w:type="dxa"/>
            <w:tcBorders>
              <w:left w:val="single" w:sz="4" w:space="0" w:color="auto"/>
            </w:tcBorders>
            <w:vAlign w:val="bottom"/>
          </w:tcPr>
          <w:p w14:paraId="0D9064A3"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הנפקת הון/מכירת מניות לבעלי זכויות שאינן מקנות שליטה</w:t>
            </w:r>
          </w:p>
        </w:tc>
        <w:tc>
          <w:tcPr>
            <w:tcW w:w="113" w:type="dxa"/>
            <w:vAlign w:val="bottom"/>
          </w:tcPr>
          <w:p w14:paraId="777183D3"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58DB21D9"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69AE66C2"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62A91404"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0B71BAB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515C3F9" w14:textId="77777777" w:rsidR="00C561BD" w:rsidRPr="00224C22" w:rsidRDefault="00C561BD" w:rsidP="00C561BD">
            <w:pPr>
              <w:tabs>
                <w:tab w:val="decimal" w:pos="113"/>
              </w:tabs>
              <w:spacing w:line="140" w:lineRule="exact"/>
              <w:rPr>
                <w:sz w:val="16"/>
                <w:szCs w:val="16"/>
              </w:rPr>
            </w:pPr>
          </w:p>
        </w:tc>
        <w:tc>
          <w:tcPr>
            <w:tcW w:w="113" w:type="dxa"/>
          </w:tcPr>
          <w:p w14:paraId="4F0BDCBB"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151FD165" w14:textId="77777777" w:rsidR="00C561BD" w:rsidRPr="00224C22" w:rsidRDefault="00C561BD" w:rsidP="00C561BD">
            <w:pPr>
              <w:tabs>
                <w:tab w:val="decimal" w:pos="113"/>
              </w:tabs>
              <w:spacing w:line="140" w:lineRule="exact"/>
              <w:rPr>
                <w:sz w:val="16"/>
                <w:szCs w:val="16"/>
              </w:rPr>
            </w:pPr>
          </w:p>
        </w:tc>
        <w:tc>
          <w:tcPr>
            <w:tcW w:w="113" w:type="dxa"/>
          </w:tcPr>
          <w:p w14:paraId="00B0D2E8"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1A97BF23" w14:textId="77777777" w:rsidR="00C561BD" w:rsidRPr="00224C22" w:rsidRDefault="00C561BD" w:rsidP="00C561BD">
            <w:pPr>
              <w:tabs>
                <w:tab w:val="decimal" w:pos="113"/>
              </w:tabs>
              <w:spacing w:line="140" w:lineRule="exact"/>
              <w:rPr>
                <w:sz w:val="16"/>
                <w:szCs w:val="16"/>
              </w:rPr>
            </w:pPr>
          </w:p>
        </w:tc>
        <w:tc>
          <w:tcPr>
            <w:tcW w:w="113" w:type="dxa"/>
            <w:vAlign w:val="bottom"/>
          </w:tcPr>
          <w:p w14:paraId="4A8C65AD"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07257987" w14:textId="77777777" w:rsidR="00C561BD" w:rsidRPr="00224C22" w:rsidRDefault="00C561BD" w:rsidP="00C561BD">
            <w:pPr>
              <w:tabs>
                <w:tab w:val="decimal" w:pos="113"/>
              </w:tabs>
              <w:spacing w:line="140" w:lineRule="exact"/>
              <w:rPr>
                <w:sz w:val="16"/>
                <w:szCs w:val="16"/>
              </w:rPr>
            </w:pPr>
          </w:p>
        </w:tc>
        <w:tc>
          <w:tcPr>
            <w:tcW w:w="113" w:type="dxa"/>
            <w:vAlign w:val="bottom"/>
          </w:tcPr>
          <w:p w14:paraId="43B3D967"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65A82872" w14:textId="77777777" w:rsidR="00C561BD" w:rsidRPr="00224C22" w:rsidRDefault="00C561BD" w:rsidP="00C561BD">
            <w:pPr>
              <w:tabs>
                <w:tab w:val="decimal" w:pos="113"/>
              </w:tabs>
              <w:spacing w:line="140" w:lineRule="exact"/>
              <w:rPr>
                <w:sz w:val="16"/>
                <w:szCs w:val="16"/>
              </w:rPr>
            </w:pPr>
          </w:p>
        </w:tc>
        <w:tc>
          <w:tcPr>
            <w:tcW w:w="113" w:type="dxa"/>
            <w:vAlign w:val="bottom"/>
          </w:tcPr>
          <w:p w14:paraId="7F248A0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7D149D3" w14:textId="77777777" w:rsidR="00C561BD" w:rsidRPr="00224C22" w:rsidRDefault="00C561BD" w:rsidP="00C561BD">
            <w:pPr>
              <w:tabs>
                <w:tab w:val="decimal" w:pos="113"/>
              </w:tabs>
              <w:spacing w:line="140" w:lineRule="exact"/>
              <w:rPr>
                <w:sz w:val="16"/>
                <w:szCs w:val="16"/>
              </w:rPr>
            </w:pPr>
          </w:p>
        </w:tc>
        <w:tc>
          <w:tcPr>
            <w:tcW w:w="113" w:type="dxa"/>
            <w:vAlign w:val="bottom"/>
          </w:tcPr>
          <w:p w14:paraId="7309FE8A"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6176DAA2"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7AE6546"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87001E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C05BBBC"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72FFD35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B5BABB6"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6D74FBD"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D1AF1B4"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3DB783BF" w14:textId="77777777" w:rsidR="00C561BD" w:rsidRPr="00224C22" w:rsidRDefault="00C561BD" w:rsidP="00C561BD">
            <w:pPr>
              <w:tabs>
                <w:tab w:val="decimal" w:pos="113"/>
              </w:tabs>
              <w:spacing w:line="140" w:lineRule="exact"/>
              <w:rPr>
                <w:sz w:val="16"/>
                <w:szCs w:val="16"/>
              </w:rPr>
            </w:pPr>
          </w:p>
        </w:tc>
        <w:tc>
          <w:tcPr>
            <w:tcW w:w="113" w:type="dxa"/>
            <w:vAlign w:val="bottom"/>
          </w:tcPr>
          <w:p w14:paraId="44460BE1"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4E429A3E" w14:textId="77777777" w:rsidR="00C561BD" w:rsidRPr="00224C22" w:rsidRDefault="00C561BD" w:rsidP="00C561BD">
            <w:pPr>
              <w:tabs>
                <w:tab w:val="decimal" w:pos="113"/>
              </w:tabs>
              <w:spacing w:line="140" w:lineRule="exact"/>
              <w:rPr>
                <w:sz w:val="16"/>
                <w:szCs w:val="16"/>
              </w:rPr>
            </w:pPr>
          </w:p>
        </w:tc>
        <w:tc>
          <w:tcPr>
            <w:tcW w:w="113" w:type="dxa"/>
            <w:vAlign w:val="bottom"/>
          </w:tcPr>
          <w:p w14:paraId="6C241EC1"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0BCB0F9" w14:textId="77777777" w:rsidR="00C561BD" w:rsidRPr="00224C22" w:rsidRDefault="00C561BD" w:rsidP="00C561BD">
            <w:pPr>
              <w:tabs>
                <w:tab w:val="decimal" w:pos="113"/>
              </w:tabs>
              <w:spacing w:line="140" w:lineRule="exact"/>
              <w:rPr>
                <w:sz w:val="16"/>
                <w:szCs w:val="16"/>
              </w:rPr>
            </w:pPr>
          </w:p>
        </w:tc>
        <w:tc>
          <w:tcPr>
            <w:tcW w:w="113" w:type="dxa"/>
          </w:tcPr>
          <w:p w14:paraId="21DE18CD"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606A29DE" w14:textId="77777777" w:rsidR="00C561BD" w:rsidRPr="00224C22" w:rsidRDefault="00C561BD" w:rsidP="00C561BD">
            <w:pPr>
              <w:tabs>
                <w:tab w:val="decimal" w:pos="113"/>
              </w:tabs>
              <w:spacing w:line="140" w:lineRule="exact"/>
              <w:rPr>
                <w:sz w:val="16"/>
                <w:szCs w:val="16"/>
              </w:rPr>
            </w:pPr>
          </w:p>
        </w:tc>
      </w:tr>
      <w:tr w:rsidR="00CF57B7" w:rsidRPr="00224C22" w14:paraId="2C162221" w14:textId="77777777" w:rsidTr="00A7568E">
        <w:tc>
          <w:tcPr>
            <w:tcW w:w="972" w:type="dxa"/>
            <w:tcBorders>
              <w:top w:val="single" w:sz="4" w:space="0" w:color="auto"/>
            </w:tcBorders>
            <w:vAlign w:val="center"/>
          </w:tcPr>
          <w:p w14:paraId="7EBCDB07" w14:textId="77777777" w:rsidR="00C561BD" w:rsidRPr="00224C22" w:rsidRDefault="00C561BD" w:rsidP="00C561BD">
            <w:pPr>
              <w:bidi w:val="0"/>
              <w:spacing w:line="140" w:lineRule="exact"/>
              <w:ind w:left="227" w:right="110" w:hanging="170"/>
              <w:jc w:val="right"/>
              <w:rPr>
                <w:i/>
                <w:iCs/>
                <w:sz w:val="12"/>
                <w:szCs w:val="12"/>
                <w:rtl/>
              </w:rPr>
            </w:pPr>
          </w:p>
        </w:tc>
        <w:tc>
          <w:tcPr>
            <w:tcW w:w="2682" w:type="dxa"/>
            <w:vAlign w:val="bottom"/>
          </w:tcPr>
          <w:p w14:paraId="2E2B875E"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תקבולים בגין אופציית המרה בהנפקת אגרות חוב ניתנות להמרה (בניכוי הוצאות הנפקה)</w:t>
            </w:r>
          </w:p>
        </w:tc>
        <w:tc>
          <w:tcPr>
            <w:tcW w:w="113" w:type="dxa"/>
            <w:vAlign w:val="bottom"/>
          </w:tcPr>
          <w:p w14:paraId="56F4E34F"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0BC13674"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0E52B112"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155FCA78"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16E729A6"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D3586CB" w14:textId="77777777" w:rsidR="00C561BD" w:rsidRPr="00224C22" w:rsidRDefault="00C561BD" w:rsidP="00C561BD">
            <w:pPr>
              <w:tabs>
                <w:tab w:val="decimal" w:pos="113"/>
              </w:tabs>
              <w:spacing w:line="140" w:lineRule="exact"/>
              <w:rPr>
                <w:sz w:val="16"/>
                <w:szCs w:val="16"/>
              </w:rPr>
            </w:pPr>
          </w:p>
        </w:tc>
        <w:tc>
          <w:tcPr>
            <w:tcW w:w="113" w:type="dxa"/>
          </w:tcPr>
          <w:p w14:paraId="4980EA25"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71A36375" w14:textId="77777777" w:rsidR="00C561BD" w:rsidRPr="00224C22" w:rsidRDefault="00C561BD" w:rsidP="00C561BD">
            <w:pPr>
              <w:tabs>
                <w:tab w:val="decimal" w:pos="113"/>
              </w:tabs>
              <w:spacing w:line="140" w:lineRule="exact"/>
              <w:rPr>
                <w:sz w:val="16"/>
                <w:szCs w:val="16"/>
              </w:rPr>
            </w:pPr>
          </w:p>
        </w:tc>
        <w:tc>
          <w:tcPr>
            <w:tcW w:w="113" w:type="dxa"/>
          </w:tcPr>
          <w:p w14:paraId="242B6D6D"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3111B40F" w14:textId="77777777" w:rsidR="00C561BD" w:rsidRPr="00224C22" w:rsidRDefault="00C561BD" w:rsidP="00C561BD">
            <w:pPr>
              <w:tabs>
                <w:tab w:val="decimal" w:pos="113"/>
              </w:tabs>
              <w:spacing w:line="140" w:lineRule="exact"/>
              <w:rPr>
                <w:sz w:val="16"/>
                <w:szCs w:val="16"/>
              </w:rPr>
            </w:pPr>
          </w:p>
        </w:tc>
        <w:tc>
          <w:tcPr>
            <w:tcW w:w="113" w:type="dxa"/>
            <w:vAlign w:val="bottom"/>
          </w:tcPr>
          <w:p w14:paraId="0F35658A"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0E851A8E" w14:textId="77777777" w:rsidR="00C561BD" w:rsidRPr="00224C22" w:rsidRDefault="00C561BD" w:rsidP="00C561BD">
            <w:pPr>
              <w:tabs>
                <w:tab w:val="decimal" w:pos="113"/>
              </w:tabs>
              <w:spacing w:line="140" w:lineRule="exact"/>
              <w:rPr>
                <w:sz w:val="16"/>
                <w:szCs w:val="16"/>
              </w:rPr>
            </w:pPr>
          </w:p>
        </w:tc>
        <w:tc>
          <w:tcPr>
            <w:tcW w:w="113" w:type="dxa"/>
            <w:vAlign w:val="bottom"/>
          </w:tcPr>
          <w:p w14:paraId="23586EA3"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12992DC6" w14:textId="77777777" w:rsidR="00C561BD" w:rsidRPr="00224C22" w:rsidRDefault="00C561BD" w:rsidP="00C561BD">
            <w:pPr>
              <w:tabs>
                <w:tab w:val="decimal" w:pos="113"/>
              </w:tabs>
              <w:spacing w:line="140" w:lineRule="exact"/>
              <w:rPr>
                <w:sz w:val="16"/>
                <w:szCs w:val="16"/>
              </w:rPr>
            </w:pPr>
          </w:p>
        </w:tc>
        <w:tc>
          <w:tcPr>
            <w:tcW w:w="113" w:type="dxa"/>
            <w:vAlign w:val="bottom"/>
          </w:tcPr>
          <w:p w14:paraId="197DAE25"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58E712D" w14:textId="77777777" w:rsidR="00C561BD" w:rsidRPr="00224C22" w:rsidRDefault="00C561BD" w:rsidP="00C561BD">
            <w:pPr>
              <w:tabs>
                <w:tab w:val="decimal" w:pos="113"/>
              </w:tabs>
              <w:spacing w:line="140" w:lineRule="exact"/>
              <w:rPr>
                <w:sz w:val="16"/>
                <w:szCs w:val="16"/>
              </w:rPr>
            </w:pPr>
          </w:p>
        </w:tc>
        <w:tc>
          <w:tcPr>
            <w:tcW w:w="113" w:type="dxa"/>
            <w:vAlign w:val="bottom"/>
          </w:tcPr>
          <w:p w14:paraId="44987382"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79429DB"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A16720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4A223F1A"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EDBB552"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6DC7BB5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26AED6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B23029A"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0927BAE5"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4399ADD" w14:textId="77777777" w:rsidR="00C561BD" w:rsidRPr="00224C22" w:rsidRDefault="00C561BD" w:rsidP="00C561BD">
            <w:pPr>
              <w:tabs>
                <w:tab w:val="decimal" w:pos="113"/>
              </w:tabs>
              <w:spacing w:line="140" w:lineRule="exact"/>
              <w:rPr>
                <w:sz w:val="16"/>
                <w:szCs w:val="16"/>
              </w:rPr>
            </w:pPr>
          </w:p>
        </w:tc>
        <w:tc>
          <w:tcPr>
            <w:tcW w:w="113" w:type="dxa"/>
            <w:vAlign w:val="bottom"/>
          </w:tcPr>
          <w:p w14:paraId="40F6E88D"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5B444203" w14:textId="77777777" w:rsidR="00C561BD" w:rsidRPr="00224C22" w:rsidRDefault="00C561BD" w:rsidP="00C561BD">
            <w:pPr>
              <w:tabs>
                <w:tab w:val="decimal" w:pos="113"/>
              </w:tabs>
              <w:spacing w:line="140" w:lineRule="exact"/>
              <w:rPr>
                <w:sz w:val="16"/>
                <w:szCs w:val="16"/>
              </w:rPr>
            </w:pPr>
          </w:p>
        </w:tc>
        <w:tc>
          <w:tcPr>
            <w:tcW w:w="113" w:type="dxa"/>
            <w:vAlign w:val="bottom"/>
          </w:tcPr>
          <w:p w14:paraId="64A5504B"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50639F8" w14:textId="77777777" w:rsidR="00C561BD" w:rsidRPr="00224C22" w:rsidRDefault="00C561BD" w:rsidP="00C561BD">
            <w:pPr>
              <w:tabs>
                <w:tab w:val="decimal" w:pos="113"/>
              </w:tabs>
              <w:spacing w:line="140" w:lineRule="exact"/>
              <w:rPr>
                <w:sz w:val="16"/>
                <w:szCs w:val="16"/>
              </w:rPr>
            </w:pPr>
          </w:p>
        </w:tc>
        <w:tc>
          <w:tcPr>
            <w:tcW w:w="113" w:type="dxa"/>
          </w:tcPr>
          <w:p w14:paraId="4AEAA813"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273EB799" w14:textId="77777777" w:rsidR="00C561BD" w:rsidRPr="00224C22" w:rsidRDefault="00C561BD" w:rsidP="00C561BD">
            <w:pPr>
              <w:tabs>
                <w:tab w:val="decimal" w:pos="113"/>
              </w:tabs>
              <w:spacing w:line="140" w:lineRule="exact"/>
              <w:rPr>
                <w:sz w:val="16"/>
                <w:szCs w:val="16"/>
              </w:rPr>
            </w:pPr>
          </w:p>
        </w:tc>
      </w:tr>
      <w:tr w:rsidR="00CF57B7" w:rsidRPr="00224C22" w14:paraId="01B31480" w14:textId="77777777" w:rsidTr="00A7568E">
        <w:tc>
          <w:tcPr>
            <w:tcW w:w="972" w:type="dxa"/>
            <w:vAlign w:val="center"/>
          </w:tcPr>
          <w:p w14:paraId="682812A5" w14:textId="77777777" w:rsidR="00C561BD" w:rsidRPr="00224C22" w:rsidRDefault="00C561BD" w:rsidP="00C561BD">
            <w:pPr>
              <w:bidi w:val="0"/>
              <w:spacing w:line="140" w:lineRule="exact"/>
              <w:ind w:left="227" w:right="110" w:hanging="170"/>
              <w:jc w:val="right"/>
              <w:rPr>
                <w:i/>
                <w:iCs/>
                <w:sz w:val="12"/>
                <w:szCs w:val="12"/>
                <w:rtl/>
              </w:rPr>
            </w:pPr>
          </w:p>
        </w:tc>
        <w:tc>
          <w:tcPr>
            <w:tcW w:w="2682" w:type="dxa"/>
            <w:vAlign w:val="bottom"/>
          </w:tcPr>
          <w:p w14:paraId="646028CB"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המרת אגרות חוב להמרה במניות</w:t>
            </w:r>
          </w:p>
        </w:tc>
        <w:tc>
          <w:tcPr>
            <w:tcW w:w="113" w:type="dxa"/>
            <w:vAlign w:val="bottom"/>
          </w:tcPr>
          <w:p w14:paraId="5809E051"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0DEF64D6"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33FC1E50"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6A23C238"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78DED268"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73AC77C" w14:textId="77777777" w:rsidR="00C561BD" w:rsidRPr="00224C22" w:rsidRDefault="00C561BD" w:rsidP="00C561BD">
            <w:pPr>
              <w:tabs>
                <w:tab w:val="decimal" w:pos="113"/>
              </w:tabs>
              <w:spacing w:line="140" w:lineRule="exact"/>
              <w:rPr>
                <w:sz w:val="16"/>
                <w:szCs w:val="16"/>
              </w:rPr>
            </w:pPr>
          </w:p>
        </w:tc>
        <w:tc>
          <w:tcPr>
            <w:tcW w:w="113" w:type="dxa"/>
          </w:tcPr>
          <w:p w14:paraId="4503A282"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377E337D" w14:textId="77777777" w:rsidR="00C561BD" w:rsidRPr="00224C22" w:rsidRDefault="00C561BD" w:rsidP="00C561BD">
            <w:pPr>
              <w:tabs>
                <w:tab w:val="decimal" w:pos="113"/>
              </w:tabs>
              <w:spacing w:line="140" w:lineRule="exact"/>
              <w:rPr>
                <w:sz w:val="16"/>
                <w:szCs w:val="16"/>
              </w:rPr>
            </w:pPr>
          </w:p>
        </w:tc>
        <w:tc>
          <w:tcPr>
            <w:tcW w:w="113" w:type="dxa"/>
          </w:tcPr>
          <w:p w14:paraId="7F8A093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6D9075C5" w14:textId="77777777" w:rsidR="00C561BD" w:rsidRPr="00224C22" w:rsidRDefault="00C561BD" w:rsidP="00C561BD">
            <w:pPr>
              <w:tabs>
                <w:tab w:val="decimal" w:pos="113"/>
              </w:tabs>
              <w:spacing w:line="140" w:lineRule="exact"/>
              <w:rPr>
                <w:sz w:val="16"/>
                <w:szCs w:val="16"/>
              </w:rPr>
            </w:pPr>
          </w:p>
        </w:tc>
        <w:tc>
          <w:tcPr>
            <w:tcW w:w="113" w:type="dxa"/>
            <w:vAlign w:val="bottom"/>
          </w:tcPr>
          <w:p w14:paraId="5A02EAE5"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3CFA356C" w14:textId="77777777" w:rsidR="00C561BD" w:rsidRPr="00224C22" w:rsidRDefault="00C561BD" w:rsidP="00C561BD">
            <w:pPr>
              <w:tabs>
                <w:tab w:val="decimal" w:pos="113"/>
              </w:tabs>
              <w:spacing w:line="140" w:lineRule="exact"/>
              <w:rPr>
                <w:sz w:val="16"/>
                <w:szCs w:val="16"/>
              </w:rPr>
            </w:pPr>
          </w:p>
        </w:tc>
        <w:tc>
          <w:tcPr>
            <w:tcW w:w="113" w:type="dxa"/>
            <w:vAlign w:val="bottom"/>
          </w:tcPr>
          <w:p w14:paraId="65E04F17"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694723E8" w14:textId="77777777" w:rsidR="00C561BD" w:rsidRPr="00224C22" w:rsidRDefault="00C561BD" w:rsidP="00C561BD">
            <w:pPr>
              <w:tabs>
                <w:tab w:val="decimal" w:pos="113"/>
              </w:tabs>
              <w:spacing w:line="140" w:lineRule="exact"/>
              <w:rPr>
                <w:sz w:val="16"/>
                <w:szCs w:val="16"/>
              </w:rPr>
            </w:pPr>
          </w:p>
        </w:tc>
        <w:tc>
          <w:tcPr>
            <w:tcW w:w="113" w:type="dxa"/>
            <w:vAlign w:val="bottom"/>
          </w:tcPr>
          <w:p w14:paraId="6939737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C0F838E" w14:textId="77777777" w:rsidR="00C561BD" w:rsidRPr="00224C22" w:rsidRDefault="00C561BD" w:rsidP="00C561BD">
            <w:pPr>
              <w:tabs>
                <w:tab w:val="decimal" w:pos="113"/>
              </w:tabs>
              <w:spacing w:line="140" w:lineRule="exact"/>
              <w:rPr>
                <w:sz w:val="16"/>
                <w:szCs w:val="16"/>
              </w:rPr>
            </w:pPr>
          </w:p>
        </w:tc>
        <w:tc>
          <w:tcPr>
            <w:tcW w:w="113" w:type="dxa"/>
            <w:vAlign w:val="bottom"/>
          </w:tcPr>
          <w:p w14:paraId="5A36CAEE"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0313FF54"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136FE73"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5CC5FD1"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C849DD5"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76A7C419"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D1AFD7A"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F7AF7A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B7C9732"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5C1097F" w14:textId="77777777" w:rsidR="00C561BD" w:rsidRPr="00224C22" w:rsidRDefault="00C561BD" w:rsidP="00C561BD">
            <w:pPr>
              <w:tabs>
                <w:tab w:val="decimal" w:pos="113"/>
              </w:tabs>
              <w:spacing w:line="140" w:lineRule="exact"/>
              <w:rPr>
                <w:sz w:val="16"/>
                <w:szCs w:val="16"/>
              </w:rPr>
            </w:pPr>
          </w:p>
        </w:tc>
        <w:tc>
          <w:tcPr>
            <w:tcW w:w="113" w:type="dxa"/>
            <w:vAlign w:val="bottom"/>
          </w:tcPr>
          <w:p w14:paraId="299606AF"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7B8B2E3A" w14:textId="77777777" w:rsidR="00C561BD" w:rsidRPr="00224C22" w:rsidRDefault="00C561BD" w:rsidP="00C561BD">
            <w:pPr>
              <w:tabs>
                <w:tab w:val="decimal" w:pos="113"/>
              </w:tabs>
              <w:spacing w:line="140" w:lineRule="exact"/>
              <w:rPr>
                <w:sz w:val="16"/>
                <w:szCs w:val="16"/>
              </w:rPr>
            </w:pPr>
          </w:p>
        </w:tc>
        <w:tc>
          <w:tcPr>
            <w:tcW w:w="113" w:type="dxa"/>
            <w:vAlign w:val="bottom"/>
          </w:tcPr>
          <w:p w14:paraId="2579724A"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F22473E" w14:textId="77777777" w:rsidR="00C561BD" w:rsidRPr="00224C22" w:rsidRDefault="00C561BD" w:rsidP="00C561BD">
            <w:pPr>
              <w:tabs>
                <w:tab w:val="decimal" w:pos="113"/>
              </w:tabs>
              <w:spacing w:line="140" w:lineRule="exact"/>
              <w:rPr>
                <w:sz w:val="16"/>
                <w:szCs w:val="16"/>
              </w:rPr>
            </w:pPr>
          </w:p>
        </w:tc>
        <w:tc>
          <w:tcPr>
            <w:tcW w:w="113" w:type="dxa"/>
          </w:tcPr>
          <w:p w14:paraId="2113DE81"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124BD18F" w14:textId="77777777" w:rsidR="00C561BD" w:rsidRPr="00224C22" w:rsidRDefault="00C561BD" w:rsidP="00C561BD">
            <w:pPr>
              <w:tabs>
                <w:tab w:val="decimal" w:pos="113"/>
              </w:tabs>
              <w:spacing w:line="140" w:lineRule="exact"/>
              <w:rPr>
                <w:sz w:val="16"/>
                <w:szCs w:val="16"/>
              </w:rPr>
            </w:pPr>
          </w:p>
        </w:tc>
      </w:tr>
      <w:tr w:rsidR="00CF57B7" w:rsidRPr="00224C22" w14:paraId="61428521" w14:textId="77777777" w:rsidTr="00A7568E">
        <w:tc>
          <w:tcPr>
            <w:tcW w:w="972" w:type="dxa"/>
            <w:tcBorders>
              <w:bottom w:val="single" w:sz="4" w:space="0" w:color="auto"/>
              <w:right w:val="single" w:sz="4" w:space="0" w:color="auto"/>
            </w:tcBorders>
            <w:vAlign w:val="center"/>
          </w:tcPr>
          <w:p w14:paraId="4E2612CB" w14:textId="77777777" w:rsidR="00C561BD" w:rsidRPr="00224C22" w:rsidRDefault="00C561BD" w:rsidP="00C561BD">
            <w:pPr>
              <w:bidi w:val="0"/>
              <w:spacing w:line="140" w:lineRule="exact"/>
              <w:ind w:left="227" w:right="110" w:hanging="170"/>
              <w:jc w:val="right"/>
              <w:rPr>
                <w:i/>
                <w:iCs/>
                <w:sz w:val="12"/>
                <w:szCs w:val="12"/>
                <w:rtl/>
              </w:rPr>
            </w:pPr>
            <w:r w:rsidRPr="00224C22">
              <w:rPr>
                <w:i/>
                <w:iCs/>
                <w:sz w:val="12"/>
                <w:szCs w:val="12"/>
              </w:rPr>
              <w:t>IAS 1.106(d)(iii)</w:t>
            </w:r>
          </w:p>
        </w:tc>
        <w:tc>
          <w:tcPr>
            <w:tcW w:w="2682" w:type="dxa"/>
            <w:tcBorders>
              <w:left w:val="single" w:sz="4" w:space="0" w:color="auto"/>
            </w:tcBorders>
            <w:vAlign w:val="bottom"/>
          </w:tcPr>
          <w:p w14:paraId="25ABDA9B"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מימוש כתבי אופציה והמרת אגרות חוב להמרה בחברה מאוחדת</w:t>
            </w:r>
          </w:p>
        </w:tc>
        <w:tc>
          <w:tcPr>
            <w:tcW w:w="113" w:type="dxa"/>
            <w:vAlign w:val="bottom"/>
          </w:tcPr>
          <w:p w14:paraId="4CEE2328"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66C78DDF"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109A83C6"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12BDFBA7"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1D6BFC6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2BEC0E0" w14:textId="77777777" w:rsidR="00C561BD" w:rsidRPr="00224C22" w:rsidRDefault="00C561BD" w:rsidP="00C561BD">
            <w:pPr>
              <w:tabs>
                <w:tab w:val="decimal" w:pos="113"/>
              </w:tabs>
              <w:spacing w:line="140" w:lineRule="exact"/>
              <w:rPr>
                <w:sz w:val="16"/>
                <w:szCs w:val="16"/>
              </w:rPr>
            </w:pPr>
          </w:p>
        </w:tc>
        <w:tc>
          <w:tcPr>
            <w:tcW w:w="113" w:type="dxa"/>
          </w:tcPr>
          <w:p w14:paraId="7AFA39D2"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6C89356E" w14:textId="77777777" w:rsidR="00C561BD" w:rsidRPr="00224C22" w:rsidRDefault="00C561BD" w:rsidP="00C561BD">
            <w:pPr>
              <w:tabs>
                <w:tab w:val="decimal" w:pos="113"/>
              </w:tabs>
              <w:spacing w:line="140" w:lineRule="exact"/>
              <w:rPr>
                <w:sz w:val="16"/>
                <w:szCs w:val="16"/>
              </w:rPr>
            </w:pPr>
          </w:p>
        </w:tc>
        <w:tc>
          <w:tcPr>
            <w:tcW w:w="113" w:type="dxa"/>
          </w:tcPr>
          <w:p w14:paraId="66D3BECF"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644C0328" w14:textId="77777777" w:rsidR="00C561BD" w:rsidRPr="00224C22" w:rsidRDefault="00C561BD" w:rsidP="00C561BD">
            <w:pPr>
              <w:tabs>
                <w:tab w:val="decimal" w:pos="113"/>
              </w:tabs>
              <w:spacing w:line="140" w:lineRule="exact"/>
              <w:rPr>
                <w:sz w:val="16"/>
                <w:szCs w:val="16"/>
              </w:rPr>
            </w:pPr>
          </w:p>
        </w:tc>
        <w:tc>
          <w:tcPr>
            <w:tcW w:w="113" w:type="dxa"/>
            <w:vAlign w:val="bottom"/>
          </w:tcPr>
          <w:p w14:paraId="53220E51"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5C8C0BC5" w14:textId="77777777" w:rsidR="00C561BD" w:rsidRPr="00224C22" w:rsidRDefault="00C561BD" w:rsidP="00C561BD">
            <w:pPr>
              <w:tabs>
                <w:tab w:val="decimal" w:pos="113"/>
              </w:tabs>
              <w:spacing w:line="140" w:lineRule="exact"/>
              <w:rPr>
                <w:sz w:val="16"/>
                <w:szCs w:val="16"/>
              </w:rPr>
            </w:pPr>
          </w:p>
        </w:tc>
        <w:tc>
          <w:tcPr>
            <w:tcW w:w="113" w:type="dxa"/>
            <w:vAlign w:val="bottom"/>
          </w:tcPr>
          <w:p w14:paraId="03AC7650"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0A438434" w14:textId="77777777" w:rsidR="00C561BD" w:rsidRPr="00224C22" w:rsidRDefault="00C561BD" w:rsidP="00C561BD">
            <w:pPr>
              <w:tabs>
                <w:tab w:val="decimal" w:pos="113"/>
              </w:tabs>
              <w:spacing w:line="140" w:lineRule="exact"/>
              <w:rPr>
                <w:sz w:val="16"/>
                <w:szCs w:val="16"/>
              </w:rPr>
            </w:pPr>
          </w:p>
        </w:tc>
        <w:tc>
          <w:tcPr>
            <w:tcW w:w="113" w:type="dxa"/>
            <w:vAlign w:val="bottom"/>
          </w:tcPr>
          <w:p w14:paraId="5B3367A6"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E1C4450" w14:textId="77777777" w:rsidR="00C561BD" w:rsidRPr="00224C22" w:rsidRDefault="00C561BD" w:rsidP="00C561BD">
            <w:pPr>
              <w:tabs>
                <w:tab w:val="decimal" w:pos="113"/>
              </w:tabs>
              <w:spacing w:line="140" w:lineRule="exact"/>
              <w:rPr>
                <w:sz w:val="16"/>
                <w:szCs w:val="16"/>
              </w:rPr>
            </w:pPr>
          </w:p>
        </w:tc>
        <w:tc>
          <w:tcPr>
            <w:tcW w:w="113" w:type="dxa"/>
            <w:vAlign w:val="bottom"/>
          </w:tcPr>
          <w:p w14:paraId="7D75984F"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3611A71"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F4031BF"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3CC15E4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14AA73A"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07FE4952"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14F7BD2"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14E0780"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98275AB"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CE8F57E" w14:textId="77777777" w:rsidR="00C561BD" w:rsidRPr="00224C22" w:rsidRDefault="00C561BD" w:rsidP="00C561BD">
            <w:pPr>
              <w:tabs>
                <w:tab w:val="decimal" w:pos="113"/>
              </w:tabs>
              <w:spacing w:line="140" w:lineRule="exact"/>
              <w:rPr>
                <w:sz w:val="16"/>
                <w:szCs w:val="16"/>
              </w:rPr>
            </w:pPr>
          </w:p>
        </w:tc>
        <w:tc>
          <w:tcPr>
            <w:tcW w:w="113" w:type="dxa"/>
            <w:vAlign w:val="bottom"/>
          </w:tcPr>
          <w:p w14:paraId="001EAA7C"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337F0401" w14:textId="77777777" w:rsidR="00C561BD" w:rsidRPr="00224C22" w:rsidRDefault="00C561BD" w:rsidP="00C561BD">
            <w:pPr>
              <w:tabs>
                <w:tab w:val="decimal" w:pos="113"/>
              </w:tabs>
              <w:spacing w:line="140" w:lineRule="exact"/>
              <w:rPr>
                <w:sz w:val="16"/>
                <w:szCs w:val="16"/>
              </w:rPr>
            </w:pPr>
          </w:p>
        </w:tc>
        <w:tc>
          <w:tcPr>
            <w:tcW w:w="113" w:type="dxa"/>
            <w:vAlign w:val="bottom"/>
          </w:tcPr>
          <w:p w14:paraId="2AC9739B"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D64CFFD" w14:textId="77777777" w:rsidR="00C561BD" w:rsidRPr="00224C22" w:rsidRDefault="00C561BD" w:rsidP="00C561BD">
            <w:pPr>
              <w:tabs>
                <w:tab w:val="decimal" w:pos="113"/>
              </w:tabs>
              <w:spacing w:line="140" w:lineRule="exact"/>
              <w:rPr>
                <w:sz w:val="16"/>
                <w:szCs w:val="16"/>
              </w:rPr>
            </w:pPr>
          </w:p>
        </w:tc>
        <w:tc>
          <w:tcPr>
            <w:tcW w:w="113" w:type="dxa"/>
          </w:tcPr>
          <w:p w14:paraId="6F8BC5BE"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602E0A00" w14:textId="77777777" w:rsidR="00C561BD" w:rsidRPr="00224C22" w:rsidRDefault="00C561BD" w:rsidP="00C561BD">
            <w:pPr>
              <w:tabs>
                <w:tab w:val="decimal" w:pos="113"/>
              </w:tabs>
              <w:spacing w:line="140" w:lineRule="exact"/>
              <w:rPr>
                <w:sz w:val="16"/>
                <w:szCs w:val="16"/>
              </w:rPr>
            </w:pPr>
          </w:p>
        </w:tc>
      </w:tr>
      <w:tr w:rsidR="00CF57B7" w:rsidRPr="00224C22" w14:paraId="7BEE966F" w14:textId="77777777" w:rsidTr="00A7568E">
        <w:tc>
          <w:tcPr>
            <w:tcW w:w="972" w:type="dxa"/>
            <w:tcBorders>
              <w:top w:val="single" w:sz="4" w:space="0" w:color="auto"/>
              <w:bottom w:val="single" w:sz="4" w:space="0" w:color="auto"/>
              <w:right w:val="single" w:sz="4" w:space="0" w:color="auto"/>
            </w:tcBorders>
            <w:vAlign w:val="center"/>
          </w:tcPr>
          <w:p w14:paraId="4FFA28BE" w14:textId="77777777" w:rsidR="00C561BD" w:rsidRPr="00224C22" w:rsidRDefault="00C561BD" w:rsidP="00C561BD">
            <w:pPr>
              <w:bidi w:val="0"/>
              <w:spacing w:line="140" w:lineRule="exact"/>
              <w:ind w:left="227" w:right="110" w:hanging="170"/>
              <w:jc w:val="right"/>
              <w:rPr>
                <w:i/>
                <w:iCs/>
                <w:sz w:val="12"/>
                <w:szCs w:val="12"/>
                <w:rtl/>
              </w:rPr>
            </w:pPr>
            <w:r w:rsidRPr="00224C22">
              <w:rPr>
                <w:i/>
                <w:iCs/>
                <w:sz w:val="12"/>
                <w:szCs w:val="12"/>
              </w:rPr>
              <w:t>IAS 1.106(d)(iii); IFRS 2.50</w:t>
            </w:r>
          </w:p>
        </w:tc>
        <w:tc>
          <w:tcPr>
            <w:tcW w:w="2682" w:type="dxa"/>
            <w:tcBorders>
              <w:left w:val="single" w:sz="4" w:space="0" w:color="auto"/>
            </w:tcBorders>
            <w:vAlign w:val="bottom"/>
          </w:tcPr>
          <w:p w14:paraId="4AF9CE20"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עלות תשלום מבוסס מניות</w:t>
            </w:r>
          </w:p>
        </w:tc>
        <w:tc>
          <w:tcPr>
            <w:tcW w:w="113" w:type="dxa"/>
            <w:vAlign w:val="bottom"/>
          </w:tcPr>
          <w:p w14:paraId="6C6577F1"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0BB73BFC"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0F84E786"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78B2C343"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7CF9DB65"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862ADDA" w14:textId="77777777" w:rsidR="00C561BD" w:rsidRPr="00224C22" w:rsidRDefault="00C561BD" w:rsidP="00C561BD">
            <w:pPr>
              <w:tabs>
                <w:tab w:val="decimal" w:pos="113"/>
              </w:tabs>
              <w:spacing w:line="140" w:lineRule="exact"/>
              <w:rPr>
                <w:sz w:val="16"/>
                <w:szCs w:val="16"/>
              </w:rPr>
            </w:pPr>
          </w:p>
        </w:tc>
        <w:tc>
          <w:tcPr>
            <w:tcW w:w="113" w:type="dxa"/>
          </w:tcPr>
          <w:p w14:paraId="1CB436ED"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8ABD473" w14:textId="77777777" w:rsidR="00C561BD" w:rsidRPr="00224C22" w:rsidRDefault="00C561BD" w:rsidP="00C561BD">
            <w:pPr>
              <w:tabs>
                <w:tab w:val="decimal" w:pos="113"/>
              </w:tabs>
              <w:spacing w:line="140" w:lineRule="exact"/>
              <w:rPr>
                <w:sz w:val="16"/>
                <w:szCs w:val="16"/>
              </w:rPr>
            </w:pPr>
          </w:p>
        </w:tc>
        <w:tc>
          <w:tcPr>
            <w:tcW w:w="113" w:type="dxa"/>
          </w:tcPr>
          <w:p w14:paraId="03021C05"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02F98FF0" w14:textId="77777777" w:rsidR="00C561BD" w:rsidRPr="00224C22" w:rsidRDefault="00C561BD" w:rsidP="00C561BD">
            <w:pPr>
              <w:tabs>
                <w:tab w:val="decimal" w:pos="113"/>
              </w:tabs>
              <w:spacing w:line="140" w:lineRule="exact"/>
              <w:rPr>
                <w:sz w:val="16"/>
                <w:szCs w:val="16"/>
              </w:rPr>
            </w:pPr>
          </w:p>
        </w:tc>
        <w:tc>
          <w:tcPr>
            <w:tcW w:w="113" w:type="dxa"/>
            <w:vAlign w:val="bottom"/>
          </w:tcPr>
          <w:p w14:paraId="3B138C6F"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77FF492B" w14:textId="77777777" w:rsidR="00C561BD" w:rsidRPr="00224C22" w:rsidRDefault="00C561BD" w:rsidP="00C561BD">
            <w:pPr>
              <w:tabs>
                <w:tab w:val="decimal" w:pos="113"/>
              </w:tabs>
              <w:spacing w:line="140" w:lineRule="exact"/>
              <w:rPr>
                <w:sz w:val="16"/>
                <w:szCs w:val="16"/>
              </w:rPr>
            </w:pPr>
          </w:p>
        </w:tc>
        <w:tc>
          <w:tcPr>
            <w:tcW w:w="113" w:type="dxa"/>
            <w:vAlign w:val="bottom"/>
          </w:tcPr>
          <w:p w14:paraId="17A700CB"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7CD61D1F" w14:textId="77777777" w:rsidR="00C561BD" w:rsidRPr="00224C22" w:rsidRDefault="00C561BD" w:rsidP="00C561BD">
            <w:pPr>
              <w:tabs>
                <w:tab w:val="decimal" w:pos="113"/>
              </w:tabs>
              <w:spacing w:line="140" w:lineRule="exact"/>
              <w:rPr>
                <w:sz w:val="16"/>
                <w:szCs w:val="16"/>
              </w:rPr>
            </w:pPr>
          </w:p>
        </w:tc>
        <w:tc>
          <w:tcPr>
            <w:tcW w:w="113" w:type="dxa"/>
            <w:vAlign w:val="bottom"/>
          </w:tcPr>
          <w:p w14:paraId="3D282300"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7D390D7" w14:textId="77777777" w:rsidR="00C561BD" w:rsidRPr="00224C22" w:rsidRDefault="00C561BD" w:rsidP="00C561BD">
            <w:pPr>
              <w:tabs>
                <w:tab w:val="decimal" w:pos="113"/>
              </w:tabs>
              <w:spacing w:line="140" w:lineRule="exact"/>
              <w:rPr>
                <w:sz w:val="16"/>
                <w:szCs w:val="16"/>
              </w:rPr>
            </w:pPr>
          </w:p>
        </w:tc>
        <w:tc>
          <w:tcPr>
            <w:tcW w:w="113" w:type="dxa"/>
            <w:vAlign w:val="bottom"/>
          </w:tcPr>
          <w:p w14:paraId="1A6859C8"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304900AF"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BAC07C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1B40F3A"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3B8F01F"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8E0BD1D"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0C3D1EF"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35993D9"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E898D07"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DF40AEE" w14:textId="77777777" w:rsidR="00C561BD" w:rsidRPr="00224C22" w:rsidRDefault="00C561BD" w:rsidP="00C561BD">
            <w:pPr>
              <w:tabs>
                <w:tab w:val="decimal" w:pos="113"/>
              </w:tabs>
              <w:spacing w:line="140" w:lineRule="exact"/>
              <w:rPr>
                <w:sz w:val="16"/>
                <w:szCs w:val="16"/>
              </w:rPr>
            </w:pPr>
          </w:p>
        </w:tc>
        <w:tc>
          <w:tcPr>
            <w:tcW w:w="113" w:type="dxa"/>
            <w:vAlign w:val="bottom"/>
          </w:tcPr>
          <w:p w14:paraId="36540795"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50B39EAB" w14:textId="77777777" w:rsidR="00C561BD" w:rsidRPr="00224C22" w:rsidRDefault="00C561BD" w:rsidP="00C561BD">
            <w:pPr>
              <w:tabs>
                <w:tab w:val="decimal" w:pos="113"/>
              </w:tabs>
              <w:spacing w:line="140" w:lineRule="exact"/>
              <w:rPr>
                <w:sz w:val="16"/>
                <w:szCs w:val="16"/>
              </w:rPr>
            </w:pPr>
          </w:p>
        </w:tc>
        <w:tc>
          <w:tcPr>
            <w:tcW w:w="113" w:type="dxa"/>
            <w:vAlign w:val="bottom"/>
          </w:tcPr>
          <w:p w14:paraId="15DAE129"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8FCAFF9" w14:textId="77777777" w:rsidR="00C561BD" w:rsidRPr="00224C22" w:rsidRDefault="00C561BD" w:rsidP="00C561BD">
            <w:pPr>
              <w:tabs>
                <w:tab w:val="decimal" w:pos="113"/>
              </w:tabs>
              <w:spacing w:line="140" w:lineRule="exact"/>
              <w:rPr>
                <w:sz w:val="16"/>
                <w:szCs w:val="16"/>
              </w:rPr>
            </w:pPr>
          </w:p>
        </w:tc>
        <w:tc>
          <w:tcPr>
            <w:tcW w:w="113" w:type="dxa"/>
          </w:tcPr>
          <w:p w14:paraId="60F7A145"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16F2CEA7" w14:textId="77777777" w:rsidR="00C561BD" w:rsidRPr="00224C22" w:rsidRDefault="00C561BD" w:rsidP="00C561BD">
            <w:pPr>
              <w:tabs>
                <w:tab w:val="decimal" w:pos="113"/>
              </w:tabs>
              <w:spacing w:line="140" w:lineRule="exact"/>
              <w:rPr>
                <w:sz w:val="16"/>
                <w:szCs w:val="16"/>
              </w:rPr>
            </w:pPr>
          </w:p>
        </w:tc>
      </w:tr>
      <w:tr w:rsidR="00CF57B7" w:rsidRPr="00224C22" w14:paraId="7F9CC019" w14:textId="77777777" w:rsidTr="00A7568E">
        <w:tc>
          <w:tcPr>
            <w:tcW w:w="972" w:type="dxa"/>
            <w:tcBorders>
              <w:top w:val="single" w:sz="4" w:space="0" w:color="auto"/>
            </w:tcBorders>
            <w:vAlign w:val="center"/>
          </w:tcPr>
          <w:p w14:paraId="0B0E2241" w14:textId="77777777" w:rsidR="00C561BD" w:rsidRPr="00224C22" w:rsidRDefault="00C561BD" w:rsidP="00C561BD">
            <w:pPr>
              <w:bidi w:val="0"/>
              <w:spacing w:line="140" w:lineRule="exact"/>
              <w:ind w:left="227" w:right="110" w:hanging="170"/>
              <w:jc w:val="right"/>
              <w:rPr>
                <w:i/>
                <w:iCs/>
                <w:sz w:val="12"/>
                <w:szCs w:val="12"/>
                <w:rtl/>
              </w:rPr>
            </w:pPr>
          </w:p>
        </w:tc>
        <w:tc>
          <w:tcPr>
            <w:tcW w:w="2682" w:type="dxa"/>
            <w:vAlign w:val="bottom"/>
          </w:tcPr>
          <w:p w14:paraId="3844C9E4"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השפעת המס בגין עסקאות תשלום מבוסס מניות</w:t>
            </w:r>
          </w:p>
        </w:tc>
        <w:tc>
          <w:tcPr>
            <w:tcW w:w="113" w:type="dxa"/>
            <w:vAlign w:val="bottom"/>
          </w:tcPr>
          <w:p w14:paraId="42020519"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628A5EAE"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715F27CD"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6A86E792"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546EAED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5376AE4" w14:textId="77777777" w:rsidR="00C561BD" w:rsidRPr="00224C22" w:rsidRDefault="00C561BD" w:rsidP="00C561BD">
            <w:pPr>
              <w:tabs>
                <w:tab w:val="decimal" w:pos="113"/>
              </w:tabs>
              <w:spacing w:line="140" w:lineRule="exact"/>
              <w:rPr>
                <w:sz w:val="16"/>
                <w:szCs w:val="16"/>
              </w:rPr>
            </w:pPr>
          </w:p>
        </w:tc>
        <w:tc>
          <w:tcPr>
            <w:tcW w:w="113" w:type="dxa"/>
          </w:tcPr>
          <w:p w14:paraId="2A0C8A6A"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3E26D954" w14:textId="77777777" w:rsidR="00C561BD" w:rsidRPr="00224C22" w:rsidRDefault="00C561BD" w:rsidP="00C561BD">
            <w:pPr>
              <w:tabs>
                <w:tab w:val="decimal" w:pos="113"/>
              </w:tabs>
              <w:spacing w:line="140" w:lineRule="exact"/>
              <w:rPr>
                <w:sz w:val="16"/>
                <w:szCs w:val="16"/>
              </w:rPr>
            </w:pPr>
          </w:p>
        </w:tc>
        <w:tc>
          <w:tcPr>
            <w:tcW w:w="113" w:type="dxa"/>
          </w:tcPr>
          <w:p w14:paraId="736C36AA"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197A1F15" w14:textId="77777777" w:rsidR="00C561BD" w:rsidRPr="00224C22" w:rsidRDefault="00C561BD" w:rsidP="00C561BD">
            <w:pPr>
              <w:tabs>
                <w:tab w:val="decimal" w:pos="113"/>
              </w:tabs>
              <w:spacing w:line="140" w:lineRule="exact"/>
              <w:rPr>
                <w:sz w:val="16"/>
                <w:szCs w:val="16"/>
              </w:rPr>
            </w:pPr>
          </w:p>
        </w:tc>
        <w:tc>
          <w:tcPr>
            <w:tcW w:w="113" w:type="dxa"/>
            <w:vAlign w:val="bottom"/>
          </w:tcPr>
          <w:p w14:paraId="7D071DE6"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15130661" w14:textId="77777777" w:rsidR="00C561BD" w:rsidRPr="00224C22" w:rsidRDefault="00C561BD" w:rsidP="00C561BD">
            <w:pPr>
              <w:tabs>
                <w:tab w:val="decimal" w:pos="113"/>
              </w:tabs>
              <w:spacing w:line="140" w:lineRule="exact"/>
              <w:rPr>
                <w:sz w:val="16"/>
                <w:szCs w:val="16"/>
              </w:rPr>
            </w:pPr>
          </w:p>
        </w:tc>
        <w:tc>
          <w:tcPr>
            <w:tcW w:w="113" w:type="dxa"/>
            <w:vAlign w:val="bottom"/>
          </w:tcPr>
          <w:p w14:paraId="15E87A9A"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12B424BD" w14:textId="77777777" w:rsidR="00C561BD" w:rsidRPr="00224C22" w:rsidRDefault="00C561BD" w:rsidP="00C561BD">
            <w:pPr>
              <w:tabs>
                <w:tab w:val="decimal" w:pos="113"/>
              </w:tabs>
              <w:spacing w:line="140" w:lineRule="exact"/>
              <w:rPr>
                <w:sz w:val="16"/>
                <w:szCs w:val="16"/>
              </w:rPr>
            </w:pPr>
          </w:p>
        </w:tc>
        <w:tc>
          <w:tcPr>
            <w:tcW w:w="113" w:type="dxa"/>
            <w:vAlign w:val="bottom"/>
          </w:tcPr>
          <w:p w14:paraId="23F22261"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B1DB42A" w14:textId="77777777" w:rsidR="00C561BD" w:rsidRPr="00224C22" w:rsidRDefault="00C561BD" w:rsidP="00C561BD">
            <w:pPr>
              <w:tabs>
                <w:tab w:val="decimal" w:pos="113"/>
              </w:tabs>
              <w:spacing w:line="140" w:lineRule="exact"/>
              <w:rPr>
                <w:sz w:val="16"/>
                <w:szCs w:val="16"/>
              </w:rPr>
            </w:pPr>
          </w:p>
        </w:tc>
        <w:tc>
          <w:tcPr>
            <w:tcW w:w="113" w:type="dxa"/>
            <w:vAlign w:val="bottom"/>
          </w:tcPr>
          <w:p w14:paraId="5D956953"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47F68C9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87C44D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326A9B1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ECD96A7"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70196CD1"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A707A33"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80CBC22"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B9A5ABD"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B97DE32" w14:textId="77777777" w:rsidR="00C561BD" w:rsidRPr="00224C22" w:rsidRDefault="00C561BD" w:rsidP="00C561BD">
            <w:pPr>
              <w:tabs>
                <w:tab w:val="decimal" w:pos="113"/>
              </w:tabs>
              <w:spacing w:line="140" w:lineRule="exact"/>
              <w:rPr>
                <w:sz w:val="16"/>
                <w:szCs w:val="16"/>
              </w:rPr>
            </w:pPr>
          </w:p>
        </w:tc>
        <w:tc>
          <w:tcPr>
            <w:tcW w:w="113" w:type="dxa"/>
            <w:vAlign w:val="bottom"/>
          </w:tcPr>
          <w:p w14:paraId="0C3426B1"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47BD17F6" w14:textId="77777777" w:rsidR="00C561BD" w:rsidRPr="00224C22" w:rsidRDefault="00C561BD" w:rsidP="00C561BD">
            <w:pPr>
              <w:tabs>
                <w:tab w:val="decimal" w:pos="113"/>
              </w:tabs>
              <w:spacing w:line="140" w:lineRule="exact"/>
              <w:rPr>
                <w:sz w:val="16"/>
                <w:szCs w:val="16"/>
              </w:rPr>
            </w:pPr>
          </w:p>
        </w:tc>
        <w:tc>
          <w:tcPr>
            <w:tcW w:w="113" w:type="dxa"/>
            <w:vAlign w:val="bottom"/>
          </w:tcPr>
          <w:p w14:paraId="3C4D1308"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3DFEB80" w14:textId="77777777" w:rsidR="00C561BD" w:rsidRPr="00224C22" w:rsidRDefault="00C561BD" w:rsidP="00C561BD">
            <w:pPr>
              <w:tabs>
                <w:tab w:val="decimal" w:pos="113"/>
              </w:tabs>
              <w:spacing w:line="140" w:lineRule="exact"/>
              <w:rPr>
                <w:sz w:val="16"/>
                <w:szCs w:val="16"/>
              </w:rPr>
            </w:pPr>
          </w:p>
        </w:tc>
        <w:tc>
          <w:tcPr>
            <w:tcW w:w="113" w:type="dxa"/>
          </w:tcPr>
          <w:p w14:paraId="705A8648"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5BDE70DD" w14:textId="77777777" w:rsidR="00C561BD" w:rsidRPr="00224C22" w:rsidRDefault="00C561BD" w:rsidP="00C561BD">
            <w:pPr>
              <w:tabs>
                <w:tab w:val="decimal" w:pos="113"/>
              </w:tabs>
              <w:spacing w:line="140" w:lineRule="exact"/>
              <w:rPr>
                <w:sz w:val="16"/>
                <w:szCs w:val="16"/>
              </w:rPr>
            </w:pPr>
          </w:p>
        </w:tc>
      </w:tr>
      <w:tr w:rsidR="00CF57B7" w:rsidRPr="00224C22" w14:paraId="67452A43" w14:textId="77777777" w:rsidTr="00A7568E">
        <w:tc>
          <w:tcPr>
            <w:tcW w:w="972" w:type="dxa"/>
            <w:tcBorders>
              <w:bottom w:val="single" w:sz="4" w:space="0" w:color="auto"/>
              <w:right w:val="single" w:sz="4" w:space="0" w:color="auto"/>
            </w:tcBorders>
            <w:vAlign w:val="center"/>
          </w:tcPr>
          <w:p w14:paraId="3B827BEA" w14:textId="77777777" w:rsidR="00C561BD" w:rsidRPr="00224C22" w:rsidRDefault="00C561BD" w:rsidP="00C561BD">
            <w:pPr>
              <w:bidi w:val="0"/>
              <w:spacing w:line="140" w:lineRule="exact"/>
              <w:ind w:left="227" w:right="110" w:hanging="170"/>
              <w:jc w:val="right"/>
              <w:rPr>
                <w:i/>
                <w:iCs/>
                <w:sz w:val="12"/>
                <w:szCs w:val="12"/>
                <w:rtl/>
              </w:rPr>
            </w:pPr>
            <w:r w:rsidRPr="00224C22">
              <w:rPr>
                <w:i/>
                <w:iCs/>
                <w:sz w:val="12"/>
                <w:szCs w:val="12"/>
              </w:rPr>
              <w:t>IAS 1.107</w:t>
            </w:r>
          </w:p>
        </w:tc>
        <w:tc>
          <w:tcPr>
            <w:tcW w:w="2682" w:type="dxa"/>
            <w:tcBorders>
              <w:left w:val="single" w:sz="4" w:space="0" w:color="auto"/>
            </w:tcBorders>
            <w:vAlign w:val="bottom"/>
          </w:tcPr>
          <w:p w14:paraId="17D88B2A"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דיבידנד לבעלי מניות החברה</w:t>
            </w:r>
          </w:p>
        </w:tc>
        <w:tc>
          <w:tcPr>
            <w:tcW w:w="113" w:type="dxa"/>
            <w:vAlign w:val="bottom"/>
          </w:tcPr>
          <w:p w14:paraId="695F84D9"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10787AB0"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79075D18"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2A8B5389"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3E108550"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AD72009" w14:textId="77777777" w:rsidR="00C561BD" w:rsidRPr="00224C22" w:rsidRDefault="00C561BD" w:rsidP="00C561BD">
            <w:pPr>
              <w:tabs>
                <w:tab w:val="decimal" w:pos="113"/>
              </w:tabs>
              <w:spacing w:line="140" w:lineRule="exact"/>
              <w:rPr>
                <w:sz w:val="16"/>
                <w:szCs w:val="16"/>
              </w:rPr>
            </w:pPr>
          </w:p>
        </w:tc>
        <w:tc>
          <w:tcPr>
            <w:tcW w:w="113" w:type="dxa"/>
          </w:tcPr>
          <w:p w14:paraId="49F4C82B"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EAFFDBA" w14:textId="77777777" w:rsidR="00C561BD" w:rsidRPr="00224C22" w:rsidRDefault="00C561BD" w:rsidP="00C561BD">
            <w:pPr>
              <w:tabs>
                <w:tab w:val="decimal" w:pos="113"/>
              </w:tabs>
              <w:spacing w:line="140" w:lineRule="exact"/>
              <w:rPr>
                <w:sz w:val="16"/>
                <w:szCs w:val="16"/>
              </w:rPr>
            </w:pPr>
          </w:p>
        </w:tc>
        <w:tc>
          <w:tcPr>
            <w:tcW w:w="113" w:type="dxa"/>
          </w:tcPr>
          <w:p w14:paraId="50A595D2"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7B717D8A" w14:textId="77777777" w:rsidR="00C561BD" w:rsidRPr="00224C22" w:rsidRDefault="00C561BD" w:rsidP="00C561BD">
            <w:pPr>
              <w:tabs>
                <w:tab w:val="decimal" w:pos="113"/>
              </w:tabs>
              <w:spacing w:line="140" w:lineRule="exact"/>
              <w:rPr>
                <w:sz w:val="16"/>
                <w:szCs w:val="16"/>
              </w:rPr>
            </w:pPr>
          </w:p>
        </w:tc>
        <w:tc>
          <w:tcPr>
            <w:tcW w:w="113" w:type="dxa"/>
            <w:vAlign w:val="bottom"/>
          </w:tcPr>
          <w:p w14:paraId="4BEA18AF"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6EC1CDA9" w14:textId="77777777" w:rsidR="00C561BD" w:rsidRPr="00224C22" w:rsidRDefault="00C561BD" w:rsidP="00C561BD">
            <w:pPr>
              <w:tabs>
                <w:tab w:val="decimal" w:pos="113"/>
              </w:tabs>
              <w:spacing w:line="140" w:lineRule="exact"/>
              <w:rPr>
                <w:sz w:val="16"/>
                <w:szCs w:val="16"/>
              </w:rPr>
            </w:pPr>
          </w:p>
        </w:tc>
        <w:tc>
          <w:tcPr>
            <w:tcW w:w="113" w:type="dxa"/>
            <w:vAlign w:val="bottom"/>
          </w:tcPr>
          <w:p w14:paraId="1BFBAF4D"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2180EDD3" w14:textId="77777777" w:rsidR="00C561BD" w:rsidRPr="00224C22" w:rsidRDefault="00C561BD" w:rsidP="00C561BD">
            <w:pPr>
              <w:tabs>
                <w:tab w:val="decimal" w:pos="113"/>
              </w:tabs>
              <w:spacing w:line="140" w:lineRule="exact"/>
              <w:rPr>
                <w:sz w:val="16"/>
                <w:szCs w:val="16"/>
              </w:rPr>
            </w:pPr>
          </w:p>
        </w:tc>
        <w:tc>
          <w:tcPr>
            <w:tcW w:w="113" w:type="dxa"/>
            <w:vAlign w:val="bottom"/>
          </w:tcPr>
          <w:p w14:paraId="6A306AC0"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E7C434E" w14:textId="77777777" w:rsidR="00C561BD" w:rsidRPr="00224C22" w:rsidRDefault="00C561BD" w:rsidP="00C561BD">
            <w:pPr>
              <w:tabs>
                <w:tab w:val="decimal" w:pos="113"/>
              </w:tabs>
              <w:spacing w:line="140" w:lineRule="exact"/>
              <w:rPr>
                <w:sz w:val="16"/>
                <w:szCs w:val="16"/>
              </w:rPr>
            </w:pPr>
          </w:p>
        </w:tc>
        <w:tc>
          <w:tcPr>
            <w:tcW w:w="113" w:type="dxa"/>
            <w:vAlign w:val="bottom"/>
          </w:tcPr>
          <w:p w14:paraId="602EF554"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04868A3C"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871D6C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24A100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E558DB2"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6329C57F"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48A9631"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3B0B5B5"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0D37CDC7"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30DE09C9" w14:textId="77777777" w:rsidR="00C561BD" w:rsidRPr="00224C22" w:rsidRDefault="00C561BD" w:rsidP="00C561BD">
            <w:pPr>
              <w:tabs>
                <w:tab w:val="decimal" w:pos="113"/>
              </w:tabs>
              <w:spacing w:line="140" w:lineRule="exact"/>
              <w:rPr>
                <w:sz w:val="16"/>
                <w:szCs w:val="16"/>
              </w:rPr>
            </w:pPr>
          </w:p>
        </w:tc>
        <w:tc>
          <w:tcPr>
            <w:tcW w:w="113" w:type="dxa"/>
            <w:vAlign w:val="bottom"/>
          </w:tcPr>
          <w:p w14:paraId="512A2A3A"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59A2D47A" w14:textId="77777777" w:rsidR="00C561BD" w:rsidRPr="00224C22" w:rsidRDefault="00C561BD" w:rsidP="00C561BD">
            <w:pPr>
              <w:tabs>
                <w:tab w:val="decimal" w:pos="113"/>
              </w:tabs>
              <w:spacing w:line="140" w:lineRule="exact"/>
              <w:rPr>
                <w:sz w:val="16"/>
                <w:szCs w:val="16"/>
              </w:rPr>
            </w:pPr>
          </w:p>
        </w:tc>
        <w:tc>
          <w:tcPr>
            <w:tcW w:w="113" w:type="dxa"/>
            <w:vAlign w:val="bottom"/>
          </w:tcPr>
          <w:p w14:paraId="56BE2B41"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88E3BC5" w14:textId="77777777" w:rsidR="00C561BD" w:rsidRPr="00224C22" w:rsidRDefault="00C561BD" w:rsidP="00C561BD">
            <w:pPr>
              <w:tabs>
                <w:tab w:val="decimal" w:pos="113"/>
              </w:tabs>
              <w:spacing w:line="140" w:lineRule="exact"/>
              <w:rPr>
                <w:sz w:val="16"/>
                <w:szCs w:val="16"/>
              </w:rPr>
            </w:pPr>
          </w:p>
        </w:tc>
        <w:tc>
          <w:tcPr>
            <w:tcW w:w="113" w:type="dxa"/>
          </w:tcPr>
          <w:p w14:paraId="6397E8A1"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55C45030" w14:textId="77777777" w:rsidR="00C561BD" w:rsidRPr="00224C22" w:rsidRDefault="00C561BD" w:rsidP="00C561BD">
            <w:pPr>
              <w:tabs>
                <w:tab w:val="decimal" w:pos="113"/>
              </w:tabs>
              <w:spacing w:line="140" w:lineRule="exact"/>
              <w:rPr>
                <w:sz w:val="16"/>
                <w:szCs w:val="16"/>
              </w:rPr>
            </w:pPr>
          </w:p>
        </w:tc>
      </w:tr>
      <w:tr w:rsidR="00CF57B7" w:rsidRPr="00224C22" w14:paraId="1E7A92C5" w14:textId="77777777" w:rsidTr="00A7568E">
        <w:tc>
          <w:tcPr>
            <w:tcW w:w="972" w:type="dxa"/>
            <w:tcBorders>
              <w:top w:val="single" w:sz="4" w:space="0" w:color="auto"/>
            </w:tcBorders>
            <w:vAlign w:val="center"/>
          </w:tcPr>
          <w:p w14:paraId="63732A99" w14:textId="77777777" w:rsidR="00C561BD" w:rsidRPr="00224C22" w:rsidRDefault="00C561BD" w:rsidP="00C561BD">
            <w:pPr>
              <w:bidi w:val="0"/>
              <w:spacing w:line="140" w:lineRule="exact"/>
              <w:ind w:left="227" w:right="110" w:hanging="170"/>
              <w:jc w:val="right"/>
              <w:rPr>
                <w:i/>
                <w:iCs/>
                <w:sz w:val="12"/>
                <w:szCs w:val="12"/>
                <w:rtl/>
              </w:rPr>
            </w:pPr>
          </w:p>
        </w:tc>
        <w:tc>
          <w:tcPr>
            <w:tcW w:w="2682" w:type="dxa"/>
            <w:vAlign w:val="bottom"/>
          </w:tcPr>
          <w:p w14:paraId="54361CC0"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הטבה הונית מעסקה עם בעל שליטה</w:t>
            </w:r>
          </w:p>
        </w:tc>
        <w:tc>
          <w:tcPr>
            <w:tcW w:w="113" w:type="dxa"/>
            <w:vAlign w:val="bottom"/>
          </w:tcPr>
          <w:p w14:paraId="3AF9E48A"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1FC16677"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59849F06"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4FD58112"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4CC56BDA"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CC75BA4" w14:textId="77777777" w:rsidR="00C561BD" w:rsidRPr="00224C22" w:rsidRDefault="00C561BD" w:rsidP="00C561BD">
            <w:pPr>
              <w:tabs>
                <w:tab w:val="decimal" w:pos="113"/>
              </w:tabs>
              <w:spacing w:line="140" w:lineRule="exact"/>
              <w:rPr>
                <w:sz w:val="16"/>
                <w:szCs w:val="16"/>
              </w:rPr>
            </w:pPr>
          </w:p>
        </w:tc>
        <w:tc>
          <w:tcPr>
            <w:tcW w:w="113" w:type="dxa"/>
          </w:tcPr>
          <w:p w14:paraId="17138D6E"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6425692F" w14:textId="77777777" w:rsidR="00C561BD" w:rsidRPr="00224C22" w:rsidRDefault="00C561BD" w:rsidP="00C561BD">
            <w:pPr>
              <w:tabs>
                <w:tab w:val="decimal" w:pos="113"/>
              </w:tabs>
              <w:spacing w:line="140" w:lineRule="exact"/>
              <w:rPr>
                <w:sz w:val="16"/>
                <w:szCs w:val="16"/>
              </w:rPr>
            </w:pPr>
          </w:p>
        </w:tc>
        <w:tc>
          <w:tcPr>
            <w:tcW w:w="113" w:type="dxa"/>
          </w:tcPr>
          <w:p w14:paraId="0A412112"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7F9E5FB7" w14:textId="77777777" w:rsidR="00C561BD" w:rsidRPr="00224C22" w:rsidRDefault="00C561BD" w:rsidP="00C561BD">
            <w:pPr>
              <w:tabs>
                <w:tab w:val="decimal" w:pos="113"/>
              </w:tabs>
              <w:spacing w:line="140" w:lineRule="exact"/>
              <w:rPr>
                <w:sz w:val="16"/>
                <w:szCs w:val="16"/>
              </w:rPr>
            </w:pPr>
          </w:p>
        </w:tc>
        <w:tc>
          <w:tcPr>
            <w:tcW w:w="113" w:type="dxa"/>
            <w:vAlign w:val="bottom"/>
          </w:tcPr>
          <w:p w14:paraId="79CAE7D0"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782C0BF9" w14:textId="77777777" w:rsidR="00C561BD" w:rsidRPr="00224C22" w:rsidRDefault="00C561BD" w:rsidP="00C561BD">
            <w:pPr>
              <w:tabs>
                <w:tab w:val="decimal" w:pos="113"/>
              </w:tabs>
              <w:spacing w:line="140" w:lineRule="exact"/>
              <w:rPr>
                <w:sz w:val="16"/>
                <w:szCs w:val="16"/>
              </w:rPr>
            </w:pPr>
          </w:p>
        </w:tc>
        <w:tc>
          <w:tcPr>
            <w:tcW w:w="113" w:type="dxa"/>
            <w:vAlign w:val="bottom"/>
          </w:tcPr>
          <w:p w14:paraId="4CD44193"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05E47075" w14:textId="77777777" w:rsidR="00C561BD" w:rsidRPr="00224C22" w:rsidRDefault="00C561BD" w:rsidP="00C561BD">
            <w:pPr>
              <w:tabs>
                <w:tab w:val="decimal" w:pos="113"/>
              </w:tabs>
              <w:spacing w:line="140" w:lineRule="exact"/>
              <w:rPr>
                <w:sz w:val="16"/>
                <w:szCs w:val="16"/>
              </w:rPr>
            </w:pPr>
          </w:p>
        </w:tc>
        <w:tc>
          <w:tcPr>
            <w:tcW w:w="113" w:type="dxa"/>
            <w:vAlign w:val="bottom"/>
          </w:tcPr>
          <w:p w14:paraId="27BAF9F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B1555AC" w14:textId="77777777" w:rsidR="00C561BD" w:rsidRPr="00224C22" w:rsidRDefault="00C561BD" w:rsidP="00C561BD">
            <w:pPr>
              <w:tabs>
                <w:tab w:val="decimal" w:pos="113"/>
              </w:tabs>
              <w:spacing w:line="140" w:lineRule="exact"/>
              <w:rPr>
                <w:sz w:val="16"/>
                <w:szCs w:val="16"/>
              </w:rPr>
            </w:pPr>
          </w:p>
        </w:tc>
        <w:tc>
          <w:tcPr>
            <w:tcW w:w="113" w:type="dxa"/>
            <w:vAlign w:val="bottom"/>
          </w:tcPr>
          <w:p w14:paraId="0C847D81"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1CF856B"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13E459F"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D019FE1"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25F60A3"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00B4E9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CD3D18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451AD302"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11DC3D3"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DEE5629" w14:textId="77777777" w:rsidR="00C561BD" w:rsidRPr="00224C22" w:rsidRDefault="00C561BD" w:rsidP="00C561BD">
            <w:pPr>
              <w:tabs>
                <w:tab w:val="decimal" w:pos="113"/>
              </w:tabs>
              <w:spacing w:line="140" w:lineRule="exact"/>
              <w:rPr>
                <w:sz w:val="16"/>
                <w:szCs w:val="16"/>
              </w:rPr>
            </w:pPr>
          </w:p>
        </w:tc>
        <w:tc>
          <w:tcPr>
            <w:tcW w:w="113" w:type="dxa"/>
            <w:vAlign w:val="bottom"/>
          </w:tcPr>
          <w:p w14:paraId="1B6C3AF0"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221DCD13" w14:textId="77777777" w:rsidR="00C561BD" w:rsidRPr="00224C22" w:rsidRDefault="00C561BD" w:rsidP="00C561BD">
            <w:pPr>
              <w:tabs>
                <w:tab w:val="decimal" w:pos="113"/>
              </w:tabs>
              <w:spacing w:line="140" w:lineRule="exact"/>
              <w:rPr>
                <w:sz w:val="16"/>
                <w:szCs w:val="16"/>
              </w:rPr>
            </w:pPr>
          </w:p>
        </w:tc>
        <w:tc>
          <w:tcPr>
            <w:tcW w:w="113" w:type="dxa"/>
            <w:vAlign w:val="bottom"/>
          </w:tcPr>
          <w:p w14:paraId="6C511B1B"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E89C667" w14:textId="77777777" w:rsidR="00C561BD" w:rsidRPr="00224C22" w:rsidRDefault="00C561BD" w:rsidP="00C561BD">
            <w:pPr>
              <w:tabs>
                <w:tab w:val="decimal" w:pos="113"/>
              </w:tabs>
              <w:spacing w:line="140" w:lineRule="exact"/>
              <w:rPr>
                <w:sz w:val="16"/>
                <w:szCs w:val="16"/>
              </w:rPr>
            </w:pPr>
          </w:p>
        </w:tc>
        <w:tc>
          <w:tcPr>
            <w:tcW w:w="113" w:type="dxa"/>
          </w:tcPr>
          <w:p w14:paraId="068D5755"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775BF95E" w14:textId="77777777" w:rsidR="00C561BD" w:rsidRPr="00224C22" w:rsidRDefault="00C561BD" w:rsidP="00C561BD">
            <w:pPr>
              <w:tabs>
                <w:tab w:val="decimal" w:pos="113"/>
              </w:tabs>
              <w:spacing w:line="140" w:lineRule="exact"/>
              <w:rPr>
                <w:sz w:val="16"/>
                <w:szCs w:val="16"/>
              </w:rPr>
            </w:pPr>
          </w:p>
        </w:tc>
      </w:tr>
      <w:tr w:rsidR="00CF57B7" w:rsidRPr="00224C22" w14:paraId="1BF52509" w14:textId="77777777" w:rsidTr="00A7568E">
        <w:tc>
          <w:tcPr>
            <w:tcW w:w="972" w:type="dxa"/>
            <w:vMerge w:val="restart"/>
            <w:tcBorders>
              <w:bottom w:val="single" w:sz="4" w:space="0" w:color="auto"/>
              <w:right w:val="single" w:sz="4" w:space="0" w:color="auto"/>
            </w:tcBorders>
            <w:vAlign w:val="center"/>
          </w:tcPr>
          <w:p w14:paraId="5F5D60B6" w14:textId="77777777" w:rsidR="00C561BD" w:rsidRPr="00224C22" w:rsidRDefault="00C561BD" w:rsidP="00C561BD">
            <w:pPr>
              <w:bidi w:val="0"/>
              <w:spacing w:line="140" w:lineRule="exact"/>
              <w:ind w:left="227" w:right="110" w:hanging="170"/>
              <w:jc w:val="right"/>
              <w:rPr>
                <w:i/>
                <w:iCs/>
                <w:sz w:val="12"/>
                <w:szCs w:val="12"/>
              </w:rPr>
            </w:pPr>
            <w:r w:rsidRPr="00224C22">
              <w:rPr>
                <w:i/>
                <w:iCs/>
                <w:sz w:val="12"/>
                <w:szCs w:val="12"/>
              </w:rPr>
              <w:t>IAS 1.106(d)(iii)</w:t>
            </w:r>
          </w:p>
        </w:tc>
        <w:tc>
          <w:tcPr>
            <w:tcW w:w="2682" w:type="dxa"/>
            <w:tcBorders>
              <w:left w:val="single" w:sz="4" w:space="0" w:color="auto"/>
            </w:tcBorders>
            <w:vAlign w:val="bottom"/>
          </w:tcPr>
          <w:p w14:paraId="1C541B75"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רכישת זכויות שאינן מקנות שליטה</w:t>
            </w:r>
          </w:p>
        </w:tc>
        <w:tc>
          <w:tcPr>
            <w:tcW w:w="113" w:type="dxa"/>
            <w:vAlign w:val="bottom"/>
          </w:tcPr>
          <w:p w14:paraId="61AE1C36"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6F7D331C"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311E9DCD"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7E989936"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3F3AA15B"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74CF9E6" w14:textId="77777777" w:rsidR="00C561BD" w:rsidRPr="00224C22" w:rsidRDefault="00C561BD" w:rsidP="00C561BD">
            <w:pPr>
              <w:tabs>
                <w:tab w:val="decimal" w:pos="113"/>
              </w:tabs>
              <w:spacing w:line="140" w:lineRule="exact"/>
              <w:rPr>
                <w:sz w:val="16"/>
                <w:szCs w:val="16"/>
              </w:rPr>
            </w:pPr>
          </w:p>
        </w:tc>
        <w:tc>
          <w:tcPr>
            <w:tcW w:w="113" w:type="dxa"/>
          </w:tcPr>
          <w:p w14:paraId="6F1BBE39"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165D9076" w14:textId="77777777" w:rsidR="00C561BD" w:rsidRPr="00224C22" w:rsidRDefault="00C561BD" w:rsidP="00C561BD">
            <w:pPr>
              <w:tabs>
                <w:tab w:val="decimal" w:pos="113"/>
              </w:tabs>
              <w:spacing w:line="140" w:lineRule="exact"/>
              <w:rPr>
                <w:sz w:val="16"/>
                <w:szCs w:val="16"/>
              </w:rPr>
            </w:pPr>
          </w:p>
        </w:tc>
        <w:tc>
          <w:tcPr>
            <w:tcW w:w="113" w:type="dxa"/>
          </w:tcPr>
          <w:p w14:paraId="1E7BCD2B"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0E7ABD58" w14:textId="77777777" w:rsidR="00C561BD" w:rsidRPr="00224C22" w:rsidRDefault="00C561BD" w:rsidP="00C561BD">
            <w:pPr>
              <w:tabs>
                <w:tab w:val="decimal" w:pos="113"/>
              </w:tabs>
              <w:spacing w:line="140" w:lineRule="exact"/>
              <w:rPr>
                <w:sz w:val="16"/>
                <w:szCs w:val="16"/>
              </w:rPr>
            </w:pPr>
          </w:p>
        </w:tc>
        <w:tc>
          <w:tcPr>
            <w:tcW w:w="113" w:type="dxa"/>
            <w:vAlign w:val="bottom"/>
          </w:tcPr>
          <w:p w14:paraId="15BEA0D4"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4D2C9FE9" w14:textId="77777777" w:rsidR="00C561BD" w:rsidRPr="00224C22" w:rsidRDefault="00C561BD" w:rsidP="00C561BD">
            <w:pPr>
              <w:tabs>
                <w:tab w:val="decimal" w:pos="113"/>
              </w:tabs>
              <w:spacing w:line="140" w:lineRule="exact"/>
              <w:rPr>
                <w:sz w:val="16"/>
                <w:szCs w:val="16"/>
              </w:rPr>
            </w:pPr>
          </w:p>
        </w:tc>
        <w:tc>
          <w:tcPr>
            <w:tcW w:w="113" w:type="dxa"/>
            <w:vAlign w:val="bottom"/>
          </w:tcPr>
          <w:p w14:paraId="43FF7EA4"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3BAA40FB" w14:textId="77777777" w:rsidR="00C561BD" w:rsidRPr="00224C22" w:rsidRDefault="00C561BD" w:rsidP="00C561BD">
            <w:pPr>
              <w:tabs>
                <w:tab w:val="decimal" w:pos="113"/>
              </w:tabs>
              <w:spacing w:line="140" w:lineRule="exact"/>
              <w:rPr>
                <w:sz w:val="16"/>
                <w:szCs w:val="16"/>
              </w:rPr>
            </w:pPr>
          </w:p>
        </w:tc>
        <w:tc>
          <w:tcPr>
            <w:tcW w:w="113" w:type="dxa"/>
            <w:vAlign w:val="bottom"/>
          </w:tcPr>
          <w:p w14:paraId="0D8BAA23"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20AC919" w14:textId="77777777" w:rsidR="00C561BD" w:rsidRPr="00224C22" w:rsidRDefault="00C561BD" w:rsidP="00C561BD">
            <w:pPr>
              <w:tabs>
                <w:tab w:val="decimal" w:pos="113"/>
              </w:tabs>
              <w:spacing w:line="140" w:lineRule="exact"/>
              <w:rPr>
                <w:sz w:val="16"/>
                <w:szCs w:val="16"/>
              </w:rPr>
            </w:pPr>
          </w:p>
        </w:tc>
        <w:tc>
          <w:tcPr>
            <w:tcW w:w="113" w:type="dxa"/>
            <w:vAlign w:val="bottom"/>
          </w:tcPr>
          <w:p w14:paraId="32D18964"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B909BD8"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5B77121"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497BD9A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F59AD44"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1E58DC20"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20189F8"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016E0D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8BC413E"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91FB6A6" w14:textId="77777777" w:rsidR="00C561BD" w:rsidRPr="00224C22" w:rsidRDefault="00C561BD" w:rsidP="00C561BD">
            <w:pPr>
              <w:tabs>
                <w:tab w:val="decimal" w:pos="113"/>
              </w:tabs>
              <w:spacing w:line="140" w:lineRule="exact"/>
              <w:rPr>
                <w:sz w:val="16"/>
                <w:szCs w:val="16"/>
              </w:rPr>
            </w:pPr>
          </w:p>
        </w:tc>
        <w:tc>
          <w:tcPr>
            <w:tcW w:w="113" w:type="dxa"/>
            <w:vAlign w:val="bottom"/>
          </w:tcPr>
          <w:p w14:paraId="30AED0F4"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3D92E187" w14:textId="77777777" w:rsidR="00C561BD" w:rsidRPr="00224C22" w:rsidRDefault="00C561BD" w:rsidP="00C561BD">
            <w:pPr>
              <w:tabs>
                <w:tab w:val="decimal" w:pos="113"/>
              </w:tabs>
              <w:spacing w:line="140" w:lineRule="exact"/>
              <w:rPr>
                <w:sz w:val="16"/>
                <w:szCs w:val="16"/>
              </w:rPr>
            </w:pPr>
          </w:p>
        </w:tc>
        <w:tc>
          <w:tcPr>
            <w:tcW w:w="113" w:type="dxa"/>
            <w:vAlign w:val="bottom"/>
          </w:tcPr>
          <w:p w14:paraId="46E2DD6C"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85548DC" w14:textId="77777777" w:rsidR="00C561BD" w:rsidRPr="00224C22" w:rsidRDefault="00C561BD" w:rsidP="00C561BD">
            <w:pPr>
              <w:tabs>
                <w:tab w:val="decimal" w:pos="113"/>
              </w:tabs>
              <w:spacing w:line="140" w:lineRule="exact"/>
              <w:rPr>
                <w:sz w:val="16"/>
                <w:szCs w:val="16"/>
              </w:rPr>
            </w:pPr>
          </w:p>
        </w:tc>
        <w:tc>
          <w:tcPr>
            <w:tcW w:w="113" w:type="dxa"/>
          </w:tcPr>
          <w:p w14:paraId="4AD8E47B"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7DC2243D" w14:textId="77777777" w:rsidR="00C561BD" w:rsidRPr="00224C22" w:rsidRDefault="00C561BD" w:rsidP="00C561BD">
            <w:pPr>
              <w:tabs>
                <w:tab w:val="decimal" w:pos="113"/>
              </w:tabs>
              <w:spacing w:line="140" w:lineRule="exact"/>
              <w:rPr>
                <w:sz w:val="16"/>
                <w:szCs w:val="16"/>
              </w:rPr>
            </w:pPr>
          </w:p>
        </w:tc>
      </w:tr>
      <w:tr w:rsidR="00CF57B7" w:rsidRPr="00224C22" w14:paraId="379C35B9" w14:textId="77777777" w:rsidTr="00A7568E">
        <w:tc>
          <w:tcPr>
            <w:tcW w:w="972" w:type="dxa"/>
            <w:vMerge/>
            <w:tcBorders>
              <w:bottom w:val="single" w:sz="4" w:space="0" w:color="auto"/>
              <w:right w:val="single" w:sz="4" w:space="0" w:color="auto"/>
            </w:tcBorders>
            <w:vAlign w:val="center"/>
          </w:tcPr>
          <w:p w14:paraId="269A7AE6" w14:textId="77777777" w:rsidR="00C561BD" w:rsidRPr="00224C22" w:rsidRDefault="00C561BD" w:rsidP="00C561BD">
            <w:pPr>
              <w:widowControl/>
              <w:bidi w:val="0"/>
              <w:spacing w:line="140" w:lineRule="exact"/>
              <w:ind w:right="110"/>
              <w:jc w:val="right"/>
              <w:rPr>
                <w:i/>
                <w:iCs/>
                <w:sz w:val="12"/>
                <w:szCs w:val="12"/>
                <w:rtl/>
              </w:rPr>
            </w:pPr>
          </w:p>
        </w:tc>
        <w:tc>
          <w:tcPr>
            <w:tcW w:w="2682" w:type="dxa"/>
            <w:tcBorders>
              <w:left w:val="single" w:sz="4" w:space="0" w:color="auto"/>
            </w:tcBorders>
            <w:vAlign w:val="bottom"/>
          </w:tcPr>
          <w:p w14:paraId="0F699EFA"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זכויות שאינן מקנות שליטה שנוצרו בחברות שאוחדו לראשונה</w:t>
            </w:r>
          </w:p>
        </w:tc>
        <w:tc>
          <w:tcPr>
            <w:tcW w:w="113" w:type="dxa"/>
            <w:vAlign w:val="bottom"/>
          </w:tcPr>
          <w:p w14:paraId="620492FE"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648800A0"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508CD89C"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465EB462"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3A3AFA0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396C400" w14:textId="77777777" w:rsidR="00C561BD" w:rsidRPr="00224C22" w:rsidRDefault="00C561BD" w:rsidP="00C561BD">
            <w:pPr>
              <w:tabs>
                <w:tab w:val="decimal" w:pos="113"/>
              </w:tabs>
              <w:spacing w:line="140" w:lineRule="exact"/>
              <w:rPr>
                <w:sz w:val="16"/>
                <w:szCs w:val="16"/>
              </w:rPr>
            </w:pPr>
          </w:p>
        </w:tc>
        <w:tc>
          <w:tcPr>
            <w:tcW w:w="113" w:type="dxa"/>
          </w:tcPr>
          <w:p w14:paraId="49E9E53A"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2D0BC8E0" w14:textId="77777777" w:rsidR="00C561BD" w:rsidRPr="00224C22" w:rsidRDefault="00C561BD" w:rsidP="00C561BD">
            <w:pPr>
              <w:tabs>
                <w:tab w:val="decimal" w:pos="113"/>
              </w:tabs>
              <w:spacing w:line="140" w:lineRule="exact"/>
              <w:rPr>
                <w:sz w:val="16"/>
                <w:szCs w:val="16"/>
              </w:rPr>
            </w:pPr>
          </w:p>
        </w:tc>
        <w:tc>
          <w:tcPr>
            <w:tcW w:w="113" w:type="dxa"/>
          </w:tcPr>
          <w:p w14:paraId="3825F4F2"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2332AAE7" w14:textId="77777777" w:rsidR="00C561BD" w:rsidRPr="00224C22" w:rsidRDefault="00C561BD" w:rsidP="00C561BD">
            <w:pPr>
              <w:tabs>
                <w:tab w:val="decimal" w:pos="113"/>
              </w:tabs>
              <w:spacing w:line="140" w:lineRule="exact"/>
              <w:rPr>
                <w:sz w:val="16"/>
                <w:szCs w:val="16"/>
              </w:rPr>
            </w:pPr>
          </w:p>
        </w:tc>
        <w:tc>
          <w:tcPr>
            <w:tcW w:w="113" w:type="dxa"/>
            <w:vAlign w:val="bottom"/>
          </w:tcPr>
          <w:p w14:paraId="69D3223A"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63D501C1" w14:textId="77777777" w:rsidR="00C561BD" w:rsidRPr="00224C22" w:rsidRDefault="00C561BD" w:rsidP="00C561BD">
            <w:pPr>
              <w:tabs>
                <w:tab w:val="decimal" w:pos="113"/>
              </w:tabs>
              <w:spacing w:line="140" w:lineRule="exact"/>
              <w:rPr>
                <w:sz w:val="16"/>
                <w:szCs w:val="16"/>
              </w:rPr>
            </w:pPr>
          </w:p>
        </w:tc>
        <w:tc>
          <w:tcPr>
            <w:tcW w:w="113" w:type="dxa"/>
            <w:vAlign w:val="bottom"/>
          </w:tcPr>
          <w:p w14:paraId="7DB13E86"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13B88CB9" w14:textId="77777777" w:rsidR="00C561BD" w:rsidRPr="00224C22" w:rsidRDefault="00C561BD" w:rsidP="00C561BD">
            <w:pPr>
              <w:tabs>
                <w:tab w:val="decimal" w:pos="113"/>
              </w:tabs>
              <w:spacing w:line="140" w:lineRule="exact"/>
              <w:rPr>
                <w:sz w:val="16"/>
                <w:szCs w:val="16"/>
              </w:rPr>
            </w:pPr>
          </w:p>
        </w:tc>
        <w:tc>
          <w:tcPr>
            <w:tcW w:w="113" w:type="dxa"/>
            <w:vAlign w:val="bottom"/>
          </w:tcPr>
          <w:p w14:paraId="29FB5A5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AC694BA" w14:textId="77777777" w:rsidR="00C561BD" w:rsidRPr="00224C22" w:rsidRDefault="00C561BD" w:rsidP="00C561BD">
            <w:pPr>
              <w:tabs>
                <w:tab w:val="decimal" w:pos="113"/>
              </w:tabs>
              <w:spacing w:line="140" w:lineRule="exact"/>
              <w:rPr>
                <w:sz w:val="16"/>
                <w:szCs w:val="16"/>
              </w:rPr>
            </w:pPr>
          </w:p>
        </w:tc>
        <w:tc>
          <w:tcPr>
            <w:tcW w:w="113" w:type="dxa"/>
            <w:vAlign w:val="bottom"/>
          </w:tcPr>
          <w:p w14:paraId="1F446F7A"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1F754EE0"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25F99A6"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89670EF"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E7775F1"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67F44E5A"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26ECE8E"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FF6DABB"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0C31F3CE"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362DE54" w14:textId="77777777" w:rsidR="00C561BD" w:rsidRPr="00224C22" w:rsidRDefault="00C561BD" w:rsidP="00C561BD">
            <w:pPr>
              <w:tabs>
                <w:tab w:val="decimal" w:pos="113"/>
              </w:tabs>
              <w:spacing w:line="140" w:lineRule="exact"/>
              <w:rPr>
                <w:sz w:val="16"/>
                <w:szCs w:val="16"/>
              </w:rPr>
            </w:pPr>
          </w:p>
        </w:tc>
        <w:tc>
          <w:tcPr>
            <w:tcW w:w="113" w:type="dxa"/>
            <w:vAlign w:val="bottom"/>
          </w:tcPr>
          <w:p w14:paraId="32F83B12"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77FEF36F" w14:textId="77777777" w:rsidR="00C561BD" w:rsidRPr="00224C22" w:rsidRDefault="00C561BD" w:rsidP="00C561BD">
            <w:pPr>
              <w:tabs>
                <w:tab w:val="decimal" w:pos="113"/>
              </w:tabs>
              <w:spacing w:line="140" w:lineRule="exact"/>
              <w:rPr>
                <w:sz w:val="16"/>
                <w:szCs w:val="16"/>
              </w:rPr>
            </w:pPr>
          </w:p>
        </w:tc>
        <w:tc>
          <w:tcPr>
            <w:tcW w:w="113" w:type="dxa"/>
            <w:vAlign w:val="bottom"/>
          </w:tcPr>
          <w:p w14:paraId="0ACDD79F"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5D5B0A0" w14:textId="77777777" w:rsidR="00C561BD" w:rsidRPr="00224C22" w:rsidRDefault="00C561BD" w:rsidP="00C561BD">
            <w:pPr>
              <w:tabs>
                <w:tab w:val="decimal" w:pos="113"/>
              </w:tabs>
              <w:spacing w:line="140" w:lineRule="exact"/>
              <w:rPr>
                <w:sz w:val="16"/>
                <w:szCs w:val="16"/>
              </w:rPr>
            </w:pPr>
          </w:p>
        </w:tc>
        <w:tc>
          <w:tcPr>
            <w:tcW w:w="113" w:type="dxa"/>
          </w:tcPr>
          <w:p w14:paraId="41E5B700"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24AA62C7" w14:textId="77777777" w:rsidR="00C561BD" w:rsidRPr="00224C22" w:rsidRDefault="00C561BD" w:rsidP="00C561BD">
            <w:pPr>
              <w:tabs>
                <w:tab w:val="decimal" w:pos="113"/>
              </w:tabs>
              <w:spacing w:line="140" w:lineRule="exact"/>
              <w:rPr>
                <w:sz w:val="16"/>
                <w:szCs w:val="16"/>
              </w:rPr>
            </w:pPr>
          </w:p>
        </w:tc>
      </w:tr>
      <w:tr w:rsidR="00CF57B7" w:rsidRPr="00224C22" w14:paraId="1CFCF85C" w14:textId="77777777" w:rsidTr="00A7568E">
        <w:tc>
          <w:tcPr>
            <w:tcW w:w="972" w:type="dxa"/>
            <w:vMerge/>
            <w:tcBorders>
              <w:bottom w:val="single" w:sz="4" w:space="0" w:color="auto"/>
              <w:right w:val="single" w:sz="4" w:space="0" w:color="auto"/>
            </w:tcBorders>
            <w:vAlign w:val="center"/>
          </w:tcPr>
          <w:p w14:paraId="7EC5D458" w14:textId="77777777" w:rsidR="00C561BD" w:rsidRPr="00224C22" w:rsidRDefault="00C561BD" w:rsidP="00C561BD">
            <w:pPr>
              <w:pStyle w:val="a3"/>
              <w:bidi w:val="0"/>
              <w:spacing w:line="140" w:lineRule="exact"/>
              <w:ind w:right="110"/>
              <w:jc w:val="right"/>
              <w:rPr>
                <w:i/>
                <w:iCs/>
                <w:sz w:val="12"/>
                <w:szCs w:val="12"/>
                <w:rtl/>
              </w:rPr>
            </w:pPr>
          </w:p>
        </w:tc>
        <w:tc>
          <w:tcPr>
            <w:tcW w:w="2682" w:type="dxa"/>
            <w:tcBorders>
              <w:left w:val="single" w:sz="4" w:space="0" w:color="auto"/>
            </w:tcBorders>
            <w:vAlign w:val="bottom"/>
          </w:tcPr>
          <w:p w14:paraId="06702185"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יציאה מאיחוד של חברה מאוחדת</w:t>
            </w:r>
          </w:p>
        </w:tc>
        <w:tc>
          <w:tcPr>
            <w:tcW w:w="113" w:type="dxa"/>
            <w:vAlign w:val="bottom"/>
          </w:tcPr>
          <w:p w14:paraId="16C28E03"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40CEC063"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56B771C0"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5693C025"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7D3F2CC5"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BA57FE4" w14:textId="77777777" w:rsidR="00C561BD" w:rsidRPr="00224C22" w:rsidRDefault="00C561BD" w:rsidP="00C561BD">
            <w:pPr>
              <w:tabs>
                <w:tab w:val="decimal" w:pos="113"/>
              </w:tabs>
              <w:spacing w:line="140" w:lineRule="exact"/>
              <w:rPr>
                <w:sz w:val="16"/>
                <w:szCs w:val="16"/>
              </w:rPr>
            </w:pPr>
          </w:p>
        </w:tc>
        <w:tc>
          <w:tcPr>
            <w:tcW w:w="113" w:type="dxa"/>
          </w:tcPr>
          <w:p w14:paraId="172857A0"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01B64A1A" w14:textId="77777777" w:rsidR="00C561BD" w:rsidRPr="00224C22" w:rsidRDefault="00C561BD" w:rsidP="00C561BD">
            <w:pPr>
              <w:tabs>
                <w:tab w:val="decimal" w:pos="113"/>
              </w:tabs>
              <w:spacing w:line="140" w:lineRule="exact"/>
              <w:rPr>
                <w:sz w:val="16"/>
                <w:szCs w:val="16"/>
              </w:rPr>
            </w:pPr>
          </w:p>
        </w:tc>
        <w:tc>
          <w:tcPr>
            <w:tcW w:w="113" w:type="dxa"/>
          </w:tcPr>
          <w:p w14:paraId="49458B08"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0BF3859B" w14:textId="77777777" w:rsidR="00C561BD" w:rsidRPr="00224C22" w:rsidRDefault="00C561BD" w:rsidP="00C561BD">
            <w:pPr>
              <w:tabs>
                <w:tab w:val="decimal" w:pos="113"/>
              </w:tabs>
              <w:spacing w:line="140" w:lineRule="exact"/>
              <w:rPr>
                <w:sz w:val="16"/>
                <w:szCs w:val="16"/>
              </w:rPr>
            </w:pPr>
          </w:p>
        </w:tc>
        <w:tc>
          <w:tcPr>
            <w:tcW w:w="113" w:type="dxa"/>
            <w:vAlign w:val="bottom"/>
          </w:tcPr>
          <w:p w14:paraId="185951AB"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359ED61A" w14:textId="77777777" w:rsidR="00C561BD" w:rsidRPr="00224C22" w:rsidRDefault="00C561BD" w:rsidP="00C561BD">
            <w:pPr>
              <w:tabs>
                <w:tab w:val="decimal" w:pos="113"/>
              </w:tabs>
              <w:spacing w:line="140" w:lineRule="exact"/>
              <w:rPr>
                <w:sz w:val="16"/>
                <w:szCs w:val="16"/>
              </w:rPr>
            </w:pPr>
          </w:p>
        </w:tc>
        <w:tc>
          <w:tcPr>
            <w:tcW w:w="113" w:type="dxa"/>
            <w:vAlign w:val="bottom"/>
          </w:tcPr>
          <w:p w14:paraId="29887A24"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73C2709F" w14:textId="77777777" w:rsidR="00C561BD" w:rsidRPr="00224C22" w:rsidRDefault="00C561BD" w:rsidP="00C561BD">
            <w:pPr>
              <w:tabs>
                <w:tab w:val="decimal" w:pos="113"/>
              </w:tabs>
              <w:spacing w:line="140" w:lineRule="exact"/>
              <w:rPr>
                <w:sz w:val="16"/>
                <w:szCs w:val="16"/>
              </w:rPr>
            </w:pPr>
          </w:p>
        </w:tc>
        <w:tc>
          <w:tcPr>
            <w:tcW w:w="113" w:type="dxa"/>
            <w:vAlign w:val="bottom"/>
          </w:tcPr>
          <w:p w14:paraId="056770C9"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6C5E8D95" w14:textId="77777777" w:rsidR="00C561BD" w:rsidRPr="00224C22" w:rsidRDefault="00C561BD" w:rsidP="00C561BD">
            <w:pPr>
              <w:tabs>
                <w:tab w:val="decimal" w:pos="113"/>
              </w:tabs>
              <w:spacing w:line="140" w:lineRule="exact"/>
              <w:rPr>
                <w:sz w:val="16"/>
                <w:szCs w:val="16"/>
              </w:rPr>
            </w:pPr>
          </w:p>
        </w:tc>
        <w:tc>
          <w:tcPr>
            <w:tcW w:w="113" w:type="dxa"/>
            <w:vAlign w:val="bottom"/>
          </w:tcPr>
          <w:p w14:paraId="026A80AC"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4AD6FD8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4CA1DD6"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48E75EC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F2BCF6F"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7EC1B8AD"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8D6BFA7"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1835EC9"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7D7F4D2"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32D81826" w14:textId="77777777" w:rsidR="00C561BD" w:rsidRPr="00224C22" w:rsidRDefault="00C561BD" w:rsidP="00C561BD">
            <w:pPr>
              <w:tabs>
                <w:tab w:val="decimal" w:pos="113"/>
              </w:tabs>
              <w:spacing w:line="140" w:lineRule="exact"/>
              <w:rPr>
                <w:sz w:val="16"/>
                <w:szCs w:val="16"/>
              </w:rPr>
            </w:pPr>
          </w:p>
        </w:tc>
        <w:tc>
          <w:tcPr>
            <w:tcW w:w="113" w:type="dxa"/>
            <w:vAlign w:val="bottom"/>
          </w:tcPr>
          <w:p w14:paraId="27232706"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0A9CD405" w14:textId="77777777" w:rsidR="00C561BD" w:rsidRPr="00224C22" w:rsidRDefault="00C561BD" w:rsidP="00C561BD">
            <w:pPr>
              <w:tabs>
                <w:tab w:val="decimal" w:pos="113"/>
              </w:tabs>
              <w:spacing w:line="140" w:lineRule="exact"/>
              <w:rPr>
                <w:sz w:val="16"/>
                <w:szCs w:val="16"/>
              </w:rPr>
            </w:pPr>
          </w:p>
        </w:tc>
        <w:tc>
          <w:tcPr>
            <w:tcW w:w="113" w:type="dxa"/>
            <w:vAlign w:val="bottom"/>
          </w:tcPr>
          <w:p w14:paraId="3D7E7831"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7D5C85E" w14:textId="77777777" w:rsidR="00C561BD" w:rsidRPr="00224C22" w:rsidRDefault="00C561BD" w:rsidP="00C561BD">
            <w:pPr>
              <w:tabs>
                <w:tab w:val="decimal" w:pos="113"/>
              </w:tabs>
              <w:spacing w:line="140" w:lineRule="exact"/>
              <w:rPr>
                <w:sz w:val="16"/>
                <w:szCs w:val="16"/>
              </w:rPr>
            </w:pPr>
          </w:p>
        </w:tc>
        <w:tc>
          <w:tcPr>
            <w:tcW w:w="113" w:type="dxa"/>
          </w:tcPr>
          <w:p w14:paraId="1F748C73"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553CEA7F" w14:textId="77777777" w:rsidR="00C561BD" w:rsidRPr="00224C22" w:rsidRDefault="00C561BD" w:rsidP="00C561BD">
            <w:pPr>
              <w:tabs>
                <w:tab w:val="decimal" w:pos="113"/>
              </w:tabs>
              <w:spacing w:line="140" w:lineRule="exact"/>
              <w:rPr>
                <w:sz w:val="16"/>
                <w:szCs w:val="16"/>
              </w:rPr>
            </w:pPr>
          </w:p>
        </w:tc>
      </w:tr>
      <w:tr w:rsidR="00CF57B7" w:rsidRPr="00224C22" w14:paraId="36D2D9D9" w14:textId="77777777" w:rsidTr="00A7568E">
        <w:tc>
          <w:tcPr>
            <w:tcW w:w="972" w:type="dxa"/>
            <w:vMerge/>
            <w:tcBorders>
              <w:bottom w:val="single" w:sz="4" w:space="0" w:color="auto"/>
              <w:right w:val="single" w:sz="4" w:space="0" w:color="auto"/>
            </w:tcBorders>
          </w:tcPr>
          <w:p w14:paraId="2FD09C51" w14:textId="77777777" w:rsidR="00C561BD" w:rsidRPr="00224C22" w:rsidRDefault="00C561BD" w:rsidP="00C561BD">
            <w:pPr>
              <w:spacing w:line="140" w:lineRule="exact"/>
              <w:ind w:left="227" w:hanging="170"/>
              <w:jc w:val="left"/>
              <w:rPr>
                <w:sz w:val="12"/>
                <w:szCs w:val="12"/>
                <w:rtl/>
              </w:rPr>
            </w:pPr>
          </w:p>
        </w:tc>
        <w:tc>
          <w:tcPr>
            <w:tcW w:w="2682" w:type="dxa"/>
            <w:tcBorders>
              <w:left w:val="single" w:sz="4" w:space="0" w:color="auto"/>
            </w:tcBorders>
            <w:vAlign w:val="bottom"/>
          </w:tcPr>
          <w:p w14:paraId="7109A06C"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דיבידנד לבעלי זכויות שאינן מקנות שליטה</w:t>
            </w:r>
          </w:p>
        </w:tc>
        <w:tc>
          <w:tcPr>
            <w:tcW w:w="113" w:type="dxa"/>
            <w:vAlign w:val="bottom"/>
          </w:tcPr>
          <w:p w14:paraId="195C36A3" w14:textId="77777777" w:rsidR="00C561BD" w:rsidRPr="00224C22" w:rsidRDefault="00C561BD" w:rsidP="00C561BD">
            <w:pPr>
              <w:spacing w:line="140" w:lineRule="exact"/>
              <w:jc w:val="left"/>
              <w:rPr>
                <w:sz w:val="16"/>
                <w:szCs w:val="16"/>
              </w:rPr>
            </w:pPr>
          </w:p>
        </w:tc>
        <w:tc>
          <w:tcPr>
            <w:tcW w:w="621" w:type="dxa"/>
            <w:tcBorders>
              <w:left w:val="nil"/>
              <w:bottom w:val="single" w:sz="6" w:space="0" w:color="auto"/>
              <w:right w:val="nil"/>
            </w:tcBorders>
            <w:shd w:val="clear" w:color="auto" w:fill="auto"/>
            <w:vAlign w:val="bottom"/>
          </w:tcPr>
          <w:p w14:paraId="01A8D82C"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4579B200" w14:textId="77777777" w:rsidR="00C561BD" w:rsidRPr="00224C22" w:rsidRDefault="00C561BD" w:rsidP="00C561BD">
            <w:pPr>
              <w:tabs>
                <w:tab w:val="decimal" w:pos="113"/>
              </w:tabs>
              <w:spacing w:line="140" w:lineRule="exact"/>
              <w:jc w:val="left"/>
              <w:rPr>
                <w:sz w:val="16"/>
                <w:szCs w:val="16"/>
              </w:rPr>
            </w:pPr>
          </w:p>
        </w:tc>
        <w:tc>
          <w:tcPr>
            <w:tcW w:w="621" w:type="dxa"/>
            <w:tcBorders>
              <w:left w:val="nil"/>
              <w:bottom w:val="single" w:sz="6" w:space="0" w:color="auto"/>
              <w:right w:val="nil"/>
            </w:tcBorders>
            <w:shd w:val="clear" w:color="auto" w:fill="auto"/>
            <w:vAlign w:val="bottom"/>
          </w:tcPr>
          <w:p w14:paraId="68AE95AC"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0CB0CD77"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75C709DF" w14:textId="77777777" w:rsidR="00C561BD" w:rsidRPr="00224C22" w:rsidRDefault="00C561BD" w:rsidP="00C561BD">
            <w:pPr>
              <w:tabs>
                <w:tab w:val="decimal" w:pos="113"/>
              </w:tabs>
              <w:spacing w:line="140" w:lineRule="exact"/>
              <w:rPr>
                <w:sz w:val="16"/>
                <w:szCs w:val="16"/>
              </w:rPr>
            </w:pPr>
          </w:p>
        </w:tc>
        <w:tc>
          <w:tcPr>
            <w:tcW w:w="113" w:type="dxa"/>
          </w:tcPr>
          <w:p w14:paraId="6FD2A054"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tcPr>
          <w:p w14:paraId="7E5D9B24" w14:textId="77777777" w:rsidR="00C561BD" w:rsidRPr="00224C22" w:rsidRDefault="00C561BD" w:rsidP="00C561BD">
            <w:pPr>
              <w:tabs>
                <w:tab w:val="decimal" w:pos="113"/>
              </w:tabs>
              <w:spacing w:line="140" w:lineRule="exact"/>
              <w:rPr>
                <w:sz w:val="16"/>
                <w:szCs w:val="16"/>
              </w:rPr>
            </w:pPr>
          </w:p>
        </w:tc>
        <w:tc>
          <w:tcPr>
            <w:tcW w:w="113" w:type="dxa"/>
          </w:tcPr>
          <w:p w14:paraId="6815B22E"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tcPr>
          <w:p w14:paraId="23618387" w14:textId="77777777" w:rsidR="00C561BD" w:rsidRPr="00224C22" w:rsidRDefault="00C561BD" w:rsidP="00C561BD">
            <w:pPr>
              <w:tabs>
                <w:tab w:val="decimal" w:pos="113"/>
              </w:tabs>
              <w:spacing w:line="140" w:lineRule="exact"/>
              <w:rPr>
                <w:sz w:val="16"/>
                <w:szCs w:val="16"/>
              </w:rPr>
            </w:pPr>
          </w:p>
        </w:tc>
        <w:tc>
          <w:tcPr>
            <w:tcW w:w="113" w:type="dxa"/>
            <w:vAlign w:val="bottom"/>
          </w:tcPr>
          <w:p w14:paraId="6EFF8C56" w14:textId="77777777" w:rsidR="00C561BD" w:rsidRPr="00224C22" w:rsidRDefault="00C561BD" w:rsidP="00C561BD">
            <w:pPr>
              <w:tabs>
                <w:tab w:val="decimal" w:pos="113"/>
              </w:tabs>
              <w:spacing w:line="140" w:lineRule="exact"/>
              <w:rPr>
                <w:sz w:val="16"/>
                <w:szCs w:val="16"/>
              </w:rPr>
            </w:pPr>
          </w:p>
        </w:tc>
        <w:tc>
          <w:tcPr>
            <w:tcW w:w="622" w:type="dxa"/>
            <w:gridSpan w:val="2"/>
            <w:tcBorders>
              <w:left w:val="nil"/>
              <w:bottom w:val="single" w:sz="6" w:space="0" w:color="auto"/>
              <w:right w:val="nil"/>
            </w:tcBorders>
            <w:shd w:val="clear" w:color="auto" w:fill="auto"/>
            <w:vAlign w:val="bottom"/>
          </w:tcPr>
          <w:p w14:paraId="5CB7A538" w14:textId="77777777" w:rsidR="00C561BD" w:rsidRPr="00224C22" w:rsidRDefault="00C561BD" w:rsidP="00C561BD">
            <w:pPr>
              <w:tabs>
                <w:tab w:val="decimal" w:pos="113"/>
              </w:tabs>
              <w:spacing w:line="140" w:lineRule="exact"/>
              <w:rPr>
                <w:sz w:val="16"/>
                <w:szCs w:val="16"/>
              </w:rPr>
            </w:pPr>
          </w:p>
        </w:tc>
        <w:tc>
          <w:tcPr>
            <w:tcW w:w="113" w:type="dxa"/>
            <w:vAlign w:val="bottom"/>
          </w:tcPr>
          <w:p w14:paraId="0C4A376E" w14:textId="77777777" w:rsidR="00C561BD" w:rsidRPr="00224C22" w:rsidRDefault="00C561BD" w:rsidP="00C561BD">
            <w:pPr>
              <w:tabs>
                <w:tab w:val="decimal" w:pos="113"/>
              </w:tabs>
              <w:spacing w:line="140" w:lineRule="exact"/>
              <w:rPr>
                <w:sz w:val="16"/>
                <w:szCs w:val="16"/>
              </w:rPr>
            </w:pPr>
          </w:p>
        </w:tc>
        <w:tc>
          <w:tcPr>
            <w:tcW w:w="734" w:type="dxa"/>
            <w:tcBorders>
              <w:left w:val="nil"/>
              <w:bottom w:val="single" w:sz="6" w:space="0" w:color="auto"/>
              <w:right w:val="nil"/>
            </w:tcBorders>
            <w:shd w:val="clear" w:color="auto" w:fill="auto"/>
            <w:vAlign w:val="bottom"/>
          </w:tcPr>
          <w:p w14:paraId="163D2186" w14:textId="77777777" w:rsidR="00C561BD" w:rsidRPr="00224C22" w:rsidRDefault="00C561BD" w:rsidP="00C561BD">
            <w:pPr>
              <w:tabs>
                <w:tab w:val="decimal" w:pos="113"/>
              </w:tabs>
              <w:spacing w:line="140" w:lineRule="exact"/>
              <w:rPr>
                <w:sz w:val="16"/>
                <w:szCs w:val="16"/>
              </w:rPr>
            </w:pPr>
          </w:p>
        </w:tc>
        <w:tc>
          <w:tcPr>
            <w:tcW w:w="113" w:type="dxa"/>
            <w:vAlign w:val="bottom"/>
          </w:tcPr>
          <w:p w14:paraId="423BCBC0"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0B0455D3" w14:textId="77777777" w:rsidR="00C561BD" w:rsidRPr="00224C22" w:rsidRDefault="00C561BD" w:rsidP="00C561BD">
            <w:pPr>
              <w:tabs>
                <w:tab w:val="decimal" w:pos="113"/>
              </w:tabs>
              <w:spacing w:line="140" w:lineRule="exact"/>
              <w:rPr>
                <w:sz w:val="16"/>
                <w:szCs w:val="16"/>
              </w:rPr>
            </w:pPr>
          </w:p>
        </w:tc>
        <w:tc>
          <w:tcPr>
            <w:tcW w:w="113" w:type="dxa"/>
            <w:vAlign w:val="bottom"/>
          </w:tcPr>
          <w:p w14:paraId="405D47A9"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5592E739"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FBD64D2"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1FD1DAC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0C3D6E5"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0417E2AA"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35F5493"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1B3C4374"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1F46785"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483443DD" w14:textId="77777777" w:rsidR="00C561BD" w:rsidRPr="00224C22" w:rsidRDefault="00C561BD" w:rsidP="00C561BD">
            <w:pPr>
              <w:tabs>
                <w:tab w:val="decimal" w:pos="113"/>
              </w:tabs>
              <w:spacing w:line="140" w:lineRule="exact"/>
              <w:rPr>
                <w:sz w:val="16"/>
                <w:szCs w:val="16"/>
              </w:rPr>
            </w:pPr>
          </w:p>
        </w:tc>
        <w:tc>
          <w:tcPr>
            <w:tcW w:w="113" w:type="dxa"/>
            <w:vAlign w:val="bottom"/>
          </w:tcPr>
          <w:p w14:paraId="181C5A84"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12C93CA4" w14:textId="77777777" w:rsidR="00C561BD" w:rsidRPr="00224C22" w:rsidRDefault="00C561BD" w:rsidP="00C561BD">
            <w:pPr>
              <w:tabs>
                <w:tab w:val="decimal" w:pos="113"/>
              </w:tabs>
              <w:spacing w:line="140" w:lineRule="exact"/>
              <w:rPr>
                <w:sz w:val="16"/>
                <w:szCs w:val="16"/>
              </w:rPr>
            </w:pPr>
          </w:p>
        </w:tc>
        <w:tc>
          <w:tcPr>
            <w:tcW w:w="113" w:type="dxa"/>
            <w:vAlign w:val="bottom"/>
          </w:tcPr>
          <w:p w14:paraId="4D282C61"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193B660C" w14:textId="77777777" w:rsidR="00C561BD" w:rsidRPr="00224C22" w:rsidRDefault="00C561BD" w:rsidP="00C561BD">
            <w:pPr>
              <w:tabs>
                <w:tab w:val="decimal" w:pos="113"/>
              </w:tabs>
              <w:spacing w:line="140" w:lineRule="exact"/>
              <w:rPr>
                <w:sz w:val="16"/>
                <w:szCs w:val="16"/>
              </w:rPr>
            </w:pPr>
          </w:p>
        </w:tc>
        <w:tc>
          <w:tcPr>
            <w:tcW w:w="113" w:type="dxa"/>
          </w:tcPr>
          <w:p w14:paraId="16C6A7EA" w14:textId="77777777" w:rsidR="00C561BD" w:rsidRPr="00224C22" w:rsidRDefault="00C561BD" w:rsidP="00C561BD">
            <w:pPr>
              <w:tabs>
                <w:tab w:val="decimal" w:pos="113"/>
              </w:tabs>
              <w:spacing w:line="140" w:lineRule="exact"/>
              <w:rPr>
                <w:sz w:val="16"/>
                <w:szCs w:val="16"/>
              </w:rPr>
            </w:pPr>
          </w:p>
        </w:tc>
        <w:tc>
          <w:tcPr>
            <w:tcW w:w="607" w:type="dxa"/>
            <w:tcBorders>
              <w:left w:val="nil"/>
              <w:bottom w:val="single" w:sz="6" w:space="0" w:color="auto"/>
              <w:right w:val="nil"/>
            </w:tcBorders>
            <w:shd w:val="clear" w:color="auto" w:fill="auto"/>
          </w:tcPr>
          <w:p w14:paraId="5E246F68" w14:textId="77777777" w:rsidR="00C561BD" w:rsidRPr="00224C22" w:rsidRDefault="00C561BD" w:rsidP="00C561BD">
            <w:pPr>
              <w:tabs>
                <w:tab w:val="decimal" w:pos="113"/>
              </w:tabs>
              <w:spacing w:line="140" w:lineRule="exact"/>
              <w:rPr>
                <w:sz w:val="16"/>
                <w:szCs w:val="16"/>
              </w:rPr>
            </w:pPr>
          </w:p>
        </w:tc>
      </w:tr>
      <w:tr w:rsidR="00CF57B7" w:rsidRPr="00224C22" w14:paraId="5A575455" w14:textId="77777777" w:rsidTr="00A7568E">
        <w:tc>
          <w:tcPr>
            <w:tcW w:w="972" w:type="dxa"/>
            <w:tcBorders>
              <w:top w:val="single" w:sz="4" w:space="0" w:color="auto"/>
            </w:tcBorders>
          </w:tcPr>
          <w:p w14:paraId="51FC3757" w14:textId="77777777" w:rsidR="00C561BD" w:rsidRPr="00224C22" w:rsidRDefault="00C561BD" w:rsidP="00C561BD">
            <w:pPr>
              <w:pStyle w:val="a3"/>
              <w:widowControl/>
              <w:spacing w:line="140" w:lineRule="exact"/>
              <w:ind w:left="0"/>
              <w:rPr>
                <w:b/>
                <w:sz w:val="12"/>
                <w:szCs w:val="12"/>
                <w:u w:val="single"/>
                <w:rtl/>
              </w:rPr>
            </w:pPr>
          </w:p>
        </w:tc>
        <w:tc>
          <w:tcPr>
            <w:tcW w:w="2682" w:type="dxa"/>
            <w:vAlign w:val="bottom"/>
          </w:tcPr>
          <w:p w14:paraId="53E3F8D1" w14:textId="77777777" w:rsidR="00C561BD" w:rsidRPr="00224C22" w:rsidRDefault="00C561BD" w:rsidP="00C561BD">
            <w:pPr>
              <w:pStyle w:val="a3"/>
              <w:widowControl/>
              <w:tabs>
                <w:tab w:val="left" w:pos="227"/>
                <w:tab w:val="left" w:pos="397"/>
                <w:tab w:val="left" w:pos="567"/>
              </w:tabs>
              <w:spacing w:line="140" w:lineRule="exact"/>
              <w:ind w:left="0"/>
              <w:rPr>
                <w:b/>
                <w:sz w:val="16"/>
                <w:szCs w:val="16"/>
                <w:u w:val="single"/>
                <w:rtl/>
              </w:rPr>
            </w:pPr>
          </w:p>
        </w:tc>
        <w:tc>
          <w:tcPr>
            <w:tcW w:w="113" w:type="dxa"/>
            <w:vAlign w:val="bottom"/>
          </w:tcPr>
          <w:p w14:paraId="6BCD5F90" w14:textId="77777777" w:rsidR="00C561BD" w:rsidRPr="00224C22" w:rsidRDefault="00C561BD" w:rsidP="00C561BD">
            <w:pPr>
              <w:pStyle w:val="a3"/>
              <w:widowControl/>
              <w:spacing w:line="140" w:lineRule="exact"/>
              <w:ind w:left="0"/>
              <w:rPr>
                <w:b/>
                <w:sz w:val="16"/>
                <w:szCs w:val="16"/>
                <w:u w:val="single"/>
              </w:rPr>
            </w:pPr>
          </w:p>
        </w:tc>
        <w:tc>
          <w:tcPr>
            <w:tcW w:w="621" w:type="dxa"/>
            <w:tcBorders>
              <w:top w:val="single" w:sz="6" w:space="0" w:color="auto"/>
              <w:left w:val="nil"/>
              <w:right w:val="nil"/>
            </w:tcBorders>
            <w:shd w:val="clear" w:color="auto" w:fill="auto"/>
            <w:vAlign w:val="bottom"/>
          </w:tcPr>
          <w:p w14:paraId="40D7F7E5" w14:textId="77777777" w:rsidR="00C561BD" w:rsidRPr="00224C22" w:rsidRDefault="00C561BD" w:rsidP="00C561BD">
            <w:pPr>
              <w:pStyle w:val="a3"/>
              <w:widowControl/>
              <w:spacing w:line="140" w:lineRule="exact"/>
              <w:ind w:left="0"/>
              <w:rPr>
                <w:b/>
                <w:sz w:val="16"/>
                <w:szCs w:val="16"/>
                <w:u w:val="single"/>
              </w:rPr>
            </w:pPr>
          </w:p>
        </w:tc>
        <w:tc>
          <w:tcPr>
            <w:tcW w:w="112" w:type="dxa"/>
            <w:vAlign w:val="bottom"/>
          </w:tcPr>
          <w:p w14:paraId="384DEB47" w14:textId="77777777" w:rsidR="00C561BD" w:rsidRPr="00224C22" w:rsidRDefault="00C561BD" w:rsidP="00C561BD">
            <w:pPr>
              <w:pStyle w:val="a3"/>
              <w:widowControl/>
              <w:spacing w:line="140" w:lineRule="exact"/>
              <w:ind w:left="0"/>
              <w:rPr>
                <w:b/>
                <w:sz w:val="16"/>
                <w:szCs w:val="16"/>
                <w:u w:val="single"/>
              </w:rPr>
            </w:pPr>
          </w:p>
        </w:tc>
        <w:tc>
          <w:tcPr>
            <w:tcW w:w="621" w:type="dxa"/>
            <w:tcBorders>
              <w:top w:val="single" w:sz="6" w:space="0" w:color="auto"/>
              <w:left w:val="nil"/>
              <w:right w:val="nil"/>
            </w:tcBorders>
            <w:shd w:val="clear" w:color="auto" w:fill="auto"/>
            <w:vAlign w:val="bottom"/>
          </w:tcPr>
          <w:p w14:paraId="2047C987"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7D0B0580"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single" w:sz="6" w:space="0" w:color="auto"/>
              <w:left w:val="nil"/>
              <w:right w:val="nil"/>
            </w:tcBorders>
            <w:shd w:val="clear" w:color="auto" w:fill="auto"/>
            <w:vAlign w:val="bottom"/>
          </w:tcPr>
          <w:p w14:paraId="2ADEE7F4" w14:textId="77777777" w:rsidR="00C561BD" w:rsidRPr="00224C22" w:rsidRDefault="00C561BD" w:rsidP="00C561BD">
            <w:pPr>
              <w:pStyle w:val="a3"/>
              <w:widowControl/>
              <w:spacing w:line="140" w:lineRule="exact"/>
              <w:ind w:left="0"/>
              <w:rPr>
                <w:b/>
                <w:sz w:val="16"/>
                <w:szCs w:val="16"/>
                <w:u w:val="single"/>
              </w:rPr>
            </w:pPr>
          </w:p>
        </w:tc>
        <w:tc>
          <w:tcPr>
            <w:tcW w:w="113" w:type="dxa"/>
          </w:tcPr>
          <w:p w14:paraId="44753735"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single" w:sz="6" w:space="0" w:color="auto"/>
              <w:left w:val="nil"/>
              <w:right w:val="nil"/>
            </w:tcBorders>
            <w:shd w:val="clear" w:color="auto" w:fill="auto"/>
          </w:tcPr>
          <w:p w14:paraId="5FD3D59A" w14:textId="77777777" w:rsidR="00C561BD" w:rsidRPr="00224C22" w:rsidRDefault="00C561BD" w:rsidP="00C561BD">
            <w:pPr>
              <w:pStyle w:val="a3"/>
              <w:widowControl/>
              <w:spacing w:line="140" w:lineRule="exact"/>
              <w:ind w:left="0"/>
              <w:rPr>
                <w:b/>
                <w:sz w:val="16"/>
                <w:szCs w:val="16"/>
                <w:u w:val="single"/>
              </w:rPr>
            </w:pPr>
          </w:p>
        </w:tc>
        <w:tc>
          <w:tcPr>
            <w:tcW w:w="113" w:type="dxa"/>
          </w:tcPr>
          <w:p w14:paraId="5CB65D9E"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single" w:sz="6" w:space="0" w:color="auto"/>
              <w:left w:val="nil"/>
              <w:right w:val="nil"/>
            </w:tcBorders>
            <w:shd w:val="clear" w:color="auto" w:fill="auto"/>
          </w:tcPr>
          <w:p w14:paraId="5B326D15"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388FB40B" w14:textId="77777777" w:rsidR="00C561BD" w:rsidRPr="00224C22" w:rsidRDefault="00C561BD" w:rsidP="00C561BD">
            <w:pPr>
              <w:pStyle w:val="a3"/>
              <w:widowControl/>
              <w:spacing w:line="140" w:lineRule="exact"/>
              <w:ind w:left="0"/>
              <w:rPr>
                <w:b/>
                <w:sz w:val="16"/>
                <w:szCs w:val="16"/>
                <w:u w:val="single"/>
              </w:rPr>
            </w:pPr>
          </w:p>
        </w:tc>
        <w:tc>
          <w:tcPr>
            <w:tcW w:w="622" w:type="dxa"/>
            <w:gridSpan w:val="2"/>
            <w:tcBorders>
              <w:top w:val="single" w:sz="6" w:space="0" w:color="auto"/>
              <w:left w:val="nil"/>
              <w:right w:val="nil"/>
            </w:tcBorders>
            <w:shd w:val="clear" w:color="auto" w:fill="auto"/>
            <w:vAlign w:val="bottom"/>
          </w:tcPr>
          <w:p w14:paraId="7BFAD5AC"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60E412DB" w14:textId="77777777" w:rsidR="00C561BD" w:rsidRPr="00224C22" w:rsidRDefault="00C561BD" w:rsidP="00C561BD">
            <w:pPr>
              <w:pStyle w:val="a3"/>
              <w:widowControl/>
              <w:spacing w:line="140" w:lineRule="exact"/>
              <w:ind w:left="0"/>
              <w:rPr>
                <w:b/>
                <w:sz w:val="16"/>
                <w:szCs w:val="16"/>
                <w:u w:val="single"/>
              </w:rPr>
            </w:pPr>
          </w:p>
        </w:tc>
        <w:tc>
          <w:tcPr>
            <w:tcW w:w="734" w:type="dxa"/>
            <w:tcBorders>
              <w:top w:val="single" w:sz="6" w:space="0" w:color="auto"/>
              <w:left w:val="nil"/>
              <w:right w:val="nil"/>
            </w:tcBorders>
            <w:shd w:val="clear" w:color="auto" w:fill="auto"/>
            <w:vAlign w:val="bottom"/>
          </w:tcPr>
          <w:p w14:paraId="28B440A3"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26208854"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single" w:sz="6" w:space="0" w:color="auto"/>
              <w:left w:val="nil"/>
              <w:right w:val="nil"/>
            </w:tcBorders>
            <w:shd w:val="clear" w:color="auto" w:fill="auto"/>
            <w:vAlign w:val="bottom"/>
          </w:tcPr>
          <w:p w14:paraId="491AD38F"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2532F502"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single" w:sz="6" w:space="0" w:color="auto"/>
              <w:left w:val="nil"/>
              <w:right w:val="nil"/>
            </w:tcBorders>
            <w:shd w:val="clear" w:color="auto" w:fill="auto"/>
            <w:vAlign w:val="bottom"/>
          </w:tcPr>
          <w:p w14:paraId="2EEE2252"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00A78068"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single" w:sz="6" w:space="0" w:color="auto"/>
              <w:left w:val="nil"/>
              <w:right w:val="nil"/>
            </w:tcBorders>
            <w:shd w:val="clear" w:color="auto" w:fill="auto"/>
            <w:vAlign w:val="bottom"/>
          </w:tcPr>
          <w:p w14:paraId="34F5B660"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51625B3D"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single" w:sz="6" w:space="0" w:color="auto"/>
              <w:left w:val="nil"/>
              <w:right w:val="nil"/>
            </w:tcBorders>
            <w:shd w:val="clear" w:color="auto" w:fill="auto"/>
            <w:vAlign w:val="bottom"/>
          </w:tcPr>
          <w:p w14:paraId="45531AC0"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203602FB"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single" w:sz="6" w:space="0" w:color="auto"/>
              <w:left w:val="nil"/>
              <w:right w:val="nil"/>
            </w:tcBorders>
            <w:shd w:val="clear" w:color="auto" w:fill="auto"/>
            <w:vAlign w:val="bottom"/>
          </w:tcPr>
          <w:p w14:paraId="531D18BF"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1E4B2EC1"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single" w:sz="6" w:space="0" w:color="auto"/>
              <w:left w:val="nil"/>
              <w:right w:val="nil"/>
            </w:tcBorders>
            <w:shd w:val="clear" w:color="auto" w:fill="auto"/>
            <w:vAlign w:val="bottom"/>
          </w:tcPr>
          <w:p w14:paraId="454D7403"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47685F05"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single" w:sz="6" w:space="0" w:color="auto"/>
              <w:left w:val="nil"/>
              <w:right w:val="nil"/>
            </w:tcBorders>
            <w:shd w:val="clear" w:color="auto" w:fill="auto"/>
            <w:vAlign w:val="bottom"/>
          </w:tcPr>
          <w:p w14:paraId="0A122B0C"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760A11DF"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single" w:sz="6" w:space="0" w:color="auto"/>
              <w:left w:val="nil"/>
              <w:right w:val="nil"/>
            </w:tcBorders>
            <w:shd w:val="clear" w:color="auto" w:fill="auto"/>
            <w:vAlign w:val="bottom"/>
          </w:tcPr>
          <w:p w14:paraId="7B5C7FC9" w14:textId="77777777" w:rsidR="00C561BD" w:rsidRPr="00224C22" w:rsidRDefault="00C561BD" w:rsidP="00C561BD">
            <w:pPr>
              <w:pStyle w:val="a3"/>
              <w:widowControl/>
              <w:spacing w:line="140" w:lineRule="exact"/>
              <w:ind w:left="0"/>
              <w:rPr>
                <w:b/>
                <w:sz w:val="16"/>
                <w:szCs w:val="16"/>
                <w:u w:val="single"/>
              </w:rPr>
            </w:pPr>
          </w:p>
        </w:tc>
        <w:tc>
          <w:tcPr>
            <w:tcW w:w="113" w:type="dxa"/>
          </w:tcPr>
          <w:p w14:paraId="269F31E4" w14:textId="77777777" w:rsidR="00C561BD" w:rsidRPr="00224C22" w:rsidRDefault="00C561BD" w:rsidP="00C561BD">
            <w:pPr>
              <w:pStyle w:val="a3"/>
              <w:widowControl/>
              <w:spacing w:line="140" w:lineRule="exact"/>
              <w:ind w:left="0"/>
              <w:rPr>
                <w:b/>
                <w:sz w:val="16"/>
                <w:szCs w:val="16"/>
                <w:u w:val="single"/>
              </w:rPr>
            </w:pPr>
          </w:p>
        </w:tc>
        <w:tc>
          <w:tcPr>
            <w:tcW w:w="607" w:type="dxa"/>
            <w:tcBorders>
              <w:top w:val="single" w:sz="6" w:space="0" w:color="auto"/>
              <w:left w:val="nil"/>
              <w:right w:val="nil"/>
            </w:tcBorders>
            <w:shd w:val="clear" w:color="auto" w:fill="auto"/>
          </w:tcPr>
          <w:p w14:paraId="4449B2A6" w14:textId="77777777" w:rsidR="00C561BD" w:rsidRPr="00224C22" w:rsidRDefault="00C561BD" w:rsidP="00C561BD">
            <w:pPr>
              <w:pStyle w:val="a3"/>
              <w:widowControl/>
              <w:spacing w:line="140" w:lineRule="exact"/>
              <w:ind w:left="0"/>
              <w:rPr>
                <w:b/>
                <w:sz w:val="16"/>
                <w:szCs w:val="16"/>
                <w:u w:val="single"/>
              </w:rPr>
            </w:pPr>
          </w:p>
        </w:tc>
      </w:tr>
      <w:tr w:rsidR="00CF57B7" w:rsidRPr="00224C22" w14:paraId="316CD361" w14:textId="77777777" w:rsidTr="00A7568E">
        <w:tc>
          <w:tcPr>
            <w:tcW w:w="972" w:type="dxa"/>
          </w:tcPr>
          <w:p w14:paraId="634B2C66" w14:textId="77777777" w:rsidR="00C561BD" w:rsidRPr="00224C22" w:rsidRDefault="00C561BD" w:rsidP="00C561BD">
            <w:pPr>
              <w:pStyle w:val="a3"/>
              <w:spacing w:line="140" w:lineRule="exact"/>
              <w:rPr>
                <w:sz w:val="12"/>
                <w:szCs w:val="12"/>
                <w:u w:val="single"/>
                <w:rtl/>
              </w:rPr>
            </w:pPr>
          </w:p>
        </w:tc>
        <w:tc>
          <w:tcPr>
            <w:tcW w:w="2682" w:type="dxa"/>
            <w:vAlign w:val="bottom"/>
          </w:tcPr>
          <w:p w14:paraId="55F337FE" w14:textId="54AD506D" w:rsidR="00C561BD" w:rsidRDefault="00C561BD" w:rsidP="00AF4CE7">
            <w:pPr>
              <w:pStyle w:val="a3"/>
              <w:tabs>
                <w:tab w:val="left" w:pos="227"/>
                <w:tab w:val="left" w:pos="397"/>
                <w:tab w:val="left" w:pos="567"/>
              </w:tabs>
              <w:spacing w:line="140" w:lineRule="exact"/>
              <w:rPr>
                <w:sz w:val="16"/>
                <w:szCs w:val="16"/>
                <w:u w:val="single"/>
              </w:rPr>
            </w:pPr>
            <w:r w:rsidRPr="00224C22">
              <w:rPr>
                <w:rFonts w:hint="eastAsia"/>
                <w:sz w:val="16"/>
                <w:szCs w:val="16"/>
                <w:u w:val="single"/>
                <w:rtl/>
              </w:rPr>
              <w:t>יתרה</w:t>
            </w:r>
            <w:r w:rsidRPr="00224C22">
              <w:rPr>
                <w:sz w:val="16"/>
                <w:szCs w:val="16"/>
                <w:u w:val="single"/>
                <w:rtl/>
              </w:rPr>
              <w:t xml:space="preserve"> ליום 30 בספטמבר, </w:t>
            </w:r>
            <w:r w:rsidR="006231DA">
              <w:rPr>
                <w:rFonts w:hint="cs"/>
                <w:sz w:val="16"/>
                <w:szCs w:val="16"/>
                <w:u w:val="single"/>
                <w:rtl/>
              </w:rPr>
              <w:t>201</w:t>
            </w:r>
            <w:r w:rsidR="00AF4CE7">
              <w:rPr>
                <w:rFonts w:hint="cs"/>
                <w:sz w:val="16"/>
                <w:szCs w:val="16"/>
                <w:u w:val="single"/>
                <w:rtl/>
              </w:rPr>
              <w:t>9</w:t>
            </w:r>
          </w:p>
        </w:tc>
        <w:tc>
          <w:tcPr>
            <w:tcW w:w="113" w:type="dxa"/>
            <w:vAlign w:val="bottom"/>
          </w:tcPr>
          <w:p w14:paraId="6EB7FD89" w14:textId="77777777" w:rsidR="00C561BD" w:rsidRPr="00224C22" w:rsidRDefault="00C561BD" w:rsidP="00C561BD">
            <w:pPr>
              <w:spacing w:line="140" w:lineRule="exact"/>
              <w:jc w:val="left"/>
              <w:rPr>
                <w:sz w:val="16"/>
                <w:szCs w:val="16"/>
              </w:rPr>
            </w:pPr>
          </w:p>
        </w:tc>
        <w:tc>
          <w:tcPr>
            <w:tcW w:w="621" w:type="dxa"/>
            <w:tcBorders>
              <w:top w:val="nil"/>
              <w:left w:val="nil"/>
              <w:bottom w:val="double" w:sz="6" w:space="0" w:color="auto"/>
              <w:right w:val="nil"/>
            </w:tcBorders>
            <w:shd w:val="clear" w:color="auto" w:fill="auto"/>
            <w:vAlign w:val="bottom"/>
          </w:tcPr>
          <w:p w14:paraId="2386710C"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77ABB1FF"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bottom w:val="double" w:sz="6" w:space="0" w:color="auto"/>
              <w:right w:val="nil"/>
            </w:tcBorders>
            <w:shd w:val="clear" w:color="auto" w:fill="auto"/>
            <w:vAlign w:val="bottom"/>
          </w:tcPr>
          <w:p w14:paraId="10D87F46"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5C9748D1"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double" w:sz="6" w:space="0" w:color="auto"/>
              <w:right w:val="nil"/>
            </w:tcBorders>
            <w:shd w:val="clear" w:color="auto" w:fill="auto"/>
            <w:vAlign w:val="bottom"/>
          </w:tcPr>
          <w:p w14:paraId="32D15018" w14:textId="77777777" w:rsidR="00C561BD" w:rsidRPr="00224C22" w:rsidRDefault="00C561BD" w:rsidP="00C561BD">
            <w:pPr>
              <w:tabs>
                <w:tab w:val="decimal" w:pos="113"/>
              </w:tabs>
              <w:spacing w:line="140" w:lineRule="exact"/>
              <w:rPr>
                <w:sz w:val="16"/>
                <w:szCs w:val="16"/>
              </w:rPr>
            </w:pPr>
          </w:p>
        </w:tc>
        <w:tc>
          <w:tcPr>
            <w:tcW w:w="113" w:type="dxa"/>
          </w:tcPr>
          <w:p w14:paraId="22FA7E37" w14:textId="77777777" w:rsidR="00C561BD" w:rsidRPr="00224C22" w:rsidRDefault="00C561BD" w:rsidP="00C561BD">
            <w:pPr>
              <w:tabs>
                <w:tab w:val="decimal" w:pos="113"/>
              </w:tabs>
              <w:spacing w:line="140" w:lineRule="exact"/>
              <w:rPr>
                <w:sz w:val="16"/>
                <w:szCs w:val="16"/>
              </w:rPr>
            </w:pPr>
          </w:p>
        </w:tc>
        <w:tc>
          <w:tcPr>
            <w:tcW w:w="677" w:type="dxa"/>
            <w:tcBorders>
              <w:top w:val="nil"/>
              <w:left w:val="nil"/>
              <w:bottom w:val="double" w:sz="6" w:space="0" w:color="auto"/>
              <w:right w:val="nil"/>
            </w:tcBorders>
            <w:shd w:val="clear" w:color="auto" w:fill="auto"/>
          </w:tcPr>
          <w:p w14:paraId="7EC8C11E" w14:textId="77777777" w:rsidR="00C561BD" w:rsidRPr="00224C22" w:rsidRDefault="00C561BD" w:rsidP="00C561BD">
            <w:pPr>
              <w:tabs>
                <w:tab w:val="decimal" w:pos="113"/>
              </w:tabs>
              <w:spacing w:line="140" w:lineRule="exact"/>
              <w:rPr>
                <w:sz w:val="16"/>
                <w:szCs w:val="16"/>
              </w:rPr>
            </w:pPr>
          </w:p>
        </w:tc>
        <w:tc>
          <w:tcPr>
            <w:tcW w:w="113" w:type="dxa"/>
          </w:tcPr>
          <w:p w14:paraId="76A5A47D"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double" w:sz="6" w:space="0" w:color="auto"/>
              <w:right w:val="nil"/>
            </w:tcBorders>
            <w:shd w:val="clear" w:color="auto" w:fill="auto"/>
          </w:tcPr>
          <w:p w14:paraId="4BA454B5" w14:textId="77777777" w:rsidR="00C561BD" w:rsidRPr="00224C22" w:rsidRDefault="00C561BD" w:rsidP="00C561BD">
            <w:pPr>
              <w:tabs>
                <w:tab w:val="decimal" w:pos="113"/>
              </w:tabs>
              <w:spacing w:line="140" w:lineRule="exact"/>
              <w:rPr>
                <w:sz w:val="16"/>
                <w:szCs w:val="16"/>
              </w:rPr>
            </w:pPr>
          </w:p>
        </w:tc>
        <w:tc>
          <w:tcPr>
            <w:tcW w:w="113" w:type="dxa"/>
            <w:vAlign w:val="bottom"/>
          </w:tcPr>
          <w:p w14:paraId="7A5282FC"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bottom w:val="double" w:sz="6" w:space="0" w:color="auto"/>
              <w:right w:val="nil"/>
            </w:tcBorders>
            <w:shd w:val="clear" w:color="auto" w:fill="auto"/>
            <w:vAlign w:val="bottom"/>
          </w:tcPr>
          <w:p w14:paraId="4A77F894" w14:textId="77777777" w:rsidR="00C561BD" w:rsidRPr="00224C22" w:rsidRDefault="00C561BD" w:rsidP="00C561BD">
            <w:pPr>
              <w:tabs>
                <w:tab w:val="decimal" w:pos="113"/>
              </w:tabs>
              <w:spacing w:line="140" w:lineRule="exact"/>
              <w:rPr>
                <w:sz w:val="16"/>
                <w:szCs w:val="16"/>
              </w:rPr>
            </w:pPr>
          </w:p>
        </w:tc>
        <w:tc>
          <w:tcPr>
            <w:tcW w:w="113" w:type="dxa"/>
            <w:vAlign w:val="bottom"/>
          </w:tcPr>
          <w:p w14:paraId="7788297E" w14:textId="77777777" w:rsidR="00C561BD" w:rsidRPr="00224C22" w:rsidRDefault="00C561BD" w:rsidP="00C561BD">
            <w:pPr>
              <w:tabs>
                <w:tab w:val="decimal" w:pos="113"/>
              </w:tabs>
              <w:spacing w:line="140" w:lineRule="exact"/>
              <w:rPr>
                <w:sz w:val="16"/>
                <w:szCs w:val="16"/>
              </w:rPr>
            </w:pPr>
          </w:p>
        </w:tc>
        <w:tc>
          <w:tcPr>
            <w:tcW w:w="734" w:type="dxa"/>
            <w:tcBorders>
              <w:top w:val="nil"/>
              <w:left w:val="nil"/>
              <w:bottom w:val="double" w:sz="6" w:space="0" w:color="auto"/>
              <w:right w:val="nil"/>
            </w:tcBorders>
            <w:shd w:val="clear" w:color="auto" w:fill="auto"/>
            <w:vAlign w:val="bottom"/>
          </w:tcPr>
          <w:p w14:paraId="3DACBDE9" w14:textId="77777777" w:rsidR="00C561BD" w:rsidRPr="00224C22" w:rsidRDefault="00C561BD" w:rsidP="00C561BD">
            <w:pPr>
              <w:tabs>
                <w:tab w:val="decimal" w:pos="113"/>
              </w:tabs>
              <w:spacing w:line="140" w:lineRule="exact"/>
              <w:rPr>
                <w:sz w:val="16"/>
                <w:szCs w:val="16"/>
              </w:rPr>
            </w:pPr>
          </w:p>
        </w:tc>
        <w:tc>
          <w:tcPr>
            <w:tcW w:w="113" w:type="dxa"/>
            <w:vAlign w:val="bottom"/>
          </w:tcPr>
          <w:p w14:paraId="26FE664B"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double" w:sz="6" w:space="0" w:color="auto"/>
              <w:right w:val="nil"/>
            </w:tcBorders>
            <w:shd w:val="clear" w:color="auto" w:fill="auto"/>
            <w:vAlign w:val="bottom"/>
          </w:tcPr>
          <w:p w14:paraId="08A70C23" w14:textId="77777777" w:rsidR="00C561BD" w:rsidRPr="00224C22" w:rsidRDefault="00C561BD" w:rsidP="00C561BD">
            <w:pPr>
              <w:tabs>
                <w:tab w:val="decimal" w:pos="113"/>
              </w:tabs>
              <w:spacing w:line="140" w:lineRule="exact"/>
              <w:rPr>
                <w:sz w:val="16"/>
                <w:szCs w:val="16"/>
              </w:rPr>
            </w:pPr>
          </w:p>
        </w:tc>
        <w:tc>
          <w:tcPr>
            <w:tcW w:w="113" w:type="dxa"/>
            <w:vAlign w:val="bottom"/>
          </w:tcPr>
          <w:p w14:paraId="0B8959BC" w14:textId="77777777" w:rsidR="00C561BD" w:rsidRPr="00224C22" w:rsidRDefault="00C561BD" w:rsidP="00C561BD">
            <w:pPr>
              <w:tabs>
                <w:tab w:val="decimal" w:pos="113"/>
              </w:tabs>
              <w:spacing w:line="140" w:lineRule="exact"/>
              <w:rPr>
                <w:sz w:val="16"/>
                <w:szCs w:val="16"/>
              </w:rPr>
            </w:pPr>
          </w:p>
        </w:tc>
        <w:tc>
          <w:tcPr>
            <w:tcW w:w="622" w:type="dxa"/>
            <w:tcBorders>
              <w:left w:val="nil"/>
              <w:bottom w:val="double" w:sz="6" w:space="0" w:color="auto"/>
              <w:right w:val="nil"/>
            </w:tcBorders>
            <w:shd w:val="clear" w:color="auto" w:fill="auto"/>
            <w:vAlign w:val="bottom"/>
          </w:tcPr>
          <w:p w14:paraId="2F442B8F"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547D182" w14:textId="77777777" w:rsidR="00C561BD" w:rsidRPr="00224C22" w:rsidRDefault="00C561BD" w:rsidP="00C561BD">
            <w:pPr>
              <w:tabs>
                <w:tab w:val="decimal" w:pos="113"/>
              </w:tabs>
              <w:spacing w:line="140" w:lineRule="exact"/>
              <w:rPr>
                <w:sz w:val="16"/>
                <w:szCs w:val="16"/>
              </w:rPr>
            </w:pPr>
          </w:p>
        </w:tc>
        <w:tc>
          <w:tcPr>
            <w:tcW w:w="677" w:type="dxa"/>
            <w:tcBorders>
              <w:left w:val="nil"/>
              <w:bottom w:val="double" w:sz="6" w:space="0" w:color="auto"/>
              <w:right w:val="nil"/>
            </w:tcBorders>
            <w:shd w:val="clear" w:color="auto" w:fill="auto"/>
            <w:vAlign w:val="bottom"/>
          </w:tcPr>
          <w:p w14:paraId="0F3D49C9"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D446A87" w14:textId="77777777" w:rsidR="00C561BD" w:rsidRPr="00224C22" w:rsidRDefault="00C561BD" w:rsidP="00C561BD">
            <w:pPr>
              <w:tabs>
                <w:tab w:val="decimal" w:pos="113"/>
              </w:tabs>
              <w:spacing w:line="140" w:lineRule="exact"/>
              <w:rPr>
                <w:sz w:val="16"/>
                <w:szCs w:val="16"/>
              </w:rPr>
            </w:pPr>
          </w:p>
        </w:tc>
        <w:tc>
          <w:tcPr>
            <w:tcW w:w="622" w:type="dxa"/>
            <w:tcBorders>
              <w:left w:val="nil"/>
              <w:bottom w:val="double" w:sz="6" w:space="0" w:color="auto"/>
              <w:right w:val="nil"/>
            </w:tcBorders>
            <w:shd w:val="clear" w:color="auto" w:fill="auto"/>
            <w:vAlign w:val="bottom"/>
          </w:tcPr>
          <w:p w14:paraId="04B793F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1B412D2" w14:textId="77777777" w:rsidR="00C561BD" w:rsidRPr="00224C22" w:rsidRDefault="00C561BD" w:rsidP="00C561BD">
            <w:pPr>
              <w:tabs>
                <w:tab w:val="decimal" w:pos="113"/>
              </w:tabs>
              <w:spacing w:line="140" w:lineRule="exact"/>
              <w:rPr>
                <w:sz w:val="16"/>
                <w:szCs w:val="16"/>
              </w:rPr>
            </w:pPr>
          </w:p>
        </w:tc>
        <w:tc>
          <w:tcPr>
            <w:tcW w:w="677" w:type="dxa"/>
            <w:tcBorders>
              <w:left w:val="nil"/>
              <w:bottom w:val="double" w:sz="6" w:space="0" w:color="auto"/>
              <w:right w:val="nil"/>
            </w:tcBorders>
            <w:shd w:val="clear" w:color="auto" w:fill="auto"/>
            <w:vAlign w:val="bottom"/>
          </w:tcPr>
          <w:p w14:paraId="4442BC95"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F49861B" w14:textId="77777777" w:rsidR="00C561BD" w:rsidRPr="00224C22" w:rsidRDefault="00C561BD" w:rsidP="00C561BD">
            <w:pPr>
              <w:tabs>
                <w:tab w:val="decimal" w:pos="113"/>
              </w:tabs>
              <w:spacing w:line="140" w:lineRule="exact"/>
              <w:rPr>
                <w:sz w:val="16"/>
                <w:szCs w:val="16"/>
              </w:rPr>
            </w:pPr>
          </w:p>
        </w:tc>
        <w:tc>
          <w:tcPr>
            <w:tcW w:w="677" w:type="dxa"/>
            <w:tcBorders>
              <w:left w:val="nil"/>
              <w:bottom w:val="double" w:sz="6" w:space="0" w:color="auto"/>
              <w:right w:val="nil"/>
            </w:tcBorders>
            <w:shd w:val="clear" w:color="auto" w:fill="auto"/>
            <w:vAlign w:val="bottom"/>
          </w:tcPr>
          <w:p w14:paraId="52AA9BD0" w14:textId="77777777" w:rsidR="00C561BD" w:rsidRPr="00224C22" w:rsidRDefault="00C561BD" w:rsidP="00C561BD">
            <w:pPr>
              <w:tabs>
                <w:tab w:val="decimal" w:pos="113"/>
              </w:tabs>
              <w:spacing w:line="140" w:lineRule="exact"/>
              <w:rPr>
                <w:sz w:val="16"/>
                <w:szCs w:val="16"/>
              </w:rPr>
            </w:pPr>
          </w:p>
        </w:tc>
        <w:tc>
          <w:tcPr>
            <w:tcW w:w="113" w:type="dxa"/>
            <w:vAlign w:val="bottom"/>
          </w:tcPr>
          <w:p w14:paraId="76286AE1" w14:textId="77777777" w:rsidR="00C561BD" w:rsidRPr="00224C22" w:rsidRDefault="00C561BD" w:rsidP="00C561BD">
            <w:pPr>
              <w:tabs>
                <w:tab w:val="decimal" w:pos="113"/>
              </w:tabs>
              <w:spacing w:line="140" w:lineRule="exact"/>
              <w:rPr>
                <w:sz w:val="16"/>
                <w:szCs w:val="16"/>
              </w:rPr>
            </w:pPr>
          </w:p>
        </w:tc>
        <w:tc>
          <w:tcPr>
            <w:tcW w:w="677" w:type="dxa"/>
            <w:tcBorders>
              <w:top w:val="nil"/>
              <w:left w:val="nil"/>
              <w:bottom w:val="double" w:sz="6" w:space="0" w:color="auto"/>
              <w:right w:val="nil"/>
            </w:tcBorders>
            <w:shd w:val="clear" w:color="auto" w:fill="auto"/>
            <w:vAlign w:val="bottom"/>
          </w:tcPr>
          <w:p w14:paraId="07991E4C" w14:textId="77777777" w:rsidR="00C561BD" w:rsidRPr="00224C22" w:rsidRDefault="00C561BD" w:rsidP="00C561BD">
            <w:pPr>
              <w:tabs>
                <w:tab w:val="decimal" w:pos="113"/>
              </w:tabs>
              <w:spacing w:line="140" w:lineRule="exact"/>
              <w:rPr>
                <w:sz w:val="16"/>
                <w:szCs w:val="16"/>
              </w:rPr>
            </w:pPr>
          </w:p>
        </w:tc>
        <w:tc>
          <w:tcPr>
            <w:tcW w:w="113" w:type="dxa"/>
            <w:vAlign w:val="bottom"/>
          </w:tcPr>
          <w:p w14:paraId="182BF419"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double" w:sz="6" w:space="0" w:color="auto"/>
              <w:right w:val="nil"/>
            </w:tcBorders>
            <w:shd w:val="clear" w:color="auto" w:fill="auto"/>
            <w:vAlign w:val="bottom"/>
          </w:tcPr>
          <w:p w14:paraId="6940162E" w14:textId="77777777" w:rsidR="00C561BD" w:rsidRPr="00224C22" w:rsidRDefault="00C561BD" w:rsidP="00C561BD">
            <w:pPr>
              <w:tabs>
                <w:tab w:val="decimal" w:pos="113"/>
              </w:tabs>
              <w:spacing w:line="140" w:lineRule="exact"/>
              <w:rPr>
                <w:sz w:val="16"/>
                <w:szCs w:val="16"/>
              </w:rPr>
            </w:pPr>
          </w:p>
        </w:tc>
        <w:tc>
          <w:tcPr>
            <w:tcW w:w="113" w:type="dxa"/>
          </w:tcPr>
          <w:p w14:paraId="5A9FDE44" w14:textId="77777777" w:rsidR="00C561BD" w:rsidRPr="00224C22" w:rsidRDefault="00C561BD" w:rsidP="00C561BD">
            <w:pPr>
              <w:tabs>
                <w:tab w:val="decimal" w:pos="113"/>
              </w:tabs>
              <w:spacing w:line="140" w:lineRule="exact"/>
              <w:rPr>
                <w:sz w:val="16"/>
                <w:szCs w:val="16"/>
              </w:rPr>
            </w:pPr>
          </w:p>
        </w:tc>
        <w:tc>
          <w:tcPr>
            <w:tcW w:w="607" w:type="dxa"/>
            <w:tcBorders>
              <w:top w:val="nil"/>
              <w:left w:val="nil"/>
              <w:bottom w:val="double" w:sz="6" w:space="0" w:color="auto"/>
              <w:right w:val="nil"/>
            </w:tcBorders>
            <w:shd w:val="clear" w:color="auto" w:fill="auto"/>
          </w:tcPr>
          <w:p w14:paraId="421EC4B3" w14:textId="77777777" w:rsidR="00C561BD" w:rsidRPr="00224C22" w:rsidRDefault="00C561BD" w:rsidP="00C561BD">
            <w:pPr>
              <w:tabs>
                <w:tab w:val="decimal" w:pos="113"/>
              </w:tabs>
              <w:spacing w:line="140" w:lineRule="exact"/>
              <w:rPr>
                <w:sz w:val="16"/>
                <w:szCs w:val="16"/>
              </w:rPr>
            </w:pPr>
          </w:p>
        </w:tc>
      </w:tr>
    </w:tbl>
    <w:p w14:paraId="0CC8996E" w14:textId="77777777" w:rsidR="00AD2383" w:rsidRDefault="00AD2383" w:rsidP="00FB1080">
      <w:pPr>
        <w:rPr>
          <w:sz w:val="18"/>
          <w:szCs w:val="18"/>
          <w:rtl/>
        </w:rPr>
      </w:pPr>
    </w:p>
    <w:p w14:paraId="7A59C784" w14:textId="3C7FBB2C" w:rsidR="00C561BD" w:rsidRPr="00FB1080" w:rsidRDefault="00C561BD" w:rsidP="009F14AD">
      <w:pPr>
        <w:rPr>
          <w:rtl/>
        </w:rPr>
      </w:pPr>
      <w:r w:rsidRPr="001C3638">
        <w:rPr>
          <w:rFonts w:hint="cs"/>
          <w:rtl/>
        </w:rPr>
        <w:t>הבאורים המצורפים מהווים חלק בלתי נפרד</w:t>
      </w:r>
      <w:r w:rsidR="00FB1080">
        <w:rPr>
          <w:rFonts w:hint="cs"/>
          <w:rtl/>
        </w:rPr>
        <w:t xml:space="preserve"> מהדוחות הכספיים ביניים מאוחדים</w:t>
      </w:r>
    </w:p>
    <w:p w14:paraId="61481F5E" w14:textId="77777777" w:rsidR="00C561BD" w:rsidRPr="00785F4C" w:rsidRDefault="00C561BD" w:rsidP="00C561BD">
      <w:pPr>
        <w:pStyle w:val="1"/>
        <w:rPr>
          <w:rtl/>
        </w:rPr>
      </w:pPr>
      <w:r>
        <w:rPr>
          <w:rtl/>
        </w:rPr>
        <w:br w:type="page"/>
      </w:r>
      <w:r>
        <w:rPr>
          <w:rFonts w:hint="eastAsia"/>
          <w:rtl/>
        </w:rPr>
        <w:lastRenderedPageBreak/>
        <w:t>דוחות</w:t>
      </w:r>
      <w:r>
        <w:rPr>
          <w:rtl/>
        </w:rPr>
        <w:t xml:space="preserve"> </w:t>
      </w:r>
      <w:r>
        <w:rPr>
          <w:rFonts w:hint="eastAsia"/>
          <w:rtl/>
        </w:rPr>
        <w:t>מאוחדים</w:t>
      </w:r>
      <w:r>
        <w:rPr>
          <w:rtl/>
        </w:rPr>
        <w:t xml:space="preserve"> </w:t>
      </w:r>
      <w:r>
        <w:rPr>
          <w:rFonts w:hint="eastAsia"/>
          <w:rtl/>
        </w:rPr>
        <w:t>על</w:t>
      </w:r>
      <w:r>
        <w:rPr>
          <w:rtl/>
        </w:rPr>
        <w:t xml:space="preserve"> </w:t>
      </w:r>
      <w:r>
        <w:rPr>
          <w:rFonts w:hint="eastAsia"/>
          <w:rtl/>
        </w:rPr>
        <w:t>השינויים</w:t>
      </w:r>
      <w:r>
        <w:rPr>
          <w:rtl/>
        </w:rPr>
        <w:t xml:space="preserve"> </w:t>
      </w:r>
      <w:r w:rsidRPr="002E462C">
        <w:rPr>
          <w:rFonts w:hint="eastAsia"/>
          <w:rtl/>
        </w:rPr>
        <w:t>בהון</w:t>
      </w:r>
      <w:r w:rsidRPr="002E462C">
        <w:rPr>
          <w:rStyle w:val="ab"/>
          <w:b/>
          <w:rtl/>
        </w:rPr>
        <w:footnoteReference w:id="34"/>
      </w:r>
    </w:p>
    <w:tbl>
      <w:tblPr>
        <w:bidiVisual/>
        <w:tblW w:w="15783" w:type="dxa"/>
        <w:tblInd w:w="60" w:type="dxa"/>
        <w:tblLayout w:type="fixed"/>
        <w:tblCellMar>
          <w:left w:w="0" w:type="dxa"/>
          <w:right w:w="0" w:type="dxa"/>
        </w:tblCellMar>
        <w:tblLook w:val="0000" w:firstRow="0" w:lastRow="0" w:firstColumn="0" w:lastColumn="0" w:noHBand="0" w:noVBand="0"/>
      </w:tblPr>
      <w:tblGrid>
        <w:gridCol w:w="972"/>
        <w:gridCol w:w="2682"/>
        <w:gridCol w:w="113"/>
        <w:gridCol w:w="621"/>
        <w:gridCol w:w="112"/>
        <w:gridCol w:w="621"/>
        <w:gridCol w:w="113"/>
        <w:gridCol w:w="622"/>
        <w:gridCol w:w="113"/>
        <w:gridCol w:w="677"/>
        <w:gridCol w:w="113"/>
        <w:gridCol w:w="622"/>
        <w:gridCol w:w="113"/>
        <w:gridCol w:w="246"/>
        <w:gridCol w:w="376"/>
        <w:gridCol w:w="113"/>
        <w:gridCol w:w="734"/>
        <w:gridCol w:w="113"/>
        <w:gridCol w:w="622"/>
        <w:gridCol w:w="113"/>
        <w:gridCol w:w="622"/>
        <w:gridCol w:w="113"/>
        <w:gridCol w:w="677"/>
        <w:gridCol w:w="113"/>
        <w:gridCol w:w="622"/>
        <w:gridCol w:w="113"/>
        <w:gridCol w:w="677"/>
        <w:gridCol w:w="113"/>
        <w:gridCol w:w="677"/>
        <w:gridCol w:w="113"/>
        <w:gridCol w:w="677"/>
        <w:gridCol w:w="113"/>
        <w:gridCol w:w="622"/>
        <w:gridCol w:w="113"/>
        <w:gridCol w:w="607"/>
      </w:tblGrid>
      <w:tr w:rsidR="00030A77" w:rsidRPr="00224C22" w14:paraId="1BB59910" w14:textId="77777777" w:rsidTr="00435B3C">
        <w:tc>
          <w:tcPr>
            <w:tcW w:w="972" w:type="dxa"/>
            <w:tcBorders>
              <w:bottom w:val="single" w:sz="4" w:space="0" w:color="auto"/>
              <w:right w:val="single" w:sz="4" w:space="0" w:color="auto"/>
            </w:tcBorders>
            <w:vAlign w:val="center"/>
          </w:tcPr>
          <w:p w14:paraId="37434B33" w14:textId="77777777" w:rsidR="00DF2E38" w:rsidRPr="00224C22" w:rsidRDefault="00030A77" w:rsidP="00D8256B">
            <w:pPr>
              <w:bidi w:val="0"/>
              <w:spacing w:line="140" w:lineRule="exact"/>
              <w:ind w:right="110"/>
              <w:jc w:val="right"/>
              <w:rPr>
                <w:i/>
                <w:iCs/>
                <w:sz w:val="12"/>
                <w:szCs w:val="12"/>
              </w:rPr>
            </w:pPr>
            <w:r w:rsidRPr="00224C22">
              <w:rPr>
                <w:rFonts w:hint="cs"/>
                <w:i/>
                <w:iCs/>
                <w:sz w:val="12"/>
                <w:szCs w:val="12"/>
              </w:rPr>
              <w:t>IAS</w:t>
            </w:r>
            <w:r w:rsidR="00382A77" w:rsidRPr="00224C22">
              <w:rPr>
                <w:i/>
                <w:iCs/>
                <w:sz w:val="12"/>
                <w:szCs w:val="12"/>
              </w:rPr>
              <w:t> 1.10(c);</w:t>
            </w:r>
          </w:p>
          <w:p w14:paraId="2BA8C037" w14:textId="77777777" w:rsidR="00030A77" w:rsidRPr="00224C22" w:rsidRDefault="00382A77" w:rsidP="00D8256B">
            <w:pPr>
              <w:bidi w:val="0"/>
              <w:spacing w:line="140" w:lineRule="exact"/>
              <w:ind w:right="110"/>
              <w:jc w:val="right"/>
              <w:rPr>
                <w:i/>
                <w:iCs/>
                <w:sz w:val="12"/>
                <w:szCs w:val="12"/>
              </w:rPr>
            </w:pPr>
            <w:r w:rsidRPr="00224C22">
              <w:rPr>
                <w:i/>
                <w:iCs/>
                <w:sz w:val="12"/>
                <w:szCs w:val="12"/>
              </w:rPr>
              <w:t>IAS 1.51 (b), (c); IAS 34.10</w:t>
            </w:r>
          </w:p>
        </w:tc>
        <w:tc>
          <w:tcPr>
            <w:tcW w:w="2682" w:type="dxa"/>
            <w:tcBorders>
              <w:left w:val="single" w:sz="4" w:space="0" w:color="auto"/>
            </w:tcBorders>
            <w:vAlign w:val="bottom"/>
          </w:tcPr>
          <w:p w14:paraId="03E2CBE9" w14:textId="77777777" w:rsidR="00030A77" w:rsidRPr="00224C22" w:rsidRDefault="00030A77" w:rsidP="00DF2E38">
            <w:pPr>
              <w:tabs>
                <w:tab w:val="left" w:pos="227"/>
                <w:tab w:val="left" w:pos="397"/>
                <w:tab w:val="left" w:pos="567"/>
              </w:tabs>
              <w:spacing w:line="180" w:lineRule="exact"/>
              <w:jc w:val="left"/>
              <w:rPr>
                <w:sz w:val="16"/>
                <w:szCs w:val="16"/>
              </w:rPr>
            </w:pPr>
          </w:p>
        </w:tc>
        <w:tc>
          <w:tcPr>
            <w:tcW w:w="113" w:type="dxa"/>
            <w:vAlign w:val="bottom"/>
          </w:tcPr>
          <w:p w14:paraId="2EB55986" w14:textId="77777777" w:rsidR="00030A77" w:rsidRPr="00224C22" w:rsidRDefault="00030A77" w:rsidP="00382A77">
            <w:pPr>
              <w:spacing w:line="180" w:lineRule="exact"/>
              <w:jc w:val="left"/>
              <w:rPr>
                <w:sz w:val="16"/>
                <w:szCs w:val="16"/>
              </w:rPr>
            </w:pPr>
          </w:p>
        </w:tc>
        <w:tc>
          <w:tcPr>
            <w:tcW w:w="10561" w:type="dxa"/>
            <w:gridSpan w:val="28"/>
            <w:tcBorders>
              <w:left w:val="nil"/>
              <w:bottom w:val="single" w:sz="6" w:space="0" w:color="auto"/>
            </w:tcBorders>
            <w:shd w:val="clear" w:color="auto" w:fill="auto"/>
            <w:vAlign w:val="bottom"/>
          </w:tcPr>
          <w:p w14:paraId="7E384623" w14:textId="77777777" w:rsidR="00030A77" w:rsidRPr="00224C22" w:rsidRDefault="00030A77" w:rsidP="00382A77">
            <w:pPr>
              <w:spacing w:line="180" w:lineRule="exact"/>
              <w:jc w:val="center"/>
              <w:rPr>
                <w:sz w:val="16"/>
                <w:szCs w:val="16"/>
                <w:rtl/>
              </w:rPr>
            </w:pPr>
            <w:r w:rsidRPr="00224C22">
              <w:rPr>
                <w:rFonts w:hint="cs"/>
                <w:sz w:val="16"/>
                <w:szCs w:val="16"/>
                <w:rtl/>
              </w:rPr>
              <w:t>מיוחס לבעלי מניות החברה</w:t>
            </w:r>
          </w:p>
        </w:tc>
        <w:tc>
          <w:tcPr>
            <w:tcW w:w="113" w:type="dxa"/>
            <w:tcBorders>
              <w:left w:val="nil"/>
            </w:tcBorders>
            <w:vAlign w:val="bottom"/>
          </w:tcPr>
          <w:p w14:paraId="4FE7B276" w14:textId="77777777" w:rsidR="00030A77" w:rsidRPr="00224C22" w:rsidRDefault="00030A77" w:rsidP="00382A77">
            <w:pPr>
              <w:spacing w:line="180" w:lineRule="exact"/>
              <w:jc w:val="center"/>
              <w:rPr>
                <w:sz w:val="16"/>
                <w:szCs w:val="16"/>
              </w:rPr>
            </w:pPr>
          </w:p>
        </w:tc>
        <w:tc>
          <w:tcPr>
            <w:tcW w:w="622" w:type="dxa"/>
            <w:tcBorders>
              <w:left w:val="nil"/>
              <w:right w:val="nil"/>
            </w:tcBorders>
            <w:shd w:val="clear" w:color="auto" w:fill="auto"/>
            <w:vAlign w:val="bottom"/>
          </w:tcPr>
          <w:p w14:paraId="06B63B8D" w14:textId="77777777" w:rsidR="00030A77" w:rsidRPr="00224C22" w:rsidRDefault="00030A77" w:rsidP="00382A77">
            <w:pPr>
              <w:spacing w:line="180" w:lineRule="exact"/>
              <w:jc w:val="center"/>
              <w:rPr>
                <w:sz w:val="16"/>
                <w:szCs w:val="16"/>
                <w:rtl/>
              </w:rPr>
            </w:pPr>
          </w:p>
        </w:tc>
        <w:tc>
          <w:tcPr>
            <w:tcW w:w="113" w:type="dxa"/>
            <w:vAlign w:val="bottom"/>
          </w:tcPr>
          <w:p w14:paraId="18174C2B" w14:textId="77777777" w:rsidR="00030A77" w:rsidRPr="00224C22" w:rsidRDefault="00030A77" w:rsidP="00382A77">
            <w:pPr>
              <w:spacing w:line="180" w:lineRule="exact"/>
              <w:jc w:val="center"/>
              <w:rPr>
                <w:sz w:val="16"/>
                <w:szCs w:val="16"/>
              </w:rPr>
            </w:pPr>
          </w:p>
        </w:tc>
        <w:tc>
          <w:tcPr>
            <w:tcW w:w="607" w:type="dxa"/>
            <w:tcBorders>
              <w:left w:val="nil"/>
              <w:right w:val="nil"/>
            </w:tcBorders>
            <w:shd w:val="clear" w:color="auto" w:fill="auto"/>
            <w:vAlign w:val="bottom"/>
          </w:tcPr>
          <w:p w14:paraId="50D1CD16" w14:textId="77777777" w:rsidR="00030A77" w:rsidRPr="00224C22" w:rsidRDefault="00030A77" w:rsidP="00382A77">
            <w:pPr>
              <w:spacing w:line="180" w:lineRule="exact"/>
              <w:jc w:val="center"/>
              <w:rPr>
                <w:sz w:val="16"/>
                <w:szCs w:val="16"/>
                <w:rtl/>
              </w:rPr>
            </w:pPr>
          </w:p>
        </w:tc>
      </w:tr>
      <w:tr w:rsidR="00030A77" w:rsidRPr="00224C22" w14:paraId="617DB116" w14:textId="77777777" w:rsidTr="00435B3C">
        <w:tc>
          <w:tcPr>
            <w:tcW w:w="972" w:type="dxa"/>
            <w:tcBorders>
              <w:top w:val="single" w:sz="4" w:space="0" w:color="auto"/>
            </w:tcBorders>
            <w:vAlign w:val="center"/>
          </w:tcPr>
          <w:p w14:paraId="20BDCD03" w14:textId="77777777" w:rsidR="00030A77" w:rsidRPr="00224C22" w:rsidRDefault="00030A77" w:rsidP="00D8256B">
            <w:pPr>
              <w:bidi w:val="0"/>
              <w:spacing w:line="140" w:lineRule="exact"/>
              <w:ind w:right="110"/>
              <w:jc w:val="right"/>
              <w:rPr>
                <w:i/>
                <w:iCs/>
                <w:sz w:val="12"/>
                <w:szCs w:val="12"/>
              </w:rPr>
            </w:pPr>
          </w:p>
        </w:tc>
        <w:tc>
          <w:tcPr>
            <w:tcW w:w="2682" w:type="dxa"/>
            <w:vAlign w:val="bottom"/>
          </w:tcPr>
          <w:p w14:paraId="2C6EA988" w14:textId="77777777" w:rsidR="00030A77" w:rsidRPr="00224C22" w:rsidRDefault="00030A77" w:rsidP="00DF2E38">
            <w:pPr>
              <w:tabs>
                <w:tab w:val="left" w:pos="227"/>
                <w:tab w:val="left" w:pos="397"/>
                <w:tab w:val="left" w:pos="567"/>
              </w:tabs>
              <w:spacing w:line="180" w:lineRule="exact"/>
              <w:jc w:val="left"/>
              <w:rPr>
                <w:sz w:val="16"/>
                <w:szCs w:val="16"/>
              </w:rPr>
            </w:pPr>
          </w:p>
        </w:tc>
        <w:tc>
          <w:tcPr>
            <w:tcW w:w="113" w:type="dxa"/>
            <w:vAlign w:val="bottom"/>
          </w:tcPr>
          <w:p w14:paraId="2C6A9E26" w14:textId="77777777" w:rsidR="00030A77" w:rsidRPr="00224C22" w:rsidRDefault="00030A77" w:rsidP="00382A77">
            <w:pPr>
              <w:spacing w:line="180" w:lineRule="exact"/>
              <w:jc w:val="left"/>
              <w:rPr>
                <w:sz w:val="16"/>
                <w:szCs w:val="16"/>
              </w:rPr>
            </w:pPr>
          </w:p>
        </w:tc>
        <w:tc>
          <w:tcPr>
            <w:tcW w:w="621" w:type="dxa"/>
            <w:tcBorders>
              <w:top w:val="single" w:sz="6" w:space="0" w:color="auto"/>
              <w:left w:val="nil"/>
              <w:bottom w:val="single" w:sz="6" w:space="0" w:color="auto"/>
              <w:right w:val="nil"/>
            </w:tcBorders>
            <w:vAlign w:val="bottom"/>
          </w:tcPr>
          <w:p w14:paraId="1141E62F" w14:textId="77777777" w:rsidR="00030A77" w:rsidRPr="00224C22" w:rsidRDefault="00030A77" w:rsidP="00382A77">
            <w:pPr>
              <w:spacing w:line="180" w:lineRule="exact"/>
              <w:jc w:val="center"/>
              <w:rPr>
                <w:sz w:val="16"/>
                <w:szCs w:val="16"/>
                <w:rtl/>
              </w:rPr>
            </w:pPr>
            <w:r w:rsidRPr="00224C22">
              <w:rPr>
                <w:rFonts w:hint="cs"/>
                <w:sz w:val="16"/>
                <w:szCs w:val="16"/>
                <w:rtl/>
              </w:rPr>
              <w:t>הון</w:t>
            </w:r>
          </w:p>
          <w:p w14:paraId="28284C67" w14:textId="77777777" w:rsidR="00030A77" w:rsidRPr="00224C22" w:rsidRDefault="00030A77" w:rsidP="00382A77">
            <w:pPr>
              <w:spacing w:line="180" w:lineRule="exact"/>
              <w:jc w:val="center"/>
              <w:rPr>
                <w:sz w:val="16"/>
                <w:szCs w:val="16"/>
              </w:rPr>
            </w:pPr>
            <w:r w:rsidRPr="00224C22">
              <w:rPr>
                <w:rFonts w:hint="cs"/>
                <w:sz w:val="16"/>
                <w:szCs w:val="16"/>
                <w:rtl/>
              </w:rPr>
              <w:t>מניות</w:t>
            </w:r>
          </w:p>
        </w:tc>
        <w:tc>
          <w:tcPr>
            <w:tcW w:w="112" w:type="dxa"/>
            <w:tcBorders>
              <w:top w:val="single" w:sz="6" w:space="0" w:color="auto"/>
              <w:left w:val="nil"/>
              <w:bottom w:val="nil"/>
              <w:right w:val="nil"/>
            </w:tcBorders>
            <w:vAlign w:val="bottom"/>
          </w:tcPr>
          <w:p w14:paraId="2D07CF28" w14:textId="77777777" w:rsidR="00030A77" w:rsidRPr="00224C22" w:rsidRDefault="00030A77" w:rsidP="00382A77">
            <w:pPr>
              <w:spacing w:line="180" w:lineRule="exact"/>
              <w:jc w:val="left"/>
              <w:rPr>
                <w:sz w:val="16"/>
                <w:szCs w:val="16"/>
              </w:rPr>
            </w:pPr>
          </w:p>
        </w:tc>
        <w:tc>
          <w:tcPr>
            <w:tcW w:w="621" w:type="dxa"/>
            <w:tcBorders>
              <w:top w:val="single" w:sz="6" w:space="0" w:color="auto"/>
              <w:left w:val="nil"/>
              <w:bottom w:val="single" w:sz="6" w:space="0" w:color="auto"/>
              <w:right w:val="nil"/>
            </w:tcBorders>
            <w:vAlign w:val="bottom"/>
          </w:tcPr>
          <w:p w14:paraId="1FA2ECCD" w14:textId="77777777" w:rsidR="00DF2E38" w:rsidRPr="00224C22" w:rsidRDefault="00030A77" w:rsidP="00382A77">
            <w:pPr>
              <w:spacing w:line="180" w:lineRule="exact"/>
              <w:jc w:val="center"/>
              <w:rPr>
                <w:sz w:val="16"/>
                <w:szCs w:val="16"/>
                <w:rtl/>
              </w:rPr>
            </w:pPr>
            <w:r w:rsidRPr="00224C22">
              <w:rPr>
                <w:rFonts w:hint="cs"/>
                <w:sz w:val="16"/>
                <w:szCs w:val="16"/>
                <w:rtl/>
              </w:rPr>
              <w:t xml:space="preserve">פרמיה על </w:t>
            </w:r>
          </w:p>
          <w:p w14:paraId="486341F3" w14:textId="77777777" w:rsidR="00030A77" w:rsidRPr="00224C22" w:rsidRDefault="00030A77" w:rsidP="00382A77">
            <w:pPr>
              <w:spacing w:line="180" w:lineRule="exact"/>
              <w:jc w:val="center"/>
              <w:rPr>
                <w:sz w:val="16"/>
                <w:szCs w:val="16"/>
              </w:rPr>
            </w:pPr>
            <w:r w:rsidRPr="00224C22">
              <w:rPr>
                <w:rFonts w:hint="cs"/>
                <w:sz w:val="16"/>
                <w:szCs w:val="16"/>
                <w:rtl/>
              </w:rPr>
              <w:t>מניות</w:t>
            </w:r>
          </w:p>
        </w:tc>
        <w:tc>
          <w:tcPr>
            <w:tcW w:w="113" w:type="dxa"/>
            <w:tcBorders>
              <w:top w:val="single" w:sz="6" w:space="0" w:color="auto"/>
              <w:left w:val="nil"/>
              <w:bottom w:val="nil"/>
              <w:right w:val="nil"/>
            </w:tcBorders>
            <w:vAlign w:val="bottom"/>
          </w:tcPr>
          <w:p w14:paraId="22E5DA13" w14:textId="77777777" w:rsidR="00030A77" w:rsidRPr="00224C22" w:rsidRDefault="00030A77" w:rsidP="00382A77">
            <w:pPr>
              <w:spacing w:line="180" w:lineRule="exact"/>
              <w:jc w:val="center"/>
              <w:rPr>
                <w:sz w:val="16"/>
                <w:szCs w:val="16"/>
              </w:rPr>
            </w:pPr>
          </w:p>
        </w:tc>
        <w:tc>
          <w:tcPr>
            <w:tcW w:w="622" w:type="dxa"/>
            <w:tcBorders>
              <w:top w:val="single" w:sz="6" w:space="0" w:color="auto"/>
              <w:left w:val="nil"/>
              <w:bottom w:val="single" w:sz="6" w:space="0" w:color="auto"/>
              <w:right w:val="nil"/>
            </w:tcBorders>
            <w:vAlign w:val="bottom"/>
          </w:tcPr>
          <w:p w14:paraId="66EBD9BA" w14:textId="77777777" w:rsidR="00030A77" w:rsidRPr="00224C22" w:rsidRDefault="00030A77" w:rsidP="00382A77">
            <w:pPr>
              <w:spacing w:line="180" w:lineRule="exact"/>
              <w:jc w:val="center"/>
              <w:rPr>
                <w:sz w:val="16"/>
                <w:szCs w:val="16"/>
                <w:rtl/>
              </w:rPr>
            </w:pPr>
            <w:r w:rsidRPr="00224C22">
              <w:rPr>
                <w:rFonts w:hint="cs"/>
                <w:sz w:val="16"/>
                <w:szCs w:val="16"/>
                <w:rtl/>
              </w:rPr>
              <w:t>כתבי</w:t>
            </w:r>
          </w:p>
          <w:p w14:paraId="010C91B6" w14:textId="77777777" w:rsidR="00030A77" w:rsidRPr="00224C22" w:rsidRDefault="00030A77" w:rsidP="00382A77">
            <w:pPr>
              <w:spacing w:line="180" w:lineRule="exact"/>
              <w:jc w:val="center"/>
              <w:rPr>
                <w:sz w:val="16"/>
                <w:szCs w:val="16"/>
              </w:rPr>
            </w:pPr>
            <w:r w:rsidRPr="00224C22">
              <w:rPr>
                <w:rFonts w:hint="cs"/>
                <w:sz w:val="16"/>
                <w:szCs w:val="16"/>
                <w:rtl/>
              </w:rPr>
              <w:t xml:space="preserve"> אופציה</w:t>
            </w:r>
          </w:p>
        </w:tc>
        <w:tc>
          <w:tcPr>
            <w:tcW w:w="113" w:type="dxa"/>
            <w:tcBorders>
              <w:top w:val="single" w:sz="6" w:space="0" w:color="auto"/>
              <w:left w:val="nil"/>
              <w:bottom w:val="nil"/>
              <w:right w:val="nil"/>
            </w:tcBorders>
            <w:vAlign w:val="bottom"/>
          </w:tcPr>
          <w:p w14:paraId="5A3E9E20" w14:textId="77777777" w:rsidR="00030A77" w:rsidRPr="00224C22" w:rsidRDefault="00030A77" w:rsidP="00382A77">
            <w:pPr>
              <w:spacing w:line="180" w:lineRule="exact"/>
              <w:jc w:val="center"/>
              <w:rPr>
                <w:sz w:val="16"/>
                <w:szCs w:val="16"/>
              </w:rPr>
            </w:pPr>
          </w:p>
        </w:tc>
        <w:tc>
          <w:tcPr>
            <w:tcW w:w="677" w:type="dxa"/>
            <w:tcBorders>
              <w:top w:val="single" w:sz="6" w:space="0" w:color="auto"/>
              <w:left w:val="nil"/>
              <w:bottom w:val="single" w:sz="6" w:space="0" w:color="auto"/>
              <w:right w:val="nil"/>
            </w:tcBorders>
            <w:vAlign w:val="bottom"/>
          </w:tcPr>
          <w:p w14:paraId="2F451582" w14:textId="03C18567" w:rsidR="00030A77" w:rsidRPr="00224C22" w:rsidRDefault="00516850" w:rsidP="003B7504">
            <w:pPr>
              <w:spacing w:line="180" w:lineRule="exact"/>
              <w:jc w:val="center"/>
              <w:rPr>
                <w:sz w:val="16"/>
                <w:szCs w:val="16"/>
              </w:rPr>
            </w:pPr>
            <w:r w:rsidRPr="00224C22">
              <w:rPr>
                <w:rFonts w:hint="cs"/>
                <w:sz w:val="16"/>
                <w:szCs w:val="16"/>
                <w:rtl/>
              </w:rPr>
              <w:t>קרן בגין עסקאות  עם בעלי זכויות שאינן מקנות שליטה</w:t>
            </w:r>
            <w:r w:rsidRPr="00224C22">
              <w:rPr>
                <w:rStyle w:val="ab"/>
                <w:sz w:val="16"/>
                <w:szCs w:val="16"/>
                <w:rtl/>
              </w:rPr>
              <w:footnoteReference w:id="35"/>
            </w:r>
          </w:p>
        </w:tc>
        <w:tc>
          <w:tcPr>
            <w:tcW w:w="113" w:type="dxa"/>
            <w:tcBorders>
              <w:top w:val="single" w:sz="6" w:space="0" w:color="auto"/>
              <w:left w:val="nil"/>
              <w:bottom w:val="nil"/>
              <w:right w:val="nil"/>
            </w:tcBorders>
            <w:vAlign w:val="bottom"/>
          </w:tcPr>
          <w:p w14:paraId="0856E00A" w14:textId="77777777" w:rsidR="00030A77" w:rsidRPr="00224C22" w:rsidRDefault="00030A77" w:rsidP="00382A77">
            <w:pPr>
              <w:spacing w:line="180" w:lineRule="exact"/>
              <w:jc w:val="center"/>
              <w:rPr>
                <w:sz w:val="16"/>
                <w:szCs w:val="16"/>
              </w:rPr>
            </w:pPr>
          </w:p>
        </w:tc>
        <w:tc>
          <w:tcPr>
            <w:tcW w:w="622" w:type="dxa"/>
            <w:tcBorders>
              <w:top w:val="single" w:sz="6" w:space="0" w:color="auto"/>
              <w:left w:val="nil"/>
              <w:bottom w:val="single" w:sz="6" w:space="0" w:color="auto"/>
              <w:right w:val="nil"/>
            </w:tcBorders>
            <w:vAlign w:val="bottom"/>
          </w:tcPr>
          <w:p w14:paraId="07DDA1E0" w14:textId="77777777" w:rsidR="00030A77" w:rsidRPr="00224C22" w:rsidRDefault="00030A77" w:rsidP="00382A77">
            <w:pPr>
              <w:spacing w:line="180" w:lineRule="exact"/>
              <w:jc w:val="center"/>
              <w:rPr>
                <w:sz w:val="16"/>
                <w:szCs w:val="16"/>
                <w:rtl/>
              </w:rPr>
            </w:pPr>
            <w:r w:rsidRPr="00224C22">
              <w:rPr>
                <w:rFonts w:hint="cs"/>
                <w:sz w:val="16"/>
                <w:szCs w:val="16"/>
                <w:rtl/>
              </w:rPr>
              <w:t xml:space="preserve">מניות </w:t>
            </w:r>
          </w:p>
          <w:p w14:paraId="5C97B15D" w14:textId="77777777" w:rsidR="00030A77" w:rsidRPr="00224C22" w:rsidRDefault="00030A77" w:rsidP="00382A77">
            <w:pPr>
              <w:spacing w:line="180" w:lineRule="exact"/>
              <w:jc w:val="center"/>
              <w:rPr>
                <w:sz w:val="16"/>
                <w:szCs w:val="16"/>
              </w:rPr>
            </w:pPr>
            <w:r w:rsidRPr="00224C22">
              <w:rPr>
                <w:rFonts w:hint="cs"/>
                <w:sz w:val="16"/>
                <w:szCs w:val="16"/>
                <w:rtl/>
              </w:rPr>
              <w:t>אוצר</w:t>
            </w:r>
          </w:p>
        </w:tc>
        <w:tc>
          <w:tcPr>
            <w:tcW w:w="113" w:type="dxa"/>
            <w:tcBorders>
              <w:top w:val="single" w:sz="6" w:space="0" w:color="auto"/>
              <w:left w:val="nil"/>
              <w:bottom w:val="nil"/>
              <w:right w:val="nil"/>
            </w:tcBorders>
            <w:vAlign w:val="bottom"/>
          </w:tcPr>
          <w:p w14:paraId="427C3652" w14:textId="77777777" w:rsidR="00030A77" w:rsidRPr="00224C22" w:rsidRDefault="00030A77" w:rsidP="00382A77">
            <w:pPr>
              <w:spacing w:line="180" w:lineRule="exact"/>
              <w:jc w:val="center"/>
              <w:rPr>
                <w:sz w:val="16"/>
                <w:szCs w:val="16"/>
              </w:rPr>
            </w:pPr>
          </w:p>
        </w:tc>
        <w:tc>
          <w:tcPr>
            <w:tcW w:w="622" w:type="dxa"/>
            <w:gridSpan w:val="2"/>
            <w:tcBorders>
              <w:top w:val="single" w:sz="6" w:space="0" w:color="auto"/>
              <w:left w:val="nil"/>
              <w:bottom w:val="single" w:sz="6" w:space="0" w:color="auto"/>
              <w:right w:val="nil"/>
            </w:tcBorders>
            <w:vAlign w:val="bottom"/>
          </w:tcPr>
          <w:p w14:paraId="323CB318" w14:textId="77777777" w:rsidR="00030A77" w:rsidRPr="00224C22" w:rsidRDefault="00030A77" w:rsidP="00382A77">
            <w:pPr>
              <w:spacing w:line="180" w:lineRule="exact"/>
              <w:jc w:val="center"/>
              <w:rPr>
                <w:sz w:val="16"/>
                <w:szCs w:val="16"/>
              </w:rPr>
            </w:pPr>
            <w:r w:rsidRPr="00224C22">
              <w:rPr>
                <w:rFonts w:hint="cs"/>
                <w:sz w:val="16"/>
                <w:szCs w:val="16"/>
                <w:rtl/>
              </w:rPr>
              <w:t>קרן בגין עסקה עם בעל שליטה</w:t>
            </w:r>
          </w:p>
        </w:tc>
        <w:tc>
          <w:tcPr>
            <w:tcW w:w="113" w:type="dxa"/>
            <w:tcBorders>
              <w:top w:val="single" w:sz="6" w:space="0" w:color="auto"/>
              <w:left w:val="nil"/>
              <w:bottom w:val="nil"/>
              <w:right w:val="nil"/>
            </w:tcBorders>
            <w:vAlign w:val="bottom"/>
          </w:tcPr>
          <w:p w14:paraId="5DAF683F" w14:textId="77777777" w:rsidR="00030A77" w:rsidRPr="00224C22" w:rsidRDefault="00030A77" w:rsidP="00382A77">
            <w:pPr>
              <w:spacing w:line="180" w:lineRule="exact"/>
              <w:jc w:val="center"/>
              <w:rPr>
                <w:sz w:val="16"/>
                <w:szCs w:val="16"/>
              </w:rPr>
            </w:pPr>
          </w:p>
        </w:tc>
        <w:tc>
          <w:tcPr>
            <w:tcW w:w="734" w:type="dxa"/>
            <w:tcBorders>
              <w:top w:val="single" w:sz="6" w:space="0" w:color="auto"/>
              <w:left w:val="nil"/>
              <w:bottom w:val="single" w:sz="6" w:space="0" w:color="auto"/>
              <w:right w:val="nil"/>
            </w:tcBorders>
            <w:vAlign w:val="bottom"/>
          </w:tcPr>
          <w:p w14:paraId="2D3F327F" w14:textId="77777777" w:rsidR="00030A77" w:rsidRPr="00224C22" w:rsidRDefault="00030A77" w:rsidP="00382A77">
            <w:pPr>
              <w:pStyle w:val="a3"/>
              <w:widowControl/>
              <w:spacing w:line="180" w:lineRule="exact"/>
              <w:ind w:left="0"/>
              <w:jc w:val="center"/>
              <w:rPr>
                <w:sz w:val="16"/>
                <w:szCs w:val="16"/>
                <w:rtl/>
              </w:rPr>
            </w:pPr>
            <w:r w:rsidRPr="00224C22">
              <w:rPr>
                <w:rFonts w:hint="cs"/>
                <w:sz w:val="16"/>
                <w:szCs w:val="16"/>
                <w:rtl/>
              </w:rPr>
              <w:t>קרן בגין עסקאות תשלום מבוסס מניות</w:t>
            </w:r>
            <w:r w:rsidRPr="00224C22" w:rsidDel="00FD1F23">
              <w:rPr>
                <w:rFonts w:hint="cs"/>
                <w:sz w:val="16"/>
                <w:szCs w:val="16"/>
                <w:rtl/>
              </w:rPr>
              <w:t xml:space="preserve"> </w:t>
            </w:r>
          </w:p>
        </w:tc>
        <w:tc>
          <w:tcPr>
            <w:tcW w:w="113" w:type="dxa"/>
            <w:tcBorders>
              <w:top w:val="single" w:sz="6" w:space="0" w:color="auto"/>
              <w:left w:val="nil"/>
              <w:bottom w:val="nil"/>
              <w:right w:val="nil"/>
            </w:tcBorders>
            <w:vAlign w:val="bottom"/>
          </w:tcPr>
          <w:p w14:paraId="6C810468" w14:textId="77777777" w:rsidR="00030A77" w:rsidRPr="00224C22" w:rsidRDefault="00030A77" w:rsidP="00382A77">
            <w:pPr>
              <w:spacing w:line="180" w:lineRule="exact"/>
              <w:jc w:val="center"/>
              <w:rPr>
                <w:sz w:val="16"/>
                <w:szCs w:val="16"/>
              </w:rPr>
            </w:pPr>
          </w:p>
        </w:tc>
        <w:tc>
          <w:tcPr>
            <w:tcW w:w="622" w:type="dxa"/>
            <w:tcBorders>
              <w:top w:val="single" w:sz="6" w:space="0" w:color="auto"/>
              <w:left w:val="nil"/>
              <w:bottom w:val="single" w:sz="6" w:space="0" w:color="auto"/>
              <w:right w:val="nil"/>
            </w:tcBorders>
            <w:vAlign w:val="bottom"/>
          </w:tcPr>
          <w:p w14:paraId="2C92F48E" w14:textId="77777777" w:rsidR="00DF2E38" w:rsidRPr="00224C22" w:rsidRDefault="00030A77" w:rsidP="00382A77">
            <w:pPr>
              <w:pStyle w:val="a3"/>
              <w:widowControl/>
              <w:spacing w:line="180" w:lineRule="exact"/>
              <w:ind w:left="0"/>
              <w:jc w:val="center"/>
              <w:rPr>
                <w:sz w:val="16"/>
                <w:szCs w:val="16"/>
                <w:rtl/>
              </w:rPr>
            </w:pPr>
            <w:r w:rsidRPr="00224C22">
              <w:rPr>
                <w:rFonts w:hint="cs"/>
                <w:sz w:val="16"/>
                <w:szCs w:val="16"/>
                <w:rtl/>
              </w:rPr>
              <w:t>יתרת</w:t>
            </w:r>
          </w:p>
          <w:p w14:paraId="1CBCBF49" w14:textId="77777777" w:rsidR="00030A77" w:rsidRPr="00224C22" w:rsidRDefault="00030A77" w:rsidP="00382A77">
            <w:pPr>
              <w:pStyle w:val="a3"/>
              <w:widowControl/>
              <w:spacing w:line="180" w:lineRule="exact"/>
              <w:ind w:left="0"/>
              <w:jc w:val="center"/>
              <w:rPr>
                <w:sz w:val="16"/>
                <w:szCs w:val="16"/>
                <w:rtl/>
              </w:rPr>
            </w:pPr>
            <w:r w:rsidRPr="00224C22">
              <w:rPr>
                <w:rFonts w:hint="cs"/>
                <w:sz w:val="16"/>
                <w:szCs w:val="16"/>
                <w:rtl/>
              </w:rPr>
              <w:t xml:space="preserve"> רווח (הפסד)</w:t>
            </w:r>
          </w:p>
        </w:tc>
        <w:tc>
          <w:tcPr>
            <w:tcW w:w="113" w:type="dxa"/>
            <w:tcBorders>
              <w:top w:val="single" w:sz="6" w:space="0" w:color="auto"/>
              <w:left w:val="nil"/>
              <w:bottom w:val="nil"/>
              <w:right w:val="nil"/>
            </w:tcBorders>
            <w:vAlign w:val="bottom"/>
          </w:tcPr>
          <w:p w14:paraId="100302E1" w14:textId="77777777" w:rsidR="00030A77" w:rsidRPr="00224C22" w:rsidRDefault="00030A77" w:rsidP="00382A77">
            <w:pPr>
              <w:spacing w:line="180" w:lineRule="exact"/>
              <w:jc w:val="center"/>
              <w:rPr>
                <w:sz w:val="16"/>
                <w:szCs w:val="16"/>
              </w:rPr>
            </w:pPr>
          </w:p>
        </w:tc>
        <w:tc>
          <w:tcPr>
            <w:tcW w:w="622" w:type="dxa"/>
            <w:tcBorders>
              <w:top w:val="single" w:sz="6" w:space="0" w:color="auto"/>
              <w:left w:val="nil"/>
              <w:bottom w:val="single" w:sz="6" w:space="0" w:color="auto"/>
              <w:right w:val="nil"/>
            </w:tcBorders>
            <w:shd w:val="clear" w:color="auto" w:fill="auto"/>
            <w:vAlign w:val="bottom"/>
          </w:tcPr>
          <w:p w14:paraId="5E921D6C" w14:textId="77777777" w:rsidR="00030A77" w:rsidRPr="00224C22" w:rsidRDefault="00030A77" w:rsidP="00382A77">
            <w:pPr>
              <w:pStyle w:val="a3"/>
              <w:widowControl/>
              <w:spacing w:line="180" w:lineRule="exact"/>
              <w:ind w:left="0"/>
              <w:jc w:val="center"/>
              <w:rPr>
                <w:sz w:val="16"/>
                <w:szCs w:val="16"/>
                <w:rtl/>
              </w:rPr>
            </w:pPr>
            <w:r w:rsidRPr="00224C22">
              <w:rPr>
                <w:rFonts w:hint="cs"/>
                <w:sz w:val="16"/>
                <w:szCs w:val="16"/>
                <w:rtl/>
              </w:rPr>
              <w:t>קרן הערכה מחדש</w:t>
            </w:r>
          </w:p>
        </w:tc>
        <w:tc>
          <w:tcPr>
            <w:tcW w:w="113" w:type="dxa"/>
            <w:tcBorders>
              <w:top w:val="single" w:sz="6" w:space="0" w:color="auto"/>
              <w:left w:val="nil"/>
              <w:right w:val="nil"/>
            </w:tcBorders>
            <w:shd w:val="clear" w:color="auto" w:fill="auto"/>
          </w:tcPr>
          <w:p w14:paraId="267F8E1B" w14:textId="77777777" w:rsidR="00030A77" w:rsidRPr="00224C22" w:rsidRDefault="00030A77" w:rsidP="00382A77">
            <w:pPr>
              <w:pStyle w:val="a3"/>
              <w:widowControl/>
              <w:spacing w:line="180" w:lineRule="exact"/>
              <w:ind w:left="0"/>
              <w:jc w:val="center"/>
              <w:rPr>
                <w:sz w:val="16"/>
                <w:szCs w:val="16"/>
                <w:rtl/>
              </w:rPr>
            </w:pPr>
          </w:p>
        </w:tc>
        <w:tc>
          <w:tcPr>
            <w:tcW w:w="677" w:type="dxa"/>
            <w:tcBorders>
              <w:top w:val="single" w:sz="6" w:space="0" w:color="auto"/>
              <w:left w:val="nil"/>
              <w:bottom w:val="single" w:sz="6" w:space="0" w:color="auto"/>
              <w:right w:val="nil"/>
            </w:tcBorders>
            <w:shd w:val="clear" w:color="auto" w:fill="auto"/>
            <w:vAlign w:val="bottom"/>
          </w:tcPr>
          <w:p w14:paraId="067B5B6F" w14:textId="1D645511" w:rsidR="00030A77" w:rsidRPr="00224C22" w:rsidRDefault="00030A77" w:rsidP="00827093">
            <w:pPr>
              <w:pStyle w:val="a3"/>
              <w:widowControl/>
              <w:spacing w:line="180" w:lineRule="exact"/>
              <w:ind w:left="0"/>
              <w:jc w:val="center"/>
              <w:rPr>
                <w:sz w:val="16"/>
                <w:szCs w:val="16"/>
                <w:rtl/>
              </w:rPr>
            </w:pPr>
            <w:r w:rsidRPr="00224C22">
              <w:rPr>
                <w:rFonts w:hint="cs"/>
                <w:sz w:val="16"/>
                <w:szCs w:val="16"/>
                <w:rtl/>
              </w:rPr>
              <w:t xml:space="preserve">קרן בגין נכסים פיננסיים </w:t>
            </w:r>
            <w:r w:rsidR="00827093">
              <w:rPr>
                <w:rFonts w:hint="cs"/>
                <w:sz w:val="16"/>
                <w:szCs w:val="16"/>
                <w:rtl/>
              </w:rPr>
              <w:t>הנמדדים בשווי הוגן דרך רווח כולל אחר</w:t>
            </w:r>
          </w:p>
        </w:tc>
        <w:tc>
          <w:tcPr>
            <w:tcW w:w="113" w:type="dxa"/>
            <w:tcBorders>
              <w:top w:val="single" w:sz="6" w:space="0" w:color="auto"/>
              <w:left w:val="nil"/>
              <w:right w:val="nil"/>
            </w:tcBorders>
            <w:shd w:val="clear" w:color="auto" w:fill="auto"/>
          </w:tcPr>
          <w:p w14:paraId="456F5896" w14:textId="77777777" w:rsidR="00030A77" w:rsidRPr="00224C22" w:rsidRDefault="00030A77" w:rsidP="00382A77">
            <w:pPr>
              <w:pStyle w:val="a3"/>
              <w:widowControl/>
              <w:spacing w:line="180" w:lineRule="exact"/>
              <w:ind w:left="0"/>
              <w:jc w:val="center"/>
              <w:rPr>
                <w:sz w:val="16"/>
                <w:szCs w:val="16"/>
                <w:rtl/>
              </w:rPr>
            </w:pPr>
          </w:p>
        </w:tc>
        <w:tc>
          <w:tcPr>
            <w:tcW w:w="622" w:type="dxa"/>
            <w:tcBorders>
              <w:top w:val="single" w:sz="6" w:space="0" w:color="auto"/>
              <w:left w:val="nil"/>
              <w:bottom w:val="single" w:sz="6" w:space="0" w:color="auto"/>
              <w:right w:val="nil"/>
            </w:tcBorders>
            <w:shd w:val="clear" w:color="auto" w:fill="auto"/>
            <w:vAlign w:val="bottom"/>
          </w:tcPr>
          <w:p w14:paraId="5BA65339" w14:textId="77777777" w:rsidR="00DF2E38" w:rsidRPr="00224C22" w:rsidRDefault="00030A77" w:rsidP="00382A77">
            <w:pPr>
              <w:pStyle w:val="a3"/>
              <w:widowControl/>
              <w:spacing w:line="180" w:lineRule="exact"/>
              <w:ind w:left="0"/>
              <w:jc w:val="center"/>
              <w:rPr>
                <w:sz w:val="16"/>
                <w:szCs w:val="16"/>
                <w:rtl/>
              </w:rPr>
            </w:pPr>
            <w:r w:rsidRPr="00224C22">
              <w:rPr>
                <w:rFonts w:hint="cs"/>
                <w:sz w:val="16"/>
                <w:szCs w:val="16"/>
                <w:rtl/>
              </w:rPr>
              <w:t>קרן</w:t>
            </w:r>
          </w:p>
          <w:p w14:paraId="16D39EA8" w14:textId="77777777" w:rsidR="00030A77" w:rsidRPr="00224C22" w:rsidRDefault="00030A77" w:rsidP="00382A77">
            <w:pPr>
              <w:pStyle w:val="a3"/>
              <w:widowControl/>
              <w:spacing w:line="180" w:lineRule="exact"/>
              <w:ind w:left="0"/>
              <w:jc w:val="center"/>
              <w:rPr>
                <w:sz w:val="16"/>
                <w:szCs w:val="16"/>
                <w:rtl/>
              </w:rPr>
            </w:pPr>
            <w:r w:rsidRPr="00224C22">
              <w:rPr>
                <w:rFonts w:hint="cs"/>
                <w:sz w:val="16"/>
                <w:szCs w:val="16"/>
                <w:rtl/>
              </w:rPr>
              <w:t xml:space="preserve"> בגין עסקאות גידור</w:t>
            </w:r>
          </w:p>
        </w:tc>
        <w:tc>
          <w:tcPr>
            <w:tcW w:w="113" w:type="dxa"/>
            <w:tcBorders>
              <w:top w:val="single" w:sz="6" w:space="0" w:color="auto"/>
              <w:left w:val="nil"/>
              <w:right w:val="nil"/>
            </w:tcBorders>
            <w:shd w:val="clear" w:color="auto" w:fill="auto"/>
            <w:vAlign w:val="bottom"/>
          </w:tcPr>
          <w:p w14:paraId="4F7A4A8D" w14:textId="77777777" w:rsidR="00030A77" w:rsidRPr="00224C22" w:rsidRDefault="00030A77" w:rsidP="00382A77">
            <w:pPr>
              <w:pStyle w:val="a3"/>
              <w:widowControl/>
              <w:spacing w:line="180" w:lineRule="exact"/>
              <w:ind w:left="0"/>
              <w:jc w:val="center"/>
              <w:rPr>
                <w:sz w:val="16"/>
                <w:szCs w:val="16"/>
                <w:rtl/>
              </w:rPr>
            </w:pPr>
          </w:p>
        </w:tc>
        <w:tc>
          <w:tcPr>
            <w:tcW w:w="677" w:type="dxa"/>
            <w:tcBorders>
              <w:top w:val="single" w:sz="6" w:space="0" w:color="auto"/>
              <w:left w:val="nil"/>
              <w:bottom w:val="single" w:sz="6" w:space="0" w:color="auto"/>
              <w:right w:val="nil"/>
            </w:tcBorders>
            <w:shd w:val="clear" w:color="auto" w:fill="auto"/>
            <w:vAlign w:val="bottom"/>
          </w:tcPr>
          <w:p w14:paraId="218AF3EB" w14:textId="77777777" w:rsidR="00030A77" w:rsidRPr="00224C22" w:rsidRDefault="00030A77" w:rsidP="00382A77">
            <w:pPr>
              <w:pStyle w:val="a3"/>
              <w:widowControl/>
              <w:spacing w:line="180" w:lineRule="exact"/>
              <w:ind w:left="0"/>
              <w:jc w:val="center"/>
              <w:rPr>
                <w:sz w:val="16"/>
                <w:szCs w:val="16"/>
                <w:rtl/>
              </w:rPr>
            </w:pPr>
            <w:r w:rsidRPr="00224C22">
              <w:rPr>
                <w:rFonts w:hint="cs"/>
                <w:sz w:val="16"/>
                <w:szCs w:val="16"/>
                <w:rtl/>
              </w:rPr>
              <w:t>התאמות הנובעות מתרגום דוחות כספיים של פעילויות חוץ</w:t>
            </w:r>
            <w:r w:rsidRPr="00224C22">
              <w:rPr>
                <w:rStyle w:val="ab"/>
                <w:sz w:val="16"/>
                <w:szCs w:val="16"/>
                <w:rtl/>
              </w:rPr>
              <w:footnoteReference w:id="36"/>
            </w:r>
            <w:r w:rsidRPr="00224C22">
              <w:rPr>
                <w:rFonts w:hint="cs"/>
                <w:sz w:val="16"/>
                <w:szCs w:val="16"/>
                <w:rtl/>
              </w:rPr>
              <w:t xml:space="preserve"> </w:t>
            </w:r>
          </w:p>
        </w:tc>
        <w:tc>
          <w:tcPr>
            <w:tcW w:w="113" w:type="dxa"/>
            <w:tcBorders>
              <w:top w:val="single" w:sz="6" w:space="0" w:color="auto"/>
              <w:left w:val="nil"/>
              <w:right w:val="nil"/>
            </w:tcBorders>
            <w:shd w:val="clear" w:color="auto" w:fill="auto"/>
            <w:vAlign w:val="bottom"/>
          </w:tcPr>
          <w:p w14:paraId="6ABC390A" w14:textId="77777777" w:rsidR="00030A77" w:rsidRPr="00224C22" w:rsidRDefault="00030A77" w:rsidP="00382A77">
            <w:pPr>
              <w:pStyle w:val="a3"/>
              <w:widowControl/>
              <w:spacing w:line="180" w:lineRule="exact"/>
              <w:ind w:left="0"/>
              <w:jc w:val="center"/>
              <w:rPr>
                <w:sz w:val="16"/>
                <w:szCs w:val="16"/>
                <w:rtl/>
              </w:rPr>
            </w:pPr>
          </w:p>
        </w:tc>
        <w:tc>
          <w:tcPr>
            <w:tcW w:w="677" w:type="dxa"/>
            <w:tcBorders>
              <w:top w:val="single" w:sz="6" w:space="0" w:color="auto"/>
              <w:left w:val="nil"/>
              <w:bottom w:val="single" w:sz="6" w:space="0" w:color="auto"/>
              <w:right w:val="nil"/>
            </w:tcBorders>
            <w:shd w:val="clear" w:color="auto" w:fill="auto"/>
            <w:vAlign w:val="bottom"/>
          </w:tcPr>
          <w:p w14:paraId="51E51716" w14:textId="49E24686" w:rsidR="00030A77" w:rsidRPr="00224C22" w:rsidRDefault="00516850" w:rsidP="00382A77">
            <w:pPr>
              <w:pStyle w:val="a3"/>
              <w:widowControl/>
              <w:spacing w:line="180" w:lineRule="exact"/>
              <w:ind w:left="0"/>
              <w:jc w:val="center"/>
              <w:rPr>
                <w:sz w:val="16"/>
                <w:szCs w:val="16"/>
                <w:rtl/>
              </w:rPr>
            </w:pPr>
            <w:r>
              <w:rPr>
                <w:rFonts w:hint="cs"/>
                <w:sz w:val="16"/>
                <w:szCs w:val="16"/>
                <w:rtl/>
              </w:rPr>
              <w:t>קרן בגין מדידה מחדש בשל תכנית להטבה מוגדרת</w:t>
            </w:r>
          </w:p>
        </w:tc>
        <w:tc>
          <w:tcPr>
            <w:tcW w:w="113" w:type="dxa"/>
            <w:tcBorders>
              <w:left w:val="nil"/>
              <w:right w:val="nil"/>
            </w:tcBorders>
            <w:vAlign w:val="bottom"/>
          </w:tcPr>
          <w:p w14:paraId="5CB39AC1" w14:textId="77777777" w:rsidR="00030A77" w:rsidRPr="00224C22" w:rsidRDefault="00030A77" w:rsidP="00382A77">
            <w:pPr>
              <w:spacing w:line="180" w:lineRule="exact"/>
              <w:jc w:val="center"/>
              <w:rPr>
                <w:sz w:val="16"/>
                <w:szCs w:val="16"/>
              </w:rPr>
            </w:pPr>
          </w:p>
        </w:tc>
        <w:tc>
          <w:tcPr>
            <w:tcW w:w="677" w:type="dxa"/>
            <w:tcBorders>
              <w:left w:val="nil"/>
              <w:bottom w:val="single" w:sz="6" w:space="0" w:color="auto"/>
              <w:right w:val="nil"/>
            </w:tcBorders>
            <w:shd w:val="clear" w:color="auto" w:fill="auto"/>
            <w:vAlign w:val="bottom"/>
          </w:tcPr>
          <w:p w14:paraId="7144D04D" w14:textId="77777777" w:rsidR="00030A77" w:rsidRPr="00224C22" w:rsidRDefault="00030A77" w:rsidP="00382A77">
            <w:pPr>
              <w:spacing w:line="180" w:lineRule="exact"/>
              <w:jc w:val="center"/>
              <w:rPr>
                <w:sz w:val="16"/>
                <w:szCs w:val="16"/>
              </w:rPr>
            </w:pPr>
            <w:r w:rsidRPr="00224C22">
              <w:rPr>
                <w:rFonts w:hint="cs"/>
                <w:sz w:val="16"/>
                <w:szCs w:val="16"/>
                <w:rtl/>
              </w:rPr>
              <w:t>סה"כ</w:t>
            </w:r>
          </w:p>
        </w:tc>
        <w:tc>
          <w:tcPr>
            <w:tcW w:w="113" w:type="dxa"/>
            <w:vAlign w:val="bottom"/>
          </w:tcPr>
          <w:p w14:paraId="77F81347" w14:textId="77777777" w:rsidR="00030A77" w:rsidRPr="00224C22" w:rsidRDefault="00030A77" w:rsidP="00382A77">
            <w:pPr>
              <w:spacing w:line="180" w:lineRule="exact"/>
              <w:jc w:val="center"/>
              <w:rPr>
                <w:sz w:val="16"/>
                <w:szCs w:val="16"/>
              </w:rPr>
            </w:pPr>
          </w:p>
        </w:tc>
        <w:tc>
          <w:tcPr>
            <w:tcW w:w="622" w:type="dxa"/>
            <w:tcBorders>
              <w:left w:val="nil"/>
              <w:bottom w:val="single" w:sz="6" w:space="0" w:color="auto"/>
              <w:right w:val="nil"/>
            </w:tcBorders>
            <w:shd w:val="clear" w:color="auto" w:fill="auto"/>
            <w:vAlign w:val="bottom"/>
          </w:tcPr>
          <w:p w14:paraId="03088DFF" w14:textId="77777777" w:rsidR="00030A77" w:rsidRPr="00224C22" w:rsidRDefault="00030A77" w:rsidP="00382A77">
            <w:pPr>
              <w:spacing w:line="180" w:lineRule="exact"/>
              <w:jc w:val="center"/>
              <w:rPr>
                <w:sz w:val="16"/>
                <w:szCs w:val="16"/>
              </w:rPr>
            </w:pPr>
            <w:r w:rsidRPr="00224C22">
              <w:rPr>
                <w:rFonts w:hint="cs"/>
                <w:sz w:val="16"/>
                <w:szCs w:val="16"/>
                <w:rtl/>
              </w:rPr>
              <w:t>זכויות שאינן מקנות שליטה</w:t>
            </w:r>
          </w:p>
        </w:tc>
        <w:tc>
          <w:tcPr>
            <w:tcW w:w="113" w:type="dxa"/>
            <w:vAlign w:val="bottom"/>
          </w:tcPr>
          <w:p w14:paraId="7A3C2535" w14:textId="77777777" w:rsidR="00030A77" w:rsidRPr="00224C22" w:rsidRDefault="00030A77" w:rsidP="00382A77">
            <w:pPr>
              <w:spacing w:line="180" w:lineRule="exact"/>
              <w:jc w:val="center"/>
              <w:rPr>
                <w:sz w:val="16"/>
                <w:szCs w:val="16"/>
              </w:rPr>
            </w:pPr>
          </w:p>
        </w:tc>
        <w:tc>
          <w:tcPr>
            <w:tcW w:w="607" w:type="dxa"/>
            <w:tcBorders>
              <w:left w:val="nil"/>
              <w:bottom w:val="single" w:sz="6" w:space="0" w:color="auto"/>
              <w:right w:val="nil"/>
            </w:tcBorders>
            <w:shd w:val="clear" w:color="auto" w:fill="auto"/>
            <w:vAlign w:val="bottom"/>
          </w:tcPr>
          <w:p w14:paraId="706C5D96" w14:textId="77777777" w:rsidR="00030A77" w:rsidRPr="00224C22" w:rsidRDefault="00030A77" w:rsidP="00382A77">
            <w:pPr>
              <w:spacing w:line="180" w:lineRule="exact"/>
              <w:jc w:val="center"/>
              <w:rPr>
                <w:sz w:val="16"/>
                <w:szCs w:val="16"/>
                <w:rtl/>
              </w:rPr>
            </w:pPr>
            <w:r w:rsidRPr="00224C22">
              <w:rPr>
                <w:rFonts w:hint="cs"/>
                <w:sz w:val="16"/>
                <w:szCs w:val="16"/>
                <w:rtl/>
              </w:rPr>
              <w:t xml:space="preserve">סה"כ </w:t>
            </w:r>
          </w:p>
          <w:p w14:paraId="084F33AA" w14:textId="77777777" w:rsidR="00030A77" w:rsidRPr="00224C22" w:rsidRDefault="00030A77" w:rsidP="00382A77">
            <w:pPr>
              <w:spacing w:line="180" w:lineRule="exact"/>
              <w:jc w:val="center"/>
              <w:rPr>
                <w:sz w:val="16"/>
                <w:szCs w:val="16"/>
              </w:rPr>
            </w:pPr>
            <w:r w:rsidRPr="00224C22">
              <w:rPr>
                <w:rFonts w:hint="cs"/>
                <w:sz w:val="16"/>
                <w:szCs w:val="16"/>
                <w:rtl/>
              </w:rPr>
              <w:t>הון</w:t>
            </w:r>
          </w:p>
        </w:tc>
      </w:tr>
      <w:tr w:rsidR="00030A77" w:rsidRPr="00224C22" w14:paraId="4B18E67B" w14:textId="77777777" w:rsidTr="00435B3C">
        <w:tc>
          <w:tcPr>
            <w:tcW w:w="972" w:type="dxa"/>
            <w:vAlign w:val="center"/>
          </w:tcPr>
          <w:p w14:paraId="2DFF78E7" w14:textId="77777777" w:rsidR="00030A77" w:rsidRPr="00224C22" w:rsidRDefault="00030A77" w:rsidP="00D8256B">
            <w:pPr>
              <w:pStyle w:val="a3"/>
              <w:bidi w:val="0"/>
              <w:spacing w:line="140" w:lineRule="exact"/>
              <w:ind w:left="0" w:right="110"/>
              <w:jc w:val="right"/>
              <w:rPr>
                <w:b/>
                <w:i/>
                <w:iCs/>
                <w:sz w:val="12"/>
                <w:szCs w:val="12"/>
              </w:rPr>
            </w:pPr>
          </w:p>
        </w:tc>
        <w:tc>
          <w:tcPr>
            <w:tcW w:w="2682" w:type="dxa"/>
            <w:vAlign w:val="bottom"/>
          </w:tcPr>
          <w:p w14:paraId="3CCDFC93" w14:textId="77777777" w:rsidR="00030A77" w:rsidRPr="00224C22" w:rsidRDefault="00030A77" w:rsidP="00DF2E38">
            <w:pPr>
              <w:pStyle w:val="a3"/>
              <w:tabs>
                <w:tab w:val="left" w:pos="227"/>
                <w:tab w:val="left" w:pos="397"/>
                <w:tab w:val="left" w:pos="567"/>
              </w:tabs>
              <w:spacing w:line="180" w:lineRule="exact"/>
              <w:ind w:left="0"/>
              <w:rPr>
                <w:b/>
                <w:sz w:val="16"/>
                <w:szCs w:val="16"/>
                <w:u w:val="single"/>
              </w:rPr>
            </w:pPr>
          </w:p>
        </w:tc>
        <w:tc>
          <w:tcPr>
            <w:tcW w:w="113" w:type="dxa"/>
            <w:vAlign w:val="bottom"/>
          </w:tcPr>
          <w:p w14:paraId="455F7841" w14:textId="77777777" w:rsidR="00030A77" w:rsidRPr="00224C22" w:rsidRDefault="00030A77" w:rsidP="00382A77">
            <w:pPr>
              <w:spacing w:line="180" w:lineRule="exact"/>
              <w:jc w:val="left"/>
              <w:rPr>
                <w:sz w:val="16"/>
                <w:szCs w:val="16"/>
              </w:rPr>
            </w:pPr>
          </w:p>
        </w:tc>
        <w:tc>
          <w:tcPr>
            <w:tcW w:w="12016" w:type="dxa"/>
            <w:gridSpan w:val="32"/>
            <w:tcBorders>
              <w:left w:val="nil"/>
              <w:bottom w:val="single" w:sz="6" w:space="0" w:color="auto"/>
              <w:right w:val="nil"/>
            </w:tcBorders>
            <w:shd w:val="clear" w:color="auto" w:fill="auto"/>
            <w:vAlign w:val="bottom"/>
          </w:tcPr>
          <w:p w14:paraId="7A95422E" w14:textId="77777777" w:rsidR="00030A77" w:rsidRPr="00224C22" w:rsidRDefault="00030A77" w:rsidP="00744C06">
            <w:pPr>
              <w:tabs>
                <w:tab w:val="decimal" w:pos="113"/>
              </w:tabs>
              <w:spacing w:line="180" w:lineRule="exact"/>
              <w:jc w:val="center"/>
              <w:rPr>
                <w:sz w:val="16"/>
                <w:szCs w:val="16"/>
                <w:rtl/>
              </w:rPr>
            </w:pPr>
            <w:r w:rsidRPr="00224C22">
              <w:rPr>
                <w:rFonts w:hint="cs"/>
                <w:sz w:val="16"/>
                <w:szCs w:val="16"/>
                <w:rtl/>
              </w:rPr>
              <w:t>בלתי מבוקר</w:t>
            </w:r>
          </w:p>
        </w:tc>
      </w:tr>
      <w:tr w:rsidR="00744C06" w:rsidRPr="00224C22" w14:paraId="0D20BCB3" w14:textId="77777777" w:rsidTr="00435B3C">
        <w:tc>
          <w:tcPr>
            <w:tcW w:w="972" w:type="dxa"/>
            <w:vAlign w:val="center"/>
          </w:tcPr>
          <w:p w14:paraId="154EDB9F" w14:textId="77777777" w:rsidR="00744C06" w:rsidRPr="00224C22" w:rsidRDefault="00744C06" w:rsidP="00D8256B">
            <w:pPr>
              <w:pStyle w:val="a3"/>
              <w:bidi w:val="0"/>
              <w:spacing w:line="140" w:lineRule="exact"/>
              <w:ind w:left="0" w:right="110"/>
              <w:jc w:val="right"/>
              <w:rPr>
                <w:b/>
                <w:i/>
                <w:iCs/>
                <w:sz w:val="12"/>
                <w:szCs w:val="12"/>
              </w:rPr>
            </w:pPr>
          </w:p>
        </w:tc>
        <w:tc>
          <w:tcPr>
            <w:tcW w:w="2682" w:type="dxa"/>
            <w:vAlign w:val="bottom"/>
          </w:tcPr>
          <w:p w14:paraId="0D4C1B90" w14:textId="77777777" w:rsidR="00744C06" w:rsidRPr="00224C22" w:rsidRDefault="00744C06" w:rsidP="00DF2E38">
            <w:pPr>
              <w:pStyle w:val="a3"/>
              <w:tabs>
                <w:tab w:val="left" w:pos="227"/>
                <w:tab w:val="left" w:pos="397"/>
                <w:tab w:val="left" w:pos="567"/>
              </w:tabs>
              <w:spacing w:line="180" w:lineRule="exact"/>
              <w:ind w:left="0"/>
              <w:rPr>
                <w:b/>
                <w:sz w:val="16"/>
                <w:szCs w:val="16"/>
                <w:u w:val="single"/>
              </w:rPr>
            </w:pPr>
          </w:p>
        </w:tc>
        <w:tc>
          <w:tcPr>
            <w:tcW w:w="113" w:type="dxa"/>
            <w:vAlign w:val="bottom"/>
          </w:tcPr>
          <w:p w14:paraId="3BCA0AA7" w14:textId="77777777" w:rsidR="00744C06" w:rsidRPr="00224C22" w:rsidRDefault="00744C06" w:rsidP="00382A77">
            <w:pPr>
              <w:spacing w:line="180" w:lineRule="exact"/>
              <w:jc w:val="left"/>
              <w:rPr>
                <w:sz w:val="16"/>
                <w:szCs w:val="16"/>
              </w:rPr>
            </w:pPr>
          </w:p>
        </w:tc>
        <w:tc>
          <w:tcPr>
            <w:tcW w:w="3973" w:type="dxa"/>
            <w:gridSpan w:val="11"/>
            <w:tcBorders>
              <w:left w:val="nil"/>
              <w:bottom w:val="single" w:sz="6" w:space="0" w:color="auto"/>
              <w:right w:val="nil"/>
            </w:tcBorders>
            <w:shd w:val="clear" w:color="auto" w:fill="auto"/>
            <w:vAlign w:val="bottom"/>
          </w:tcPr>
          <w:p w14:paraId="51076A01" w14:textId="77777777" w:rsidR="00744C06" w:rsidRPr="00744C06" w:rsidRDefault="00744C06" w:rsidP="00744C06">
            <w:pPr>
              <w:tabs>
                <w:tab w:val="decimal" w:pos="113"/>
              </w:tabs>
              <w:bidi w:val="0"/>
              <w:spacing w:line="180" w:lineRule="exact"/>
              <w:jc w:val="left"/>
              <w:rPr>
                <w:i/>
                <w:iCs/>
                <w:sz w:val="13"/>
                <w:szCs w:val="13"/>
              </w:rPr>
            </w:pPr>
            <w:r w:rsidRPr="00744C06">
              <w:rPr>
                <w:rFonts w:hint="cs"/>
                <w:i/>
                <w:iCs/>
                <w:sz w:val="13"/>
                <w:szCs w:val="13"/>
              </w:rPr>
              <w:t>IAS</w:t>
            </w:r>
            <w:r w:rsidRPr="00744C06">
              <w:rPr>
                <w:i/>
                <w:iCs/>
                <w:sz w:val="13"/>
                <w:szCs w:val="13"/>
              </w:rPr>
              <w:t> 1.51(d),(e)</w:t>
            </w:r>
          </w:p>
        </w:tc>
        <w:tc>
          <w:tcPr>
            <w:tcW w:w="8043" w:type="dxa"/>
            <w:gridSpan w:val="21"/>
            <w:tcBorders>
              <w:left w:val="nil"/>
              <w:bottom w:val="single" w:sz="6" w:space="0" w:color="auto"/>
              <w:right w:val="nil"/>
            </w:tcBorders>
            <w:shd w:val="clear" w:color="auto" w:fill="auto"/>
            <w:vAlign w:val="bottom"/>
          </w:tcPr>
          <w:p w14:paraId="247A9131" w14:textId="77777777" w:rsidR="00744C06" w:rsidRPr="00224C22" w:rsidRDefault="00744C06" w:rsidP="00744C06">
            <w:pPr>
              <w:spacing w:line="180" w:lineRule="exact"/>
              <w:ind w:left="1980"/>
              <w:jc w:val="left"/>
              <w:rPr>
                <w:sz w:val="16"/>
                <w:szCs w:val="16"/>
              </w:rPr>
            </w:pPr>
            <w:r w:rsidRPr="00224C22">
              <w:rPr>
                <w:rFonts w:hint="cs"/>
                <w:sz w:val="16"/>
                <w:szCs w:val="16"/>
                <w:rtl/>
              </w:rPr>
              <w:t>אלפי ש"ח</w:t>
            </w:r>
          </w:p>
        </w:tc>
      </w:tr>
      <w:tr w:rsidR="000E53E9" w:rsidRPr="00224C22" w14:paraId="71A943DF" w14:textId="77777777" w:rsidTr="00435B3C">
        <w:tc>
          <w:tcPr>
            <w:tcW w:w="972" w:type="dxa"/>
            <w:vAlign w:val="center"/>
          </w:tcPr>
          <w:p w14:paraId="708F3827" w14:textId="77777777" w:rsidR="000E53E9" w:rsidRPr="00224C22" w:rsidRDefault="000E53E9" w:rsidP="00D8256B">
            <w:pPr>
              <w:pStyle w:val="a3"/>
              <w:bidi w:val="0"/>
              <w:spacing w:line="140" w:lineRule="exact"/>
              <w:ind w:right="110"/>
              <w:jc w:val="right"/>
              <w:rPr>
                <w:b/>
                <w:i/>
                <w:iCs/>
                <w:sz w:val="12"/>
                <w:szCs w:val="12"/>
                <w:rtl/>
              </w:rPr>
            </w:pPr>
          </w:p>
        </w:tc>
        <w:tc>
          <w:tcPr>
            <w:tcW w:w="2682" w:type="dxa"/>
            <w:vAlign w:val="bottom"/>
          </w:tcPr>
          <w:p w14:paraId="416A14CC" w14:textId="2F05FB3F" w:rsidR="000E53E9" w:rsidRPr="00285250" w:rsidRDefault="000E53E9" w:rsidP="00AF4CE7">
            <w:pPr>
              <w:pStyle w:val="a3"/>
              <w:tabs>
                <w:tab w:val="left" w:pos="227"/>
                <w:tab w:val="left" w:pos="397"/>
                <w:tab w:val="left" w:pos="567"/>
              </w:tabs>
              <w:spacing w:line="180" w:lineRule="exact"/>
              <w:ind w:left="227" w:hanging="170"/>
              <w:rPr>
                <w:b/>
                <w:sz w:val="14"/>
                <w:szCs w:val="14"/>
                <w:u w:val="single"/>
                <w:rtl/>
              </w:rPr>
            </w:pPr>
            <w:r w:rsidRPr="00285250">
              <w:rPr>
                <w:rFonts w:hint="cs"/>
                <w:b/>
                <w:sz w:val="14"/>
                <w:szCs w:val="14"/>
                <w:u w:val="single"/>
                <w:rtl/>
              </w:rPr>
              <w:t>יתרה ליום 1 בינואר,2018</w:t>
            </w:r>
            <w:r w:rsidRPr="00285250">
              <w:rPr>
                <w:rFonts w:hint="cs"/>
                <w:b/>
                <w:sz w:val="14"/>
                <w:szCs w:val="14"/>
                <w:rtl/>
              </w:rPr>
              <w:t xml:space="preserve"> (מבוקר)</w:t>
            </w:r>
          </w:p>
        </w:tc>
        <w:tc>
          <w:tcPr>
            <w:tcW w:w="113" w:type="dxa"/>
            <w:vAlign w:val="bottom"/>
          </w:tcPr>
          <w:p w14:paraId="1DACADDA" w14:textId="77777777" w:rsidR="000E53E9" w:rsidRPr="00224C22" w:rsidRDefault="000E53E9" w:rsidP="00382A77">
            <w:pPr>
              <w:spacing w:line="180" w:lineRule="exact"/>
              <w:jc w:val="left"/>
              <w:rPr>
                <w:sz w:val="16"/>
                <w:szCs w:val="16"/>
              </w:rPr>
            </w:pPr>
          </w:p>
        </w:tc>
        <w:tc>
          <w:tcPr>
            <w:tcW w:w="621" w:type="dxa"/>
            <w:shd w:val="clear" w:color="auto" w:fill="auto"/>
            <w:vAlign w:val="bottom"/>
          </w:tcPr>
          <w:p w14:paraId="04965293" w14:textId="77777777" w:rsidR="000E53E9" w:rsidRPr="00224C22" w:rsidRDefault="000E53E9" w:rsidP="00382A77">
            <w:pPr>
              <w:tabs>
                <w:tab w:val="decimal" w:pos="113"/>
              </w:tabs>
              <w:spacing w:line="180" w:lineRule="exact"/>
              <w:jc w:val="left"/>
              <w:rPr>
                <w:sz w:val="16"/>
                <w:szCs w:val="16"/>
              </w:rPr>
            </w:pPr>
          </w:p>
        </w:tc>
        <w:tc>
          <w:tcPr>
            <w:tcW w:w="112" w:type="dxa"/>
            <w:vAlign w:val="bottom"/>
          </w:tcPr>
          <w:p w14:paraId="15EA84BB" w14:textId="77777777" w:rsidR="000E53E9" w:rsidRPr="00224C22" w:rsidRDefault="000E53E9" w:rsidP="00382A77">
            <w:pPr>
              <w:tabs>
                <w:tab w:val="decimal" w:pos="113"/>
              </w:tabs>
              <w:spacing w:line="180" w:lineRule="exact"/>
              <w:jc w:val="left"/>
              <w:rPr>
                <w:sz w:val="16"/>
                <w:szCs w:val="16"/>
              </w:rPr>
            </w:pPr>
          </w:p>
        </w:tc>
        <w:tc>
          <w:tcPr>
            <w:tcW w:w="621" w:type="dxa"/>
            <w:shd w:val="clear" w:color="auto" w:fill="auto"/>
            <w:vAlign w:val="bottom"/>
          </w:tcPr>
          <w:p w14:paraId="60F2BDAB" w14:textId="77777777" w:rsidR="000E53E9" w:rsidRPr="00224C22" w:rsidRDefault="000E53E9" w:rsidP="00382A77">
            <w:pPr>
              <w:tabs>
                <w:tab w:val="decimal" w:pos="113"/>
              </w:tabs>
              <w:spacing w:line="180" w:lineRule="exact"/>
              <w:jc w:val="left"/>
              <w:rPr>
                <w:sz w:val="16"/>
                <w:szCs w:val="16"/>
              </w:rPr>
            </w:pPr>
          </w:p>
        </w:tc>
        <w:tc>
          <w:tcPr>
            <w:tcW w:w="113" w:type="dxa"/>
            <w:vAlign w:val="bottom"/>
          </w:tcPr>
          <w:p w14:paraId="5B632AC0" w14:textId="77777777" w:rsidR="000E53E9" w:rsidRPr="00224C22" w:rsidRDefault="000E53E9" w:rsidP="00382A77">
            <w:pPr>
              <w:tabs>
                <w:tab w:val="decimal" w:pos="113"/>
              </w:tabs>
              <w:spacing w:line="180" w:lineRule="exact"/>
              <w:rPr>
                <w:sz w:val="16"/>
                <w:szCs w:val="16"/>
              </w:rPr>
            </w:pPr>
          </w:p>
        </w:tc>
        <w:tc>
          <w:tcPr>
            <w:tcW w:w="622" w:type="dxa"/>
            <w:shd w:val="clear" w:color="auto" w:fill="auto"/>
            <w:vAlign w:val="bottom"/>
          </w:tcPr>
          <w:p w14:paraId="066BFB98" w14:textId="77777777" w:rsidR="000E53E9" w:rsidRPr="00224C22" w:rsidRDefault="000E53E9" w:rsidP="00382A77">
            <w:pPr>
              <w:tabs>
                <w:tab w:val="decimal" w:pos="113"/>
              </w:tabs>
              <w:spacing w:line="180" w:lineRule="exact"/>
              <w:rPr>
                <w:sz w:val="16"/>
                <w:szCs w:val="16"/>
              </w:rPr>
            </w:pPr>
          </w:p>
        </w:tc>
        <w:tc>
          <w:tcPr>
            <w:tcW w:w="113" w:type="dxa"/>
          </w:tcPr>
          <w:p w14:paraId="779FA2A6" w14:textId="77777777" w:rsidR="000E53E9" w:rsidRPr="00224C22" w:rsidRDefault="000E53E9" w:rsidP="00382A77">
            <w:pPr>
              <w:tabs>
                <w:tab w:val="decimal" w:pos="113"/>
              </w:tabs>
              <w:spacing w:line="180" w:lineRule="exact"/>
              <w:rPr>
                <w:sz w:val="16"/>
                <w:szCs w:val="16"/>
              </w:rPr>
            </w:pPr>
          </w:p>
        </w:tc>
        <w:tc>
          <w:tcPr>
            <w:tcW w:w="677" w:type="dxa"/>
            <w:shd w:val="clear" w:color="auto" w:fill="auto"/>
          </w:tcPr>
          <w:p w14:paraId="422FAF7E" w14:textId="77777777" w:rsidR="000E53E9" w:rsidRPr="00224C22" w:rsidRDefault="000E53E9" w:rsidP="00382A77">
            <w:pPr>
              <w:tabs>
                <w:tab w:val="decimal" w:pos="113"/>
              </w:tabs>
              <w:spacing w:line="180" w:lineRule="exact"/>
              <w:rPr>
                <w:sz w:val="16"/>
                <w:szCs w:val="16"/>
              </w:rPr>
            </w:pPr>
          </w:p>
        </w:tc>
        <w:tc>
          <w:tcPr>
            <w:tcW w:w="113" w:type="dxa"/>
          </w:tcPr>
          <w:p w14:paraId="3A6C51E9" w14:textId="77777777" w:rsidR="000E53E9" w:rsidRPr="00224C22" w:rsidRDefault="000E53E9" w:rsidP="00382A77">
            <w:pPr>
              <w:tabs>
                <w:tab w:val="decimal" w:pos="113"/>
              </w:tabs>
              <w:spacing w:line="180" w:lineRule="exact"/>
              <w:rPr>
                <w:sz w:val="16"/>
                <w:szCs w:val="16"/>
              </w:rPr>
            </w:pPr>
          </w:p>
        </w:tc>
        <w:tc>
          <w:tcPr>
            <w:tcW w:w="622" w:type="dxa"/>
            <w:shd w:val="clear" w:color="auto" w:fill="auto"/>
          </w:tcPr>
          <w:p w14:paraId="688F2904" w14:textId="77777777" w:rsidR="000E53E9" w:rsidRPr="00224C22" w:rsidRDefault="000E53E9" w:rsidP="00382A77">
            <w:pPr>
              <w:tabs>
                <w:tab w:val="decimal" w:pos="113"/>
              </w:tabs>
              <w:spacing w:line="180" w:lineRule="exact"/>
              <w:rPr>
                <w:sz w:val="16"/>
                <w:szCs w:val="16"/>
              </w:rPr>
            </w:pPr>
          </w:p>
        </w:tc>
        <w:tc>
          <w:tcPr>
            <w:tcW w:w="113" w:type="dxa"/>
            <w:vAlign w:val="bottom"/>
          </w:tcPr>
          <w:p w14:paraId="57256255" w14:textId="77777777" w:rsidR="000E53E9" w:rsidRPr="00224C22" w:rsidRDefault="000E53E9" w:rsidP="00382A77">
            <w:pPr>
              <w:tabs>
                <w:tab w:val="decimal" w:pos="113"/>
              </w:tabs>
              <w:spacing w:line="180" w:lineRule="exact"/>
              <w:rPr>
                <w:sz w:val="16"/>
                <w:szCs w:val="16"/>
              </w:rPr>
            </w:pPr>
          </w:p>
        </w:tc>
        <w:tc>
          <w:tcPr>
            <w:tcW w:w="622" w:type="dxa"/>
            <w:gridSpan w:val="2"/>
            <w:shd w:val="clear" w:color="auto" w:fill="auto"/>
            <w:vAlign w:val="bottom"/>
          </w:tcPr>
          <w:p w14:paraId="503A3596" w14:textId="77777777" w:rsidR="000E53E9" w:rsidRPr="00224C22" w:rsidRDefault="000E53E9" w:rsidP="00382A77">
            <w:pPr>
              <w:tabs>
                <w:tab w:val="decimal" w:pos="113"/>
              </w:tabs>
              <w:spacing w:line="180" w:lineRule="exact"/>
              <w:rPr>
                <w:sz w:val="16"/>
                <w:szCs w:val="16"/>
              </w:rPr>
            </w:pPr>
          </w:p>
        </w:tc>
        <w:tc>
          <w:tcPr>
            <w:tcW w:w="113" w:type="dxa"/>
            <w:vAlign w:val="bottom"/>
          </w:tcPr>
          <w:p w14:paraId="6426AC1C" w14:textId="77777777" w:rsidR="000E53E9" w:rsidRPr="00224C22" w:rsidRDefault="000E53E9" w:rsidP="00382A77">
            <w:pPr>
              <w:tabs>
                <w:tab w:val="decimal" w:pos="113"/>
              </w:tabs>
              <w:spacing w:line="180" w:lineRule="exact"/>
              <w:rPr>
                <w:sz w:val="16"/>
                <w:szCs w:val="16"/>
              </w:rPr>
            </w:pPr>
          </w:p>
        </w:tc>
        <w:tc>
          <w:tcPr>
            <w:tcW w:w="734" w:type="dxa"/>
            <w:shd w:val="clear" w:color="auto" w:fill="auto"/>
            <w:vAlign w:val="bottom"/>
          </w:tcPr>
          <w:p w14:paraId="3AA5883D" w14:textId="77777777" w:rsidR="000E53E9" w:rsidRPr="00224C22" w:rsidRDefault="000E53E9" w:rsidP="00382A77">
            <w:pPr>
              <w:tabs>
                <w:tab w:val="decimal" w:pos="113"/>
              </w:tabs>
              <w:spacing w:line="180" w:lineRule="exact"/>
              <w:rPr>
                <w:sz w:val="16"/>
                <w:szCs w:val="16"/>
              </w:rPr>
            </w:pPr>
          </w:p>
        </w:tc>
        <w:tc>
          <w:tcPr>
            <w:tcW w:w="113" w:type="dxa"/>
            <w:vAlign w:val="bottom"/>
          </w:tcPr>
          <w:p w14:paraId="7B684C5F" w14:textId="77777777" w:rsidR="000E53E9" w:rsidRPr="00224C22" w:rsidRDefault="000E53E9" w:rsidP="00382A77">
            <w:pPr>
              <w:tabs>
                <w:tab w:val="decimal" w:pos="113"/>
              </w:tabs>
              <w:spacing w:line="180" w:lineRule="exact"/>
              <w:rPr>
                <w:sz w:val="16"/>
                <w:szCs w:val="16"/>
              </w:rPr>
            </w:pPr>
          </w:p>
        </w:tc>
        <w:tc>
          <w:tcPr>
            <w:tcW w:w="622" w:type="dxa"/>
            <w:shd w:val="clear" w:color="auto" w:fill="auto"/>
            <w:vAlign w:val="bottom"/>
          </w:tcPr>
          <w:p w14:paraId="6B46CBE6" w14:textId="77777777" w:rsidR="000E53E9" w:rsidRPr="00224C22" w:rsidRDefault="000E53E9" w:rsidP="00382A77">
            <w:pPr>
              <w:tabs>
                <w:tab w:val="decimal" w:pos="113"/>
              </w:tabs>
              <w:spacing w:line="180" w:lineRule="exact"/>
              <w:rPr>
                <w:sz w:val="16"/>
                <w:szCs w:val="16"/>
              </w:rPr>
            </w:pPr>
          </w:p>
        </w:tc>
        <w:tc>
          <w:tcPr>
            <w:tcW w:w="113" w:type="dxa"/>
            <w:vAlign w:val="bottom"/>
          </w:tcPr>
          <w:p w14:paraId="16092C45" w14:textId="77777777" w:rsidR="000E53E9" w:rsidRPr="00224C22" w:rsidRDefault="000E53E9" w:rsidP="00382A77">
            <w:pPr>
              <w:tabs>
                <w:tab w:val="decimal" w:pos="113"/>
              </w:tabs>
              <w:spacing w:line="180" w:lineRule="exact"/>
              <w:rPr>
                <w:sz w:val="16"/>
                <w:szCs w:val="16"/>
              </w:rPr>
            </w:pPr>
          </w:p>
        </w:tc>
        <w:tc>
          <w:tcPr>
            <w:tcW w:w="622" w:type="dxa"/>
            <w:shd w:val="clear" w:color="auto" w:fill="auto"/>
            <w:vAlign w:val="bottom"/>
          </w:tcPr>
          <w:p w14:paraId="78F41453" w14:textId="77777777" w:rsidR="000E53E9" w:rsidRPr="00224C22" w:rsidRDefault="000E53E9" w:rsidP="00382A77">
            <w:pPr>
              <w:tabs>
                <w:tab w:val="decimal" w:pos="113"/>
              </w:tabs>
              <w:spacing w:line="180" w:lineRule="exact"/>
              <w:rPr>
                <w:sz w:val="16"/>
                <w:szCs w:val="16"/>
              </w:rPr>
            </w:pPr>
          </w:p>
        </w:tc>
        <w:tc>
          <w:tcPr>
            <w:tcW w:w="113" w:type="dxa"/>
            <w:shd w:val="clear" w:color="auto" w:fill="auto"/>
            <w:vAlign w:val="bottom"/>
          </w:tcPr>
          <w:p w14:paraId="46BCBC5F" w14:textId="77777777" w:rsidR="000E53E9" w:rsidRPr="00224C22" w:rsidRDefault="000E53E9" w:rsidP="00382A77">
            <w:pPr>
              <w:tabs>
                <w:tab w:val="decimal" w:pos="113"/>
              </w:tabs>
              <w:spacing w:line="180" w:lineRule="exact"/>
              <w:rPr>
                <w:sz w:val="16"/>
                <w:szCs w:val="16"/>
              </w:rPr>
            </w:pPr>
          </w:p>
        </w:tc>
        <w:tc>
          <w:tcPr>
            <w:tcW w:w="677" w:type="dxa"/>
            <w:shd w:val="clear" w:color="auto" w:fill="auto"/>
            <w:vAlign w:val="bottom"/>
          </w:tcPr>
          <w:p w14:paraId="51936B0B" w14:textId="77777777" w:rsidR="000E53E9" w:rsidRPr="00224C22" w:rsidRDefault="000E53E9" w:rsidP="00382A77">
            <w:pPr>
              <w:tabs>
                <w:tab w:val="decimal" w:pos="113"/>
              </w:tabs>
              <w:spacing w:line="180" w:lineRule="exact"/>
              <w:rPr>
                <w:sz w:val="16"/>
                <w:szCs w:val="16"/>
              </w:rPr>
            </w:pPr>
          </w:p>
        </w:tc>
        <w:tc>
          <w:tcPr>
            <w:tcW w:w="113" w:type="dxa"/>
            <w:shd w:val="clear" w:color="auto" w:fill="auto"/>
            <w:vAlign w:val="bottom"/>
          </w:tcPr>
          <w:p w14:paraId="1F7E595E" w14:textId="77777777" w:rsidR="000E53E9" w:rsidRPr="00224C22" w:rsidRDefault="000E53E9" w:rsidP="00382A77">
            <w:pPr>
              <w:tabs>
                <w:tab w:val="decimal" w:pos="113"/>
              </w:tabs>
              <w:spacing w:line="180" w:lineRule="exact"/>
              <w:rPr>
                <w:sz w:val="16"/>
                <w:szCs w:val="16"/>
              </w:rPr>
            </w:pPr>
          </w:p>
        </w:tc>
        <w:tc>
          <w:tcPr>
            <w:tcW w:w="622" w:type="dxa"/>
            <w:shd w:val="clear" w:color="auto" w:fill="auto"/>
            <w:vAlign w:val="bottom"/>
          </w:tcPr>
          <w:p w14:paraId="4D3732DB" w14:textId="77777777" w:rsidR="000E53E9" w:rsidRPr="00224C22" w:rsidRDefault="000E53E9" w:rsidP="00382A77">
            <w:pPr>
              <w:tabs>
                <w:tab w:val="decimal" w:pos="113"/>
              </w:tabs>
              <w:spacing w:line="180" w:lineRule="exact"/>
              <w:rPr>
                <w:sz w:val="16"/>
                <w:szCs w:val="16"/>
              </w:rPr>
            </w:pPr>
          </w:p>
        </w:tc>
        <w:tc>
          <w:tcPr>
            <w:tcW w:w="113" w:type="dxa"/>
            <w:shd w:val="clear" w:color="auto" w:fill="auto"/>
            <w:vAlign w:val="bottom"/>
          </w:tcPr>
          <w:p w14:paraId="59A6CEE1" w14:textId="77777777" w:rsidR="000E53E9" w:rsidRPr="00224C22" w:rsidRDefault="000E53E9" w:rsidP="00382A77">
            <w:pPr>
              <w:tabs>
                <w:tab w:val="decimal" w:pos="113"/>
              </w:tabs>
              <w:spacing w:line="180" w:lineRule="exact"/>
              <w:rPr>
                <w:sz w:val="16"/>
                <w:szCs w:val="16"/>
              </w:rPr>
            </w:pPr>
          </w:p>
        </w:tc>
        <w:tc>
          <w:tcPr>
            <w:tcW w:w="677" w:type="dxa"/>
            <w:shd w:val="clear" w:color="auto" w:fill="auto"/>
            <w:vAlign w:val="bottom"/>
          </w:tcPr>
          <w:p w14:paraId="6F5B66FA" w14:textId="77777777" w:rsidR="000E53E9" w:rsidRPr="00224C22" w:rsidRDefault="000E53E9" w:rsidP="00382A77">
            <w:pPr>
              <w:tabs>
                <w:tab w:val="decimal" w:pos="113"/>
              </w:tabs>
              <w:spacing w:line="180" w:lineRule="exact"/>
              <w:rPr>
                <w:sz w:val="16"/>
                <w:szCs w:val="16"/>
              </w:rPr>
            </w:pPr>
          </w:p>
        </w:tc>
        <w:tc>
          <w:tcPr>
            <w:tcW w:w="113" w:type="dxa"/>
            <w:shd w:val="clear" w:color="auto" w:fill="auto"/>
            <w:vAlign w:val="bottom"/>
          </w:tcPr>
          <w:p w14:paraId="208A6B79" w14:textId="77777777" w:rsidR="000E53E9" w:rsidRPr="00224C22" w:rsidRDefault="000E53E9" w:rsidP="00382A77">
            <w:pPr>
              <w:tabs>
                <w:tab w:val="decimal" w:pos="113"/>
              </w:tabs>
              <w:spacing w:line="180" w:lineRule="exact"/>
              <w:rPr>
                <w:sz w:val="16"/>
                <w:szCs w:val="16"/>
              </w:rPr>
            </w:pPr>
          </w:p>
        </w:tc>
        <w:tc>
          <w:tcPr>
            <w:tcW w:w="677" w:type="dxa"/>
            <w:shd w:val="clear" w:color="auto" w:fill="auto"/>
            <w:vAlign w:val="bottom"/>
          </w:tcPr>
          <w:p w14:paraId="7949D519" w14:textId="77777777" w:rsidR="000E53E9" w:rsidRPr="00224C22" w:rsidRDefault="000E53E9" w:rsidP="00382A77">
            <w:pPr>
              <w:tabs>
                <w:tab w:val="decimal" w:pos="113"/>
              </w:tabs>
              <w:spacing w:line="180" w:lineRule="exact"/>
              <w:rPr>
                <w:sz w:val="16"/>
                <w:szCs w:val="16"/>
              </w:rPr>
            </w:pPr>
          </w:p>
        </w:tc>
        <w:tc>
          <w:tcPr>
            <w:tcW w:w="113" w:type="dxa"/>
            <w:vAlign w:val="bottom"/>
          </w:tcPr>
          <w:p w14:paraId="20811F9D" w14:textId="77777777" w:rsidR="000E53E9" w:rsidRPr="00224C22" w:rsidRDefault="000E53E9" w:rsidP="00382A77">
            <w:pPr>
              <w:tabs>
                <w:tab w:val="decimal" w:pos="113"/>
              </w:tabs>
              <w:spacing w:line="180" w:lineRule="exact"/>
              <w:rPr>
                <w:sz w:val="16"/>
                <w:szCs w:val="16"/>
              </w:rPr>
            </w:pPr>
          </w:p>
        </w:tc>
        <w:tc>
          <w:tcPr>
            <w:tcW w:w="677" w:type="dxa"/>
            <w:shd w:val="clear" w:color="auto" w:fill="auto"/>
            <w:vAlign w:val="bottom"/>
          </w:tcPr>
          <w:p w14:paraId="14A68382" w14:textId="77777777" w:rsidR="000E53E9" w:rsidRPr="00224C22" w:rsidRDefault="000E53E9" w:rsidP="00382A77">
            <w:pPr>
              <w:tabs>
                <w:tab w:val="decimal" w:pos="113"/>
              </w:tabs>
              <w:spacing w:line="180" w:lineRule="exact"/>
              <w:rPr>
                <w:sz w:val="16"/>
                <w:szCs w:val="16"/>
              </w:rPr>
            </w:pPr>
          </w:p>
        </w:tc>
        <w:tc>
          <w:tcPr>
            <w:tcW w:w="113" w:type="dxa"/>
            <w:vAlign w:val="bottom"/>
          </w:tcPr>
          <w:p w14:paraId="530FD1EA" w14:textId="77777777" w:rsidR="000E53E9" w:rsidRPr="00224C22" w:rsidRDefault="000E53E9" w:rsidP="00382A77">
            <w:pPr>
              <w:tabs>
                <w:tab w:val="decimal" w:pos="113"/>
              </w:tabs>
              <w:spacing w:line="180" w:lineRule="exact"/>
              <w:rPr>
                <w:sz w:val="16"/>
                <w:szCs w:val="16"/>
              </w:rPr>
            </w:pPr>
          </w:p>
        </w:tc>
        <w:tc>
          <w:tcPr>
            <w:tcW w:w="622" w:type="dxa"/>
            <w:shd w:val="clear" w:color="auto" w:fill="auto"/>
            <w:vAlign w:val="bottom"/>
          </w:tcPr>
          <w:p w14:paraId="20F4E6FC" w14:textId="77777777" w:rsidR="000E53E9" w:rsidRPr="00224C22" w:rsidRDefault="000E53E9" w:rsidP="00382A77">
            <w:pPr>
              <w:tabs>
                <w:tab w:val="decimal" w:pos="113"/>
              </w:tabs>
              <w:spacing w:line="180" w:lineRule="exact"/>
              <w:rPr>
                <w:sz w:val="16"/>
                <w:szCs w:val="16"/>
              </w:rPr>
            </w:pPr>
          </w:p>
        </w:tc>
        <w:tc>
          <w:tcPr>
            <w:tcW w:w="113" w:type="dxa"/>
          </w:tcPr>
          <w:p w14:paraId="6E4E1761" w14:textId="77777777" w:rsidR="000E53E9" w:rsidRPr="00224C22" w:rsidRDefault="000E53E9" w:rsidP="00382A77">
            <w:pPr>
              <w:tabs>
                <w:tab w:val="decimal" w:pos="113"/>
              </w:tabs>
              <w:spacing w:line="180" w:lineRule="exact"/>
              <w:rPr>
                <w:sz w:val="16"/>
                <w:szCs w:val="16"/>
              </w:rPr>
            </w:pPr>
          </w:p>
        </w:tc>
        <w:tc>
          <w:tcPr>
            <w:tcW w:w="607" w:type="dxa"/>
            <w:shd w:val="clear" w:color="auto" w:fill="auto"/>
          </w:tcPr>
          <w:p w14:paraId="44E3C92B" w14:textId="77777777" w:rsidR="000E53E9" w:rsidRPr="00224C22" w:rsidRDefault="000E53E9" w:rsidP="00382A77">
            <w:pPr>
              <w:tabs>
                <w:tab w:val="decimal" w:pos="113"/>
              </w:tabs>
              <w:spacing w:line="180" w:lineRule="exact"/>
              <w:rPr>
                <w:sz w:val="16"/>
                <w:szCs w:val="16"/>
              </w:rPr>
            </w:pPr>
          </w:p>
        </w:tc>
      </w:tr>
      <w:tr w:rsidR="000E53E9" w:rsidRPr="00224C22" w14:paraId="6E723E12" w14:textId="77777777" w:rsidTr="00435B3C">
        <w:tc>
          <w:tcPr>
            <w:tcW w:w="972" w:type="dxa"/>
            <w:vAlign w:val="center"/>
          </w:tcPr>
          <w:p w14:paraId="3BF3E5D6" w14:textId="77777777" w:rsidR="000E53E9" w:rsidRPr="00224C22" w:rsidRDefault="000E53E9" w:rsidP="000E53E9">
            <w:pPr>
              <w:pStyle w:val="a3"/>
              <w:bidi w:val="0"/>
              <w:spacing w:line="140" w:lineRule="exact"/>
              <w:ind w:right="110"/>
              <w:jc w:val="right"/>
              <w:rPr>
                <w:b/>
                <w:i/>
                <w:iCs/>
                <w:sz w:val="12"/>
                <w:szCs w:val="12"/>
                <w:rtl/>
              </w:rPr>
            </w:pPr>
          </w:p>
        </w:tc>
        <w:tc>
          <w:tcPr>
            <w:tcW w:w="2682" w:type="dxa"/>
            <w:vAlign w:val="bottom"/>
          </w:tcPr>
          <w:p w14:paraId="16C50F2C" w14:textId="67C50925" w:rsidR="000E53E9" w:rsidRDefault="000E53E9" w:rsidP="000E53E9">
            <w:pPr>
              <w:pStyle w:val="a3"/>
              <w:tabs>
                <w:tab w:val="left" w:pos="227"/>
                <w:tab w:val="left" w:pos="397"/>
                <w:tab w:val="left" w:pos="567"/>
              </w:tabs>
              <w:spacing w:line="180" w:lineRule="exact"/>
              <w:ind w:left="227" w:hanging="170"/>
              <w:rPr>
                <w:b/>
                <w:sz w:val="16"/>
                <w:szCs w:val="16"/>
              </w:rPr>
            </w:pPr>
            <w:r w:rsidRPr="000F3E95">
              <w:rPr>
                <w:rFonts w:hint="cs"/>
                <w:sz w:val="14"/>
                <w:szCs w:val="14"/>
                <w:rtl/>
              </w:rPr>
              <w:t xml:space="preserve">השפעה מצטברת כתוצאה מאימוץ לראשונה של </w:t>
            </w:r>
            <w:r w:rsidRPr="000F3E95">
              <w:rPr>
                <w:rFonts w:hint="cs"/>
                <w:sz w:val="14"/>
                <w:szCs w:val="14"/>
              </w:rPr>
              <w:t>IFRS 15</w:t>
            </w:r>
            <w:r w:rsidRPr="000F3E95">
              <w:rPr>
                <w:rFonts w:hint="cs"/>
                <w:sz w:val="14"/>
                <w:szCs w:val="14"/>
                <w:rtl/>
              </w:rPr>
              <w:t xml:space="preserve"> ליום 1 בינואר 2018 </w:t>
            </w:r>
          </w:p>
        </w:tc>
        <w:tc>
          <w:tcPr>
            <w:tcW w:w="113" w:type="dxa"/>
            <w:vAlign w:val="bottom"/>
          </w:tcPr>
          <w:p w14:paraId="20E3C8F4" w14:textId="77777777" w:rsidR="000E53E9" w:rsidRPr="00224C22" w:rsidRDefault="000E53E9" w:rsidP="000E53E9">
            <w:pPr>
              <w:spacing w:line="180" w:lineRule="exact"/>
              <w:jc w:val="left"/>
              <w:rPr>
                <w:sz w:val="16"/>
                <w:szCs w:val="16"/>
              </w:rPr>
            </w:pPr>
          </w:p>
        </w:tc>
        <w:tc>
          <w:tcPr>
            <w:tcW w:w="621" w:type="dxa"/>
            <w:shd w:val="clear" w:color="auto" w:fill="auto"/>
            <w:vAlign w:val="bottom"/>
          </w:tcPr>
          <w:p w14:paraId="5DA0F46F" w14:textId="77777777" w:rsidR="000E53E9" w:rsidRPr="00224C22" w:rsidRDefault="000E53E9" w:rsidP="000E53E9">
            <w:pPr>
              <w:tabs>
                <w:tab w:val="decimal" w:pos="113"/>
              </w:tabs>
              <w:spacing w:line="180" w:lineRule="exact"/>
              <w:jc w:val="left"/>
              <w:rPr>
                <w:sz w:val="16"/>
                <w:szCs w:val="16"/>
              </w:rPr>
            </w:pPr>
          </w:p>
        </w:tc>
        <w:tc>
          <w:tcPr>
            <w:tcW w:w="112" w:type="dxa"/>
            <w:vAlign w:val="bottom"/>
          </w:tcPr>
          <w:p w14:paraId="02CE1E38" w14:textId="77777777" w:rsidR="000E53E9" w:rsidRPr="00224C22" w:rsidRDefault="000E53E9" w:rsidP="000E53E9">
            <w:pPr>
              <w:tabs>
                <w:tab w:val="decimal" w:pos="113"/>
              </w:tabs>
              <w:spacing w:line="180" w:lineRule="exact"/>
              <w:jc w:val="left"/>
              <w:rPr>
                <w:sz w:val="16"/>
                <w:szCs w:val="16"/>
              </w:rPr>
            </w:pPr>
          </w:p>
        </w:tc>
        <w:tc>
          <w:tcPr>
            <w:tcW w:w="621" w:type="dxa"/>
            <w:shd w:val="clear" w:color="auto" w:fill="auto"/>
            <w:vAlign w:val="bottom"/>
          </w:tcPr>
          <w:p w14:paraId="386A004B" w14:textId="77777777" w:rsidR="000E53E9" w:rsidRPr="00224C22" w:rsidRDefault="000E53E9" w:rsidP="000E53E9">
            <w:pPr>
              <w:tabs>
                <w:tab w:val="decimal" w:pos="113"/>
              </w:tabs>
              <w:spacing w:line="180" w:lineRule="exact"/>
              <w:jc w:val="left"/>
              <w:rPr>
                <w:sz w:val="16"/>
                <w:szCs w:val="16"/>
              </w:rPr>
            </w:pPr>
          </w:p>
        </w:tc>
        <w:tc>
          <w:tcPr>
            <w:tcW w:w="113" w:type="dxa"/>
            <w:vAlign w:val="bottom"/>
          </w:tcPr>
          <w:p w14:paraId="559A0EB2"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12329E28" w14:textId="77777777" w:rsidR="000E53E9" w:rsidRPr="00224C22" w:rsidRDefault="000E53E9" w:rsidP="000E53E9">
            <w:pPr>
              <w:tabs>
                <w:tab w:val="decimal" w:pos="113"/>
              </w:tabs>
              <w:spacing w:line="180" w:lineRule="exact"/>
              <w:rPr>
                <w:sz w:val="16"/>
                <w:szCs w:val="16"/>
              </w:rPr>
            </w:pPr>
          </w:p>
        </w:tc>
        <w:tc>
          <w:tcPr>
            <w:tcW w:w="113" w:type="dxa"/>
          </w:tcPr>
          <w:p w14:paraId="3AEA0FB1" w14:textId="77777777" w:rsidR="000E53E9" w:rsidRPr="00224C22" w:rsidRDefault="000E53E9" w:rsidP="000E53E9">
            <w:pPr>
              <w:tabs>
                <w:tab w:val="decimal" w:pos="113"/>
              </w:tabs>
              <w:spacing w:line="180" w:lineRule="exact"/>
              <w:rPr>
                <w:sz w:val="16"/>
                <w:szCs w:val="16"/>
              </w:rPr>
            </w:pPr>
          </w:p>
        </w:tc>
        <w:tc>
          <w:tcPr>
            <w:tcW w:w="677" w:type="dxa"/>
            <w:shd w:val="clear" w:color="auto" w:fill="auto"/>
          </w:tcPr>
          <w:p w14:paraId="4068C4C1" w14:textId="77777777" w:rsidR="000E53E9" w:rsidRPr="00224C22" w:rsidRDefault="000E53E9" w:rsidP="000E53E9">
            <w:pPr>
              <w:tabs>
                <w:tab w:val="decimal" w:pos="113"/>
              </w:tabs>
              <w:spacing w:line="180" w:lineRule="exact"/>
              <w:rPr>
                <w:sz w:val="16"/>
                <w:szCs w:val="16"/>
              </w:rPr>
            </w:pPr>
          </w:p>
        </w:tc>
        <w:tc>
          <w:tcPr>
            <w:tcW w:w="113" w:type="dxa"/>
          </w:tcPr>
          <w:p w14:paraId="0E50F695" w14:textId="77777777" w:rsidR="000E53E9" w:rsidRPr="00224C22" w:rsidRDefault="000E53E9" w:rsidP="000E53E9">
            <w:pPr>
              <w:tabs>
                <w:tab w:val="decimal" w:pos="113"/>
              </w:tabs>
              <w:spacing w:line="180" w:lineRule="exact"/>
              <w:rPr>
                <w:sz w:val="16"/>
                <w:szCs w:val="16"/>
              </w:rPr>
            </w:pPr>
          </w:p>
        </w:tc>
        <w:tc>
          <w:tcPr>
            <w:tcW w:w="622" w:type="dxa"/>
            <w:shd w:val="clear" w:color="auto" w:fill="auto"/>
          </w:tcPr>
          <w:p w14:paraId="53107D22" w14:textId="77777777" w:rsidR="000E53E9" w:rsidRPr="00224C22" w:rsidRDefault="000E53E9" w:rsidP="000E53E9">
            <w:pPr>
              <w:tabs>
                <w:tab w:val="decimal" w:pos="113"/>
              </w:tabs>
              <w:spacing w:line="180" w:lineRule="exact"/>
              <w:rPr>
                <w:sz w:val="16"/>
                <w:szCs w:val="16"/>
              </w:rPr>
            </w:pPr>
          </w:p>
        </w:tc>
        <w:tc>
          <w:tcPr>
            <w:tcW w:w="113" w:type="dxa"/>
            <w:vAlign w:val="bottom"/>
          </w:tcPr>
          <w:p w14:paraId="3A9D545F" w14:textId="77777777" w:rsidR="000E53E9" w:rsidRPr="00224C22" w:rsidRDefault="000E53E9" w:rsidP="000E53E9">
            <w:pPr>
              <w:tabs>
                <w:tab w:val="decimal" w:pos="113"/>
              </w:tabs>
              <w:spacing w:line="180" w:lineRule="exact"/>
              <w:rPr>
                <w:sz w:val="16"/>
                <w:szCs w:val="16"/>
              </w:rPr>
            </w:pPr>
          </w:p>
        </w:tc>
        <w:tc>
          <w:tcPr>
            <w:tcW w:w="622" w:type="dxa"/>
            <w:gridSpan w:val="2"/>
            <w:shd w:val="clear" w:color="auto" w:fill="auto"/>
            <w:vAlign w:val="bottom"/>
          </w:tcPr>
          <w:p w14:paraId="40BAA43E" w14:textId="77777777" w:rsidR="000E53E9" w:rsidRPr="00224C22" w:rsidRDefault="000E53E9" w:rsidP="000E53E9">
            <w:pPr>
              <w:tabs>
                <w:tab w:val="decimal" w:pos="113"/>
              </w:tabs>
              <w:spacing w:line="180" w:lineRule="exact"/>
              <w:rPr>
                <w:sz w:val="16"/>
                <w:szCs w:val="16"/>
              </w:rPr>
            </w:pPr>
          </w:p>
        </w:tc>
        <w:tc>
          <w:tcPr>
            <w:tcW w:w="113" w:type="dxa"/>
            <w:vAlign w:val="bottom"/>
          </w:tcPr>
          <w:p w14:paraId="533BAF4C" w14:textId="77777777" w:rsidR="000E53E9" w:rsidRPr="00224C22" w:rsidRDefault="000E53E9" w:rsidP="000E53E9">
            <w:pPr>
              <w:tabs>
                <w:tab w:val="decimal" w:pos="113"/>
              </w:tabs>
              <w:spacing w:line="180" w:lineRule="exact"/>
              <w:rPr>
                <w:sz w:val="16"/>
                <w:szCs w:val="16"/>
              </w:rPr>
            </w:pPr>
          </w:p>
        </w:tc>
        <w:tc>
          <w:tcPr>
            <w:tcW w:w="734" w:type="dxa"/>
            <w:shd w:val="clear" w:color="auto" w:fill="auto"/>
            <w:vAlign w:val="bottom"/>
          </w:tcPr>
          <w:p w14:paraId="33C0C91B" w14:textId="77777777" w:rsidR="000E53E9" w:rsidRPr="00224C22" w:rsidRDefault="000E53E9" w:rsidP="000E53E9">
            <w:pPr>
              <w:tabs>
                <w:tab w:val="decimal" w:pos="113"/>
              </w:tabs>
              <w:spacing w:line="180" w:lineRule="exact"/>
              <w:rPr>
                <w:sz w:val="16"/>
                <w:szCs w:val="16"/>
              </w:rPr>
            </w:pPr>
          </w:p>
        </w:tc>
        <w:tc>
          <w:tcPr>
            <w:tcW w:w="113" w:type="dxa"/>
            <w:vAlign w:val="bottom"/>
          </w:tcPr>
          <w:p w14:paraId="05EFEA21"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5FF594E1" w14:textId="77777777" w:rsidR="000E53E9" w:rsidRPr="00224C22" w:rsidRDefault="000E53E9" w:rsidP="000E53E9">
            <w:pPr>
              <w:tabs>
                <w:tab w:val="decimal" w:pos="113"/>
              </w:tabs>
              <w:spacing w:line="180" w:lineRule="exact"/>
              <w:rPr>
                <w:sz w:val="16"/>
                <w:szCs w:val="16"/>
              </w:rPr>
            </w:pPr>
          </w:p>
        </w:tc>
        <w:tc>
          <w:tcPr>
            <w:tcW w:w="113" w:type="dxa"/>
            <w:vAlign w:val="bottom"/>
          </w:tcPr>
          <w:p w14:paraId="6B5D71F9"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7AEA4F6B"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09F5C6B8"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34D52449"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6FDDDB22"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2D2CA6A8"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250245E3"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633FDA8C"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23B018D5"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35B57367" w14:textId="77777777" w:rsidR="000E53E9" w:rsidRPr="00224C22" w:rsidRDefault="000E53E9" w:rsidP="000E53E9">
            <w:pPr>
              <w:tabs>
                <w:tab w:val="decimal" w:pos="113"/>
              </w:tabs>
              <w:spacing w:line="180" w:lineRule="exact"/>
              <w:rPr>
                <w:sz w:val="16"/>
                <w:szCs w:val="16"/>
              </w:rPr>
            </w:pPr>
          </w:p>
        </w:tc>
        <w:tc>
          <w:tcPr>
            <w:tcW w:w="113" w:type="dxa"/>
            <w:vAlign w:val="bottom"/>
          </w:tcPr>
          <w:p w14:paraId="0D190FF6"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1586062B" w14:textId="77777777" w:rsidR="000E53E9" w:rsidRPr="00224C22" w:rsidRDefault="000E53E9" w:rsidP="000E53E9">
            <w:pPr>
              <w:tabs>
                <w:tab w:val="decimal" w:pos="113"/>
              </w:tabs>
              <w:spacing w:line="180" w:lineRule="exact"/>
              <w:rPr>
                <w:sz w:val="16"/>
                <w:szCs w:val="16"/>
              </w:rPr>
            </w:pPr>
          </w:p>
        </w:tc>
        <w:tc>
          <w:tcPr>
            <w:tcW w:w="113" w:type="dxa"/>
            <w:vAlign w:val="bottom"/>
          </w:tcPr>
          <w:p w14:paraId="51A76321"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1D92DC15" w14:textId="77777777" w:rsidR="000E53E9" w:rsidRPr="00224C22" w:rsidRDefault="000E53E9" w:rsidP="000E53E9">
            <w:pPr>
              <w:tabs>
                <w:tab w:val="decimal" w:pos="113"/>
              </w:tabs>
              <w:spacing w:line="180" w:lineRule="exact"/>
              <w:rPr>
                <w:sz w:val="16"/>
                <w:szCs w:val="16"/>
              </w:rPr>
            </w:pPr>
          </w:p>
        </w:tc>
        <w:tc>
          <w:tcPr>
            <w:tcW w:w="113" w:type="dxa"/>
          </w:tcPr>
          <w:p w14:paraId="2611C51B" w14:textId="77777777" w:rsidR="000E53E9" w:rsidRPr="00224C22" w:rsidRDefault="000E53E9" w:rsidP="000E53E9">
            <w:pPr>
              <w:tabs>
                <w:tab w:val="decimal" w:pos="113"/>
              </w:tabs>
              <w:spacing w:line="180" w:lineRule="exact"/>
              <w:rPr>
                <w:sz w:val="16"/>
                <w:szCs w:val="16"/>
              </w:rPr>
            </w:pPr>
          </w:p>
        </w:tc>
        <w:tc>
          <w:tcPr>
            <w:tcW w:w="607" w:type="dxa"/>
            <w:shd w:val="clear" w:color="auto" w:fill="auto"/>
          </w:tcPr>
          <w:p w14:paraId="12C36E7C" w14:textId="77777777" w:rsidR="000E53E9" w:rsidRPr="00224C22" w:rsidRDefault="000E53E9" w:rsidP="000E53E9">
            <w:pPr>
              <w:tabs>
                <w:tab w:val="decimal" w:pos="113"/>
              </w:tabs>
              <w:spacing w:line="180" w:lineRule="exact"/>
              <w:rPr>
                <w:sz w:val="16"/>
                <w:szCs w:val="16"/>
              </w:rPr>
            </w:pPr>
          </w:p>
        </w:tc>
      </w:tr>
      <w:tr w:rsidR="000E53E9" w:rsidRPr="00224C22" w14:paraId="56521BF3" w14:textId="77777777" w:rsidTr="00435B3C">
        <w:tc>
          <w:tcPr>
            <w:tcW w:w="972" w:type="dxa"/>
            <w:vAlign w:val="center"/>
          </w:tcPr>
          <w:p w14:paraId="2F4FA4E2" w14:textId="77777777" w:rsidR="000E53E9" w:rsidRPr="00224C22" w:rsidRDefault="000E53E9" w:rsidP="000E53E9">
            <w:pPr>
              <w:pStyle w:val="a3"/>
              <w:bidi w:val="0"/>
              <w:spacing w:line="140" w:lineRule="exact"/>
              <w:ind w:right="110"/>
              <w:jc w:val="right"/>
              <w:rPr>
                <w:b/>
                <w:i/>
                <w:iCs/>
                <w:sz w:val="12"/>
                <w:szCs w:val="12"/>
                <w:rtl/>
              </w:rPr>
            </w:pPr>
          </w:p>
        </w:tc>
        <w:tc>
          <w:tcPr>
            <w:tcW w:w="2682" w:type="dxa"/>
            <w:vAlign w:val="bottom"/>
          </w:tcPr>
          <w:p w14:paraId="1D755097" w14:textId="71E5D01F" w:rsidR="000E53E9" w:rsidRDefault="000E53E9" w:rsidP="000E53E9">
            <w:pPr>
              <w:pStyle w:val="a3"/>
              <w:tabs>
                <w:tab w:val="left" w:pos="227"/>
                <w:tab w:val="left" w:pos="397"/>
                <w:tab w:val="left" w:pos="567"/>
              </w:tabs>
              <w:spacing w:line="180" w:lineRule="exact"/>
              <w:ind w:left="227" w:hanging="170"/>
              <w:rPr>
                <w:b/>
                <w:sz w:val="16"/>
                <w:szCs w:val="16"/>
              </w:rPr>
            </w:pPr>
            <w:r w:rsidRPr="000F3E95">
              <w:rPr>
                <w:rFonts w:hint="cs"/>
                <w:sz w:val="14"/>
                <w:szCs w:val="14"/>
                <w:rtl/>
              </w:rPr>
              <w:t xml:space="preserve">השפעה מצטברת כתוצאה מאימוץ לראשונה של </w:t>
            </w:r>
            <w:r w:rsidRPr="000F3E95">
              <w:rPr>
                <w:rFonts w:hint="cs"/>
                <w:sz w:val="14"/>
                <w:szCs w:val="14"/>
              </w:rPr>
              <w:t xml:space="preserve">IFRS </w:t>
            </w:r>
            <w:r w:rsidRPr="000F3E95">
              <w:rPr>
                <w:sz w:val="14"/>
                <w:szCs w:val="14"/>
              </w:rPr>
              <w:t>9</w:t>
            </w:r>
            <w:r w:rsidRPr="000F3E95">
              <w:rPr>
                <w:rFonts w:hint="cs"/>
                <w:sz w:val="14"/>
                <w:szCs w:val="14"/>
                <w:rtl/>
              </w:rPr>
              <w:t xml:space="preserve"> ליום 1 בינואר 2018 </w:t>
            </w:r>
          </w:p>
        </w:tc>
        <w:tc>
          <w:tcPr>
            <w:tcW w:w="113" w:type="dxa"/>
            <w:vAlign w:val="bottom"/>
          </w:tcPr>
          <w:p w14:paraId="38A16635" w14:textId="77777777" w:rsidR="000E53E9" w:rsidRPr="00224C22" w:rsidRDefault="000E53E9" w:rsidP="000E53E9">
            <w:pPr>
              <w:spacing w:line="180" w:lineRule="exact"/>
              <w:jc w:val="left"/>
              <w:rPr>
                <w:sz w:val="16"/>
                <w:szCs w:val="16"/>
              </w:rPr>
            </w:pPr>
          </w:p>
        </w:tc>
        <w:tc>
          <w:tcPr>
            <w:tcW w:w="621" w:type="dxa"/>
            <w:shd w:val="clear" w:color="auto" w:fill="auto"/>
            <w:vAlign w:val="bottom"/>
          </w:tcPr>
          <w:p w14:paraId="22DABF52" w14:textId="77777777" w:rsidR="000E53E9" w:rsidRPr="00224C22" w:rsidRDefault="000E53E9" w:rsidP="000E53E9">
            <w:pPr>
              <w:tabs>
                <w:tab w:val="decimal" w:pos="113"/>
              </w:tabs>
              <w:spacing w:line="180" w:lineRule="exact"/>
              <w:jc w:val="left"/>
              <w:rPr>
                <w:sz w:val="16"/>
                <w:szCs w:val="16"/>
              </w:rPr>
            </w:pPr>
          </w:p>
        </w:tc>
        <w:tc>
          <w:tcPr>
            <w:tcW w:w="112" w:type="dxa"/>
            <w:vAlign w:val="bottom"/>
          </w:tcPr>
          <w:p w14:paraId="3CEA6BE1" w14:textId="77777777" w:rsidR="000E53E9" w:rsidRPr="00224C22" w:rsidRDefault="000E53E9" w:rsidP="000E53E9">
            <w:pPr>
              <w:tabs>
                <w:tab w:val="decimal" w:pos="113"/>
              </w:tabs>
              <w:spacing w:line="180" w:lineRule="exact"/>
              <w:jc w:val="left"/>
              <w:rPr>
                <w:sz w:val="16"/>
                <w:szCs w:val="16"/>
              </w:rPr>
            </w:pPr>
          </w:p>
        </w:tc>
        <w:tc>
          <w:tcPr>
            <w:tcW w:w="621" w:type="dxa"/>
            <w:shd w:val="clear" w:color="auto" w:fill="auto"/>
            <w:vAlign w:val="bottom"/>
          </w:tcPr>
          <w:p w14:paraId="08396E55" w14:textId="77777777" w:rsidR="000E53E9" w:rsidRPr="00224C22" w:rsidRDefault="000E53E9" w:rsidP="000E53E9">
            <w:pPr>
              <w:tabs>
                <w:tab w:val="decimal" w:pos="113"/>
              </w:tabs>
              <w:spacing w:line="180" w:lineRule="exact"/>
              <w:jc w:val="left"/>
              <w:rPr>
                <w:sz w:val="16"/>
                <w:szCs w:val="16"/>
              </w:rPr>
            </w:pPr>
          </w:p>
        </w:tc>
        <w:tc>
          <w:tcPr>
            <w:tcW w:w="113" w:type="dxa"/>
            <w:vAlign w:val="bottom"/>
          </w:tcPr>
          <w:p w14:paraId="1E4A7352"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2936CC5C" w14:textId="77777777" w:rsidR="000E53E9" w:rsidRPr="00224C22" w:rsidRDefault="000E53E9" w:rsidP="000E53E9">
            <w:pPr>
              <w:tabs>
                <w:tab w:val="decimal" w:pos="113"/>
              </w:tabs>
              <w:spacing w:line="180" w:lineRule="exact"/>
              <w:rPr>
                <w:sz w:val="16"/>
                <w:szCs w:val="16"/>
              </w:rPr>
            </w:pPr>
          </w:p>
        </w:tc>
        <w:tc>
          <w:tcPr>
            <w:tcW w:w="113" w:type="dxa"/>
          </w:tcPr>
          <w:p w14:paraId="364AA869" w14:textId="77777777" w:rsidR="000E53E9" w:rsidRPr="00224C22" w:rsidRDefault="000E53E9" w:rsidP="000E53E9">
            <w:pPr>
              <w:tabs>
                <w:tab w:val="decimal" w:pos="113"/>
              </w:tabs>
              <w:spacing w:line="180" w:lineRule="exact"/>
              <w:rPr>
                <w:sz w:val="16"/>
                <w:szCs w:val="16"/>
              </w:rPr>
            </w:pPr>
          </w:p>
        </w:tc>
        <w:tc>
          <w:tcPr>
            <w:tcW w:w="677" w:type="dxa"/>
            <w:shd w:val="clear" w:color="auto" w:fill="auto"/>
          </w:tcPr>
          <w:p w14:paraId="692B8674" w14:textId="77777777" w:rsidR="000E53E9" w:rsidRPr="00224C22" w:rsidRDefault="000E53E9" w:rsidP="000E53E9">
            <w:pPr>
              <w:tabs>
                <w:tab w:val="decimal" w:pos="113"/>
              </w:tabs>
              <w:spacing w:line="180" w:lineRule="exact"/>
              <w:rPr>
                <w:sz w:val="16"/>
                <w:szCs w:val="16"/>
              </w:rPr>
            </w:pPr>
          </w:p>
        </w:tc>
        <w:tc>
          <w:tcPr>
            <w:tcW w:w="113" w:type="dxa"/>
          </w:tcPr>
          <w:p w14:paraId="45D206D4" w14:textId="77777777" w:rsidR="000E53E9" w:rsidRPr="00224C22" w:rsidRDefault="000E53E9" w:rsidP="000E53E9">
            <w:pPr>
              <w:tabs>
                <w:tab w:val="decimal" w:pos="113"/>
              </w:tabs>
              <w:spacing w:line="180" w:lineRule="exact"/>
              <w:rPr>
                <w:sz w:val="16"/>
                <w:szCs w:val="16"/>
              </w:rPr>
            </w:pPr>
          </w:p>
        </w:tc>
        <w:tc>
          <w:tcPr>
            <w:tcW w:w="622" w:type="dxa"/>
            <w:shd w:val="clear" w:color="auto" w:fill="auto"/>
          </w:tcPr>
          <w:p w14:paraId="255CC211" w14:textId="77777777" w:rsidR="000E53E9" w:rsidRPr="00224C22" w:rsidRDefault="000E53E9" w:rsidP="000E53E9">
            <w:pPr>
              <w:tabs>
                <w:tab w:val="decimal" w:pos="113"/>
              </w:tabs>
              <w:spacing w:line="180" w:lineRule="exact"/>
              <w:rPr>
                <w:sz w:val="16"/>
                <w:szCs w:val="16"/>
              </w:rPr>
            </w:pPr>
          </w:p>
        </w:tc>
        <w:tc>
          <w:tcPr>
            <w:tcW w:w="113" w:type="dxa"/>
            <w:vAlign w:val="bottom"/>
          </w:tcPr>
          <w:p w14:paraId="728DD1DA" w14:textId="77777777" w:rsidR="000E53E9" w:rsidRPr="00224C22" w:rsidRDefault="000E53E9" w:rsidP="000E53E9">
            <w:pPr>
              <w:tabs>
                <w:tab w:val="decimal" w:pos="113"/>
              </w:tabs>
              <w:spacing w:line="180" w:lineRule="exact"/>
              <w:rPr>
                <w:sz w:val="16"/>
                <w:szCs w:val="16"/>
              </w:rPr>
            </w:pPr>
          </w:p>
        </w:tc>
        <w:tc>
          <w:tcPr>
            <w:tcW w:w="622" w:type="dxa"/>
            <w:gridSpan w:val="2"/>
            <w:shd w:val="clear" w:color="auto" w:fill="auto"/>
            <w:vAlign w:val="bottom"/>
          </w:tcPr>
          <w:p w14:paraId="45B88391" w14:textId="77777777" w:rsidR="000E53E9" w:rsidRPr="00224C22" w:rsidRDefault="000E53E9" w:rsidP="000E53E9">
            <w:pPr>
              <w:tabs>
                <w:tab w:val="decimal" w:pos="113"/>
              </w:tabs>
              <w:spacing w:line="180" w:lineRule="exact"/>
              <w:rPr>
                <w:sz w:val="16"/>
                <w:szCs w:val="16"/>
              </w:rPr>
            </w:pPr>
          </w:p>
        </w:tc>
        <w:tc>
          <w:tcPr>
            <w:tcW w:w="113" w:type="dxa"/>
            <w:vAlign w:val="bottom"/>
          </w:tcPr>
          <w:p w14:paraId="529C36C1" w14:textId="77777777" w:rsidR="000E53E9" w:rsidRPr="00224C22" w:rsidRDefault="000E53E9" w:rsidP="000E53E9">
            <w:pPr>
              <w:tabs>
                <w:tab w:val="decimal" w:pos="113"/>
              </w:tabs>
              <w:spacing w:line="180" w:lineRule="exact"/>
              <w:rPr>
                <w:sz w:val="16"/>
                <w:szCs w:val="16"/>
              </w:rPr>
            </w:pPr>
          </w:p>
        </w:tc>
        <w:tc>
          <w:tcPr>
            <w:tcW w:w="734" w:type="dxa"/>
            <w:shd w:val="clear" w:color="auto" w:fill="auto"/>
            <w:vAlign w:val="bottom"/>
          </w:tcPr>
          <w:p w14:paraId="4DED653A" w14:textId="77777777" w:rsidR="000E53E9" w:rsidRPr="00224C22" w:rsidRDefault="000E53E9" w:rsidP="000E53E9">
            <w:pPr>
              <w:tabs>
                <w:tab w:val="decimal" w:pos="113"/>
              </w:tabs>
              <w:spacing w:line="180" w:lineRule="exact"/>
              <w:rPr>
                <w:sz w:val="16"/>
                <w:szCs w:val="16"/>
              </w:rPr>
            </w:pPr>
          </w:p>
        </w:tc>
        <w:tc>
          <w:tcPr>
            <w:tcW w:w="113" w:type="dxa"/>
            <w:vAlign w:val="bottom"/>
          </w:tcPr>
          <w:p w14:paraId="2751371E"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71BC3397" w14:textId="77777777" w:rsidR="000E53E9" w:rsidRPr="00224C22" w:rsidRDefault="000E53E9" w:rsidP="000E53E9">
            <w:pPr>
              <w:tabs>
                <w:tab w:val="decimal" w:pos="113"/>
              </w:tabs>
              <w:spacing w:line="180" w:lineRule="exact"/>
              <w:rPr>
                <w:sz w:val="16"/>
                <w:szCs w:val="16"/>
              </w:rPr>
            </w:pPr>
          </w:p>
        </w:tc>
        <w:tc>
          <w:tcPr>
            <w:tcW w:w="113" w:type="dxa"/>
            <w:vAlign w:val="bottom"/>
          </w:tcPr>
          <w:p w14:paraId="5C1422D0"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0B886241"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0A2DFF2E"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21A33798"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0D987852"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2D4C9AD0"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6EDBD9CD"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033F8F2D"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38647502"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00E9A865" w14:textId="77777777" w:rsidR="000E53E9" w:rsidRPr="00224C22" w:rsidRDefault="000E53E9" w:rsidP="000E53E9">
            <w:pPr>
              <w:tabs>
                <w:tab w:val="decimal" w:pos="113"/>
              </w:tabs>
              <w:spacing w:line="180" w:lineRule="exact"/>
              <w:rPr>
                <w:sz w:val="16"/>
                <w:szCs w:val="16"/>
              </w:rPr>
            </w:pPr>
          </w:p>
        </w:tc>
        <w:tc>
          <w:tcPr>
            <w:tcW w:w="113" w:type="dxa"/>
            <w:vAlign w:val="bottom"/>
          </w:tcPr>
          <w:p w14:paraId="1EEDECEE"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28A72FD2" w14:textId="77777777" w:rsidR="000E53E9" w:rsidRPr="00224C22" w:rsidRDefault="000E53E9" w:rsidP="000E53E9">
            <w:pPr>
              <w:tabs>
                <w:tab w:val="decimal" w:pos="113"/>
              </w:tabs>
              <w:spacing w:line="180" w:lineRule="exact"/>
              <w:rPr>
                <w:sz w:val="16"/>
                <w:szCs w:val="16"/>
              </w:rPr>
            </w:pPr>
          </w:p>
        </w:tc>
        <w:tc>
          <w:tcPr>
            <w:tcW w:w="113" w:type="dxa"/>
            <w:vAlign w:val="bottom"/>
          </w:tcPr>
          <w:p w14:paraId="30E24399"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73481E88" w14:textId="77777777" w:rsidR="000E53E9" w:rsidRPr="00224C22" w:rsidRDefault="000E53E9" w:rsidP="000E53E9">
            <w:pPr>
              <w:tabs>
                <w:tab w:val="decimal" w:pos="113"/>
              </w:tabs>
              <w:spacing w:line="180" w:lineRule="exact"/>
              <w:rPr>
                <w:sz w:val="16"/>
                <w:szCs w:val="16"/>
              </w:rPr>
            </w:pPr>
          </w:p>
        </w:tc>
        <w:tc>
          <w:tcPr>
            <w:tcW w:w="113" w:type="dxa"/>
          </w:tcPr>
          <w:p w14:paraId="30C836B7" w14:textId="77777777" w:rsidR="000E53E9" w:rsidRPr="00224C22" w:rsidRDefault="000E53E9" w:rsidP="000E53E9">
            <w:pPr>
              <w:tabs>
                <w:tab w:val="decimal" w:pos="113"/>
              </w:tabs>
              <w:spacing w:line="180" w:lineRule="exact"/>
              <w:rPr>
                <w:sz w:val="16"/>
                <w:szCs w:val="16"/>
              </w:rPr>
            </w:pPr>
          </w:p>
        </w:tc>
        <w:tc>
          <w:tcPr>
            <w:tcW w:w="607" w:type="dxa"/>
            <w:shd w:val="clear" w:color="auto" w:fill="auto"/>
          </w:tcPr>
          <w:p w14:paraId="0BE7CA8C" w14:textId="77777777" w:rsidR="000E53E9" w:rsidRPr="00224C22" w:rsidRDefault="000E53E9" w:rsidP="000E53E9">
            <w:pPr>
              <w:tabs>
                <w:tab w:val="decimal" w:pos="113"/>
              </w:tabs>
              <w:spacing w:line="180" w:lineRule="exact"/>
              <w:rPr>
                <w:sz w:val="16"/>
                <w:szCs w:val="16"/>
              </w:rPr>
            </w:pPr>
          </w:p>
        </w:tc>
      </w:tr>
      <w:tr w:rsidR="000E53E9" w:rsidRPr="00224C22" w14:paraId="69602D4F" w14:textId="77777777" w:rsidTr="00435B3C">
        <w:tc>
          <w:tcPr>
            <w:tcW w:w="972" w:type="dxa"/>
            <w:vAlign w:val="center"/>
          </w:tcPr>
          <w:p w14:paraId="2D1DA59B" w14:textId="77777777" w:rsidR="000E53E9" w:rsidRPr="00224C22" w:rsidRDefault="000E53E9" w:rsidP="000E53E9">
            <w:pPr>
              <w:pStyle w:val="a3"/>
              <w:bidi w:val="0"/>
              <w:spacing w:line="140" w:lineRule="exact"/>
              <w:ind w:right="110"/>
              <w:jc w:val="right"/>
              <w:rPr>
                <w:b/>
                <w:i/>
                <w:iCs/>
                <w:sz w:val="12"/>
                <w:szCs w:val="12"/>
                <w:rtl/>
              </w:rPr>
            </w:pPr>
          </w:p>
        </w:tc>
        <w:tc>
          <w:tcPr>
            <w:tcW w:w="2682" w:type="dxa"/>
            <w:vAlign w:val="bottom"/>
          </w:tcPr>
          <w:p w14:paraId="6566FC14" w14:textId="56F788B3" w:rsidR="000E53E9" w:rsidRDefault="000E53E9" w:rsidP="000E53E9">
            <w:pPr>
              <w:pStyle w:val="a3"/>
              <w:tabs>
                <w:tab w:val="left" w:pos="227"/>
                <w:tab w:val="left" w:pos="397"/>
                <w:tab w:val="left" w:pos="567"/>
              </w:tabs>
              <w:spacing w:line="180" w:lineRule="exact"/>
              <w:ind w:left="227" w:hanging="170"/>
              <w:rPr>
                <w:b/>
                <w:sz w:val="16"/>
                <w:szCs w:val="16"/>
              </w:rPr>
            </w:pPr>
            <w:r w:rsidRPr="000F3E95">
              <w:rPr>
                <w:rFonts w:hint="cs"/>
                <w:sz w:val="14"/>
                <w:szCs w:val="14"/>
                <w:rtl/>
              </w:rPr>
              <w:t xml:space="preserve">יתרה ליום 1 בינואר 2018 (לאחר אימוץ לראשונה של </w:t>
            </w:r>
            <w:r w:rsidRPr="000F3E95">
              <w:rPr>
                <w:rFonts w:hint="cs"/>
                <w:sz w:val="14"/>
                <w:szCs w:val="14"/>
              </w:rPr>
              <w:t>IFRS 15</w:t>
            </w:r>
            <w:r w:rsidRPr="000F3E95">
              <w:rPr>
                <w:sz w:val="14"/>
                <w:szCs w:val="14"/>
              </w:rPr>
              <w:t xml:space="preserve"> </w:t>
            </w:r>
            <w:r w:rsidRPr="000F3E95">
              <w:rPr>
                <w:rFonts w:hint="cs"/>
                <w:sz w:val="14"/>
                <w:szCs w:val="14"/>
                <w:rtl/>
              </w:rPr>
              <w:t xml:space="preserve"> ו- </w:t>
            </w:r>
            <w:r w:rsidRPr="000F3E95">
              <w:rPr>
                <w:rFonts w:hint="cs"/>
                <w:sz w:val="14"/>
                <w:szCs w:val="14"/>
              </w:rPr>
              <w:t xml:space="preserve">IFRS </w:t>
            </w:r>
            <w:r w:rsidRPr="000F3E95">
              <w:rPr>
                <w:sz w:val="14"/>
                <w:szCs w:val="14"/>
              </w:rPr>
              <w:t>9</w:t>
            </w:r>
            <w:r w:rsidRPr="000F3E95">
              <w:rPr>
                <w:rFonts w:hint="cs"/>
                <w:sz w:val="14"/>
                <w:szCs w:val="14"/>
                <w:rtl/>
              </w:rPr>
              <w:t>)</w:t>
            </w:r>
          </w:p>
        </w:tc>
        <w:tc>
          <w:tcPr>
            <w:tcW w:w="113" w:type="dxa"/>
            <w:vAlign w:val="bottom"/>
          </w:tcPr>
          <w:p w14:paraId="3AE18420" w14:textId="77777777" w:rsidR="000E53E9" w:rsidRPr="00224C22" w:rsidRDefault="000E53E9" w:rsidP="000E53E9">
            <w:pPr>
              <w:spacing w:line="180" w:lineRule="exact"/>
              <w:jc w:val="left"/>
              <w:rPr>
                <w:sz w:val="16"/>
                <w:szCs w:val="16"/>
              </w:rPr>
            </w:pPr>
          </w:p>
        </w:tc>
        <w:tc>
          <w:tcPr>
            <w:tcW w:w="621" w:type="dxa"/>
            <w:shd w:val="clear" w:color="auto" w:fill="auto"/>
            <w:vAlign w:val="bottom"/>
          </w:tcPr>
          <w:p w14:paraId="789698F0" w14:textId="77777777" w:rsidR="000E53E9" w:rsidRPr="00224C22" w:rsidRDefault="000E53E9" w:rsidP="000E53E9">
            <w:pPr>
              <w:tabs>
                <w:tab w:val="decimal" w:pos="113"/>
              </w:tabs>
              <w:spacing w:line="180" w:lineRule="exact"/>
              <w:jc w:val="left"/>
              <w:rPr>
                <w:sz w:val="16"/>
                <w:szCs w:val="16"/>
              </w:rPr>
            </w:pPr>
          </w:p>
        </w:tc>
        <w:tc>
          <w:tcPr>
            <w:tcW w:w="112" w:type="dxa"/>
            <w:vAlign w:val="bottom"/>
          </w:tcPr>
          <w:p w14:paraId="44761CCF" w14:textId="77777777" w:rsidR="000E53E9" w:rsidRPr="00224C22" w:rsidRDefault="000E53E9" w:rsidP="000E53E9">
            <w:pPr>
              <w:tabs>
                <w:tab w:val="decimal" w:pos="113"/>
              </w:tabs>
              <w:spacing w:line="180" w:lineRule="exact"/>
              <w:jc w:val="left"/>
              <w:rPr>
                <w:sz w:val="16"/>
                <w:szCs w:val="16"/>
              </w:rPr>
            </w:pPr>
          </w:p>
        </w:tc>
        <w:tc>
          <w:tcPr>
            <w:tcW w:w="621" w:type="dxa"/>
            <w:shd w:val="clear" w:color="auto" w:fill="auto"/>
            <w:vAlign w:val="bottom"/>
          </w:tcPr>
          <w:p w14:paraId="023C0127" w14:textId="77777777" w:rsidR="000E53E9" w:rsidRPr="00224C22" w:rsidRDefault="000E53E9" w:rsidP="000E53E9">
            <w:pPr>
              <w:tabs>
                <w:tab w:val="decimal" w:pos="113"/>
              </w:tabs>
              <w:spacing w:line="180" w:lineRule="exact"/>
              <w:jc w:val="left"/>
              <w:rPr>
                <w:sz w:val="16"/>
                <w:szCs w:val="16"/>
              </w:rPr>
            </w:pPr>
          </w:p>
        </w:tc>
        <w:tc>
          <w:tcPr>
            <w:tcW w:w="113" w:type="dxa"/>
            <w:vAlign w:val="bottom"/>
          </w:tcPr>
          <w:p w14:paraId="5304E160"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7D470028" w14:textId="77777777" w:rsidR="000E53E9" w:rsidRPr="00224C22" w:rsidRDefault="000E53E9" w:rsidP="000E53E9">
            <w:pPr>
              <w:tabs>
                <w:tab w:val="decimal" w:pos="113"/>
              </w:tabs>
              <w:spacing w:line="180" w:lineRule="exact"/>
              <w:rPr>
                <w:sz w:val="16"/>
                <w:szCs w:val="16"/>
              </w:rPr>
            </w:pPr>
          </w:p>
        </w:tc>
        <w:tc>
          <w:tcPr>
            <w:tcW w:w="113" w:type="dxa"/>
          </w:tcPr>
          <w:p w14:paraId="27DDFF09" w14:textId="77777777" w:rsidR="000E53E9" w:rsidRPr="00224C22" w:rsidRDefault="000E53E9" w:rsidP="000E53E9">
            <w:pPr>
              <w:tabs>
                <w:tab w:val="decimal" w:pos="113"/>
              </w:tabs>
              <w:spacing w:line="180" w:lineRule="exact"/>
              <w:rPr>
                <w:sz w:val="16"/>
                <w:szCs w:val="16"/>
              </w:rPr>
            </w:pPr>
          </w:p>
        </w:tc>
        <w:tc>
          <w:tcPr>
            <w:tcW w:w="677" w:type="dxa"/>
            <w:shd w:val="clear" w:color="auto" w:fill="auto"/>
          </w:tcPr>
          <w:p w14:paraId="0A8DC388" w14:textId="77777777" w:rsidR="000E53E9" w:rsidRPr="00224C22" w:rsidRDefault="000E53E9" w:rsidP="000E53E9">
            <w:pPr>
              <w:tabs>
                <w:tab w:val="decimal" w:pos="113"/>
              </w:tabs>
              <w:spacing w:line="180" w:lineRule="exact"/>
              <w:rPr>
                <w:sz w:val="16"/>
                <w:szCs w:val="16"/>
              </w:rPr>
            </w:pPr>
          </w:p>
        </w:tc>
        <w:tc>
          <w:tcPr>
            <w:tcW w:w="113" w:type="dxa"/>
          </w:tcPr>
          <w:p w14:paraId="7B92E1EA" w14:textId="77777777" w:rsidR="000E53E9" w:rsidRPr="00224C22" w:rsidRDefault="000E53E9" w:rsidP="000E53E9">
            <w:pPr>
              <w:tabs>
                <w:tab w:val="decimal" w:pos="113"/>
              </w:tabs>
              <w:spacing w:line="180" w:lineRule="exact"/>
              <w:rPr>
                <w:sz w:val="16"/>
                <w:szCs w:val="16"/>
              </w:rPr>
            </w:pPr>
          </w:p>
        </w:tc>
        <w:tc>
          <w:tcPr>
            <w:tcW w:w="622" w:type="dxa"/>
            <w:shd w:val="clear" w:color="auto" w:fill="auto"/>
          </w:tcPr>
          <w:p w14:paraId="4CF1BFF9" w14:textId="77777777" w:rsidR="000E53E9" w:rsidRPr="00224C22" w:rsidRDefault="000E53E9" w:rsidP="000E53E9">
            <w:pPr>
              <w:tabs>
                <w:tab w:val="decimal" w:pos="113"/>
              </w:tabs>
              <w:spacing w:line="180" w:lineRule="exact"/>
              <w:rPr>
                <w:sz w:val="16"/>
                <w:szCs w:val="16"/>
              </w:rPr>
            </w:pPr>
          </w:p>
        </w:tc>
        <w:tc>
          <w:tcPr>
            <w:tcW w:w="113" w:type="dxa"/>
            <w:vAlign w:val="bottom"/>
          </w:tcPr>
          <w:p w14:paraId="715E97EF" w14:textId="77777777" w:rsidR="000E53E9" w:rsidRPr="00224C22" w:rsidRDefault="000E53E9" w:rsidP="000E53E9">
            <w:pPr>
              <w:tabs>
                <w:tab w:val="decimal" w:pos="113"/>
              </w:tabs>
              <w:spacing w:line="180" w:lineRule="exact"/>
              <w:rPr>
                <w:sz w:val="16"/>
                <w:szCs w:val="16"/>
              </w:rPr>
            </w:pPr>
          </w:p>
        </w:tc>
        <w:tc>
          <w:tcPr>
            <w:tcW w:w="622" w:type="dxa"/>
            <w:gridSpan w:val="2"/>
            <w:shd w:val="clear" w:color="auto" w:fill="auto"/>
            <w:vAlign w:val="bottom"/>
          </w:tcPr>
          <w:p w14:paraId="54F79BEA" w14:textId="77777777" w:rsidR="000E53E9" w:rsidRPr="00224C22" w:rsidRDefault="000E53E9" w:rsidP="000E53E9">
            <w:pPr>
              <w:tabs>
                <w:tab w:val="decimal" w:pos="113"/>
              </w:tabs>
              <w:spacing w:line="180" w:lineRule="exact"/>
              <w:rPr>
                <w:sz w:val="16"/>
                <w:szCs w:val="16"/>
              </w:rPr>
            </w:pPr>
          </w:p>
        </w:tc>
        <w:tc>
          <w:tcPr>
            <w:tcW w:w="113" w:type="dxa"/>
            <w:vAlign w:val="bottom"/>
          </w:tcPr>
          <w:p w14:paraId="3A255605" w14:textId="77777777" w:rsidR="000E53E9" w:rsidRPr="00224C22" w:rsidRDefault="000E53E9" w:rsidP="000E53E9">
            <w:pPr>
              <w:tabs>
                <w:tab w:val="decimal" w:pos="113"/>
              </w:tabs>
              <w:spacing w:line="180" w:lineRule="exact"/>
              <w:rPr>
                <w:sz w:val="16"/>
                <w:szCs w:val="16"/>
              </w:rPr>
            </w:pPr>
          </w:p>
        </w:tc>
        <w:tc>
          <w:tcPr>
            <w:tcW w:w="734" w:type="dxa"/>
            <w:shd w:val="clear" w:color="auto" w:fill="auto"/>
            <w:vAlign w:val="bottom"/>
          </w:tcPr>
          <w:p w14:paraId="4561DAE1" w14:textId="77777777" w:rsidR="000E53E9" w:rsidRPr="00224C22" w:rsidRDefault="000E53E9" w:rsidP="000E53E9">
            <w:pPr>
              <w:tabs>
                <w:tab w:val="decimal" w:pos="113"/>
              </w:tabs>
              <w:spacing w:line="180" w:lineRule="exact"/>
              <w:rPr>
                <w:sz w:val="16"/>
                <w:szCs w:val="16"/>
              </w:rPr>
            </w:pPr>
          </w:p>
        </w:tc>
        <w:tc>
          <w:tcPr>
            <w:tcW w:w="113" w:type="dxa"/>
            <w:vAlign w:val="bottom"/>
          </w:tcPr>
          <w:p w14:paraId="5616B424"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4009B114" w14:textId="77777777" w:rsidR="000E53E9" w:rsidRPr="00224C22" w:rsidRDefault="000E53E9" w:rsidP="000E53E9">
            <w:pPr>
              <w:tabs>
                <w:tab w:val="decimal" w:pos="113"/>
              </w:tabs>
              <w:spacing w:line="180" w:lineRule="exact"/>
              <w:rPr>
                <w:sz w:val="16"/>
                <w:szCs w:val="16"/>
              </w:rPr>
            </w:pPr>
          </w:p>
        </w:tc>
        <w:tc>
          <w:tcPr>
            <w:tcW w:w="113" w:type="dxa"/>
            <w:vAlign w:val="bottom"/>
          </w:tcPr>
          <w:p w14:paraId="4EDB2A9A"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48FE23B8"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58AD3883"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085DDE4C"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1425C1E2"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078BBE64"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1713BA27"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6AD92A01"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282D5F47"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6FACE475" w14:textId="77777777" w:rsidR="000E53E9" w:rsidRPr="00224C22" w:rsidRDefault="000E53E9" w:rsidP="000E53E9">
            <w:pPr>
              <w:tabs>
                <w:tab w:val="decimal" w:pos="113"/>
              </w:tabs>
              <w:spacing w:line="180" w:lineRule="exact"/>
              <w:rPr>
                <w:sz w:val="16"/>
                <w:szCs w:val="16"/>
              </w:rPr>
            </w:pPr>
          </w:p>
        </w:tc>
        <w:tc>
          <w:tcPr>
            <w:tcW w:w="113" w:type="dxa"/>
            <w:vAlign w:val="bottom"/>
          </w:tcPr>
          <w:p w14:paraId="56C54926"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69941F54" w14:textId="77777777" w:rsidR="000E53E9" w:rsidRPr="00224C22" w:rsidRDefault="000E53E9" w:rsidP="000E53E9">
            <w:pPr>
              <w:tabs>
                <w:tab w:val="decimal" w:pos="113"/>
              </w:tabs>
              <w:spacing w:line="180" w:lineRule="exact"/>
              <w:rPr>
                <w:sz w:val="16"/>
                <w:szCs w:val="16"/>
              </w:rPr>
            </w:pPr>
          </w:p>
        </w:tc>
        <w:tc>
          <w:tcPr>
            <w:tcW w:w="113" w:type="dxa"/>
            <w:vAlign w:val="bottom"/>
          </w:tcPr>
          <w:p w14:paraId="7282C243"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1D6381FF" w14:textId="77777777" w:rsidR="000E53E9" w:rsidRPr="00224C22" w:rsidRDefault="000E53E9" w:rsidP="000E53E9">
            <w:pPr>
              <w:tabs>
                <w:tab w:val="decimal" w:pos="113"/>
              </w:tabs>
              <w:spacing w:line="180" w:lineRule="exact"/>
              <w:rPr>
                <w:sz w:val="16"/>
                <w:szCs w:val="16"/>
              </w:rPr>
            </w:pPr>
          </w:p>
        </w:tc>
        <w:tc>
          <w:tcPr>
            <w:tcW w:w="113" w:type="dxa"/>
          </w:tcPr>
          <w:p w14:paraId="0D7EDEA5" w14:textId="77777777" w:rsidR="000E53E9" w:rsidRPr="00224C22" w:rsidRDefault="000E53E9" w:rsidP="000E53E9">
            <w:pPr>
              <w:tabs>
                <w:tab w:val="decimal" w:pos="113"/>
              </w:tabs>
              <w:spacing w:line="180" w:lineRule="exact"/>
              <w:rPr>
                <w:sz w:val="16"/>
                <w:szCs w:val="16"/>
              </w:rPr>
            </w:pPr>
          </w:p>
        </w:tc>
        <w:tc>
          <w:tcPr>
            <w:tcW w:w="607" w:type="dxa"/>
            <w:shd w:val="clear" w:color="auto" w:fill="auto"/>
          </w:tcPr>
          <w:p w14:paraId="57300C99" w14:textId="77777777" w:rsidR="000E53E9" w:rsidRPr="00224C22" w:rsidRDefault="000E53E9" w:rsidP="000E53E9">
            <w:pPr>
              <w:tabs>
                <w:tab w:val="decimal" w:pos="113"/>
              </w:tabs>
              <w:spacing w:line="180" w:lineRule="exact"/>
              <w:rPr>
                <w:sz w:val="16"/>
                <w:szCs w:val="16"/>
              </w:rPr>
            </w:pPr>
          </w:p>
        </w:tc>
      </w:tr>
      <w:tr w:rsidR="000E53E9" w:rsidRPr="00435B3C" w14:paraId="09B244AF" w14:textId="77777777" w:rsidTr="00435B3C">
        <w:tc>
          <w:tcPr>
            <w:tcW w:w="972" w:type="dxa"/>
            <w:tcBorders>
              <w:bottom w:val="single" w:sz="4" w:space="0" w:color="auto"/>
              <w:right w:val="single" w:sz="4" w:space="0" w:color="auto"/>
            </w:tcBorders>
            <w:vAlign w:val="center"/>
          </w:tcPr>
          <w:p w14:paraId="2FC42D21" w14:textId="77777777" w:rsidR="000E53E9" w:rsidRPr="00224C22" w:rsidRDefault="000E53E9" w:rsidP="000E53E9">
            <w:pPr>
              <w:pStyle w:val="a3"/>
              <w:bidi w:val="0"/>
              <w:spacing w:line="140" w:lineRule="exact"/>
              <w:ind w:right="110"/>
              <w:jc w:val="right"/>
              <w:rPr>
                <w:bCs/>
                <w:i/>
                <w:iCs/>
                <w:sz w:val="12"/>
                <w:szCs w:val="12"/>
                <w:rtl/>
              </w:rPr>
            </w:pPr>
            <w:r w:rsidRPr="00224C22">
              <w:rPr>
                <w:bCs/>
                <w:i/>
                <w:iCs/>
                <w:sz w:val="12"/>
                <w:szCs w:val="12"/>
              </w:rPr>
              <w:t>IAS 1.106(d)(i)</w:t>
            </w:r>
          </w:p>
        </w:tc>
        <w:tc>
          <w:tcPr>
            <w:tcW w:w="2682" w:type="dxa"/>
            <w:tcBorders>
              <w:left w:val="single" w:sz="4" w:space="0" w:color="auto"/>
            </w:tcBorders>
            <w:vAlign w:val="bottom"/>
          </w:tcPr>
          <w:p w14:paraId="140416BE" w14:textId="77777777" w:rsidR="000E53E9" w:rsidRPr="00435B3C" w:rsidRDefault="000E53E9" w:rsidP="000E53E9">
            <w:pPr>
              <w:widowControl/>
              <w:tabs>
                <w:tab w:val="left" w:pos="227"/>
                <w:tab w:val="left" w:pos="397"/>
                <w:tab w:val="left" w:pos="567"/>
              </w:tabs>
              <w:spacing w:line="180" w:lineRule="exact"/>
              <w:ind w:left="57"/>
              <w:jc w:val="left"/>
              <w:rPr>
                <w:sz w:val="14"/>
                <w:szCs w:val="14"/>
                <w:rtl/>
              </w:rPr>
            </w:pPr>
            <w:r w:rsidRPr="00435B3C">
              <w:rPr>
                <w:rFonts w:hint="cs"/>
                <w:sz w:val="14"/>
                <w:szCs w:val="14"/>
                <w:rtl/>
              </w:rPr>
              <w:t>רווח נקי (הפסד)</w:t>
            </w:r>
          </w:p>
        </w:tc>
        <w:tc>
          <w:tcPr>
            <w:tcW w:w="113" w:type="dxa"/>
            <w:vAlign w:val="bottom"/>
          </w:tcPr>
          <w:p w14:paraId="7BE942FF"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3EBC37E2"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55B8ADB2"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28EC6247"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0F8304C1"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05A141D" w14:textId="77777777" w:rsidR="000E53E9" w:rsidRPr="00435B3C" w:rsidRDefault="000E53E9" w:rsidP="000E53E9">
            <w:pPr>
              <w:tabs>
                <w:tab w:val="decimal" w:pos="113"/>
              </w:tabs>
              <w:spacing w:line="180" w:lineRule="exact"/>
              <w:rPr>
                <w:sz w:val="14"/>
                <w:szCs w:val="14"/>
              </w:rPr>
            </w:pPr>
          </w:p>
        </w:tc>
        <w:tc>
          <w:tcPr>
            <w:tcW w:w="113" w:type="dxa"/>
          </w:tcPr>
          <w:p w14:paraId="0AC278A0"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619A4EAA" w14:textId="77777777" w:rsidR="000E53E9" w:rsidRPr="00435B3C" w:rsidRDefault="000E53E9" w:rsidP="000E53E9">
            <w:pPr>
              <w:tabs>
                <w:tab w:val="decimal" w:pos="113"/>
              </w:tabs>
              <w:spacing w:line="180" w:lineRule="exact"/>
              <w:rPr>
                <w:sz w:val="14"/>
                <w:szCs w:val="14"/>
              </w:rPr>
            </w:pPr>
          </w:p>
        </w:tc>
        <w:tc>
          <w:tcPr>
            <w:tcW w:w="113" w:type="dxa"/>
          </w:tcPr>
          <w:p w14:paraId="77C8C6F7"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6C85F18E" w14:textId="77777777" w:rsidR="000E53E9" w:rsidRPr="00435B3C" w:rsidRDefault="000E53E9" w:rsidP="000E53E9">
            <w:pPr>
              <w:tabs>
                <w:tab w:val="decimal" w:pos="113"/>
              </w:tabs>
              <w:spacing w:line="180" w:lineRule="exact"/>
              <w:rPr>
                <w:sz w:val="14"/>
                <w:szCs w:val="14"/>
              </w:rPr>
            </w:pPr>
          </w:p>
        </w:tc>
        <w:tc>
          <w:tcPr>
            <w:tcW w:w="113" w:type="dxa"/>
            <w:vAlign w:val="bottom"/>
          </w:tcPr>
          <w:p w14:paraId="6990D04A"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7393A2E3" w14:textId="77777777" w:rsidR="000E53E9" w:rsidRPr="00435B3C" w:rsidRDefault="000E53E9" w:rsidP="000E53E9">
            <w:pPr>
              <w:tabs>
                <w:tab w:val="decimal" w:pos="113"/>
              </w:tabs>
              <w:spacing w:line="180" w:lineRule="exact"/>
              <w:rPr>
                <w:sz w:val="14"/>
                <w:szCs w:val="14"/>
              </w:rPr>
            </w:pPr>
          </w:p>
        </w:tc>
        <w:tc>
          <w:tcPr>
            <w:tcW w:w="113" w:type="dxa"/>
            <w:vAlign w:val="bottom"/>
          </w:tcPr>
          <w:p w14:paraId="01DCCFE9"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0F20D16C" w14:textId="77777777" w:rsidR="000E53E9" w:rsidRPr="00435B3C" w:rsidRDefault="000E53E9" w:rsidP="000E53E9">
            <w:pPr>
              <w:tabs>
                <w:tab w:val="decimal" w:pos="113"/>
              </w:tabs>
              <w:spacing w:line="180" w:lineRule="exact"/>
              <w:rPr>
                <w:sz w:val="14"/>
                <w:szCs w:val="14"/>
              </w:rPr>
            </w:pPr>
          </w:p>
        </w:tc>
        <w:tc>
          <w:tcPr>
            <w:tcW w:w="113" w:type="dxa"/>
            <w:vAlign w:val="bottom"/>
          </w:tcPr>
          <w:p w14:paraId="790EE36A"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4B375FC7" w14:textId="77777777" w:rsidR="000E53E9" w:rsidRPr="00435B3C" w:rsidRDefault="000E53E9" w:rsidP="000E53E9">
            <w:pPr>
              <w:tabs>
                <w:tab w:val="decimal" w:pos="113"/>
              </w:tabs>
              <w:spacing w:line="180" w:lineRule="exact"/>
              <w:rPr>
                <w:sz w:val="14"/>
                <w:szCs w:val="14"/>
              </w:rPr>
            </w:pPr>
          </w:p>
        </w:tc>
        <w:tc>
          <w:tcPr>
            <w:tcW w:w="113" w:type="dxa"/>
            <w:vAlign w:val="bottom"/>
          </w:tcPr>
          <w:p w14:paraId="26624251"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2296DBE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07F8C95"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0840EB2D"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D8AD5EB"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123D7788"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B1F6A1B"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F36758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746E50D"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05CE01FC" w14:textId="77777777" w:rsidR="000E53E9" w:rsidRPr="00435B3C" w:rsidRDefault="000E53E9" w:rsidP="000E53E9">
            <w:pPr>
              <w:tabs>
                <w:tab w:val="decimal" w:pos="113"/>
              </w:tabs>
              <w:spacing w:line="180" w:lineRule="exact"/>
              <w:rPr>
                <w:sz w:val="14"/>
                <w:szCs w:val="14"/>
              </w:rPr>
            </w:pPr>
          </w:p>
        </w:tc>
        <w:tc>
          <w:tcPr>
            <w:tcW w:w="113" w:type="dxa"/>
            <w:vAlign w:val="bottom"/>
          </w:tcPr>
          <w:p w14:paraId="4B2EE75B"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616E5A7C" w14:textId="77777777" w:rsidR="000E53E9" w:rsidRPr="00435B3C" w:rsidRDefault="000E53E9" w:rsidP="000E53E9">
            <w:pPr>
              <w:tabs>
                <w:tab w:val="decimal" w:pos="113"/>
              </w:tabs>
              <w:spacing w:line="180" w:lineRule="exact"/>
              <w:rPr>
                <w:sz w:val="14"/>
                <w:szCs w:val="14"/>
              </w:rPr>
            </w:pPr>
          </w:p>
        </w:tc>
        <w:tc>
          <w:tcPr>
            <w:tcW w:w="113" w:type="dxa"/>
            <w:vAlign w:val="bottom"/>
          </w:tcPr>
          <w:p w14:paraId="61922B6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F96E408" w14:textId="77777777" w:rsidR="000E53E9" w:rsidRPr="00435B3C" w:rsidDel="00260764" w:rsidRDefault="000E53E9" w:rsidP="000E53E9">
            <w:pPr>
              <w:widowControl/>
              <w:tabs>
                <w:tab w:val="decimal" w:pos="74"/>
              </w:tabs>
              <w:spacing w:line="180" w:lineRule="exact"/>
              <w:ind w:left="57"/>
              <w:rPr>
                <w:sz w:val="14"/>
                <w:szCs w:val="14"/>
              </w:rPr>
            </w:pPr>
          </w:p>
        </w:tc>
        <w:tc>
          <w:tcPr>
            <w:tcW w:w="113" w:type="dxa"/>
          </w:tcPr>
          <w:p w14:paraId="1AB6DECD"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748E146B" w14:textId="77777777" w:rsidR="000E53E9" w:rsidRPr="00435B3C" w:rsidRDefault="000E53E9" w:rsidP="000E53E9">
            <w:pPr>
              <w:tabs>
                <w:tab w:val="decimal" w:pos="113"/>
              </w:tabs>
              <w:spacing w:line="180" w:lineRule="exact"/>
              <w:rPr>
                <w:sz w:val="14"/>
                <w:szCs w:val="14"/>
              </w:rPr>
            </w:pPr>
          </w:p>
        </w:tc>
      </w:tr>
      <w:tr w:rsidR="000E53E9" w:rsidRPr="00435B3C" w14:paraId="13F8F81B" w14:textId="77777777" w:rsidTr="00435B3C">
        <w:tc>
          <w:tcPr>
            <w:tcW w:w="972" w:type="dxa"/>
            <w:tcBorders>
              <w:top w:val="single" w:sz="4" w:space="0" w:color="auto"/>
              <w:bottom w:val="single" w:sz="4" w:space="0" w:color="auto"/>
              <w:right w:val="single" w:sz="4" w:space="0" w:color="auto"/>
            </w:tcBorders>
            <w:vAlign w:val="center"/>
          </w:tcPr>
          <w:p w14:paraId="1701B223" w14:textId="77777777" w:rsidR="000E53E9" w:rsidRPr="00224C22" w:rsidRDefault="000E53E9" w:rsidP="000E53E9">
            <w:pPr>
              <w:widowControl/>
              <w:bidi w:val="0"/>
              <w:spacing w:line="140" w:lineRule="exact"/>
              <w:ind w:right="110"/>
              <w:jc w:val="right"/>
              <w:rPr>
                <w:i/>
                <w:iCs/>
                <w:sz w:val="12"/>
                <w:szCs w:val="12"/>
                <w:rtl/>
              </w:rPr>
            </w:pPr>
            <w:r>
              <w:rPr>
                <w:i/>
                <w:iCs/>
                <w:sz w:val="12"/>
                <w:szCs w:val="12"/>
              </w:rPr>
              <w:t>IAS 1.106(d)</w:t>
            </w:r>
            <w:r w:rsidRPr="00224C22">
              <w:rPr>
                <w:i/>
                <w:iCs/>
                <w:sz w:val="12"/>
                <w:szCs w:val="12"/>
              </w:rPr>
              <w:t>(ii)</w:t>
            </w:r>
          </w:p>
        </w:tc>
        <w:tc>
          <w:tcPr>
            <w:tcW w:w="2682" w:type="dxa"/>
            <w:tcBorders>
              <w:left w:val="single" w:sz="4" w:space="0" w:color="auto"/>
            </w:tcBorders>
            <w:vAlign w:val="bottom"/>
          </w:tcPr>
          <w:p w14:paraId="371BA3E9" w14:textId="77777777" w:rsidR="000E53E9" w:rsidRPr="00435B3C" w:rsidRDefault="000E53E9" w:rsidP="000E53E9">
            <w:pPr>
              <w:widowControl/>
              <w:tabs>
                <w:tab w:val="left" w:pos="227"/>
                <w:tab w:val="left" w:pos="397"/>
                <w:tab w:val="left" w:pos="567"/>
              </w:tabs>
              <w:spacing w:line="180" w:lineRule="exact"/>
              <w:ind w:left="57"/>
              <w:jc w:val="left"/>
              <w:rPr>
                <w:sz w:val="14"/>
                <w:szCs w:val="14"/>
                <w:rtl/>
              </w:rPr>
            </w:pPr>
            <w:r w:rsidRPr="00435B3C">
              <w:rPr>
                <w:rFonts w:hint="eastAsia"/>
                <w:sz w:val="14"/>
                <w:szCs w:val="14"/>
                <w:rtl/>
              </w:rPr>
              <w:t>סה</w:t>
            </w:r>
            <w:r w:rsidRPr="00435B3C">
              <w:rPr>
                <w:sz w:val="14"/>
                <w:szCs w:val="14"/>
                <w:rtl/>
              </w:rPr>
              <w:t xml:space="preserve">"כ </w:t>
            </w:r>
            <w:r w:rsidRPr="00435B3C">
              <w:rPr>
                <w:rFonts w:hint="eastAsia"/>
                <w:sz w:val="14"/>
                <w:szCs w:val="14"/>
                <w:rtl/>
              </w:rPr>
              <w:t>רווח</w:t>
            </w:r>
            <w:r w:rsidRPr="00435B3C">
              <w:rPr>
                <w:sz w:val="14"/>
                <w:szCs w:val="14"/>
                <w:rtl/>
              </w:rPr>
              <w:t xml:space="preserve"> (הפסד) </w:t>
            </w:r>
            <w:r w:rsidRPr="00435B3C">
              <w:rPr>
                <w:rFonts w:hint="eastAsia"/>
                <w:sz w:val="14"/>
                <w:szCs w:val="14"/>
                <w:rtl/>
              </w:rPr>
              <w:t>כולל</w:t>
            </w:r>
            <w:r w:rsidRPr="00435B3C">
              <w:rPr>
                <w:sz w:val="14"/>
                <w:szCs w:val="14"/>
                <w:rtl/>
              </w:rPr>
              <w:t xml:space="preserve"> </w:t>
            </w:r>
            <w:r w:rsidRPr="00435B3C">
              <w:rPr>
                <w:rFonts w:hint="eastAsia"/>
                <w:sz w:val="14"/>
                <w:szCs w:val="14"/>
                <w:rtl/>
              </w:rPr>
              <w:t>אחר</w:t>
            </w:r>
          </w:p>
        </w:tc>
        <w:tc>
          <w:tcPr>
            <w:tcW w:w="113" w:type="dxa"/>
            <w:vAlign w:val="bottom"/>
          </w:tcPr>
          <w:p w14:paraId="3A6BE827" w14:textId="77777777" w:rsidR="000E53E9" w:rsidRPr="00435B3C" w:rsidRDefault="000E53E9" w:rsidP="000E53E9">
            <w:pPr>
              <w:spacing w:line="180" w:lineRule="exact"/>
              <w:jc w:val="left"/>
              <w:rPr>
                <w:sz w:val="14"/>
                <w:szCs w:val="14"/>
              </w:rPr>
            </w:pPr>
          </w:p>
        </w:tc>
        <w:tc>
          <w:tcPr>
            <w:tcW w:w="621" w:type="dxa"/>
            <w:tcBorders>
              <w:top w:val="nil"/>
              <w:left w:val="nil"/>
              <w:bottom w:val="single" w:sz="6" w:space="0" w:color="auto"/>
              <w:right w:val="nil"/>
            </w:tcBorders>
            <w:shd w:val="clear" w:color="auto" w:fill="auto"/>
            <w:vAlign w:val="bottom"/>
          </w:tcPr>
          <w:p w14:paraId="58B5F715"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57D4D571"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bottom w:val="single" w:sz="6" w:space="0" w:color="auto"/>
              <w:right w:val="nil"/>
            </w:tcBorders>
            <w:shd w:val="clear" w:color="auto" w:fill="auto"/>
            <w:vAlign w:val="bottom"/>
          </w:tcPr>
          <w:p w14:paraId="1B0D30B6"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41275BB"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single" w:sz="6" w:space="0" w:color="auto"/>
              <w:right w:val="nil"/>
            </w:tcBorders>
            <w:shd w:val="clear" w:color="auto" w:fill="auto"/>
            <w:vAlign w:val="bottom"/>
          </w:tcPr>
          <w:p w14:paraId="333B68F1" w14:textId="77777777" w:rsidR="000E53E9" w:rsidRPr="00435B3C" w:rsidRDefault="000E53E9" w:rsidP="000E53E9">
            <w:pPr>
              <w:tabs>
                <w:tab w:val="decimal" w:pos="113"/>
              </w:tabs>
              <w:spacing w:line="180" w:lineRule="exact"/>
              <w:rPr>
                <w:sz w:val="14"/>
                <w:szCs w:val="14"/>
              </w:rPr>
            </w:pPr>
          </w:p>
        </w:tc>
        <w:tc>
          <w:tcPr>
            <w:tcW w:w="113" w:type="dxa"/>
          </w:tcPr>
          <w:p w14:paraId="0935AF82" w14:textId="77777777" w:rsidR="000E53E9" w:rsidRPr="00435B3C" w:rsidRDefault="000E53E9" w:rsidP="000E53E9">
            <w:pPr>
              <w:tabs>
                <w:tab w:val="decimal" w:pos="113"/>
              </w:tabs>
              <w:spacing w:line="180" w:lineRule="exact"/>
              <w:rPr>
                <w:sz w:val="14"/>
                <w:szCs w:val="14"/>
              </w:rPr>
            </w:pPr>
          </w:p>
        </w:tc>
        <w:tc>
          <w:tcPr>
            <w:tcW w:w="677" w:type="dxa"/>
            <w:tcBorders>
              <w:top w:val="nil"/>
              <w:left w:val="nil"/>
              <w:bottom w:val="single" w:sz="6" w:space="0" w:color="auto"/>
              <w:right w:val="nil"/>
            </w:tcBorders>
            <w:shd w:val="clear" w:color="auto" w:fill="auto"/>
          </w:tcPr>
          <w:p w14:paraId="6B9ACC6A" w14:textId="77777777" w:rsidR="000E53E9" w:rsidRPr="00435B3C" w:rsidRDefault="000E53E9" w:rsidP="000E53E9">
            <w:pPr>
              <w:tabs>
                <w:tab w:val="decimal" w:pos="113"/>
              </w:tabs>
              <w:spacing w:line="180" w:lineRule="exact"/>
              <w:rPr>
                <w:sz w:val="14"/>
                <w:szCs w:val="14"/>
              </w:rPr>
            </w:pPr>
          </w:p>
        </w:tc>
        <w:tc>
          <w:tcPr>
            <w:tcW w:w="113" w:type="dxa"/>
          </w:tcPr>
          <w:p w14:paraId="2CA0F592"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single" w:sz="6" w:space="0" w:color="auto"/>
              <w:right w:val="nil"/>
            </w:tcBorders>
            <w:shd w:val="clear" w:color="auto" w:fill="auto"/>
          </w:tcPr>
          <w:p w14:paraId="35F9ADA5" w14:textId="77777777" w:rsidR="000E53E9" w:rsidRPr="00435B3C" w:rsidRDefault="000E53E9" w:rsidP="000E53E9">
            <w:pPr>
              <w:tabs>
                <w:tab w:val="decimal" w:pos="113"/>
              </w:tabs>
              <w:spacing w:line="180" w:lineRule="exact"/>
              <w:rPr>
                <w:sz w:val="14"/>
                <w:szCs w:val="14"/>
              </w:rPr>
            </w:pPr>
          </w:p>
        </w:tc>
        <w:tc>
          <w:tcPr>
            <w:tcW w:w="113" w:type="dxa"/>
            <w:vAlign w:val="bottom"/>
          </w:tcPr>
          <w:p w14:paraId="468750FB"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bottom w:val="single" w:sz="6" w:space="0" w:color="auto"/>
              <w:right w:val="nil"/>
            </w:tcBorders>
            <w:shd w:val="clear" w:color="auto" w:fill="auto"/>
            <w:vAlign w:val="bottom"/>
          </w:tcPr>
          <w:p w14:paraId="503A964F" w14:textId="77777777" w:rsidR="000E53E9" w:rsidRPr="00435B3C" w:rsidRDefault="000E53E9" w:rsidP="000E53E9">
            <w:pPr>
              <w:tabs>
                <w:tab w:val="decimal" w:pos="113"/>
              </w:tabs>
              <w:spacing w:line="180" w:lineRule="exact"/>
              <w:rPr>
                <w:sz w:val="14"/>
                <w:szCs w:val="14"/>
              </w:rPr>
            </w:pPr>
          </w:p>
        </w:tc>
        <w:tc>
          <w:tcPr>
            <w:tcW w:w="113" w:type="dxa"/>
            <w:vAlign w:val="bottom"/>
          </w:tcPr>
          <w:p w14:paraId="72A52877" w14:textId="77777777" w:rsidR="000E53E9" w:rsidRPr="00435B3C" w:rsidRDefault="000E53E9" w:rsidP="000E53E9">
            <w:pPr>
              <w:tabs>
                <w:tab w:val="decimal" w:pos="113"/>
              </w:tabs>
              <w:spacing w:line="180" w:lineRule="exact"/>
              <w:rPr>
                <w:sz w:val="14"/>
                <w:szCs w:val="14"/>
              </w:rPr>
            </w:pPr>
          </w:p>
        </w:tc>
        <w:tc>
          <w:tcPr>
            <w:tcW w:w="734" w:type="dxa"/>
            <w:tcBorders>
              <w:top w:val="nil"/>
              <w:left w:val="nil"/>
              <w:bottom w:val="single" w:sz="6" w:space="0" w:color="auto"/>
              <w:right w:val="nil"/>
            </w:tcBorders>
            <w:shd w:val="clear" w:color="auto" w:fill="auto"/>
            <w:vAlign w:val="bottom"/>
          </w:tcPr>
          <w:p w14:paraId="450E6048" w14:textId="77777777" w:rsidR="000E53E9" w:rsidRPr="00435B3C" w:rsidRDefault="000E53E9" w:rsidP="000E53E9">
            <w:pPr>
              <w:tabs>
                <w:tab w:val="decimal" w:pos="113"/>
              </w:tabs>
              <w:spacing w:line="180" w:lineRule="exact"/>
              <w:rPr>
                <w:sz w:val="14"/>
                <w:szCs w:val="14"/>
              </w:rPr>
            </w:pPr>
          </w:p>
        </w:tc>
        <w:tc>
          <w:tcPr>
            <w:tcW w:w="113" w:type="dxa"/>
            <w:vAlign w:val="bottom"/>
          </w:tcPr>
          <w:p w14:paraId="53907828"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single" w:sz="6" w:space="0" w:color="auto"/>
              <w:right w:val="nil"/>
            </w:tcBorders>
            <w:shd w:val="clear" w:color="auto" w:fill="auto"/>
            <w:vAlign w:val="bottom"/>
          </w:tcPr>
          <w:p w14:paraId="685E73BD" w14:textId="77777777" w:rsidR="000E53E9" w:rsidRPr="00435B3C" w:rsidRDefault="000E53E9" w:rsidP="000E53E9">
            <w:pPr>
              <w:tabs>
                <w:tab w:val="decimal" w:pos="113"/>
              </w:tabs>
              <w:spacing w:line="180" w:lineRule="exact"/>
              <w:rPr>
                <w:sz w:val="14"/>
                <w:szCs w:val="14"/>
              </w:rPr>
            </w:pPr>
          </w:p>
        </w:tc>
        <w:tc>
          <w:tcPr>
            <w:tcW w:w="113" w:type="dxa"/>
            <w:vAlign w:val="bottom"/>
          </w:tcPr>
          <w:p w14:paraId="0A8B185E"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1532878C"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E86BE94"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224A20DD"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0DB83BF"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5059F879"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69E1BBE"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1A9AFD13"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6EB8C75"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55783414" w14:textId="77777777" w:rsidR="000E53E9" w:rsidRPr="00435B3C" w:rsidRDefault="000E53E9" w:rsidP="000E53E9">
            <w:pPr>
              <w:tabs>
                <w:tab w:val="decimal" w:pos="113"/>
              </w:tabs>
              <w:spacing w:line="180" w:lineRule="exact"/>
              <w:rPr>
                <w:sz w:val="14"/>
                <w:szCs w:val="14"/>
              </w:rPr>
            </w:pPr>
          </w:p>
        </w:tc>
        <w:tc>
          <w:tcPr>
            <w:tcW w:w="113" w:type="dxa"/>
            <w:vAlign w:val="bottom"/>
          </w:tcPr>
          <w:p w14:paraId="7F72B95B" w14:textId="77777777" w:rsidR="000E53E9" w:rsidRPr="00435B3C" w:rsidRDefault="000E53E9" w:rsidP="000E53E9">
            <w:pPr>
              <w:tabs>
                <w:tab w:val="decimal" w:pos="113"/>
              </w:tabs>
              <w:spacing w:line="180" w:lineRule="exact"/>
              <w:rPr>
                <w:sz w:val="14"/>
                <w:szCs w:val="14"/>
              </w:rPr>
            </w:pPr>
          </w:p>
        </w:tc>
        <w:tc>
          <w:tcPr>
            <w:tcW w:w="677" w:type="dxa"/>
            <w:tcBorders>
              <w:top w:val="nil"/>
              <w:left w:val="nil"/>
              <w:bottom w:val="single" w:sz="6" w:space="0" w:color="auto"/>
              <w:right w:val="nil"/>
            </w:tcBorders>
            <w:shd w:val="clear" w:color="auto" w:fill="auto"/>
            <w:vAlign w:val="bottom"/>
          </w:tcPr>
          <w:p w14:paraId="6F3DCCF2" w14:textId="77777777" w:rsidR="000E53E9" w:rsidRPr="00435B3C" w:rsidRDefault="000E53E9" w:rsidP="000E53E9">
            <w:pPr>
              <w:tabs>
                <w:tab w:val="decimal" w:pos="113"/>
              </w:tabs>
              <w:spacing w:line="180" w:lineRule="exact"/>
              <w:rPr>
                <w:sz w:val="14"/>
                <w:szCs w:val="14"/>
              </w:rPr>
            </w:pPr>
          </w:p>
        </w:tc>
        <w:tc>
          <w:tcPr>
            <w:tcW w:w="113" w:type="dxa"/>
            <w:vAlign w:val="bottom"/>
          </w:tcPr>
          <w:p w14:paraId="30EC478B"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single" w:sz="6" w:space="0" w:color="auto"/>
              <w:right w:val="nil"/>
            </w:tcBorders>
            <w:shd w:val="clear" w:color="auto" w:fill="auto"/>
            <w:vAlign w:val="bottom"/>
          </w:tcPr>
          <w:p w14:paraId="73815B10" w14:textId="77777777" w:rsidR="000E53E9" w:rsidRPr="00435B3C" w:rsidDel="00260764" w:rsidRDefault="000E53E9" w:rsidP="000E53E9">
            <w:pPr>
              <w:widowControl/>
              <w:tabs>
                <w:tab w:val="decimal" w:pos="74"/>
              </w:tabs>
              <w:spacing w:line="180" w:lineRule="exact"/>
              <w:ind w:left="57"/>
              <w:rPr>
                <w:sz w:val="14"/>
                <w:szCs w:val="14"/>
              </w:rPr>
            </w:pPr>
          </w:p>
        </w:tc>
        <w:tc>
          <w:tcPr>
            <w:tcW w:w="113" w:type="dxa"/>
          </w:tcPr>
          <w:p w14:paraId="448F5E29" w14:textId="77777777" w:rsidR="000E53E9" w:rsidRPr="00435B3C" w:rsidRDefault="000E53E9" w:rsidP="000E53E9">
            <w:pPr>
              <w:tabs>
                <w:tab w:val="decimal" w:pos="113"/>
              </w:tabs>
              <w:spacing w:line="180" w:lineRule="exact"/>
              <w:rPr>
                <w:sz w:val="14"/>
                <w:szCs w:val="14"/>
              </w:rPr>
            </w:pPr>
          </w:p>
        </w:tc>
        <w:tc>
          <w:tcPr>
            <w:tcW w:w="607" w:type="dxa"/>
            <w:tcBorders>
              <w:top w:val="nil"/>
              <w:left w:val="nil"/>
              <w:bottom w:val="single" w:sz="6" w:space="0" w:color="auto"/>
              <w:right w:val="nil"/>
            </w:tcBorders>
            <w:shd w:val="clear" w:color="auto" w:fill="auto"/>
          </w:tcPr>
          <w:p w14:paraId="4B1C33B8" w14:textId="77777777" w:rsidR="000E53E9" w:rsidRPr="00435B3C" w:rsidRDefault="000E53E9" w:rsidP="000E53E9">
            <w:pPr>
              <w:tabs>
                <w:tab w:val="decimal" w:pos="113"/>
              </w:tabs>
              <w:spacing w:line="180" w:lineRule="exact"/>
              <w:rPr>
                <w:sz w:val="14"/>
                <w:szCs w:val="14"/>
              </w:rPr>
            </w:pPr>
          </w:p>
        </w:tc>
      </w:tr>
      <w:tr w:rsidR="000E53E9" w:rsidRPr="00435B3C" w14:paraId="1D29E227" w14:textId="77777777" w:rsidTr="00435B3C">
        <w:tc>
          <w:tcPr>
            <w:tcW w:w="972" w:type="dxa"/>
            <w:tcBorders>
              <w:top w:val="single" w:sz="4" w:space="0" w:color="auto"/>
            </w:tcBorders>
            <w:vAlign w:val="center"/>
          </w:tcPr>
          <w:p w14:paraId="5152EA9D" w14:textId="77777777" w:rsidR="000E53E9" w:rsidRPr="00224C22" w:rsidRDefault="000E53E9" w:rsidP="000E53E9">
            <w:pPr>
              <w:bidi w:val="0"/>
              <w:spacing w:line="140" w:lineRule="exact"/>
              <w:ind w:left="227" w:right="110" w:hanging="170"/>
              <w:jc w:val="right"/>
              <w:rPr>
                <w:i/>
                <w:iCs/>
                <w:sz w:val="12"/>
                <w:szCs w:val="12"/>
                <w:rtl/>
              </w:rPr>
            </w:pPr>
          </w:p>
        </w:tc>
        <w:tc>
          <w:tcPr>
            <w:tcW w:w="2682" w:type="dxa"/>
            <w:vAlign w:val="bottom"/>
          </w:tcPr>
          <w:p w14:paraId="74FF7BD3" w14:textId="77777777" w:rsidR="000E53E9" w:rsidRPr="00435B3C" w:rsidRDefault="000E53E9" w:rsidP="000E53E9">
            <w:pPr>
              <w:widowControl/>
              <w:tabs>
                <w:tab w:val="left" w:pos="227"/>
                <w:tab w:val="left" w:pos="397"/>
                <w:tab w:val="left" w:pos="567"/>
              </w:tabs>
              <w:spacing w:line="180" w:lineRule="exact"/>
              <w:ind w:left="57"/>
              <w:jc w:val="left"/>
              <w:rPr>
                <w:sz w:val="14"/>
                <w:szCs w:val="14"/>
                <w:rtl/>
              </w:rPr>
            </w:pPr>
            <w:r w:rsidRPr="00435B3C">
              <w:rPr>
                <w:rFonts w:hint="cs"/>
                <w:sz w:val="14"/>
                <w:szCs w:val="14"/>
                <w:rtl/>
              </w:rPr>
              <w:t>סה"כ רווח (הפסד) כולל</w:t>
            </w:r>
          </w:p>
        </w:tc>
        <w:tc>
          <w:tcPr>
            <w:tcW w:w="113" w:type="dxa"/>
            <w:vAlign w:val="bottom"/>
          </w:tcPr>
          <w:p w14:paraId="083E31FC" w14:textId="77777777" w:rsidR="000E53E9" w:rsidRPr="00435B3C" w:rsidRDefault="000E53E9" w:rsidP="000E53E9">
            <w:pPr>
              <w:spacing w:line="180" w:lineRule="exact"/>
              <w:jc w:val="left"/>
              <w:rPr>
                <w:sz w:val="14"/>
                <w:szCs w:val="14"/>
              </w:rPr>
            </w:pPr>
          </w:p>
        </w:tc>
        <w:tc>
          <w:tcPr>
            <w:tcW w:w="621" w:type="dxa"/>
            <w:tcBorders>
              <w:top w:val="single" w:sz="6" w:space="0" w:color="auto"/>
              <w:left w:val="nil"/>
              <w:right w:val="nil"/>
            </w:tcBorders>
            <w:shd w:val="clear" w:color="auto" w:fill="auto"/>
            <w:vAlign w:val="bottom"/>
          </w:tcPr>
          <w:p w14:paraId="55104C6A"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6D505D5D" w14:textId="77777777" w:rsidR="000E53E9" w:rsidRPr="00435B3C" w:rsidRDefault="000E53E9" w:rsidP="000E53E9">
            <w:pPr>
              <w:tabs>
                <w:tab w:val="decimal" w:pos="113"/>
              </w:tabs>
              <w:spacing w:line="180" w:lineRule="exact"/>
              <w:jc w:val="left"/>
              <w:rPr>
                <w:sz w:val="14"/>
                <w:szCs w:val="14"/>
              </w:rPr>
            </w:pPr>
          </w:p>
        </w:tc>
        <w:tc>
          <w:tcPr>
            <w:tcW w:w="621" w:type="dxa"/>
            <w:tcBorders>
              <w:top w:val="single" w:sz="6" w:space="0" w:color="auto"/>
              <w:left w:val="nil"/>
              <w:right w:val="nil"/>
            </w:tcBorders>
            <w:shd w:val="clear" w:color="auto" w:fill="auto"/>
            <w:vAlign w:val="bottom"/>
          </w:tcPr>
          <w:p w14:paraId="3F1AB757"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7EF85680" w14:textId="77777777" w:rsidR="000E53E9" w:rsidRPr="00435B3C" w:rsidRDefault="000E53E9" w:rsidP="000E53E9">
            <w:pPr>
              <w:tabs>
                <w:tab w:val="decimal" w:pos="113"/>
              </w:tabs>
              <w:spacing w:line="180" w:lineRule="exact"/>
              <w:rPr>
                <w:sz w:val="14"/>
                <w:szCs w:val="14"/>
              </w:rPr>
            </w:pPr>
          </w:p>
        </w:tc>
        <w:tc>
          <w:tcPr>
            <w:tcW w:w="622" w:type="dxa"/>
            <w:tcBorders>
              <w:top w:val="single" w:sz="6" w:space="0" w:color="auto"/>
              <w:left w:val="nil"/>
              <w:right w:val="nil"/>
            </w:tcBorders>
            <w:shd w:val="clear" w:color="auto" w:fill="auto"/>
            <w:vAlign w:val="bottom"/>
          </w:tcPr>
          <w:p w14:paraId="181B5ACC" w14:textId="77777777" w:rsidR="000E53E9" w:rsidRPr="00435B3C" w:rsidRDefault="000E53E9" w:rsidP="000E53E9">
            <w:pPr>
              <w:tabs>
                <w:tab w:val="decimal" w:pos="113"/>
              </w:tabs>
              <w:spacing w:line="180" w:lineRule="exact"/>
              <w:rPr>
                <w:sz w:val="14"/>
                <w:szCs w:val="14"/>
              </w:rPr>
            </w:pPr>
          </w:p>
        </w:tc>
        <w:tc>
          <w:tcPr>
            <w:tcW w:w="113" w:type="dxa"/>
          </w:tcPr>
          <w:p w14:paraId="6C7705F8" w14:textId="77777777" w:rsidR="000E53E9" w:rsidRPr="00435B3C" w:rsidRDefault="000E53E9" w:rsidP="000E53E9">
            <w:pPr>
              <w:tabs>
                <w:tab w:val="decimal" w:pos="113"/>
              </w:tabs>
              <w:spacing w:line="180" w:lineRule="exact"/>
              <w:rPr>
                <w:sz w:val="14"/>
                <w:szCs w:val="14"/>
              </w:rPr>
            </w:pPr>
          </w:p>
        </w:tc>
        <w:tc>
          <w:tcPr>
            <w:tcW w:w="677" w:type="dxa"/>
            <w:tcBorders>
              <w:top w:val="single" w:sz="6" w:space="0" w:color="auto"/>
              <w:left w:val="nil"/>
              <w:right w:val="nil"/>
            </w:tcBorders>
            <w:shd w:val="clear" w:color="auto" w:fill="auto"/>
          </w:tcPr>
          <w:p w14:paraId="2D2CEE56" w14:textId="77777777" w:rsidR="000E53E9" w:rsidRPr="00435B3C" w:rsidRDefault="000E53E9" w:rsidP="000E53E9">
            <w:pPr>
              <w:tabs>
                <w:tab w:val="decimal" w:pos="113"/>
              </w:tabs>
              <w:spacing w:line="180" w:lineRule="exact"/>
              <w:rPr>
                <w:sz w:val="14"/>
                <w:szCs w:val="14"/>
              </w:rPr>
            </w:pPr>
          </w:p>
        </w:tc>
        <w:tc>
          <w:tcPr>
            <w:tcW w:w="113" w:type="dxa"/>
          </w:tcPr>
          <w:p w14:paraId="2FC01ACE" w14:textId="77777777" w:rsidR="000E53E9" w:rsidRPr="00435B3C" w:rsidRDefault="000E53E9" w:rsidP="000E53E9">
            <w:pPr>
              <w:tabs>
                <w:tab w:val="decimal" w:pos="113"/>
              </w:tabs>
              <w:spacing w:line="180" w:lineRule="exact"/>
              <w:rPr>
                <w:sz w:val="14"/>
                <w:szCs w:val="14"/>
              </w:rPr>
            </w:pPr>
          </w:p>
        </w:tc>
        <w:tc>
          <w:tcPr>
            <w:tcW w:w="622" w:type="dxa"/>
            <w:tcBorders>
              <w:top w:val="single" w:sz="6" w:space="0" w:color="auto"/>
              <w:left w:val="nil"/>
              <w:right w:val="nil"/>
            </w:tcBorders>
            <w:shd w:val="clear" w:color="auto" w:fill="auto"/>
          </w:tcPr>
          <w:p w14:paraId="77D12833" w14:textId="77777777" w:rsidR="000E53E9" w:rsidRPr="00435B3C" w:rsidRDefault="000E53E9" w:rsidP="000E53E9">
            <w:pPr>
              <w:tabs>
                <w:tab w:val="decimal" w:pos="113"/>
              </w:tabs>
              <w:spacing w:line="180" w:lineRule="exact"/>
              <w:rPr>
                <w:sz w:val="14"/>
                <w:szCs w:val="14"/>
              </w:rPr>
            </w:pPr>
          </w:p>
        </w:tc>
        <w:tc>
          <w:tcPr>
            <w:tcW w:w="113" w:type="dxa"/>
            <w:vAlign w:val="bottom"/>
          </w:tcPr>
          <w:p w14:paraId="2E0024CA" w14:textId="77777777" w:rsidR="000E53E9" w:rsidRPr="00435B3C" w:rsidRDefault="000E53E9" w:rsidP="000E53E9">
            <w:pPr>
              <w:tabs>
                <w:tab w:val="decimal" w:pos="113"/>
              </w:tabs>
              <w:spacing w:line="180" w:lineRule="exact"/>
              <w:rPr>
                <w:sz w:val="14"/>
                <w:szCs w:val="14"/>
              </w:rPr>
            </w:pPr>
          </w:p>
        </w:tc>
        <w:tc>
          <w:tcPr>
            <w:tcW w:w="622" w:type="dxa"/>
            <w:gridSpan w:val="2"/>
            <w:tcBorders>
              <w:top w:val="single" w:sz="6" w:space="0" w:color="auto"/>
              <w:left w:val="nil"/>
              <w:right w:val="nil"/>
            </w:tcBorders>
            <w:shd w:val="clear" w:color="auto" w:fill="auto"/>
            <w:vAlign w:val="bottom"/>
          </w:tcPr>
          <w:p w14:paraId="56902163" w14:textId="77777777" w:rsidR="000E53E9" w:rsidRPr="00435B3C" w:rsidRDefault="000E53E9" w:rsidP="000E53E9">
            <w:pPr>
              <w:tabs>
                <w:tab w:val="decimal" w:pos="113"/>
              </w:tabs>
              <w:spacing w:line="180" w:lineRule="exact"/>
              <w:rPr>
                <w:sz w:val="14"/>
                <w:szCs w:val="14"/>
              </w:rPr>
            </w:pPr>
          </w:p>
        </w:tc>
        <w:tc>
          <w:tcPr>
            <w:tcW w:w="113" w:type="dxa"/>
            <w:vAlign w:val="bottom"/>
          </w:tcPr>
          <w:p w14:paraId="725DC228" w14:textId="77777777" w:rsidR="000E53E9" w:rsidRPr="00435B3C" w:rsidRDefault="000E53E9" w:rsidP="000E53E9">
            <w:pPr>
              <w:tabs>
                <w:tab w:val="decimal" w:pos="113"/>
              </w:tabs>
              <w:spacing w:line="180" w:lineRule="exact"/>
              <w:rPr>
                <w:sz w:val="14"/>
                <w:szCs w:val="14"/>
              </w:rPr>
            </w:pPr>
          </w:p>
        </w:tc>
        <w:tc>
          <w:tcPr>
            <w:tcW w:w="734" w:type="dxa"/>
            <w:tcBorders>
              <w:top w:val="single" w:sz="6" w:space="0" w:color="auto"/>
              <w:left w:val="nil"/>
              <w:right w:val="nil"/>
            </w:tcBorders>
            <w:shd w:val="clear" w:color="auto" w:fill="auto"/>
            <w:vAlign w:val="bottom"/>
          </w:tcPr>
          <w:p w14:paraId="11EE67A7" w14:textId="77777777" w:rsidR="000E53E9" w:rsidRPr="00435B3C" w:rsidRDefault="000E53E9" w:rsidP="000E53E9">
            <w:pPr>
              <w:tabs>
                <w:tab w:val="decimal" w:pos="113"/>
              </w:tabs>
              <w:spacing w:line="180" w:lineRule="exact"/>
              <w:rPr>
                <w:sz w:val="14"/>
                <w:szCs w:val="14"/>
              </w:rPr>
            </w:pPr>
          </w:p>
        </w:tc>
        <w:tc>
          <w:tcPr>
            <w:tcW w:w="113" w:type="dxa"/>
            <w:vAlign w:val="bottom"/>
          </w:tcPr>
          <w:p w14:paraId="020B3389" w14:textId="77777777" w:rsidR="000E53E9" w:rsidRPr="00435B3C" w:rsidRDefault="000E53E9" w:rsidP="000E53E9">
            <w:pPr>
              <w:tabs>
                <w:tab w:val="decimal" w:pos="113"/>
              </w:tabs>
              <w:spacing w:line="180" w:lineRule="exact"/>
              <w:rPr>
                <w:sz w:val="14"/>
                <w:szCs w:val="14"/>
              </w:rPr>
            </w:pPr>
          </w:p>
        </w:tc>
        <w:tc>
          <w:tcPr>
            <w:tcW w:w="622" w:type="dxa"/>
            <w:tcBorders>
              <w:top w:val="single" w:sz="6" w:space="0" w:color="auto"/>
              <w:left w:val="nil"/>
              <w:right w:val="nil"/>
            </w:tcBorders>
            <w:shd w:val="clear" w:color="auto" w:fill="auto"/>
            <w:vAlign w:val="bottom"/>
          </w:tcPr>
          <w:p w14:paraId="02C4B549" w14:textId="77777777" w:rsidR="000E53E9" w:rsidRPr="00435B3C" w:rsidRDefault="000E53E9" w:rsidP="000E53E9">
            <w:pPr>
              <w:tabs>
                <w:tab w:val="decimal" w:pos="113"/>
              </w:tabs>
              <w:spacing w:line="180" w:lineRule="exact"/>
              <w:rPr>
                <w:sz w:val="14"/>
                <w:szCs w:val="14"/>
              </w:rPr>
            </w:pPr>
          </w:p>
        </w:tc>
        <w:tc>
          <w:tcPr>
            <w:tcW w:w="113" w:type="dxa"/>
            <w:vAlign w:val="bottom"/>
          </w:tcPr>
          <w:p w14:paraId="4F6B72EF" w14:textId="77777777" w:rsidR="000E53E9" w:rsidRPr="00435B3C" w:rsidRDefault="000E53E9" w:rsidP="000E53E9">
            <w:pPr>
              <w:tabs>
                <w:tab w:val="decimal" w:pos="113"/>
              </w:tabs>
              <w:spacing w:line="180" w:lineRule="exact"/>
              <w:rPr>
                <w:sz w:val="14"/>
                <w:szCs w:val="14"/>
              </w:rPr>
            </w:pPr>
          </w:p>
        </w:tc>
        <w:tc>
          <w:tcPr>
            <w:tcW w:w="622" w:type="dxa"/>
            <w:tcBorders>
              <w:top w:val="single" w:sz="6" w:space="0" w:color="auto"/>
              <w:left w:val="nil"/>
              <w:right w:val="nil"/>
            </w:tcBorders>
            <w:shd w:val="clear" w:color="auto" w:fill="auto"/>
            <w:vAlign w:val="bottom"/>
          </w:tcPr>
          <w:p w14:paraId="68251B40"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7293560A" w14:textId="77777777" w:rsidR="000E53E9" w:rsidRPr="00435B3C" w:rsidRDefault="000E53E9" w:rsidP="000E53E9">
            <w:pPr>
              <w:tabs>
                <w:tab w:val="decimal" w:pos="113"/>
              </w:tabs>
              <w:spacing w:line="180" w:lineRule="exact"/>
              <w:rPr>
                <w:sz w:val="14"/>
                <w:szCs w:val="14"/>
              </w:rPr>
            </w:pPr>
          </w:p>
        </w:tc>
        <w:tc>
          <w:tcPr>
            <w:tcW w:w="677" w:type="dxa"/>
            <w:tcBorders>
              <w:top w:val="single" w:sz="6" w:space="0" w:color="auto"/>
              <w:left w:val="nil"/>
              <w:right w:val="nil"/>
            </w:tcBorders>
            <w:shd w:val="clear" w:color="auto" w:fill="auto"/>
            <w:vAlign w:val="bottom"/>
          </w:tcPr>
          <w:p w14:paraId="1958BE23"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7C830BF8" w14:textId="77777777" w:rsidR="000E53E9" w:rsidRPr="00435B3C" w:rsidRDefault="000E53E9" w:rsidP="000E53E9">
            <w:pPr>
              <w:tabs>
                <w:tab w:val="decimal" w:pos="113"/>
              </w:tabs>
              <w:spacing w:line="180" w:lineRule="exact"/>
              <w:rPr>
                <w:sz w:val="14"/>
                <w:szCs w:val="14"/>
              </w:rPr>
            </w:pPr>
          </w:p>
        </w:tc>
        <w:tc>
          <w:tcPr>
            <w:tcW w:w="622" w:type="dxa"/>
            <w:tcBorders>
              <w:top w:val="single" w:sz="6" w:space="0" w:color="auto"/>
              <w:left w:val="nil"/>
              <w:right w:val="nil"/>
            </w:tcBorders>
            <w:shd w:val="clear" w:color="auto" w:fill="auto"/>
            <w:vAlign w:val="bottom"/>
          </w:tcPr>
          <w:p w14:paraId="4A6F1F55"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411CBA2" w14:textId="77777777" w:rsidR="000E53E9" w:rsidRPr="00435B3C" w:rsidRDefault="000E53E9" w:rsidP="000E53E9">
            <w:pPr>
              <w:tabs>
                <w:tab w:val="decimal" w:pos="113"/>
              </w:tabs>
              <w:spacing w:line="180" w:lineRule="exact"/>
              <w:rPr>
                <w:sz w:val="14"/>
                <w:szCs w:val="14"/>
              </w:rPr>
            </w:pPr>
          </w:p>
        </w:tc>
        <w:tc>
          <w:tcPr>
            <w:tcW w:w="677" w:type="dxa"/>
            <w:tcBorders>
              <w:top w:val="single" w:sz="6" w:space="0" w:color="auto"/>
              <w:left w:val="nil"/>
              <w:right w:val="nil"/>
            </w:tcBorders>
            <w:shd w:val="clear" w:color="auto" w:fill="auto"/>
            <w:vAlign w:val="bottom"/>
          </w:tcPr>
          <w:p w14:paraId="59BDD1D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22792E5" w14:textId="77777777" w:rsidR="000E53E9" w:rsidRPr="00435B3C" w:rsidRDefault="000E53E9" w:rsidP="000E53E9">
            <w:pPr>
              <w:tabs>
                <w:tab w:val="decimal" w:pos="113"/>
              </w:tabs>
              <w:spacing w:line="180" w:lineRule="exact"/>
              <w:rPr>
                <w:sz w:val="14"/>
                <w:szCs w:val="14"/>
              </w:rPr>
            </w:pPr>
          </w:p>
        </w:tc>
        <w:tc>
          <w:tcPr>
            <w:tcW w:w="677" w:type="dxa"/>
            <w:tcBorders>
              <w:top w:val="single" w:sz="6" w:space="0" w:color="auto"/>
              <w:left w:val="nil"/>
              <w:right w:val="nil"/>
            </w:tcBorders>
            <w:shd w:val="clear" w:color="auto" w:fill="auto"/>
            <w:vAlign w:val="bottom"/>
          </w:tcPr>
          <w:p w14:paraId="233B5613" w14:textId="77777777" w:rsidR="000E53E9" w:rsidRPr="00435B3C" w:rsidRDefault="000E53E9" w:rsidP="000E53E9">
            <w:pPr>
              <w:tabs>
                <w:tab w:val="decimal" w:pos="113"/>
              </w:tabs>
              <w:spacing w:line="180" w:lineRule="exact"/>
              <w:rPr>
                <w:sz w:val="14"/>
                <w:szCs w:val="14"/>
              </w:rPr>
            </w:pPr>
          </w:p>
        </w:tc>
        <w:tc>
          <w:tcPr>
            <w:tcW w:w="113" w:type="dxa"/>
            <w:vAlign w:val="bottom"/>
          </w:tcPr>
          <w:p w14:paraId="3661EC8C" w14:textId="77777777" w:rsidR="000E53E9" w:rsidRPr="00435B3C" w:rsidRDefault="000E53E9" w:rsidP="000E53E9">
            <w:pPr>
              <w:tabs>
                <w:tab w:val="decimal" w:pos="113"/>
              </w:tabs>
              <w:spacing w:line="180" w:lineRule="exact"/>
              <w:rPr>
                <w:sz w:val="14"/>
                <w:szCs w:val="14"/>
              </w:rPr>
            </w:pPr>
          </w:p>
        </w:tc>
        <w:tc>
          <w:tcPr>
            <w:tcW w:w="677" w:type="dxa"/>
            <w:tcBorders>
              <w:top w:val="single" w:sz="6" w:space="0" w:color="auto"/>
              <w:left w:val="nil"/>
              <w:right w:val="nil"/>
            </w:tcBorders>
            <w:shd w:val="clear" w:color="auto" w:fill="auto"/>
            <w:vAlign w:val="bottom"/>
          </w:tcPr>
          <w:p w14:paraId="65BC81F0" w14:textId="77777777" w:rsidR="000E53E9" w:rsidRPr="00435B3C" w:rsidRDefault="000E53E9" w:rsidP="000E53E9">
            <w:pPr>
              <w:tabs>
                <w:tab w:val="decimal" w:pos="113"/>
              </w:tabs>
              <w:spacing w:line="180" w:lineRule="exact"/>
              <w:rPr>
                <w:sz w:val="14"/>
                <w:szCs w:val="14"/>
              </w:rPr>
            </w:pPr>
          </w:p>
        </w:tc>
        <w:tc>
          <w:tcPr>
            <w:tcW w:w="113" w:type="dxa"/>
            <w:vAlign w:val="bottom"/>
          </w:tcPr>
          <w:p w14:paraId="0BD1AE2E" w14:textId="77777777" w:rsidR="000E53E9" w:rsidRPr="00435B3C" w:rsidRDefault="000E53E9" w:rsidP="000E53E9">
            <w:pPr>
              <w:tabs>
                <w:tab w:val="decimal" w:pos="113"/>
              </w:tabs>
              <w:spacing w:line="180" w:lineRule="exact"/>
              <w:rPr>
                <w:sz w:val="14"/>
                <w:szCs w:val="14"/>
              </w:rPr>
            </w:pPr>
          </w:p>
        </w:tc>
        <w:tc>
          <w:tcPr>
            <w:tcW w:w="622" w:type="dxa"/>
            <w:tcBorders>
              <w:top w:val="single" w:sz="6" w:space="0" w:color="auto"/>
              <w:left w:val="nil"/>
              <w:right w:val="nil"/>
            </w:tcBorders>
            <w:shd w:val="clear" w:color="auto" w:fill="auto"/>
            <w:vAlign w:val="bottom"/>
          </w:tcPr>
          <w:p w14:paraId="0613D3F6" w14:textId="77777777" w:rsidR="000E53E9" w:rsidRPr="00435B3C" w:rsidRDefault="000E53E9" w:rsidP="000E53E9">
            <w:pPr>
              <w:widowControl/>
              <w:tabs>
                <w:tab w:val="decimal" w:pos="74"/>
              </w:tabs>
              <w:spacing w:line="180" w:lineRule="exact"/>
              <w:ind w:left="57"/>
              <w:rPr>
                <w:sz w:val="14"/>
                <w:szCs w:val="14"/>
                <w:rtl/>
              </w:rPr>
            </w:pPr>
          </w:p>
        </w:tc>
        <w:tc>
          <w:tcPr>
            <w:tcW w:w="113" w:type="dxa"/>
          </w:tcPr>
          <w:p w14:paraId="41B72F27" w14:textId="77777777" w:rsidR="000E53E9" w:rsidRPr="00435B3C" w:rsidRDefault="000E53E9" w:rsidP="000E53E9">
            <w:pPr>
              <w:tabs>
                <w:tab w:val="decimal" w:pos="113"/>
              </w:tabs>
              <w:spacing w:line="180" w:lineRule="exact"/>
              <w:rPr>
                <w:sz w:val="14"/>
                <w:szCs w:val="14"/>
              </w:rPr>
            </w:pPr>
          </w:p>
        </w:tc>
        <w:tc>
          <w:tcPr>
            <w:tcW w:w="607" w:type="dxa"/>
            <w:tcBorders>
              <w:top w:val="single" w:sz="6" w:space="0" w:color="auto"/>
              <w:left w:val="nil"/>
              <w:right w:val="nil"/>
            </w:tcBorders>
            <w:shd w:val="clear" w:color="auto" w:fill="auto"/>
          </w:tcPr>
          <w:p w14:paraId="2B98BA25" w14:textId="77777777" w:rsidR="000E53E9" w:rsidRPr="00435B3C" w:rsidRDefault="000E53E9" w:rsidP="000E53E9">
            <w:pPr>
              <w:tabs>
                <w:tab w:val="decimal" w:pos="113"/>
              </w:tabs>
              <w:spacing w:line="180" w:lineRule="exact"/>
              <w:rPr>
                <w:sz w:val="14"/>
                <w:szCs w:val="14"/>
              </w:rPr>
            </w:pPr>
          </w:p>
        </w:tc>
      </w:tr>
      <w:tr w:rsidR="000E53E9" w:rsidRPr="00435B3C" w14:paraId="2D2ED996" w14:textId="77777777" w:rsidTr="00435B3C">
        <w:tc>
          <w:tcPr>
            <w:tcW w:w="972" w:type="dxa"/>
            <w:vAlign w:val="center"/>
          </w:tcPr>
          <w:p w14:paraId="6AD5BB4C" w14:textId="77777777" w:rsidR="000E53E9" w:rsidRPr="00224C22" w:rsidRDefault="000E53E9" w:rsidP="000E53E9">
            <w:pPr>
              <w:widowControl/>
              <w:spacing w:line="140" w:lineRule="exact"/>
              <w:jc w:val="right"/>
              <w:rPr>
                <w:i/>
                <w:iCs/>
                <w:sz w:val="12"/>
                <w:szCs w:val="12"/>
                <w:rtl/>
              </w:rPr>
            </w:pPr>
          </w:p>
        </w:tc>
        <w:tc>
          <w:tcPr>
            <w:tcW w:w="2682" w:type="dxa"/>
            <w:vAlign w:val="bottom"/>
          </w:tcPr>
          <w:p w14:paraId="247F373D" w14:textId="77777777" w:rsidR="000E53E9" w:rsidRPr="00435B3C" w:rsidRDefault="000E53E9" w:rsidP="000E53E9">
            <w:pPr>
              <w:pStyle w:val="a3"/>
              <w:widowControl/>
              <w:tabs>
                <w:tab w:val="left" w:pos="227"/>
                <w:tab w:val="left" w:pos="397"/>
                <w:tab w:val="left" w:pos="567"/>
              </w:tabs>
              <w:spacing w:line="120" w:lineRule="auto"/>
              <w:ind w:left="0"/>
              <w:rPr>
                <w:b/>
                <w:sz w:val="14"/>
                <w:szCs w:val="14"/>
                <w:u w:val="single"/>
                <w:rtl/>
              </w:rPr>
            </w:pPr>
          </w:p>
        </w:tc>
        <w:tc>
          <w:tcPr>
            <w:tcW w:w="113" w:type="dxa"/>
            <w:vAlign w:val="bottom"/>
          </w:tcPr>
          <w:p w14:paraId="3F76F6E7" w14:textId="77777777" w:rsidR="000E53E9" w:rsidRPr="00435B3C" w:rsidRDefault="000E53E9" w:rsidP="000E53E9">
            <w:pPr>
              <w:pStyle w:val="a3"/>
              <w:widowControl/>
              <w:spacing w:line="120" w:lineRule="auto"/>
              <w:ind w:left="0"/>
              <w:rPr>
                <w:b/>
                <w:sz w:val="14"/>
                <w:szCs w:val="14"/>
                <w:u w:val="single"/>
              </w:rPr>
            </w:pPr>
          </w:p>
        </w:tc>
        <w:tc>
          <w:tcPr>
            <w:tcW w:w="621" w:type="dxa"/>
            <w:tcBorders>
              <w:top w:val="nil"/>
              <w:left w:val="nil"/>
              <w:right w:val="nil"/>
            </w:tcBorders>
            <w:shd w:val="clear" w:color="auto" w:fill="auto"/>
            <w:vAlign w:val="bottom"/>
          </w:tcPr>
          <w:p w14:paraId="51EACA4B" w14:textId="77777777" w:rsidR="000E53E9" w:rsidRPr="00435B3C" w:rsidRDefault="000E53E9" w:rsidP="000E53E9">
            <w:pPr>
              <w:pStyle w:val="a3"/>
              <w:widowControl/>
              <w:spacing w:line="120" w:lineRule="auto"/>
              <w:ind w:left="0"/>
              <w:rPr>
                <w:b/>
                <w:sz w:val="14"/>
                <w:szCs w:val="14"/>
                <w:u w:val="single"/>
              </w:rPr>
            </w:pPr>
          </w:p>
        </w:tc>
        <w:tc>
          <w:tcPr>
            <w:tcW w:w="112" w:type="dxa"/>
            <w:vAlign w:val="bottom"/>
          </w:tcPr>
          <w:p w14:paraId="375F78F0" w14:textId="77777777" w:rsidR="000E53E9" w:rsidRPr="00435B3C" w:rsidRDefault="000E53E9" w:rsidP="000E53E9">
            <w:pPr>
              <w:pStyle w:val="a3"/>
              <w:widowControl/>
              <w:spacing w:line="120" w:lineRule="auto"/>
              <w:ind w:left="0"/>
              <w:rPr>
                <w:b/>
                <w:sz w:val="14"/>
                <w:szCs w:val="14"/>
                <w:u w:val="single"/>
              </w:rPr>
            </w:pPr>
          </w:p>
        </w:tc>
        <w:tc>
          <w:tcPr>
            <w:tcW w:w="621" w:type="dxa"/>
            <w:tcBorders>
              <w:top w:val="nil"/>
              <w:left w:val="nil"/>
              <w:right w:val="nil"/>
            </w:tcBorders>
            <w:shd w:val="clear" w:color="auto" w:fill="auto"/>
            <w:vAlign w:val="bottom"/>
          </w:tcPr>
          <w:p w14:paraId="64AF52EC"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350D095E" w14:textId="77777777" w:rsidR="000E53E9" w:rsidRPr="00435B3C" w:rsidRDefault="000E53E9" w:rsidP="000E53E9">
            <w:pPr>
              <w:pStyle w:val="a3"/>
              <w:widowControl/>
              <w:spacing w:line="120" w:lineRule="auto"/>
              <w:ind w:left="0"/>
              <w:rPr>
                <w:b/>
                <w:sz w:val="14"/>
                <w:szCs w:val="14"/>
                <w:u w:val="single"/>
              </w:rPr>
            </w:pPr>
          </w:p>
        </w:tc>
        <w:tc>
          <w:tcPr>
            <w:tcW w:w="622" w:type="dxa"/>
            <w:tcBorders>
              <w:top w:val="nil"/>
              <w:left w:val="nil"/>
              <w:right w:val="nil"/>
            </w:tcBorders>
            <w:shd w:val="clear" w:color="auto" w:fill="auto"/>
            <w:vAlign w:val="bottom"/>
          </w:tcPr>
          <w:p w14:paraId="502D28A0" w14:textId="77777777" w:rsidR="000E53E9" w:rsidRPr="00435B3C" w:rsidRDefault="000E53E9" w:rsidP="000E53E9">
            <w:pPr>
              <w:pStyle w:val="a3"/>
              <w:widowControl/>
              <w:spacing w:line="120" w:lineRule="auto"/>
              <w:ind w:left="0"/>
              <w:rPr>
                <w:b/>
                <w:sz w:val="14"/>
                <w:szCs w:val="14"/>
                <w:u w:val="single"/>
              </w:rPr>
            </w:pPr>
          </w:p>
        </w:tc>
        <w:tc>
          <w:tcPr>
            <w:tcW w:w="113" w:type="dxa"/>
          </w:tcPr>
          <w:p w14:paraId="6F7C54EB" w14:textId="77777777" w:rsidR="000E53E9" w:rsidRPr="00435B3C" w:rsidRDefault="000E53E9" w:rsidP="000E53E9">
            <w:pPr>
              <w:pStyle w:val="a3"/>
              <w:widowControl/>
              <w:spacing w:line="120" w:lineRule="auto"/>
              <w:ind w:left="0"/>
              <w:rPr>
                <w:b/>
                <w:sz w:val="14"/>
                <w:szCs w:val="14"/>
                <w:u w:val="single"/>
              </w:rPr>
            </w:pPr>
          </w:p>
        </w:tc>
        <w:tc>
          <w:tcPr>
            <w:tcW w:w="677" w:type="dxa"/>
            <w:tcBorders>
              <w:top w:val="nil"/>
              <w:left w:val="nil"/>
              <w:right w:val="nil"/>
            </w:tcBorders>
            <w:shd w:val="clear" w:color="auto" w:fill="auto"/>
          </w:tcPr>
          <w:p w14:paraId="0FD2B090" w14:textId="77777777" w:rsidR="000E53E9" w:rsidRPr="00435B3C" w:rsidRDefault="000E53E9" w:rsidP="000E53E9">
            <w:pPr>
              <w:pStyle w:val="a3"/>
              <w:widowControl/>
              <w:spacing w:line="120" w:lineRule="auto"/>
              <w:ind w:left="0"/>
              <w:rPr>
                <w:b/>
                <w:sz w:val="14"/>
                <w:szCs w:val="14"/>
                <w:u w:val="single"/>
              </w:rPr>
            </w:pPr>
          </w:p>
        </w:tc>
        <w:tc>
          <w:tcPr>
            <w:tcW w:w="113" w:type="dxa"/>
          </w:tcPr>
          <w:p w14:paraId="20CC3B16" w14:textId="77777777" w:rsidR="000E53E9" w:rsidRPr="00435B3C" w:rsidRDefault="000E53E9" w:rsidP="000E53E9">
            <w:pPr>
              <w:pStyle w:val="a3"/>
              <w:widowControl/>
              <w:spacing w:line="120" w:lineRule="auto"/>
              <w:ind w:left="0"/>
              <w:rPr>
                <w:b/>
                <w:sz w:val="14"/>
                <w:szCs w:val="14"/>
                <w:u w:val="single"/>
              </w:rPr>
            </w:pPr>
          </w:p>
        </w:tc>
        <w:tc>
          <w:tcPr>
            <w:tcW w:w="622" w:type="dxa"/>
            <w:tcBorders>
              <w:top w:val="nil"/>
              <w:left w:val="nil"/>
              <w:right w:val="nil"/>
            </w:tcBorders>
            <w:shd w:val="clear" w:color="auto" w:fill="auto"/>
          </w:tcPr>
          <w:p w14:paraId="56038C5D"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612CAFAA" w14:textId="77777777" w:rsidR="000E53E9" w:rsidRPr="00435B3C" w:rsidRDefault="000E53E9" w:rsidP="000E53E9">
            <w:pPr>
              <w:pStyle w:val="a3"/>
              <w:widowControl/>
              <w:spacing w:line="120" w:lineRule="auto"/>
              <w:ind w:left="0"/>
              <w:rPr>
                <w:b/>
                <w:sz w:val="14"/>
                <w:szCs w:val="14"/>
                <w:u w:val="single"/>
              </w:rPr>
            </w:pPr>
          </w:p>
        </w:tc>
        <w:tc>
          <w:tcPr>
            <w:tcW w:w="622" w:type="dxa"/>
            <w:gridSpan w:val="2"/>
            <w:tcBorders>
              <w:top w:val="nil"/>
              <w:left w:val="nil"/>
              <w:right w:val="nil"/>
            </w:tcBorders>
            <w:shd w:val="clear" w:color="auto" w:fill="auto"/>
            <w:vAlign w:val="bottom"/>
          </w:tcPr>
          <w:p w14:paraId="0A5BEB79"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036524DA" w14:textId="77777777" w:rsidR="000E53E9" w:rsidRPr="00435B3C" w:rsidRDefault="000E53E9" w:rsidP="000E53E9">
            <w:pPr>
              <w:pStyle w:val="a3"/>
              <w:widowControl/>
              <w:spacing w:line="120" w:lineRule="auto"/>
              <w:ind w:left="0"/>
              <w:rPr>
                <w:b/>
                <w:sz w:val="14"/>
                <w:szCs w:val="14"/>
                <w:u w:val="single"/>
              </w:rPr>
            </w:pPr>
          </w:p>
        </w:tc>
        <w:tc>
          <w:tcPr>
            <w:tcW w:w="734" w:type="dxa"/>
            <w:tcBorders>
              <w:top w:val="nil"/>
              <w:left w:val="nil"/>
              <w:right w:val="nil"/>
            </w:tcBorders>
            <w:shd w:val="clear" w:color="auto" w:fill="auto"/>
            <w:vAlign w:val="bottom"/>
          </w:tcPr>
          <w:p w14:paraId="5A4372E5"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689BA1C4" w14:textId="77777777" w:rsidR="000E53E9" w:rsidRPr="00435B3C" w:rsidRDefault="000E53E9" w:rsidP="000E53E9">
            <w:pPr>
              <w:pStyle w:val="a3"/>
              <w:widowControl/>
              <w:spacing w:line="120" w:lineRule="auto"/>
              <w:ind w:left="0"/>
              <w:rPr>
                <w:b/>
                <w:sz w:val="14"/>
                <w:szCs w:val="14"/>
                <w:u w:val="single"/>
              </w:rPr>
            </w:pPr>
          </w:p>
        </w:tc>
        <w:tc>
          <w:tcPr>
            <w:tcW w:w="622" w:type="dxa"/>
            <w:tcBorders>
              <w:top w:val="nil"/>
              <w:left w:val="nil"/>
              <w:right w:val="nil"/>
            </w:tcBorders>
            <w:shd w:val="clear" w:color="auto" w:fill="auto"/>
            <w:vAlign w:val="bottom"/>
          </w:tcPr>
          <w:p w14:paraId="3599CF98"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68BDC991" w14:textId="77777777" w:rsidR="000E53E9" w:rsidRPr="00435B3C" w:rsidRDefault="000E53E9" w:rsidP="000E53E9">
            <w:pPr>
              <w:pStyle w:val="a3"/>
              <w:widowControl/>
              <w:spacing w:line="120" w:lineRule="auto"/>
              <w:ind w:left="0"/>
              <w:rPr>
                <w:b/>
                <w:sz w:val="14"/>
                <w:szCs w:val="14"/>
                <w:u w:val="single"/>
              </w:rPr>
            </w:pPr>
          </w:p>
        </w:tc>
        <w:tc>
          <w:tcPr>
            <w:tcW w:w="622" w:type="dxa"/>
            <w:tcBorders>
              <w:left w:val="nil"/>
              <w:right w:val="nil"/>
            </w:tcBorders>
            <w:shd w:val="clear" w:color="auto" w:fill="auto"/>
            <w:vAlign w:val="bottom"/>
          </w:tcPr>
          <w:p w14:paraId="53EAA73A"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6C1E36F5" w14:textId="77777777" w:rsidR="000E53E9" w:rsidRPr="00435B3C" w:rsidRDefault="000E53E9" w:rsidP="000E53E9">
            <w:pPr>
              <w:pStyle w:val="a3"/>
              <w:widowControl/>
              <w:spacing w:line="120" w:lineRule="auto"/>
              <w:ind w:left="0"/>
              <w:rPr>
                <w:b/>
                <w:sz w:val="14"/>
                <w:szCs w:val="14"/>
                <w:u w:val="single"/>
              </w:rPr>
            </w:pPr>
          </w:p>
        </w:tc>
        <w:tc>
          <w:tcPr>
            <w:tcW w:w="677" w:type="dxa"/>
            <w:tcBorders>
              <w:left w:val="nil"/>
              <w:right w:val="nil"/>
            </w:tcBorders>
            <w:shd w:val="clear" w:color="auto" w:fill="auto"/>
            <w:vAlign w:val="bottom"/>
          </w:tcPr>
          <w:p w14:paraId="5E2F3B81"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550AB049" w14:textId="77777777" w:rsidR="000E53E9" w:rsidRPr="00435B3C" w:rsidRDefault="000E53E9" w:rsidP="000E53E9">
            <w:pPr>
              <w:pStyle w:val="a3"/>
              <w:widowControl/>
              <w:spacing w:line="120" w:lineRule="auto"/>
              <w:ind w:left="0"/>
              <w:rPr>
                <w:b/>
                <w:sz w:val="14"/>
                <w:szCs w:val="14"/>
                <w:u w:val="single"/>
              </w:rPr>
            </w:pPr>
          </w:p>
        </w:tc>
        <w:tc>
          <w:tcPr>
            <w:tcW w:w="622" w:type="dxa"/>
            <w:tcBorders>
              <w:left w:val="nil"/>
              <w:right w:val="nil"/>
            </w:tcBorders>
            <w:shd w:val="clear" w:color="auto" w:fill="auto"/>
            <w:vAlign w:val="bottom"/>
          </w:tcPr>
          <w:p w14:paraId="1619B3FE"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731AD815" w14:textId="77777777" w:rsidR="000E53E9" w:rsidRPr="00435B3C" w:rsidRDefault="000E53E9" w:rsidP="000E53E9">
            <w:pPr>
              <w:pStyle w:val="a3"/>
              <w:widowControl/>
              <w:spacing w:line="120" w:lineRule="auto"/>
              <w:ind w:left="0"/>
              <w:rPr>
                <w:b/>
                <w:sz w:val="14"/>
                <w:szCs w:val="14"/>
                <w:u w:val="single"/>
              </w:rPr>
            </w:pPr>
          </w:p>
        </w:tc>
        <w:tc>
          <w:tcPr>
            <w:tcW w:w="677" w:type="dxa"/>
            <w:tcBorders>
              <w:left w:val="nil"/>
              <w:right w:val="nil"/>
            </w:tcBorders>
            <w:shd w:val="clear" w:color="auto" w:fill="auto"/>
            <w:vAlign w:val="bottom"/>
          </w:tcPr>
          <w:p w14:paraId="67E0A266"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2FC31E2A" w14:textId="77777777" w:rsidR="000E53E9" w:rsidRPr="00435B3C" w:rsidRDefault="000E53E9" w:rsidP="000E53E9">
            <w:pPr>
              <w:pStyle w:val="a3"/>
              <w:widowControl/>
              <w:spacing w:line="120" w:lineRule="auto"/>
              <w:ind w:left="0"/>
              <w:rPr>
                <w:b/>
                <w:sz w:val="14"/>
                <w:szCs w:val="14"/>
                <w:u w:val="single"/>
              </w:rPr>
            </w:pPr>
          </w:p>
        </w:tc>
        <w:tc>
          <w:tcPr>
            <w:tcW w:w="677" w:type="dxa"/>
            <w:tcBorders>
              <w:left w:val="nil"/>
              <w:right w:val="nil"/>
            </w:tcBorders>
            <w:shd w:val="clear" w:color="auto" w:fill="auto"/>
            <w:vAlign w:val="bottom"/>
          </w:tcPr>
          <w:p w14:paraId="6B68F571"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349CD521" w14:textId="77777777" w:rsidR="000E53E9" w:rsidRPr="00435B3C" w:rsidRDefault="000E53E9" w:rsidP="000E53E9">
            <w:pPr>
              <w:pStyle w:val="a3"/>
              <w:widowControl/>
              <w:spacing w:line="120" w:lineRule="auto"/>
              <w:ind w:left="0"/>
              <w:rPr>
                <w:b/>
                <w:sz w:val="14"/>
                <w:szCs w:val="14"/>
                <w:u w:val="single"/>
              </w:rPr>
            </w:pPr>
          </w:p>
        </w:tc>
        <w:tc>
          <w:tcPr>
            <w:tcW w:w="677" w:type="dxa"/>
            <w:tcBorders>
              <w:top w:val="nil"/>
              <w:left w:val="nil"/>
              <w:right w:val="nil"/>
            </w:tcBorders>
            <w:shd w:val="clear" w:color="auto" w:fill="auto"/>
            <w:vAlign w:val="bottom"/>
          </w:tcPr>
          <w:p w14:paraId="7FA92E2C"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185D505D" w14:textId="77777777" w:rsidR="000E53E9" w:rsidRPr="00435B3C" w:rsidRDefault="000E53E9" w:rsidP="000E53E9">
            <w:pPr>
              <w:pStyle w:val="a3"/>
              <w:widowControl/>
              <w:spacing w:line="120" w:lineRule="auto"/>
              <w:ind w:left="0"/>
              <w:rPr>
                <w:b/>
                <w:sz w:val="14"/>
                <w:szCs w:val="14"/>
                <w:u w:val="single"/>
              </w:rPr>
            </w:pPr>
          </w:p>
        </w:tc>
        <w:tc>
          <w:tcPr>
            <w:tcW w:w="622" w:type="dxa"/>
            <w:tcBorders>
              <w:top w:val="nil"/>
              <w:left w:val="nil"/>
              <w:right w:val="nil"/>
            </w:tcBorders>
            <w:shd w:val="clear" w:color="auto" w:fill="auto"/>
            <w:vAlign w:val="bottom"/>
          </w:tcPr>
          <w:p w14:paraId="4EE0B55C" w14:textId="77777777" w:rsidR="000E53E9" w:rsidRPr="00435B3C" w:rsidRDefault="000E53E9" w:rsidP="000E53E9">
            <w:pPr>
              <w:pStyle w:val="a3"/>
              <w:widowControl/>
              <w:spacing w:line="120" w:lineRule="auto"/>
              <w:ind w:left="0"/>
              <w:rPr>
                <w:b/>
                <w:sz w:val="14"/>
                <w:szCs w:val="14"/>
                <w:u w:val="single"/>
              </w:rPr>
            </w:pPr>
          </w:p>
        </w:tc>
        <w:tc>
          <w:tcPr>
            <w:tcW w:w="113" w:type="dxa"/>
          </w:tcPr>
          <w:p w14:paraId="1D9A5F65" w14:textId="77777777" w:rsidR="000E53E9" w:rsidRPr="00435B3C" w:rsidRDefault="000E53E9" w:rsidP="000E53E9">
            <w:pPr>
              <w:pStyle w:val="a3"/>
              <w:widowControl/>
              <w:spacing w:line="120" w:lineRule="auto"/>
              <w:ind w:left="0"/>
              <w:rPr>
                <w:b/>
                <w:sz w:val="14"/>
                <w:szCs w:val="14"/>
                <w:u w:val="single"/>
              </w:rPr>
            </w:pPr>
          </w:p>
        </w:tc>
        <w:tc>
          <w:tcPr>
            <w:tcW w:w="607" w:type="dxa"/>
            <w:tcBorders>
              <w:top w:val="nil"/>
              <w:left w:val="nil"/>
              <w:right w:val="nil"/>
            </w:tcBorders>
            <w:shd w:val="clear" w:color="auto" w:fill="auto"/>
          </w:tcPr>
          <w:p w14:paraId="464A586B" w14:textId="77777777" w:rsidR="000E53E9" w:rsidRPr="00435B3C" w:rsidRDefault="000E53E9" w:rsidP="000E53E9">
            <w:pPr>
              <w:pStyle w:val="a3"/>
              <w:widowControl/>
              <w:spacing w:line="120" w:lineRule="auto"/>
              <w:ind w:left="0"/>
              <w:rPr>
                <w:b/>
                <w:sz w:val="14"/>
                <w:szCs w:val="14"/>
                <w:u w:val="single"/>
              </w:rPr>
            </w:pPr>
          </w:p>
        </w:tc>
      </w:tr>
      <w:tr w:rsidR="000E53E9" w:rsidRPr="00435B3C" w14:paraId="0942CB2D" w14:textId="77777777" w:rsidTr="00435B3C">
        <w:tc>
          <w:tcPr>
            <w:tcW w:w="972" w:type="dxa"/>
            <w:vAlign w:val="center"/>
          </w:tcPr>
          <w:p w14:paraId="795E2BBA" w14:textId="77777777" w:rsidR="000E53E9" w:rsidRPr="00224C22" w:rsidRDefault="000E53E9" w:rsidP="000E53E9">
            <w:pPr>
              <w:bidi w:val="0"/>
              <w:spacing w:line="140" w:lineRule="exact"/>
              <w:ind w:left="227" w:right="110" w:hanging="170"/>
              <w:jc w:val="right"/>
              <w:rPr>
                <w:i/>
                <w:iCs/>
                <w:sz w:val="12"/>
                <w:szCs w:val="12"/>
                <w:rtl/>
              </w:rPr>
            </w:pPr>
          </w:p>
        </w:tc>
        <w:tc>
          <w:tcPr>
            <w:tcW w:w="2682" w:type="dxa"/>
            <w:vAlign w:val="bottom"/>
          </w:tcPr>
          <w:p w14:paraId="2CC06F6A"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העברה מקרן הערכה מחדש בגין מימוש רכוש קבוע</w:t>
            </w:r>
          </w:p>
        </w:tc>
        <w:tc>
          <w:tcPr>
            <w:tcW w:w="113" w:type="dxa"/>
            <w:vAlign w:val="bottom"/>
          </w:tcPr>
          <w:p w14:paraId="6D7EFE43"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3BED387E"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169CFFD6"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200F61DA"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0929A903"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1E459023" w14:textId="77777777" w:rsidR="000E53E9" w:rsidRPr="00435B3C" w:rsidRDefault="000E53E9" w:rsidP="000E53E9">
            <w:pPr>
              <w:tabs>
                <w:tab w:val="decimal" w:pos="113"/>
              </w:tabs>
              <w:spacing w:line="180" w:lineRule="exact"/>
              <w:rPr>
                <w:sz w:val="14"/>
                <w:szCs w:val="14"/>
              </w:rPr>
            </w:pPr>
          </w:p>
        </w:tc>
        <w:tc>
          <w:tcPr>
            <w:tcW w:w="113" w:type="dxa"/>
          </w:tcPr>
          <w:p w14:paraId="6DB76375"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2F6F6A0E" w14:textId="77777777" w:rsidR="000E53E9" w:rsidRPr="00435B3C" w:rsidRDefault="000E53E9" w:rsidP="000E53E9">
            <w:pPr>
              <w:tabs>
                <w:tab w:val="decimal" w:pos="113"/>
              </w:tabs>
              <w:spacing w:line="180" w:lineRule="exact"/>
              <w:rPr>
                <w:sz w:val="14"/>
                <w:szCs w:val="14"/>
              </w:rPr>
            </w:pPr>
          </w:p>
        </w:tc>
        <w:tc>
          <w:tcPr>
            <w:tcW w:w="113" w:type="dxa"/>
          </w:tcPr>
          <w:p w14:paraId="604459F3"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393BA854" w14:textId="77777777" w:rsidR="000E53E9" w:rsidRPr="00435B3C" w:rsidRDefault="000E53E9" w:rsidP="000E53E9">
            <w:pPr>
              <w:tabs>
                <w:tab w:val="decimal" w:pos="113"/>
              </w:tabs>
              <w:spacing w:line="180" w:lineRule="exact"/>
              <w:rPr>
                <w:sz w:val="14"/>
                <w:szCs w:val="14"/>
              </w:rPr>
            </w:pPr>
          </w:p>
        </w:tc>
        <w:tc>
          <w:tcPr>
            <w:tcW w:w="113" w:type="dxa"/>
            <w:vAlign w:val="bottom"/>
          </w:tcPr>
          <w:p w14:paraId="40B56B51"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0AE2E33D" w14:textId="77777777" w:rsidR="000E53E9" w:rsidRPr="00435B3C" w:rsidRDefault="000E53E9" w:rsidP="000E53E9">
            <w:pPr>
              <w:tabs>
                <w:tab w:val="decimal" w:pos="113"/>
              </w:tabs>
              <w:spacing w:line="180" w:lineRule="exact"/>
              <w:rPr>
                <w:sz w:val="14"/>
                <w:szCs w:val="14"/>
              </w:rPr>
            </w:pPr>
          </w:p>
        </w:tc>
        <w:tc>
          <w:tcPr>
            <w:tcW w:w="113" w:type="dxa"/>
            <w:vAlign w:val="bottom"/>
          </w:tcPr>
          <w:p w14:paraId="3D344259"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18E22A19" w14:textId="77777777" w:rsidR="000E53E9" w:rsidRPr="00435B3C" w:rsidRDefault="000E53E9" w:rsidP="000E53E9">
            <w:pPr>
              <w:tabs>
                <w:tab w:val="decimal" w:pos="113"/>
              </w:tabs>
              <w:spacing w:line="180" w:lineRule="exact"/>
              <w:rPr>
                <w:sz w:val="14"/>
                <w:szCs w:val="14"/>
              </w:rPr>
            </w:pPr>
          </w:p>
        </w:tc>
        <w:tc>
          <w:tcPr>
            <w:tcW w:w="113" w:type="dxa"/>
            <w:vAlign w:val="bottom"/>
          </w:tcPr>
          <w:p w14:paraId="3775CBC9"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D17BB88" w14:textId="77777777" w:rsidR="000E53E9" w:rsidRPr="00435B3C" w:rsidRDefault="000E53E9" w:rsidP="000E53E9">
            <w:pPr>
              <w:tabs>
                <w:tab w:val="decimal" w:pos="113"/>
              </w:tabs>
              <w:spacing w:line="180" w:lineRule="exact"/>
              <w:rPr>
                <w:sz w:val="14"/>
                <w:szCs w:val="14"/>
              </w:rPr>
            </w:pPr>
          </w:p>
        </w:tc>
        <w:tc>
          <w:tcPr>
            <w:tcW w:w="113" w:type="dxa"/>
            <w:vAlign w:val="bottom"/>
          </w:tcPr>
          <w:p w14:paraId="52821E42"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64CF9940"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B370CD6"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9F42663"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6718A19"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4CCB844C"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69F3FB0"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65B01E1"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C63DE65"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E57915F" w14:textId="77777777" w:rsidR="000E53E9" w:rsidRPr="00435B3C" w:rsidRDefault="000E53E9" w:rsidP="000E53E9">
            <w:pPr>
              <w:tabs>
                <w:tab w:val="decimal" w:pos="113"/>
              </w:tabs>
              <w:spacing w:line="180" w:lineRule="exact"/>
              <w:rPr>
                <w:sz w:val="14"/>
                <w:szCs w:val="14"/>
              </w:rPr>
            </w:pPr>
          </w:p>
        </w:tc>
        <w:tc>
          <w:tcPr>
            <w:tcW w:w="113" w:type="dxa"/>
            <w:vAlign w:val="bottom"/>
          </w:tcPr>
          <w:p w14:paraId="6070CAB1"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621CD8B1" w14:textId="77777777" w:rsidR="000E53E9" w:rsidRPr="00435B3C" w:rsidRDefault="000E53E9" w:rsidP="000E53E9">
            <w:pPr>
              <w:tabs>
                <w:tab w:val="decimal" w:pos="113"/>
              </w:tabs>
              <w:spacing w:line="180" w:lineRule="exact"/>
              <w:rPr>
                <w:sz w:val="14"/>
                <w:szCs w:val="14"/>
              </w:rPr>
            </w:pPr>
          </w:p>
        </w:tc>
        <w:tc>
          <w:tcPr>
            <w:tcW w:w="113" w:type="dxa"/>
            <w:vAlign w:val="bottom"/>
          </w:tcPr>
          <w:p w14:paraId="07B1E9D4"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4F64103A" w14:textId="77777777" w:rsidR="000E53E9" w:rsidRPr="00435B3C" w:rsidRDefault="000E53E9" w:rsidP="000E53E9">
            <w:pPr>
              <w:tabs>
                <w:tab w:val="decimal" w:pos="113"/>
              </w:tabs>
              <w:spacing w:line="180" w:lineRule="exact"/>
              <w:rPr>
                <w:sz w:val="14"/>
                <w:szCs w:val="14"/>
              </w:rPr>
            </w:pPr>
          </w:p>
        </w:tc>
        <w:tc>
          <w:tcPr>
            <w:tcW w:w="113" w:type="dxa"/>
          </w:tcPr>
          <w:p w14:paraId="4CCF7356"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4D888428" w14:textId="77777777" w:rsidR="000E53E9" w:rsidRPr="00435B3C" w:rsidRDefault="000E53E9" w:rsidP="000E53E9">
            <w:pPr>
              <w:tabs>
                <w:tab w:val="decimal" w:pos="113"/>
              </w:tabs>
              <w:spacing w:line="180" w:lineRule="exact"/>
              <w:rPr>
                <w:sz w:val="14"/>
                <w:szCs w:val="14"/>
              </w:rPr>
            </w:pPr>
          </w:p>
        </w:tc>
      </w:tr>
      <w:tr w:rsidR="000E53E9" w:rsidRPr="00435B3C" w14:paraId="733E44F2" w14:textId="77777777" w:rsidTr="00435B3C">
        <w:tc>
          <w:tcPr>
            <w:tcW w:w="972" w:type="dxa"/>
            <w:tcBorders>
              <w:bottom w:val="single" w:sz="4" w:space="0" w:color="auto"/>
              <w:right w:val="single" w:sz="4" w:space="0" w:color="auto"/>
            </w:tcBorders>
            <w:vAlign w:val="center"/>
          </w:tcPr>
          <w:p w14:paraId="62792C40" w14:textId="77777777" w:rsidR="000E53E9" w:rsidRPr="00224C22" w:rsidRDefault="000E53E9" w:rsidP="000E53E9">
            <w:pPr>
              <w:bidi w:val="0"/>
              <w:spacing w:line="140" w:lineRule="exact"/>
              <w:ind w:left="227" w:right="110" w:hanging="170"/>
              <w:jc w:val="right"/>
              <w:rPr>
                <w:i/>
                <w:iCs/>
                <w:sz w:val="12"/>
                <w:szCs w:val="12"/>
                <w:rtl/>
              </w:rPr>
            </w:pPr>
            <w:r w:rsidRPr="00224C22">
              <w:rPr>
                <w:i/>
                <w:iCs/>
                <w:sz w:val="12"/>
                <w:szCs w:val="12"/>
              </w:rPr>
              <w:t>IAS 1.96</w:t>
            </w:r>
          </w:p>
        </w:tc>
        <w:tc>
          <w:tcPr>
            <w:tcW w:w="2682" w:type="dxa"/>
            <w:tcBorders>
              <w:left w:val="single" w:sz="4" w:space="0" w:color="auto"/>
            </w:tcBorders>
            <w:vAlign w:val="bottom"/>
          </w:tcPr>
          <w:p w14:paraId="5DA38836"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העברה מקרן הערכה מחדש בגין שערוך רכוש קבוע, בגובה הפחת</w:t>
            </w:r>
          </w:p>
        </w:tc>
        <w:tc>
          <w:tcPr>
            <w:tcW w:w="113" w:type="dxa"/>
            <w:vAlign w:val="bottom"/>
          </w:tcPr>
          <w:p w14:paraId="65AD6E36"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4969EB5A"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7F76BE72"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09752B0E"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F01738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25B8F747" w14:textId="77777777" w:rsidR="000E53E9" w:rsidRPr="00435B3C" w:rsidRDefault="000E53E9" w:rsidP="000E53E9">
            <w:pPr>
              <w:tabs>
                <w:tab w:val="decimal" w:pos="113"/>
              </w:tabs>
              <w:spacing w:line="180" w:lineRule="exact"/>
              <w:rPr>
                <w:sz w:val="14"/>
                <w:szCs w:val="14"/>
              </w:rPr>
            </w:pPr>
          </w:p>
        </w:tc>
        <w:tc>
          <w:tcPr>
            <w:tcW w:w="113" w:type="dxa"/>
          </w:tcPr>
          <w:p w14:paraId="43F32959"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62860AE7" w14:textId="77777777" w:rsidR="000E53E9" w:rsidRPr="00435B3C" w:rsidRDefault="000E53E9" w:rsidP="000E53E9">
            <w:pPr>
              <w:tabs>
                <w:tab w:val="decimal" w:pos="113"/>
              </w:tabs>
              <w:spacing w:line="180" w:lineRule="exact"/>
              <w:rPr>
                <w:sz w:val="14"/>
                <w:szCs w:val="14"/>
              </w:rPr>
            </w:pPr>
          </w:p>
        </w:tc>
        <w:tc>
          <w:tcPr>
            <w:tcW w:w="113" w:type="dxa"/>
          </w:tcPr>
          <w:p w14:paraId="4B5D3C6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52E1FD66" w14:textId="77777777" w:rsidR="000E53E9" w:rsidRPr="00435B3C" w:rsidRDefault="000E53E9" w:rsidP="000E53E9">
            <w:pPr>
              <w:tabs>
                <w:tab w:val="decimal" w:pos="113"/>
              </w:tabs>
              <w:spacing w:line="180" w:lineRule="exact"/>
              <w:rPr>
                <w:sz w:val="14"/>
                <w:szCs w:val="14"/>
              </w:rPr>
            </w:pPr>
          </w:p>
        </w:tc>
        <w:tc>
          <w:tcPr>
            <w:tcW w:w="113" w:type="dxa"/>
            <w:vAlign w:val="bottom"/>
          </w:tcPr>
          <w:p w14:paraId="42C319AE"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51BD0A11" w14:textId="77777777" w:rsidR="000E53E9" w:rsidRPr="00435B3C" w:rsidRDefault="000E53E9" w:rsidP="000E53E9">
            <w:pPr>
              <w:tabs>
                <w:tab w:val="decimal" w:pos="113"/>
              </w:tabs>
              <w:spacing w:line="180" w:lineRule="exact"/>
              <w:rPr>
                <w:sz w:val="14"/>
                <w:szCs w:val="14"/>
              </w:rPr>
            </w:pPr>
          </w:p>
        </w:tc>
        <w:tc>
          <w:tcPr>
            <w:tcW w:w="113" w:type="dxa"/>
            <w:vAlign w:val="bottom"/>
          </w:tcPr>
          <w:p w14:paraId="5C38108E"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6DE00461" w14:textId="77777777" w:rsidR="000E53E9" w:rsidRPr="00435B3C" w:rsidRDefault="000E53E9" w:rsidP="000E53E9">
            <w:pPr>
              <w:tabs>
                <w:tab w:val="decimal" w:pos="113"/>
              </w:tabs>
              <w:spacing w:line="180" w:lineRule="exact"/>
              <w:rPr>
                <w:sz w:val="14"/>
                <w:szCs w:val="14"/>
              </w:rPr>
            </w:pPr>
          </w:p>
        </w:tc>
        <w:tc>
          <w:tcPr>
            <w:tcW w:w="113" w:type="dxa"/>
            <w:vAlign w:val="bottom"/>
          </w:tcPr>
          <w:p w14:paraId="4614F38D"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2CD03ADF" w14:textId="77777777" w:rsidR="000E53E9" w:rsidRPr="00435B3C" w:rsidRDefault="000E53E9" w:rsidP="000E53E9">
            <w:pPr>
              <w:tabs>
                <w:tab w:val="decimal" w:pos="113"/>
              </w:tabs>
              <w:spacing w:line="180" w:lineRule="exact"/>
              <w:rPr>
                <w:sz w:val="14"/>
                <w:szCs w:val="14"/>
              </w:rPr>
            </w:pPr>
          </w:p>
        </w:tc>
        <w:tc>
          <w:tcPr>
            <w:tcW w:w="113" w:type="dxa"/>
            <w:vAlign w:val="bottom"/>
          </w:tcPr>
          <w:p w14:paraId="4B6F3DE6"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05A685F0"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06CF27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4E9DEA56"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B33C6CD"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2C5E6CF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D87B01A"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97BA3E6"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74B68DA"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630232CF" w14:textId="77777777" w:rsidR="000E53E9" w:rsidRPr="00435B3C" w:rsidRDefault="000E53E9" w:rsidP="000E53E9">
            <w:pPr>
              <w:tabs>
                <w:tab w:val="decimal" w:pos="113"/>
              </w:tabs>
              <w:spacing w:line="180" w:lineRule="exact"/>
              <w:rPr>
                <w:sz w:val="14"/>
                <w:szCs w:val="14"/>
              </w:rPr>
            </w:pPr>
          </w:p>
        </w:tc>
        <w:tc>
          <w:tcPr>
            <w:tcW w:w="113" w:type="dxa"/>
            <w:vAlign w:val="bottom"/>
          </w:tcPr>
          <w:p w14:paraId="66641134"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27F4E836" w14:textId="77777777" w:rsidR="000E53E9" w:rsidRPr="00435B3C" w:rsidRDefault="000E53E9" w:rsidP="000E53E9">
            <w:pPr>
              <w:tabs>
                <w:tab w:val="decimal" w:pos="113"/>
              </w:tabs>
              <w:spacing w:line="180" w:lineRule="exact"/>
              <w:rPr>
                <w:sz w:val="14"/>
                <w:szCs w:val="14"/>
              </w:rPr>
            </w:pPr>
          </w:p>
        </w:tc>
        <w:tc>
          <w:tcPr>
            <w:tcW w:w="113" w:type="dxa"/>
            <w:vAlign w:val="bottom"/>
          </w:tcPr>
          <w:p w14:paraId="797D1DCE"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4FED5EE5" w14:textId="77777777" w:rsidR="000E53E9" w:rsidRPr="00435B3C" w:rsidRDefault="000E53E9" w:rsidP="000E53E9">
            <w:pPr>
              <w:tabs>
                <w:tab w:val="decimal" w:pos="113"/>
              </w:tabs>
              <w:spacing w:line="180" w:lineRule="exact"/>
              <w:rPr>
                <w:sz w:val="14"/>
                <w:szCs w:val="14"/>
              </w:rPr>
            </w:pPr>
          </w:p>
        </w:tc>
        <w:tc>
          <w:tcPr>
            <w:tcW w:w="113" w:type="dxa"/>
          </w:tcPr>
          <w:p w14:paraId="605E6928"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20F507F0" w14:textId="77777777" w:rsidR="000E53E9" w:rsidRPr="00435B3C" w:rsidRDefault="000E53E9" w:rsidP="000E53E9">
            <w:pPr>
              <w:tabs>
                <w:tab w:val="decimal" w:pos="113"/>
              </w:tabs>
              <w:spacing w:line="180" w:lineRule="exact"/>
              <w:rPr>
                <w:sz w:val="14"/>
                <w:szCs w:val="14"/>
              </w:rPr>
            </w:pPr>
          </w:p>
        </w:tc>
      </w:tr>
      <w:tr w:rsidR="000E53E9" w:rsidRPr="00435B3C" w14:paraId="1B8E344E" w14:textId="77777777" w:rsidTr="00435B3C">
        <w:tc>
          <w:tcPr>
            <w:tcW w:w="972" w:type="dxa"/>
            <w:vMerge w:val="restart"/>
            <w:tcBorders>
              <w:top w:val="single" w:sz="4" w:space="0" w:color="auto"/>
              <w:bottom w:val="single" w:sz="4" w:space="0" w:color="auto"/>
              <w:right w:val="single" w:sz="4" w:space="0" w:color="auto"/>
            </w:tcBorders>
            <w:vAlign w:val="center"/>
          </w:tcPr>
          <w:p w14:paraId="36E7F20C" w14:textId="77777777" w:rsidR="000E53E9" w:rsidRPr="00224C22" w:rsidRDefault="000E53E9" w:rsidP="000E53E9">
            <w:pPr>
              <w:bidi w:val="0"/>
              <w:spacing w:line="140" w:lineRule="exact"/>
              <w:ind w:left="227" w:right="110" w:hanging="170"/>
              <w:jc w:val="right"/>
              <w:rPr>
                <w:i/>
                <w:iCs/>
                <w:sz w:val="12"/>
                <w:szCs w:val="12"/>
              </w:rPr>
            </w:pPr>
            <w:r w:rsidRPr="00224C22">
              <w:rPr>
                <w:i/>
                <w:iCs/>
                <w:sz w:val="12"/>
                <w:szCs w:val="12"/>
              </w:rPr>
              <w:t>IAS 1.106 (d)(iii)</w:t>
            </w:r>
          </w:p>
        </w:tc>
        <w:tc>
          <w:tcPr>
            <w:tcW w:w="2682" w:type="dxa"/>
            <w:tcBorders>
              <w:left w:val="single" w:sz="4" w:space="0" w:color="auto"/>
            </w:tcBorders>
            <w:vAlign w:val="bottom"/>
          </w:tcPr>
          <w:p w14:paraId="7B3D9331"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 xml:space="preserve">הנפקת הון מניות (בניכוי הוצאות הנפקה </w:t>
            </w:r>
            <w:r w:rsidRPr="00435B3C">
              <w:rPr>
                <w:rFonts w:hint="eastAsia"/>
                <w:sz w:val="14"/>
                <w:szCs w:val="14"/>
                <w:rtl/>
              </w:rPr>
              <w:t>בסך</w:t>
            </w:r>
            <w:r w:rsidRPr="00435B3C">
              <w:rPr>
                <w:sz w:val="14"/>
                <w:szCs w:val="14"/>
                <w:rtl/>
              </w:rPr>
              <w:t xml:space="preserve"> ____ </w:t>
            </w:r>
            <w:r w:rsidRPr="00435B3C">
              <w:rPr>
                <w:rFonts w:hint="eastAsia"/>
                <w:sz w:val="14"/>
                <w:szCs w:val="14"/>
                <w:rtl/>
              </w:rPr>
              <w:t>אלפי</w:t>
            </w:r>
            <w:r w:rsidRPr="00435B3C">
              <w:rPr>
                <w:sz w:val="14"/>
                <w:szCs w:val="14"/>
                <w:rtl/>
              </w:rPr>
              <w:t xml:space="preserve"> </w:t>
            </w:r>
            <w:r w:rsidRPr="00435B3C">
              <w:rPr>
                <w:rFonts w:hint="eastAsia"/>
                <w:sz w:val="14"/>
                <w:szCs w:val="14"/>
                <w:rtl/>
              </w:rPr>
              <w:t>ש</w:t>
            </w:r>
            <w:r w:rsidRPr="00435B3C">
              <w:rPr>
                <w:sz w:val="14"/>
                <w:szCs w:val="14"/>
                <w:rtl/>
              </w:rPr>
              <w:t>"ח)</w:t>
            </w:r>
          </w:p>
        </w:tc>
        <w:tc>
          <w:tcPr>
            <w:tcW w:w="113" w:type="dxa"/>
            <w:vAlign w:val="bottom"/>
          </w:tcPr>
          <w:p w14:paraId="0444C108"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5CADF7B1"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19042C73"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502A07E0"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777CFCE1"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10FE4225" w14:textId="77777777" w:rsidR="000E53E9" w:rsidRPr="00435B3C" w:rsidRDefault="000E53E9" w:rsidP="000E53E9">
            <w:pPr>
              <w:tabs>
                <w:tab w:val="decimal" w:pos="113"/>
              </w:tabs>
              <w:spacing w:line="180" w:lineRule="exact"/>
              <w:rPr>
                <w:sz w:val="14"/>
                <w:szCs w:val="14"/>
              </w:rPr>
            </w:pPr>
          </w:p>
        </w:tc>
        <w:tc>
          <w:tcPr>
            <w:tcW w:w="113" w:type="dxa"/>
          </w:tcPr>
          <w:p w14:paraId="053C4968"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74D8C497" w14:textId="77777777" w:rsidR="000E53E9" w:rsidRPr="00435B3C" w:rsidRDefault="000E53E9" w:rsidP="000E53E9">
            <w:pPr>
              <w:tabs>
                <w:tab w:val="decimal" w:pos="113"/>
              </w:tabs>
              <w:spacing w:line="180" w:lineRule="exact"/>
              <w:rPr>
                <w:sz w:val="14"/>
                <w:szCs w:val="14"/>
              </w:rPr>
            </w:pPr>
          </w:p>
        </w:tc>
        <w:tc>
          <w:tcPr>
            <w:tcW w:w="113" w:type="dxa"/>
          </w:tcPr>
          <w:p w14:paraId="3AFABC55"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4017DCE0" w14:textId="77777777" w:rsidR="000E53E9" w:rsidRPr="00435B3C" w:rsidRDefault="000E53E9" w:rsidP="000E53E9">
            <w:pPr>
              <w:tabs>
                <w:tab w:val="decimal" w:pos="113"/>
              </w:tabs>
              <w:spacing w:line="180" w:lineRule="exact"/>
              <w:rPr>
                <w:sz w:val="14"/>
                <w:szCs w:val="14"/>
              </w:rPr>
            </w:pPr>
          </w:p>
        </w:tc>
        <w:tc>
          <w:tcPr>
            <w:tcW w:w="113" w:type="dxa"/>
            <w:vAlign w:val="bottom"/>
          </w:tcPr>
          <w:p w14:paraId="6E81489A"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70CB23DE" w14:textId="77777777" w:rsidR="000E53E9" w:rsidRPr="00435B3C" w:rsidRDefault="000E53E9" w:rsidP="000E53E9">
            <w:pPr>
              <w:tabs>
                <w:tab w:val="decimal" w:pos="113"/>
              </w:tabs>
              <w:spacing w:line="180" w:lineRule="exact"/>
              <w:rPr>
                <w:sz w:val="14"/>
                <w:szCs w:val="14"/>
              </w:rPr>
            </w:pPr>
          </w:p>
        </w:tc>
        <w:tc>
          <w:tcPr>
            <w:tcW w:w="113" w:type="dxa"/>
            <w:vAlign w:val="bottom"/>
          </w:tcPr>
          <w:p w14:paraId="3C2BF974"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7E0DB014" w14:textId="77777777" w:rsidR="000E53E9" w:rsidRPr="00435B3C" w:rsidRDefault="000E53E9" w:rsidP="000E53E9">
            <w:pPr>
              <w:tabs>
                <w:tab w:val="decimal" w:pos="113"/>
              </w:tabs>
              <w:spacing w:line="180" w:lineRule="exact"/>
              <w:rPr>
                <w:sz w:val="14"/>
                <w:szCs w:val="14"/>
              </w:rPr>
            </w:pPr>
          </w:p>
        </w:tc>
        <w:tc>
          <w:tcPr>
            <w:tcW w:w="113" w:type="dxa"/>
            <w:vAlign w:val="bottom"/>
          </w:tcPr>
          <w:p w14:paraId="6E28E068"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135DA69" w14:textId="77777777" w:rsidR="000E53E9" w:rsidRPr="00435B3C" w:rsidRDefault="000E53E9" w:rsidP="000E53E9">
            <w:pPr>
              <w:tabs>
                <w:tab w:val="decimal" w:pos="113"/>
              </w:tabs>
              <w:spacing w:line="180" w:lineRule="exact"/>
              <w:rPr>
                <w:sz w:val="14"/>
                <w:szCs w:val="14"/>
              </w:rPr>
            </w:pPr>
          </w:p>
        </w:tc>
        <w:tc>
          <w:tcPr>
            <w:tcW w:w="113" w:type="dxa"/>
            <w:vAlign w:val="bottom"/>
          </w:tcPr>
          <w:p w14:paraId="7A08C5E2"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3D9C63D7"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3AF08F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CF6FD96"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A6B3CE3"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4F0B7853"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613FA46"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4774F50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CE987E0"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60E9742" w14:textId="77777777" w:rsidR="000E53E9" w:rsidRPr="00435B3C" w:rsidRDefault="000E53E9" w:rsidP="000E53E9">
            <w:pPr>
              <w:tabs>
                <w:tab w:val="decimal" w:pos="113"/>
              </w:tabs>
              <w:spacing w:line="180" w:lineRule="exact"/>
              <w:rPr>
                <w:sz w:val="14"/>
                <w:szCs w:val="14"/>
              </w:rPr>
            </w:pPr>
          </w:p>
        </w:tc>
        <w:tc>
          <w:tcPr>
            <w:tcW w:w="113" w:type="dxa"/>
            <w:vAlign w:val="bottom"/>
          </w:tcPr>
          <w:p w14:paraId="08CD94A0"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51CB62D7" w14:textId="77777777" w:rsidR="000E53E9" w:rsidRPr="00435B3C" w:rsidRDefault="000E53E9" w:rsidP="000E53E9">
            <w:pPr>
              <w:tabs>
                <w:tab w:val="decimal" w:pos="113"/>
              </w:tabs>
              <w:spacing w:line="180" w:lineRule="exact"/>
              <w:rPr>
                <w:sz w:val="14"/>
                <w:szCs w:val="14"/>
              </w:rPr>
            </w:pPr>
          </w:p>
        </w:tc>
        <w:tc>
          <w:tcPr>
            <w:tcW w:w="113" w:type="dxa"/>
            <w:vAlign w:val="bottom"/>
          </w:tcPr>
          <w:p w14:paraId="029BAC19"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2925F454" w14:textId="77777777" w:rsidR="000E53E9" w:rsidRPr="00435B3C" w:rsidRDefault="000E53E9" w:rsidP="000E53E9">
            <w:pPr>
              <w:tabs>
                <w:tab w:val="decimal" w:pos="113"/>
              </w:tabs>
              <w:spacing w:line="180" w:lineRule="exact"/>
              <w:rPr>
                <w:sz w:val="14"/>
                <w:szCs w:val="14"/>
              </w:rPr>
            </w:pPr>
          </w:p>
        </w:tc>
        <w:tc>
          <w:tcPr>
            <w:tcW w:w="113" w:type="dxa"/>
          </w:tcPr>
          <w:p w14:paraId="301B0BAB"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189B5EBD" w14:textId="77777777" w:rsidR="000E53E9" w:rsidRPr="00435B3C" w:rsidRDefault="000E53E9" w:rsidP="000E53E9">
            <w:pPr>
              <w:tabs>
                <w:tab w:val="decimal" w:pos="113"/>
              </w:tabs>
              <w:spacing w:line="180" w:lineRule="exact"/>
              <w:rPr>
                <w:sz w:val="14"/>
                <w:szCs w:val="14"/>
              </w:rPr>
            </w:pPr>
          </w:p>
        </w:tc>
      </w:tr>
      <w:tr w:rsidR="000E53E9" w:rsidRPr="00435B3C" w14:paraId="1E07B79D" w14:textId="77777777" w:rsidTr="00435B3C">
        <w:tc>
          <w:tcPr>
            <w:tcW w:w="972" w:type="dxa"/>
            <w:vMerge/>
            <w:tcBorders>
              <w:top w:val="single" w:sz="4" w:space="0" w:color="auto"/>
              <w:bottom w:val="single" w:sz="4" w:space="0" w:color="auto"/>
              <w:right w:val="single" w:sz="4" w:space="0" w:color="auto"/>
            </w:tcBorders>
            <w:vAlign w:val="center"/>
          </w:tcPr>
          <w:p w14:paraId="39795E4A" w14:textId="77777777" w:rsidR="000E53E9" w:rsidRPr="00224C22" w:rsidRDefault="000E53E9" w:rsidP="000E53E9">
            <w:pPr>
              <w:bidi w:val="0"/>
              <w:spacing w:line="140" w:lineRule="exact"/>
              <w:ind w:left="227" w:right="110" w:hanging="170"/>
              <w:jc w:val="right"/>
              <w:rPr>
                <w:i/>
                <w:iCs/>
                <w:sz w:val="12"/>
                <w:szCs w:val="12"/>
                <w:rtl/>
              </w:rPr>
            </w:pPr>
          </w:p>
        </w:tc>
        <w:tc>
          <w:tcPr>
            <w:tcW w:w="2682" w:type="dxa"/>
            <w:tcBorders>
              <w:left w:val="single" w:sz="4" w:space="0" w:color="auto"/>
            </w:tcBorders>
            <w:vAlign w:val="bottom"/>
          </w:tcPr>
          <w:p w14:paraId="00232171"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הנפקת הון/מכירת מניות לבעלי זכויות שאינן מקנות שליטה</w:t>
            </w:r>
          </w:p>
        </w:tc>
        <w:tc>
          <w:tcPr>
            <w:tcW w:w="113" w:type="dxa"/>
            <w:vAlign w:val="bottom"/>
          </w:tcPr>
          <w:p w14:paraId="5EC69662"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03841F7F"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7EB91097"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1CBE7FAC"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5334A50D"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25ACCD13" w14:textId="77777777" w:rsidR="000E53E9" w:rsidRPr="00435B3C" w:rsidRDefault="000E53E9" w:rsidP="000E53E9">
            <w:pPr>
              <w:tabs>
                <w:tab w:val="decimal" w:pos="113"/>
              </w:tabs>
              <w:spacing w:line="180" w:lineRule="exact"/>
              <w:rPr>
                <w:sz w:val="14"/>
                <w:szCs w:val="14"/>
              </w:rPr>
            </w:pPr>
          </w:p>
        </w:tc>
        <w:tc>
          <w:tcPr>
            <w:tcW w:w="113" w:type="dxa"/>
          </w:tcPr>
          <w:p w14:paraId="71441436"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5BC8524D" w14:textId="77777777" w:rsidR="000E53E9" w:rsidRPr="00435B3C" w:rsidRDefault="000E53E9" w:rsidP="000E53E9">
            <w:pPr>
              <w:tabs>
                <w:tab w:val="decimal" w:pos="113"/>
              </w:tabs>
              <w:spacing w:line="180" w:lineRule="exact"/>
              <w:rPr>
                <w:sz w:val="14"/>
                <w:szCs w:val="14"/>
              </w:rPr>
            </w:pPr>
          </w:p>
        </w:tc>
        <w:tc>
          <w:tcPr>
            <w:tcW w:w="113" w:type="dxa"/>
          </w:tcPr>
          <w:p w14:paraId="2F0A4963"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38AE26A5" w14:textId="77777777" w:rsidR="000E53E9" w:rsidRPr="00435B3C" w:rsidRDefault="000E53E9" w:rsidP="000E53E9">
            <w:pPr>
              <w:tabs>
                <w:tab w:val="decimal" w:pos="113"/>
              </w:tabs>
              <w:spacing w:line="180" w:lineRule="exact"/>
              <w:rPr>
                <w:sz w:val="14"/>
                <w:szCs w:val="14"/>
              </w:rPr>
            </w:pPr>
          </w:p>
        </w:tc>
        <w:tc>
          <w:tcPr>
            <w:tcW w:w="113" w:type="dxa"/>
            <w:vAlign w:val="bottom"/>
          </w:tcPr>
          <w:p w14:paraId="0C0D4CF4"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754DEB47" w14:textId="77777777" w:rsidR="000E53E9" w:rsidRPr="00435B3C" w:rsidRDefault="000E53E9" w:rsidP="000E53E9">
            <w:pPr>
              <w:tabs>
                <w:tab w:val="decimal" w:pos="113"/>
              </w:tabs>
              <w:spacing w:line="180" w:lineRule="exact"/>
              <w:rPr>
                <w:sz w:val="14"/>
                <w:szCs w:val="14"/>
              </w:rPr>
            </w:pPr>
          </w:p>
        </w:tc>
        <w:tc>
          <w:tcPr>
            <w:tcW w:w="113" w:type="dxa"/>
            <w:vAlign w:val="bottom"/>
          </w:tcPr>
          <w:p w14:paraId="4947FD4D"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69CD4C36" w14:textId="77777777" w:rsidR="000E53E9" w:rsidRPr="00435B3C" w:rsidRDefault="000E53E9" w:rsidP="000E53E9">
            <w:pPr>
              <w:tabs>
                <w:tab w:val="decimal" w:pos="113"/>
              </w:tabs>
              <w:spacing w:line="180" w:lineRule="exact"/>
              <w:rPr>
                <w:sz w:val="14"/>
                <w:szCs w:val="14"/>
              </w:rPr>
            </w:pPr>
          </w:p>
        </w:tc>
        <w:tc>
          <w:tcPr>
            <w:tcW w:w="113" w:type="dxa"/>
            <w:vAlign w:val="bottom"/>
          </w:tcPr>
          <w:p w14:paraId="03F19A46"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66B81D0F" w14:textId="77777777" w:rsidR="000E53E9" w:rsidRPr="00435B3C" w:rsidRDefault="000E53E9" w:rsidP="000E53E9">
            <w:pPr>
              <w:tabs>
                <w:tab w:val="decimal" w:pos="113"/>
              </w:tabs>
              <w:spacing w:line="180" w:lineRule="exact"/>
              <w:rPr>
                <w:sz w:val="14"/>
                <w:szCs w:val="14"/>
              </w:rPr>
            </w:pPr>
          </w:p>
        </w:tc>
        <w:tc>
          <w:tcPr>
            <w:tcW w:w="113" w:type="dxa"/>
            <w:vAlign w:val="bottom"/>
          </w:tcPr>
          <w:p w14:paraId="403FBA0A"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67D0F98E"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702BA51"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EB28753"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1FE4315"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526064DA"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709F26F"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3A6741A"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3C0D2E1"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6766B583" w14:textId="77777777" w:rsidR="000E53E9" w:rsidRPr="00435B3C" w:rsidRDefault="000E53E9" w:rsidP="000E53E9">
            <w:pPr>
              <w:tabs>
                <w:tab w:val="decimal" w:pos="113"/>
              </w:tabs>
              <w:spacing w:line="180" w:lineRule="exact"/>
              <w:rPr>
                <w:sz w:val="14"/>
                <w:szCs w:val="14"/>
              </w:rPr>
            </w:pPr>
          </w:p>
        </w:tc>
        <w:tc>
          <w:tcPr>
            <w:tcW w:w="113" w:type="dxa"/>
            <w:vAlign w:val="bottom"/>
          </w:tcPr>
          <w:p w14:paraId="6A4E5022"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5965179E" w14:textId="77777777" w:rsidR="000E53E9" w:rsidRPr="00435B3C" w:rsidRDefault="000E53E9" w:rsidP="000E53E9">
            <w:pPr>
              <w:tabs>
                <w:tab w:val="decimal" w:pos="113"/>
              </w:tabs>
              <w:spacing w:line="180" w:lineRule="exact"/>
              <w:rPr>
                <w:sz w:val="14"/>
                <w:szCs w:val="14"/>
              </w:rPr>
            </w:pPr>
          </w:p>
        </w:tc>
        <w:tc>
          <w:tcPr>
            <w:tcW w:w="113" w:type="dxa"/>
            <w:vAlign w:val="bottom"/>
          </w:tcPr>
          <w:p w14:paraId="1647FE7D"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62FABF13" w14:textId="77777777" w:rsidR="000E53E9" w:rsidRPr="00435B3C" w:rsidRDefault="000E53E9" w:rsidP="000E53E9">
            <w:pPr>
              <w:tabs>
                <w:tab w:val="decimal" w:pos="113"/>
              </w:tabs>
              <w:spacing w:line="180" w:lineRule="exact"/>
              <w:rPr>
                <w:sz w:val="14"/>
                <w:szCs w:val="14"/>
              </w:rPr>
            </w:pPr>
          </w:p>
        </w:tc>
        <w:tc>
          <w:tcPr>
            <w:tcW w:w="113" w:type="dxa"/>
          </w:tcPr>
          <w:p w14:paraId="4881288C"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1DFD6B3D" w14:textId="77777777" w:rsidR="000E53E9" w:rsidRPr="00435B3C" w:rsidRDefault="000E53E9" w:rsidP="000E53E9">
            <w:pPr>
              <w:tabs>
                <w:tab w:val="decimal" w:pos="113"/>
              </w:tabs>
              <w:spacing w:line="180" w:lineRule="exact"/>
              <w:rPr>
                <w:sz w:val="14"/>
                <w:szCs w:val="14"/>
              </w:rPr>
            </w:pPr>
          </w:p>
        </w:tc>
      </w:tr>
      <w:tr w:rsidR="000E53E9" w:rsidRPr="00435B3C" w14:paraId="6AAD509D" w14:textId="77777777" w:rsidTr="00435B3C">
        <w:tc>
          <w:tcPr>
            <w:tcW w:w="972" w:type="dxa"/>
            <w:tcBorders>
              <w:top w:val="single" w:sz="4" w:space="0" w:color="auto"/>
            </w:tcBorders>
            <w:vAlign w:val="center"/>
          </w:tcPr>
          <w:p w14:paraId="291BBB35" w14:textId="77777777" w:rsidR="000E53E9" w:rsidRPr="00224C22" w:rsidRDefault="000E53E9" w:rsidP="000E53E9">
            <w:pPr>
              <w:bidi w:val="0"/>
              <w:spacing w:line="140" w:lineRule="exact"/>
              <w:ind w:left="227" w:right="110" w:hanging="170"/>
              <w:jc w:val="right"/>
              <w:rPr>
                <w:i/>
                <w:iCs/>
                <w:sz w:val="12"/>
                <w:szCs w:val="12"/>
                <w:rtl/>
              </w:rPr>
            </w:pPr>
          </w:p>
        </w:tc>
        <w:tc>
          <w:tcPr>
            <w:tcW w:w="2682" w:type="dxa"/>
            <w:vAlign w:val="bottom"/>
          </w:tcPr>
          <w:p w14:paraId="27E9AA6F"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תקבולים בגין אופציית המרה בהנפקת אגרות חוב ניתנות להמרה (בניכוי הוצאות הנפקה)</w:t>
            </w:r>
          </w:p>
        </w:tc>
        <w:tc>
          <w:tcPr>
            <w:tcW w:w="113" w:type="dxa"/>
            <w:vAlign w:val="bottom"/>
          </w:tcPr>
          <w:p w14:paraId="4A3C376B"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0326EE93"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079B23B2"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65B5102C"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E3A54C5"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4ED2F098" w14:textId="77777777" w:rsidR="000E53E9" w:rsidRPr="00435B3C" w:rsidRDefault="000E53E9" w:rsidP="000E53E9">
            <w:pPr>
              <w:tabs>
                <w:tab w:val="decimal" w:pos="113"/>
              </w:tabs>
              <w:spacing w:line="180" w:lineRule="exact"/>
              <w:rPr>
                <w:sz w:val="14"/>
                <w:szCs w:val="14"/>
              </w:rPr>
            </w:pPr>
          </w:p>
        </w:tc>
        <w:tc>
          <w:tcPr>
            <w:tcW w:w="113" w:type="dxa"/>
          </w:tcPr>
          <w:p w14:paraId="0D64C7C5"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6E508E28" w14:textId="77777777" w:rsidR="000E53E9" w:rsidRPr="00435B3C" w:rsidRDefault="000E53E9" w:rsidP="000E53E9">
            <w:pPr>
              <w:tabs>
                <w:tab w:val="decimal" w:pos="113"/>
              </w:tabs>
              <w:spacing w:line="180" w:lineRule="exact"/>
              <w:rPr>
                <w:sz w:val="14"/>
                <w:szCs w:val="14"/>
              </w:rPr>
            </w:pPr>
          </w:p>
        </w:tc>
        <w:tc>
          <w:tcPr>
            <w:tcW w:w="113" w:type="dxa"/>
          </w:tcPr>
          <w:p w14:paraId="236A7A36"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46DF2FD3" w14:textId="77777777" w:rsidR="000E53E9" w:rsidRPr="00435B3C" w:rsidRDefault="000E53E9" w:rsidP="000E53E9">
            <w:pPr>
              <w:tabs>
                <w:tab w:val="decimal" w:pos="113"/>
              </w:tabs>
              <w:spacing w:line="180" w:lineRule="exact"/>
              <w:rPr>
                <w:sz w:val="14"/>
                <w:szCs w:val="14"/>
              </w:rPr>
            </w:pPr>
          </w:p>
        </w:tc>
        <w:tc>
          <w:tcPr>
            <w:tcW w:w="113" w:type="dxa"/>
            <w:vAlign w:val="bottom"/>
          </w:tcPr>
          <w:p w14:paraId="7B3A930E"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11288563" w14:textId="77777777" w:rsidR="000E53E9" w:rsidRPr="00435B3C" w:rsidRDefault="000E53E9" w:rsidP="000E53E9">
            <w:pPr>
              <w:tabs>
                <w:tab w:val="decimal" w:pos="113"/>
              </w:tabs>
              <w:spacing w:line="180" w:lineRule="exact"/>
              <w:rPr>
                <w:sz w:val="14"/>
                <w:szCs w:val="14"/>
              </w:rPr>
            </w:pPr>
          </w:p>
        </w:tc>
        <w:tc>
          <w:tcPr>
            <w:tcW w:w="113" w:type="dxa"/>
            <w:vAlign w:val="bottom"/>
          </w:tcPr>
          <w:p w14:paraId="5A91DFD6"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2944E96A" w14:textId="77777777" w:rsidR="000E53E9" w:rsidRPr="00435B3C" w:rsidRDefault="000E53E9" w:rsidP="000E53E9">
            <w:pPr>
              <w:tabs>
                <w:tab w:val="decimal" w:pos="113"/>
              </w:tabs>
              <w:spacing w:line="180" w:lineRule="exact"/>
              <w:rPr>
                <w:sz w:val="14"/>
                <w:szCs w:val="14"/>
              </w:rPr>
            </w:pPr>
          </w:p>
        </w:tc>
        <w:tc>
          <w:tcPr>
            <w:tcW w:w="113" w:type="dxa"/>
            <w:vAlign w:val="bottom"/>
          </w:tcPr>
          <w:p w14:paraId="53BB44B9"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52485668" w14:textId="77777777" w:rsidR="000E53E9" w:rsidRPr="00435B3C" w:rsidRDefault="000E53E9" w:rsidP="000E53E9">
            <w:pPr>
              <w:tabs>
                <w:tab w:val="decimal" w:pos="113"/>
              </w:tabs>
              <w:spacing w:line="180" w:lineRule="exact"/>
              <w:rPr>
                <w:sz w:val="14"/>
                <w:szCs w:val="14"/>
              </w:rPr>
            </w:pPr>
          </w:p>
        </w:tc>
        <w:tc>
          <w:tcPr>
            <w:tcW w:w="113" w:type="dxa"/>
            <w:vAlign w:val="bottom"/>
          </w:tcPr>
          <w:p w14:paraId="3C27AE85"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595EFCE1"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C183867"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8389A2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E7E1EEF"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7775981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75582EC6"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3075757"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BAE96B8"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3D9032F" w14:textId="77777777" w:rsidR="000E53E9" w:rsidRPr="00435B3C" w:rsidRDefault="000E53E9" w:rsidP="000E53E9">
            <w:pPr>
              <w:tabs>
                <w:tab w:val="decimal" w:pos="113"/>
              </w:tabs>
              <w:spacing w:line="180" w:lineRule="exact"/>
              <w:rPr>
                <w:sz w:val="14"/>
                <w:szCs w:val="14"/>
              </w:rPr>
            </w:pPr>
          </w:p>
        </w:tc>
        <w:tc>
          <w:tcPr>
            <w:tcW w:w="113" w:type="dxa"/>
            <w:vAlign w:val="bottom"/>
          </w:tcPr>
          <w:p w14:paraId="475C02F5"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2FEA4586" w14:textId="77777777" w:rsidR="000E53E9" w:rsidRPr="00435B3C" w:rsidRDefault="000E53E9" w:rsidP="000E53E9">
            <w:pPr>
              <w:tabs>
                <w:tab w:val="decimal" w:pos="113"/>
              </w:tabs>
              <w:spacing w:line="180" w:lineRule="exact"/>
              <w:rPr>
                <w:sz w:val="14"/>
                <w:szCs w:val="14"/>
              </w:rPr>
            </w:pPr>
          </w:p>
        </w:tc>
        <w:tc>
          <w:tcPr>
            <w:tcW w:w="113" w:type="dxa"/>
            <w:vAlign w:val="bottom"/>
          </w:tcPr>
          <w:p w14:paraId="4979FB53"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67AB6A3A" w14:textId="77777777" w:rsidR="000E53E9" w:rsidRPr="00435B3C" w:rsidRDefault="000E53E9" w:rsidP="000E53E9">
            <w:pPr>
              <w:tabs>
                <w:tab w:val="decimal" w:pos="113"/>
              </w:tabs>
              <w:spacing w:line="180" w:lineRule="exact"/>
              <w:rPr>
                <w:sz w:val="14"/>
                <w:szCs w:val="14"/>
              </w:rPr>
            </w:pPr>
          </w:p>
        </w:tc>
        <w:tc>
          <w:tcPr>
            <w:tcW w:w="113" w:type="dxa"/>
          </w:tcPr>
          <w:p w14:paraId="3617336C"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331C95D8" w14:textId="77777777" w:rsidR="000E53E9" w:rsidRPr="00435B3C" w:rsidRDefault="000E53E9" w:rsidP="000E53E9">
            <w:pPr>
              <w:tabs>
                <w:tab w:val="decimal" w:pos="113"/>
              </w:tabs>
              <w:spacing w:line="180" w:lineRule="exact"/>
              <w:rPr>
                <w:sz w:val="14"/>
                <w:szCs w:val="14"/>
              </w:rPr>
            </w:pPr>
          </w:p>
        </w:tc>
      </w:tr>
      <w:tr w:rsidR="000E53E9" w:rsidRPr="00435B3C" w14:paraId="40D8B160" w14:textId="77777777" w:rsidTr="00435B3C">
        <w:tc>
          <w:tcPr>
            <w:tcW w:w="972" w:type="dxa"/>
            <w:vAlign w:val="center"/>
          </w:tcPr>
          <w:p w14:paraId="15FA8C60" w14:textId="77777777" w:rsidR="000E53E9" w:rsidRPr="00224C22" w:rsidRDefault="000E53E9" w:rsidP="000E53E9">
            <w:pPr>
              <w:bidi w:val="0"/>
              <w:spacing w:line="140" w:lineRule="exact"/>
              <w:ind w:left="227" w:right="110" w:hanging="170"/>
              <w:jc w:val="right"/>
              <w:rPr>
                <w:i/>
                <w:iCs/>
                <w:sz w:val="12"/>
                <w:szCs w:val="12"/>
                <w:rtl/>
              </w:rPr>
            </w:pPr>
          </w:p>
        </w:tc>
        <w:tc>
          <w:tcPr>
            <w:tcW w:w="2682" w:type="dxa"/>
            <w:vAlign w:val="bottom"/>
          </w:tcPr>
          <w:p w14:paraId="47E80396"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המרת אגרות חוב להמרה במניות</w:t>
            </w:r>
          </w:p>
        </w:tc>
        <w:tc>
          <w:tcPr>
            <w:tcW w:w="113" w:type="dxa"/>
            <w:vAlign w:val="bottom"/>
          </w:tcPr>
          <w:p w14:paraId="2ADE5AA0"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2F476A64"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61C955FE"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03F4DF0C"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41D86CE"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5BC9768F" w14:textId="77777777" w:rsidR="000E53E9" w:rsidRPr="00435B3C" w:rsidRDefault="000E53E9" w:rsidP="000E53E9">
            <w:pPr>
              <w:tabs>
                <w:tab w:val="decimal" w:pos="113"/>
              </w:tabs>
              <w:spacing w:line="180" w:lineRule="exact"/>
              <w:rPr>
                <w:sz w:val="14"/>
                <w:szCs w:val="14"/>
              </w:rPr>
            </w:pPr>
          </w:p>
        </w:tc>
        <w:tc>
          <w:tcPr>
            <w:tcW w:w="113" w:type="dxa"/>
          </w:tcPr>
          <w:p w14:paraId="5AD6311A"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66269486" w14:textId="77777777" w:rsidR="000E53E9" w:rsidRPr="00435B3C" w:rsidRDefault="000E53E9" w:rsidP="000E53E9">
            <w:pPr>
              <w:tabs>
                <w:tab w:val="decimal" w:pos="113"/>
              </w:tabs>
              <w:spacing w:line="180" w:lineRule="exact"/>
              <w:rPr>
                <w:sz w:val="14"/>
                <w:szCs w:val="14"/>
              </w:rPr>
            </w:pPr>
          </w:p>
        </w:tc>
        <w:tc>
          <w:tcPr>
            <w:tcW w:w="113" w:type="dxa"/>
          </w:tcPr>
          <w:p w14:paraId="711CCFF6"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79631729" w14:textId="77777777" w:rsidR="000E53E9" w:rsidRPr="00435B3C" w:rsidRDefault="000E53E9" w:rsidP="000E53E9">
            <w:pPr>
              <w:tabs>
                <w:tab w:val="decimal" w:pos="113"/>
              </w:tabs>
              <w:spacing w:line="180" w:lineRule="exact"/>
              <w:rPr>
                <w:sz w:val="14"/>
                <w:szCs w:val="14"/>
              </w:rPr>
            </w:pPr>
          </w:p>
        </w:tc>
        <w:tc>
          <w:tcPr>
            <w:tcW w:w="113" w:type="dxa"/>
            <w:vAlign w:val="bottom"/>
          </w:tcPr>
          <w:p w14:paraId="697C7767"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66FD9FD4" w14:textId="77777777" w:rsidR="000E53E9" w:rsidRPr="00435B3C" w:rsidRDefault="000E53E9" w:rsidP="000E53E9">
            <w:pPr>
              <w:tabs>
                <w:tab w:val="decimal" w:pos="113"/>
              </w:tabs>
              <w:spacing w:line="180" w:lineRule="exact"/>
              <w:rPr>
                <w:sz w:val="14"/>
                <w:szCs w:val="14"/>
              </w:rPr>
            </w:pPr>
          </w:p>
        </w:tc>
        <w:tc>
          <w:tcPr>
            <w:tcW w:w="113" w:type="dxa"/>
            <w:vAlign w:val="bottom"/>
          </w:tcPr>
          <w:p w14:paraId="2AE97A0F"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59FC5675" w14:textId="77777777" w:rsidR="000E53E9" w:rsidRPr="00435B3C" w:rsidRDefault="000E53E9" w:rsidP="000E53E9">
            <w:pPr>
              <w:tabs>
                <w:tab w:val="decimal" w:pos="113"/>
              </w:tabs>
              <w:spacing w:line="180" w:lineRule="exact"/>
              <w:rPr>
                <w:sz w:val="14"/>
                <w:szCs w:val="14"/>
              </w:rPr>
            </w:pPr>
          </w:p>
        </w:tc>
        <w:tc>
          <w:tcPr>
            <w:tcW w:w="113" w:type="dxa"/>
            <w:vAlign w:val="bottom"/>
          </w:tcPr>
          <w:p w14:paraId="408DAB82"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15F96E60" w14:textId="77777777" w:rsidR="000E53E9" w:rsidRPr="00435B3C" w:rsidRDefault="000E53E9" w:rsidP="000E53E9">
            <w:pPr>
              <w:tabs>
                <w:tab w:val="decimal" w:pos="113"/>
              </w:tabs>
              <w:spacing w:line="180" w:lineRule="exact"/>
              <w:rPr>
                <w:sz w:val="14"/>
                <w:szCs w:val="14"/>
              </w:rPr>
            </w:pPr>
          </w:p>
        </w:tc>
        <w:tc>
          <w:tcPr>
            <w:tcW w:w="113" w:type="dxa"/>
            <w:vAlign w:val="bottom"/>
          </w:tcPr>
          <w:p w14:paraId="1D0C0BAE"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7228CB87"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214F886"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98EF789"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CBB07DB"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4E29222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B109BA6"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672FE27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31064D9"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6F99C58" w14:textId="77777777" w:rsidR="000E53E9" w:rsidRPr="00435B3C" w:rsidRDefault="000E53E9" w:rsidP="000E53E9">
            <w:pPr>
              <w:tabs>
                <w:tab w:val="decimal" w:pos="113"/>
              </w:tabs>
              <w:spacing w:line="180" w:lineRule="exact"/>
              <w:rPr>
                <w:sz w:val="14"/>
                <w:szCs w:val="14"/>
              </w:rPr>
            </w:pPr>
          </w:p>
        </w:tc>
        <w:tc>
          <w:tcPr>
            <w:tcW w:w="113" w:type="dxa"/>
            <w:vAlign w:val="bottom"/>
          </w:tcPr>
          <w:p w14:paraId="00EFA8B3"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05278E82" w14:textId="77777777" w:rsidR="000E53E9" w:rsidRPr="00435B3C" w:rsidRDefault="000E53E9" w:rsidP="000E53E9">
            <w:pPr>
              <w:tabs>
                <w:tab w:val="decimal" w:pos="113"/>
              </w:tabs>
              <w:spacing w:line="180" w:lineRule="exact"/>
              <w:rPr>
                <w:sz w:val="14"/>
                <w:szCs w:val="14"/>
              </w:rPr>
            </w:pPr>
          </w:p>
        </w:tc>
        <w:tc>
          <w:tcPr>
            <w:tcW w:w="113" w:type="dxa"/>
            <w:vAlign w:val="bottom"/>
          </w:tcPr>
          <w:p w14:paraId="5992BC89"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6D57B8A7" w14:textId="77777777" w:rsidR="000E53E9" w:rsidRPr="00435B3C" w:rsidRDefault="000E53E9" w:rsidP="000E53E9">
            <w:pPr>
              <w:tabs>
                <w:tab w:val="decimal" w:pos="113"/>
              </w:tabs>
              <w:spacing w:line="180" w:lineRule="exact"/>
              <w:rPr>
                <w:sz w:val="14"/>
                <w:szCs w:val="14"/>
              </w:rPr>
            </w:pPr>
          </w:p>
        </w:tc>
        <w:tc>
          <w:tcPr>
            <w:tcW w:w="113" w:type="dxa"/>
          </w:tcPr>
          <w:p w14:paraId="5953DA4C"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00EA8ABA" w14:textId="77777777" w:rsidR="000E53E9" w:rsidRPr="00435B3C" w:rsidRDefault="000E53E9" w:rsidP="000E53E9">
            <w:pPr>
              <w:tabs>
                <w:tab w:val="decimal" w:pos="113"/>
              </w:tabs>
              <w:spacing w:line="180" w:lineRule="exact"/>
              <w:rPr>
                <w:sz w:val="14"/>
                <w:szCs w:val="14"/>
              </w:rPr>
            </w:pPr>
          </w:p>
        </w:tc>
      </w:tr>
      <w:tr w:rsidR="000E53E9" w:rsidRPr="00435B3C" w14:paraId="05EF5B49" w14:textId="77777777" w:rsidTr="00435B3C">
        <w:tc>
          <w:tcPr>
            <w:tcW w:w="972" w:type="dxa"/>
            <w:tcBorders>
              <w:bottom w:val="single" w:sz="4" w:space="0" w:color="auto"/>
              <w:right w:val="single" w:sz="4" w:space="0" w:color="auto"/>
            </w:tcBorders>
            <w:vAlign w:val="center"/>
          </w:tcPr>
          <w:p w14:paraId="5419855E" w14:textId="77777777" w:rsidR="000E53E9" w:rsidRPr="00224C22" w:rsidRDefault="000E53E9" w:rsidP="000E53E9">
            <w:pPr>
              <w:bidi w:val="0"/>
              <w:spacing w:line="140" w:lineRule="exact"/>
              <w:ind w:left="227" w:right="110" w:hanging="170"/>
              <w:jc w:val="right"/>
              <w:rPr>
                <w:i/>
                <w:iCs/>
                <w:sz w:val="12"/>
                <w:szCs w:val="12"/>
                <w:rtl/>
              </w:rPr>
            </w:pPr>
            <w:r w:rsidRPr="00224C22">
              <w:rPr>
                <w:i/>
                <w:iCs/>
                <w:sz w:val="12"/>
                <w:szCs w:val="12"/>
              </w:rPr>
              <w:t>IAS 1.106(d)(iii)</w:t>
            </w:r>
          </w:p>
        </w:tc>
        <w:tc>
          <w:tcPr>
            <w:tcW w:w="2682" w:type="dxa"/>
            <w:tcBorders>
              <w:left w:val="single" w:sz="4" w:space="0" w:color="auto"/>
            </w:tcBorders>
            <w:vAlign w:val="bottom"/>
          </w:tcPr>
          <w:p w14:paraId="721E561D"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מימוש כתבי אופציה והמרת אגרות חוב להמרה בחברה מאוחדת</w:t>
            </w:r>
          </w:p>
        </w:tc>
        <w:tc>
          <w:tcPr>
            <w:tcW w:w="113" w:type="dxa"/>
            <w:vAlign w:val="bottom"/>
          </w:tcPr>
          <w:p w14:paraId="10DA971E"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2CE401B0"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422181B9"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1A7A664F"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4B39ED7"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59E19C82" w14:textId="77777777" w:rsidR="000E53E9" w:rsidRPr="00435B3C" w:rsidRDefault="000E53E9" w:rsidP="000E53E9">
            <w:pPr>
              <w:tabs>
                <w:tab w:val="decimal" w:pos="113"/>
              </w:tabs>
              <w:spacing w:line="180" w:lineRule="exact"/>
              <w:rPr>
                <w:sz w:val="14"/>
                <w:szCs w:val="14"/>
              </w:rPr>
            </w:pPr>
          </w:p>
        </w:tc>
        <w:tc>
          <w:tcPr>
            <w:tcW w:w="113" w:type="dxa"/>
          </w:tcPr>
          <w:p w14:paraId="3F3E117A"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4B313E86" w14:textId="77777777" w:rsidR="000E53E9" w:rsidRPr="00435B3C" w:rsidRDefault="000E53E9" w:rsidP="000E53E9">
            <w:pPr>
              <w:tabs>
                <w:tab w:val="decimal" w:pos="113"/>
              </w:tabs>
              <w:spacing w:line="180" w:lineRule="exact"/>
              <w:rPr>
                <w:sz w:val="14"/>
                <w:szCs w:val="14"/>
              </w:rPr>
            </w:pPr>
          </w:p>
        </w:tc>
        <w:tc>
          <w:tcPr>
            <w:tcW w:w="113" w:type="dxa"/>
          </w:tcPr>
          <w:p w14:paraId="3B388647"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02842558" w14:textId="77777777" w:rsidR="000E53E9" w:rsidRPr="00435B3C" w:rsidRDefault="000E53E9" w:rsidP="000E53E9">
            <w:pPr>
              <w:tabs>
                <w:tab w:val="decimal" w:pos="113"/>
              </w:tabs>
              <w:spacing w:line="180" w:lineRule="exact"/>
              <w:rPr>
                <w:sz w:val="14"/>
                <w:szCs w:val="14"/>
              </w:rPr>
            </w:pPr>
          </w:p>
        </w:tc>
        <w:tc>
          <w:tcPr>
            <w:tcW w:w="113" w:type="dxa"/>
            <w:vAlign w:val="bottom"/>
          </w:tcPr>
          <w:p w14:paraId="22994264"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6C94AA41" w14:textId="77777777" w:rsidR="000E53E9" w:rsidRPr="00435B3C" w:rsidRDefault="000E53E9" w:rsidP="000E53E9">
            <w:pPr>
              <w:tabs>
                <w:tab w:val="decimal" w:pos="113"/>
              </w:tabs>
              <w:spacing w:line="180" w:lineRule="exact"/>
              <w:rPr>
                <w:sz w:val="14"/>
                <w:szCs w:val="14"/>
              </w:rPr>
            </w:pPr>
          </w:p>
        </w:tc>
        <w:tc>
          <w:tcPr>
            <w:tcW w:w="113" w:type="dxa"/>
            <w:vAlign w:val="bottom"/>
          </w:tcPr>
          <w:p w14:paraId="1E546BBD"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27B5E955" w14:textId="77777777" w:rsidR="000E53E9" w:rsidRPr="00435B3C" w:rsidRDefault="000E53E9" w:rsidP="000E53E9">
            <w:pPr>
              <w:tabs>
                <w:tab w:val="decimal" w:pos="113"/>
              </w:tabs>
              <w:spacing w:line="180" w:lineRule="exact"/>
              <w:rPr>
                <w:sz w:val="14"/>
                <w:szCs w:val="14"/>
              </w:rPr>
            </w:pPr>
          </w:p>
        </w:tc>
        <w:tc>
          <w:tcPr>
            <w:tcW w:w="113" w:type="dxa"/>
            <w:vAlign w:val="bottom"/>
          </w:tcPr>
          <w:p w14:paraId="08C53A26"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1154763C" w14:textId="77777777" w:rsidR="000E53E9" w:rsidRPr="00435B3C" w:rsidRDefault="000E53E9" w:rsidP="000E53E9">
            <w:pPr>
              <w:tabs>
                <w:tab w:val="decimal" w:pos="113"/>
              </w:tabs>
              <w:spacing w:line="180" w:lineRule="exact"/>
              <w:rPr>
                <w:sz w:val="14"/>
                <w:szCs w:val="14"/>
              </w:rPr>
            </w:pPr>
          </w:p>
        </w:tc>
        <w:tc>
          <w:tcPr>
            <w:tcW w:w="113" w:type="dxa"/>
            <w:vAlign w:val="bottom"/>
          </w:tcPr>
          <w:p w14:paraId="704898A3"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2C1491F0"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C2F6D3E"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27EC12F"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3C603DD"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1E8EFC5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E7290C1"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C283A71"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E56E47A"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6881DF3" w14:textId="77777777" w:rsidR="000E53E9" w:rsidRPr="00435B3C" w:rsidRDefault="000E53E9" w:rsidP="000E53E9">
            <w:pPr>
              <w:tabs>
                <w:tab w:val="decimal" w:pos="113"/>
              </w:tabs>
              <w:spacing w:line="180" w:lineRule="exact"/>
              <w:rPr>
                <w:sz w:val="14"/>
                <w:szCs w:val="14"/>
              </w:rPr>
            </w:pPr>
          </w:p>
        </w:tc>
        <w:tc>
          <w:tcPr>
            <w:tcW w:w="113" w:type="dxa"/>
            <w:vAlign w:val="bottom"/>
          </w:tcPr>
          <w:p w14:paraId="7EF1B00A"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18FB7BC0" w14:textId="77777777" w:rsidR="000E53E9" w:rsidRPr="00435B3C" w:rsidRDefault="000E53E9" w:rsidP="000E53E9">
            <w:pPr>
              <w:tabs>
                <w:tab w:val="decimal" w:pos="113"/>
              </w:tabs>
              <w:spacing w:line="180" w:lineRule="exact"/>
              <w:rPr>
                <w:sz w:val="14"/>
                <w:szCs w:val="14"/>
              </w:rPr>
            </w:pPr>
          </w:p>
        </w:tc>
        <w:tc>
          <w:tcPr>
            <w:tcW w:w="113" w:type="dxa"/>
            <w:vAlign w:val="bottom"/>
          </w:tcPr>
          <w:p w14:paraId="02C74201"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13BDE41" w14:textId="77777777" w:rsidR="000E53E9" w:rsidRPr="00435B3C" w:rsidRDefault="000E53E9" w:rsidP="000E53E9">
            <w:pPr>
              <w:tabs>
                <w:tab w:val="decimal" w:pos="113"/>
              </w:tabs>
              <w:spacing w:line="180" w:lineRule="exact"/>
              <w:rPr>
                <w:sz w:val="14"/>
                <w:szCs w:val="14"/>
              </w:rPr>
            </w:pPr>
          </w:p>
        </w:tc>
        <w:tc>
          <w:tcPr>
            <w:tcW w:w="113" w:type="dxa"/>
          </w:tcPr>
          <w:p w14:paraId="60CA3ECD"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49D8317D" w14:textId="77777777" w:rsidR="000E53E9" w:rsidRPr="00435B3C" w:rsidRDefault="000E53E9" w:rsidP="000E53E9">
            <w:pPr>
              <w:tabs>
                <w:tab w:val="decimal" w:pos="113"/>
              </w:tabs>
              <w:spacing w:line="180" w:lineRule="exact"/>
              <w:rPr>
                <w:sz w:val="14"/>
                <w:szCs w:val="14"/>
              </w:rPr>
            </w:pPr>
          </w:p>
        </w:tc>
      </w:tr>
      <w:tr w:rsidR="000E53E9" w:rsidRPr="00435B3C" w14:paraId="5DA0431A" w14:textId="77777777" w:rsidTr="00435B3C">
        <w:tc>
          <w:tcPr>
            <w:tcW w:w="972" w:type="dxa"/>
            <w:tcBorders>
              <w:top w:val="single" w:sz="4" w:space="0" w:color="auto"/>
              <w:bottom w:val="single" w:sz="4" w:space="0" w:color="auto"/>
              <w:right w:val="single" w:sz="4" w:space="0" w:color="auto"/>
            </w:tcBorders>
            <w:vAlign w:val="center"/>
          </w:tcPr>
          <w:p w14:paraId="4A8DAEF3" w14:textId="77777777" w:rsidR="000E53E9" w:rsidRPr="00224C22" w:rsidRDefault="000E53E9" w:rsidP="000E53E9">
            <w:pPr>
              <w:bidi w:val="0"/>
              <w:spacing w:line="140" w:lineRule="exact"/>
              <w:ind w:left="227" w:right="110" w:hanging="170"/>
              <w:jc w:val="right"/>
              <w:rPr>
                <w:i/>
                <w:iCs/>
                <w:sz w:val="12"/>
                <w:szCs w:val="12"/>
                <w:rtl/>
              </w:rPr>
            </w:pPr>
            <w:r w:rsidRPr="00224C22">
              <w:rPr>
                <w:i/>
                <w:iCs/>
                <w:sz w:val="12"/>
                <w:szCs w:val="12"/>
              </w:rPr>
              <w:t>IAS 1.106(d)(iii); IFRS 2.50</w:t>
            </w:r>
          </w:p>
        </w:tc>
        <w:tc>
          <w:tcPr>
            <w:tcW w:w="2682" w:type="dxa"/>
            <w:tcBorders>
              <w:left w:val="single" w:sz="4" w:space="0" w:color="auto"/>
            </w:tcBorders>
            <w:vAlign w:val="bottom"/>
          </w:tcPr>
          <w:p w14:paraId="387D794B"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עלות תשלום מבוסס מניות</w:t>
            </w:r>
          </w:p>
        </w:tc>
        <w:tc>
          <w:tcPr>
            <w:tcW w:w="113" w:type="dxa"/>
            <w:vAlign w:val="bottom"/>
          </w:tcPr>
          <w:p w14:paraId="40A303FE"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48DD07A2"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627A9BF4"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14BDD222"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51332ACE"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2FE137A" w14:textId="77777777" w:rsidR="000E53E9" w:rsidRPr="00435B3C" w:rsidRDefault="000E53E9" w:rsidP="000E53E9">
            <w:pPr>
              <w:tabs>
                <w:tab w:val="decimal" w:pos="113"/>
              </w:tabs>
              <w:spacing w:line="180" w:lineRule="exact"/>
              <w:rPr>
                <w:sz w:val="14"/>
                <w:szCs w:val="14"/>
              </w:rPr>
            </w:pPr>
          </w:p>
        </w:tc>
        <w:tc>
          <w:tcPr>
            <w:tcW w:w="113" w:type="dxa"/>
          </w:tcPr>
          <w:p w14:paraId="583E05B6"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5E6E0184" w14:textId="77777777" w:rsidR="000E53E9" w:rsidRPr="00435B3C" w:rsidRDefault="000E53E9" w:rsidP="000E53E9">
            <w:pPr>
              <w:tabs>
                <w:tab w:val="decimal" w:pos="113"/>
              </w:tabs>
              <w:spacing w:line="180" w:lineRule="exact"/>
              <w:rPr>
                <w:sz w:val="14"/>
                <w:szCs w:val="14"/>
              </w:rPr>
            </w:pPr>
          </w:p>
        </w:tc>
        <w:tc>
          <w:tcPr>
            <w:tcW w:w="113" w:type="dxa"/>
          </w:tcPr>
          <w:p w14:paraId="3D3CFC18"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67A00812" w14:textId="77777777" w:rsidR="000E53E9" w:rsidRPr="00435B3C" w:rsidRDefault="000E53E9" w:rsidP="000E53E9">
            <w:pPr>
              <w:tabs>
                <w:tab w:val="decimal" w:pos="113"/>
              </w:tabs>
              <w:spacing w:line="180" w:lineRule="exact"/>
              <w:rPr>
                <w:sz w:val="14"/>
                <w:szCs w:val="14"/>
              </w:rPr>
            </w:pPr>
          </w:p>
        </w:tc>
        <w:tc>
          <w:tcPr>
            <w:tcW w:w="113" w:type="dxa"/>
            <w:vAlign w:val="bottom"/>
          </w:tcPr>
          <w:p w14:paraId="01629533"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3E028644" w14:textId="77777777" w:rsidR="000E53E9" w:rsidRPr="00435B3C" w:rsidRDefault="000E53E9" w:rsidP="000E53E9">
            <w:pPr>
              <w:tabs>
                <w:tab w:val="decimal" w:pos="113"/>
              </w:tabs>
              <w:spacing w:line="180" w:lineRule="exact"/>
              <w:rPr>
                <w:sz w:val="14"/>
                <w:szCs w:val="14"/>
              </w:rPr>
            </w:pPr>
          </w:p>
        </w:tc>
        <w:tc>
          <w:tcPr>
            <w:tcW w:w="113" w:type="dxa"/>
            <w:vAlign w:val="bottom"/>
          </w:tcPr>
          <w:p w14:paraId="01E5B626"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64898DC5" w14:textId="77777777" w:rsidR="000E53E9" w:rsidRPr="00435B3C" w:rsidRDefault="000E53E9" w:rsidP="000E53E9">
            <w:pPr>
              <w:tabs>
                <w:tab w:val="decimal" w:pos="113"/>
              </w:tabs>
              <w:spacing w:line="180" w:lineRule="exact"/>
              <w:rPr>
                <w:sz w:val="14"/>
                <w:szCs w:val="14"/>
              </w:rPr>
            </w:pPr>
          </w:p>
        </w:tc>
        <w:tc>
          <w:tcPr>
            <w:tcW w:w="113" w:type="dxa"/>
            <w:vAlign w:val="bottom"/>
          </w:tcPr>
          <w:p w14:paraId="0C10A0BA"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74F2C819" w14:textId="77777777" w:rsidR="000E53E9" w:rsidRPr="00435B3C" w:rsidRDefault="000E53E9" w:rsidP="000E53E9">
            <w:pPr>
              <w:tabs>
                <w:tab w:val="decimal" w:pos="113"/>
              </w:tabs>
              <w:spacing w:line="180" w:lineRule="exact"/>
              <w:rPr>
                <w:sz w:val="14"/>
                <w:szCs w:val="14"/>
              </w:rPr>
            </w:pPr>
          </w:p>
        </w:tc>
        <w:tc>
          <w:tcPr>
            <w:tcW w:w="113" w:type="dxa"/>
            <w:vAlign w:val="bottom"/>
          </w:tcPr>
          <w:p w14:paraId="20F360B1"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33D138A6"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7C7703AE"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7CD5201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73C481B"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7EA6E72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3FDED73"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F8B3669"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AB3279F"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0603D190" w14:textId="77777777" w:rsidR="000E53E9" w:rsidRPr="00435B3C" w:rsidRDefault="000E53E9" w:rsidP="000E53E9">
            <w:pPr>
              <w:tabs>
                <w:tab w:val="decimal" w:pos="113"/>
              </w:tabs>
              <w:spacing w:line="180" w:lineRule="exact"/>
              <w:rPr>
                <w:sz w:val="14"/>
                <w:szCs w:val="14"/>
              </w:rPr>
            </w:pPr>
          </w:p>
        </w:tc>
        <w:tc>
          <w:tcPr>
            <w:tcW w:w="113" w:type="dxa"/>
            <w:vAlign w:val="bottom"/>
          </w:tcPr>
          <w:p w14:paraId="5B8B29C6"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04CE6E12" w14:textId="77777777" w:rsidR="000E53E9" w:rsidRPr="00435B3C" w:rsidRDefault="000E53E9" w:rsidP="000E53E9">
            <w:pPr>
              <w:tabs>
                <w:tab w:val="decimal" w:pos="113"/>
              </w:tabs>
              <w:spacing w:line="180" w:lineRule="exact"/>
              <w:rPr>
                <w:sz w:val="14"/>
                <w:szCs w:val="14"/>
              </w:rPr>
            </w:pPr>
          </w:p>
        </w:tc>
        <w:tc>
          <w:tcPr>
            <w:tcW w:w="113" w:type="dxa"/>
            <w:vAlign w:val="bottom"/>
          </w:tcPr>
          <w:p w14:paraId="7E61538B"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76CF05BC" w14:textId="77777777" w:rsidR="000E53E9" w:rsidRPr="00435B3C" w:rsidRDefault="000E53E9" w:rsidP="000E53E9">
            <w:pPr>
              <w:tabs>
                <w:tab w:val="decimal" w:pos="113"/>
              </w:tabs>
              <w:spacing w:line="180" w:lineRule="exact"/>
              <w:rPr>
                <w:sz w:val="14"/>
                <w:szCs w:val="14"/>
              </w:rPr>
            </w:pPr>
          </w:p>
        </w:tc>
        <w:tc>
          <w:tcPr>
            <w:tcW w:w="113" w:type="dxa"/>
          </w:tcPr>
          <w:p w14:paraId="7F1C0271"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7096A0B5" w14:textId="77777777" w:rsidR="000E53E9" w:rsidRPr="00435B3C" w:rsidRDefault="000E53E9" w:rsidP="000E53E9">
            <w:pPr>
              <w:tabs>
                <w:tab w:val="decimal" w:pos="113"/>
              </w:tabs>
              <w:spacing w:line="180" w:lineRule="exact"/>
              <w:rPr>
                <w:sz w:val="14"/>
                <w:szCs w:val="14"/>
              </w:rPr>
            </w:pPr>
          </w:p>
        </w:tc>
      </w:tr>
      <w:tr w:rsidR="000E53E9" w:rsidRPr="00435B3C" w14:paraId="6EC57DC1" w14:textId="77777777" w:rsidTr="00435B3C">
        <w:tc>
          <w:tcPr>
            <w:tcW w:w="972" w:type="dxa"/>
            <w:tcBorders>
              <w:top w:val="single" w:sz="4" w:space="0" w:color="auto"/>
            </w:tcBorders>
            <w:vAlign w:val="center"/>
          </w:tcPr>
          <w:p w14:paraId="683B2651" w14:textId="77777777" w:rsidR="000E53E9" w:rsidRPr="00224C22" w:rsidRDefault="000E53E9" w:rsidP="000E53E9">
            <w:pPr>
              <w:bidi w:val="0"/>
              <w:spacing w:line="140" w:lineRule="exact"/>
              <w:ind w:left="227" w:right="110" w:hanging="170"/>
              <w:jc w:val="right"/>
              <w:rPr>
                <w:i/>
                <w:iCs/>
                <w:sz w:val="12"/>
                <w:szCs w:val="12"/>
                <w:rtl/>
              </w:rPr>
            </w:pPr>
          </w:p>
        </w:tc>
        <w:tc>
          <w:tcPr>
            <w:tcW w:w="2682" w:type="dxa"/>
            <w:vAlign w:val="bottom"/>
          </w:tcPr>
          <w:p w14:paraId="4039E484"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השפעת המס בגין עסקאות תשלום מבוסס מניות</w:t>
            </w:r>
          </w:p>
        </w:tc>
        <w:tc>
          <w:tcPr>
            <w:tcW w:w="113" w:type="dxa"/>
            <w:vAlign w:val="bottom"/>
          </w:tcPr>
          <w:p w14:paraId="080075CC"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14B3BE6C"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4E9CE843"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74872090"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7EF9266D"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7441604" w14:textId="77777777" w:rsidR="000E53E9" w:rsidRPr="00435B3C" w:rsidRDefault="000E53E9" w:rsidP="000E53E9">
            <w:pPr>
              <w:tabs>
                <w:tab w:val="decimal" w:pos="113"/>
              </w:tabs>
              <w:spacing w:line="180" w:lineRule="exact"/>
              <w:rPr>
                <w:sz w:val="14"/>
                <w:szCs w:val="14"/>
              </w:rPr>
            </w:pPr>
          </w:p>
        </w:tc>
        <w:tc>
          <w:tcPr>
            <w:tcW w:w="113" w:type="dxa"/>
          </w:tcPr>
          <w:p w14:paraId="4A0D5904"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7D1CC5D1" w14:textId="77777777" w:rsidR="000E53E9" w:rsidRPr="00435B3C" w:rsidRDefault="000E53E9" w:rsidP="000E53E9">
            <w:pPr>
              <w:tabs>
                <w:tab w:val="decimal" w:pos="113"/>
              </w:tabs>
              <w:spacing w:line="180" w:lineRule="exact"/>
              <w:rPr>
                <w:sz w:val="14"/>
                <w:szCs w:val="14"/>
              </w:rPr>
            </w:pPr>
          </w:p>
        </w:tc>
        <w:tc>
          <w:tcPr>
            <w:tcW w:w="113" w:type="dxa"/>
          </w:tcPr>
          <w:p w14:paraId="53DDDB2F"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012E8873" w14:textId="77777777" w:rsidR="000E53E9" w:rsidRPr="00435B3C" w:rsidRDefault="000E53E9" w:rsidP="000E53E9">
            <w:pPr>
              <w:tabs>
                <w:tab w:val="decimal" w:pos="113"/>
              </w:tabs>
              <w:spacing w:line="180" w:lineRule="exact"/>
              <w:rPr>
                <w:sz w:val="14"/>
                <w:szCs w:val="14"/>
              </w:rPr>
            </w:pPr>
          </w:p>
        </w:tc>
        <w:tc>
          <w:tcPr>
            <w:tcW w:w="113" w:type="dxa"/>
            <w:vAlign w:val="bottom"/>
          </w:tcPr>
          <w:p w14:paraId="7135463E"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23D4A7A5" w14:textId="77777777" w:rsidR="000E53E9" w:rsidRPr="00435B3C" w:rsidRDefault="000E53E9" w:rsidP="000E53E9">
            <w:pPr>
              <w:tabs>
                <w:tab w:val="decimal" w:pos="113"/>
              </w:tabs>
              <w:spacing w:line="180" w:lineRule="exact"/>
              <w:rPr>
                <w:sz w:val="14"/>
                <w:szCs w:val="14"/>
              </w:rPr>
            </w:pPr>
          </w:p>
        </w:tc>
        <w:tc>
          <w:tcPr>
            <w:tcW w:w="113" w:type="dxa"/>
            <w:vAlign w:val="bottom"/>
          </w:tcPr>
          <w:p w14:paraId="30303258"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440825CC" w14:textId="77777777" w:rsidR="000E53E9" w:rsidRPr="00435B3C" w:rsidRDefault="000E53E9" w:rsidP="000E53E9">
            <w:pPr>
              <w:tabs>
                <w:tab w:val="decimal" w:pos="113"/>
              </w:tabs>
              <w:spacing w:line="180" w:lineRule="exact"/>
              <w:rPr>
                <w:sz w:val="14"/>
                <w:szCs w:val="14"/>
              </w:rPr>
            </w:pPr>
          </w:p>
        </w:tc>
        <w:tc>
          <w:tcPr>
            <w:tcW w:w="113" w:type="dxa"/>
            <w:vAlign w:val="bottom"/>
          </w:tcPr>
          <w:p w14:paraId="079ED60F"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7386B3D8" w14:textId="77777777" w:rsidR="000E53E9" w:rsidRPr="00435B3C" w:rsidRDefault="000E53E9" w:rsidP="000E53E9">
            <w:pPr>
              <w:tabs>
                <w:tab w:val="decimal" w:pos="113"/>
              </w:tabs>
              <w:spacing w:line="180" w:lineRule="exact"/>
              <w:rPr>
                <w:sz w:val="14"/>
                <w:szCs w:val="14"/>
              </w:rPr>
            </w:pPr>
          </w:p>
        </w:tc>
        <w:tc>
          <w:tcPr>
            <w:tcW w:w="113" w:type="dxa"/>
            <w:vAlign w:val="bottom"/>
          </w:tcPr>
          <w:p w14:paraId="11AE60BB"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69C191C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201F00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F615477"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3F24DF8"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71A5FCC8"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7DF6EC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21A8C3BF"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26A43DC"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21BA4815" w14:textId="77777777" w:rsidR="000E53E9" w:rsidRPr="00435B3C" w:rsidRDefault="000E53E9" w:rsidP="000E53E9">
            <w:pPr>
              <w:tabs>
                <w:tab w:val="decimal" w:pos="113"/>
              </w:tabs>
              <w:spacing w:line="180" w:lineRule="exact"/>
              <w:rPr>
                <w:sz w:val="14"/>
                <w:szCs w:val="14"/>
              </w:rPr>
            </w:pPr>
          </w:p>
        </w:tc>
        <w:tc>
          <w:tcPr>
            <w:tcW w:w="113" w:type="dxa"/>
            <w:vAlign w:val="bottom"/>
          </w:tcPr>
          <w:p w14:paraId="026C1C75"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088C6B48" w14:textId="77777777" w:rsidR="000E53E9" w:rsidRPr="00435B3C" w:rsidRDefault="000E53E9" w:rsidP="000E53E9">
            <w:pPr>
              <w:tabs>
                <w:tab w:val="decimal" w:pos="113"/>
              </w:tabs>
              <w:spacing w:line="180" w:lineRule="exact"/>
              <w:rPr>
                <w:sz w:val="14"/>
                <w:szCs w:val="14"/>
              </w:rPr>
            </w:pPr>
          </w:p>
        </w:tc>
        <w:tc>
          <w:tcPr>
            <w:tcW w:w="113" w:type="dxa"/>
            <w:vAlign w:val="bottom"/>
          </w:tcPr>
          <w:p w14:paraId="0DFC542C"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2435CA22" w14:textId="77777777" w:rsidR="000E53E9" w:rsidRPr="00435B3C" w:rsidRDefault="000E53E9" w:rsidP="000E53E9">
            <w:pPr>
              <w:tabs>
                <w:tab w:val="decimal" w:pos="113"/>
              </w:tabs>
              <w:spacing w:line="180" w:lineRule="exact"/>
              <w:rPr>
                <w:sz w:val="14"/>
                <w:szCs w:val="14"/>
              </w:rPr>
            </w:pPr>
          </w:p>
        </w:tc>
        <w:tc>
          <w:tcPr>
            <w:tcW w:w="113" w:type="dxa"/>
          </w:tcPr>
          <w:p w14:paraId="3E9840BF"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71F8BF08" w14:textId="77777777" w:rsidR="000E53E9" w:rsidRPr="00435B3C" w:rsidRDefault="000E53E9" w:rsidP="000E53E9">
            <w:pPr>
              <w:tabs>
                <w:tab w:val="decimal" w:pos="113"/>
              </w:tabs>
              <w:spacing w:line="180" w:lineRule="exact"/>
              <w:rPr>
                <w:sz w:val="14"/>
                <w:szCs w:val="14"/>
              </w:rPr>
            </w:pPr>
          </w:p>
        </w:tc>
      </w:tr>
      <w:tr w:rsidR="000E53E9" w:rsidRPr="00435B3C" w14:paraId="0C787354" w14:textId="77777777" w:rsidTr="00435B3C">
        <w:tc>
          <w:tcPr>
            <w:tcW w:w="972" w:type="dxa"/>
            <w:tcBorders>
              <w:bottom w:val="single" w:sz="4" w:space="0" w:color="auto"/>
              <w:right w:val="single" w:sz="4" w:space="0" w:color="auto"/>
            </w:tcBorders>
            <w:vAlign w:val="center"/>
          </w:tcPr>
          <w:p w14:paraId="29764C07" w14:textId="77777777" w:rsidR="000E53E9" w:rsidRPr="00224C22" w:rsidRDefault="000E53E9" w:rsidP="000E53E9">
            <w:pPr>
              <w:bidi w:val="0"/>
              <w:spacing w:line="140" w:lineRule="exact"/>
              <w:ind w:left="227" w:right="110" w:hanging="170"/>
              <w:jc w:val="right"/>
              <w:rPr>
                <w:i/>
                <w:iCs/>
                <w:sz w:val="12"/>
                <w:szCs w:val="12"/>
                <w:rtl/>
              </w:rPr>
            </w:pPr>
            <w:r w:rsidRPr="00224C22">
              <w:rPr>
                <w:i/>
                <w:iCs/>
                <w:sz w:val="12"/>
                <w:szCs w:val="12"/>
              </w:rPr>
              <w:t>IAS 1.107</w:t>
            </w:r>
          </w:p>
        </w:tc>
        <w:tc>
          <w:tcPr>
            <w:tcW w:w="2682" w:type="dxa"/>
            <w:tcBorders>
              <w:left w:val="single" w:sz="4" w:space="0" w:color="auto"/>
            </w:tcBorders>
            <w:vAlign w:val="bottom"/>
          </w:tcPr>
          <w:p w14:paraId="3A4F6636"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דיבידנד לבעלי מניות החברה</w:t>
            </w:r>
          </w:p>
        </w:tc>
        <w:tc>
          <w:tcPr>
            <w:tcW w:w="113" w:type="dxa"/>
            <w:vAlign w:val="bottom"/>
          </w:tcPr>
          <w:p w14:paraId="1310EBE7"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0B36BEEF"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4E478B46"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29B6DBF7"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7215CE8"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05F629BE" w14:textId="77777777" w:rsidR="000E53E9" w:rsidRPr="00435B3C" w:rsidRDefault="000E53E9" w:rsidP="000E53E9">
            <w:pPr>
              <w:tabs>
                <w:tab w:val="decimal" w:pos="113"/>
              </w:tabs>
              <w:spacing w:line="180" w:lineRule="exact"/>
              <w:rPr>
                <w:sz w:val="14"/>
                <w:szCs w:val="14"/>
              </w:rPr>
            </w:pPr>
          </w:p>
        </w:tc>
        <w:tc>
          <w:tcPr>
            <w:tcW w:w="113" w:type="dxa"/>
          </w:tcPr>
          <w:p w14:paraId="4FAC225B"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19AEF014" w14:textId="77777777" w:rsidR="000E53E9" w:rsidRPr="00435B3C" w:rsidRDefault="000E53E9" w:rsidP="000E53E9">
            <w:pPr>
              <w:tabs>
                <w:tab w:val="decimal" w:pos="113"/>
              </w:tabs>
              <w:spacing w:line="180" w:lineRule="exact"/>
              <w:rPr>
                <w:sz w:val="14"/>
                <w:szCs w:val="14"/>
              </w:rPr>
            </w:pPr>
          </w:p>
        </w:tc>
        <w:tc>
          <w:tcPr>
            <w:tcW w:w="113" w:type="dxa"/>
          </w:tcPr>
          <w:p w14:paraId="673CDBC5"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24C810B9" w14:textId="77777777" w:rsidR="000E53E9" w:rsidRPr="00435B3C" w:rsidRDefault="000E53E9" w:rsidP="000E53E9">
            <w:pPr>
              <w:tabs>
                <w:tab w:val="decimal" w:pos="113"/>
              </w:tabs>
              <w:spacing w:line="180" w:lineRule="exact"/>
              <w:rPr>
                <w:sz w:val="14"/>
                <w:szCs w:val="14"/>
              </w:rPr>
            </w:pPr>
          </w:p>
        </w:tc>
        <w:tc>
          <w:tcPr>
            <w:tcW w:w="113" w:type="dxa"/>
            <w:vAlign w:val="bottom"/>
          </w:tcPr>
          <w:p w14:paraId="2A366239"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0362F675" w14:textId="77777777" w:rsidR="000E53E9" w:rsidRPr="00435B3C" w:rsidRDefault="000E53E9" w:rsidP="000E53E9">
            <w:pPr>
              <w:tabs>
                <w:tab w:val="decimal" w:pos="113"/>
              </w:tabs>
              <w:spacing w:line="180" w:lineRule="exact"/>
              <w:rPr>
                <w:sz w:val="14"/>
                <w:szCs w:val="14"/>
              </w:rPr>
            </w:pPr>
          </w:p>
        </w:tc>
        <w:tc>
          <w:tcPr>
            <w:tcW w:w="113" w:type="dxa"/>
            <w:vAlign w:val="bottom"/>
          </w:tcPr>
          <w:p w14:paraId="0695A081"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353B189B" w14:textId="77777777" w:rsidR="000E53E9" w:rsidRPr="00435B3C" w:rsidRDefault="000E53E9" w:rsidP="000E53E9">
            <w:pPr>
              <w:tabs>
                <w:tab w:val="decimal" w:pos="113"/>
              </w:tabs>
              <w:spacing w:line="180" w:lineRule="exact"/>
              <w:rPr>
                <w:sz w:val="14"/>
                <w:szCs w:val="14"/>
              </w:rPr>
            </w:pPr>
          </w:p>
        </w:tc>
        <w:tc>
          <w:tcPr>
            <w:tcW w:w="113" w:type="dxa"/>
            <w:vAlign w:val="bottom"/>
          </w:tcPr>
          <w:p w14:paraId="372BBE7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24359725" w14:textId="77777777" w:rsidR="000E53E9" w:rsidRPr="00435B3C" w:rsidRDefault="000E53E9" w:rsidP="000E53E9">
            <w:pPr>
              <w:tabs>
                <w:tab w:val="decimal" w:pos="113"/>
              </w:tabs>
              <w:spacing w:line="180" w:lineRule="exact"/>
              <w:rPr>
                <w:sz w:val="14"/>
                <w:szCs w:val="14"/>
              </w:rPr>
            </w:pPr>
          </w:p>
        </w:tc>
        <w:tc>
          <w:tcPr>
            <w:tcW w:w="113" w:type="dxa"/>
            <w:vAlign w:val="bottom"/>
          </w:tcPr>
          <w:p w14:paraId="36F432B8"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514A933C"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4FF4F3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418E084E"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0E17BB2"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65530998"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DA3F35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5BA73B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CF5448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8522F0F" w14:textId="77777777" w:rsidR="000E53E9" w:rsidRPr="00435B3C" w:rsidRDefault="000E53E9" w:rsidP="000E53E9">
            <w:pPr>
              <w:tabs>
                <w:tab w:val="decimal" w:pos="113"/>
              </w:tabs>
              <w:spacing w:line="180" w:lineRule="exact"/>
              <w:rPr>
                <w:sz w:val="14"/>
                <w:szCs w:val="14"/>
              </w:rPr>
            </w:pPr>
          </w:p>
        </w:tc>
        <w:tc>
          <w:tcPr>
            <w:tcW w:w="113" w:type="dxa"/>
            <w:vAlign w:val="bottom"/>
          </w:tcPr>
          <w:p w14:paraId="23E4016E"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7D17AE87" w14:textId="77777777" w:rsidR="000E53E9" w:rsidRPr="00435B3C" w:rsidRDefault="000E53E9" w:rsidP="000E53E9">
            <w:pPr>
              <w:tabs>
                <w:tab w:val="decimal" w:pos="113"/>
              </w:tabs>
              <w:spacing w:line="180" w:lineRule="exact"/>
              <w:rPr>
                <w:sz w:val="14"/>
                <w:szCs w:val="14"/>
              </w:rPr>
            </w:pPr>
          </w:p>
        </w:tc>
        <w:tc>
          <w:tcPr>
            <w:tcW w:w="113" w:type="dxa"/>
            <w:vAlign w:val="bottom"/>
          </w:tcPr>
          <w:p w14:paraId="108F5B85"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66B6B523" w14:textId="77777777" w:rsidR="000E53E9" w:rsidRPr="00435B3C" w:rsidRDefault="000E53E9" w:rsidP="000E53E9">
            <w:pPr>
              <w:tabs>
                <w:tab w:val="decimal" w:pos="113"/>
              </w:tabs>
              <w:spacing w:line="180" w:lineRule="exact"/>
              <w:rPr>
                <w:sz w:val="14"/>
                <w:szCs w:val="14"/>
              </w:rPr>
            </w:pPr>
          </w:p>
        </w:tc>
        <w:tc>
          <w:tcPr>
            <w:tcW w:w="113" w:type="dxa"/>
          </w:tcPr>
          <w:p w14:paraId="0A4FE5EC"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363438EC" w14:textId="77777777" w:rsidR="000E53E9" w:rsidRPr="00435B3C" w:rsidRDefault="000E53E9" w:rsidP="000E53E9">
            <w:pPr>
              <w:tabs>
                <w:tab w:val="decimal" w:pos="113"/>
              </w:tabs>
              <w:spacing w:line="180" w:lineRule="exact"/>
              <w:rPr>
                <w:sz w:val="14"/>
                <w:szCs w:val="14"/>
              </w:rPr>
            </w:pPr>
          </w:p>
        </w:tc>
      </w:tr>
      <w:tr w:rsidR="000E53E9" w:rsidRPr="00435B3C" w14:paraId="064AEE2D" w14:textId="77777777" w:rsidTr="00435B3C">
        <w:tc>
          <w:tcPr>
            <w:tcW w:w="972" w:type="dxa"/>
            <w:tcBorders>
              <w:top w:val="single" w:sz="4" w:space="0" w:color="auto"/>
            </w:tcBorders>
            <w:vAlign w:val="center"/>
          </w:tcPr>
          <w:p w14:paraId="03ED1CD6" w14:textId="77777777" w:rsidR="000E53E9" w:rsidRPr="00224C22" w:rsidRDefault="000E53E9" w:rsidP="000E53E9">
            <w:pPr>
              <w:bidi w:val="0"/>
              <w:spacing w:line="140" w:lineRule="exact"/>
              <w:ind w:left="227" w:right="110" w:hanging="170"/>
              <w:jc w:val="right"/>
              <w:rPr>
                <w:i/>
                <w:iCs/>
                <w:sz w:val="12"/>
                <w:szCs w:val="12"/>
                <w:rtl/>
              </w:rPr>
            </w:pPr>
          </w:p>
        </w:tc>
        <w:tc>
          <w:tcPr>
            <w:tcW w:w="2682" w:type="dxa"/>
            <w:vAlign w:val="bottom"/>
          </w:tcPr>
          <w:p w14:paraId="3A77DD83"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הטבה הונית מעסקה עם בעל שליטה</w:t>
            </w:r>
          </w:p>
        </w:tc>
        <w:tc>
          <w:tcPr>
            <w:tcW w:w="113" w:type="dxa"/>
            <w:vAlign w:val="bottom"/>
          </w:tcPr>
          <w:p w14:paraId="2379C508"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1188809A"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3CBA4C5E"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5210835F"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5E8CA974"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554DAE17" w14:textId="77777777" w:rsidR="000E53E9" w:rsidRPr="00435B3C" w:rsidRDefault="000E53E9" w:rsidP="000E53E9">
            <w:pPr>
              <w:tabs>
                <w:tab w:val="decimal" w:pos="113"/>
              </w:tabs>
              <w:spacing w:line="180" w:lineRule="exact"/>
              <w:rPr>
                <w:sz w:val="14"/>
                <w:szCs w:val="14"/>
              </w:rPr>
            </w:pPr>
          </w:p>
        </w:tc>
        <w:tc>
          <w:tcPr>
            <w:tcW w:w="113" w:type="dxa"/>
          </w:tcPr>
          <w:p w14:paraId="201C983A"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0408A3D1" w14:textId="77777777" w:rsidR="000E53E9" w:rsidRPr="00435B3C" w:rsidRDefault="000E53E9" w:rsidP="000E53E9">
            <w:pPr>
              <w:tabs>
                <w:tab w:val="decimal" w:pos="113"/>
              </w:tabs>
              <w:spacing w:line="180" w:lineRule="exact"/>
              <w:rPr>
                <w:sz w:val="14"/>
                <w:szCs w:val="14"/>
              </w:rPr>
            </w:pPr>
          </w:p>
        </w:tc>
        <w:tc>
          <w:tcPr>
            <w:tcW w:w="113" w:type="dxa"/>
          </w:tcPr>
          <w:p w14:paraId="5A814BFC"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2D4CF231" w14:textId="77777777" w:rsidR="000E53E9" w:rsidRPr="00435B3C" w:rsidRDefault="000E53E9" w:rsidP="000E53E9">
            <w:pPr>
              <w:tabs>
                <w:tab w:val="decimal" w:pos="113"/>
              </w:tabs>
              <w:spacing w:line="180" w:lineRule="exact"/>
              <w:rPr>
                <w:sz w:val="14"/>
                <w:szCs w:val="14"/>
              </w:rPr>
            </w:pPr>
          </w:p>
        </w:tc>
        <w:tc>
          <w:tcPr>
            <w:tcW w:w="113" w:type="dxa"/>
            <w:vAlign w:val="bottom"/>
          </w:tcPr>
          <w:p w14:paraId="7BF40E00"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5CCA0BC9" w14:textId="77777777" w:rsidR="000E53E9" w:rsidRPr="00435B3C" w:rsidRDefault="000E53E9" w:rsidP="000E53E9">
            <w:pPr>
              <w:tabs>
                <w:tab w:val="decimal" w:pos="113"/>
              </w:tabs>
              <w:spacing w:line="180" w:lineRule="exact"/>
              <w:rPr>
                <w:sz w:val="14"/>
                <w:szCs w:val="14"/>
              </w:rPr>
            </w:pPr>
          </w:p>
        </w:tc>
        <w:tc>
          <w:tcPr>
            <w:tcW w:w="113" w:type="dxa"/>
            <w:vAlign w:val="bottom"/>
          </w:tcPr>
          <w:p w14:paraId="4E330C8A"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1774E0E7" w14:textId="77777777" w:rsidR="000E53E9" w:rsidRPr="00435B3C" w:rsidRDefault="000E53E9" w:rsidP="000E53E9">
            <w:pPr>
              <w:tabs>
                <w:tab w:val="decimal" w:pos="113"/>
              </w:tabs>
              <w:spacing w:line="180" w:lineRule="exact"/>
              <w:rPr>
                <w:sz w:val="14"/>
                <w:szCs w:val="14"/>
              </w:rPr>
            </w:pPr>
          </w:p>
        </w:tc>
        <w:tc>
          <w:tcPr>
            <w:tcW w:w="113" w:type="dxa"/>
            <w:vAlign w:val="bottom"/>
          </w:tcPr>
          <w:p w14:paraId="79E4BE6E"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576A6ADC" w14:textId="77777777" w:rsidR="000E53E9" w:rsidRPr="00435B3C" w:rsidRDefault="000E53E9" w:rsidP="000E53E9">
            <w:pPr>
              <w:tabs>
                <w:tab w:val="decimal" w:pos="113"/>
              </w:tabs>
              <w:spacing w:line="180" w:lineRule="exact"/>
              <w:rPr>
                <w:sz w:val="14"/>
                <w:szCs w:val="14"/>
              </w:rPr>
            </w:pPr>
          </w:p>
        </w:tc>
        <w:tc>
          <w:tcPr>
            <w:tcW w:w="113" w:type="dxa"/>
            <w:vAlign w:val="bottom"/>
          </w:tcPr>
          <w:p w14:paraId="28925F27"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12591DD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7FDB275B"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581D53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0DE05FC"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50986E4F"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2CCBDC5"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0398E5B8"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BB16B56"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006F8227" w14:textId="77777777" w:rsidR="000E53E9" w:rsidRPr="00435B3C" w:rsidRDefault="000E53E9" w:rsidP="000E53E9">
            <w:pPr>
              <w:tabs>
                <w:tab w:val="decimal" w:pos="113"/>
              </w:tabs>
              <w:spacing w:line="180" w:lineRule="exact"/>
              <w:rPr>
                <w:sz w:val="14"/>
                <w:szCs w:val="14"/>
              </w:rPr>
            </w:pPr>
          </w:p>
        </w:tc>
        <w:tc>
          <w:tcPr>
            <w:tcW w:w="113" w:type="dxa"/>
            <w:vAlign w:val="bottom"/>
          </w:tcPr>
          <w:p w14:paraId="50E0B413"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57690AF1" w14:textId="77777777" w:rsidR="000E53E9" w:rsidRPr="00435B3C" w:rsidRDefault="000E53E9" w:rsidP="000E53E9">
            <w:pPr>
              <w:tabs>
                <w:tab w:val="decimal" w:pos="113"/>
              </w:tabs>
              <w:spacing w:line="180" w:lineRule="exact"/>
              <w:rPr>
                <w:sz w:val="14"/>
                <w:szCs w:val="14"/>
              </w:rPr>
            </w:pPr>
          </w:p>
        </w:tc>
        <w:tc>
          <w:tcPr>
            <w:tcW w:w="113" w:type="dxa"/>
            <w:vAlign w:val="bottom"/>
          </w:tcPr>
          <w:p w14:paraId="73D5989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644AC46C" w14:textId="77777777" w:rsidR="000E53E9" w:rsidRPr="00435B3C" w:rsidRDefault="000E53E9" w:rsidP="000E53E9">
            <w:pPr>
              <w:tabs>
                <w:tab w:val="decimal" w:pos="113"/>
              </w:tabs>
              <w:spacing w:line="180" w:lineRule="exact"/>
              <w:rPr>
                <w:sz w:val="14"/>
                <w:szCs w:val="14"/>
              </w:rPr>
            </w:pPr>
          </w:p>
        </w:tc>
        <w:tc>
          <w:tcPr>
            <w:tcW w:w="113" w:type="dxa"/>
          </w:tcPr>
          <w:p w14:paraId="235E43AB"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7256C831" w14:textId="77777777" w:rsidR="000E53E9" w:rsidRPr="00435B3C" w:rsidRDefault="000E53E9" w:rsidP="000E53E9">
            <w:pPr>
              <w:tabs>
                <w:tab w:val="decimal" w:pos="113"/>
              </w:tabs>
              <w:spacing w:line="180" w:lineRule="exact"/>
              <w:rPr>
                <w:sz w:val="14"/>
                <w:szCs w:val="14"/>
              </w:rPr>
            </w:pPr>
          </w:p>
        </w:tc>
      </w:tr>
      <w:tr w:rsidR="000E53E9" w:rsidRPr="00435B3C" w14:paraId="04D36892" w14:textId="77777777" w:rsidTr="00435B3C">
        <w:trPr>
          <w:trHeight w:val="53"/>
        </w:trPr>
        <w:tc>
          <w:tcPr>
            <w:tcW w:w="972" w:type="dxa"/>
            <w:vMerge w:val="restart"/>
            <w:tcBorders>
              <w:bottom w:val="single" w:sz="4" w:space="0" w:color="auto"/>
              <w:right w:val="single" w:sz="4" w:space="0" w:color="auto"/>
            </w:tcBorders>
            <w:vAlign w:val="center"/>
          </w:tcPr>
          <w:p w14:paraId="039FD6E5" w14:textId="77777777" w:rsidR="000E53E9" w:rsidRPr="00224C22" w:rsidRDefault="000E53E9" w:rsidP="000E53E9">
            <w:pPr>
              <w:bidi w:val="0"/>
              <w:spacing w:line="140" w:lineRule="exact"/>
              <w:ind w:left="227" w:right="110" w:hanging="170"/>
              <w:jc w:val="right"/>
              <w:rPr>
                <w:i/>
                <w:iCs/>
                <w:sz w:val="12"/>
                <w:szCs w:val="12"/>
                <w:rtl/>
              </w:rPr>
            </w:pPr>
            <w:r w:rsidRPr="00224C22">
              <w:rPr>
                <w:i/>
                <w:iCs/>
                <w:sz w:val="12"/>
                <w:szCs w:val="12"/>
              </w:rPr>
              <w:t>IAS 1.106(d)(iii)</w:t>
            </w:r>
          </w:p>
        </w:tc>
        <w:tc>
          <w:tcPr>
            <w:tcW w:w="2682" w:type="dxa"/>
            <w:tcBorders>
              <w:left w:val="single" w:sz="4" w:space="0" w:color="auto"/>
            </w:tcBorders>
            <w:vAlign w:val="bottom"/>
          </w:tcPr>
          <w:p w14:paraId="2603B88E"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רכישת זכויות שאינן מקנות שליטה</w:t>
            </w:r>
          </w:p>
        </w:tc>
        <w:tc>
          <w:tcPr>
            <w:tcW w:w="113" w:type="dxa"/>
            <w:vAlign w:val="bottom"/>
          </w:tcPr>
          <w:p w14:paraId="77CBDD40"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62F3CCE5"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3E0855B8"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60CD363B"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3BA64CBA"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75DA467F" w14:textId="77777777" w:rsidR="000E53E9" w:rsidRPr="00435B3C" w:rsidRDefault="000E53E9" w:rsidP="000E53E9">
            <w:pPr>
              <w:tabs>
                <w:tab w:val="decimal" w:pos="113"/>
              </w:tabs>
              <w:spacing w:line="180" w:lineRule="exact"/>
              <w:rPr>
                <w:sz w:val="14"/>
                <w:szCs w:val="14"/>
              </w:rPr>
            </w:pPr>
          </w:p>
        </w:tc>
        <w:tc>
          <w:tcPr>
            <w:tcW w:w="113" w:type="dxa"/>
          </w:tcPr>
          <w:p w14:paraId="51CF688D"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1CEAD127" w14:textId="77777777" w:rsidR="000E53E9" w:rsidRPr="00435B3C" w:rsidRDefault="000E53E9" w:rsidP="000E53E9">
            <w:pPr>
              <w:tabs>
                <w:tab w:val="decimal" w:pos="113"/>
              </w:tabs>
              <w:spacing w:line="180" w:lineRule="exact"/>
              <w:rPr>
                <w:sz w:val="14"/>
                <w:szCs w:val="14"/>
              </w:rPr>
            </w:pPr>
          </w:p>
        </w:tc>
        <w:tc>
          <w:tcPr>
            <w:tcW w:w="113" w:type="dxa"/>
          </w:tcPr>
          <w:p w14:paraId="7766762B"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30D047E2" w14:textId="77777777" w:rsidR="000E53E9" w:rsidRPr="00435B3C" w:rsidRDefault="000E53E9" w:rsidP="000E53E9">
            <w:pPr>
              <w:tabs>
                <w:tab w:val="decimal" w:pos="113"/>
              </w:tabs>
              <w:spacing w:line="180" w:lineRule="exact"/>
              <w:rPr>
                <w:sz w:val="14"/>
                <w:szCs w:val="14"/>
              </w:rPr>
            </w:pPr>
          </w:p>
        </w:tc>
        <w:tc>
          <w:tcPr>
            <w:tcW w:w="113" w:type="dxa"/>
            <w:vAlign w:val="bottom"/>
          </w:tcPr>
          <w:p w14:paraId="4162711C"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789A0800" w14:textId="77777777" w:rsidR="000E53E9" w:rsidRPr="00435B3C" w:rsidRDefault="000E53E9" w:rsidP="000E53E9">
            <w:pPr>
              <w:tabs>
                <w:tab w:val="decimal" w:pos="113"/>
              </w:tabs>
              <w:spacing w:line="180" w:lineRule="exact"/>
              <w:rPr>
                <w:sz w:val="14"/>
                <w:szCs w:val="14"/>
              </w:rPr>
            </w:pPr>
          </w:p>
        </w:tc>
        <w:tc>
          <w:tcPr>
            <w:tcW w:w="113" w:type="dxa"/>
            <w:vAlign w:val="bottom"/>
          </w:tcPr>
          <w:p w14:paraId="4831D71E"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3B168220" w14:textId="77777777" w:rsidR="000E53E9" w:rsidRPr="00435B3C" w:rsidRDefault="000E53E9" w:rsidP="000E53E9">
            <w:pPr>
              <w:tabs>
                <w:tab w:val="decimal" w:pos="113"/>
              </w:tabs>
              <w:spacing w:line="180" w:lineRule="exact"/>
              <w:rPr>
                <w:sz w:val="14"/>
                <w:szCs w:val="14"/>
              </w:rPr>
            </w:pPr>
          </w:p>
        </w:tc>
        <w:tc>
          <w:tcPr>
            <w:tcW w:w="113" w:type="dxa"/>
            <w:vAlign w:val="bottom"/>
          </w:tcPr>
          <w:p w14:paraId="698AD28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0DBA6047" w14:textId="77777777" w:rsidR="000E53E9" w:rsidRPr="00435B3C" w:rsidRDefault="000E53E9" w:rsidP="000E53E9">
            <w:pPr>
              <w:tabs>
                <w:tab w:val="decimal" w:pos="113"/>
              </w:tabs>
              <w:spacing w:line="180" w:lineRule="exact"/>
              <w:rPr>
                <w:sz w:val="14"/>
                <w:szCs w:val="14"/>
              </w:rPr>
            </w:pPr>
          </w:p>
        </w:tc>
        <w:tc>
          <w:tcPr>
            <w:tcW w:w="113" w:type="dxa"/>
            <w:vAlign w:val="bottom"/>
          </w:tcPr>
          <w:p w14:paraId="420C4D39"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6CFB5DD8"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24C1505"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BCF038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FC66FE4"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4ABF4A41"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79083F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6E2296B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FFC75A5"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33A1754" w14:textId="77777777" w:rsidR="000E53E9" w:rsidRPr="00435B3C" w:rsidRDefault="000E53E9" w:rsidP="000E53E9">
            <w:pPr>
              <w:tabs>
                <w:tab w:val="decimal" w:pos="113"/>
              </w:tabs>
              <w:spacing w:line="180" w:lineRule="exact"/>
              <w:rPr>
                <w:sz w:val="14"/>
                <w:szCs w:val="14"/>
              </w:rPr>
            </w:pPr>
          </w:p>
        </w:tc>
        <w:tc>
          <w:tcPr>
            <w:tcW w:w="113" w:type="dxa"/>
            <w:vAlign w:val="bottom"/>
          </w:tcPr>
          <w:p w14:paraId="769DC9EE"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1E589631" w14:textId="77777777" w:rsidR="000E53E9" w:rsidRPr="00435B3C" w:rsidRDefault="000E53E9" w:rsidP="000E53E9">
            <w:pPr>
              <w:tabs>
                <w:tab w:val="decimal" w:pos="113"/>
              </w:tabs>
              <w:spacing w:line="180" w:lineRule="exact"/>
              <w:rPr>
                <w:sz w:val="14"/>
                <w:szCs w:val="14"/>
              </w:rPr>
            </w:pPr>
          </w:p>
        </w:tc>
        <w:tc>
          <w:tcPr>
            <w:tcW w:w="113" w:type="dxa"/>
            <w:vAlign w:val="bottom"/>
          </w:tcPr>
          <w:p w14:paraId="47868A7A"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0F7B3866" w14:textId="77777777" w:rsidR="000E53E9" w:rsidRPr="00435B3C" w:rsidRDefault="000E53E9" w:rsidP="000E53E9">
            <w:pPr>
              <w:tabs>
                <w:tab w:val="decimal" w:pos="113"/>
              </w:tabs>
              <w:spacing w:line="180" w:lineRule="exact"/>
              <w:rPr>
                <w:sz w:val="14"/>
                <w:szCs w:val="14"/>
              </w:rPr>
            </w:pPr>
          </w:p>
        </w:tc>
        <w:tc>
          <w:tcPr>
            <w:tcW w:w="113" w:type="dxa"/>
          </w:tcPr>
          <w:p w14:paraId="052F5EE0"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0557653C" w14:textId="77777777" w:rsidR="000E53E9" w:rsidRPr="00435B3C" w:rsidRDefault="000E53E9" w:rsidP="000E53E9">
            <w:pPr>
              <w:tabs>
                <w:tab w:val="decimal" w:pos="113"/>
              </w:tabs>
              <w:spacing w:line="180" w:lineRule="exact"/>
              <w:rPr>
                <w:sz w:val="14"/>
                <w:szCs w:val="14"/>
              </w:rPr>
            </w:pPr>
          </w:p>
        </w:tc>
      </w:tr>
      <w:tr w:rsidR="000E53E9" w:rsidRPr="00435B3C" w14:paraId="229B3078" w14:textId="77777777" w:rsidTr="00435B3C">
        <w:tc>
          <w:tcPr>
            <w:tcW w:w="972" w:type="dxa"/>
            <w:vMerge/>
            <w:tcBorders>
              <w:bottom w:val="single" w:sz="4" w:space="0" w:color="auto"/>
              <w:right w:val="single" w:sz="4" w:space="0" w:color="auto"/>
            </w:tcBorders>
            <w:vAlign w:val="center"/>
          </w:tcPr>
          <w:p w14:paraId="3D5F5E3D" w14:textId="77777777" w:rsidR="000E53E9" w:rsidRPr="00224C22" w:rsidRDefault="000E53E9" w:rsidP="000E53E9">
            <w:pPr>
              <w:widowControl/>
              <w:bidi w:val="0"/>
              <w:spacing w:line="140" w:lineRule="exact"/>
              <w:ind w:right="110"/>
              <w:jc w:val="right"/>
              <w:rPr>
                <w:i/>
                <w:iCs/>
                <w:sz w:val="12"/>
                <w:szCs w:val="12"/>
                <w:rtl/>
              </w:rPr>
            </w:pPr>
          </w:p>
        </w:tc>
        <w:tc>
          <w:tcPr>
            <w:tcW w:w="2682" w:type="dxa"/>
            <w:tcBorders>
              <w:left w:val="single" w:sz="4" w:space="0" w:color="auto"/>
            </w:tcBorders>
            <w:vAlign w:val="bottom"/>
          </w:tcPr>
          <w:p w14:paraId="0EAF22A7"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זכויות שאינן מקנות שליטה שנוצרו בחברות שאוחדו לראשונה</w:t>
            </w:r>
          </w:p>
        </w:tc>
        <w:tc>
          <w:tcPr>
            <w:tcW w:w="113" w:type="dxa"/>
            <w:vAlign w:val="bottom"/>
          </w:tcPr>
          <w:p w14:paraId="6FD127FF"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45F85ED8"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645B4C06"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1D806DEE"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305FE94"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780459AA" w14:textId="77777777" w:rsidR="000E53E9" w:rsidRPr="00435B3C" w:rsidRDefault="000E53E9" w:rsidP="000E53E9">
            <w:pPr>
              <w:tabs>
                <w:tab w:val="decimal" w:pos="113"/>
              </w:tabs>
              <w:spacing w:line="180" w:lineRule="exact"/>
              <w:rPr>
                <w:sz w:val="14"/>
                <w:szCs w:val="14"/>
              </w:rPr>
            </w:pPr>
          </w:p>
        </w:tc>
        <w:tc>
          <w:tcPr>
            <w:tcW w:w="113" w:type="dxa"/>
          </w:tcPr>
          <w:p w14:paraId="59F0D028"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066E830C" w14:textId="77777777" w:rsidR="000E53E9" w:rsidRPr="00435B3C" w:rsidRDefault="000E53E9" w:rsidP="000E53E9">
            <w:pPr>
              <w:tabs>
                <w:tab w:val="decimal" w:pos="113"/>
              </w:tabs>
              <w:spacing w:line="180" w:lineRule="exact"/>
              <w:rPr>
                <w:sz w:val="14"/>
                <w:szCs w:val="14"/>
              </w:rPr>
            </w:pPr>
          </w:p>
        </w:tc>
        <w:tc>
          <w:tcPr>
            <w:tcW w:w="113" w:type="dxa"/>
          </w:tcPr>
          <w:p w14:paraId="58A62824"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795EE389" w14:textId="77777777" w:rsidR="000E53E9" w:rsidRPr="00435B3C" w:rsidRDefault="000E53E9" w:rsidP="000E53E9">
            <w:pPr>
              <w:tabs>
                <w:tab w:val="decimal" w:pos="113"/>
              </w:tabs>
              <w:spacing w:line="180" w:lineRule="exact"/>
              <w:rPr>
                <w:sz w:val="14"/>
                <w:szCs w:val="14"/>
              </w:rPr>
            </w:pPr>
          </w:p>
        </w:tc>
        <w:tc>
          <w:tcPr>
            <w:tcW w:w="113" w:type="dxa"/>
            <w:vAlign w:val="bottom"/>
          </w:tcPr>
          <w:p w14:paraId="484C05A4"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27813C9F" w14:textId="77777777" w:rsidR="000E53E9" w:rsidRPr="00435B3C" w:rsidRDefault="000E53E9" w:rsidP="000E53E9">
            <w:pPr>
              <w:tabs>
                <w:tab w:val="decimal" w:pos="113"/>
              </w:tabs>
              <w:spacing w:line="180" w:lineRule="exact"/>
              <w:rPr>
                <w:sz w:val="14"/>
                <w:szCs w:val="14"/>
              </w:rPr>
            </w:pPr>
          </w:p>
        </w:tc>
        <w:tc>
          <w:tcPr>
            <w:tcW w:w="113" w:type="dxa"/>
            <w:vAlign w:val="bottom"/>
          </w:tcPr>
          <w:p w14:paraId="23FF63A6"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179EA083" w14:textId="77777777" w:rsidR="000E53E9" w:rsidRPr="00435B3C" w:rsidRDefault="000E53E9" w:rsidP="000E53E9">
            <w:pPr>
              <w:tabs>
                <w:tab w:val="decimal" w:pos="113"/>
              </w:tabs>
              <w:spacing w:line="180" w:lineRule="exact"/>
              <w:rPr>
                <w:sz w:val="14"/>
                <w:szCs w:val="14"/>
              </w:rPr>
            </w:pPr>
          </w:p>
        </w:tc>
        <w:tc>
          <w:tcPr>
            <w:tcW w:w="113" w:type="dxa"/>
            <w:vAlign w:val="bottom"/>
          </w:tcPr>
          <w:p w14:paraId="3B8086D3"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4CC12032" w14:textId="77777777" w:rsidR="000E53E9" w:rsidRPr="00435B3C" w:rsidRDefault="000E53E9" w:rsidP="000E53E9">
            <w:pPr>
              <w:tabs>
                <w:tab w:val="decimal" w:pos="113"/>
              </w:tabs>
              <w:spacing w:line="180" w:lineRule="exact"/>
              <w:rPr>
                <w:sz w:val="14"/>
                <w:szCs w:val="14"/>
              </w:rPr>
            </w:pPr>
          </w:p>
        </w:tc>
        <w:tc>
          <w:tcPr>
            <w:tcW w:w="113" w:type="dxa"/>
            <w:vAlign w:val="bottom"/>
          </w:tcPr>
          <w:p w14:paraId="27FD0C4F"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31CE0CFD"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8D51B07"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27AC29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A872B84"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1E9D1D9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C847A34"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150E2A6"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713D844"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F5C7A00" w14:textId="77777777" w:rsidR="000E53E9" w:rsidRPr="00435B3C" w:rsidRDefault="000E53E9" w:rsidP="000E53E9">
            <w:pPr>
              <w:tabs>
                <w:tab w:val="decimal" w:pos="113"/>
              </w:tabs>
              <w:spacing w:line="180" w:lineRule="exact"/>
              <w:rPr>
                <w:sz w:val="14"/>
                <w:szCs w:val="14"/>
              </w:rPr>
            </w:pPr>
          </w:p>
        </w:tc>
        <w:tc>
          <w:tcPr>
            <w:tcW w:w="113" w:type="dxa"/>
            <w:vAlign w:val="bottom"/>
          </w:tcPr>
          <w:p w14:paraId="59C12EE9"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63318379" w14:textId="77777777" w:rsidR="000E53E9" w:rsidRPr="00435B3C" w:rsidRDefault="000E53E9" w:rsidP="000E53E9">
            <w:pPr>
              <w:tabs>
                <w:tab w:val="decimal" w:pos="113"/>
              </w:tabs>
              <w:spacing w:line="180" w:lineRule="exact"/>
              <w:rPr>
                <w:sz w:val="14"/>
                <w:szCs w:val="14"/>
              </w:rPr>
            </w:pPr>
          </w:p>
        </w:tc>
        <w:tc>
          <w:tcPr>
            <w:tcW w:w="113" w:type="dxa"/>
            <w:vAlign w:val="bottom"/>
          </w:tcPr>
          <w:p w14:paraId="7D8DA932"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EA0E71D" w14:textId="77777777" w:rsidR="000E53E9" w:rsidRPr="00435B3C" w:rsidRDefault="000E53E9" w:rsidP="000E53E9">
            <w:pPr>
              <w:tabs>
                <w:tab w:val="decimal" w:pos="113"/>
              </w:tabs>
              <w:spacing w:line="180" w:lineRule="exact"/>
              <w:rPr>
                <w:sz w:val="14"/>
                <w:szCs w:val="14"/>
              </w:rPr>
            </w:pPr>
          </w:p>
        </w:tc>
        <w:tc>
          <w:tcPr>
            <w:tcW w:w="113" w:type="dxa"/>
          </w:tcPr>
          <w:p w14:paraId="3DCF186E"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4CE90615" w14:textId="77777777" w:rsidR="000E53E9" w:rsidRPr="00435B3C" w:rsidRDefault="000E53E9" w:rsidP="000E53E9">
            <w:pPr>
              <w:tabs>
                <w:tab w:val="decimal" w:pos="113"/>
              </w:tabs>
              <w:spacing w:line="180" w:lineRule="exact"/>
              <w:rPr>
                <w:sz w:val="14"/>
                <w:szCs w:val="14"/>
              </w:rPr>
            </w:pPr>
          </w:p>
        </w:tc>
      </w:tr>
      <w:tr w:rsidR="000E53E9" w:rsidRPr="00435B3C" w14:paraId="53358D71" w14:textId="77777777" w:rsidTr="00435B3C">
        <w:tc>
          <w:tcPr>
            <w:tcW w:w="972" w:type="dxa"/>
            <w:vMerge/>
            <w:tcBorders>
              <w:bottom w:val="single" w:sz="4" w:space="0" w:color="auto"/>
              <w:right w:val="single" w:sz="4" w:space="0" w:color="auto"/>
            </w:tcBorders>
            <w:vAlign w:val="center"/>
          </w:tcPr>
          <w:p w14:paraId="369F2118" w14:textId="77777777" w:rsidR="000E53E9" w:rsidRPr="00224C22" w:rsidRDefault="000E53E9" w:rsidP="000E53E9">
            <w:pPr>
              <w:pStyle w:val="a3"/>
              <w:bidi w:val="0"/>
              <w:spacing w:line="140" w:lineRule="exact"/>
              <w:ind w:right="110"/>
              <w:jc w:val="right"/>
              <w:rPr>
                <w:i/>
                <w:iCs/>
                <w:sz w:val="12"/>
                <w:szCs w:val="12"/>
                <w:rtl/>
              </w:rPr>
            </w:pPr>
          </w:p>
        </w:tc>
        <w:tc>
          <w:tcPr>
            <w:tcW w:w="2682" w:type="dxa"/>
            <w:tcBorders>
              <w:left w:val="single" w:sz="4" w:space="0" w:color="auto"/>
            </w:tcBorders>
            <w:vAlign w:val="bottom"/>
          </w:tcPr>
          <w:p w14:paraId="11C563B9"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יציאה מאיחוד של חברה מאוחדת</w:t>
            </w:r>
          </w:p>
        </w:tc>
        <w:tc>
          <w:tcPr>
            <w:tcW w:w="113" w:type="dxa"/>
            <w:vAlign w:val="bottom"/>
          </w:tcPr>
          <w:p w14:paraId="5C8F670E"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04715C6E"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0BF3A15C"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1C81FF25"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4225F52D"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453B84CE" w14:textId="77777777" w:rsidR="000E53E9" w:rsidRPr="00435B3C" w:rsidRDefault="000E53E9" w:rsidP="000E53E9">
            <w:pPr>
              <w:tabs>
                <w:tab w:val="decimal" w:pos="113"/>
              </w:tabs>
              <w:spacing w:line="180" w:lineRule="exact"/>
              <w:rPr>
                <w:sz w:val="14"/>
                <w:szCs w:val="14"/>
              </w:rPr>
            </w:pPr>
          </w:p>
        </w:tc>
        <w:tc>
          <w:tcPr>
            <w:tcW w:w="113" w:type="dxa"/>
          </w:tcPr>
          <w:p w14:paraId="1762BB4A"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41B7C14D" w14:textId="77777777" w:rsidR="000E53E9" w:rsidRPr="00435B3C" w:rsidRDefault="000E53E9" w:rsidP="000E53E9">
            <w:pPr>
              <w:tabs>
                <w:tab w:val="decimal" w:pos="113"/>
              </w:tabs>
              <w:spacing w:line="180" w:lineRule="exact"/>
              <w:rPr>
                <w:sz w:val="14"/>
                <w:szCs w:val="14"/>
              </w:rPr>
            </w:pPr>
          </w:p>
        </w:tc>
        <w:tc>
          <w:tcPr>
            <w:tcW w:w="113" w:type="dxa"/>
          </w:tcPr>
          <w:p w14:paraId="417F8263"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53B9DA85" w14:textId="77777777" w:rsidR="000E53E9" w:rsidRPr="00435B3C" w:rsidRDefault="000E53E9" w:rsidP="000E53E9">
            <w:pPr>
              <w:tabs>
                <w:tab w:val="decimal" w:pos="113"/>
              </w:tabs>
              <w:spacing w:line="180" w:lineRule="exact"/>
              <w:rPr>
                <w:sz w:val="14"/>
                <w:szCs w:val="14"/>
              </w:rPr>
            </w:pPr>
          </w:p>
        </w:tc>
        <w:tc>
          <w:tcPr>
            <w:tcW w:w="113" w:type="dxa"/>
            <w:vAlign w:val="bottom"/>
          </w:tcPr>
          <w:p w14:paraId="1C00EFE5"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6AFFD3EB" w14:textId="77777777" w:rsidR="000E53E9" w:rsidRPr="00435B3C" w:rsidRDefault="000E53E9" w:rsidP="000E53E9">
            <w:pPr>
              <w:tabs>
                <w:tab w:val="decimal" w:pos="113"/>
              </w:tabs>
              <w:spacing w:line="180" w:lineRule="exact"/>
              <w:rPr>
                <w:sz w:val="14"/>
                <w:szCs w:val="14"/>
              </w:rPr>
            </w:pPr>
          </w:p>
        </w:tc>
        <w:tc>
          <w:tcPr>
            <w:tcW w:w="113" w:type="dxa"/>
            <w:vAlign w:val="bottom"/>
          </w:tcPr>
          <w:p w14:paraId="7371D342"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70C2729A" w14:textId="77777777" w:rsidR="000E53E9" w:rsidRPr="00435B3C" w:rsidRDefault="000E53E9" w:rsidP="000E53E9">
            <w:pPr>
              <w:tabs>
                <w:tab w:val="decimal" w:pos="113"/>
              </w:tabs>
              <w:spacing w:line="180" w:lineRule="exact"/>
              <w:rPr>
                <w:sz w:val="14"/>
                <w:szCs w:val="14"/>
              </w:rPr>
            </w:pPr>
          </w:p>
        </w:tc>
        <w:tc>
          <w:tcPr>
            <w:tcW w:w="113" w:type="dxa"/>
            <w:vAlign w:val="bottom"/>
          </w:tcPr>
          <w:p w14:paraId="6EB35FE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7271FDCC" w14:textId="77777777" w:rsidR="000E53E9" w:rsidRPr="00435B3C" w:rsidRDefault="000E53E9" w:rsidP="000E53E9">
            <w:pPr>
              <w:tabs>
                <w:tab w:val="decimal" w:pos="113"/>
              </w:tabs>
              <w:spacing w:line="180" w:lineRule="exact"/>
              <w:rPr>
                <w:sz w:val="14"/>
                <w:szCs w:val="14"/>
              </w:rPr>
            </w:pPr>
          </w:p>
        </w:tc>
        <w:tc>
          <w:tcPr>
            <w:tcW w:w="113" w:type="dxa"/>
            <w:vAlign w:val="bottom"/>
          </w:tcPr>
          <w:p w14:paraId="1A226AD5"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35691A43"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C214E9D"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44D1A17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92B6609"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50F63605"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08333FD"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46E200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FD00323"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4A1537F2" w14:textId="77777777" w:rsidR="000E53E9" w:rsidRPr="00435B3C" w:rsidRDefault="000E53E9" w:rsidP="000E53E9">
            <w:pPr>
              <w:tabs>
                <w:tab w:val="decimal" w:pos="113"/>
              </w:tabs>
              <w:spacing w:line="180" w:lineRule="exact"/>
              <w:rPr>
                <w:sz w:val="14"/>
                <w:szCs w:val="14"/>
              </w:rPr>
            </w:pPr>
          </w:p>
        </w:tc>
        <w:tc>
          <w:tcPr>
            <w:tcW w:w="113" w:type="dxa"/>
            <w:vAlign w:val="bottom"/>
          </w:tcPr>
          <w:p w14:paraId="2B101DC6"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24530D1F" w14:textId="77777777" w:rsidR="000E53E9" w:rsidRPr="00435B3C" w:rsidRDefault="000E53E9" w:rsidP="000E53E9">
            <w:pPr>
              <w:tabs>
                <w:tab w:val="decimal" w:pos="113"/>
              </w:tabs>
              <w:spacing w:line="180" w:lineRule="exact"/>
              <w:rPr>
                <w:sz w:val="14"/>
                <w:szCs w:val="14"/>
              </w:rPr>
            </w:pPr>
          </w:p>
        </w:tc>
        <w:tc>
          <w:tcPr>
            <w:tcW w:w="113" w:type="dxa"/>
            <w:vAlign w:val="bottom"/>
          </w:tcPr>
          <w:p w14:paraId="212B3016"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10E07CF5" w14:textId="77777777" w:rsidR="000E53E9" w:rsidRPr="00435B3C" w:rsidRDefault="000E53E9" w:rsidP="000E53E9">
            <w:pPr>
              <w:tabs>
                <w:tab w:val="decimal" w:pos="113"/>
              </w:tabs>
              <w:spacing w:line="180" w:lineRule="exact"/>
              <w:rPr>
                <w:sz w:val="14"/>
                <w:szCs w:val="14"/>
              </w:rPr>
            </w:pPr>
          </w:p>
        </w:tc>
        <w:tc>
          <w:tcPr>
            <w:tcW w:w="113" w:type="dxa"/>
          </w:tcPr>
          <w:p w14:paraId="0F2688FE"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54621E69" w14:textId="77777777" w:rsidR="000E53E9" w:rsidRPr="00435B3C" w:rsidRDefault="000E53E9" w:rsidP="000E53E9">
            <w:pPr>
              <w:tabs>
                <w:tab w:val="decimal" w:pos="113"/>
              </w:tabs>
              <w:spacing w:line="180" w:lineRule="exact"/>
              <w:rPr>
                <w:sz w:val="14"/>
                <w:szCs w:val="14"/>
              </w:rPr>
            </w:pPr>
          </w:p>
        </w:tc>
      </w:tr>
      <w:tr w:rsidR="000E53E9" w:rsidRPr="00435B3C" w14:paraId="7094490A" w14:textId="77777777" w:rsidTr="00435B3C">
        <w:tc>
          <w:tcPr>
            <w:tcW w:w="972" w:type="dxa"/>
            <w:vMerge/>
            <w:tcBorders>
              <w:bottom w:val="single" w:sz="4" w:space="0" w:color="auto"/>
              <w:right w:val="single" w:sz="4" w:space="0" w:color="auto"/>
            </w:tcBorders>
          </w:tcPr>
          <w:p w14:paraId="48800616" w14:textId="77777777" w:rsidR="000E53E9" w:rsidRPr="00224C22" w:rsidRDefault="000E53E9" w:rsidP="000E53E9">
            <w:pPr>
              <w:spacing w:line="140" w:lineRule="exact"/>
              <w:ind w:left="227" w:hanging="170"/>
              <w:jc w:val="left"/>
              <w:rPr>
                <w:sz w:val="12"/>
                <w:szCs w:val="12"/>
                <w:rtl/>
              </w:rPr>
            </w:pPr>
          </w:p>
        </w:tc>
        <w:tc>
          <w:tcPr>
            <w:tcW w:w="2682" w:type="dxa"/>
            <w:tcBorders>
              <w:left w:val="single" w:sz="4" w:space="0" w:color="auto"/>
            </w:tcBorders>
            <w:vAlign w:val="bottom"/>
          </w:tcPr>
          <w:p w14:paraId="72765241"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דיבידנד לבעלי זכויות שאינן מקנות שליטה</w:t>
            </w:r>
          </w:p>
        </w:tc>
        <w:tc>
          <w:tcPr>
            <w:tcW w:w="113" w:type="dxa"/>
            <w:vAlign w:val="bottom"/>
          </w:tcPr>
          <w:p w14:paraId="403E86C4" w14:textId="77777777" w:rsidR="000E53E9" w:rsidRPr="00435B3C" w:rsidRDefault="000E53E9" w:rsidP="000E53E9">
            <w:pPr>
              <w:spacing w:line="180" w:lineRule="exact"/>
              <w:jc w:val="left"/>
              <w:rPr>
                <w:sz w:val="14"/>
                <w:szCs w:val="14"/>
              </w:rPr>
            </w:pPr>
          </w:p>
        </w:tc>
        <w:tc>
          <w:tcPr>
            <w:tcW w:w="621" w:type="dxa"/>
            <w:tcBorders>
              <w:left w:val="nil"/>
              <w:bottom w:val="single" w:sz="6" w:space="0" w:color="auto"/>
              <w:right w:val="nil"/>
            </w:tcBorders>
            <w:shd w:val="clear" w:color="auto" w:fill="auto"/>
            <w:vAlign w:val="bottom"/>
          </w:tcPr>
          <w:p w14:paraId="39C4F07C"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534A925F" w14:textId="77777777" w:rsidR="000E53E9" w:rsidRPr="00435B3C" w:rsidRDefault="000E53E9" w:rsidP="000E53E9">
            <w:pPr>
              <w:tabs>
                <w:tab w:val="decimal" w:pos="113"/>
              </w:tabs>
              <w:spacing w:line="180" w:lineRule="exact"/>
              <w:jc w:val="left"/>
              <w:rPr>
                <w:sz w:val="14"/>
                <w:szCs w:val="14"/>
              </w:rPr>
            </w:pPr>
          </w:p>
        </w:tc>
        <w:tc>
          <w:tcPr>
            <w:tcW w:w="621" w:type="dxa"/>
            <w:tcBorders>
              <w:left w:val="nil"/>
              <w:bottom w:val="single" w:sz="6" w:space="0" w:color="auto"/>
              <w:right w:val="nil"/>
            </w:tcBorders>
            <w:shd w:val="clear" w:color="auto" w:fill="auto"/>
            <w:vAlign w:val="bottom"/>
          </w:tcPr>
          <w:p w14:paraId="6EDE31BB"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5D26D05D"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35145C53" w14:textId="77777777" w:rsidR="000E53E9" w:rsidRPr="00435B3C" w:rsidRDefault="000E53E9" w:rsidP="000E53E9">
            <w:pPr>
              <w:tabs>
                <w:tab w:val="decimal" w:pos="113"/>
              </w:tabs>
              <w:spacing w:line="180" w:lineRule="exact"/>
              <w:rPr>
                <w:sz w:val="14"/>
                <w:szCs w:val="14"/>
              </w:rPr>
            </w:pPr>
          </w:p>
        </w:tc>
        <w:tc>
          <w:tcPr>
            <w:tcW w:w="113" w:type="dxa"/>
          </w:tcPr>
          <w:p w14:paraId="69269C24"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tcPr>
          <w:p w14:paraId="0940EF91" w14:textId="77777777" w:rsidR="000E53E9" w:rsidRPr="00435B3C" w:rsidRDefault="000E53E9" w:rsidP="000E53E9">
            <w:pPr>
              <w:tabs>
                <w:tab w:val="decimal" w:pos="113"/>
              </w:tabs>
              <w:spacing w:line="180" w:lineRule="exact"/>
              <w:rPr>
                <w:sz w:val="14"/>
                <w:szCs w:val="14"/>
              </w:rPr>
            </w:pPr>
          </w:p>
        </w:tc>
        <w:tc>
          <w:tcPr>
            <w:tcW w:w="113" w:type="dxa"/>
          </w:tcPr>
          <w:p w14:paraId="1B334307"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tcPr>
          <w:p w14:paraId="189F239C" w14:textId="77777777" w:rsidR="000E53E9" w:rsidRPr="00435B3C" w:rsidRDefault="000E53E9" w:rsidP="000E53E9">
            <w:pPr>
              <w:tabs>
                <w:tab w:val="decimal" w:pos="113"/>
              </w:tabs>
              <w:spacing w:line="180" w:lineRule="exact"/>
              <w:rPr>
                <w:sz w:val="14"/>
                <w:szCs w:val="14"/>
              </w:rPr>
            </w:pPr>
          </w:p>
        </w:tc>
        <w:tc>
          <w:tcPr>
            <w:tcW w:w="113" w:type="dxa"/>
            <w:vAlign w:val="bottom"/>
          </w:tcPr>
          <w:p w14:paraId="2C25D6C3" w14:textId="77777777" w:rsidR="000E53E9" w:rsidRPr="00435B3C" w:rsidRDefault="000E53E9" w:rsidP="000E53E9">
            <w:pPr>
              <w:tabs>
                <w:tab w:val="decimal" w:pos="113"/>
              </w:tabs>
              <w:spacing w:line="180" w:lineRule="exact"/>
              <w:rPr>
                <w:sz w:val="14"/>
                <w:szCs w:val="14"/>
              </w:rPr>
            </w:pPr>
          </w:p>
        </w:tc>
        <w:tc>
          <w:tcPr>
            <w:tcW w:w="622" w:type="dxa"/>
            <w:gridSpan w:val="2"/>
            <w:tcBorders>
              <w:left w:val="nil"/>
              <w:bottom w:val="single" w:sz="6" w:space="0" w:color="auto"/>
              <w:right w:val="nil"/>
            </w:tcBorders>
            <w:shd w:val="clear" w:color="auto" w:fill="auto"/>
            <w:vAlign w:val="bottom"/>
          </w:tcPr>
          <w:p w14:paraId="42ACCE6E" w14:textId="77777777" w:rsidR="000E53E9" w:rsidRPr="00435B3C" w:rsidRDefault="000E53E9" w:rsidP="000E53E9">
            <w:pPr>
              <w:tabs>
                <w:tab w:val="decimal" w:pos="113"/>
              </w:tabs>
              <w:spacing w:line="180" w:lineRule="exact"/>
              <w:rPr>
                <w:sz w:val="14"/>
                <w:szCs w:val="14"/>
              </w:rPr>
            </w:pPr>
          </w:p>
        </w:tc>
        <w:tc>
          <w:tcPr>
            <w:tcW w:w="113" w:type="dxa"/>
            <w:vAlign w:val="bottom"/>
          </w:tcPr>
          <w:p w14:paraId="7A7838C2" w14:textId="77777777" w:rsidR="000E53E9" w:rsidRPr="00435B3C" w:rsidRDefault="000E53E9" w:rsidP="000E53E9">
            <w:pPr>
              <w:tabs>
                <w:tab w:val="decimal" w:pos="113"/>
              </w:tabs>
              <w:spacing w:line="180" w:lineRule="exact"/>
              <w:rPr>
                <w:sz w:val="14"/>
                <w:szCs w:val="14"/>
              </w:rPr>
            </w:pPr>
          </w:p>
        </w:tc>
        <w:tc>
          <w:tcPr>
            <w:tcW w:w="734" w:type="dxa"/>
            <w:tcBorders>
              <w:left w:val="nil"/>
              <w:bottom w:val="single" w:sz="6" w:space="0" w:color="auto"/>
              <w:right w:val="nil"/>
            </w:tcBorders>
            <w:shd w:val="clear" w:color="auto" w:fill="auto"/>
            <w:vAlign w:val="bottom"/>
          </w:tcPr>
          <w:p w14:paraId="712672C5" w14:textId="77777777" w:rsidR="000E53E9" w:rsidRPr="00435B3C" w:rsidRDefault="000E53E9" w:rsidP="000E53E9">
            <w:pPr>
              <w:tabs>
                <w:tab w:val="decimal" w:pos="113"/>
              </w:tabs>
              <w:spacing w:line="180" w:lineRule="exact"/>
              <w:rPr>
                <w:sz w:val="14"/>
                <w:szCs w:val="14"/>
              </w:rPr>
            </w:pPr>
          </w:p>
        </w:tc>
        <w:tc>
          <w:tcPr>
            <w:tcW w:w="113" w:type="dxa"/>
            <w:vAlign w:val="bottom"/>
          </w:tcPr>
          <w:p w14:paraId="6B0DD8FD"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0D4A51A2" w14:textId="77777777" w:rsidR="000E53E9" w:rsidRPr="00435B3C" w:rsidRDefault="000E53E9" w:rsidP="000E53E9">
            <w:pPr>
              <w:tabs>
                <w:tab w:val="decimal" w:pos="113"/>
              </w:tabs>
              <w:spacing w:line="180" w:lineRule="exact"/>
              <w:rPr>
                <w:sz w:val="14"/>
                <w:szCs w:val="14"/>
              </w:rPr>
            </w:pPr>
          </w:p>
        </w:tc>
        <w:tc>
          <w:tcPr>
            <w:tcW w:w="113" w:type="dxa"/>
            <w:vAlign w:val="bottom"/>
          </w:tcPr>
          <w:p w14:paraId="772A60BB"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2FCDDE9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7E04B9A"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42C10E2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3484197"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0608EE6A"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FAF0099"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17B6BEDF"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8C53EAC"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220243E2" w14:textId="77777777" w:rsidR="000E53E9" w:rsidRPr="00435B3C" w:rsidRDefault="000E53E9" w:rsidP="000E53E9">
            <w:pPr>
              <w:tabs>
                <w:tab w:val="decimal" w:pos="113"/>
              </w:tabs>
              <w:spacing w:line="180" w:lineRule="exact"/>
              <w:rPr>
                <w:sz w:val="14"/>
                <w:szCs w:val="14"/>
              </w:rPr>
            </w:pPr>
          </w:p>
        </w:tc>
        <w:tc>
          <w:tcPr>
            <w:tcW w:w="113" w:type="dxa"/>
            <w:vAlign w:val="bottom"/>
          </w:tcPr>
          <w:p w14:paraId="4BF30CC4"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463DA8F9" w14:textId="77777777" w:rsidR="000E53E9" w:rsidRPr="00435B3C" w:rsidRDefault="000E53E9" w:rsidP="000E53E9">
            <w:pPr>
              <w:tabs>
                <w:tab w:val="decimal" w:pos="113"/>
              </w:tabs>
              <w:spacing w:line="180" w:lineRule="exact"/>
              <w:rPr>
                <w:sz w:val="14"/>
                <w:szCs w:val="14"/>
              </w:rPr>
            </w:pPr>
          </w:p>
        </w:tc>
        <w:tc>
          <w:tcPr>
            <w:tcW w:w="113" w:type="dxa"/>
            <w:vAlign w:val="bottom"/>
          </w:tcPr>
          <w:p w14:paraId="46883644"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7296B86D" w14:textId="77777777" w:rsidR="000E53E9" w:rsidRPr="00435B3C" w:rsidRDefault="000E53E9" w:rsidP="000E53E9">
            <w:pPr>
              <w:tabs>
                <w:tab w:val="decimal" w:pos="113"/>
              </w:tabs>
              <w:spacing w:line="180" w:lineRule="exact"/>
              <w:rPr>
                <w:sz w:val="14"/>
                <w:szCs w:val="14"/>
              </w:rPr>
            </w:pPr>
          </w:p>
        </w:tc>
        <w:tc>
          <w:tcPr>
            <w:tcW w:w="113" w:type="dxa"/>
          </w:tcPr>
          <w:p w14:paraId="1B2E12C1" w14:textId="77777777" w:rsidR="000E53E9" w:rsidRPr="00435B3C" w:rsidRDefault="000E53E9" w:rsidP="000E53E9">
            <w:pPr>
              <w:tabs>
                <w:tab w:val="decimal" w:pos="113"/>
              </w:tabs>
              <w:spacing w:line="180" w:lineRule="exact"/>
              <w:rPr>
                <w:sz w:val="14"/>
                <w:szCs w:val="14"/>
              </w:rPr>
            </w:pPr>
          </w:p>
        </w:tc>
        <w:tc>
          <w:tcPr>
            <w:tcW w:w="607" w:type="dxa"/>
            <w:tcBorders>
              <w:left w:val="nil"/>
              <w:bottom w:val="single" w:sz="6" w:space="0" w:color="auto"/>
              <w:right w:val="nil"/>
            </w:tcBorders>
            <w:shd w:val="clear" w:color="auto" w:fill="auto"/>
          </w:tcPr>
          <w:p w14:paraId="519231FB" w14:textId="77777777" w:rsidR="000E53E9" w:rsidRPr="00435B3C" w:rsidRDefault="000E53E9" w:rsidP="000E53E9">
            <w:pPr>
              <w:tabs>
                <w:tab w:val="decimal" w:pos="113"/>
              </w:tabs>
              <w:spacing w:line="180" w:lineRule="exact"/>
              <w:rPr>
                <w:sz w:val="14"/>
                <w:szCs w:val="14"/>
              </w:rPr>
            </w:pPr>
          </w:p>
        </w:tc>
      </w:tr>
      <w:tr w:rsidR="000E53E9" w:rsidRPr="00435B3C" w14:paraId="50DF18F9" w14:textId="77777777" w:rsidTr="00435B3C">
        <w:tc>
          <w:tcPr>
            <w:tcW w:w="972" w:type="dxa"/>
            <w:tcBorders>
              <w:top w:val="single" w:sz="4" w:space="0" w:color="auto"/>
            </w:tcBorders>
          </w:tcPr>
          <w:p w14:paraId="03C30331" w14:textId="77777777" w:rsidR="000E53E9" w:rsidRPr="00224C22" w:rsidRDefault="000E53E9" w:rsidP="000E53E9">
            <w:pPr>
              <w:pStyle w:val="a3"/>
              <w:widowControl/>
              <w:spacing w:line="140" w:lineRule="exact"/>
              <w:ind w:left="0"/>
              <w:rPr>
                <w:b/>
                <w:sz w:val="12"/>
                <w:szCs w:val="12"/>
                <w:u w:val="single"/>
                <w:rtl/>
              </w:rPr>
            </w:pPr>
          </w:p>
        </w:tc>
        <w:tc>
          <w:tcPr>
            <w:tcW w:w="2682" w:type="dxa"/>
            <w:vAlign w:val="bottom"/>
          </w:tcPr>
          <w:p w14:paraId="6B5E1A55" w14:textId="77777777" w:rsidR="000E53E9" w:rsidRPr="00435B3C" w:rsidRDefault="000E53E9" w:rsidP="000E53E9">
            <w:pPr>
              <w:pStyle w:val="a3"/>
              <w:widowControl/>
              <w:tabs>
                <w:tab w:val="left" w:pos="227"/>
                <w:tab w:val="left" w:pos="397"/>
                <w:tab w:val="left" w:pos="567"/>
              </w:tabs>
              <w:spacing w:line="120" w:lineRule="auto"/>
              <w:ind w:left="0"/>
              <w:rPr>
                <w:b/>
                <w:sz w:val="14"/>
                <w:szCs w:val="14"/>
                <w:u w:val="single"/>
                <w:rtl/>
              </w:rPr>
            </w:pPr>
          </w:p>
        </w:tc>
        <w:tc>
          <w:tcPr>
            <w:tcW w:w="113" w:type="dxa"/>
            <w:vAlign w:val="bottom"/>
          </w:tcPr>
          <w:p w14:paraId="14251D2D" w14:textId="77777777" w:rsidR="000E53E9" w:rsidRPr="00435B3C" w:rsidRDefault="000E53E9" w:rsidP="000E53E9">
            <w:pPr>
              <w:pStyle w:val="a3"/>
              <w:widowControl/>
              <w:spacing w:line="120" w:lineRule="auto"/>
              <w:ind w:left="0"/>
              <w:rPr>
                <w:b/>
                <w:sz w:val="14"/>
                <w:szCs w:val="14"/>
                <w:u w:val="single"/>
              </w:rPr>
            </w:pPr>
          </w:p>
        </w:tc>
        <w:tc>
          <w:tcPr>
            <w:tcW w:w="621" w:type="dxa"/>
            <w:tcBorders>
              <w:top w:val="single" w:sz="6" w:space="0" w:color="auto"/>
              <w:left w:val="nil"/>
              <w:right w:val="nil"/>
            </w:tcBorders>
            <w:shd w:val="clear" w:color="auto" w:fill="auto"/>
            <w:vAlign w:val="bottom"/>
          </w:tcPr>
          <w:p w14:paraId="6EDD0935" w14:textId="77777777" w:rsidR="000E53E9" w:rsidRPr="00435B3C" w:rsidRDefault="000E53E9" w:rsidP="000E53E9">
            <w:pPr>
              <w:pStyle w:val="a3"/>
              <w:widowControl/>
              <w:spacing w:line="120" w:lineRule="auto"/>
              <w:ind w:left="0"/>
              <w:rPr>
                <w:b/>
                <w:sz w:val="14"/>
                <w:szCs w:val="14"/>
                <w:u w:val="single"/>
              </w:rPr>
            </w:pPr>
          </w:p>
        </w:tc>
        <w:tc>
          <w:tcPr>
            <w:tcW w:w="112" w:type="dxa"/>
            <w:vAlign w:val="bottom"/>
          </w:tcPr>
          <w:p w14:paraId="30B7297F" w14:textId="77777777" w:rsidR="000E53E9" w:rsidRPr="00435B3C" w:rsidRDefault="000E53E9" w:rsidP="000E53E9">
            <w:pPr>
              <w:pStyle w:val="a3"/>
              <w:widowControl/>
              <w:spacing w:line="120" w:lineRule="auto"/>
              <w:ind w:left="0"/>
              <w:rPr>
                <w:b/>
                <w:sz w:val="14"/>
                <w:szCs w:val="14"/>
                <w:u w:val="single"/>
              </w:rPr>
            </w:pPr>
          </w:p>
        </w:tc>
        <w:tc>
          <w:tcPr>
            <w:tcW w:w="621" w:type="dxa"/>
            <w:tcBorders>
              <w:top w:val="single" w:sz="6" w:space="0" w:color="auto"/>
              <w:left w:val="nil"/>
              <w:right w:val="nil"/>
            </w:tcBorders>
            <w:shd w:val="clear" w:color="auto" w:fill="auto"/>
            <w:vAlign w:val="bottom"/>
          </w:tcPr>
          <w:p w14:paraId="7DBFAEB2"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3D9DE065" w14:textId="77777777" w:rsidR="000E53E9" w:rsidRPr="00435B3C" w:rsidRDefault="000E53E9" w:rsidP="000E53E9">
            <w:pPr>
              <w:pStyle w:val="a3"/>
              <w:widowControl/>
              <w:spacing w:line="120" w:lineRule="auto"/>
              <w:ind w:left="0"/>
              <w:rPr>
                <w:b/>
                <w:sz w:val="14"/>
                <w:szCs w:val="14"/>
                <w:u w:val="single"/>
              </w:rPr>
            </w:pPr>
          </w:p>
        </w:tc>
        <w:tc>
          <w:tcPr>
            <w:tcW w:w="622" w:type="dxa"/>
            <w:tcBorders>
              <w:top w:val="single" w:sz="6" w:space="0" w:color="auto"/>
              <w:left w:val="nil"/>
              <w:right w:val="nil"/>
            </w:tcBorders>
            <w:shd w:val="clear" w:color="auto" w:fill="auto"/>
            <w:vAlign w:val="bottom"/>
          </w:tcPr>
          <w:p w14:paraId="6CB654BC" w14:textId="77777777" w:rsidR="000E53E9" w:rsidRPr="00435B3C" w:rsidRDefault="000E53E9" w:rsidP="000E53E9">
            <w:pPr>
              <w:pStyle w:val="a3"/>
              <w:widowControl/>
              <w:spacing w:line="120" w:lineRule="auto"/>
              <w:ind w:left="0"/>
              <w:rPr>
                <w:b/>
                <w:sz w:val="14"/>
                <w:szCs w:val="14"/>
                <w:u w:val="single"/>
              </w:rPr>
            </w:pPr>
          </w:p>
        </w:tc>
        <w:tc>
          <w:tcPr>
            <w:tcW w:w="113" w:type="dxa"/>
          </w:tcPr>
          <w:p w14:paraId="29DDAC88" w14:textId="77777777" w:rsidR="000E53E9" w:rsidRPr="00435B3C" w:rsidRDefault="000E53E9" w:rsidP="000E53E9">
            <w:pPr>
              <w:pStyle w:val="a3"/>
              <w:widowControl/>
              <w:spacing w:line="120" w:lineRule="auto"/>
              <w:ind w:left="0"/>
              <w:rPr>
                <w:b/>
                <w:sz w:val="14"/>
                <w:szCs w:val="14"/>
                <w:u w:val="single"/>
              </w:rPr>
            </w:pPr>
          </w:p>
        </w:tc>
        <w:tc>
          <w:tcPr>
            <w:tcW w:w="677" w:type="dxa"/>
            <w:tcBorders>
              <w:top w:val="single" w:sz="6" w:space="0" w:color="auto"/>
              <w:left w:val="nil"/>
              <w:right w:val="nil"/>
            </w:tcBorders>
            <w:shd w:val="clear" w:color="auto" w:fill="auto"/>
          </w:tcPr>
          <w:p w14:paraId="3830972D" w14:textId="77777777" w:rsidR="000E53E9" w:rsidRPr="00435B3C" w:rsidRDefault="000E53E9" w:rsidP="000E53E9">
            <w:pPr>
              <w:pStyle w:val="a3"/>
              <w:widowControl/>
              <w:spacing w:line="120" w:lineRule="auto"/>
              <w:ind w:left="0"/>
              <w:rPr>
                <w:b/>
                <w:sz w:val="14"/>
                <w:szCs w:val="14"/>
                <w:u w:val="single"/>
              </w:rPr>
            </w:pPr>
          </w:p>
        </w:tc>
        <w:tc>
          <w:tcPr>
            <w:tcW w:w="113" w:type="dxa"/>
          </w:tcPr>
          <w:p w14:paraId="3B2474E9" w14:textId="77777777" w:rsidR="000E53E9" w:rsidRPr="00435B3C" w:rsidRDefault="000E53E9" w:rsidP="000E53E9">
            <w:pPr>
              <w:pStyle w:val="a3"/>
              <w:widowControl/>
              <w:spacing w:line="120" w:lineRule="auto"/>
              <w:ind w:left="0"/>
              <w:rPr>
                <w:b/>
                <w:sz w:val="14"/>
                <w:szCs w:val="14"/>
                <w:u w:val="single"/>
              </w:rPr>
            </w:pPr>
          </w:p>
        </w:tc>
        <w:tc>
          <w:tcPr>
            <w:tcW w:w="622" w:type="dxa"/>
            <w:tcBorders>
              <w:top w:val="single" w:sz="6" w:space="0" w:color="auto"/>
              <w:left w:val="nil"/>
              <w:right w:val="nil"/>
            </w:tcBorders>
            <w:shd w:val="clear" w:color="auto" w:fill="auto"/>
          </w:tcPr>
          <w:p w14:paraId="00A5E724"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77A0F10B" w14:textId="77777777" w:rsidR="000E53E9" w:rsidRPr="00435B3C" w:rsidRDefault="000E53E9" w:rsidP="000E53E9">
            <w:pPr>
              <w:pStyle w:val="a3"/>
              <w:widowControl/>
              <w:spacing w:line="120" w:lineRule="auto"/>
              <w:ind w:left="0"/>
              <w:rPr>
                <w:b/>
                <w:sz w:val="14"/>
                <w:szCs w:val="14"/>
                <w:u w:val="single"/>
              </w:rPr>
            </w:pPr>
          </w:p>
        </w:tc>
        <w:tc>
          <w:tcPr>
            <w:tcW w:w="622" w:type="dxa"/>
            <w:gridSpan w:val="2"/>
            <w:tcBorders>
              <w:top w:val="single" w:sz="6" w:space="0" w:color="auto"/>
              <w:left w:val="nil"/>
              <w:right w:val="nil"/>
            </w:tcBorders>
            <w:shd w:val="clear" w:color="auto" w:fill="auto"/>
            <w:vAlign w:val="bottom"/>
          </w:tcPr>
          <w:p w14:paraId="744C3033"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29E20DFD" w14:textId="77777777" w:rsidR="000E53E9" w:rsidRPr="00435B3C" w:rsidRDefault="000E53E9" w:rsidP="000E53E9">
            <w:pPr>
              <w:pStyle w:val="a3"/>
              <w:widowControl/>
              <w:spacing w:line="120" w:lineRule="auto"/>
              <w:ind w:left="0"/>
              <w:rPr>
                <w:b/>
                <w:sz w:val="14"/>
                <w:szCs w:val="14"/>
                <w:u w:val="single"/>
              </w:rPr>
            </w:pPr>
          </w:p>
        </w:tc>
        <w:tc>
          <w:tcPr>
            <w:tcW w:w="734" w:type="dxa"/>
            <w:tcBorders>
              <w:top w:val="single" w:sz="6" w:space="0" w:color="auto"/>
              <w:left w:val="nil"/>
              <w:right w:val="nil"/>
            </w:tcBorders>
            <w:shd w:val="clear" w:color="auto" w:fill="auto"/>
            <w:vAlign w:val="bottom"/>
          </w:tcPr>
          <w:p w14:paraId="603F6751"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7B6B8868" w14:textId="77777777" w:rsidR="000E53E9" w:rsidRPr="00435B3C" w:rsidRDefault="000E53E9" w:rsidP="000E53E9">
            <w:pPr>
              <w:pStyle w:val="a3"/>
              <w:widowControl/>
              <w:spacing w:line="120" w:lineRule="auto"/>
              <w:ind w:left="0"/>
              <w:rPr>
                <w:b/>
                <w:sz w:val="14"/>
                <w:szCs w:val="14"/>
                <w:u w:val="single"/>
              </w:rPr>
            </w:pPr>
          </w:p>
        </w:tc>
        <w:tc>
          <w:tcPr>
            <w:tcW w:w="622" w:type="dxa"/>
            <w:tcBorders>
              <w:top w:val="single" w:sz="6" w:space="0" w:color="auto"/>
              <w:left w:val="nil"/>
              <w:right w:val="nil"/>
            </w:tcBorders>
            <w:shd w:val="clear" w:color="auto" w:fill="auto"/>
            <w:vAlign w:val="bottom"/>
          </w:tcPr>
          <w:p w14:paraId="675CF2E4"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73DF116E" w14:textId="77777777" w:rsidR="000E53E9" w:rsidRPr="00435B3C" w:rsidRDefault="000E53E9" w:rsidP="000E53E9">
            <w:pPr>
              <w:pStyle w:val="a3"/>
              <w:widowControl/>
              <w:spacing w:line="120" w:lineRule="auto"/>
              <w:ind w:left="0"/>
              <w:rPr>
                <w:b/>
                <w:sz w:val="14"/>
                <w:szCs w:val="14"/>
                <w:u w:val="single"/>
              </w:rPr>
            </w:pPr>
          </w:p>
        </w:tc>
        <w:tc>
          <w:tcPr>
            <w:tcW w:w="622" w:type="dxa"/>
            <w:tcBorders>
              <w:top w:val="single" w:sz="6" w:space="0" w:color="auto"/>
              <w:left w:val="nil"/>
              <w:right w:val="nil"/>
            </w:tcBorders>
            <w:shd w:val="clear" w:color="auto" w:fill="auto"/>
            <w:vAlign w:val="bottom"/>
          </w:tcPr>
          <w:p w14:paraId="4FACABC9"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2E471D8E" w14:textId="77777777" w:rsidR="000E53E9" w:rsidRPr="00435B3C" w:rsidRDefault="000E53E9" w:rsidP="000E53E9">
            <w:pPr>
              <w:pStyle w:val="a3"/>
              <w:widowControl/>
              <w:spacing w:line="120" w:lineRule="auto"/>
              <w:ind w:left="0"/>
              <w:rPr>
                <w:b/>
                <w:sz w:val="14"/>
                <w:szCs w:val="14"/>
                <w:u w:val="single"/>
              </w:rPr>
            </w:pPr>
          </w:p>
        </w:tc>
        <w:tc>
          <w:tcPr>
            <w:tcW w:w="677" w:type="dxa"/>
            <w:tcBorders>
              <w:top w:val="single" w:sz="6" w:space="0" w:color="auto"/>
              <w:left w:val="nil"/>
              <w:right w:val="nil"/>
            </w:tcBorders>
            <w:shd w:val="clear" w:color="auto" w:fill="auto"/>
            <w:vAlign w:val="bottom"/>
          </w:tcPr>
          <w:p w14:paraId="79459AC3"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7E4F244C" w14:textId="77777777" w:rsidR="000E53E9" w:rsidRPr="00435B3C" w:rsidRDefault="000E53E9" w:rsidP="000E53E9">
            <w:pPr>
              <w:pStyle w:val="a3"/>
              <w:widowControl/>
              <w:spacing w:line="120" w:lineRule="auto"/>
              <w:ind w:left="0"/>
              <w:rPr>
                <w:b/>
                <w:sz w:val="14"/>
                <w:szCs w:val="14"/>
                <w:u w:val="single"/>
              </w:rPr>
            </w:pPr>
          </w:p>
        </w:tc>
        <w:tc>
          <w:tcPr>
            <w:tcW w:w="622" w:type="dxa"/>
            <w:tcBorders>
              <w:top w:val="single" w:sz="6" w:space="0" w:color="auto"/>
              <w:left w:val="nil"/>
              <w:right w:val="nil"/>
            </w:tcBorders>
            <w:shd w:val="clear" w:color="auto" w:fill="auto"/>
            <w:vAlign w:val="bottom"/>
          </w:tcPr>
          <w:p w14:paraId="3D306262"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043B1D4D" w14:textId="77777777" w:rsidR="000E53E9" w:rsidRPr="00435B3C" w:rsidRDefault="000E53E9" w:rsidP="000E53E9">
            <w:pPr>
              <w:pStyle w:val="a3"/>
              <w:widowControl/>
              <w:spacing w:line="120" w:lineRule="auto"/>
              <w:ind w:left="0"/>
              <w:rPr>
                <w:b/>
                <w:sz w:val="14"/>
                <w:szCs w:val="14"/>
                <w:u w:val="single"/>
              </w:rPr>
            </w:pPr>
          </w:p>
        </w:tc>
        <w:tc>
          <w:tcPr>
            <w:tcW w:w="677" w:type="dxa"/>
            <w:tcBorders>
              <w:top w:val="single" w:sz="6" w:space="0" w:color="auto"/>
              <w:left w:val="nil"/>
              <w:right w:val="nil"/>
            </w:tcBorders>
            <w:shd w:val="clear" w:color="auto" w:fill="auto"/>
            <w:vAlign w:val="bottom"/>
          </w:tcPr>
          <w:p w14:paraId="6ADFC253"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252EE290" w14:textId="77777777" w:rsidR="000E53E9" w:rsidRPr="00435B3C" w:rsidRDefault="000E53E9" w:rsidP="000E53E9">
            <w:pPr>
              <w:pStyle w:val="a3"/>
              <w:widowControl/>
              <w:spacing w:line="120" w:lineRule="auto"/>
              <w:ind w:left="0"/>
              <w:rPr>
                <w:b/>
                <w:sz w:val="14"/>
                <w:szCs w:val="14"/>
                <w:u w:val="single"/>
              </w:rPr>
            </w:pPr>
          </w:p>
        </w:tc>
        <w:tc>
          <w:tcPr>
            <w:tcW w:w="677" w:type="dxa"/>
            <w:tcBorders>
              <w:top w:val="single" w:sz="6" w:space="0" w:color="auto"/>
              <w:left w:val="nil"/>
              <w:right w:val="nil"/>
            </w:tcBorders>
            <w:shd w:val="clear" w:color="auto" w:fill="auto"/>
            <w:vAlign w:val="bottom"/>
          </w:tcPr>
          <w:p w14:paraId="12B68442"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7EFC9890" w14:textId="77777777" w:rsidR="000E53E9" w:rsidRPr="00435B3C" w:rsidRDefault="000E53E9" w:rsidP="000E53E9">
            <w:pPr>
              <w:pStyle w:val="a3"/>
              <w:widowControl/>
              <w:spacing w:line="120" w:lineRule="auto"/>
              <w:ind w:left="0"/>
              <w:rPr>
                <w:b/>
                <w:sz w:val="14"/>
                <w:szCs w:val="14"/>
                <w:u w:val="single"/>
              </w:rPr>
            </w:pPr>
          </w:p>
        </w:tc>
        <w:tc>
          <w:tcPr>
            <w:tcW w:w="677" w:type="dxa"/>
            <w:tcBorders>
              <w:top w:val="single" w:sz="6" w:space="0" w:color="auto"/>
              <w:left w:val="nil"/>
              <w:right w:val="nil"/>
            </w:tcBorders>
            <w:shd w:val="clear" w:color="auto" w:fill="auto"/>
            <w:vAlign w:val="bottom"/>
          </w:tcPr>
          <w:p w14:paraId="3B75BC2E"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2EC111E5" w14:textId="77777777" w:rsidR="000E53E9" w:rsidRPr="00435B3C" w:rsidRDefault="000E53E9" w:rsidP="000E53E9">
            <w:pPr>
              <w:pStyle w:val="a3"/>
              <w:widowControl/>
              <w:spacing w:line="120" w:lineRule="auto"/>
              <w:ind w:left="0"/>
              <w:rPr>
                <w:b/>
                <w:sz w:val="14"/>
                <w:szCs w:val="14"/>
                <w:u w:val="single"/>
              </w:rPr>
            </w:pPr>
          </w:p>
        </w:tc>
        <w:tc>
          <w:tcPr>
            <w:tcW w:w="622" w:type="dxa"/>
            <w:tcBorders>
              <w:top w:val="single" w:sz="6" w:space="0" w:color="auto"/>
              <w:left w:val="nil"/>
              <w:right w:val="nil"/>
            </w:tcBorders>
            <w:shd w:val="clear" w:color="auto" w:fill="auto"/>
            <w:vAlign w:val="bottom"/>
          </w:tcPr>
          <w:p w14:paraId="3FD84839" w14:textId="77777777" w:rsidR="000E53E9" w:rsidRPr="00435B3C" w:rsidRDefault="000E53E9" w:rsidP="000E53E9">
            <w:pPr>
              <w:pStyle w:val="a3"/>
              <w:widowControl/>
              <w:spacing w:line="120" w:lineRule="auto"/>
              <w:ind w:left="0"/>
              <w:rPr>
                <w:b/>
                <w:sz w:val="14"/>
                <w:szCs w:val="14"/>
                <w:u w:val="single"/>
              </w:rPr>
            </w:pPr>
          </w:p>
        </w:tc>
        <w:tc>
          <w:tcPr>
            <w:tcW w:w="113" w:type="dxa"/>
          </w:tcPr>
          <w:p w14:paraId="675777DD" w14:textId="77777777" w:rsidR="000E53E9" w:rsidRPr="00435B3C" w:rsidRDefault="000E53E9" w:rsidP="000E53E9">
            <w:pPr>
              <w:pStyle w:val="a3"/>
              <w:widowControl/>
              <w:spacing w:line="120" w:lineRule="auto"/>
              <w:ind w:left="0"/>
              <w:rPr>
                <w:b/>
                <w:sz w:val="14"/>
                <w:szCs w:val="14"/>
                <w:u w:val="single"/>
              </w:rPr>
            </w:pPr>
          </w:p>
        </w:tc>
        <w:tc>
          <w:tcPr>
            <w:tcW w:w="607" w:type="dxa"/>
            <w:tcBorders>
              <w:top w:val="single" w:sz="6" w:space="0" w:color="auto"/>
              <w:left w:val="nil"/>
              <w:right w:val="nil"/>
            </w:tcBorders>
            <w:shd w:val="clear" w:color="auto" w:fill="auto"/>
          </w:tcPr>
          <w:p w14:paraId="219E4C3A" w14:textId="77777777" w:rsidR="000E53E9" w:rsidRPr="00435B3C" w:rsidRDefault="000E53E9" w:rsidP="000E53E9">
            <w:pPr>
              <w:pStyle w:val="a3"/>
              <w:widowControl/>
              <w:spacing w:line="120" w:lineRule="auto"/>
              <w:ind w:left="0"/>
              <w:rPr>
                <w:b/>
                <w:sz w:val="14"/>
                <w:szCs w:val="14"/>
                <w:u w:val="single"/>
              </w:rPr>
            </w:pPr>
          </w:p>
        </w:tc>
      </w:tr>
      <w:tr w:rsidR="000E53E9" w:rsidRPr="00435B3C" w14:paraId="4ADC9A4F" w14:textId="77777777" w:rsidTr="00435B3C">
        <w:tc>
          <w:tcPr>
            <w:tcW w:w="972" w:type="dxa"/>
          </w:tcPr>
          <w:p w14:paraId="19CDE260" w14:textId="77777777" w:rsidR="000E53E9" w:rsidRPr="00224C22" w:rsidRDefault="000E53E9" w:rsidP="000E53E9">
            <w:pPr>
              <w:pStyle w:val="a3"/>
              <w:spacing w:line="140" w:lineRule="exact"/>
              <w:rPr>
                <w:sz w:val="12"/>
                <w:szCs w:val="12"/>
                <w:u w:val="single"/>
                <w:rtl/>
              </w:rPr>
            </w:pPr>
          </w:p>
        </w:tc>
        <w:tc>
          <w:tcPr>
            <w:tcW w:w="2682" w:type="dxa"/>
            <w:vAlign w:val="bottom"/>
          </w:tcPr>
          <w:p w14:paraId="0A722F28" w14:textId="2A75F456" w:rsidR="000E53E9" w:rsidRPr="00435B3C" w:rsidRDefault="000E53E9" w:rsidP="000E53E9">
            <w:pPr>
              <w:pStyle w:val="a3"/>
              <w:tabs>
                <w:tab w:val="left" w:pos="227"/>
                <w:tab w:val="left" w:pos="397"/>
                <w:tab w:val="left" w:pos="567"/>
              </w:tabs>
              <w:spacing w:line="180" w:lineRule="exact"/>
              <w:rPr>
                <w:sz w:val="14"/>
                <w:szCs w:val="14"/>
                <w:u w:val="single"/>
              </w:rPr>
            </w:pPr>
            <w:r w:rsidRPr="00435B3C">
              <w:rPr>
                <w:rFonts w:hint="eastAsia"/>
                <w:sz w:val="14"/>
                <w:szCs w:val="14"/>
                <w:u w:val="single"/>
                <w:rtl/>
              </w:rPr>
              <w:t>יתרה</w:t>
            </w:r>
            <w:r w:rsidRPr="00435B3C">
              <w:rPr>
                <w:sz w:val="14"/>
                <w:szCs w:val="14"/>
                <w:u w:val="single"/>
                <w:rtl/>
              </w:rPr>
              <w:t xml:space="preserve"> ליום 30 בספטמבר, </w:t>
            </w:r>
            <w:r w:rsidRPr="00435B3C">
              <w:rPr>
                <w:rFonts w:hint="cs"/>
                <w:sz w:val="14"/>
                <w:szCs w:val="14"/>
                <w:u w:val="single"/>
                <w:rtl/>
              </w:rPr>
              <w:t>2018</w:t>
            </w:r>
          </w:p>
        </w:tc>
        <w:tc>
          <w:tcPr>
            <w:tcW w:w="113" w:type="dxa"/>
            <w:vAlign w:val="bottom"/>
          </w:tcPr>
          <w:p w14:paraId="5987C06F" w14:textId="77777777" w:rsidR="000E53E9" w:rsidRPr="00435B3C" w:rsidRDefault="000E53E9" w:rsidP="000E53E9">
            <w:pPr>
              <w:spacing w:line="180" w:lineRule="exact"/>
              <w:jc w:val="left"/>
              <w:rPr>
                <w:sz w:val="14"/>
                <w:szCs w:val="14"/>
              </w:rPr>
            </w:pPr>
          </w:p>
        </w:tc>
        <w:tc>
          <w:tcPr>
            <w:tcW w:w="621" w:type="dxa"/>
            <w:tcBorders>
              <w:top w:val="nil"/>
              <w:left w:val="nil"/>
              <w:bottom w:val="double" w:sz="6" w:space="0" w:color="auto"/>
              <w:right w:val="nil"/>
            </w:tcBorders>
            <w:shd w:val="clear" w:color="auto" w:fill="auto"/>
            <w:vAlign w:val="bottom"/>
          </w:tcPr>
          <w:p w14:paraId="47EE574A"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1D977A1E"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bottom w:val="double" w:sz="6" w:space="0" w:color="auto"/>
              <w:right w:val="nil"/>
            </w:tcBorders>
            <w:shd w:val="clear" w:color="auto" w:fill="auto"/>
            <w:vAlign w:val="bottom"/>
          </w:tcPr>
          <w:p w14:paraId="57348845"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155CA1D3"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double" w:sz="6" w:space="0" w:color="auto"/>
              <w:right w:val="nil"/>
            </w:tcBorders>
            <w:shd w:val="clear" w:color="auto" w:fill="auto"/>
            <w:vAlign w:val="bottom"/>
          </w:tcPr>
          <w:p w14:paraId="1DB8DE91" w14:textId="77777777" w:rsidR="000E53E9" w:rsidRPr="00435B3C" w:rsidRDefault="000E53E9" w:rsidP="000E53E9">
            <w:pPr>
              <w:tabs>
                <w:tab w:val="decimal" w:pos="113"/>
              </w:tabs>
              <w:spacing w:line="180" w:lineRule="exact"/>
              <w:rPr>
                <w:sz w:val="14"/>
                <w:szCs w:val="14"/>
              </w:rPr>
            </w:pPr>
          </w:p>
        </w:tc>
        <w:tc>
          <w:tcPr>
            <w:tcW w:w="113" w:type="dxa"/>
          </w:tcPr>
          <w:p w14:paraId="583F1C05" w14:textId="77777777" w:rsidR="000E53E9" w:rsidRPr="00435B3C" w:rsidRDefault="000E53E9" w:rsidP="000E53E9">
            <w:pPr>
              <w:tabs>
                <w:tab w:val="decimal" w:pos="113"/>
              </w:tabs>
              <w:spacing w:line="180" w:lineRule="exact"/>
              <w:rPr>
                <w:sz w:val="14"/>
                <w:szCs w:val="14"/>
              </w:rPr>
            </w:pPr>
          </w:p>
        </w:tc>
        <w:tc>
          <w:tcPr>
            <w:tcW w:w="677" w:type="dxa"/>
            <w:tcBorders>
              <w:top w:val="nil"/>
              <w:left w:val="nil"/>
              <w:bottom w:val="double" w:sz="6" w:space="0" w:color="auto"/>
              <w:right w:val="nil"/>
            </w:tcBorders>
            <w:shd w:val="clear" w:color="auto" w:fill="auto"/>
          </w:tcPr>
          <w:p w14:paraId="0822C044" w14:textId="77777777" w:rsidR="000E53E9" w:rsidRPr="00435B3C" w:rsidRDefault="000E53E9" w:rsidP="000E53E9">
            <w:pPr>
              <w:tabs>
                <w:tab w:val="decimal" w:pos="113"/>
              </w:tabs>
              <w:spacing w:line="180" w:lineRule="exact"/>
              <w:rPr>
                <w:sz w:val="14"/>
                <w:szCs w:val="14"/>
              </w:rPr>
            </w:pPr>
          </w:p>
        </w:tc>
        <w:tc>
          <w:tcPr>
            <w:tcW w:w="113" w:type="dxa"/>
          </w:tcPr>
          <w:p w14:paraId="38369904"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double" w:sz="6" w:space="0" w:color="auto"/>
              <w:right w:val="nil"/>
            </w:tcBorders>
            <w:shd w:val="clear" w:color="auto" w:fill="auto"/>
          </w:tcPr>
          <w:p w14:paraId="2198FDA8" w14:textId="77777777" w:rsidR="000E53E9" w:rsidRPr="00435B3C" w:rsidRDefault="000E53E9" w:rsidP="000E53E9">
            <w:pPr>
              <w:tabs>
                <w:tab w:val="decimal" w:pos="113"/>
              </w:tabs>
              <w:spacing w:line="180" w:lineRule="exact"/>
              <w:rPr>
                <w:sz w:val="14"/>
                <w:szCs w:val="14"/>
              </w:rPr>
            </w:pPr>
          </w:p>
        </w:tc>
        <w:tc>
          <w:tcPr>
            <w:tcW w:w="113" w:type="dxa"/>
            <w:vAlign w:val="bottom"/>
          </w:tcPr>
          <w:p w14:paraId="0547C949"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bottom w:val="double" w:sz="6" w:space="0" w:color="auto"/>
              <w:right w:val="nil"/>
            </w:tcBorders>
            <w:shd w:val="clear" w:color="auto" w:fill="auto"/>
            <w:vAlign w:val="bottom"/>
          </w:tcPr>
          <w:p w14:paraId="2E01B24A" w14:textId="77777777" w:rsidR="000E53E9" w:rsidRPr="00435B3C" w:rsidRDefault="000E53E9" w:rsidP="000E53E9">
            <w:pPr>
              <w:tabs>
                <w:tab w:val="decimal" w:pos="113"/>
              </w:tabs>
              <w:spacing w:line="180" w:lineRule="exact"/>
              <w:rPr>
                <w:sz w:val="14"/>
                <w:szCs w:val="14"/>
              </w:rPr>
            </w:pPr>
          </w:p>
        </w:tc>
        <w:tc>
          <w:tcPr>
            <w:tcW w:w="113" w:type="dxa"/>
            <w:vAlign w:val="bottom"/>
          </w:tcPr>
          <w:p w14:paraId="12218046" w14:textId="77777777" w:rsidR="000E53E9" w:rsidRPr="00435B3C" w:rsidRDefault="000E53E9" w:rsidP="000E53E9">
            <w:pPr>
              <w:tabs>
                <w:tab w:val="decimal" w:pos="113"/>
              </w:tabs>
              <w:spacing w:line="180" w:lineRule="exact"/>
              <w:rPr>
                <w:sz w:val="14"/>
                <w:szCs w:val="14"/>
              </w:rPr>
            </w:pPr>
          </w:p>
        </w:tc>
        <w:tc>
          <w:tcPr>
            <w:tcW w:w="734" w:type="dxa"/>
            <w:tcBorders>
              <w:top w:val="nil"/>
              <w:left w:val="nil"/>
              <w:bottom w:val="double" w:sz="6" w:space="0" w:color="auto"/>
              <w:right w:val="nil"/>
            </w:tcBorders>
            <w:shd w:val="clear" w:color="auto" w:fill="auto"/>
            <w:vAlign w:val="bottom"/>
          </w:tcPr>
          <w:p w14:paraId="2A42CA88" w14:textId="77777777" w:rsidR="000E53E9" w:rsidRPr="00435B3C" w:rsidRDefault="000E53E9" w:rsidP="000E53E9">
            <w:pPr>
              <w:tabs>
                <w:tab w:val="decimal" w:pos="113"/>
              </w:tabs>
              <w:spacing w:line="180" w:lineRule="exact"/>
              <w:rPr>
                <w:sz w:val="14"/>
                <w:szCs w:val="14"/>
              </w:rPr>
            </w:pPr>
          </w:p>
        </w:tc>
        <w:tc>
          <w:tcPr>
            <w:tcW w:w="113" w:type="dxa"/>
            <w:vAlign w:val="bottom"/>
          </w:tcPr>
          <w:p w14:paraId="5F6099B9"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double" w:sz="6" w:space="0" w:color="auto"/>
              <w:right w:val="nil"/>
            </w:tcBorders>
            <w:shd w:val="clear" w:color="auto" w:fill="auto"/>
            <w:vAlign w:val="bottom"/>
          </w:tcPr>
          <w:p w14:paraId="17F631A4" w14:textId="77777777" w:rsidR="000E53E9" w:rsidRPr="00435B3C" w:rsidRDefault="000E53E9" w:rsidP="000E53E9">
            <w:pPr>
              <w:tabs>
                <w:tab w:val="decimal" w:pos="113"/>
              </w:tabs>
              <w:spacing w:line="180" w:lineRule="exact"/>
              <w:rPr>
                <w:sz w:val="14"/>
                <w:szCs w:val="14"/>
              </w:rPr>
            </w:pPr>
          </w:p>
        </w:tc>
        <w:tc>
          <w:tcPr>
            <w:tcW w:w="113" w:type="dxa"/>
            <w:vAlign w:val="bottom"/>
          </w:tcPr>
          <w:p w14:paraId="5ADB157A" w14:textId="77777777" w:rsidR="000E53E9" w:rsidRPr="00435B3C" w:rsidRDefault="000E53E9" w:rsidP="000E53E9">
            <w:pPr>
              <w:tabs>
                <w:tab w:val="decimal" w:pos="113"/>
              </w:tabs>
              <w:spacing w:line="180" w:lineRule="exact"/>
              <w:rPr>
                <w:sz w:val="14"/>
                <w:szCs w:val="14"/>
              </w:rPr>
            </w:pPr>
          </w:p>
        </w:tc>
        <w:tc>
          <w:tcPr>
            <w:tcW w:w="622" w:type="dxa"/>
            <w:tcBorders>
              <w:left w:val="nil"/>
              <w:bottom w:val="double" w:sz="6" w:space="0" w:color="auto"/>
              <w:right w:val="nil"/>
            </w:tcBorders>
            <w:shd w:val="clear" w:color="auto" w:fill="auto"/>
            <w:vAlign w:val="bottom"/>
          </w:tcPr>
          <w:p w14:paraId="21D3CC4E"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5517DCA" w14:textId="77777777" w:rsidR="000E53E9" w:rsidRPr="00435B3C" w:rsidRDefault="000E53E9" w:rsidP="000E53E9">
            <w:pPr>
              <w:tabs>
                <w:tab w:val="decimal" w:pos="113"/>
              </w:tabs>
              <w:spacing w:line="180" w:lineRule="exact"/>
              <w:rPr>
                <w:sz w:val="14"/>
                <w:szCs w:val="14"/>
              </w:rPr>
            </w:pPr>
          </w:p>
        </w:tc>
        <w:tc>
          <w:tcPr>
            <w:tcW w:w="677" w:type="dxa"/>
            <w:tcBorders>
              <w:left w:val="nil"/>
              <w:bottom w:val="double" w:sz="6" w:space="0" w:color="auto"/>
              <w:right w:val="nil"/>
            </w:tcBorders>
            <w:shd w:val="clear" w:color="auto" w:fill="auto"/>
            <w:vAlign w:val="bottom"/>
          </w:tcPr>
          <w:p w14:paraId="325383BA"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8F14C23" w14:textId="77777777" w:rsidR="000E53E9" w:rsidRPr="00435B3C" w:rsidRDefault="000E53E9" w:rsidP="000E53E9">
            <w:pPr>
              <w:tabs>
                <w:tab w:val="decimal" w:pos="113"/>
              </w:tabs>
              <w:spacing w:line="180" w:lineRule="exact"/>
              <w:rPr>
                <w:sz w:val="14"/>
                <w:szCs w:val="14"/>
              </w:rPr>
            </w:pPr>
          </w:p>
        </w:tc>
        <w:tc>
          <w:tcPr>
            <w:tcW w:w="622" w:type="dxa"/>
            <w:tcBorders>
              <w:left w:val="nil"/>
              <w:bottom w:val="double" w:sz="6" w:space="0" w:color="auto"/>
              <w:right w:val="nil"/>
            </w:tcBorders>
            <w:shd w:val="clear" w:color="auto" w:fill="auto"/>
            <w:vAlign w:val="bottom"/>
          </w:tcPr>
          <w:p w14:paraId="6C02C530"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153A08C" w14:textId="77777777" w:rsidR="000E53E9" w:rsidRPr="00435B3C" w:rsidRDefault="000E53E9" w:rsidP="000E53E9">
            <w:pPr>
              <w:tabs>
                <w:tab w:val="decimal" w:pos="113"/>
              </w:tabs>
              <w:spacing w:line="180" w:lineRule="exact"/>
              <w:rPr>
                <w:sz w:val="14"/>
                <w:szCs w:val="14"/>
              </w:rPr>
            </w:pPr>
          </w:p>
        </w:tc>
        <w:tc>
          <w:tcPr>
            <w:tcW w:w="677" w:type="dxa"/>
            <w:tcBorders>
              <w:left w:val="nil"/>
              <w:bottom w:val="double" w:sz="6" w:space="0" w:color="auto"/>
              <w:right w:val="nil"/>
            </w:tcBorders>
            <w:shd w:val="clear" w:color="auto" w:fill="auto"/>
            <w:vAlign w:val="bottom"/>
          </w:tcPr>
          <w:p w14:paraId="4042FA18"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4813F63" w14:textId="77777777" w:rsidR="000E53E9" w:rsidRPr="00435B3C" w:rsidRDefault="000E53E9" w:rsidP="000E53E9">
            <w:pPr>
              <w:tabs>
                <w:tab w:val="decimal" w:pos="113"/>
              </w:tabs>
              <w:spacing w:line="180" w:lineRule="exact"/>
              <w:rPr>
                <w:sz w:val="14"/>
                <w:szCs w:val="14"/>
              </w:rPr>
            </w:pPr>
          </w:p>
        </w:tc>
        <w:tc>
          <w:tcPr>
            <w:tcW w:w="677" w:type="dxa"/>
            <w:tcBorders>
              <w:left w:val="nil"/>
              <w:bottom w:val="double" w:sz="6" w:space="0" w:color="auto"/>
              <w:right w:val="nil"/>
            </w:tcBorders>
            <w:shd w:val="clear" w:color="auto" w:fill="auto"/>
            <w:vAlign w:val="bottom"/>
          </w:tcPr>
          <w:p w14:paraId="4D699C8B" w14:textId="77777777" w:rsidR="000E53E9" w:rsidRPr="00435B3C" w:rsidRDefault="000E53E9" w:rsidP="000E53E9">
            <w:pPr>
              <w:tabs>
                <w:tab w:val="decimal" w:pos="113"/>
              </w:tabs>
              <w:spacing w:line="180" w:lineRule="exact"/>
              <w:rPr>
                <w:sz w:val="14"/>
                <w:szCs w:val="14"/>
              </w:rPr>
            </w:pPr>
          </w:p>
        </w:tc>
        <w:tc>
          <w:tcPr>
            <w:tcW w:w="113" w:type="dxa"/>
            <w:vAlign w:val="bottom"/>
          </w:tcPr>
          <w:p w14:paraId="67A769B1" w14:textId="77777777" w:rsidR="000E53E9" w:rsidRPr="00435B3C" w:rsidRDefault="000E53E9" w:rsidP="000E53E9">
            <w:pPr>
              <w:tabs>
                <w:tab w:val="decimal" w:pos="113"/>
              </w:tabs>
              <w:spacing w:line="180" w:lineRule="exact"/>
              <w:rPr>
                <w:sz w:val="14"/>
                <w:szCs w:val="14"/>
              </w:rPr>
            </w:pPr>
          </w:p>
        </w:tc>
        <w:tc>
          <w:tcPr>
            <w:tcW w:w="677" w:type="dxa"/>
            <w:tcBorders>
              <w:top w:val="nil"/>
              <w:left w:val="nil"/>
              <w:bottom w:val="double" w:sz="6" w:space="0" w:color="auto"/>
              <w:right w:val="nil"/>
            </w:tcBorders>
            <w:shd w:val="clear" w:color="auto" w:fill="auto"/>
            <w:vAlign w:val="bottom"/>
          </w:tcPr>
          <w:p w14:paraId="1C8EAC68" w14:textId="77777777" w:rsidR="000E53E9" w:rsidRPr="00435B3C" w:rsidRDefault="000E53E9" w:rsidP="000E53E9">
            <w:pPr>
              <w:tabs>
                <w:tab w:val="decimal" w:pos="113"/>
              </w:tabs>
              <w:spacing w:line="180" w:lineRule="exact"/>
              <w:rPr>
                <w:sz w:val="14"/>
                <w:szCs w:val="14"/>
              </w:rPr>
            </w:pPr>
          </w:p>
        </w:tc>
        <w:tc>
          <w:tcPr>
            <w:tcW w:w="113" w:type="dxa"/>
            <w:vAlign w:val="bottom"/>
          </w:tcPr>
          <w:p w14:paraId="2878C3FC"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double" w:sz="6" w:space="0" w:color="auto"/>
              <w:right w:val="nil"/>
            </w:tcBorders>
            <w:shd w:val="clear" w:color="auto" w:fill="auto"/>
            <w:vAlign w:val="bottom"/>
          </w:tcPr>
          <w:p w14:paraId="3C0368D9" w14:textId="77777777" w:rsidR="000E53E9" w:rsidRPr="00435B3C" w:rsidRDefault="000E53E9" w:rsidP="000E53E9">
            <w:pPr>
              <w:tabs>
                <w:tab w:val="decimal" w:pos="113"/>
              </w:tabs>
              <w:spacing w:line="180" w:lineRule="exact"/>
              <w:rPr>
                <w:sz w:val="14"/>
                <w:szCs w:val="14"/>
              </w:rPr>
            </w:pPr>
          </w:p>
        </w:tc>
        <w:tc>
          <w:tcPr>
            <w:tcW w:w="113" w:type="dxa"/>
          </w:tcPr>
          <w:p w14:paraId="69DA1F8D" w14:textId="77777777" w:rsidR="000E53E9" w:rsidRPr="00435B3C" w:rsidRDefault="000E53E9" w:rsidP="000E53E9">
            <w:pPr>
              <w:tabs>
                <w:tab w:val="decimal" w:pos="113"/>
              </w:tabs>
              <w:spacing w:line="180" w:lineRule="exact"/>
              <w:rPr>
                <w:sz w:val="14"/>
                <w:szCs w:val="14"/>
              </w:rPr>
            </w:pPr>
          </w:p>
        </w:tc>
        <w:tc>
          <w:tcPr>
            <w:tcW w:w="607" w:type="dxa"/>
            <w:tcBorders>
              <w:top w:val="nil"/>
              <w:left w:val="nil"/>
              <w:bottom w:val="double" w:sz="6" w:space="0" w:color="auto"/>
              <w:right w:val="nil"/>
            </w:tcBorders>
            <w:shd w:val="clear" w:color="auto" w:fill="auto"/>
          </w:tcPr>
          <w:p w14:paraId="6FF95271" w14:textId="77777777" w:rsidR="000E53E9" w:rsidRPr="00435B3C" w:rsidRDefault="000E53E9" w:rsidP="000E53E9">
            <w:pPr>
              <w:tabs>
                <w:tab w:val="decimal" w:pos="113"/>
              </w:tabs>
              <w:spacing w:line="180" w:lineRule="exact"/>
              <w:rPr>
                <w:sz w:val="14"/>
                <w:szCs w:val="14"/>
              </w:rPr>
            </w:pPr>
          </w:p>
        </w:tc>
      </w:tr>
    </w:tbl>
    <w:p w14:paraId="26D2E8CF" w14:textId="3F08EC46" w:rsidR="00AB7D68" w:rsidRPr="00435B3C" w:rsidRDefault="00AB7D68" w:rsidP="009F14AD">
      <w:pPr>
        <w:rPr>
          <w:sz w:val="16"/>
          <w:szCs w:val="20"/>
          <w:rtl/>
        </w:rPr>
      </w:pPr>
      <w:r w:rsidRPr="00435B3C">
        <w:rPr>
          <w:rFonts w:hint="cs"/>
          <w:sz w:val="16"/>
          <w:szCs w:val="20"/>
          <w:rtl/>
        </w:rPr>
        <w:t>הבאורים המצורפים מהווים חלק בלתי נפרד מהדוחות הכספיים ביניים מאוחדים.</w:t>
      </w:r>
    </w:p>
    <w:p w14:paraId="043A11EA" w14:textId="77777777" w:rsidR="00C561BD" w:rsidRPr="00785F4C" w:rsidRDefault="00C561BD" w:rsidP="00C561BD">
      <w:pPr>
        <w:pBdr>
          <w:bottom w:val="single" w:sz="12" w:space="1" w:color="auto"/>
        </w:pBdr>
        <w:rPr>
          <w:b/>
          <w:bCs/>
          <w:rtl/>
        </w:rPr>
      </w:pPr>
      <w:r>
        <w:rPr>
          <w:sz w:val="18"/>
          <w:szCs w:val="18"/>
          <w:rtl/>
        </w:rPr>
        <w:br w:type="page"/>
      </w:r>
      <w:r>
        <w:rPr>
          <w:rFonts w:hint="cs"/>
          <w:b/>
          <w:bCs/>
          <w:rtl/>
        </w:rPr>
        <w:lastRenderedPageBreak/>
        <w:t>דוחות מאוחדים על השינויים בהון</w:t>
      </w:r>
      <w:r w:rsidRPr="002E462C">
        <w:rPr>
          <w:rStyle w:val="ab"/>
          <w:b/>
          <w:bCs w:val="0"/>
          <w:rtl/>
        </w:rPr>
        <w:footnoteReference w:id="37"/>
      </w:r>
    </w:p>
    <w:p w14:paraId="42CDE0C6" w14:textId="77777777" w:rsidR="00C561BD" w:rsidRDefault="00C561BD" w:rsidP="00C561BD">
      <w:pPr>
        <w:widowControl/>
        <w:spacing w:line="120" w:lineRule="auto"/>
      </w:pPr>
    </w:p>
    <w:p w14:paraId="6F34F08E" w14:textId="77777777" w:rsidR="00C561BD" w:rsidRDefault="00C561BD" w:rsidP="00C561BD">
      <w:pPr>
        <w:widowControl/>
        <w:spacing w:line="120" w:lineRule="auto"/>
        <w:rPr>
          <w:rtl/>
        </w:rPr>
      </w:pPr>
    </w:p>
    <w:tbl>
      <w:tblPr>
        <w:bidiVisual/>
        <w:tblW w:w="15856" w:type="dxa"/>
        <w:tblInd w:w="50" w:type="dxa"/>
        <w:tblLayout w:type="fixed"/>
        <w:tblCellMar>
          <w:left w:w="0" w:type="dxa"/>
          <w:right w:w="0" w:type="dxa"/>
        </w:tblCellMar>
        <w:tblLook w:val="0000" w:firstRow="0" w:lastRow="0" w:firstColumn="0" w:lastColumn="0" w:noHBand="0" w:noVBand="0"/>
      </w:tblPr>
      <w:tblGrid>
        <w:gridCol w:w="857"/>
        <w:gridCol w:w="2309"/>
        <w:gridCol w:w="113"/>
        <w:gridCol w:w="633"/>
        <w:gridCol w:w="115"/>
        <w:gridCol w:w="633"/>
        <w:gridCol w:w="115"/>
        <w:gridCol w:w="633"/>
        <w:gridCol w:w="115"/>
        <w:gridCol w:w="690"/>
        <w:gridCol w:w="115"/>
        <w:gridCol w:w="231"/>
        <w:gridCol w:w="402"/>
        <w:gridCol w:w="115"/>
        <w:gridCol w:w="633"/>
        <w:gridCol w:w="115"/>
        <w:gridCol w:w="748"/>
        <w:gridCol w:w="115"/>
        <w:gridCol w:w="748"/>
        <w:gridCol w:w="115"/>
        <w:gridCol w:w="690"/>
        <w:gridCol w:w="115"/>
        <w:gridCol w:w="690"/>
        <w:gridCol w:w="115"/>
        <w:gridCol w:w="690"/>
        <w:gridCol w:w="115"/>
        <w:gridCol w:w="690"/>
        <w:gridCol w:w="115"/>
        <w:gridCol w:w="690"/>
        <w:gridCol w:w="146"/>
        <w:gridCol w:w="690"/>
        <w:gridCol w:w="115"/>
        <w:gridCol w:w="690"/>
        <w:gridCol w:w="115"/>
        <w:gridCol w:w="640"/>
      </w:tblGrid>
      <w:tr w:rsidR="00C561BD" w:rsidRPr="00682E64" w14:paraId="10071DE2" w14:textId="77777777" w:rsidTr="00AC2186">
        <w:tc>
          <w:tcPr>
            <w:tcW w:w="857" w:type="dxa"/>
            <w:tcBorders>
              <w:bottom w:val="single" w:sz="4" w:space="0" w:color="auto"/>
              <w:right w:val="single" w:sz="4" w:space="0" w:color="auto"/>
            </w:tcBorders>
          </w:tcPr>
          <w:p w14:paraId="5CFD759D" w14:textId="77777777" w:rsidR="00C561BD" w:rsidRDefault="00C561BD" w:rsidP="00AC2186">
            <w:pPr>
              <w:bidi w:val="0"/>
              <w:spacing w:line="140" w:lineRule="exact"/>
              <w:jc w:val="right"/>
              <w:rPr>
                <w:i/>
                <w:iCs/>
                <w:sz w:val="12"/>
                <w:szCs w:val="12"/>
              </w:rPr>
            </w:pPr>
            <w:r>
              <w:rPr>
                <w:i/>
                <w:iCs/>
                <w:sz w:val="12"/>
                <w:szCs w:val="12"/>
              </w:rPr>
              <w:t>IAS 1.10(c);</w:t>
            </w:r>
          </w:p>
          <w:p w14:paraId="0295F5F6" w14:textId="77777777" w:rsidR="00C561BD" w:rsidRDefault="00C561BD" w:rsidP="00AC2186">
            <w:pPr>
              <w:bidi w:val="0"/>
              <w:spacing w:line="140" w:lineRule="exact"/>
              <w:jc w:val="right"/>
              <w:rPr>
                <w:i/>
                <w:iCs/>
                <w:sz w:val="12"/>
                <w:szCs w:val="12"/>
              </w:rPr>
            </w:pPr>
            <w:r>
              <w:rPr>
                <w:i/>
                <w:iCs/>
                <w:sz w:val="12"/>
                <w:szCs w:val="12"/>
              </w:rPr>
              <w:t>IAS 1.51(b),(c);</w:t>
            </w:r>
          </w:p>
          <w:p w14:paraId="4E097D63" w14:textId="77777777" w:rsidR="00C561BD" w:rsidRPr="00B05763" w:rsidRDefault="00C561BD" w:rsidP="00AC2186">
            <w:pPr>
              <w:bidi w:val="0"/>
              <w:spacing w:line="140" w:lineRule="exact"/>
              <w:jc w:val="right"/>
              <w:rPr>
                <w:i/>
                <w:iCs/>
                <w:sz w:val="12"/>
                <w:szCs w:val="12"/>
              </w:rPr>
            </w:pPr>
            <w:r>
              <w:rPr>
                <w:i/>
                <w:iCs/>
                <w:sz w:val="12"/>
                <w:szCs w:val="12"/>
              </w:rPr>
              <w:t>IAS 34.10</w:t>
            </w:r>
          </w:p>
        </w:tc>
        <w:tc>
          <w:tcPr>
            <w:tcW w:w="2309" w:type="dxa"/>
            <w:tcBorders>
              <w:left w:val="single" w:sz="4" w:space="0" w:color="auto"/>
            </w:tcBorders>
            <w:vAlign w:val="bottom"/>
          </w:tcPr>
          <w:p w14:paraId="5D1C2073" w14:textId="77777777" w:rsidR="00C561BD" w:rsidRPr="00682E64" w:rsidRDefault="00C561BD" w:rsidP="00AC2186">
            <w:pPr>
              <w:tabs>
                <w:tab w:val="decimal" w:pos="113"/>
              </w:tabs>
              <w:spacing w:line="140" w:lineRule="exact"/>
              <w:jc w:val="center"/>
              <w:rPr>
                <w:sz w:val="16"/>
                <w:szCs w:val="16"/>
                <w:rtl/>
              </w:rPr>
            </w:pPr>
          </w:p>
        </w:tc>
        <w:tc>
          <w:tcPr>
            <w:tcW w:w="113" w:type="dxa"/>
            <w:vAlign w:val="bottom"/>
          </w:tcPr>
          <w:p w14:paraId="1B15B252" w14:textId="77777777" w:rsidR="00C561BD" w:rsidRPr="00682E64" w:rsidRDefault="00C561BD" w:rsidP="00AC2186">
            <w:pPr>
              <w:spacing w:line="140" w:lineRule="exact"/>
              <w:jc w:val="center"/>
              <w:rPr>
                <w:sz w:val="16"/>
                <w:szCs w:val="16"/>
              </w:rPr>
            </w:pPr>
          </w:p>
        </w:tc>
        <w:tc>
          <w:tcPr>
            <w:tcW w:w="11017" w:type="dxa"/>
            <w:gridSpan w:val="28"/>
            <w:tcBorders>
              <w:left w:val="nil"/>
              <w:bottom w:val="single" w:sz="6" w:space="0" w:color="auto"/>
              <w:right w:val="nil"/>
            </w:tcBorders>
            <w:vAlign w:val="bottom"/>
          </w:tcPr>
          <w:p w14:paraId="2A66C5C3" w14:textId="77777777" w:rsidR="00C561BD" w:rsidRPr="00682E64" w:rsidRDefault="00C561BD" w:rsidP="00AC2186">
            <w:pPr>
              <w:spacing w:line="140" w:lineRule="exact"/>
              <w:jc w:val="center"/>
              <w:rPr>
                <w:sz w:val="16"/>
                <w:szCs w:val="16"/>
                <w:rtl/>
              </w:rPr>
            </w:pPr>
            <w:r w:rsidRPr="00682E64">
              <w:rPr>
                <w:rFonts w:hint="cs"/>
                <w:sz w:val="16"/>
                <w:szCs w:val="16"/>
                <w:rtl/>
              </w:rPr>
              <w:t xml:space="preserve">מיוחס לבעלי מניות החברה </w:t>
            </w:r>
          </w:p>
        </w:tc>
        <w:tc>
          <w:tcPr>
            <w:tcW w:w="115" w:type="dxa"/>
            <w:vAlign w:val="bottom"/>
          </w:tcPr>
          <w:p w14:paraId="43BD98BD" w14:textId="77777777" w:rsidR="00C561BD" w:rsidRPr="00682E64" w:rsidRDefault="00C561BD" w:rsidP="00AC2186">
            <w:pPr>
              <w:spacing w:line="140" w:lineRule="exact"/>
              <w:jc w:val="center"/>
              <w:rPr>
                <w:sz w:val="16"/>
                <w:szCs w:val="16"/>
              </w:rPr>
            </w:pPr>
          </w:p>
        </w:tc>
        <w:tc>
          <w:tcPr>
            <w:tcW w:w="690" w:type="dxa"/>
            <w:tcBorders>
              <w:left w:val="nil"/>
              <w:right w:val="nil"/>
            </w:tcBorders>
            <w:shd w:val="clear" w:color="auto" w:fill="auto"/>
            <w:vAlign w:val="bottom"/>
          </w:tcPr>
          <w:p w14:paraId="5B996EC3" w14:textId="77777777" w:rsidR="00C561BD" w:rsidRPr="00682E64" w:rsidRDefault="00C561BD" w:rsidP="00AC2186">
            <w:pPr>
              <w:spacing w:line="140" w:lineRule="exact"/>
              <w:jc w:val="center"/>
              <w:rPr>
                <w:sz w:val="16"/>
                <w:szCs w:val="16"/>
                <w:rtl/>
              </w:rPr>
            </w:pPr>
          </w:p>
        </w:tc>
        <w:tc>
          <w:tcPr>
            <w:tcW w:w="115" w:type="dxa"/>
            <w:vAlign w:val="bottom"/>
          </w:tcPr>
          <w:p w14:paraId="283B2275" w14:textId="77777777" w:rsidR="00C561BD" w:rsidRPr="00682E64" w:rsidRDefault="00C561BD" w:rsidP="00AC2186">
            <w:pPr>
              <w:spacing w:line="140" w:lineRule="exact"/>
              <w:jc w:val="center"/>
              <w:rPr>
                <w:sz w:val="16"/>
                <w:szCs w:val="16"/>
              </w:rPr>
            </w:pPr>
          </w:p>
        </w:tc>
        <w:tc>
          <w:tcPr>
            <w:tcW w:w="640" w:type="dxa"/>
            <w:tcBorders>
              <w:left w:val="nil"/>
              <w:right w:val="nil"/>
            </w:tcBorders>
            <w:shd w:val="clear" w:color="auto" w:fill="auto"/>
            <w:vAlign w:val="bottom"/>
          </w:tcPr>
          <w:p w14:paraId="7FA5A064" w14:textId="77777777" w:rsidR="00C561BD" w:rsidRPr="00682E64" w:rsidRDefault="00C561BD" w:rsidP="00AC2186">
            <w:pPr>
              <w:spacing w:line="140" w:lineRule="exact"/>
              <w:jc w:val="center"/>
              <w:rPr>
                <w:sz w:val="16"/>
                <w:szCs w:val="16"/>
                <w:rtl/>
              </w:rPr>
            </w:pPr>
          </w:p>
        </w:tc>
      </w:tr>
      <w:tr w:rsidR="00C561BD" w:rsidRPr="00682E64" w14:paraId="17C9CC89" w14:textId="77777777" w:rsidTr="00AC2186">
        <w:tc>
          <w:tcPr>
            <w:tcW w:w="857" w:type="dxa"/>
            <w:tcBorders>
              <w:top w:val="single" w:sz="4" w:space="0" w:color="auto"/>
            </w:tcBorders>
          </w:tcPr>
          <w:p w14:paraId="7C121CD2" w14:textId="77777777" w:rsidR="00C561BD" w:rsidRPr="00B05763" w:rsidRDefault="00C561BD" w:rsidP="00AC2186">
            <w:pPr>
              <w:bidi w:val="0"/>
              <w:spacing w:line="140" w:lineRule="exact"/>
              <w:jc w:val="right"/>
              <w:rPr>
                <w:i/>
                <w:iCs/>
                <w:sz w:val="12"/>
                <w:szCs w:val="12"/>
              </w:rPr>
            </w:pPr>
          </w:p>
        </w:tc>
        <w:tc>
          <w:tcPr>
            <w:tcW w:w="2309" w:type="dxa"/>
            <w:vAlign w:val="bottom"/>
          </w:tcPr>
          <w:p w14:paraId="5DE8AD8E" w14:textId="77777777" w:rsidR="00C561BD" w:rsidRPr="00682E64" w:rsidRDefault="00C561BD" w:rsidP="00AC2186">
            <w:pPr>
              <w:tabs>
                <w:tab w:val="decimal" w:pos="113"/>
              </w:tabs>
              <w:spacing w:line="140" w:lineRule="exact"/>
              <w:jc w:val="center"/>
              <w:rPr>
                <w:sz w:val="16"/>
                <w:szCs w:val="16"/>
              </w:rPr>
            </w:pPr>
          </w:p>
        </w:tc>
        <w:tc>
          <w:tcPr>
            <w:tcW w:w="113" w:type="dxa"/>
            <w:vAlign w:val="bottom"/>
          </w:tcPr>
          <w:p w14:paraId="425717CC"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2238C693" w14:textId="77777777" w:rsidR="00C561BD" w:rsidRPr="00682E64" w:rsidRDefault="00C561BD" w:rsidP="00AC2186">
            <w:pPr>
              <w:spacing w:line="140" w:lineRule="exact"/>
              <w:jc w:val="center"/>
              <w:rPr>
                <w:sz w:val="16"/>
                <w:szCs w:val="16"/>
                <w:rtl/>
              </w:rPr>
            </w:pPr>
            <w:r w:rsidRPr="00682E64">
              <w:rPr>
                <w:rFonts w:hint="cs"/>
                <w:sz w:val="16"/>
                <w:szCs w:val="16"/>
                <w:rtl/>
              </w:rPr>
              <w:t xml:space="preserve">הון </w:t>
            </w:r>
          </w:p>
          <w:p w14:paraId="7726CA98" w14:textId="77777777" w:rsidR="00C561BD" w:rsidRPr="00682E64" w:rsidRDefault="00C561BD" w:rsidP="00AC2186">
            <w:pPr>
              <w:spacing w:line="140" w:lineRule="exact"/>
              <w:jc w:val="center"/>
              <w:rPr>
                <w:sz w:val="16"/>
                <w:szCs w:val="16"/>
              </w:rPr>
            </w:pPr>
            <w:r w:rsidRPr="00682E64">
              <w:rPr>
                <w:rFonts w:hint="cs"/>
                <w:sz w:val="16"/>
                <w:szCs w:val="16"/>
                <w:rtl/>
              </w:rPr>
              <w:t xml:space="preserve">מניות </w:t>
            </w:r>
          </w:p>
        </w:tc>
        <w:tc>
          <w:tcPr>
            <w:tcW w:w="115" w:type="dxa"/>
            <w:tcBorders>
              <w:top w:val="single" w:sz="6" w:space="0" w:color="auto"/>
              <w:left w:val="nil"/>
              <w:bottom w:val="nil"/>
              <w:right w:val="nil"/>
            </w:tcBorders>
            <w:vAlign w:val="bottom"/>
          </w:tcPr>
          <w:p w14:paraId="26371737"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2A826556" w14:textId="77777777" w:rsidR="00C561BD" w:rsidRPr="00682E64" w:rsidRDefault="00C561BD" w:rsidP="00AC2186">
            <w:pPr>
              <w:spacing w:line="140" w:lineRule="exact"/>
              <w:jc w:val="center"/>
              <w:rPr>
                <w:sz w:val="16"/>
                <w:szCs w:val="16"/>
              </w:rPr>
            </w:pPr>
            <w:r w:rsidRPr="00682E64">
              <w:rPr>
                <w:rFonts w:hint="cs"/>
                <w:sz w:val="16"/>
                <w:szCs w:val="16"/>
                <w:rtl/>
              </w:rPr>
              <w:t>פרמיה על מניות</w:t>
            </w:r>
          </w:p>
        </w:tc>
        <w:tc>
          <w:tcPr>
            <w:tcW w:w="115" w:type="dxa"/>
            <w:tcBorders>
              <w:top w:val="single" w:sz="6" w:space="0" w:color="auto"/>
              <w:left w:val="nil"/>
              <w:bottom w:val="nil"/>
              <w:right w:val="nil"/>
            </w:tcBorders>
            <w:vAlign w:val="bottom"/>
          </w:tcPr>
          <w:p w14:paraId="67764B3D"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40314970" w14:textId="77777777" w:rsidR="00C561BD" w:rsidRPr="00682E64" w:rsidRDefault="00C561BD" w:rsidP="00AC2186">
            <w:pPr>
              <w:spacing w:line="140" w:lineRule="exact"/>
              <w:jc w:val="center"/>
              <w:rPr>
                <w:sz w:val="16"/>
                <w:szCs w:val="16"/>
                <w:rtl/>
              </w:rPr>
            </w:pPr>
            <w:r w:rsidRPr="00682E64">
              <w:rPr>
                <w:rFonts w:hint="cs"/>
                <w:sz w:val="16"/>
                <w:szCs w:val="16"/>
                <w:rtl/>
              </w:rPr>
              <w:t>כתבי</w:t>
            </w:r>
          </w:p>
          <w:p w14:paraId="3DDB2534" w14:textId="77777777" w:rsidR="00C561BD" w:rsidRPr="00682E64" w:rsidRDefault="00C561BD" w:rsidP="00AC2186">
            <w:pPr>
              <w:spacing w:line="140" w:lineRule="exact"/>
              <w:jc w:val="center"/>
              <w:rPr>
                <w:sz w:val="16"/>
                <w:szCs w:val="16"/>
              </w:rPr>
            </w:pPr>
            <w:r w:rsidRPr="00682E64">
              <w:rPr>
                <w:rFonts w:hint="cs"/>
                <w:sz w:val="16"/>
                <w:szCs w:val="16"/>
                <w:rtl/>
              </w:rPr>
              <w:t xml:space="preserve"> אופציה</w:t>
            </w:r>
          </w:p>
        </w:tc>
        <w:tc>
          <w:tcPr>
            <w:tcW w:w="115" w:type="dxa"/>
            <w:tcBorders>
              <w:top w:val="single" w:sz="6" w:space="0" w:color="auto"/>
              <w:left w:val="nil"/>
              <w:bottom w:val="nil"/>
              <w:right w:val="nil"/>
            </w:tcBorders>
            <w:vAlign w:val="bottom"/>
          </w:tcPr>
          <w:p w14:paraId="1B2F1BBA" w14:textId="77777777" w:rsidR="00C561BD" w:rsidRPr="00682E64" w:rsidRDefault="00C561BD" w:rsidP="00AC2186">
            <w:pPr>
              <w:spacing w:line="140" w:lineRule="exact"/>
              <w:jc w:val="center"/>
              <w:rPr>
                <w:sz w:val="16"/>
                <w:szCs w:val="16"/>
              </w:rPr>
            </w:pPr>
          </w:p>
        </w:tc>
        <w:tc>
          <w:tcPr>
            <w:tcW w:w="690" w:type="dxa"/>
            <w:tcBorders>
              <w:top w:val="single" w:sz="6" w:space="0" w:color="auto"/>
              <w:left w:val="nil"/>
              <w:bottom w:val="single" w:sz="6" w:space="0" w:color="auto"/>
              <w:right w:val="nil"/>
            </w:tcBorders>
            <w:vAlign w:val="bottom"/>
          </w:tcPr>
          <w:p w14:paraId="79476E42" w14:textId="5ABF19DB" w:rsidR="00C561BD" w:rsidRPr="00516850" w:rsidRDefault="00516850" w:rsidP="00AC2186">
            <w:pPr>
              <w:spacing w:line="180" w:lineRule="exact"/>
              <w:jc w:val="center"/>
              <w:rPr>
                <w:sz w:val="14"/>
                <w:szCs w:val="14"/>
              </w:rPr>
            </w:pPr>
            <w:r w:rsidRPr="00682E64">
              <w:rPr>
                <w:rFonts w:hint="cs"/>
                <w:sz w:val="16"/>
                <w:szCs w:val="16"/>
                <w:rtl/>
              </w:rPr>
              <w:t>קרן בגין עסקאות עם בעלי זכויות שאינן מקנות שליטה</w:t>
            </w:r>
            <w:r w:rsidRPr="00682E64">
              <w:rPr>
                <w:rStyle w:val="ab"/>
                <w:sz w:val="16"/>
                <w:szCs w:val="16"/>
              </w:rPr>
              <w:footnoteReference w:id="38"/>
            </w:r>
          </w:p>
        </w:tc>
        <w:tc>
          <w:tcPr>
            <w:tcW w:w="115" w:type="dxa"/>
            <w:tcBorders>
              <w:top w:val="single" w:sz="6" w:space="0" w:color="auto"/>
              <w:left w:val="nil"/>
              <w:bottom w:val="nil"/>
              <w:right w:val="nil"/>
            </w:tcBorders>
            <w:vAlign w:val="bottom"/>
          </w:tcPr>
          <w:p w14:paraId="445DC2F3" w14:textId="77777777" w:rsidR="00C561BD" w:rsidRPr="00682E64" w:rsidRDefault="00C561BD" w:rsidP="00AC2186">
            <w:pPr>
              <w:spacing w:line="140" w:lineRule="exact"/>
              <w:jc w:val="center"/>
              <w:rPr>
                <w:sz w:val="16"/>
                <w:szCs w:val="16"/>
              </w:rPr>
            </w:pPr>
          </w:p>
        </w:tc>
        <w:tc>
          <w:tcPr>
            <w:tcW w:w="633" w:type="dxa"/>
            <w:gridSpan w:val="2"/>
            <w:tcBorders>
              <w:top w:val="single" w:sz="6" w:space="0" w:color="auto"/>
              <w:left w:val="nil"/>
              <w:bottom w:val="single" w:sz="6" w:space="0" w:color="auto"/>
              <w:right w:val="nil"/>
            </w:tcBorders>
            <w:vAlign w:val="bottom"/>
          </w:tcPr>
          <w:p w14:paraId="5C0CD08C" w14:textId="77777777" w:rsidR="00C561BD" w:rsidRPr="00682E64" w:rsidRDefault="00C561BD" w:rsidP="00AC2186">
            <w:pPr>
              <w:spacing w:line="140" w:lineRule="exact"/>
              <w:jc w:val="center"/>
              <w:rPr>
                <w:sz w:val="16"/>
                <w:szCs w:val="16"/>
                <w:rtl/>
              </w:rPr>
            </w:pPr>
            <w:r w:rsidRPr="00682E64">
              <w:rPr>
                <w:rFonts w:hint="cs"/>
                <w:sz w:val="16"/>
                <w:szCs w:val="16"/>
                <w:rtl/>
              </w:rPr>
              <w:t xml:space="preserve">מניות </w:t>
            </w:r>
          </w:p>
          <w:p w14:paraId="72A976C1" w14:textId="77777777" w:rsidR="00C561BD" w:rsidRPr="00682E64" w:rsidRDefault="00C561BD" w:rsidP="00AC2186">
            <w:pPr>
              <w:spacing w:line="140" w:lineRule="exact"/>
              <w:jc w:val="center"/>
              <w:rPr>
                <w:sz w:val="16"/>
                <w:szCs w:val="16"/>
              </w:rPr>
            </w:pPr>
            <w:r w:rsidRPr="00682E64">
              <w:rPr>
                <w:rFonts w:hint="cs"/>
                <w:sz w:val="16"/>
                <w:szCs w:val="16"/>
                <w:rtl/>
              </w:rPr>
              <w:t>אוצר</w:t>
            </w:r>
          </w:p>
        </w:tc>
        <w:tc>
          <w:tcPr>
            <w:tcW w:w="115" w:type="dxa"/>
            <w:tcBorders>
              <w:top w:val="single" w:sz="6" w:space="0" w:color="auto"/>
              <w:left w:val="nil"/>
              <w:bottom w:val="nil"/>
              <w:right w:val="nil"/>
            </w:tcBorders>
            <w:vAlign w:val="bottom"/>
          </w:tcPr>
          <w:p w14:paraId="6A3DB988"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5D037424" w14:textId="77777777" w:rsidR="00C561BD" w:rsidRPr="00682E64" w:rsidRDefault="00C561BD" w:rsidP="00AC2186">
            <w:pPr>
              <w:spacing w:line="140" w:lineRule="exact"/>
              <w:jc w:val="center"/>
              <w:rPr>
                <w:sz w:val="16"/>
                <w:szCs w:val="16"/>
              </w:rPr>
            </w:pPr>
            <w:r w:rsidRPr="00682E64">
              <w:rPr>
                <w:rFonts w:hint="cs"/>
                <w:sz w:val="16"/>
                <w:szCs w:val="16"/>
                <w:rtl/>
              </w:rPr>
              <w:t>קרן בגין עסקה עם בעל שליטה</w:t>
            </w:r>
          </w:p>
        </w:tc>
        <w:tc>
          <w:tcPr>
            <w:tcW w:w="115" w:type="dxa"/>
            <w:tcBorders>
              <w:top w:val="single" w:sz="6" w:space="0" w:color="auto"/>
              <w:left w:val="nil"/>
              <w:bottom w:val="nil"/>
              <w:right w:val="nil"/>
            </w:tcBorders>
            <w:vAlign w:val="bottom"/>
          </w:tcPr>
          <w:p w14:paraId="688B6BD5" w14:textId="77777777" w:rsidR="00C561BD" w:rsidRPr="00682E64" w:rsidRDefault="00C561BD" w:rsidP="00AC2186">
            <w:pPr>
              <w:spacing w:line="140" w:lineRule="exact"/>
              <w:jc w:val="center"/>
              <w:rPr>
                <w:sz w:val="16"/>
                <w:szCs w:val="16"/>
              </w:rPr>
            </w:pPr>
          </w:p>
        </w:tc>
        <w:tc>
          <w:tcPr>
            <w:tcW w:w="748" w:type="dxa"/>
            <w:tcBorders>
              <w:top w:val="single" w:sz="6" w:space="0" w:color="auto"/>
              <w:left w:val="nil"/>
              <w:bottom w:val="single" w:sz="6" w:space="0" w:color="auto"/>
              <w:right w:val="nil"/>
            </w:tcBorders>
            <w:vAlign w:val="bottom"/>
          </w:tcPr>
          <w:p w14:paraId="47B4B3A7" w14:textId="77777777" w:rsidR="00C561BD" w:rsidRPr="00682E64" w:rsidRDefault="00C561BD" w:rsidP="00AC2186">
            <w:pPr>
              <w:pStyle w:val="a3"/>
              <w:widowControl/>
              <w:spacing w:line="140" w:lineRule="exact"/>
              <w:ind w:left="0"/>
              <w:jc w:val="center"/>
              <w:rPr>
                <w:sz w:val="16"/>
                <w:szCs w:val="16"/>
              </w:rPr>
            </w:pPr>
            <w:r w:rsidRPr="00682E64">
              <w:rPr>
                <w:rFonts w:hint="cs"/>
                <w:sz w:val="16"/>
                <w:szCs w:val="16"/>
                <w:rtl/>
              </w:rPr>
              <w:t>קרן בגין עסקאות תשלום מבוסס מניות</w:t>
            </w:r>
            <w:r w:rsidRPr="00682E64" w:rsidDel="00BC1882">
              <w:rPr>
                <w:rFonts w:hint="cs"/>
                <w:sz w:val="16"/>
                <w:szCs w:val="16"/>
                <w:rtl/>
              </w:rPr>
              <w:t xml:space="preserve"> </w:t>
            </w:r>
          </w:p>
        </w:tc>
        <w:tc>
          <w:tcPr>
            <w:tcW w:w="115" w:type="dxa"/>
            <w:tcBorders>
              <w:top w:val="single" w:sz="6" w:space="0" w:color="auto"/>
              <w:left w:val="nil"/>
              <w:bottom w:val="nil"/>
              <w:right w:val="nil"/>
            </w:tcBorders>
            <w:vAlign w:val="bottom"/>
          </w:tcPr>
          <w:p w14:paraId="7A5CEF5F" w14:textId="77777777" w:rsidR="00C561BD" w:rsidRPr="00682E64" w:rsidRDefault="00C561BD" w:rsidP="00AC2186">
            <w:pPr>
              <w:spacing w:line="140" w:lineRule="exact"/>
              <w:jc w:val="center"/>
              <w:rPr>
                <w:sz w:val="16"/>
                <w:szCs w:val="16"/>
              </w:rPr>
            </w:pPr>
          </w:p>
        </w:tc>
        <w:tc>
          <w:tcPr>
            <w:tcW w:w="748" w:type="dxa"/>
            <w:tcBorders>
              <w:top w:val="single" w:sz="6" w:space="0" w:color="auto"/>
              <w:left w:val="nil"/>
              <w:bottom w:val="single" w:sz="6" w:space="0" w:color="auto"/>
              <w:right w:val="nil"/>
            </w:tcBorders>
            <w:vAlign w:val="bottom"/>
          </w:tcPr>
          <w:p w14:paraId="5A580A51"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יתרת רווח (הפסד)</w:t>
            </w:r>
          </w:p>
        </w:tc>
        <w:tc>
          <w:tcPr>
            <w:tcW w:w="115" w:type="dxa"/>
            <w:tcBorders>
              <w:left w:val="nil"/>
              <w:bottom w:val="nil"/>
              <w:right w:val="nil"/>
            </w:tcBorders>
            <w:vAlign w:val="bottom"/>
          </w:tcPr>
          <w:p w14:paraId="7E90BA89" w14:textId="77777777" w:rsidR="00C561BD" w:rsidRPr="00682E64" w:rsidRDefault="00C561BD" w:rsidP="00AC2186">
            <w:pPr>
              <w:spacing w:line="140" w:lineRule="exact"/>
              <w:jc w:val="center"/>
              <w:rPr>
                <w:sz w:val="16"/>
                <w:szCs w:val="16"/>
              </w:rPr>
            </w:pPr>
          </w:p>
        </w:tc>
        <w:tc>
          <w:tcPr>
            <w:tcW w:w="690" w:type="dxa"/>
            <w:tcBorders>
              <w:top w:val="single" w:sz="6" w:space="0" w:color="auto"/>
              <w:left w:val="nil"/>
              <w:bottom w:val="single" w:sz="6" w:space="0" w:color="auto"/>
              <w:right w:val="nil"/>
            </w:tcBorders>
            <w:shd w:val="clear" w:color="auto" w:fill="auto"/>
            <w:vAlign w:val="bottom"/>
          </w:tcPr>
          <w:p w14:paraId="1151164E"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קרן הערכה מחדש</w:t>
            </w:r>
          </w:p>
        </w:tc>
        <w:tc>
          <w:tcPr>
            <w:tcW w:w="115" w:type="dxa"/>
            <w:tcBorders>
              <w:top w:val="single" w:sz="6" w:space="0" w:color="auto"/>
              <w:left w:val="nil"/>
              <w:right w:val="nil"/>
            </w:tcBorders>
            <w:shd w:val="clear" w:color="auto" w:fill="auto"/>
          </w:tcPr>
          <w:p w14:paraId="6ED15D9D"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71014179" w14:textId="2D2036C2" w:rsidR="00C561BD" w:rsidRPr="00682E64" w:rsidRDefault="00C561BD" w:rsidP="00827093">
            <w:pPr>
              <w:pStyle w:val="a3"/>
              <w:widowControl/>
              <w:spacing w:line="140" w:lineRule="exact"/>
              <w:ind w:left="0"/>
              <w:jc w:val="center"/>
              <w:rPr>
                <w:sz w:val="16"/>
                <w:szCs w:val="16"/>
                <w:rtl/>
              </w:rPr>
            </w:pPr>
            <w:r w:rsidRPr="00682E64">
              <w:rPr>
                <w:rFonts w:hint="cs"/>
                <w:sz w:val="16"/>
                <w:szCs w:val="16"/>
                <w:rtl/>
              </w:rPr>
              <w:t xml:space="preserve">קרן בגין נכסים פיננסיים </w:t>
            </w:r>
            <w:r w:rsidR="00827093">
              <w:rPr>
                <w:rFonts w:hint="cs"/>
                <w:sz w:val="16"/>
                <w:szCs w:val="16"/>
                <w:rtl/>
              </w:rPr>
              <w:t>הנמדדים בשווי הוגן דרך רווח כולל אחר</w:t>
            </w:r>
          </w:p>
        </w:tc>
        <w:tc>
          <w:tcPr>
            <w:tcW w:w="115" w:type="dxa"/>
            <w:tcBorders>
              <w:top w:val="single" w:sz="6" w:space="0" w:color="auto"/>
              <w:left w:val="nil"/>
              <w:right w:val="nil"/>
            </w:tcBorders>
            <w:shd w:val="clear" w:color="auto" w:fill="auto"/>
          </w:tcPr>
          <w:p w14:paraId="5839BF75"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3A72D920"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קרן בגין עסקאות גידור</w:t>
            </w:r>
          </w:p>
        </w:tc>
        <w:tc>
          <w:tcPr>
            <w:tcW w:w="115" w:type="dxa"/>
            <w:tcBorders>
              <w:top w:val="single" w:sz="6" w:space="0" w:color="auto"/>
              <w:left w:val="nil"/>
              <w:right w:val="nil"/>
            </w:tcBorders>
            <w:shd w:val="clear" w:color="auto" w:fill="auto"/>
            <w:vAlign w:val="bottom"/>
          </w:tcPr>
          <w:p w14:paraId="6300707F"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22E8AA1B"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התאמות הנובעות מתרגום דוחות כספיים של פעילויות חוץ</w:t>
            </w:r>
            <w:r w:rsidRPr="00682E64">
              <w:rPr>
                <w:rStyle w:val="ab"/>
                <w:sz w:val="16"/>
                <w:szCs w:val="16"/>
                <w:rtl/>
              </w:rPr>
              <w:footnoteReference w:id="39"/>
            </w:r>
            <w:r w:rsidRPr="00682E64">
              <w:rPr>
                <w:rFonts w:hint="cs"/>
                <w:sz w:val="16"/>
                <w:szCs w:val="16"/>
                <w:rtl/>
              </w:rPr>
              <w:t xml:space="preserve"> </w:t>
            </w:r>
          </w:p>
        </w:tc>
        <w:tc>
          <w:tcPr>
            <w:tcW w:w="115" w:type="dxa"/>
            <w:tcBorders>
              <w:top w:val="single" w:sz="6" w:space="0" w:color="auto"/>
              <w:left w:val="nil"/>
              <w:right w:val="nil"/>
            </w:tcBorders>
            <w:shd w:val="clear" w:color="auto" w:fill="auto"/>
            <w:vAlign w:val="bottom"/>
          </w:tcPr>
          <w:p w14:paraId="52D28BD9"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724BECF4" w14:textId="4631D87C" w:rsidR="00C561BD" w:rsidRPr="00682E64" w:rsidRDefault="00516850" w:rsidP="00AC2186">
            <w:pPr>
              <w:pStyle w:val="a3"/>
              <w:widowControl/>
              <w:spacing w:line="140" w:lineRule="exact"/>
              <w:ind w:left="0"/>
              <w:jc w:val="center"/>
              <w:rPr>
                <w:sz w:val="16"/>
                <w:szCs w:val="16"/>
                <w:rtl/>
              </w:rPr>
            </w:pPr>
            <w:r>
              <w:rPr>
                <w:rFonts w:hint="cs"/>
                <w:sz w:val="16"/>
                <w:szCs w:val="16"/>
                <w:rtl/>
              </w:rPr>
              <w:t>קרן בגין מדידה מחדש בשל תכנית להטבה מוגדרת</w:t>
            </w:r>
          </w:p>
        </w:tc>
        <w:tc>
          <w:tcPr>
            <w:tcW w:w="146" w:type="dxa"/>
            <w:tcBorders>
              <w:left w:val="nil"/>
              <w:right w:val="nil"/>
            </w:tcBorders>
            <w:vAlign w:val="bottom"/>
          </w:tcPr>
          <w:p w14:paraId="65CE46C6" w14:textId="77777777" w:rsidR="00C561BD" w:rsidRPr="00682E64" w:rsidRDefault="00C561BD" w:rsidP="00AC2186">
            <w:pPr>
              <w:spacing w:line="140" w:lineRule="exact"/>
              <w:jc w:val="center"/>
              <w:rPr>
                <w:sz w:val="16"/>
                <w:szCs w:val="16"/>
              </w:rPr>
            </w:pPr>
          </w:p>
        </w:tc>
        <w:tc>
          <w:tcPr>
            <w:tcW w:w="690" w:type="dxa"/>
            <w:tcBorders>
              <w:left w:val="nil"/>
              <w:bottom w:val="single" w:sz="6" w:space="0" w:color="auto"/>
              <w:right w:val="nil"/>
            </w:tcBorders>
            <w:shd w:val="clear" w:color="auto" w:fill="auto"/>
            <w:vAlign w:val="bottom"/>
          </w:tcPr>
          <w:p w14:paraId="357DF6C4" w14:textId="77777777" w:rsidR="00C561BD" w:rsidRPr="00682E64" w:rsidRDefault="00C561BD" w:rsidP="00AC2186">
            <w:pPr>
              <w:widowControl/>
              <w:spacing w:line="140" w:lineRule="exact"/>
              <w:jc w:val="center"/>
              <w:rPr>
                <w:sz w:val="16"/>
                <w:szCs w:val="16"/>
              </w:rPr>
            </w:pPr>
            <w:r w:rsidRPr="00682E64">
              <w:rPr>
                <w:rFonts w:hint="cs"/>
                <w:sz w:val="16"/>
                <w:szCs w:val="16"/>
                <w:rtl/>
              </w:rPr>
              <w:t>סה"כ</w:t>
            </w:r>
          </w:p>
        </w:tc>
        <w:tc>
          <w:tcPr>
            <w:tcW w:w="115" w:type="dxa"/>
            <w:vAlign w:val="bottom"/>
          </w:tcPr>
          <w:p w14:paraId="3C709911" w14:textId="77777777" w:rsidR="00C561BD" w:rsidRPr="00682E64" w:rsidRDefault="00C561BD" w:rsidP="00AC2186">
            <w:pPr>
              <w:spacing w:line="140" w:lineRule="exact"/>
              <w:jc w:val="center"/>
              <w:rPr>
                <w:sz w:val="16"/>
                <w:szCs w:val="16"/>
              </w:rPr>
            </w:pPr>
          </w:p>
        </w:tc>
        <w:tc>
          <w:tcPr>
            <w:tcW w:w="690" w:type="dxa"/>
            <w:tcBorders>
              <w:left w:val="nil"/>
              <w:bottom w:val="single" w:sz="6" w:space="0" w:color="auto"/>
              <w:right w:val="nil"/>
            </w:tcBorders>
            <w:shd w:val="clear" w:color="auto" w:fill="auto"/>
            <w:vAlign w:val="bottom"/>
          </w:tcPr>
          <w:p w14:paraId="46ACEF2D" w14:textId="77777777" w:rsidR="00C561BD" w:rsidRPr="00682E64" w:rsidRDefault="00C561BD" w:rsidP="00AC2186">
            <w:pPr>
              <w:widowControl/>
              <w:spacing w:line="140" w:lineRule="exact"/>
              <w:jc w:val="center"/>
              <w:rPr>
                <w:sz w:val="16"/>
                <w:szCs w:val="16"/>
              </w:rPr>
            </w:pPr>
            <w:r w:rsidRPr="00682E64">
              <w:rPr>
                <w:rFonts w:hint="cs"/>
                <w:sz w:val="16"/>
                <w:szCs w:val="16"/>
                <w:rtl/>
              </w:rPr>
              <w:t>זכויות שאינן מקנות שליטה</w:t>
            </w:r>
          </w:p>
        </w:tc>
        <w:tc>
          <w:tcPr>
            <w:tcW w:w="115" w:type="dxa"/>
            <w:vAlign w:val="bottom"/>
          </w:tcPr>
          <w:p w14:paraId="73606E8E" w14:textId="77777777" w:rsidR="00C561BD" w:rsidRPr="00682E64" w:rsidRDefault="00C561BD" w:rsidP="00AC2186">
            <w:pPr>
              <w:spacing w:line="140" w:lineRule="exact"/>
              <w:jc w:val="center"/>
              <w:rPr>
                <w:sz w:val="16"/>
                <w:szCs w:val="16"/>
              </w:rPr>
            </w:pPr>
          </w:p>
        </w:tc>
        <w:tc>
          <w:tcPr>
            <w:tcW w:w="640" w:type="dxa"/>
            <w:tcBorders>
              <w:left w:val="nil"/>
              <w:bottom w:val="single" w:sz="6" w:space="0" w:color="auto"/>
              <w:right w:val="nil"/>
            </w:tcBorders>
            <w:shd w:val="clear" w:color="auto" w:fill="auto"/>
            <w:vAlign w:val="bottom"/>
          </w:tcPr>
          <w:p w14:paraId="557E3C4A" w14:textId="77777777" w:rsidR="00C561BD" w:rsidRPr="00682E64" w:rsidRDefault="00C561BD" w:rsidP="00AC2186">
            <w:pPr>
              <w:widowControl/>
              <w:spacing w:line="140" w:lineRule="exact"/>
              <w:jc w:val="center"/>
              <w:rPr>
                <w:sz w:val="16"/>
                <w:szCs w:val="16"/>
                <w:rtl/>
              </w:rPr>
            </w:pPr>
            <w:r w:rsidRPr="00682E64">
              <w:rPr>
                <w:rFonts w:hint="cs"/>
                <w:sz w:val="16"/>
                <w:szCs w:val="16"/>
                <w:rtl/>
              </w:rPr>
              <w:t xml:space="preserve">סה"כ </w:t>
            </w:r>
          </w:p>
          <w:p w14:paraId="66DBC2B7" w14:textId="77777777" w:rsidR="00C561BD" w:rsidRPr="00682E64" w:rsidRDefault="00C561BD" w:rsidP="00AC2186">
            <w:pPr>
              <w:spacing w:line="140" w:lineRule="exact"/>
              <w:jc w:val="center"/>
              <w:rPr>
                <w:sz w:val="16"/>
                <w:szCs w:val="16"/>
              </w:rPr>
            </w:pPr>
            <w:r w:rsidRPr="00682E64">
              <w:rPr>
                <w:rFonts w:hint="cs"/>
                <w:sz w:val="16"/>
                <w:szCs w:val="16"/>
                <w:rtl/>
              </w:rPr>
              <w:t>הון</w:t>
            </w:r>
          </w:p>
        </w:tc>
      </w:tr>
      <w:tr w:rsidR="00C561BD" w:rsidRPr="00682E64" w14:paraId="2F37D2AB" w14:textId="77777777" w:rsidTr="00AC2186">
        <w:tc>
          <w:tcPr>
            <w:tcW w:w="857" w:type="dxa"/>
          </w:tcPr>
          <w:p w14:paraId="33B86662" w14:textId="77777777" w:rsidR="00C561BD" w:rsidRPr="00B05763" w:rsidRDefault="00C561BD" w:rsidP="00AC2186">
            <w:pPr>
              <w:bidi w:val="0"/>
              <w:spacing w:line="140" w:lineRule="exact"/>
              <w:jc w:val="right"/>
              <w:rPr>
                <w:i/>
                <w:iCs/>
                <w:sz w:val="12"/>
                <w:szCs w:val="12"/>
              </w:rPr>
            </w:pPr>
          </w:p>
        </w:tc>
        <w:tc>
          <w:tcPr>
            <w:tcW w:w="2309" w:type="dxa"/>
            <w:vAlign w:val="bottom"/>
          </w:tcPr>
          <w:p w14:paraId="443C836F" w14:textId="77777777" w:rsidR="00C561BD" w:rsidRPr="00682E64" w:rsidRDefault="00C561BD" w:rsidP="00AC2186">
            <w:pPr>
              <w:pStyle w:val="a3"/>
              <w:spacing w:line="140" w:lineRule="exact"/>
              <w:ind w:left="0"/>
              <w:rPr>
                <w:b/>
                <w:sz w:val="16"/>
                <w:szCs w:val="16"/>
                <w:u w:val="single"/>
              </w:rPr>
            </w:pPr>
          </w:p>
        </w:tc>
        <w:tc>
          <w:tcPr>
            <w:tcW w:w="113" w:type="dxa"/>
            <w:vAlign w:val="bottom"/>
          </w:tcPr>
          <w:p w14:paraId="608B1E40" w14:textId="77777777" w:rsidR="00C561BD" w:rsidRPr="00682E64" w:rsidRDefault="00C561BD" w:rsidP="00AC2186">
            <w:pPr>
              <w:spacing w:line="140" w:lineRule="exact"/>
              <w:rPr>
                <w:sz w:val="16"/>
                <w:szCs w:val="16"/>
              </w:rPr>
            </w:pPr>
          </w:p>
        </w:tc>
        <w:tc>
          <w:tcPr>
            <w:tcW w:w="12577" w:type="dxa"/>
            <w:gridSpan w:val="32"/>
            <w:tcBorders>
              <w:left w:val="nil"/>
              <w:bottom w:val="single" w:sz="6" w:space="0" w:color="auto"/>
              <w:right w:val="nil"/>
            </w:tcBorders>
            <w:shd w:val="clear" w:color="auto" w:fill="auto"/>
            <w:vAlign w:val="bottom"/>
          </w:tcPr>
          <w:p w14:paraId="541470CA" w14:textId="77777777" w:rsidR="00C561BD" w:rsidRPr="00682E64" w:rsidRDefault="00C561BD" w:rsidP="00AC2186">
            <w:pPr>
              <w:tabs>
                <w:tab w:val="decimal" w:pos="113"/>
              </w:tabs>
              <w:spacing w:line="140" w:lineRule="exact"/>
              <w:jc w:val="center"/>
              <w:rPr>
                <w:sz w:val="16"/>
                <w:szCs w:val="16"/>
                <w:rtl/>
              </w:rPr>
            </w:pPr>
            <w:r w:rsidRPr="00682E64">
              <w:rPr>
                <w:rFonts w:hint="cs"/>
                <w:sz w:val="16"/>
                <w:szCs w:val="16"/>
                <w:rtl/>
              </w:rPr>
              <w:t>בלתי מבוקר</w:t>
            </w:r>
          </w:p>
        </w:tc>
      </w:tr>
      <w:tr w:rsidR="00C561BD" w:rsidRPr="00682E64" w14:paraId="52FEFBC9" w14:textId="77777777" w:rsidTr="00AC2186">
        <w:tc>
          <w:tcPr>
            <w:tcW w:w="857" w:type="dxa"/>
          </w:tcPr>
          <w:p w14:paraId="0B99C96F" w14:textId="77777777" w:rsidR="00C561BD" w:rsidRPr="00B05763" w:rsidRDefault="00C561BD" w:rsidP="00AC2186">
            <w:pPr>
              <w:bidi w:val="0"/>
              <w:spacing w:line="140" w:lineRule="exact"/>
              <w:jc w:val="right"/>
              <w:rPr>
                <w:i/>
                <w:iCs/>
                <w:sz w:val="12"/>
                <w:szCs w:val="12"/>
              </w:rPr>
            </w:pPr>
          </w:p>
        </w:tc>
        <w:tc>
          <w:tcPr>
            <w:tcW w:w="2309" w:type="dxa"/>
            <w:vAlign w:val="bottom"/>
          </w:tcPr>
          <w:p w14:paraId="25D15C9A" w14:textId="77777777" w:rsidR="00C561BD" w:rsidRPr="00682E64" w:rsidRDefault="00C561BD" w:rsidP="00AC2186">
            <w:pPr>
              <w:pStyle w:val="a3"/>
              <w:spacing w:line="140" w:lineRule="exact"/>
              <w:ind w:left="0"/>
              <w:rPr>
                <w:b/>
                <w:sz w:val="16"/>
                <w:szCs w:val="16"/>
                <w:u w:val="single"/>
              </w:rPr>
            </w:pPr>
          </w:p>
        </w:tc>
        <w:tc>
          <w:tcPr>
            <w:tcW w:w="113" w:type="dxa"/>
            <w:vAlign w:val="bottom"/>
          </w:tcPr>
          <w:p w14:paraId="6BDA390A" w14:textId="77777777" w:rsidR="00C561BD" w:rsidRPr="00682E64" w:rsidRDefault="00C561BD" w:rsidP="00AC2186">
            <w:pPr>
              <w:spacing w:line="140" w:lineRule="exact"/>
              <w:rPr>
                <w:sz w:val="16"/>
                <w:szCs w:val="16"/>
              </w:rPr>
            </w:pPr>
          </w:p>
        </w:tc>
        <w:tc>
          <w:tcPr>
            <w:tcW w:w="3280" w:type="dxa"/>
            <w:gridSpan w:val="9"/>
            <w:tcBorders>
              <w:left w:val="nil"/>
              <w:bottom w:val="single" w:sz="6" w:space="0" w:color="auto"/>
              <w:right w:val="nil"/>
            </w:tcBorders>
            <w:shd w:val="clear" w:color="auto" w:fill="auto"/>
            <w:vAlign w:val="bottom"/>
          </w:tcPr>
          <w:p w14:paraId="2DCB1E35" w14:textId="77777777" w:rsidR="00C561BD" w:rsidRPr="00B05763" w:rsidRDefault="00C561BD" w:rsidP="00AC2186">
            <w:pPr>
              <w:bidi w:val="0"/>
              <w:spacing w:line="140" w:lineRule="exact"/>
              <w:jc w:val="left"/>
              <w:rPr>
                <w:i/>
                <w:iCs/>
                <w:sz w:val="13"/>
                <w:szCs w:val="13"/>
              </w:rPr>
            </w:pPr>
            <w:r w:rsidRPr="00B05763">
              <w:rPr>
                <w:i/>
                <w:iCs/>
                <w:sz w:val="13"/>
                <w:szCs w:val="13"/>
              </w:rPr>
              <w:t>IAS 1.</w:t>
            </w:r>
            <w:r>
              <w:rPr>
                <w:i/>
                <w:iCs/>
                <w:sz w:val="13"/>
                <w:szCs w:val="13"/>
              </w:rPr>
              <w:t>51</w:t>
            </w:r>
            <w:r w:rsidRPr="00B05763">
              <w:rPr>
                <w:i/>
                <w:iCs/>
                <w:sz w:val="13"/>
                <w:szCs w:val="13"/>
              </w:rPr>
              <w:t>(d)</w:t>
            </w:r>
            <w:r>
              <w:rPr>
                <w:i/>
                <w:iCs/>
                <w:sz w:val="13"/>
                <w:szCs w:val="13"/>
              </w:rPr>
              <w:t>,</w:t>
            </w:r>
            <w:r w:rsidRPr="00B05763">
              <w:rPr>
                <w:i/>
                <w:iCs/>
                <w:sz w:val="13"/>
                <w:szCs w:val="13"/>
              </w:rPr>
              <w:t>(</w:t>
            </w:r>
            <w:r>
              <w:rPr>
                <w:i/>
                <w:iCs/>
                <w:sz w:val="13"/>
                <w:szCs w:val="13"/>
              </w:rPr>
              <w:t>e</w:t>
            </w:r>
            <w:r w:rsidRPr="00B05763">
              <w:rPr>
                <w:i/>
                <w:iCs/>
                <w:sz w:val="13"/>
                <w:szCs w:val="13"/>
              </w:rPr>
              <w:t>)</w:t>
            </w:r>
          </w:p>
        </w:tc>
        <w:tc>
          <w:tcPr>
            <w:tcW w:w="9297" w:type="dxa"/>
            <w:gridSpan w:val="23"/>
            <w:tcBorders>
              <w:left w:val="nil"/>
              <w:bottom w:val="single" w:sz="6" w:space="0" w:color="auto"/>
              <w:right w:val="nil"/>
            </w:tcBorders>
            <w:shd w:val="clear" w:color="auto" w:fill="auto"/>
            <w:vAlign w:val="bottom"/>
          </w:tcPr>
          <w:p w14:paraId="6452AE8B" w14:textId="77777777" w:rsidR="00C561BD" w:rsidRPr="00682E64" w:rsidRDefault="00C561BD" w:rsidP="00AC2186">
            <w:pPr>
              <w:spacing w:line="140" w:lineRule="exact"/>
              <w:ind w:left="2746"/>
              <w:jc w:val="left"/>
              <w:rPr>
                <w:sz w:val="16"/>
                <w:szCs w:val="16"/>
              </w:rPr>
            </w:pPr>
            <w:r w:rsidRPr="00682E64">
              <w:rPr>
                <w:rFonts w:hint="cs"/>
                <w:sz w:val="16"/>
                <w:szCs w:val="16"/>
                <w:rtl/>
              </w:rPr>
              <w:t>אלפי ש"ח</w:t>
            </w:r>
          </w:p>
        </w:tc>
      </w:tr>
      <w:tr w:rsidR="00C561BD" w:rsidRPr="00682E64" w14:paraId="4C943DFE" w14:textId="77777777" w:rsidTr="00AC2186">
        <w:tc>
          <w:tcPr>
            <w:tcW w:w="857" w:type="dxa"/>
          </w:tcPr>
          <w:p w14:paraId="1B0E4070" w14:textId="77777777" w:rsidR="00C561BD" w:rsidRPr="00B05763" w:rsidRDefault="00C561BD" w:rsidP="00AC2186">
            <w:pPr>
              <w:widowControl/>
              <w:spacing w:line="140" w:lineRule="exact"/>
              <w:jc w:val="right"/>
              <w:rPr>
                <w:i/>
                <w:iCs/>
                <w:sz w:val="12"/>
                <w:szCs w:val="12"/>
              </w:rPr>
            </w:pPr>
          </w:p>
        </w:tc>
        <w:tc>
          <w:tcPr>
            <w:tcW w:w="2309" w:type="dxa"/>
            <w:vAlign w:val="bottom"/>
          </w:tcPr>
          <w:p w14:paraId="0CCACA2E" w14:textId="77777777" w:rsidR="00C561BD" w:rsidRPr="00682E64" w:rsidRDefault="00C561BD" w:rsidP="00AC2186">
            <w:pPr>
              <w:pStyle w:val="a3"/>
              <w:widowControl/>
              <w:spacing w:line="140" w:lineRule="exact"/>
              <w:ind w:left="0"/>
              <w:rPr>
                <w:b/>
                <w:sz w:val="16"/>
                <w:szCs w:val="16"/>
                <w:u w:val="single"/>
              </w:rPr>
            </w:pPr>
          </w:p>
        </w:tc>
        <w:tc>
          <w:tcPr>
            <w:tcW w:w="113" w:type="dxa"/>
            <w:vAlign w:val="bottom"/>
          </w:tcPr>
          <w:p w14:paraId="5ABAF0BF" w14:textId="77777777" w:rsidR="00C561BD" w:rsidRPr="00682E64" w:rsidRDefault="00C561BD" w:rsidP="00AC2186">
            <w:pPr>
              <w:widowControl/>
              <w:spacing w:line="140" w:lineRule="exact"/>
              <w:rPr>
                <w:sz w:val="16"/>
                <w:szCs w:val="16"/>
              </w:rPr>
            </w:pPr>
          </w:p>
        </w:tc>
        <w:tc>
          <w:tcPr>
            <w:tcW w:w="633" w:type="dxa"/>
            <w:tcBorders>
              <w:top w:val="single" w:sz="6" w:space="0" w:color="auto"/>
              <w:left w:val="nil"/>
              <w:right w:val="nil"/>
            </w:tcBorders>
            <w:vAlign w:val="bottom"/>
          </w:tcPr>
          <w:p w14:paraId="50B2A567"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70804E56"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vAlign w:val="bottom"/>
          </w:tcPr>
          <w:p w14:paraId="054A24FE"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0879DF8C"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vAlign w:val="bottom"/>
          </w:tcPr>
          <w:p w14:paraId="4681A4F9"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tcPr>
          <w:p w14:paraId="76A2B740"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tcPr>
          <w:p w14:paraId="5B5D0770"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tcPr>
          <w:p w14:paraId="1AF330D3" w14:textId="77777777" w:rsidR="00C561BD" w:rsidRPr="00682E64" w:rsidRDefault="00C561BD" w:rsidP="00AC2186">
            <w:pPr>
              <w:widowControl/>
              <w:tabs>
                <w:tab w:val="decimal" w:pos="113"/>
              </w:tabs>
              <w:spacing w:line="140" w:lineRule="exact"/>
              <w:rPr>
                <w:sz w:val="16"/>
                <w:szCs w:val="16"/>
              </w:rPr>
            </w:pPr>
          </w:p>
        </w:tc>
        <w:tc>
          <w:tcPr>
            <w:tcW w:w="633" w:type="dxa"/>
            <w:gridSpan w:val="2"/>
            <w:tcBorders>
              <w:top w:val="single" w:sz="6" w:space="0" w:color="auto"/>
              <w:left w:val="nil"/>
              <w:right w:val="nil"/>
            </w:tcBorders>
          </w:tcPr>
          <w:p w14:paraId="7EA4E005"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16332A10"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vAlign w:val="bottom"/>
          </w:tcPr>
          <w:p w14:paraId="43E1603C"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3835AF05"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vAlign w:val="bottom"/>
          </w:tcPr>
          <w:p w14:paraId="7E8828C1"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4890816E"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vAlign w:val="bottom"/>
          </w:tcPr>
          <w:p w14:paraId="6AC2229D"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34B6D014"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64597072"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563BB5CE"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4BBA8B5C"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4E8114FF"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490F6CE7"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6FD1B3D4"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5AECCB05"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49355429"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1DEA7E77" w14:textId="77777777" w:rsidR="00C561BD" w:rsidRPr="00682E64" w:rsidRDefault="00C561BD" w:rsidP="00AC2186">
            <w:pPr>
              <w:widowControl/>
              <w:tabs>
                <w:tab w:val="decimal" w:pos="113"/>
              </w:tabs>
              <w:spacing w:line="140" w:lineRule="exact"/>
              <w:rPr>
                <w:sz w:val="16"/>
                <w:szCs w:val="16"/>
              </w:rPr>
            </w:pPr>
          </w:p>
        </w:tc>
        <w:tc>
          <w:tcPr>
            <w:tcW w:w="146" w:type="dxa"/>
            <w:tcBorders>
              <w:top w:val="single" w:sz="6" w:space="0" w:color="auto"/>
              <w:left w:val="nil"/>
              <w:bottom w:val="nil"/>
              <w:right w:val="nil"/>
            </w:tcBorders>
            <w:vAlign w:val="bottom"/>
          </w:tcPr>
          <w:p w14:paraId="48025F57"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vAlign w:val="bottom"/>
          </w:tcPr>
          <w:p w14:paraId="1E106AB8"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76DACDB6"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vAlign w:val="bottom"/>
          </w:tcPr>
          <w:p w14:paraId="4312BA26"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tcPr>
          <w:p w14:paraId="407C2789" w14:textId="77777777" w:rsidR="00C561BD" w:rsidRPr="00682E64" w:rsidRDefault="00C561BD" w:rsidP="00AC2186">
            <w:pPr>
              <w:widowControl/>
              <w:tabs>
                <w:tab w:val="decimal" w:pos="113"/>
              </w:tabs>
              <w:spacing w:line="140" w:lineRule="exact"/>
              <w:rPr>
                <w:sz w:val="16"/>
                <w:szCs w:val="16"/>
              </w:rPr>
            </w:pPr>
          </w:p>
        </w:tc>
        <w:tc>
          <w:tcPr>
            <w:tcW w:w="640" w:type="dxa"/>
            <w:tcBorders>
              <w:top w:val="single" w:sz="6" w:space="0" w:color="auto"/>
              <w:left w:val="nil"/>
              <w:right w:val="nil"/>
            </w:tcBorders>
          </w:tcPr>
          <w:p w14:paraId="7605838A" w14:textId="77777777" w:rsidR="00C561BD" w:rsidRPr="00682E64" w:rsidRDefault="00C561BD" w:rsidP="00AC2186">
            <w:pPr>
              <w:widowControl/>
              <w:tabs>
                <w:tab w:val="decimal" w:pos="113"/>
              </w:tabs>
              <w:spacing w:line="140" w:lineRule="exact"/>
              <w:rPr>
                <w:sz w:val="16"/>
                <w:szCs w:val="16"/>
              </w:rPr>
            </w:pPr>
          </w:p>
        </w:tc>
      </w:tr>
      <w:tr w:rsidR="00C561BD" w:rsidRPr="00682E64" w14:paraId="79F08506" w14:textId="77777777" w:rsidTr="00AC2186">
        <w:tc>
          <w:tcPr>
            <w:tcW w:w="857" w:type="dxa"/>
          </w:tcPr>
          <w:p w14:paraId="6E1B12A9" w14:textId="77777777" w:rsidR="00C561BD" w:rsidRPr="00B05763" w:rsidRDefault="00C561BD" w:rsidP="00AC2186">
            <w:pPr>
              <w:bidi w:val="0"/>
              <w:spacing w:line="140" w:lineRule="exact"/>
              <w:jc w:val="right"/>
              <w:rPr>
                <w:i/>
                <w:iCs/>
                <w:sz w:val="12"/>
                <w:szCs w:val="12"/>
                <w:rtl/>
              </w:rPr>
            </w:pPr>
          </w:p>
        </w:tc>
        <w:tc>
          <w:tcPr>
            <w:tcW w:w="2309" w:type="dxa"/>
            <w:tcBorders>
              <w:left w:val="nil"/>
            </w:tcBorders>
            <w:vAlign w:val="bottom"/>
          </w:tcPr>
          <w:p w14:paraId="1FA7D1FC" w14:textId="3A4CD5ED" w:rsidR="00C561BD" w:rsidRDefault="00C561BD" w:rsidP="00AF4CE7">
            <w:pPr>
              <w:pStyle w:val="a3"/>
              <w:spacing w:line="140" w:lineRule="exact"/>
              <w:jc w:val="both"/>
              <w:rPr>
                <w:b/>
                <w:sz w:val="16"/>
                <w:szCs w:val="16"/>
              </w:rPr>
            </w:pPr>
            <w:r w:rsidRPr="00682E64">
              <w:rPr>
                <w:rFonts w:hint="cs"/>
                <w:b/>
                <w:sz w:val="16"/>
                <w:szCs w:val="16"/>
                <w:u w:val="single"/>
                <w:rtl/>
              </w:rPr>
              <w:t xml:space="preserve">יתרה ליום 1 ביולי, </w:t>
            </w:r>
            <w:r w:rsidR="004A4A6B">
              <w:rPr>
                <w:rFonts w:hint="cs"/>
                <w:b/>
                <w:sz w:val="16"/>
                <w:szCs w:val="16"/>
                <w:u w:val="single"/>
                <w:rtl/>
              </w:rPr>
              <w:t>201</w:t>
            </w:r>
            <w:r w:rsidR="00AF4CE7">
              <w:rPr>
                <w:rFonts w:hint="cs"/>
                <w:b/>
                <w:sz w:val="16"/>
                <w:szCs w:val="16"/>
                <w:u w:val="single"/>
                <w:rtl/>
              </w:rPr>
              <w:t>9</w:t>
            </w:r>
            <w:r>
              <w:rPr>
                <w:rStyle w:val="ab"/>
                <w:b/>
                <w:sz w:val="16"/>
                <w:szCs w:val="16"/>
              </w:rPr>
              <w:footnoteReference w:id="40"/>
            </w:r>
          </w:p>
        </w:tc>
        <w:tc>
          <w:tcPr>
            <w:tcW w:w="113" w:type="dxa"/>
            <w:vAlign w:val="bottom"/>
          </w:tcPr>
          <w:p w14:paraId="042F7C4E" w14:textId="77777777" w:rsidR="00C561BD" w:rsidRPr="00682E64" w:rsidRDefault="00C561BD" w:rsidP="00AC2186">
            <w:pPr>
              <w:spacing w:line="140" w:lineRule="exact"/>
              <w:rPr>
                <w:sz w:val="16"/>
                <w:szCs w:val="16"/>
              </w:rPr>
            </w:pPr>
          </w:p>
        </w:tc>
        <w:tc>
          <w:tcPr>
            <w:tcW w:w="633" w:type="dxa"/>
            <w:shd w:val="clear" w:color="auto" w:fill="auto"/>
            <w:vAlign w:val="bottom"/>
          </w:tcPr>
          <w:p w14:paraId="2CC061F4" w14:textId="77777777" w:rsidR="00C561BD" w:rsidRPr="00682E64" w:rsidRDefault="00C561BD" w:rsidP="00AC2186">
            <w:pPr>
              <w:tabs>
                <w:tab w:val="decimal" w:pos="113"/>
              </w:tabs>
              <w:spacing w:line="140" w:lineRule="exact"/>
              <w:rPr>
                <w:sz w:val="16"/>
                <w:szCs w:val="16"/>
              </w:rPr>
            </w:pPr>
          </w:p>
        </w:tc>
        <w:tc>
          <w:tcPr>
            <w:tcW w:w="115" w:type="dxa"/>
            <w:vAlign w:val="bottom"/>
          </w:tcPr>
          <w:p w14:paraId="6B7A8828" w14:textId="77777777" w:rsidR="00C561BD" w:rsidRPr="00682E64" w:rsidRDefault="00C561BD" w:rsidP="00AC2186">
            <w:pPr>
              <w:tabs>
                <w:tab w:val="decimal" w:pos="113"/>
              </w:tabs>
              <w:spacing w:line="140" w:lineRule="exact"/>
              <w:rPr>
                <w:sz w:val="16"/>
                <w:szCs w:val="16"/>
              </w:rPr>
            </w:pPr>
          </w:p>
        </w:tc>
        <w:tc>
          <w:tcPr>
            <w:tcW w:w="633" w:type="dxa"/>
            <w:shd w:val="clear" w:color="auto" w:fill="auto"/>
            <w:vAlign w:val="bottom"/>
          </w:tcPr>
          <w:p w14:paraId="56C6616A" w14:textId="77777777" w:rsidR="00C561BD" w:rsidRPr="00682E64" w:rsidRDefault="00C561BD" w:rsidP="00AC2186">
            <w:pPr>
              <w:tabs>
                <w:tab w:val="decimal" w:pos="113"/>
              </w:tabs>
              <w:spacing w:line="140" w:lineRule="exact"/>
              <w:rPr>
                <w:sz w:val="16"/>
                <w:szCs w:val="16"/>
              </w:rPr>
            </w:pPr>
          </w:p>
        </w:tc>
        <w:tc>
          <w:tcPr>
            <w:tcW w:w="115" w:type="dxa"/>
            <w:vAlign w:val="bottom"/>
          </w:tcPr>
          <w:p w14:paraId="1393F527" w14:textId="77777777" w:rsidR="00C561BD" w:rsidRPr="00682E64" w:rsidRDefault="00C561BD" w:rsidP="00AC2186">
            <w:pPr>
              <w:tabs>
                <w:tab w:val="decimal" w:pos="113"/>
              </w:tabs>
              <w:spacing w:line="140" w:lineRule="exact"/>
              <w:rPr>
                <w:sz w:val="16"/>
                <w:szCs w:val="16"/>
              </w:rPr>
            </w:pPr>
          </w:p>
        </w:tc>
        <w:tc>
          <w:tcPr>
            <w:tcW w:w="633" w:type="dxa"/>
            <w:shd w:val="clear" w:color="auto" w:fill="auto"/>
            <w:vAlign w:val="bottom"/>
          </w:tcPr>
          <w:p w14:paraId="2E30A43F" w14:textId="77777777" w:rsidR="00C561BD" w:rsidRPr="00682E64" w:rsidRDefault="00C561BD" w:rsidP="00AC2186">
            <w:pPr>
              <w:tabs>
                <w:tab w:val="decimal" w:pos="113"/>
              </w:tabs>
              <w:spacing w:line="140" w:lineRule="exact"/>
              <w:rPr>
                <w:sz w:val="16"/>
                <w:szCs w:val="16"/>
              </w:rPr>
            </w:pPr>
          </w:p>
        </w:tc>
        <w:tc>
          <w:tcPr>
            <w:tcW w:w="115" w:type="dxa"/>
          </w:tcPr>
          <w:p w14:paraId="1B19DEE1" w14:textId="77777777" w:rsidR="00C561BD" w:rsidRPr="00682E64" w:rsidRDefault="00C561BD" w:rsidP="00AC2186">
            <w:pPr>
              <w:tabs>
                <w:tab w:val="decimal" w:pos="113"/>
              </w:tabs>
              <w:spacing w:line="140" w:lineRule="exact"/>
              <w:rPr>
                <w:sz w:val="16"/>
                <w:szCs w:val="16"/>
              </w:rPr>
            </w:pPr>
          </w:p>
        </w:tc>
        <w:tc>
          <w:tcPr>
            <w:tcW w:w="690" w:type="dxa"/>
            <w:shd w:val="clear" w:color="auto" w:fill="auto"/>
          </w:tcPr>
          <w:p w14:paraId="4A8816FC" w14:textId="77777777" w:rsidR="00C561BD" w:rsidRPr="00682E64" w:rsidRDefault="00C561BD" w:rsidP="00AC2186">
            <w:pPr>
              <w:tabs>
                <w:tab w:val="decimal" w:pos="113"/>
              </w:tabs>
              <w:spacing w:line="140" w:lineRule="exact"/>
              <w:rPr>
                <w:sz w:val="16"/>
                <w:szCs w:val="16"/>
              </w:rPr>
            </w:pPr>
          </w:p>
        </w:tc>
        <w:tc>
          <w:tcPr>
            <w:tcW w:w="115" w:type="dxa"/>
          </w:tcPr>
          <w:p w14:paraId="61E692B1" w14:textId="77777777" w:rsidR="00C561BD" w:rsidRPr="00682E64" w:rsidRDefault="00C561BD" w:rsidP="00AC2186">
            <w:pPr>
              <w:tabs>
                <w:tab w:val="decimal" w:pos="113"/>
              </w:tabs>
              <w:spacing w:line="140" w:lineRule="exact"/>
              <w:rPr>
                <w:sz w:val="16"/>
                <w:szCs w:val="16"/>
              </w:rPr>
            </w:pPr>
          </w:p>
        </w:tc>
        <w:tc>
          <w:tcPr>
            <w:tcW w:w="633" w:type="dxa"/>
            <w:gridSpan w:val="2"/>
            <w:shd w:val="clear" w:color="auto" w:fill="auto"/>
          </w:tcPr>
          <w:p w14:paraId="659685A3" w14:textId="77777777" w:rsidR="00C561BD" w:rsidRPr="00682E64" w:rsidRDefault="00C561BD" w:rsidP="00AC2186">
            <w:pPr>
              <w:tabs>
                <w:tab w:val="decimal" w:pos="113"/>
              </w:tabs>
              <w:spacing w:line="140" w:lineRule="exact"/>
              <w:rPr>
                <w:sz w:val="16"/>
                <w:szCs w:val="16"/>
              </w:rPr>
            </w:pPr>
          </w:p>
        </w:tc>
        <w:tc>
          <w:tcPr>
            <w:tcW w:w="115" w:type="dxa"/>
            <w:vAlign w:val="bottom"/>
          </w:tcPr>
          <w:p w14:paraId="5A91A949" w14:textId="77777777" w:rsidR="00C561BD" w:rsidRPr="00682E64" w:rsidRDefault="00C561BD" w:rsidP="00AC2186">
            <w:pPr>
              <w:tabs>
                <w:tab w:val="decimal" w:pos="113"/>
              </w:tabs>
              <w:spacing w:line="140" w:lineRule="exact"/>
              <w:rPr>
                <w:sz w:val="16"/>
                <w:szCs w:val="16"/>
              </w:rPr>
            </w:pPr>
          </w:p>
        </w:tc>
        <w:tc>
          <w:tcPr>
            <w:tcW w:w="633" w:type="dxa"/>
            <w:shd w:val="clear" w:color="auto" w:fill="auto"/>
            <w:vAlign w:val="bottom"/>
          </w:tcPr>
          <w:p w14:paraId="21184504" w14:textId="77777777" w:rsidR="00C561BD" w:rsidRPr="00682E64" w:rsidRDefault="00C561BD" w:rsidP="00AC2186">
            <w:pPr>
              <w:tabs>
                <w:tab w:val="decimal" w:pos="113"/>
              </w:tabs>
              <w:spacing w:line="140" w:lineRule="exact"/>
              <w:rPr>
                <w:sz w:val="16"/>
                <w:szCs w:val="16"/>
              </w:rPr>
            </w:pPr>
          </w:p>
        </w:tc>
        <w:tc>
          <w:tcPr>
            <w:tcW w:w="115" w:type="dxa"/>
            <w:vAlign w:val="bottom"/>
          </w:tcPr>
          <w:p w14:paraId="3B1C68B8" w14:textId="77777777" w:rsidR="00C561BD" w:rsidRPr="00682E64" w:rsidRDefault="00C561BD" w:rsidP="00AC2186">
            <w:pPr>
              <w:tabs>
                <w:tab w:val="decimal" w:pos="113"/>
              </w:tabs>
              <w:spacing w:line="140" w:lineRule="exact"/>
              <w:rPr>
                <w:sz w:val="16"/>
                <w:szCs w:val="16"/>
              </w:rPr>
            </w:pPr>
          </w:p>
        </w:tc>
        <w:tc>
          <w:tcPr>
            <w:tcW w:w="748" w:type="dxa"/>
            <w:shd w:val="clear" w:color="auto" w:fill="auto"/>
            <w:vAlign w:val="bottom"/>
          </w:tcPr>
          <w:p w14:paraId="4BEA3282" w14:textId="77777777" w:rsidR="00C561BD" w:rsidRPr="00682E64" w:rsidRDefault="00C561BD" w:rsidP="00AC2186">
            <w:pPr>
              <w:tabs>
                <w:tab w:val="decimal" w:pos="113"/>
              </w:tabs>
              <w:spacing w:line="140" w:lineRule="exact"/>
              <w:rPr>
                <w:sz w:val="16"/>
                <w:szCs w:val="16"/>
              </w:rPr>
            </w:pPr>
          </w:p>
        </w:tc>
        <w:tc>
          <w:tcPr>
            <w:tcW w:w="115" w:type="dxa"/>
            <w:vAlign w:val="bottom"/>
          </w:tcPr>
          <w:p w14:paraId="72A092FE" w14:textId="77777777" w:rsidR="00C561BD" w:rsidRPr="00682E64" w:rsidRDefault="00C561BD" w:rsidP="00AC2186">
            <w:pPr>
              <w:tabs>
                <w:tab w:val="decimal" w:pos="113"/>
              </w:tabs>
              <w:spacing w:line="140" w:lineRule="exact"/>
              <w:rPr>
                <w:sz w:val="16"/>
                <w:szCs w:val="16"/>
              </w:rPr>
            </w:pPr>
          </w:p>
        </w:tc>
        <w:tc>
          <w:tcPr>
            <w:tcW w:w="748" w:type="dxa"/>
            <w:shd w:val="clear" w:color="auto" w:fill="auto"/>
            <w:vAlign w:val="bottom"/>
          </w:tcPr>
          <w:p w14:paraId="15341E73" w14:textId="77777777" w:rsidR="00C561BD" w:rsidRPr="00682E64" w:rsidRDefault="00C561BD" w:rsidP="00AC2186">
            <w:pPr>
              <w:tabs>
                <w:tab w:val="decimal" w:pos="113"/>
              </w:tabs>
              <w:spacing w:line="140" w:lineRule="exact"/>
              <w:rPr>
                <w:sz w:val="16"/>
                <w:szCs w:val="16"/>
              </w:rPr>
            </w:pPr>
          </w:p>
        </w:tc>
        <w:tc>
          <w:tcPr>
            <w:tcW w:w="115" w:type="dxa"/>
            <w:vAlign w:val="bottom"/>
          </w:tcPr>
          <w:p w14:paraId="0B80E524"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6AE354DE"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2E3BAABB"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421198EE"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3824C9DD"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7660F03C"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7FED1C8A"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466CC5F4"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55F30A2A"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67D9D601" w14:textId="77777777" w:rsidR="00C561BD" w:rsidRPr="00682E64" w:rsidRDefault="00C561BD" w:rsidP="00AC2186">
            <w:pPr>
              <w:tabs>
                <w:tab w:val="decimal" w:pos="113"/>
              </w:tabs>
              <w:spacing w:line="140" w:lineRule="exact"/>
              <w:rPr>
                <w:sz w:val="16"/>
                <w:szCs w:val="16"/>
              </w:rPr>
            </w:pPr>
          </w:p>
        </w:tc>
        <w:tc>
          <w:tcPr>
            <w:tcW w:w="146" w:type="dxa"/>
            <w:vAlign w:val="bottom"/>
          </w:tcPr>
          <w:p w14:paraId="2AF3E205"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6932A4BE" w14:textId="77777777" w:rsidR="00C561BD" w:rsidRPr="00682E64" w:rsidRDefault="00C561BD" w:rsidP="00AC2186">
            <w:pPr>
              <w:tabs>
                <w:tab w:val="decimal" w:pos="113"/>
              </w:tabs>
              <w:spacing w:line="140" w:lineRule="exact"/>
              <w:rPr>
                <w:sz w:val="16"/>
                <w:szCs w:val="16"/>
              </w:rPr>
            </w:pPr>
          </w:p>
        </w:tc>
        <w:tc>
          <w:tcPr>
            <w:tcW w:w="115" w:type="dxa"/>
            <w:vAlign w:val="bottom"/>
          </w:tcPr>
          <w:p w14:paraId="56E6FF70"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76E25389" w14:textId="77777777" w:rsidR="00C561BD" w:rsidRPr="00682E64" w:rsidRDefault="00C561BD" w:rsidP="00AC2186">
            <w:pPr>
              <w:tabs>
                <w:tab w:val="decimal" w:pos="113"/>
              </w:tabs>
              <w:spacing w:line="140" w:lineRule="exact"/>
              <w:rPr>
                <w:sz w:val="16"/>
                <w:szCs w:val="16"/>
              </w:rPr>
            </w:pPr>
          </w:p>
        </w:tc>
        <w:tc>
          <w:tcPr>
            <w:tcW w:w="115" w:type="dxa"/>
          </w:tcPr>
          <w:p w14:paraId="63ABA587" w14:textId="77777777" w:rsidR="00C561BD" w:rsidRPr="00682E64" w:rsidRDefault="00C561BD" w:rsidP="00AC2186">
            <w:pPr>
              <w:tabs>
                <w:tab w:val="decimal" w:pos="113"/>
              </w:tabs>
              <w:spacing w:line="140" w:lineRule="exact"/>
              <w:rPr>
                <w:sz w:val="16"/>
                <w:szCs w:val="16"/>
              </w:rPr>
            </w:pPr>
          </w:p>
        </w:tc>
        <w:tc>
          <w:tcPr>
            <w:tcW w:w="640" w:type="dxa"/>
            <w:shd w:val="clear" w:color="auto" w:fill="auto"/>
          </w:tcPr>
          <w:p w14:paraId="4AFA2880" w14:textId="77777777" w:rsidR="00C561BD" w:rsidRPr="00682E64" w:rsidRDefault="00C561BD" w:rsidP="00AC2186">
            <w:pPr>
              <w:tabs>
                <w:tab w:val="decimal" w:pos="113"/>
              </w:tabs>
              <w:spacing w:line="140" w:lineRule="exact"/>
              <w:rPr>
                <w:sz w:val="16"/>
                <w:szCs w:val="16"/>
              </w:rPr>
            </w:pPr>
          </w:p>
        </w:tc>
      </w:tr>
      <w:tr w:rsidR="00C561BD" w:rsidRPr="00682E64" w14:paraId="4F99A9BD" w14:textId="77777777" w:rsidTr="00AC2186">
        <w:tc>
          <w:tcPr>
            <w:tcW w:w="857" w:type="dxa"/>
          </w:tcPr>
          <w:p w14:paraId="1B2C1ECF" w14:textId="77777777" w:rsidR="00C561BD" w:rsidRPr="00B05763" w:rsidRDefault="00C561BD" w:rsidP="00AC2186">
            <w:pPr>
              <w:bidi w:val="0"/>
              <w:spacing w:line="140" w:lineRule="exact"/>
              <w:jc w:val="right"/>
              <w:rPr>
                <w:i/>
                <w:iCs/>
                <w:sz w:val="12"/>
                <w:szCs w:val="12"/>
                <w:rtl/>
              </w:rPr>
            </w:pPr>
          </w:p>
        </w:tc>
        <w:tc>
          <w:tcPr>
            <w:tcW w:w="2309" w:type="dxa"/>
            <w:vAlign w:val="bottom"/>
          </w:tcPr>
          <w:p w14:paraId="06A6A6C5" w14:textId="77777777" w:rsidR="00C561BD" w:rsidRPr="00682E64" w:rsidRDefault="00C561BD" w:rsidP="00AC2186">
            <w:pPr>
              <w:widowControl/>
              <w:spacing w:line="140" w:lineRule="exact"/>
              <w:ind w:left="57"/>
              <w:jc w:val="left"/>
              <w:rPr>
                <w:sz w:val="16"/>
                <w:szCs w:val="16"/>
                <w:rtl/>
              </w:rPr>
            </w:pPr>
          </w:p>
        </w:tc>
        <w:tc>
          <w:tcPr>
            <w:tcW w:w="113" w:type="dxa"/>
            <w:vAlign w:val="bottom"/>
          </w:tcPr>
          <w:p w14:paraId="4258968D"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5B9487E5" w14:textId="77777777" w:rsidR="00C561BD" w:rsidRPr="00682E64" w:rsidRDefault="00C561BD" w:rsidP="00AC2186">
            <w:pPr>
              <w:widowControl/>
              <w:spacing w:line="140" w:lineRule="exact"/>
              <w:ind w:left="57"/>
              <w:jc w:val="left"/>
              <w:rPr>
                <w:sz w:val="16"/>
                <w:szCs w:val="16"/>
              </w:rPr>
            </w:pPr>
          </w:p>
        </w:tc>
        <w:tc>
          <w:tcPr>
            <w:tcW w:w="115" w:type="dxa"/>
            <w:vAlign w:val="bottom"/>
          </w:tcPr>
          <w:p w14:paraId="6C2E52E0"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482E50CA"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3DE2123"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6BAA07B1" w14:textId="77777777" w:rsidR="00C561BD" w:rsidRPr="00682E64" w:rsidRDefault="00C561BD" w:rsidP="00AC2186">
            <w:pPr>
              <w:widowControl/>
              <w:spacing w:line="140" w:lineRule="exact"/>
              <w:ind w:left="57"/>
              <w:jc w:val="left"/>
              <w:rPr>
                <w:sz w:val="16"/>
                <w:szCs w:val="16"/>
              </w:rPr>
            </w:pPr>
          </w:p>
        </w:tc>
        <w:tc>
          <w:tcPr>
            <w:tcW w:w="115" w:type="dxa"/>
          </w:tcPr>
          <w:p w14:paraId="74F5F22E"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tcPr>
          <w:p w14:paraId="1A58C9AC" w14:textId="77777777" w:rsidR="00C561BD" w:rsidRPr="00682E64" w:rsidRDefault="00C561BD" w:rsidP="00AC2186">
            <w:pPr>
              <w:widowControl/>
              <w:spacing w:line="140" w:lineRule="exact"/>
              <w:ind w:left="57"/>
              <w:jc w:val="left"/>
              <w:rPr>
                <w:sz w:val="16"/>
                <w:szCs w:val="16"/>
              </w:rPr>
            </w:pPr>
          </w:p>
        </w:tc>
        <w:tc>
          <w:tcPr>
            <w:tcW w:w="115" w:type="dxa"/>
          </w:tcPr>
          <w:p w14:paraId="5B3D81CE" w14:textId="77777777" w:rsidR="00C561BD" w:rsidRPr="00682E64" w:rsidRDefault="00C561BD" w:rsidP="00AC2186">
            <w:pPr>
              <w:widowControl/>
              <w:spacing w:line="140" w:lineRule="exact"/>
              <w:ind w:left="57"/>
              <w:jc w:val="left"/>
              <w:rPr>
                <w:sz w:val="16"/>
                <w:szCs w:val="16"/>
              </w:rPr>
            </w:pPr>
          </w:p>
        </w:tc>
        <w:tc>
          <w:tcPr>
            <w:tcW w:w="633" w:type="dxa"/>
            <w:gridSpan w:val="2"/>
            <w:tcBorders>
              <w:top w:val="nil"/>
              <w:left w:val="nil"/>
              <w:right w:val="nil"/>
            </w:tcBorders>
            <w:shd w:val="clear" w:color="auto" w:fill="auto"/>
          </w:tcPr>
          <w:p w14:paraId="61A9B01F" w14:textId="77777777" w:rsidR="00C561BD" w:rsidRPr="00682E64" w:rsidRDefault="00C561BD" w:rsidP="00AC2186">
            <w:pPr>
              <w:widowControl/>
              <w:spacing w:line="140" w:lineRule="exact"/>
              <w:ind w:left="57"/>
              <w:jc w:val="left"/>
              <w:rPr>
                <w:sz w:val="16"/>
                <w:szCs w:val="16"/>
              </w:rPr>
            </w:pPr>
          </w:p>
        </w:tc>
        <w:tc>
          <w:tcPr>
            <w:tcW w:w="115" w:type="dxa"/>
            <w:vAlign w:val="bottom"/>
          </w:tcPr>
          <w:p w14:paraId="45D691DE"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53A6CE1C" w14:textId="77777777" w:rsidR="00C561BD" w:rsidRPr="00682E64" w:rsidRDefault="00C561BD" w:rsidP="00AC2186">
            <w:pPr>
              <w:widowControl/>
              <w:spacing w:line="140" w:lineRule="exact"/>
              <w:ind w:left="57"/>
              <w:jc w:val="left"/>
              <w:rPr>
                <w:sz w:val="16"/>
                <w:szCs w:val="16"/>
              </w:rPr>
            </w:pPr>
          </w:p>
        </w:tc>
        <w:tc>
          <w:tcPr>
            <w:tcW w:w="115" w:type="dxa"/>
            <w:vAlign w:val="bottom"/>
          </w:tcPr>
          <w:p w14:paraId="413DE78E"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7EE91530" w14:textId="77777777" w:rsidR="00C561BD" w:rsidRPr="00682E64" w:rsidRDefault="00C561BD" w:rsidP="00AC2186">
            <w:pPr>
              <w:widowControl/>
              <w:spacing w:line="140" w:lineRule="exact"/>
              <w:ind w:left="57"/>
              <w:jc w:val="left"/>
              <w:rPr>
                <w:sz w:val="16"/>
                <w:szCs w:val="16"/>
              </w:rPr>
            </w:pPr>
          </w:p>
        </w:tc>
        <w:tc>
          <w:tcPr>
            <w:tcW w:w="115" w:type="dxa"/>
            <w:vAlign w:val="bottom"/>
          </w:tcPr>
          <w:p w14:paraId="4EDED423"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557D2CBD"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E2A2953"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728026BF"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395B662C"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026B7856"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6FF42041"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0386537B"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533D5572"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7303E65B"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77A91922"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2D3612BB" w14:textId="77777777" w:rsidR="00C561BD" w:rsidRPr="00682E64" w:rsidRDefault="00C561BD" w:rsidP="00AC2186">
            <w:pPr>
              <w:widowControl/>
              <w:spacing w:line="140" w:lineRule="exact"/>
              <w:ind w:left="57"/>
              <w:jc w:val="left"/>
              <w:rPr>
                <w:sz w:val="16"/>
                <w:szCs w:val="16"/>
              </w:rPr>
            </w:pPr>
          </w:p>
        </w:tc>
        <w:tc>
          <w:tcPr>
            <w:tcW w:w="146" w:type="dxa"/>
            <w:vAlign w:val="bottom"/>
          </w:tcPr>
          <w:p w14:paraId="0E7960A2"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617CF26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16B50AD"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5D02C3BA" w14:textId="77777777" w:rsidR="00C561BD" w:rsidRPr="00682E64" w:rsidDel="00506022" w:rsidRDefault="00C561BD" w:rsidP="00AC2186">
            <w:pPr>
              <w:widowControl/>
              <w:spacing w:line="140" w:lineRule="exact"/>
              <w:ind w:left="57"/>
              <w:jc w:val="left"/>
              <w:rPr>
                <w:sz w:val="16"/>
                <w:szCs w:val="16"/>
              </w:rPr>
            </w:pPr>
          </w:p>
        </w:tc>
        <w:tc>
          <w:tcPr>
            <w:tcW w:w="115" w:type="dxa"/>
          </w:tcPr>
          <w:p w14:paraId="4E1BB054" w14:textId="77777777" w:rsidR="00C561BD" w:rsidRPr="00682E64" w:rsidRDefault="00C561BD" w:rsidP="00AC2186">
            <w:pPr>
              <w:widowControl/>
              <w:spacing w:line="140" w:lineRule="exact"/>
              <w:ind w:left="57"/>
              <w:jc w:val="left"/>
              <w:rPr>
                <w:sz w:val="16"/>
                <w:szCs w:val="16"/>
              </w:rPr>
            </w:pPr>
          </w:p>
        </w:tc>
        <w:tc>
          <w:tcPr>
            <w:tcW w:w="640" w:type="dxa"/>
            <w:tcBorders>
              <w:top w:val="nil"/>
              <w:left w:val="nil"/>
              <w:right w:val="nil"/>
            </w:tcBorders>
            <w:shd w:val="clear" w:color="auto" w:fill="auto"/>
          </w:tcPr>
          <w:p w14:paraId="174866BA" w14:textId="77777777" w:rsidR="00C561BD" w:rsidRPr="00682E64" w:rsidRDefault="00C561BD" w:rsidP="00AC2186">
            <w:pPr>
              <w:widowControl/>
              <w:spacing w:line="140" w:lineRule="exact"/>
              <w:ind w:left="57"/>
              <w:jc w:val="left"/>
              <w:rPr>
                <w:sz w:val="16"/>
                <w:szCs w:val="16"/>
              </w:rPr>
            </w:pPr>
          </w:p>
        </w:tc>
      </w:tr>
      <w:tr w:rsidR="00C561BD" w:rsidRPr="00682E64" w14:paraId="5C61BCF4" w14:textId="77777777" w:rsidTr="00AC2186">
        <w:tc>
          <w:tcPr>
            <w:tcW w:w="857" w:type="dxa"/>
            <w:tcBorders>
              <w:bottom w:val="single" w:sz="4" w:space="0" w:color="auto"/>
              <w:right w:val="single" w:sz="4" w:space="0" w:color="auto"/>
            </w:tcBorders>
          </w:tcPr>
          <w:p w14:paraId="55118C07" w14:textId="77777777" w:rsidR="00C561BD" w:rsidRPr="00B05763" w:rsidRDefault="00C561BD" w:rsidP="00AC2186">
            <w:pPr>
              <w:bidi w:val="0"/>
              <w:spacing w:line="140" w:lineRule="exact"/>
              <w:jc w:val="right"/>
              <w:rPr>
                <w:i/>
                <w:iCs/>
                <w:sz w:val="12"/>
                <w:szCs w:val="12"/>
                <w:rtl/>
              </w:rPr>
            </w:pPr>
            <w:r>
              <w:rPr>
                <w:i/>
                <w:iCs/>
                <w:sz w:val="12"/>
                <w:szCs w:val="12"/>
              </w:rPr>
              <w:t>IAS 1.106(d)(i)</w:t>
            </w:r>
          </w:p>
        </w:tc>
        <w:tc>
          <w:tcPr>
            <w:tcW w:w="2309" w:type="dxa"/>
            <w:tcBorders>
              <w:left w:val="single" w:sz="4" w:space="0" w:color="auto"/>
            </w:tcBorders>
            <w:vAlign w:val="bottom"/>
          </w:tcPr>
          <w:p w14:paraId="1D35D69D" w14:textId="77777777" w:rsidR="00C561BD" w:rsidRPr="00682E64" w:rsidRDefault="00C561BD" w:rsidP="00AC2186">
            <w:pPr>
              <w:widowControl/>
              <w:spacing w:line="140" w:lineRule="exact"/>
              <w:ind w:left="57"/>
              <w:jc w:val="left"/>
              <w:rPr>
                <w:sz w:val="16"/>
                <w:szCs w:val="16"/>
                <w:rtl/>
              </w:rPr>
            </w:pPr>
            <w:r w:rsidRPr="00682E64">
              <w:rPr>
                <w:rFonts w:hint="cs"/>
                <w:sz w:val="16"/>
                <w:szCs w:val="16"/>
                <w:rtl/>
              </w:rPr>
              <w:t>רווח נקי (הפסד)</w:t>
            </w:r>
          </w:p>
        </w:tc>
        <w:tc>
          <w:tcPr>
            <w:tcW w:w="113" w:type="dxa"/>
            <w:vAlign w:val="bottom"/>
          </w:tcPr>
          <w:p w14:paraId="3577185B"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34EE344D"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1592E43"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45509456"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F577278"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18CF4D86" w14:textId="77777777" w:rsidR="00C561BD" w:rsidRPr="00682E64" w:rsidRDefault="00C561BD" w:rsidP="00AC2186">
            <w:pPr>
              <w:widowControl/>
              <w:spacing w:line="140" w:lineRule="exact"/>
              <w:ind w:left="57"/>
              <w:jc w:val="left"/>
              <w:rPr>
                <w:sz w:val="16"/>
                <w:szCs w:val="16"/>
              </w:rPr>
            </w:pPr>
          </w:p>
        </w:tc>
        <w:tc>
          <w:tcPr>
            <w:tcW w:w="115" w:type="dxa"/>
          </w:tcPr>
          <w:p w14:paraId="63DDBEAE"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tcPr>
          <w:p w14:paraId="4CE91178" w14:textId="77777777" w:rsidR="00C561BD" w:rsidRPr="00682E64" w:rsidRDefault="00C561BD" w:rsidP="00AC2186">
            <w:pPr>
              <w:widowControl/>
              <w:spacing w:line="140" w:lineRule="exact"/>
              <w:ind w:left="57"/>
              <w:jc w:val="left"/>
              <w:rPr>
                <w:sz w:val="16"/>
                <w:szCs w:val="16"/>
              </w:rPr>
            </w:pPr>
          </w:p>
        </w:tc>
        <w:tc>
          <w:tcPr>
            <w:tcW w:w="115" w:type="dxa"/>
          </w:tcPr>
          <w:p w14:paraId="245016E4" w14:textId="77777777" w:rsidR="00C561BD" w:rsidRPr="00682E64" w:rsidRDefault="00C561BD" w:rsidP="00AC2186">
            <w:pPr>
              <w:widowControl/>
              <w:spacing w:line="140" w:lineRule="exact"/>
              <w:ind w:left="57"/>
              <w:jc w:val="left"/>
              <w:rPr>
                <w:sz w:val="16"/>
                <w:szCs w:val="16"/>
              </w:rPr>
            </w:pPr>
          </w:p>
        </w:tc>
        <w:tc>
          <w:tcPr>
            <w:tcW w:w="633" w:type="dxa"/>
            <w:gridSpan w:val="2"/>
            <w:tcBorders>
              <w:top w:val="nil"/>
              <w:left w:val="nil"/>
              <w:right w:val="nil"/>
            </w:tcBorders>
            <w:shd w:val="clear" w:color="auto" w:fill="auto"/>
          </w:tcPr>
          <w:p w14:paraId="2F8AEAB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F5A552C"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47828720"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586A020"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48B9F318" w14:textId="77777777" w:rsidR="00C561BD" w:rsidRPr="00682E64" w:rsidRDefault="00C561BD" w:rsidP="00AC2186">
            <w:pPr>
              <w:widowControl/>
              <w:spacing w:line="140" w:lineRule="exact"/>
              <w:ind w:left="57"/>
              <w:jc w:val="left"/>
              <w:rPr>
                <w:sz w:val="16"/>
                <w:szCs w:val="16"/>
              </w:rPr>
            </w:pPr>
          </w:p>
        </w:tc>
        <w:tc>
          <w:tcPr>
            <w:tcW w:w="115" w:type="dxa"/>
            <w:vAlign w:val="bottom"/>
          </w:tcPr>
          <w:p w14:paraId="20AFC925"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12C459B9"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1B2DA6A"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1571BD92"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47825232"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6D981EEE"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7FE77755"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6DDA0737"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6053B540"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065D443A"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430F0EBB"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33B4F579" w14:textId="77777777" w:rsidR="00C561BD" w:rsidRPr="00682E64" w:rsidRDefault="00C561BD" w:rsidP="00AC2186">
            <w:pPr>
              <w:widowControl/>
              <w:spacing w:line="140" w:lineRule="exact"/>
              <w:ind w:left="57"/>
              <w:jc w:val="left"/>
              <w:rPr>
                <w:sz w:val="16"/>
                <w:szCs w:val="16"/>
              </w:rPr>
            </w:pPr>
          </w:p>
        </w:tc>
        <w:tc>
          <w:tcPr>
            <w:tcW w:w="146" w:type="dxa"/>
            <w:vAlign w:val="bottom"/>
          </w:tcPr>
          <w:p w14:paraId="4039FF1F"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0BFD0BC7" w14:textId="77777777" w:rsidR="00C561BD" w:rsidRPr="00682E64" w:rsidRDefault="00C561BD" w:rsidP="00AC2186">
            <w:pPr>
              <w:widowControl/>
              <w:spacing w:line="140" w:lineRule="exact"/>
              <w:ind w:left="57"/>
              <w:jc w:val="left"/>
              <w:rPr>
                <w:sz w:val="16"/>
                <w:szCs w:val="16"/>
              </w:rPr>
            </w:pPr>
          </w:p>
        </w:tc>
        <w:tc>
          <w:tcPr>
            <w:tcW w:w="115" w:type="dxa"/>
            <w:vAlign w:val="bottom"/>
          </w:tcPr>
          <w:p w14:paraId="05B977A9"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373041DF" w14:textId="77777777" w:rsidR="00C561BD" w:rsidRPr="00682E64" w:rsidDel="00506022" w:rsidRDefault="00C561BD" w:rsidP="00AC2186">
            <w:pPr>
              <w:widowControl/>
              <w:spacing w:line="140" w:lineRule="exact"/>
              <w:ind w:left="57"/>
              <w:jc w:val="left"/>
              <w:rPr>
                <w:sz w:val="16"/>
                <w:szCs w:val="16"/>
              </w:rPr>
            </w:pPr>
          </w:p>
        </w:tc>
        <w:tc>
          <w:tcPr>
            <w:tcW w:w="115" w:type="dxa"/>
          </w:tcPr>
          <w:p w14:paraId="515BD9AF" w14:textId="77777777" w:rsidR="00C561BD" w:rsidRPr="00682E64" w:rsidRDefault="00C561BD" w:rsidP="00AC2186">
            <w:pPr>
              <w:widowControl/>
              <w:spacing w:line="140" w:lineRule="exact"/>
              <w:ind w:left="57"/>
              <w:jc w:val="left"/>
              <w:rPr>
                <w:sz w:val="16"/>
                <w:szCs w:val="16"/>
              </w:rPr>
            </w:pPr>
          </w:p>
        </w:tc>
        <w:tc>
          <w:tcPr>
            <w:tcW w:w="640" w:type="dxa"/>
            <w:tcBorders>
              <w:top w:val="nil"/>
              <w:left w:val="nil"/>
              <w:right w:val="nil"/>
            </w:tcBorders>
            <w:shd w:val="clear" w:color="auto" w:fill="auto"/>
          </w:tcPr>
          <w:p w14:paraId="4BBAE7F7" w14:textId="77777777" w:rsidR="00C561BD" w:rsidRPr="00682E64" w:rsidRDefault="00C561BD" w:rsidP="00AC2186">
            <w:pPr>
              <w:widowControl/>
              <w:spacing w:line="140" w:lineRule="exact"/>
              <w:ind w:left="57"/>
              <w:jc w:val="left"/>
              <w:rPr>
                <w:sz w:val="16"/>
                <w:szCs w:val="16"/>
              </w:rPr>
            </w:pPr>
          </w:p>
        </w:tc>
      </w:tr>
      <w:tr w:rsidR="00C561BD" w:rsidRPr="00682E64" w14:paraId="2BA1A894" w14:textId="77777777" w:rsidTr="00AC2186">
        <w:tc>
          <w:tcPr>
            <w:tcW w:w="857" w:type="dxa"/>
            <w:tcBorders>
              <w:top w:val="single" w:sz="4" w:space="0" w:color="auto"/>
              <w:bottom w:val="single" w:sz="4" w:space="0" w:color="auto"/>
              <w:right w:val="single" w:sz="4" w:space="0" w:color="auto"/>
            </w:tcBorders>
          </w:tcPr>
          <w:p w14:paraId="2C9ACEC2" w14:textId="77777777" w:rsidR="00C561BD" w:rsidRPr="00B05763" w:rsidRDefault="00C561BD" w:rsidP="00AC2186">
            <w:pPr>
              <w:bidi w:val="0"/>
              <w:spacing w:line="140" w:lineRule="exact"/>
              <w:jc w:val="right"/>
              <w:rPr>
                <w:i/>
                <w:iCs/>
                <w:sz w:val="12"/>
                <w:szCs w:val="12"/>
                <w:rtl/>
              </w:rPr>
            </w:pPr>
            <w:r>
              <w:rPr>
                <w:i/>
                <w:iCs/>
                <w:sz w:val="12"/>
                <w:szCs w:val="12"/>
              </w:rPr>
              <w:t>IAS 1.106(d)(ii)</w:t>
            </w:r>
          </w:p>
        </w:tc>
        <w:tc>
          <w:tcPr>
            <w:tcW w:w="2309" w:type="dxa"/>
            <w:tcBorders>
              <w:left w:val="single" w:sz="4" w:space="0" w:color="auto"/>
            </w:tcBorders>
            <w:vAlign w:val="bottom"/>
          </w:tcPr>
          <w:p w14:paraId="49FAB474" w14:textId="77777777" w:rsidR="00C561BD" w:rsidRPr="00682E64" w:rsidRDefault="00C561BD" w:rsidP="00AC2186">
            <w:pPr>
              <w:widowControl/>
              <w:spacing w:line="140" w:lineRule="exact"/>
              <w:ind w:left="57"/>
              <w:jc w:val="left"/>
              <w:rPr>
                <w:sz w:val="16"/>
                <w:szCs w:val="16"/>
                <w:rtl/>
              </w:rPr>
            </w:pPr>
            <w:r w:rsidRPr="00682E64">
              <w:rPr>
                <w:rFonts w:hint="eastAsia"/>
                <w:sz w:val="16"/>
                <w:szCs w:val="16"/>
                <w:rtl/>
              </w:rPr>
              <w:t>סה</w:t>
            </w:r>
            <w:r w:rsidRPr="00682E64">
              <w:rPr>
                <w:sz w:val="16"/>
                <w:szCs w:val="16"/>
                <w:rtl/>
              </w:rPr>
              <w:t xml:space="preserve">"כ </w:t>
            </w:r>
            <w:r w:rsidRPr="00682E64">
              <w:rPr>
                <w:rFonts w:hint="eastAsia"/>
                <w:sz w:val="16"/>
                <w:szCs w:val="16"/>
                <w:rtl/>
              </w:rPr>
              <w:t>רווח</w:t>
            </w:r>
            <w:r w:rsidRPr="00682E64">
              <w:rPr>
                <w:sz w:val="16"/>
                <w:szCs w:val="16"/>
                <w:rtl/>
              </w:rPr>
              <w:t xml:space="preserve"> (הפסד) </w:t>
            </w:r>
            <w:r w:rsidRPr="00682E64">
              <w:rPr>
                <w:rFonts w:hint="eastAsia"/>
                <w:sz w:val="16"/>
                <w:szCs w:val="16"/>
                <w:rtl/>
              </w:rPr>
              <w:t>כולל</w:t>
            </w:r>
            <w:r w:rsidRPr="00682E64">
              <w:rPr>
                <w:sz w:val="16"/>
                <w:szCs w:val="16"/>
                <w:rtl/>
              </w:rPr>
              <w:t xml:space="preserve"> </w:t>
            </w:r>
            <w:r w:rsidRPr="00682E64">
              <w:rPr>
                <w:rFonts w:hint="eastAsia"/>
                <w:sz w:val="16"/>
                <w:szCs w:val="16"/>
                <w:rtl/>
              </w:rPr>
              <w:t>אחר</w:t>
            </w:r>
          </w:p>
        </w:tc>
        <w:tc>
          <w:tcPr>
            <w:tcW w:w="113" w:type="dxa"/>
            <w:vAlign w:val="bottom"/>
          </w:tcPr>
          <w:p w14:paraId="31E9A706"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6BB965B2" w14:textId="77777777" w:rsidR="00C561BD" w:rsidRPr="00682E64" w:rsidRDefault="00C561BD" w:rsidP="00AC2186">
            <w:pPr>
              <w:widowControl/>
              <w:spacing w:line="140" w:lineRule="exact"/>
              <w:ind w:left="57"/>
              <w:jc w:val="left"/>
              <w:rPr>
                <w:sz w:val="16"/>
                <w:szCs w:val="16"/>
              </w:rPr>
            </w:pPr>
          </w:p>
        </w:tc>
        <w:tc>
          <w:tcPr>
            <w:tcW w:w="115" w:type="dxa"/>
            <w:vAlign w:val="bottom"/>
          </w:tcPr>
          <w:p w14:paraId="427F59AC"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2A9FE6A4"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35FDC2C"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1F8E5F79" w14:textId="77777777" w:rsidR="00C561BD" w:rsidRPr="00682E64" w:rsidRDefault="00C561BD" w:rsidP="00AC2186">
            <w:pPr>
              <w:widowControl/>
              <w:spacing w:line="140" w:lineRule="exact"/>
              <w:ind w:left="57"/>
              <w:jc w:val="left"/>
              <w:rPr>
                <w:sz w:val="16"/>
                <w:szCs w:val="16"/>
              </w:rPr>
            </w:pPr>
          </w:p>
        </w:tc>
        <w:tc>
          <w:tcPr>
            <w:tcW w:w="115" w:type="dxa"/>
          </w:tcPr>
          <w:p w14:paraId="33F1767B"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bottom w:val="single" w:sz="6" w:space="0" w:color="auto"/>
              <w:right w:val="nil"/>
            </w:tcBorders>
            <w:shd w:val="clear" w:color="auto" w:fill="auto"/>
          </w:tcPr>
          <w:p w14:paraId="515B1823" w14:textId="77777777" w:rsidR="00C561BD" w:rsidRPr="00682E64" w:rsidRDefault="00C561BD" w:rsidP="00AC2186">
            <w:pPr>
              <w:widowControl/>
              <w:spacing w:line="140" w:lineRule="exact"/>
              <w:ind w:left="57"/>
              <w:jc w:val="left"/>
              <w:rPr>
                <w:sz w:val="16"/>
                <w:szCs w:val="16"/>
              </w:rPr>
            </w:pPr>
          </w:p>
        </w:tc>
        <w:tc>
          <w:tcPr>
            <w:tcW w:w="115" w:type="dxa"/>
          </w:tcPr>
          <w:p w14:paraId="2EB9CD2F" w14:textId="77777777" w:rsidR="00C561BD" w:rsidRPr="00682E64" w:rsidRDefault="00C561BD" w:rsidP="00AC2186">
            <w:pPr>
              <w:widowControl/>
              <w:spacing w:line="140" w:lineRule="exact"/>
              <w:ind w:left="57"/>
              <w:jc w:val="left"/>
              <w:rPr>
                <w:sz w:val="16"/>
                <w:szCs w:val="16"/>
              </w:rPr>
            </w:pPr>
          </w:p>
        </w:tc>
        <w:tc>
          <w:tcPr>
            <w:tcW w:w="633" w:type="dxa"/>
            <w:gridSpan w:val="2"/>
            <w:tcBorders>
              <w:top w:val="nil"/>
              <w:left w:val="nil"/>
              <w:bottom w:val="single" w:sz="6" w:space="0" w:color="auto"/>
              <w:right w:val="nil"/>
            </w:tcBorders>
            <w:shd w:val="clear" w:color="auto" w:fill="auto"/>
          </w:tcPr>
          <w:p w14:paraId="29014F14"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243854A"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635D253F" w14:textId="77777777" w:rsidR="00C561BD" w:rsidRPr="00682E64" w:rsidRDefault="00C561BD" w:rsidP="00AC2186">
            <w:pPr>
              <w:widowControl/>
              <w:spacing w:line="140" w:lineRule="exact"/>
              <w:ind w:left="57"/>
              <w:jc w:val="left"/>
              <w:rPr>
                <w:sz w:val="16"/>
                <w:szCs w:val="16"/>
              </w:rPr>
            </w:pPr>
          </w:p>
        </w:tc>
        <w:tc>
          <w:tcPr>
            <w:tcW w:w="115" w:type="dxa"/>
            <w:vAlign w:val="bottom"/>
          </w:tcPr>
          <w:p w14:paraId="076AD907"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bottom w:val="single" w:sz="6" w:space="0" w:color="auto"/>
              <w:right w:val="nil"/>
            </w:tcBorders>
            <w:shd w:val="clear" w:color="auto" w:fill="auto"/>
            <w:vAlign w:val="bottom"/>
          </w:tcPr>
          <w:p w14:paraId="29148DAD"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48BFF2A"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bottom w:val="single" w:sz="6" w:space="0" w:color="auto"/>
              <w:right w:val="nil"/>
            </w:tcBorders>
            <w:shd w:val="clear" w:color="auto" w:fill="auto"/>
            <w:vAlign w:val="bottom"/>
          </w:tcPr>
          <w:p w14:paraId="59C8B583" w14:textId="77777777" w:rsidR="00C561BD" w:rsidRPr="00682E64" w:rsidRDefault="00C561BD" w:rsidP="00AC2186">
            <w:pPr>
              <w:widowControl/>
              <w:spacing w:line="140" w:lineRule="exact"/>
              <w:ind w:left="57"/>
              <w:jc w:val="left"/>
              <w:rPr>
                <w:sz w:val="16"/>
                <w:szCs w:val="16"/>
              </w:rPr>
            </w:pPr>
          </w:p>
        </w:tc>
        <w:tc>
          <w:tcPr>
            <w:tcW w:w="115" w:type="dxa"/>
            <w:vAlign w:val="bottom"/>
          </w:tcPr>
          <w:p w14:paraId="03E858D5"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03A4889F"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5A19F9CD"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31911699"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261CBF5B"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37E5BC62"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0378C988"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4BD81649"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3BDBCAFB"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7A06DE90" w14:textId="77777777" w:rsidR="00C561BD" w:rsidRPr="00682E64" w:rsidRDefault="00C561BD" w:rsidP="00AC2186">
            <w:pPr>
              <w:widowControl/>
              <w:spacing w:line="140" w:lineRule="exact"/>
              <w:ind w:left="57"/>
              <w:jc w:val="left"/>
              <w:rPr>
                <w:sz w:val="16"/>
                <w:szCs w:val="16"/>
              </w:rPr>
            </w:pPr>
          </w:p>
        </w:tc>
        <w:tc>
          <w:tcPr>
            <w:tcW w:w="146" w:type="dxa"/>
            <w:vAlign w:val="bottom"/>
          </w:tcPr>
          <w:p w14:paraId="74954347"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bottom w:val="single" w:sz="6" w:space="0" w:color="auto"/>
              <w:right w:val="nil"/>
            </w:tcBorders>
            <w:shd w:val="clear" w:color="auto" w:fill="auto"/>
            <w:vAlign w:val="bottom"/>
          </w:tcPr>
          <w:p w14:paraId="1D42FC7F" w14:textId="77777777" w:rsidR="00C561BD" w:rsidRPr="00682E64" w:rsidRDefault="00C561BD" w:rsidP="00AC2186">
            <w:pPr>
              <w:widowControl/>
              <w:spacing w:line="140" w:lineRule="exact"/>
              <w:ind w:left="57"/>
              <w:jc w:val="left"/>
              <w:rPr>
                <w:sz w:val="16"/>
                <w:szCs w:val="16"/>
              </w:rPr>
            </w:pPr>
          </w:p>
        </w:tc>
        <w:tc>
          <w:tcPr>
            <w:tcW w:w="115" w:type="dxa"/>
            <w:vAlign w:val="bottom"/>
          </w:tcPr>
          <w:p w14:paraId="2DDD57CC"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bottom w:val="single" w:sz="6" w:space="0" w:color="auto"/>
              <w:right w:val="nil"/>
            </w:tcBorders>
            <w:shd w:val="clear" w:color="auto" w:fill="auto"/>
            <w:vAlign w:val="bottom"/>
          </w:tcPr>
          <w:p w14:paraId="1F7E07C6" w14:textId="77777777" w:rsidR="00C561BD" w:rsidRPr="00682E64" w:rsidDel="00506022" w:rsidRDefault="00C561BD" w:rsidP="00AC2186">
            <w:pPr>
              <w:widowControl/>
              <w:spacing w:line="140" w:lineRule="exact"/>
              <w:ind w:left="57"/>
              <w:jc w:val="left"/>
              <w:rPr>
                <w:sz w:val="16"/>
                <w:szCs w:val="16"/>
              </w:rPr>
            </w:pPr>
          </w:p>
        </w:tc>
        <w:tc>
          <w:tcPr>
            <w:tcW w:w="115" w:type="dxa"/>
          </w:tcPr>
          <w:p w14:paraId="40FD0887" w14:textId="77777777" w:rsidR="00C561BD" w:rsidRPr="00682E64" w:rsidRDefault="00C561BD" w:rsidP="00AC2186">
            <w:pPr>
              <w:widowControl/>
              <w:spacing w:line="140" w:lineRule="exact"/>
              <w:ind w:left="57"/>
              <w:jc w:val="left"/>
              <w:rPr>
                <w:sz w:val="16"/>
                <w:szCs w:val="16"/>
              </w:rPr>
            </w:pPr>
          </w:p>
        </w:tc>
        <w:tc>
          <w:tcPr>
            <w:tcW w:w="640" w:type="dxa"/>
            <w:tcBorders>
              <w:top w:val="nil"/>
              <w:left w:val="nil"/>
              <w:bottom w:val="single" w:sz="6" w:space="0" w:color="auto"/>
              <w:right w:val="nil"/>
            </w:tcBorders>
            <w:shd w:val="clear" w:color="auto" w:fill="auto"/>
          </w:tcPr>
          <w:p w14:paraId="463CF577" w14:textId="77777777" w:rsidR="00C561BD" w:rsidRPr="00682E64" w:rsidRDefault="00C561BD" w:rsidP="00AC2186">
            <w:pPr>
              <w:widowControl/>
              <w:spacing w:line="140" w:lineRule="exact"/>
              <w:ind w:left="57"/>
              <w:jc w:val="left"/>
              <w:rPr>
                <w:sz w:val="16"/>
                <w:szCs w:val="16"/>
              </w:rPr>
            </w:pPr>
          </w:p>
        </w:tc>
      </w:tr>
      <w:tr w:rsidR="00C561BD" w:rsidRPr="00682E64" w14:paraId="21A19671" w14:textId="77777777" w:rsidTr="00AC2186">
        <w:tc>
          <w:tcPr>
            <w:tcW w:w="857" w:type="dxa"/>
            <w:tcBorders>
              <w:top w:val="single" w:sz="4" w:space="0" w:color="auto"/>
            </w:tcBorders>
          </w:tcPr>
          <w:p w14:paraId="73CD0124" w14:textId="77777777" w:rsidR="00C561BD" w:rsidRPr="00B05763" w:rsidRDefault="00C561BD" w:rsidP="00AC2186">
            <w:pPr>
              <w:bidi w:val="0"/>
              <w:spacing w:line="140" w:lineRule="exact"/>
              <w:jc w:val="right"/>
              <w:rPr>
                <w:i/>
                <w:iCs/>
                <w:sz w:val="12"/>
                <w:szCs w:val="12"/>
                <w:rtl/>
              </w:rPr>
            </w:pPr>
          </w:p>
        </w:tc>
        <w:tc>
          <w:tcPr>
            <w:tcW w:w="2309" w:type="dxa"/>
            <w:vAlign w:val="bottom"/>
          </w:tcPr>
          <w:p w14:paraId="1AB1B7F1" w14:textId="77777777" w:rsidR="00C561BD" w:rsidRPr="00682E64" w:rsidRDefault="00C561BD" w:rsidP="00AC2186">
            <w:pPr>
              <w:widowControl/>
              <w:spacing w:line="140" w:lineRule="exact"/>
              <w:ind w:left="57"/>
              <w:jc w:val="left"/>
              <w:rPr>
                <w:sz w:val="16"/>
                <w:szCs w:val="16"/>
                <w:rtl/>
              </w:rPr>
            </w:pPr>
            <w:r w:rsidRPr="00682E64">
              <w:rPr>
                <w:rFonts w:hint="cs"/>
                <w:sz w:val="16"/>
                <w:szCs w:val="16"/>
                <w:rtl/>
              </w:rPr>
              <w:t>סה"כ רווח (הפסד) כולל</w:t>
            </w:r>
          </w:p>
        </w:tc>
        <w:tc>
          <w:tcPr>
            <w:tcW w:w="113" w:type="dxa"/>
            <w:vAlign w:val="bottom"/>
          </w:tcPr>
          <w:p w14:paraId="2EEA67C0"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719B0A5D" w14:textId="77777777" w:rsidR="00C561BD" w:rsidRPr="00682E64" w:rsidRDefault="00C561BD" w:rsidP="00AC2186">
            <w:pPr>
              <w:widowControl/>
              <w:spacing w:line="140" w:lineRule="exact"/>
              <w:ind w:left="57"/>
              <w:jc w:val="left"/>
              <w:rPr>
                <w:sz w:val="16"/>
                <w:szCs w:val="16"/>
              </w:rPr>
            </w:pPr>
          </w:p>
        </w:tc>
        <w:tc>
          <w:tcPr>
            <w:tcW w:w="115" w:type="dxa"/>
            <w:vAlign w:val="bottom"/>
          </w:tcPr>
          <w:p w14:paraId="63E974EA"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0E371AD7"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30D57CF"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61EE98C2" w14:textId="77777777" w:rsidR="00C561BD" w:rsidRPr="00682E64" w:rsidRDefault="00C561BD" w:rsidP="00AC2186">
            <w:pPr>
              <w:widowControl/>
              <w:spacing w:line="140" w:lineRule="exact"/>
              <w:ind w:left="57"/>
              <w:jc w:val="left"/>
              <w:rPr>
                <w:sz w:val="16"/>
                <w:szCs w:val="16"/>
              </w:rPr>
            </w:pPr>
          </w:p>
        </w:tc>
        <w:tc>
          <w:tcPr>
            <w:tcW w:w="115" w:type="dxa"/>
          </w:tcPr>
          <w:p w14:paraId="19672E5C"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tcPr>
          <w:p w14:paraId="266A37C5" w14:textId="77777777" w:rsidR="00C561BD" w:rsidRPr="00682E64" w:rsidRDefault="00C561BD" w:rsidP="00AC2186">
            <w:pPr>
              <w:widowControl/>
              <w:spacing w:line="140" w:lineRule="exact"/>
              <w:ind w:left="57"/>
              <w:jc w:val="left"/>
              <w:rPr>
                <w:sz w:val="16"/>
                <w:szCs w:val="16"/>
              </w:rPr>
            </w:pPr>
          </w:p>
        </w:tc>
        <w:tc>
          <w:tcPr>
            <w:tcW w:w="115" w:type="dxa"/>
          </w:tcPr>
          <w:p w14:paraId="53EA4AD2" w14:textId="77777777" w:rsidR="00C561BD" w:rsidRPr="00682E64" w:rsidRDefault="00C561BD" w:rsidP="00AC2186">
            <w:pPr>
              <w:widowControl/>
              <w:spacing w:line="140" w:lineRule="exact"/>
              <w:ind w:left="57"/>
              <w:jc w:val="left"/>
              <w:rPr>
                <w:sz w:val="16"/>
                <w:szCs w:val="16"/>
              </w:rPr>
            </w:pPr>
          </w:p>
        </w:tc>
        <w:tc>
          <w:tcPr>
            <w:tcW w:w="633" w:type="dxa"/>
            <w:gridSpan w:val="2"/>
            <w:tcBorders>
              <w:top w:val="single" w:sz="6" w:space="0" w:color="auto"/>
              <w:left w:val="nil"/>
              <w:right w:val="nil"/>
            </w:tcBorders>
            <w:shd w:val="clear" w:color="auto" w:fill="auto"/>
          </w:tcPr>
          <w:p w14:paraId="5E45345A"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FF64746"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46191575" w14:textId="77777777" w:rsidR="00C561BD" w:rsidRPr="00682E64" w:rsidRDefault="00C561BD" w:rsidP="00AC2186">
            <w:pPr>
              <w:widowControl/>
              <w:spacing w:line="140" w:lineRule="exact"/>
              <w:ind w:left="57"/>
              <w:jc w:val="left"/>
              <w:rPr>
                <w:sz w:val="16"/>
                <w:szCs w:val="16"/>
              </w:rPr>
            </w:pPr>
          </w:p>
        </w:tc>
        <w:tc>
          <w:tcPr>
            <w:tcW w:w="115" w:type="dxa"/>
            <w:vAlign w:val="bottom"/>
          </w:tcPr>
          <w:p w14:paraId="4B58F8DA" w14:textId="77777777" w:rsidR="00C561BD" w:rsidRPr="00682E64" w:rsidRDefault="00C561BD" w:rsidP="00AC2186">
            <w:pPr>
              <w:widowControl/>
              <w:spacing w:line="140" w:lineRule="exact"/>
              <w:ind w:left="57"/>
              <w:jc w:val="left"/>
              <w:rPr>
                <w:sz w:val="16"/>
                <w:szCs w:val="16"/>
              </w:rPr>
            </w:pPr>
          </w:p>
        </w:tc>
        <w:tc>
          <w:tcPr>
            <w:tcW w:w="748" w:type="dxa"/>
            <w:tcBorders>
              <w:top w:val="single" w:sz="6" w:space="0" w:color="auto"/>
              <w:left w:val="nil"/>
              <w:right w:val="nil"/>
            </w:tcBorders>
            <w:shd w:val="clear" w:color="auto" w:fill="auto"/>
            <w:vAlign w:val="bottom"/>
          </w:tcPr>
          <w:p w14:paraId="2F4FAABF"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E563C47" w14:textId="77777777" w:rsidR="00C561BD" w:rsidRPr="00682E64" w:rsidRDefault="00C561BD" w:rsidP="00AC2186">
            <w:pPr>
              <w:widowControl/>
              <w:spacing w:line="140" w:lineRule="exact"/>
              <w:ind w:left="57"/>
              <w:jc w:val="left"/>
              <w:rPr>
                <w:sz w:val="16"/>
                <w:szCs w:val="16"/>
              </w:rPr>
            </w:pPr>
          </w:p>
        </w:tc>
        <w:tc>
          <w:tcPr>
            <w:tcW w:w="748" w:type="dxa"/>
            <w:tcBorders>
              <w:top w:val="single" w:sz="6" w:space="0" w:color="auto"/>
              <w:left w:val="nil"/>
              <w:right w:val="nil"/>
            </w:tcBorders>
            <w:shd w:val="clear" w:color="auto" w:fill="auto"/>
            <w:vAlign w:val="bottom"/>
          </w:tcPr>
          <w:p w14:paraId="6D532FEE" w14:textId="77777777" w:rsidR="00C561BD" w:rsidRPr="00682E64" w:rsidRDefault="00C561BD" w:rsidP="00AC2186">
            <w:pPr>
              <w:widowControl/>
              <w:spacing w:line="140" w:lineRule="exact"/>
              <w:ind w:left="57"/>
              <w:jc w:val="left"/>
              <w:rPr>
                <w:sz w:val="16"/>
                <w:szCs w:val="16"/>
              </w:rPr>
            </w:pPr>
          </w:p>
        </w:tc>
        <w:tc>
          <w:tcPr>
            <w:tcW w:w="115" w:type="dxa"/>
            <w:vAlign w:val="bottom"/>
          </w:tcPr>
          <w:p w14:paraId="2B62A9E2"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031C16A7"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679DA615"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25F97449"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6DEEDA46"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7F38B3C0"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3D54C490"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78058CDE"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07FA2892"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22F32FB3" w14:textId="77777777" w:rsidR="00C561BD" w:rsidRPr="00682E64" w:rsidRDefault="00C561BD" w:rsidP="00AC2186">
            <w:pPr>
              <w:widowControl/>
              <w:spacing w:line="140" w:lineRule="exact"/>
              <w:ind w:left="57"/>
              <w:jc w:val="left"/>
              <w:rPr>
                <w:sz w:val="16"/>
                <w:szCs w:val="16"/>
              </w:rPr>
            </w:pPr>
          </w:p>
        </w:tc>
        <w:tc>
          <w:tcPr>
            <w:tcW w:w="146" w:type="dxa"/>
            <w:vAlign w:val="bottom"/>
          </w:tcPr>
          <w:p w14:paraId="6679A484"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63A94886"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0501E15"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4C9F10ED" w14:textId="77777777" w:rsidR="00C561BD" w:rsidRPr="00682E64" w:rsidRDefault="00C561BD" w:rsidP="00AC2186">
            <w:pPr>
              <w:widowControl/>
              <w:spacing w:line="140" w:lineRule="exact"/>
              <w:ind w:left="57"/>
              <w:jc w:val="left"/>
              <w:rPr>
                <w:sz w:val="16"/>
                <w:szCs w:val="16"/>
              </w:rPr>
            </w:pPr>
          </w:p>
        </w:tc>
        <w:tc>
          <w:tcPr>
            <w:tcW w:w="115" w:type="dxa"/>
          </w:tcPr>
          <w:p w14:paraId="0D593356" w14:textId="77777777" w:rsidR="00C561BD" w:rsidRPr="00682E64" w:rsidRDefault="00C561BD" w:rsidP="00AC2186">
            <w:pPr>
              <w:widowControl/>
              <w:spacing w:line="140" w:lineRule="exact"/>
              <w:ind w:left="57"/>
              <w:jc w:val="left"/>
              <w:rPr>
                <w:sz w:val="16"/>
                <w:szCs w:val="16"/>
              </w:rPr>
            </w:pPr>
          </w:p>
        </w:tc>
        <w:tc>
          <w:tcPr>
            <w:tcW w:w="640" w:type="dxa"/>
            <w:tcBorders>
              <w:top w:val="single" w:sz="6" w:space="0" w:color="auto"/>
              <w:left w:val="nil"/>
              <w:right w:val="nil"/>
            </w:tcBorders>
            <w:shd w:val="clear" w:color="auto" w:fill="auto"/>
          </w:tcPr>
          <w:p w14:paraId="3213188D" w14:textId="77777777" w:rsidR="00C561BD" w:rsidRPr="00682E64" w:rsidRDefault="00C561BD" w:rsidP="00AC2186">
            <w:pPr>
              <w:widowControl/>
              <w:spacing w:line="140" w:lineRule="exact"/>
              <w:ind w:left="57"/>
              <w:jc w:val="left"/>
              <w:rPr>
                <w:sz w:val="16"/>
                <w:szCs w:val="16"/>
              </w:rPr>
            </w:pPr>
          </w:p>
        </w:tc>
      </w:tr>
      <w:tr w:rsidR="00C561BD" w:rsidRPr="00682E64" w14:paraId="552294C8" w14:textId="77777777" w:rsidTr="00AC2186">
        <w:tc>
          <w:tcPr>
            <w:tcW w:w="857" w:type="dxa"/>
          </w:tcPr>
          <w:p w14:paraId="4F152FE3" w14:textId="77777777" w:rsidR="00C561BD" w:rsidRPr="00B05763" w:rsidRDefault="00C561BD" w:rsidP="00AC2186">
            <w:pPr>
              <w:widowControl/>
              <w:spacing w:line="140" w:lineRule="exact"/>
              <w:jc w:val="right"/>
              <w:rPr>
                <w:i/>
                <w:iCs/>
                <w:sz w:val="12"/>
                <w:szCs w:val="12"/>
                <w:rtl/>
              </w:rPr>
            </w:pPr>
          </w:p>
        </w:tc>
        <w:tc>
          <w:tcPr>
            <w:tcW w:w="2309" w:type="dxa"/>
            <w:vAlign w:val="bottom"/>
          </w:tcPr>
          <w:p w14:paraId="7ADAF233" w14:textId="77777777" w:rsidR="00C561BD" w:rsidRPr="00682E64" w:rsidRDefault="00C561BD" w:rsidP="00AC2186">
            <w:pPr>
              <w:widowControl/>
              <w:spacing w:line="140" w:lineRule="exact"/>
              <w:jc w:val="left"/>
              <w:rPr>
                <w:sz w:val="16"/>
                <w:szCs w:val="16"/>
                <w:rtl/>
              </w:rPr>
            </w:pPr>
          </w:p>
        </w:tc>
        <w:tc>
          <w:tcPr>
            <w:tcW w:w="113" w:type="dxa"/>
            <w:vAlign w:val="bottom"/>
          </w:tcPr>
          <w:p w14:paraId="3C8A8D75" w14:textId="77777777" w:rsidR="00C561BD" w:rsidRPr="00682E64" w:rsidRDefault="00C561BD" w:rsidP="00AC2186">
            <w:pPr>
              <w:widowControl/>
              <w:spacing w:line="140" w:lineRule="exact"/>
              <w:rPr>
                <w:sz w:val="16"/>
                <w:szCs w:val="16"/>
              </w:rPr>
            </w:pPr>
          </w:p>
        </w:tc>
        <w:tc>
          <w:tcPr>
            <w:tcW w:w="633" w:type="dxa"/>
            <w:tcBorders>
              <w:top w:val="nil"/>
              <w:left w:val="nil"/>
              <w:right w:val="nil"/>
            </w:tcBorders>
            <w:shd w:val="clear" w:color="auto" w:fill="auto"/>
            <w:vAlign w:val="bottom"/>
          </w:tcPr>
          <w:p w14:paraId="2A618FF5"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7BDC644B" w14:textId="77777777" w:rsidR="00C561BD" w:rsidRPr="00682E64" w:rsidRDefault="00C561BD" w:rsidP="00AC2186">
            <w:pPr>
              <w:widowControl/>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1009D96"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FAA6593" w14:textId="77777777" w:rsidR="00C561BD" w:rsidRPr="00682E64" w:rsidRDefault="00C561BD" w:rsidP="00AC2186">
            <w:pPr>
              <w:widowControl/>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7078953" w14:textId="77777777" w:rsidR="00C561BD" w:rsidRPr="00682E64" w:rsidRDefault="00C561BD" w:rsidP="00AC2186">
            <w:pPr>
              <w:widowControl/>
              <w:tabs>
                <w:tab w:val="decimal" w:pos="113"/>
              </w:tabs>
              <w:spacing w:line="140" w:lineRule="exact"/>
              <w:rPr>
                <w:sz w:val="16"/>
                <w:szCs w:val="16"/>
              </w:rPr>
            </w:pPr>
          </w:p>
        </w:tc>
        <w:tc>
          <w:tcPr>
            <w:tcW w:w="115" w:type="dxa"/>
          </w:tcPr>
          <w:p w14:paraId="272C1596" w14:textId="77777777" w:rsidR="00C561BD" w:rsidRPr="00682E64" w:rsidRDefault="00C561BD" w:rsidP="00AC2186">
            <w:pPr>
              <w:widowControl/>
              <w:tabs>
                <w:tab w:val="decimal" w:pos="113"/>
              </w:tabs>
              <w:spacing w:line="140" w:lineRule="exact"/>
              <w:rPr>
                <w:sz w:val="16"/>
                <w:szCs w:val="16"/>
              </w:rPr>
            </w:pPr>
          </w:p>
        </w:tc>
        <w:tc>
          <w:tcPr>
            <w:tcW w:w="690" w:type="dxa"/>
            <w:tcBorders>
              <w:top w:val="nil"/>
              <w:left w:val="nil"/>
              <w:right w:val="nil"/>
            </w:tcBorders>
            <w:shd w:val="clear" w:color="auto" w:fill="auto"/>
          </w:tcPr>
          <w:p w14:paraId="6144EC90" w14:textId="77777777" w:rsidR="00C561BD" w:rsidRPr="00682E64" w:rsidRDefault="00C561BD" w:rsidP="00AC2186">
            <w:pPr>
              <w:widowControl/>
              <w:tabs>
                <w:tab w:val="decimal" w:pos="113"/>
              </w:tabs>
              <w:spacing w:line="140" w:lineRule="exact"/>
              <w:rPr>
                <w:sz w:val="16"/>
                <w:szCs w:val="16"/>
              </w:rPr>
            </w:pPr>
          </w:p>
        </w:tc>
        <w:tc>
          <w:tcPr>
            <w:tcW w:w="115" w:type="dxa"/>
          </w:tcPr>
          <w:p w14:paraId="2C343EAF" w14:textId="77777777" w:rsidR="00C561BD" w:rsidRPr="00682E64" w:rsidRDefault="00C561BD" w:rsidP="00AC2186">
            <w:pPr>
              <w:widowControl/>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6B558867"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4B5EC689" w14:textId="77777777" w:rsidR="00C561BD" w:rsidRPr="00682E64" w:rsidRDefault="00C561BD" w:rsidP="00AC2186">
            <w:pPr>
              <w:widowControl/>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DF35E00"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4C69CC83" w14:textId="77777777" w:rsidR="00C561BD" w:rsidRPr="00682E64" w:rsidRDefault="00C561BD" w:rsidP="00AC2186">
            <w:pPr>
              <w:widowControl/>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1D7A55E"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8EFD095" w14:textId="77777777" w:rsidR="00C561BD" w:rsidRPr="00682E64" w:rsidRDefault="00C561BD" w:rsidP="00AC2186">
            <w:pPr>
              <w:widowControl/>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432197E8"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7ACD6676"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34E0AC23"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2A388A84"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5626AE96"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25049905"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3C6F1734"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0CD9FD2F"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21D2BF01"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2CF6556B"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0137AB5D" w14:textId="77777777" w:rsidR="00C561BD" w:rsidRPr="00682E64" w:rsidRDefault="00C561BD" w:rsidP="00AC2186">
            <w:pPr>
              <w:widowControl/>
              <w:tabs>
                <w:tab w:val="decimal" w:pos="113"/>
              </w:tabs>
              <w:spacing w:line="140" w:lineRule="exact"/>
              <w:rPr>
                <w:sz w:val="16"/>
                <w:szCs w:val="16"/>
              </w:rPr>
            </w:pPr>
          </w:p>
        </w:tc>
        <w:tc>
          <w:tcPr>
            <w:tcW w:w="146" w:type="dxa"/>
            <w:vAlign w:val="bottom"/>
          </w:tcPr>
          <w:p w14:paraId="4FB5B8D2" w14:textId="77777777" w:rsidR="00C561BD" w:rsidRPr="00682E64" w:rsidRDefault="00C561BD" w:rsidP="00AC2186">
            <w:pPr>
              <w:widowControl/>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9802650"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44A77B9" w14:textId="77777777" w:rsidR="00C561BD" w:rsidRPr="00682E64" w:rsidRDefault="00C561BD" w:rsidP="00AC2186">
            <w:pPr>
              <w:widowControl/>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7DFB194" w14:textId="77777777" w:rsidR="00C561BD" w:rsidRPr="00682E64" w:rsidRDefault="00C561BD" w:rsidP="00AC2186">
            <w:pPr>
              <w:widowControl/>
              <w:tabs>
                <w:tab w:val="decimal" w:pos="113"/>
              </w:tabs>
              <w:spacing w:line="140" w:lineRule="exact"/>
              <w:rPr>
                <w:sz w:val="16"/>
                <w:szCs w:val="16"/>
              </w:rPr>
            </w:pPr>
          </w:p>
        </w:tc>
        <w:tc>
          <w:tcPr>
            <w:tcW w:w="115" w:type="dxa"/>
          </w:tcPr>
          <w:p w14:paraId="2BAC252D" w14:textId="77777777" w:rsidR="00C561BD" w:rsidRPr="00682E64" w:rsidRDefault="00C561BD" w:rsidP="00AC2186">
            <w:pPr>
              <w:widowControl/>
              <w:tabs>
                <w:tab w:val="decimal" w:pos="113"/>
              </w:tabs>
              <w:spacing w:line="140" w:lineRule="exact"/>
              <w:rPr>
                <w:sz w:val="16"/>
                <w:szCs w:val="16"/>
              </w:rPr>
            </w:pPr>
          </w:p>
        </w:tc>
        <w:tc>
          <w:tcPr>
            <w:tcW w:w="640" w:type="dxa"/>
            <w:tcBorders>
              <w:top w:val="nil"/>
              <w:left w:val="nil"/>
              <w:right w:val="nil"/>
            </w:tcBorders>
            <w:shd w:val="clear" w:color="auto" w:fill="auto"/>
          </w:tcPr>
          <w:p w14:paraId="061B01D9" w14:textId="77777777" w:rsidR="00C561BD" w:rsidRPr="00682E64" w:rsidRDefault="00C561BD" w:rsidP="00AC2186">
            <w:pPr>
              <w:widowControl/>
              <w:tabs>
                <w:tab w:val="decimal" w:pos="113"/>
              </w:tabs>
              <w:spacing w:line="140" w:lineRule="exact"/>
              <w:rPr>
                <w:sz w:val="16"/>
                <w:szCs w:val="16"/>
              </w:rPr>
            </w:pPr>
          </w:p>
        </w:tc>
      </w:tr>
      <w:tr w:rsidR="00C561BD" w:rsidRPr="00682E64" w14:paraId="60F95487" w14:textId="77777777" w:rsidTr="00AC2186">
        <w:tc>
          <w:tcPr>
            <w:tcW w:w="857" w:type="dxa"/>
            <w:tcBorders>
              <w:bottom w:val="single" w:sz="4" w:space="0" w:color="auto"/>
              <w:right w:val="single" w:sz="4" w:space="0" w:color="auto"/>
            </w:tcBorders>
            <w:vAlign w:val="center"/>
          </w:tcPr>
          <w:p w14:paraId="2AB2AA47" w14:textId="77777777" w:rsidR="00C561BD" w:rsidRPr="00B05763" w:rsidRDefault="00C561BD" w:rsidP="00AC2186">
            <w:pPr>
              <w:bidi w:val="0"/>
              <w:spacing w:line="140" w:lineRule="exact"/>
              <w:jc w:val="right"/>
              <w:rPr>
                <w:i/>
                <w:iCs/>
                <w:sz w:val="12"/>
                <w:szCs w:val="12"/>
                <w:rtl/>
              </w:rPr>
            </w:pPr>
            <w:r>
              <w:rPr>
                <w:i/>
                <w:iCs/>
                <w:sz w:val="12"/>
                <w:szCs w:val="12"/>
              </w:rPr>
              <w:t>IAS 1.96</w:t>
            </w:r>
          </w:p>
        </w:tc>
        <w:tc>
          <w:tcPr>
            <w:tcW w:w="2309" w:type="dxa"/>
            <w:tcBorders>
              <w:left w:val="single" w:sz="4" w:space="0" w:color="auto"/>
            </w:tcBorders>
            <w:vAlign w:val="bottom"/>
          </w:tcPr>
          <w:p w14:paraId="233B35AB"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העברה מקרן הערכה מחדש בגין מימוש רכוש קבוע</w:t>
            </w:r>
          </w:p>
        </w:tc>
        <w:tc>
          <w:tcPr>
            <w:tcW w:w="113" w:type="dxa"/>
            <w:vAlign w:val="bottom"/>
          </w:tcPr>
          <w:p w14:paraId="3186ACBA"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169D199D" w14:textId="77777777" w:rsidR="00C561BD" w:rsidRPr="00682E64" w:rsidRDefault="00C561BD" w:rsidP="00AC2186">
            <w:pPr>
              <w:tabs>
                <w:tab w:val="decimal" w:pos="113"/>
              </w:tabs>
              <w:spacing w:line="140" w:lineRule="exact"/>
              <w:rPr>
                <w:sz w:val="16"/>
                <w:szCs w:val="16"/>
              </w:rPr>
            </w:pPr>
          </w:p>
        </w:tc>
        <w:tc>
          <w:tcPr>
            <w:tcW w:w="115" w:type="dxa"/>
            <w:vAlign w:val="bottom"/>
          </w:tcPr>
          <w:p w14:paraId="23EC5ECC"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DFD8BE1" w14:textId="77777777" w:rsidR="00C561BD" w:rsidRPr="00682E64" w:rsidRDefault="00C561BD" w:rsidP="00AC2186">
            <w:pPr>
              <w:tabs>
                <w:tab w:val="decimal" w:pos="113"/>
              </w:tabs>
              <w:spacing w:line="140" w:lineRule="exact"/>
              <w:rPr>
                <w:sz w:val="16"/>
                <w:szCs w:val="16"/>
              </w:rPr>
            </w:pPr>
          </w:p>
        </w:tc>
        <w:tc>
          <w:tcPr>
            <w:tcW w:w="115" w:type="dxa"/>
            <w:vAlign w:val="bottom"/>
          </w:tcPr>
          <w:p w14:paraId="42EC136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5B20A85" w14:textId="77777777" w:rsidR="00C561BD" w:rsidRPr="00682E64" w:rsidRDefault="00C561BD" w:rsidP="00AC2186">
            <w:pPr>
              <w:tabs>
                <w:tab w:val="decimal" w:pos="113"/>
              </w:tabs>
              <w:spacing w:line="140" w:lineRule="exact"/>
              <w:rPr>
                <w:sz w:val="16"/>
                <w:szCs w:val="16"/>
              </w:rPr>
            </w:pPr>
          </w:p>
        </w:tc>
        <w:tc>
          <w:tcPr>
            <w:tcW w:w="115" w:type="dxa"/>
          </w:tcPr>
          <w:p w14:paraId="4A4A8CEC"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290D1646" w14:textId="77777777" w:rsidR="00C561BD" w:rsidRPr="00682E64" w:rsidRDefault="00C561BD" w:rsidP="00AC2186">
            <w:pPr>
              <w:tabs>
                <w:tab w:val="decimal" w:pos="113"/>
              </w:tabs>
              <w:spacing w:line="140" w:lineRule="exact"/>
              <w:rPr>
                <w:sz w:val="16"/>
                <w:szCs w:val="16"/>
              </w:rPr>
            </w:pPr>
          </w:p>
        </w:tc>
        <w:tc>
          <w:tcPr>
            <w:tcW w:w="115" w:type="dxa"/>
          </w:tcPr>
          <w:p w14:paraId="761C3B6A"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3420565B" w14:textId="77777777" w:rsidR="00C561BD" w:rsidRPr="00682E64" w:rsidRDefault="00C561BD" w:rsidP="00AC2186">
            <w:pPr>
              <w:tabs>
                <w:tab w:val="decimal" w:pos="113"/>
              </w:tabs>
              <w:spacing w:line="140" w:lineRule="exact"/>
              <w:rPr>
                <w:sz w:val="16"/>
                <w:szCs w:val="16"/>
              </w:rPr>
            </w:pPr>
          </w:p>
        </w:tc>
        <w:tc>
          <w:tcPr>
            <w:tcW w:w="115" w:type="dxa"/>
            <w:vAlign w:val="bottom"/>
          </w:tcPr>
          <w:p w14:paraId="579DBCD8"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96297DD" w14:textId="77777777" w:rsidR="00C561BD" w:rsidRPr="00682E64" w:rsidRDefault="00C561BD" w:rsidP="00AC2186">
            <w:pPr>
              <w:tabs>
                <w:tab w:val="decimal" w:pos="113"/>
              </w:tabs>
              <w:spacing w:line="140" w:lineRule="exact"/>
              <w:rPr>
                <w:sz w:val="16"/>
                <w:szCs w:val="16"/>
              </w:rPr>
            </w:pPr>
          </w:p>
        </w:tc>
        <w:tc>
          <w:tcPr>
            <w:tcW w:w="115" w:type="dxa"/>
            <w:vAlign w:val="bottom"/>
          </w:tcPr>
          <w:p w14:paraId="3668DA9E"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F97B75D" w14:textId="77777777" w:rsidR="00C561BD" w:rsidRPr="00682E64" w:rsidRDefault="00C561BD" w:rsidP="00AC2186">
            <w:pPr>
              <w:tabs>
                <w:tab w:val="decimal" w:pos="113"/>
              </w:tabs>
              <w:spacing w:line="140" w:lineRule="exact"/>
              <w:rPr>
                <w:sz w:val="16"/>
                <w:szCs w:val="16"/>
              </w:rPr>
            </w:pPr>
          </w:p>
        </w:tc>
        <w:tc>
          <w:tcPr>
            <w:tcW w:w="115" w:type="dxa"/>
            <w:vAlign w:val="bottom"/>
          </w:tcPr>
          <w:p w14:paraId="2A624E11"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859AF94" w14:textId="77777777" w:rsidR="00C561BD" w:rsidRPr="00682E64" w:rsidRDefault="00C561BD" w:rsidP="00AC2186">
            <w:pPr>
              <w:tabs>
                <w:tab w:val="decimal" w:pos="113"/>
              </w:tabs>
              <w:spacing w:line="140" w:lineRule="exact"/>
              <w:rPr>
                <w:sz w:val="16"/>
                <w:szCs w:val="16"/>
              </w:rPr>
            </w:pPr>
          </w:p>
        </w:tc>
        <w:tc>
          <w:tcPr>
            <w:tcW w:w="115" w:type="dxa"/>
            <w:vAlign w:val="bottom"/>
          </w:tcPr>
          <w:p w14:paraId="43B18C9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D6B762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EA1060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270C2B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AEA925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3FBEADF"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6E1E63"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590B0B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AD7C33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269801B" w14:textId="77777777" w:rsidR="00C561BD" w:rsidRPr="00682E64" w:rsidRDefault="00C561BD" w:rsidP="00AC2186">
            <w:pPr>
              <w:tabs>
                <w:tab w:val="decimal" w:pos="113"/>
              </w:tabs>
              <w:spacing w:line="140" w:lineRule="exact"/>
              <w:rPr>
                <w:sz w:val="16"/>
                <w:szCs w:val="16"/>
              </w:rPr>
            </w:pPr>
          </w:p>
        </w:tc>
        <w:tc>
          <w:tcPr>
            <w:tcW w:w="146" w:type="dxa"/>
            <w:vAlign w:val="bottom"/>
          </w:tcPr>
          <w:p w14:paraId="04646534"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1A8B23C1" w14:textId="77777777" w:rsidR="00C561BD" w:rsidRPr="00682E64" w:rsidRDefault="00C561BD" w:rsidP="00AC2186">
            <w:pPr>
              <w:tabs>
                <w:tab w:val="decimal" w:pos="113"/>
              </w:tabs>
              <w:spacing w:line="140" w:lineRule="exact"/>
              <w:rPr>
                <w:sz w:val="16"/>
                <w:szCs w:val="16"/>
              </w:rPr>
            </w:pPr>
          </w:p>
        </w:tc>
        <w:tc>
          <w:tcPr>
            <w:tcW w:w="115" w:type="dxa"/>
            <w:vAlign w:val="bottom"/>
          </w:tcPr>
          <w:p w14:paraId="66E76EDD"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79506A0" w14:textId="77777777" w:rsidR="00C561BD" w:rsidRPr="00682E64" w:rsidRDefault="00C561BD" w:rsidP="00AC2186">
            <w:pPr>
              <w:tabs>
                <w:tab w:val="decimal" w:pos="113"/>
              </w:tabs>
              <w:spacing w:line="140" w:lineRule="exact"/>
              <w:rPr>
                <w:sz w:val="16"/>
                <w:szCs w:val="16"/>
              </w:rPr>
            </w:pPr>
          </w:p>
        </w:tc>
        <w:tc>
          <w:tcPr>
            <w:tcW w:w="115" w:type="dxa"/>
          </w:tcPr>
          <w:p w14:paraId="0B2C0903"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3362663F" w14:textId="77777777" w:rsidR="00C561BD" w:rsidRPr="00682E64" w:rsidRDefault="00C561BD" w:rsidP="00AC2186">
            <w:pPr>
              <w:tabs>
                <w:tab w:val="decimal" w:pos="113"/>
              </w:tabs>
              <w:spacing w:line="140" w:lineRule="exact"/>
              <w:rPr>
                <w:sz w:val="16"/>
                <w:szCs w:val="16"/>
              </w:rPr>
            </w:pPr>
          </w:p>
        </w:tc>
      </w:tr>
      <w:tr w:rsidR="00C561BD" w:rsidRPr="00682E64" w14:paraId="1C73FDC0" w14:textId="77777777" w:rsidTr="00AC2186">
        <w:tc>
          <w:tcPr>
            <w:tcW w:w="857" w:type="dxa"/>
            <w:tcBorders>
              <w:top w:val="single" w:sz="4" w:space="0" w:color="auto"/>
            </w:tcBorders>
          </w:tcPr>
          <w:p w14:paraId="582CB07C" w14:textId="77777777" w:rsidR="00C561BD" w:rsidRPr="00B05763" w:rsidRDefault="00C561BD" w:rsidP="00AC2186">
            <w:pPr>
              <w:bidi w:val="0"/>
              <w:spacing w:line="140" w:lineRule="exact"/>
              <w:jc w:val="right"/>
              <w:rPr>
                <w:i/>
                <w:iCs/>
                <w:sz w:val="12"/>
                <w:szCs w:val="12"/>
                <w:rtl/>
              </w:rPr>
            </w:pPr>
          </w:p>
        </w:tc>
        <w:tc>
          <w:tcPr>
            <w:tcW w:w="2309" w:type="dxa"/>
            <w:vAlign w:val="bottom"/>
          </w:tcPr>
          <w:p w14:paraId="457B5F09"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העברה מקרן הערכה מחדש בגין שערוך רכוש קבוע, בגובה הפחת</w:t>
            </w:r>
          </w:p>
        </w:tc>
        <w:tc>
          <w:tcPr>
            <w:tcW w:w="113" w:type="dxa"/>
            <w:vAlign w:val="bottom"/>
          </w:tcPr>
          <w:p w14:paraId="28F9BBE1"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0FA977E4" w14:textId="77777777" w:rsidR="00C561BD" w:rsidRPr="00682E64" w:rsidRDefault="00C561BD" w:rsidP="00AC2186">
            <w:pPr>
              <w:tabs>
                <w:tab w:val="decimal" w:pos="113"/>
              </w:tabs>
              <w:spacing w:line="140" w:lineRule="exact"/>
              <w:rPr>
                <w:sz w:val="16"/>
                <w:szCs w:val="16"/>
              </w:rPr>
            </w:pPr>
          </w:p>
        </w:tc>
        <w:tc>
          <w:tcPr>
            <w:tcW w:w="115" w:type="dxa"/>
            <w:vAlign w:val="bottom"/>
          </w:tcPr>
          <w:p w14:paraId="73690E7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05BC9C3" w14:textId="77777777" w:rsidR="00C561BD" w:rsidRPr="00682E64" w:rsidRDefault="00C561BD" w:rsidP="00AC2186">
            <w:pPr>
              <w:tabs>
                <w:tab w:val="decimal" w:pos="113"/>
              </w:tabs>
              <w:spacing w:line="140" w:lineRule="exact"/>
              <w:rPr>
                <w:sz w:val="16"/>
                <w:szCs w:val="16"/>
              </w:rPr>
            </w:pPr>
          </w:p>
        </w:tc>
        <w:tc>
          <w:tcPr>
            <w:tcW w:w="115" w:type="dxa"/>
            <w:vAlign w:val="bottom"/>
          </w:tcPr>
          <w:p w14:paraId="7C58070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8131C98" w14:textId="77777777" w:rsidR="00C561BD" w:rsidRPr="00682E64" w:rsidRDefault="00C561BD" w:rsidP="00AC2186">
            <w:pPr>
              <w:tabs>
                <w:tab w:val="decimal" w:pos="113"/>
              </w:tabs>
              <w:spacing w:line="140" w:lineRule="exact"/>
              <w:rPr>
                <w:sz w:val="16"/>
                <w:szCs w:val="16"/>
              </w:rPr>
            </w:pPr>
          </w:p>
        </w:tc>
        <w:tc>
          <w:tcPr>
            <w:tcW w:w="115" w:type="dxa"/>
          </w:tcPr>
          <w:p w14:paraId="703CC6C3"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66A214FB" w14:textId="77777777" w:rsidR="00C561BD" w:rsidRPr="00682E64" w:rsidRDefault="00C561BD" w:rsidP="00AC2186">
            <w:pPr>
              <w:tabs>
                <w:tab w:val="decimal" w:pos="113"/>
              </w:tabs>
              <w:spacing w:line="140" w:lineRule="exact"/>
              <w:rPr>
                <w:sz w:val="16"/>
                <w:szCs w:val="16"/>
              </w:rPr>
            </w:pPr>
          </w:p>
        </w:tc>
        <w:tc>
          <w:tcPr>
            <w:tcW w:w="115" w:type="dxa"/>
          </w:tcPr>
          <w:p w14:paraId="730BE1FC"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29E9639B" w14:textId="77777777" w:rsidR="00C561BD" w:rsidRPr="00682E64" w:rsidRDefault="00C561BD" w:rsidP="00AC2186">
            <w:pPr>
              <w:tabs>
                <w:tab w:val="decimal" w:pos="113"/>
              </w:tabs>
              <w:spacing w:line="140" w:lineRule="exact"/>
              <w:rPr>
                <w:sz w:val="16"/>
                <w:szCs w:val="16"/>
              </w:rPr>
            </w:pPr>
          </w:p>
        </w:tc>
        <w:tc>
          <w:tcPr>
            <w:tcW w:w="115" w:type="dxa"/>
            <w:vAlign w:val="bottom"/>
          </w:tcPr>
          <w:p w14:paraId="799EE9E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07F3BE5" w14:textId="77777777" w:rsidR="00C561BD" w:rsidRPr="00682E64" w:rsidRDefault="00C561BD" w:rsidP="00AC2186">
            <w:pPr>
              <w:tabs>
                <w:tab w:val="decimal" w:pos="113"/>
              </w:tabs>
              <w:spacing w:line="140" w:lineRule="exact"/>
              <w:rPr>
                <w:sz w:val="16"/>
                <w:szCs w:val="16"/>
              </w:rPr>
            </w:pPr>
          </w:p>
        </w:tc>
        <w:tc>
          <w:tcPr>
            <w:tcW w:w="115" w:type="dxa"/>
            <w:vAlign w:val="bottom"/>
          </w:tcPr>
          <w:p w14:paraId="0C29B469"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6FAC90E" w14:textId="77777777" w:rsidR="00C561BD" w:rsidRPr="00682E64" w:rsidRDefault="00C561BD" w:rsidP="00AC2186">
            <w:pPr>
              <w:tabs>
                <w:tab w:val="decimal" w:pos="113"/>
              </w:tabs>
              <w:spacing w:line="140" w:lineRule="exact"/>
              <w:rPr>
                <w:sz w:val="16"/>
                <w:szCs w:val="16"/>
              </w:rPr>
            </w:pPr>
          </w:p>
        </w:tc>
        <w:tc>
          <w:tcPr>
            <w:tcW w:w="115" w:type="dxa"/>
            <w:vAlign w:val="bottom"/>
          </w:tcPr>
          <w:p w14:paraId="4DFFFEAB"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0D9C521" w14:textId="77777777" w:rsidR="00C561BD" w:rsidRPr="00682E64" w:rsidRDefault="00C561BD" w:rsidP="00AC2186">
            <w:pPr>
              <w:tabs>
                <w:tab w:val="decimal" w:pos="113"/>
              </w:tabs>
              <w:spacing w:line="140" w:lineRule="exact"/>
              <w:rPr>
                <w:sz w:val="16"/>
                <w:szCs w:val="16"/>
              </w:rPr>
            </w:pPr>
          </w:p>
        </w:tc>
        <w:tc>
          <w:tcPr>
            <w:tcW w:w="115" w:type="dxa"/>
            <w:vAlign w:val="bottom"/>
          </w:tcPr>
          <w:p w14:paraId="6D6C691D"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3096D8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BBCA95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FB956D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444F64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4A8036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C96DCC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29FD89F"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945EC9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A91D90A" w14:textId="77777777" w:rsidR="00C561BD" w:rsidRPr="00682E64" w:rsidRDefault="00C561BD" w:rsidP="00AC2186">
            <w:pPr>
              <w:tabs>
                <w:tab w:val="decimal" w:pos="113"/>
              </w:tabs>
              <w:spacing w:line="140" w:lineRule="exact"/>
              <w:rPr>
                <w:sz w:val="16"/>
                <w:szCs w:val="16"/>
              </w:rPr>
            </w:pPr>
          </w:p>
        </w:tc>
        <w:tc>
          <w:tcPr>
            <w:tcW w:w="146" w:type="dxa"/>
            <w:vAlign w:val="bottom"/>
          </w:tcPr>
          <w:p w14:paraId="684014FE"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D725599" w14:textId="77777777" w:rsidR="00C561BD" w:rsidRPr="00682E64" w:rsidRDefault="00C561BD" w:rsidP="00AC2186">
            <w:pPr>
              <w:tabs>
                <w:tab w:val="decimal" w:pos="113"/>
              </w:tabs>
              <w:spacing w:line="140" w:lineRule="exact"/>
              <w:rPr>
                <w:sz w:val="16"/>
                <w:szCs w:val="16"/>
              </w:rPr>
            </w:pPr>
          </w:p>
        </w:tc>
        <w:tc>
          <w:tcPr>
            <w:tcW w:w="115" w:type="dxa"/>
            <w:vAlign w:val="bottom"/>
          </w:tcPr>
          <w:p w14:paraId="264ABC0E"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1C1D271A" w14:textId="77777777" w:rsidR="00C561BD" w:rsidRPr="00682E64" w:rsidRDefault="00C561BD" w:rsidP="00AC2186">
            <w:pPr>
              <w:tabs>
                <w:tab w:val="decimal" w:pos="113"/>
              </w:tabs>
              <w:spacing w:line="140" w:lineRule="exact"/>
              <w:rPr>
                <w:sz w:val="16"/>
                <w:szCs w:val="16"/>
              </w:rPr>
            </w:pPr>
          </w:p>
        </w:tc>
        <w:tc>
          <w:tcPr>
            <w:tcW w:w="115" w:type="dxa"/>
          </w:tcPr>
          <w:p w14:paraId="2571C4E6"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189B64BA" w14:textId="77777777" w:rsidR="00C561BD" w:rsidRPr="00682E64" w:rsidRDefault="00C561BD" w:rsidP="00AC2186">
            <w:pPr>
              <w:tabs>
                <w:tab w:val="decimal" w:pos="113"/>
              </w:tabs>
              <w:spacing w:line="140" w:lineRule="exact"/>
              <w:rPr>
                <w:sz w:val="16"/>
                <w:szCs w:val="16"/>
              </w:rPr>
            </w:pPr>
          </w:p>
        </w:tc>
      </w:tr>
      <w:tr w:rsidR="00C561BD" w:rsidRPr="00682E64" w14:paraId="2A7F1EAC" w14:textId="77777777" w:rsidTr="00AC2186">
        <w:tc>
          <w:tcPr>
            <w:tcW w:w="857" w:type="dxa"/>
            <w:vMerge w:val="restart"/>
            <w:tcBorders>
              <w:bottom w:val="single" w:sz="4" w:space="0" w:color="auto"/>
              <w:right w:val="single" w:sz="4" w:space="0" w:color="auto"/>
            </w:tcBorders>
            <w:vAlign w:val="center"/>
          </w:tcPr>
          <w:p w14:paraId="28DA81D9" w14:textId="77777777" w:rsidR="00C561BD" w:rsidRPr="00B05763" w:rsidRDefault="00C561BD" w:rsidP="00AC2186">
            <w:pPr>
              <w:bidi w:val="0"/>
              <w:spacing w:line="140" w:lineRule="exact"/>
              <w:jc w:val="right"/>
              <w:rPr>
                <w:i/>
                <w:iCs/>
                <w:sz w:val="12"/>
                <w:szCs w:val="12"/>
              </w:rPr>
            </w:pPr>
            <w:r>
              <w:rPr>
                <w:i/>
                <w:iCs/>
                <w:sz w:val="12"/>
                <w:szCs w:val="12"/>
              </w:rPr>
              <w:t>IAS 1.106(d)(iii)</w:t>
            </w:r>
          </w:p>
        </w:tc>
        <w:tc>
          <w:tcPr>
            <w:tcW w:w="2309" w:type="dxa"/>
            <w:tcBorders>
              <w:left w:val="single" w:sz="4" w:space="0" w:color="auto"/>
            </w:tcBorders>
            <w:vAlign w:val="bottom"/>
          </w:tcPr>
          <w:p w14:paraId="61B4262A"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 xml:space="preserve">הנפקת הון מניות (בניכוי הוצאות הנפקה </w:t>
            </w:r>
            <w:r w:rsidRPr="00682E64">
              <w:rPr>
                <w:rFonts w:hint="eastAsia"/>
                <w:sz w:val="16"/>
                <w:szCs w:val="16"/>
                <w:rtl/>
              </w:rPr>
              <w:t>בסך</w:t>
            </w:r>
            <w:r w:rsidRPr="00682E64">
              <w:rPr>
                <w:sz w:val="16"/>
                <w:szCs w:val="16"/>
                <w:rtl/>
              </w:rPr>
              <w:t xml:space="preserve"> ____ </w:t>
            </w:r>
            <w:r w:rsidRPr="00682E64">
              <w:rPr>
                <w:rFonts w:hint="eastAsia"/>
                <w:sz w:val="16"/>
                <w:szCs w:val="16"/>
                <w:rtl/>
              </w:rPr>
              <w:t>אלפי</w:t>
            </w:r>
            <w:r w:rsidRPr="00682E64">
              <w:rPr>
                <w:sz w:val="16"/>
                <w:szCs w:val="16"/>
                <w:rtl/>
              </w:rPr>
              <w:t xml:space="preserve"> </w:t>
            </w:r>
            <w:r w:rsidRPr="00682E64">
              <w:rPr>
                <w:rFonts w:hint="eastAsia"/>
                <w:sz w:val="16"/>
                <w:szCs w:val="16"/>
                <w:rtl/>
              </w:rPr>
              <w:t>ש</w:t>
            </w:r>
            <w:r w:rsidRPr="00682E64">
              <w:rPr>
                <w:sz w:val="16"/>
                <w:szCs w:val="16"/>
                <w:rtl/>
              </w:rPr>
              <w:t>"ח)</w:t>
            </w:r>
          </w:p>
        </w:tc>
        <w:tc>
          <w:tcPr>
            <w:tcW w:w="113" w:type="dxa"/>
            <w:vAlign w:val="bottom"/>
          </w:tcPr>
          <w:p w14:paraId="57290C46"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5CC8AC4D" w14:textId="77777777" w:rsidR="00C561BD" w:rsidRPr="00682E64" w:rsidRDefault="00C561BD" w:rsidP="00AC2186">
            <w:pPr>
              <w:tabs>
                <w:tab w:val="decimal" w:pos="113"/>
              </w:tabs>
              <w:spacing w:line="140" w:lineRule="exact"/>
              <w:rPr>
                <w:sz w:val="16"/>
                <w:szCs w:val="16"/>
              </w:rPr>
            </w:pPr>
          </w:p>
        </w:tc>
        <w:tc>
          <w:tcPr>
            <w:tcW w:w="115" w:type="dxa"/>
            <w:vAlign w:val="bottom"/>
          </w:tcPr>
          <w:p w14:paraId="1986DBC5"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5A9C737" w14:textId="77777777" w:rsidR="00C561BD" w:rsidRPr="00682E64" w:rsidRDefault="00C561BD" w:rsidP="00AC2186">
            <w:pPr>
              <w:tabs>
                <w:tab w:val="decimal" w:pos="113"/>
              </w:tabs>
              <w:spacing w:line="140" w:lineRule="exact"/>
              <w:rPr>
                <w:sz w:val="16"/>
                <w:szCs w:val="16"/>
              </w:rPr>
            </w:pPr>
          </w:p>
        </w:tc>
        <w:tc>
          <w:tcPr>
            <w:tcW w:w="115" w:type="dxa"/>
            <w:vAlign w:val="bottom"/>
          </w:tcPr>
          <w:p w14:paraId="3D4C8117"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B012FB7" w14:textId="77777777" w:rsidR="00C561BD" w:rsidRPr="00682E64" w:rsidRDefault="00C561BD" w:rsidP="00AC2186">
            <w:pPr>
              <w:tabs>
                <w:tab w:val="decimal" w:pos="113"/>
              </w:tabs>
              <w:spacing w:line="140" w:lineRule="exact"/>
              <w:rPr>
                <w:sz w:val="16"/>
                <w:szCs w:val="16"/>
              </w:rPr>
            </w:pPr>
          </w:p>
        </w:tc>
        <w:tc>
          <w:tcPr>
            <w:tcW w:w="115" w:type="dxa"/>
          </w:tcPr>
          <w:p w14:paraId="3790499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3563CB9F" w14:textId="77777777" w:rsidR="00C561BD" w:rsidRPr="00682E64" w:rsidRDefault="00C561BD" w:rsidP="00AC2186">
            <w:pPr>
              <w:tabs>
                <w:tab w:val="decimal" w:pos="113"/>
              </w:tabs>
              <w:spacing w:line="140" w:lineRule="exact"/>
              <w:rPr>
                <w:sz w:val="16"/>
                <w:szCs w:val="16"/>
              </w:rPr>
            </w:pPr>
          </w:p>
        </w:tc>
        <w:tc>
          <w:tcPr>
            <w:tcW w:w="115" w:type="dxa"/>
          </w:tcPr>
          <w:p w14:paraId="50875B37"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73C33F9E" w14:textId="77777777" w:rsidR="00C561BD" w:rsidRPr="00682E64" w:rsidRDefault="00C561BD" w:rsidP="00AC2186">
            <w:pPr>
              <w:tabs>
                <w:tab w:val="decimal" w:pos="113"/>
              </w:tabs>
              <w:spacing w:line="140" w:lineRule="exact"/>
              <w:rPr>
                <w:sz w:val="16"/>
                <w:szCs w:val="16"/>
              </w:rPr>
            </w:pPr>
          </w:p>
        </w:tc>
        <w:tc>
          <w:tcPr>
            <w:tcW w:w="115" w:type="dxa"/>
            <w:vAlign w:val="bottom"/>
          </w:tcPr>
          <w:p w14:paraId="246C8D28"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36FFBA3" w14:textId="77777777" w:rsidR="00C561BD" w:rsidRPr="00682E64" w:rsidRDefault="00C561BD" w:rsidP="00AC2186">
            <w:pPr>
              <w:tabs>
                <w:tab w:val="decimal" w:pos="113"/>
              </w:tabs>
              <w:spacing w:line="140" w:lineRule="exact"/>
              <w:rPr>
                <w:sz w:val="16"/>
                <w:szCs w:val="16"/>
              </w:rPr>
            </w:pPr>
          </w:p>
        </w:tc>
        <w:tc>
          <w:tcPr>
            <w:tcW w:w="115" w:type="dxa"/>
            <w:vAlign w:val="bottom"/>
          </w:tcPr>
          <w:p w14:paraId="2A15A0B1"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AC25F2D" w14:textId="77777777" w:rsidR="00C561BD" w:rsidRPr="00682E64" w:rsidRDefault="00C561BD" w:rsidP="00AC2186">
            <w:pPr>
              <w:tabs>
                <w:tab w:val="decimal" w:pos="113"/>
              </w:tabs>
              <w:spacing w:line="140" w:lineRule="exact"/>
              <w:rPr>
                <w:sz w:val="16"/>
                <w:szCs w:val="16"/>
              </w:rPr>
            </w:pPr>
          </w:p>
        </w:tc>
        <w:tc>
          <w:tcPr>
            <w:tcW w:w="115" w:type="dxa"/>
            <w:vAlign w:val="bottom"/>
          </w:tcPr>
          <w:p w14:paraId="2DC9EFA8"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6FBBD40" w14:textId="77777777" w:rsidR="00C561BD" w:rsidRPr="00682E64" w:rsidRDefault="00C561BD" w:rsidP="00AC2186">
            <w:pPr>
              <w:tabs>
                <w:tab w:val="decimal" w:pos="113"/>
              </w:tabs>
              <w:spacing w:line="140" w:lineRule="exact"/>
              <w:rPr>
                <w:sz w:val="16"/>
                <w:szCs w:val="16"/>
              </w:rPr>
            </w:pPr>
          </w:p>
        </w:tc>
        <w:tc>
          <w:tcPr>
            <w:tcW w:w="115" w:type="dxa"/>
            <w:vAlign w:val="bottom"/>
          </w:tcPr>
          <w:p w14:paraId="7298031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CBB3DB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63C0793"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7FB67A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2C5001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AA1143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091AC7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F914DCF"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462C11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B9730E2" w14:textId="77777777" w:rsidR="00C561BD" w:rsidRPr="00682E64" w:rsidRDefault="00C561BD" w:rsidP="00AC2186">
            <w:pPr>
              <w:tabs>
                <w:tab w:val="decimal" w:pos="113"/>
              </w:tabs>
              <w:spacing w:line="140" w:lineRule="exact"/>
              <w:rPr>
                <w:sz w:val="16"/>
                <w:szCs w:val="16"/>
              </w:rPr>
            </w:pPr>
          </w:p>
        </w:tc>
        <w:tc>
          <w:tcPr>
            <w:tcW w:w="146" w:type="dxa"/>
            <w:vAlign w:val="bottom"/>
          </w:tcPr>
          <w:p w14:paraId="423AFC2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BE965BF" w14:textId="77777777" w:rsidR="00C561BD" w:rsidRPr="00682E64" w:rsidRDefault="00C561BD" w:rsidP="00AC2186">
            <w:pPr>
              <w:tabs>
                <w:tab w:val="decimal" w:pos="113"/>
              </w:tabs>
              <w:spacing w:line="140" w:lineRule="exact"/>
              <w:rPr>
                <w:sz w:val="16"/>
                <w:szCs w:val="16"/>
              </w:rPr>
            </w:pPr>
          </w:p>
        </w:tc>
        <w:tc>
          <w:tcPr>
            <w:tcW w:w="115" w:type="dxa"/>
            <w:vAlign w:val="bottom"/>
          </w:tcPr>
          <w:p w14:paraId="73F145F2"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A1554F8" w14:textId="77777777" w:rsidR="00C561BD" w:rsidRPr="00682E64" w:rsidRDefault="00C561BD" w:rsidP="00AC2186">
            <w:pPr>
              <w:tabs>
                <w:tab w:val="decimal" w:pos="113"/>
              </w:tabs>
              <w:spacing w:line="140" w:lineRule="exact"/>
              <w:rPr>
                <w:sz w:val="16"/>
                <w:szCs w:val="16"/>
              </w:rPr>
            </w:pPr>
          </w:p>
        </w:tc>
        <w:tc>
          <w:tcPr>
            <w:tcW w:w="115" w:type="dxa"/>
          </w:tcPr>
          <w:p w14:paraId="6F6971E7"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3B439385" w14:textId="77777777" w:rsidR="00C561BD" w:rsidRPr="00682E64" w:rsidRDefault="00C561BD" w:rsidP="00AC2186">
            <w:pPr>
              <w:tabs>
                <w:tab w:val="decimal" w:pos="113"/>
              </w:tabs>
              <w:spacing w:line="140" w:lineRule="exact"/>
              <w:rPr>
                <w:sz w:val="16"/>
                <w:szCs w:val="16"/>
              </w:rPr>
            </w:pPr>
          </w:p>
        </w:tc>
      </w:tr>
      <w:tr w:rsidR="00C561BD" w:rsidRPr="00682E64" w14:paraId="06EAED89" w14:textId="77777777" w:rsidTr="00AC2186">
        <w:tc>
          <w:tcPr>
            <w:tcW w:w="857" w:type="dxa"/>
            <w:vMerge/>
            <w:tcBorders>
              <w:bottom w:val="single" w:sz="4" w:space="0" w:color="auto"/>
              <w:right w:val="single" w:sz="4" w:space="0" w:color="auto"/>
            </w:tcBorders>
          </w:tcPr>
          <w:p w14:paraId="69C87FA7"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4BD61B55"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הנפקת הון/מכירת מניות לבעלי זכויות שאינן מקנות שליטה</w:t>
            </w:r>
          </w:p>
        </w:tc>
        <w:tc>
          <w:tcPr>
            <w:tcW w:w="113" w:type="dxa"/>
            <w:vAlign w:val="bottom"/>
          </w:tcPr>
          <w:p w14:paraId="6FE37AC5"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04E9D12E" w14:textId="77777777" w:rsidR="00C561BD" w:rsidRPr="00682E64" w:rsidRDefault="00C561BD" w:rsidP="00AC2186">
            <w:pPr>
              <w:tabs>
                <w:tab w:val="decimal" w:pos="113"/>
              </w:tabs>
              <w:spacing w:line="140" w:lineRule="exact"/>
              <w:rPr>
                <w:sz w:val="16"/>
                <w:szCs w:val="16"/>
              </w:rPr>
            </w:pPr>
          </w:p>
        </w:tc>
        <w:tc>
          <w:tcPr>
            <w:tcW w:w="115" w:type="dxa"/>
            <w:vAlign w:val="bottom"/>
          </w:tcPr>
          <w:p w14:paraId="190A7DB2"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284E10B" w14:textId="77777777" w:rsidR="00C561BD" w:rsidRPr="00682E64" w:rsidRDefault="00C561BD" w:rsidP="00AC2186">
            <w:pPr>
              <w:tabs>
                <w:tab w:val="decimal" w:pos="113"/>
              </w:tabs>
              <w:spacing w:line="140" w:lineRule="exact"/>
              <w:rPr>
                <w:sz w:val="16"/>
                <w:szCs w:val="16"/>
              </w:rPr>
            </w:pPr>
          </w:p>
        </w:tc>
        <w:tc>
          <w:tcPr>
            <w:tcW w:w="115" w:type="dxa"/>
            <w:vAlign w:val="bottom"/>
          </w:tcPr>
          <w:p w14:paraId="7EBA327E"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8300143" w14:textId="77777777" w:rsidR="00C561BD" w:rsidRPr="00682E64" w:rsidRDefault="00C561BD" w:rsidP="00AC2186">
            <w:pPr>
              <w:tabs>
                <w:tab w:val="decimal" w:pos="113"/>
              </w:tabs>
              <w:spacing w:line="140" w:lineRule="exact"/>
              <w:rPr>
                <w:sz w:val="16"/>
                <w:szCs w:val="16"/>
              </w:rPr>
            </w:pPr>
          </w:p>
        </w:tc>
        <w:tc>
          <w:tcPr>
            <w:tcW w:w="115" w:type="dxa"/>
          </w:tcPr>
          <w:p w14:paraId="74AD39FC"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34965FCD" w14:textId="77777777" w:rsidR="00C561BD" w:rsidRPr="00682E64" w:rsidRDefault="00C561BD" w:rsidP="00AC2186">
            <w:pPr>
              <w:tabs>
                <w:tab w:val="decimal" w:pos="113"/>
              </w:tabs>
              <w:spacing w:line="140" w:lineRule="exact"/>
              <w:rPr>
                <w:sz w:val="16"/>
                <w:szCs w:val="16"/>
              </w:rPr>
            </w:pPr>
          </w:p>
        </w:tc>
        <w:tc>
          <w:tcPr>
            <w:tcW w:w="115" w:type="dxa"/>
          </w:tcPr>
          <w:p w14:paraId="07E5FAA4"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1CCD1DC7" w14:textId="77777777" w:rsidR="00C561BD" w:rsidRPr="00682E64" w:rsidRDefault="00C561BD" w:rsidP="00AC2186">
            <w:pPr>
              <w:tabs>
                <w:tab w:val="decimal" w:pos="113"/>
              </w:tabs>
              <w:spacing w:line="140" w:lineRule="exact"/>
              <w:rPr>
                <w:sz w:val="16"/>
                <w:szCs w:val="16"/>
              </w:rPr>
            </w:pPr>
          </w:p>
        </w:tc>
        <w:tc>
          <w:tcPr>
            <w:tcW w:w="115" w:type="dxa"/>
            <w:vAlign w:val="bottom"/>
          </w:tcPr>
          <w:p w14:paraId="03FC179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9229DFA" w14:textId="77777777" w:rsidR="00C561BD" w:rsidRPr="00682E64" w:rsidRDefault="00C561BD" w:rsidP="00AC2186">
            <w:pPr>
              <w:tabs>
                <w:tab w:val="decimal" w:pos="113"/>
              </w:tabs>
              <w:spacing w:line="140" w:lineRule="exact"/>
              <w:rPr>
                <w:sz w:val="16"/>
                <w:szCs w:val="16"/>
              </w:rPr>
            </w:pPr>
          </w:p>
        </w:tc>
        <w:tc>
          <w:tcPr>
            <w:tcW w:w="115" w:type="dxa"/>
            <w:vAlign w:val="bottom"/>
          </w:tcPr>
          <w:p w14:paraId="401365A6"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432F6573" w14:textId="77777777" w:rsidR="00C561BD" w:rsidRPr="00682E64" w:rsidRDefault="00C561BD" w:rsidP="00AC2186">
            <w:pPr>
              <w:tabs>
                <w:tab w:val="decimal" w:pos="113"/>
              </w:tabs>
              <w:spacing w:line="140" w:lineRule="exact"/>
              <w:rPr>
                <w:sz w:val="16"/>
                <w:szCs w:val="16"/>
              </w:rPr>
            </w:pPr>
          </w:p>
        </w:tc>
        <w:tc>
          <w:tcPr>
            <w:tcW w:w="115" w:type="dxa"/>
            <w:vAlign w:val="bottom"/>
          </w:tcPr>
          <w:p w14:paraId="0C53C5F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4DD8E3D" w14:textId="77777777" w:rsidR="00C561BD" w:rsidRPr="00682E64" w:rsidRDefault="00C561BD" w:rsidP="00AC2186">
            <w:pPr>
              <w:tabs>
                <w:tab w:val="decimal" w:pos="113"/>
              </w:tabs>
              <w:spacing w:line="140" w:lineRule="exact"/>
              <w:rPr>
                <w:sz w:val="16"/>
                <w:szCs w:val="16"/>
              </w:rPr>
            </w:pPr>
          </w:p>
        </w:tc>
        <w:tc>
          <w:tcPr>
            <w:tcW w:w="115" w:type="dxa"/>
            <w:vAlign w:val="bottom"/>
          </w:tcPr>
          <w:p w14:paraId="42A66BE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586BAD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CBB755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E92831E"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5BD0C4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08D260F"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1F9E99D"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B83EF8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F899A9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CFC4656" w14:textId="77777777" w:rsidR="00C561BD" w:rsidRPr="00682E64" w:rsidRDefault="00C561BD" w:rsidP="00AC2186">
            <w:pPr>
              <w:tabs>
                <w:tab w:val="decimal" w:pos="113"/>
              </w:tabs>
              <w:spacing w:line="140" w:lineRule="exact"/>
              <w:rPr>
                <w:sz w:val="16"/>
                <w:szCs w:val="16"/>
              </w:rPr>
            </w:pPr>
          </w:p>
        </w:tc>
        <w:tc>
          <w:tcPr>
            <w:tcW w:w="146" w:type="dxa"/>
            <w:vAlign w:val="bottom"/>
          </w:tcPr>
          <w:p w14:paraId="4522FCA0"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A42667B" w14:textId="77777777" w:rsidR="00C561BD" w:rsidRPr="00682E64" w:rsidRDefault="00C561BD" w:rsidP="00AC2186">
            <w:pPr>
              <w:tabs>
                <w:tab w:val="decimal" w:pos="113"/>
              </w:tabs>
              <w:spacing w:line="140" w:lineRule="exact"/>
              <w:rPr>
                <w:sz w:val="16"/>
                <w:szCs w:val="16"/>
              </w:rPr>
            </w:pPr>
          </w:p>
        </w:tc>
        <w:tc>
          <w:tcPr>
            <w:tcW w:w="115" w:type="dxa"/>
            <w:vAlign w:val="bottom"/>
          </w:tcPr>
          <w:p w14:paraId="10626D2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B023D4C" w14:textId="77777777" w:rsidR="00C561BD" w:rsidRPr="00682E64" w:rsidRDefault="00C561BD" w:rsidP="00AC2186">
            <w:pPr>
              <w:tabs>
                <w:tab w:val="decimal" w:pos="113"/>
              </w:tabs>
              <w:spacing w:line="140" w:lineRule="exact"/>
              <w:rPr>
                <w:sz w:val="16"/>
                <w:szCs w:val="16"/>
              </w:rPr>
            </w:pPr>
          </w:p>
        </w:tc>
        <w:tc>
          <w:tcPr>
            <w:tcW w:w="115" w:type="dxa"/>
          </w:tcPr>
          <w:p w14:paraId="0FF65511"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782A3973" w14:textId="77777777" w:rsidR="00C561BD" w:rsidRPr="00682E64" w:rsidRDefault="00C561BD" w:rsidP="00AC2186">
            <w:pPr>
              <w:tabs>
                <w:tab w:val="decimal" w:pos="113"/>
              </w:tabs>
              <w:spacing w:line="140" w:lineRule="exact"/>
              <w:rPr>
                <w:sz w:val="16"/>
                <w:szCs w:val="16"/>
              </w:rPr>
            </w:pPr>
          </w:p>
        </w:tc>
      </w:tr>
      <w:tr w:rsidR="00C561BD" w:rsidRPr="00682E64" w14:paraId="6C3406E2" w14:textId="77777777" w:rsidTr="00AC2186">
        <w:tc>
          <w:tcPr>
            <w:tcW w:w="857" w:type="dxa"/>
            <w:tcBorders>
              <w:top w:val="single" w:sz="4" w:space="0" w:color="auto"/>
            </w:tcBorders>
          </w:tcPr>
          <w:p w14:paraId="7DA764E0" w14:textId="77777777" w:rsidR="00C561BD" w:rsidRPr="00B05763" w:rsidRDefault="00C561BD" w:rsidP="00AC2186">
            <w:pPr>
              <w:bidi w:val="0"/>
              <w:spacing w:line="140" w:lineRule="exact"/>
              <w:jc w:val="right"/>
              <w:rPr>
                <w:i/>
                <w:iCs/>
                <w:sz w:val="12"/>
                <w:szCs w:val="12"/>
                <w:rtl/>
              </w:rPr>
            </w:pPr>
          </w:p>
        </w:tc>
        <w:tc>
          <w:tcPr>
            <w:tcW w:w="2309" w:type="dxa"/>
            <w:vAlign w:val="bottom"/>
          </w:tcPr>
          <w:p w14:paraId="19D5E9DA"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תקבולים בגין אופציית המרה בהנפקת אגרות חוב ניתנות להמרה (בניכוי הוצאות הנפקה)</w:t>
            </w:r>
          </w:p>
        </w:tc>
        <w:tc>
          <w:tcPr>
            <w:tcW w:w="113" w:type="dxa"/>
            <w:vAlign w:val="bottom"/>
          </w:tcPr>
          <w:p w14:paraId="3E790911"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445DA5D8" w14:textId="77777777" w:rsidR="00C561BD" w:rsidRPr="00682E64" w:rsidRDefault="00C561BD" w:rsidP="00AC2186">
            <w:pPr>
              <w:tabs>
                <w:tab w:val="decimal" w:pos="113"/>
              </w:tabs>
              <w:spacing w:line="140" w:lineRule="exact"/>
              <w:rPr>
                <w:sz w:val="16"/>
                <w:szCs w:val="16"/>
              </w:rPr>
            </w:pPr>
          </w:p>
        </w:tc>
        <w:tc>
          <w:tcPr>
            <w:tcW w:w="115" w:type="dxa"/>
            <w:vAlign w:val="bottom"/>
          </w:tcPr>
          <w:p w14:paraId="57B0330C"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DA33C90" w14:textId="77777777" w:rsidR="00C561BD" w:rsidRPr="00682E64" w:rsidRDefault="00C561BD" w:rsidP="00AC2186">
            <w:pPr>
              <w:tabs>
                <w:tab w:val="decimal" w:pos="113"/>
              </w:tabs>
              <w:spacing w:line="140" w:lineRule="exact"/>
              <w:rPr>
                <w:sz w:val="16"/>
                <w:szCs w:val="16"/>
              </w:rPr>
            </w:pPr>
          </w:p>
        </w:tc>
        <w:tc>
          <w:tcPr>
            <w:tcW w:w="115" w:type="dxa"/>
            <w:vAlign w:val="bottom"/>
          </w:tcPr>
          <w:p w14:paraId="1A5714B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9C17C81" w14:textId="77777777" w:rsidR="00C561BD" w:rsidRPr="00682E64" w:rsidRDefault="00C561BD" w:rsidP="00AC2186">
            <w:pPr>
              <w:tabs>
                <w:tab w:val="decimal" w:pos="113"/>
              </w:tabs>
              <w:spacing w:line="140" w:lineRule="exact"/>
              <w:rPr>
                <w:sz w:val="16"/>
                <w:szCs w:val="16"/>
              </w:rPr>
            </w:pPr>
          </w:p>
        </w:tc>
        <w:tc>
          <w:tcPr>
            <w:tcW w:w="115" w:type="dxa"/>
          </w:tcPr>
          <w:p w14:paraId="2ED22F2A"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506830FA" w14:textId="77777777" w:rsidR="00C561BD" w:rsidRPr="00682E64" w:rsidRDefault="00C561BD" w:rsidP="00AC2186">
            <w:pPr>
              <w:tabs>
                <w:tab w:val="decimal" w:pos="113"/>
              </w:tabs>
              <w:spacing w:line="140" w:lineRule="exact"/>
              <w:rPr>
                <w:sz w:val="16"/>
                <w:szCs w:val="16"/>
              </w:rPr>
            </w:pPr>
          </w:p>
        </w:tc>
        <w:tc>
          <w:tcPr>
            <w:tcW w:w="115" w:type="dxa"/>
          </w:tcPr>
          <w:p w14:paraId="482BD50A"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5498C1E4" w14:textId="77777777" w:rsidR="00C561BD" w:rsidRPr="00682E64" w:rsidRDefault="00C561BD" w:rsidP="00AC2186">
            <w:pPr>
              <w:tabs>
                <w:tab w:val="decimal" w:pos="113"/>
              </w:tabs>
              <w:spacing w:line="140" w:lineRule="exact"/>
              <w:rPr>
                <w:sz w:val="16"/>
                <w:szCs w:val="16"/>
              </w:rPr>
            </w:pPr>
          </w:p>
        </w:tc>
        <w:tc>
          <w:tcPr>
            <w:tcW w:w="115" w:type="dxa"/>
            <w:vAlign w:val="bottom"/>
          </w:tcPr>
          <w:p w14:paraId="035318D4"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5EC3E0E" w14:textId="77777777" w:rsidR="00C561BD" w:rsidRPr="00682E64" w:rsidRDefault="00C561BD" w:rsidP="00AC2186">
            <w:pPr>
              <w:tabs>
                <w:tab w:val="decimal" w:pos="113"/>
              </w:tabs>
              <w:spacing w:line="140" w:lineRule="exact"/>
              <w:rPr>
                <w:sz w:val="16"/>
                <w:szCs w:val="16"/>
              </w:rPr>
            </w:pPr>
          </w:p>
        </w:tc>
        <w:tc>
          <w:tcPr>
            <w:tcW w:w="115" w:type="dxa"/>
            <w:vAlign w:val="bottom"/>
          </w:tcPr>
          <w:p w14:paraId="73156C09"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7DE9B05" w14:textId="77777777" w:rsidR="00C561BD" w:rsidRPr="00682E64" w:rsidRDefault="00C561BD" w:rsidP="00AC2186">
            <w:pPr>
              <w:tabs>
                <w:tab w:val="decimal" w:pos="113"/>
              </w:tabs>
              <w:spacing w:line="140" w:lineRule="exact"/>
              <w:rPr>
                <w:sz w:val="16"/>
                <w:szCs w:val="16"/>
              </w:rPr>
            </w:pPr>
          </w:p>
        </w:tc>
        <w:tc>
          <w:tcPr>
            <w:tcW w:w="115" w:type="dxa"/>
            <w:vAlign w:val="bottom"/>
          </w:tcPr>
          <w:p w14:paraId="51EDCB2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2A96B9A9" w14:textId="77777777" w:rsidR="00C561BD" w:rsidRPr="00682E64" w:rsidRDefault="00C561BD" w:rsidP="00AC2186">
            <w:pPr>
              <w:tabs>
                <w:tab w:val="decimal" w:pos="113"/>
              </w:tabs>
              <w:spacing w:line="140" w:lineRule="exact"/>
              <w:rPr>
                <w:sz w:val="16"/>
                <w:szCs w:val="16"/>
              </w:rPr>
            </w:pPr>
          </w:p>
        </w:tc>
        <w:tc>
          <w:tcPr>
            <w:tcW w:w="115" w:type="dxa"/>
            <w:vAlign w:val="bottom"/>
          </w:tcPr>
          <w:p w14:paraId="735D47D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C9A96F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19F609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A4A7F2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6FC579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9B897E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9A7D87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728813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7F1B3C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E8ADE36" w14:textId="77777777" w:rsidR="00C561BD" w:rsidRPr="00682E64" w:rsidRDefault="00C561BD" w:rsidP="00AC2186">
            <w:pPr>
              <w:tabs>
                <w:tab w:val="decimal" w:pos="113"/>
              </w:tabs>
              <w:spacing w:line="140" w:lineRule="exact"/>
              <w:rPr>
                <w:sz w:val="16"/>
                <w:szCs w:val="16"/>
              </w:rPr>
            </w:pPr>
          </w:p>
        </w:tc>
        <w:tc>
          <w:tcPr>
            <w:tcW w:w="146" w:type="dxa"/>
            <w:vAlign w:val="bottom"/>
          </w:tcPr>
          <w:p w14:paraId="307BC6AA"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178123C7" w14:textId="77777777" w:rsidR="00C561BD" w:rsidRPr="00682E64" w:rsidRDefault="00C561BD" w:rsidP="00AC2186">
            <w:pPr>
              <w:tabs>
                <w:tab w:val="decimal" w:pos="113"/>
              </w:tabs>
              <w:spacing w:line="140" w:lineRule="exact"/>
              <w:rPr>
                <w:sz w:val="16"/>
                <w:szCs w:val="16"/>
              </w:rPr>
            </w:pPr>
          </w:p>
        </w:tc>
        <w:tc>
          <w:tcPr>
            <w:tcW w:w="115" w:type="dxa"/>
            <w:vAlign w:val="bottom"/>
          </w:tcPr>
          <w:p w14:paraId="50464FBA"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46D6285" w14:textId="77777777" w:rsidR="00C561BD" w:rsidRPr="00682E64" w:rsidRDefault="00C561BD" w:rsidP="00AC2186">
            <w:pPr>
              <w:tabs>
                <w:tab w:val="decimal" w:pos="113"/>
              </w:tabs>
              <w:spacing w:line="140" w:lineRule="exact"/>
              <w:rPr>
                <w:sz w:val="16"/>
                <w:szCs w:val="16"/>
              </w:rPr>
            </w:pPr>
          </w:p>
        </w:tc>
        <w:tc>
          <w:tcPr>
            <w:tcW w:w="115" w:type="dxa"/>
          </w:tcPr>
          <w:p w14:paraId="63695AE3"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5BD096BF" w14:textId="77777777" w:rsidR="00C561BD" w:rsidRPr="00682E64" w:rsidRDefault="00C561BD" w:rsidP="00AC2186">
            <w:pPr>
              <w:tabs>
                <w:tab w:val="decimal" w:pos="113"/>
              </w:tabs>
              <w:spacing w:line="140" w:lineRule="exact"/>
              <w:rPr>
                <w:sz w:val="16"/>
                <w:szCs w:val="16"/>
              </w:rPr>
            </w:pPr>
          </w:p>
        </w:tc>
      </w:tr>
      <w:tr w:rsidR="00C561BD" w:rsidRPr="00682E64" w14:paraId="610A4E59" w14:textId="77777777" w:rsidTr="00AC2186">
        <w:tc>
          <w:tcPr>
            <w:tcW w:w="857" w:type="dxa"/>
          </w:tcPr>
          <w:p w14:paraId="22F902B7" w14:textId="77777777" w:rsidR="00C561BD" w:rsidRPr="00B05763" w:rsidRDefault="00C561BD" w:rsidP="00AC2186">
            <w:pPr>
              <w:bidi w:val="0"/>
              <w:spacing w:line="140" w:lineRule="exact"/>
              <w:jc w:val="right"/>
              <w:rPr>
                <w:i/>
                <w:iCs/>
                <w:sz w:val="12"/>
                <w:szCs w:val="12"/>
                <w:rtl/>
              </w:rPr>
            </w:pPr>
          </w:p>
        </w:tc>
        <w:tc>
          <w:tcPr>
            <w:tcW w:w="2309" w:type="dxa"/>
            <w:vAlign w:val="bottom"/>
          </w:tcPr>
          <w:p w14:paraId="45E9EEA3"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המרת אגרות חוב להמרה במניות</w:t>
            </w:r>
          </w:p>
        </w:tc>
        <w:tc>
          <w:tcPr>
            <w:tcW w:w="113" w:type="dxa"/>
            <w:vAlign w:val="bottom"/>
          </w:tcPr>
          <w:p w14:paraId="3A74B9FC"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2B0FB910" w14:textId="77777777" w:rsidR="00C561BD" w:rsidRPr="00682E64" w:rsidRDefault="00C561BD" w:rsidP="00AC2186">
            <w:pPr>
              <w:tabs>
                <w:tab w:val="decimal" w:pos="113"/>
              </w:tabs>
              <w:spacing w:line="140" w:lineRule="exact"/>
              <w:rPr>
                <w:sz w:val="16"/>
                <w:szCs w:val="16"/>
              </w:rPr>
            </w:pPr>
          </w:p>
        </w:tc>
        <w:tc>
          <w:tcPr>
            <w:tcW w:w="115" w:type="dxa"/>
            <w:vAlign w:val="bottom"/>
          </w:tcPr>
          <w:p w14:paraId="153B5D5A"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1790490" w14:textId="77777777" w:rsidR="00C561BD" w:rsidRPr="00682E64" w:rsidRDefault="00C561BD" w:rsidP="00AC2186">
            <w:pPr>
              <w:tabs>
                <w:tab w:val="decimal" w:pos="113"/>
              </w:tabs>
              <w:spacing w:line="140" w:lineRule="exact"/>
              <w:rPr>
                <w:sz w:val="16"/>
                <w:szCs w:val="16"/>
              </w:rPr>
            </w:pPr>
          </w:p>
        </w:tc>
        <w:tc>
          <w:tcPr>
            <w:tcW w:w="115" w:type="dxa"/>
            <w:vAlign w:val="bottom"/>
          </w:tcPr>
          <w:p w14:paraId="3AB0CB0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B688BCE" w14:textId="77777777" w:rsidR="00C561BD" w:rsidRPr="00682E64" w:rsidRDefault="00C561BD" w:rsidP="00AC2186">
            <w:pPr>
              <w:tabs>
                <w:tab w:val="decimal" w:pos="113"/>
              </w:tabs>
              <w:spacing w:line="140" w:lineRule="exact"/>
              <w:rPr>
                <w:sz w:val="16"/>
                <w:szCs w:val="16"/>
              </w:rPr>
            </w:pPr>
          </w:p>
        </w:tc>
        <w:tc>
          <w:tcPr>
            <w:tcW w:w="115" w:type="dxa"/>
          </w:tcPr>
          <w:p w14:paraId="64C8184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6B584FB4" w14:textId="77777777" w:rsidR="00C561BD" w:rsidRPr="00682E64" w:rsidRDefault="00C561BD" w:rsidP="00AC2186">
            <w:pPr>
              <w:tabs>
                <w:tab w:val="decimal" w:pos="113"/>
              </w:tabs>
              <w:spacing w:line="140" w:lineRule="exact"/>
              <w:rPr>
                <w:sz w:val="16"/>
                <w:szCs w:val="16"/>
              </w:rPr>
            </w:pPr>
          </w:p>
        </w:tc>
        <w:tc>
          <w:tcPr>
            <w:tcW w:w="115" w:type="dxa"/>
          </w:tcPr>
          <w:p w14:paraId="35F6AC85"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5345352B" w14:textId="77777777" w:rsidR="00C561BD" w:rsidRPr="00682E64" w:rsidRDefault="00C561BD" w:rsidP="00AC2186">
            <w:pPr>
              <w:tabs>
                <w:tab w:val="decimal" w:pos="113"/>
              </w:tabs>
              <w:spacing w:line="140" w:lineRule="exact"/>
              <w:rPr>
                <w:sz w:val="16"/>
                <w:szCs w:val="16"/>
              </w:rPr>
            </w:pPr>
          </w:p>
        </w:tc>
        <w:tc>
          <w:tcPr>
            <w:tcW w:w="115" w:type="dxa"/>
            <w:vAlign w:val="bottom"/>
          </w:tcPr>
          <w:p w14:paraId="21159E12"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55DDE25" w14:textId="77777777" w:rsidR="00C561BD" w:rsidRPr="00682E64" w:rsidRDefault="00C561BD" w:rsidP="00AC2186">
            <w:pPr>
              <w:tabs>
                <w:tab w:val="decimal" w:pos="113"/>
              </w:tabs>
              <w:spacing w:line="140" w:lineRule="exact"/>
              <w:rPr>
                <w:sz w:val="16"/>
                <w:szCs w:val="16"/>
              </w:rPr>
            </w:pPr>
          </w:p>
        </w:tc>
        <w:tc>
          <w:tcPr>
            <w:tcW w:w="115" w:type="dxa"/>
            <w:vAlign w:val="bottom"/>
          </w:tcPr>
          <w:p w14:paraId="0D2027D5"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25A4C98F" w14:textId="77777777" w:rsidR="00C561BD" w:rsidRPr="00682E64" w:rsidRDefault="00C561BD" w:rsidP="00AC2186">
            <w:pPr>
              <w:tabs>
                <w:tab w:val="decimal" w:pos="113"/>
              </w:tabs>
              <w:spacing w:line="140" w:lineRule="exact"/>
              <w:rPr>
                <w:sz w:val="16"/>
                <w:szCs w:val="16"/>
              </w:rPr>
            </w:pPr>
          </w:p>
        </w:tc>
        <w:tc>
          <w:tcPr>
            <w:tcW w:w="115" w:type="dxa"/>
            <w:vAlign w:val="bottom"/>
          </w:tcPr>
          <w:p w14:paraId="3DD528C0"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5891143" w14:textId="77777777" w:rsidR="00C561BD" w:rsidRPr="00682E64" w:rsidRDefault="00C561BD" w:rsidP="00AC2186">
            <w:pPr>
              <w:tabs>
                <w:tab w:val="decimal" w:pos="113"/>
              </w:tabs>
              <w:spacing w:line="140" w:lineRule="exact"/>
              <w:rPr>
                <w:sz w:val="16"/>
                <w:szCs w:val="16"/>
              </w:rPr>
            </w:pPr>
          </w:p>
        </w:tc>
        <w:tc>
          <w:tcPr>
            <w:tcW w:w="115" w:type="dxa"/>
            <w:vAlign w:val="bottom"/>
          </w:tcPr>
          <w:p w14:paraId="66680410"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F70DA0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7689D1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360AE0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F009DA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5ADE7F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BA8BAB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30F92C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77F0B7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FE814BA" w14:textId="77777777" w:rsidR="00C561BD" w:rsidRPr="00682E64" w:rsidRDefault="00C561BD" w:rsidP="00AC2186">
            <w:pPr>
              <w:tabs>
                <w:tab w:val="decimal" w:pos="113"/>
              </w:tabs>
              <w:spacing w:line="140" w:lineRule="exact"/>
              <w:rPr>
                <w:sz w:val="16"/>
                <w:szCs w:val="16"/>
              </w:rPr>
            </w:pPr>
          </w:p>
        </w:tc>
        <w:tc>
          <w:tcPr>
            <w:tcW w:w="146" w:type="dxa"/>
            <w:vAlign w:val="bottom"/>
          </w:tcPr>
          <w:p w14:paraId="756FE00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FF24D89" w14:textId="77777777" w:rsidR="00C561BD" w:rsidRPr="00682E64" w:rsidRDefault="00C561BD" w:rsidP="00AC2186">
            <w:pPr>
              <w:tabs>
                <w:tab w:val="decimal" w:pos="113"/>
              </w:tabs>
              <w:spacing w:line="140" w:lineRule="exact"/>
              <w:rPr>
                <w:sz w:val="16"/>
                <w:szCs w:val="16"/>
              </w:rPr>
            </w:pPr>
          </w:p>
        </w:tc>
        <w:tc>
          <w:tcPr>
            <w:tcW w:w="115" w:type="dxa"/>
            <w:vAlign w:val="bottom"/>
          </w:tcPr>
          <w:p w14:paraId="6D95730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196AFA30" w14:textId="77777777" w:rsidR="00C561BD" w:rsidRPr="00682E64" w:rsidRDefault="00C561BD" w:rsidP="00AC2186">
            <w:pPr>
              <w:tabs>
                <w:tab w:val="decimal" w:pos="113"/>
              </w:tabs>
              <w:spacing w:line="140" w:lineRule="exact"/>
              <w:rPr>
                <w:sz w:val="16"/>
                <w:szCs w:val="16"/>
              </w:rPr>
            </w:pPr>
          </w:p>
        </w:tc>
        <w:tc>
          <w:tcPr>
            <w:tcW w:w="115" w:type="dxa"/>
          </w:tcPr>
          <w:p w14:paraId="380CB5B7"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5AA402BF" w14:textId="77777777" w:rsidR="00C561BD" w:rsidRPr="00682E64" w:rsidRDefault="00C561BD" w:rsidP="00AC2186">
            <w:pPr>
              <w:tabs>
                <w:tab w:val="decimal" w:pos="113"/>
              </w:tabs>
              <w:spacing w:line="140" w:lineRule="exact"/>
              <w:rPr>
                <w:sz w:val="16"/>
                <w:szCs w:val="16"/>
              </w:rPr>
            </w:pPr>
          </w:p>
        </w:tc>
      </w:tr>
      <w:tr w:rsidR="00C561BD" w:rsidRPr="00682E64" w14:paraId="065DA5EC" w14:textId="77777777" w:rsidTr="00AC2186">
        <w:tc>
          <w:tcPr>
            <w:tcW w:w="857" w:type="dxa"/>
            <w:tcBorders>
              <w:bottom w:val="single" w:sz="4" w:space="0" w:color="auto"/>
              <w:right w:val="single" w:sz="4" w:space="0" w:color="auto"/>
            </w:tcBorders>
            <w:vAlign w:val="center"/>
          </w:tcPr>
          <w:p w14:paraId="636C9AED" w14:textId="77777777" w:rsidR="00C561BD" w:rsidRPr="00B05763" w:rsidRDefault="00C561BD" w:rsidP="00AC2186">
            <w:pPr>
              <w:bidi w:val="0"/>
              <w:spacing w:line="140" w:lineRule="exact"/>
              <w:jc w:val="right"/>
              <w:rPr>
                <w:i/>
                <w:iCs/>
                <w:sz w:val="12"/>
                <w:szCs w:val="12"/>
                <w:rtl/>
              </w:rPr>
            </w:pPr>
            <w:r>
              <w:rPr>
                <w:i/>
                <w:iCs/>
                <w:sz w:val="12"/>
                <w:szCs w:val="12"/>
              </w:rPr>
              <w:t>IAS 1.106(d)(iii)</w:t>
            </w:r>
          </w:p>
        </w:tc>
        <w:tc>
          <w:tcPr>
            <w:tcW w:w="2309" w:type="dxa"/>
            <w:tcBorders>
              <w:left w:val="single" w:sz="4" w:space="0" w:color="auto"/>
            </w:tcBorders>
            <w:vAlign w:val="bottom"/>
          </w:tcPr>
          <w:p w14:paraId="588053D5"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מימוש כתבי אופציה והמרת אגרות חוב להמרה בחברה מאוחדת</w:t>
            </w:r>
          </w:p>
        </w:tc>
        <w:tc>
          <w:tcPr>
            <w:tcW w:w="113" w:type="dxa"/>
            <w:vAlign w:val="bottom"/>
          </w:tcPr>
          <w:p w14:paraId="4E1CF522"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47F502A0" w14:textId="77777777" w:rsidR="00C561BD" w:rsidRPr="00682E64" w:rsidRDefault="00C561BD" w:rsidP="00AC2186">
            <w:pPr>
              <w:tabs>
                <w:tab w:val="decimal" w:pos="113"/>
              </w:tabs>
              <w:spacing w:line="140" w:lineRule="exact"/>
              <w:rPr>
                <w:sz w:val="16"/>
                <w:szCs w:val="16"/>
              </w:rPr>
            </w:pPr>
          </w:p>
        </w:tc>
        <w:tc>
          <w:tcPr>
            <w:tcW w:w="115" w:type="dxa"/>
            <w:vAlign w:val="bottom"/>
          </w:tcPr>
          <w:p w14:paraId="1D7295D5"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FEAE0D3" w14:textId="77777777" w:rsidR="00C561BD" w:rsidRPr="00682E64" w:rsidRDefault="00C561BD" w:rsidP="00AC2186">
            <w:pPr>
              <w:tabs>
                <w:tab w:val="decimal" w:pos="113"/>
              </w:tabs>
              <w:spacing w:line="140" w:lineRule="exact"/>
              <w:rPr>
                <w:sz w:val="16"/>
                <w:szCs w:val="16"/>
              </w:rPr>
            </w:pPr>
          </w:p>
        </w:tc>
        <w:tc>
          <w:tcPr>
            <w:tcW w:w="115" w:type="dxa"/>
            <w:vAlign w:val="bottom"/>
          </w:tcPr>
          <w:p w14:paraId="00BFCD55"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934DEB7" w14:textId="77777777" w:rsidR="00C561BD" w:rsidRPr="00682E64" w:rsidRDefault="00C561BD" w:rsidP="00AC2186">
            <w:pPr>
              <w:tabs>
                <w:tab w:val="decimal" w:pos="113"/>
              </w:tabs>
              <w:spacing w:line="140" w:lineRule="exact"/>
              <w:rPr>
                <w:sz w:val="16"/>
                <w:szCs w:val="16"/>
              </w:rPr>
            </w:pPr>
          </w:p>
        </w:tc>
        <w:tc>
          <w:tcPr>
            <w:tcW w:w="115" w:type="dxa"/>
          </w:tcPr>
          <w:p w14:paraId="5C50EC1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277E4351" w14:textId="77777777" w:rsidR="00C561BD" w:rsidRPr="00682E64" w:rsidRDefault="00C561BD" w:rsidP="00AC2186">
            <w:pPr>
              <w:tabs>
                <w:tab w:val="decimal" w:pos="113"/>
              </w:tabs>
              <w:spacing w:line="140" w:lineRule="exact"/>
              <w:rPr>
                <w:sz w:val="16"/>
                <w:szCs w:val="16"/>
              </w:rPr>
            </w:pPr>
          </w:p>
        </w:tc>
        <w:tc>
          <w:tcPr>
            <w:tcW w:w="115" w:type="dxa"/>
          </w:tcPr>
          <w:p w14:paraId="31E931CD"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5A2841DD" w14:textId="77777777" w:rsidR="00C561BD" w:rsidRPr="00682E64" w:rsidRDefault="00C561BD" w:rsidP="00AC2186">
            <w:pPr>
              <w:tabs>
                <w:tab w:val="decimal" w:pos="113"/>
              </w:tabs>
              <w:spacing w:line="140" w:lineRule="exact"/>
              <w:rPr>
                <w:sz w:val="16"/>
                <w:szCs w:val="16"/>
              </w:rPr>
            </w:pPr>
          </w:p>
        </w:tc>
        <w:tc>
          <w:tcPr>
            <w:tcW w:w="115" w:type="dxa"/>
            <w:vAlign w:val="bottom"/>
          </w:tcPr>
          <w:p w14:paraId="5573A48F"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07CE3A8" w14:textId="77777777" w:rsidR="00C561BD" w:rsidRPr="00682E64" w:rsidRDefault="00C561BD" w:rsidP="00AC2186">
            <w:pPr>
              <w:tabs>
                <w:tab w:val="decimal" w:pos="113"/>
              </w:tabs>
              <w:spacing w:line="140" w:lineRule="exact"/>
              <w:rPr>
                <w:sz w:val="16"/>
                <w:szCs w:val="16"/>
              </w:rPr>
            </w:pPr>
          </w:p>
        </w:tc>
        <w:tc>
          <w:tcPr>
            <w:tcW w:w="115" w:type="dxa"/>
            <w:vAlign w:val="bottom"/>
          </w:tcPr>
          <w:p w14:paraId="62367879"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EB8AEFE" w14:textId="77777777" w:rsidR="00C561BD" w:rsidRPr="00682E64" w:rsidRDefault="00C561BD" w:rsidP="00AC2186">
            <w:pPr>
              <w:tabs>
                <w:tab w:val="decimal" w:pos="113"/>
              </w:tabs>
              <w:spacing w:line="140" w:lineRule="exact"/>
              <w:rPr>
                <w:sz w:val="16"/>
                <w:szCs w:val="16"/>
              </w:rPr>
            </w:pPr>
          </w:p>
        </w:tc>
        <w:tc>
          <w:tcPr>
            <w:tcW w:w="115" w:type="dxa"/>
            <w:vAlign w:val="bottom"/>
          </w:tcPr>
          <w:p w14:paraId="6E1E3BD5"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8EA5A5C" w14:textId="77777777" w:rsidR="00C561BD" w:rsidRPr="00682E64" w:rsidRDefault="00C561BD" w:rsidP="00AC2186">
            <w:pPr>
              <w:tabs>
                <w:tab w:val="decimal" w:pos="113"/>
              </w:tabs>
              <w:spacing w:line="140" w:lineRule="exact"/>
              <w:rPr>
                <w:sz w:val="16"/>
                <w:szCs w:val="16"/>
              </w:rPr>
            </w:pPr>
          </w:p>
        </w:tc>
        <w:tc>
          <w:tcPr>
            <w:tcW w:w="115" w:type="dxa"/>
            <w:vAlign w:val="bottom"/>
          </w:tcPr>
          <w:p w14:paraId="71993830"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E0D6F31"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46F780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35D6EF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77480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51250B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AB03E9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65E488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A12225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4BB2FC6" w14:textId="77777777" w:rsidR="00C561BD" w:rsidRPr="00682E64" w:rsidRDefault="00C561BD" w:rsidP="00AC2186">
            <w:pPr>
              <w:tabs>
                <w:tab w:val="decimal" w:pos="113"/>
              </w:tabs>
              <w:spacing w:line="140" w:lineRule="exact"/>
              <w:rPr>
                <w:sz w:val="16"/>
                <w:szCs w:val="16"/>
              </w:rPr>
            </w:pPr>
          </w:p>
        </w:tc>
        <w:tc>
          <w:tcPr>
            <w:tcW w:w="146" w:type="dxa"/>
            <w:vAlign w:val="bottom"/>
          </w:tcPr>
          <w:p w14:paraId="4C24C18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92148F6" w14:textId="77777777" w:rsidR="00C561BD" w:rsidRPr="00682E64" w:rsidRDefault="00C561BD" w:rsidP="00AC2186">
            <w:pPr>
              <w:tabs>
                <w:tab w:val="decimal" w:pos="113"/>
              </w:tabs>
              <w:spacing w:line="140" w:lineRule="exact"/>
              <w:rPr>
                <w:sz w:val="16"/>
                <w:szCs w:val="16"/>
              </w:rPr>
            </w:pPr>
          </w:p>
        </w:tc>
        <w:tc>
          <w:tcPr>
            <w:tcW w:w="115" w:type="dxa"/>
            <w:vAlign w:val="bottom"/>
          </w:tcPr>
          <w:p w14:paraId="4CF8D4F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10DF7A6" w14:textId="77777777" w:rsidR="00C561BD" w:rsidRPr="00682E64" w:rsidRDefault="00C561BD" w:rsidP="00AC2186">
            <w:pPr>
              <w:tabs>
                <w:tab w:val="decimal" w:pos="113"/>
              </w:tabs>
              <w:spacing w:line="140" w:lineRule="exact"/>
              <w:rPr>
                <w:sz w:val="16"/>
                <w:szCs w:val="16"/>
              </w:rPr>
            </w:pPr>
          </w:p>
        </w:tc>
        <w:tc>
          <w:tcPr>
            <w:tcW w:w="115" w:type="dxa"/>
          </w:tcPr>
          <w:p w14:paraId="0FE24378"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764313DB" w14:textId="77777777" w:rsidR="00C561BD" w:rsidRPr="00682E64" w:rsidRDefault="00C561BD" w:rsidP="00AC2186">
            <w:pPr>
              <w:tabs>
                <w:tab w:val="decimal" w:pos="113"/>
              </w:tabs>
              <w:spacing w:line="140" w:lineRule="exact"/>
              <w:rPr>
                <w:sz w:val="16"/>
                <w:szCs w:val="16"/>
              </w:rPr>
            </w:pPr>
          </w:p>
        </w:tc>
      </w:tr>
      <w:tr w:rsidR="00C561BD" w:rsidRPr="00682E64" w14:paraId="6342DDA7" w14:textId="77777777" w:rsidTr="00AC2186">
        <w:tc>
          <w:tcPr>
            <w:tcW w:w="857" w:type="dxa"/>
            <w:tcBorders>
              <w:top w:val="single" w:sz="4" w:space="0" w:color="auto"/>
              <w:bottom w:val="single" w:sz="4" w:space="0" w:color="auto"/>
              <w:right w:val="single" w:sz="4" w:space="0" w:color="auto"/>
            </w:tcBorders>
          </w:tcPr>
          <w:p w14:paraId="51B2F313" w14:textId="77777777" w:rsidR="00C561BD" w:rsidRPr="00B05763" w:rsidRDefault="00C561BD" w:rsidP="00AC2186">
            <w:pPr>
              <w:bidi w:val="0"/>
              <w:spacing w:line="140" w:lineRule="exact"/>
              <w:jc w:val="right"/>
              <w:rPr>
                <w:i/>
                <w:iCs/>
                <w:sz w:val="12"/>
                <w:szCs w:val="12"/>
                <w:rtl/>
              </w:rPr>
            </w:pPr>
            <w:r>
              <w:rPr>
                <w:i/>
                <w:iCs/>
                <w:sz w:val="12"/>
                <w:szCs w:val="12"/>
              </w:rPr>
              <w:t>IAS 1.106(d)(iii); IFRS 2.50</w:t>
            </w:r>
          </w:p>
        </w:tc>
        <w:tc>
          <w:tcPr>
            <w:tcW w:w="2309" w:type="dxa"/>
            <w:tcBorders>
              <w:left w:val="single" w:sz="4" w:space="0" w:color="auto"/>
            </w:tcBorders>
            <w:vAlign w:val="center"/>
          </w:tcPr>
          <w:p w14:paraId="5923FD69"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עלות תשלום מבוסס מניות</w:t>
            </w:r>
          </w:p>
        </w:tc>
        <w:tc>
          <w:tcPr>
            <w:tcW w:w="113" w:type="dxa"/>
            <w:vAlign w:val="bottom"/>
          </w:tcPr>
          <w:p w14:paraId="54BD995B"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08B12DB3" w14:textId="77777777" w:rsidR="00C561BD" w:rsidRPr="00682E64" w:rsidRDefault="00C561BD" w:rsidP="00AC2186">
            <w:pPr>
              <w:tabs>
                <w:tab w:val="decimal" w:pos="113"/>
              </w:tabs>
              <w:spacing w:line="140" w:lineRule="exact"/>
              <w:rPr>
                <w:sz w:val="16"/>
                <w:szCs w:val="16"/>
              </w:rPr>
            </w:pPr>
          </w:p>
        </w:tc>
        <w:tc>
          <w:tcPr>
            <w:tcW w:w="115" w:type="dxa"/>
            <w:vAlign w:val="bottom"/>
          </w:tcPr>
          <w:p w14:paraId="1032E64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BB7DDE6" w14:textId="77777777" w:rsidR="00C561BD" w:rsidRPr="00682E64" w:rsidRDefault="00C561BD" w:rsidP="00AC2186">
            <w:pPr>
              <w:tabs>
                <w:tab w:val="decimal" w:pos="113"/>
              </w:tabs>
              <w:spacing w:line="140" w:lineRule="exact"/>
              <w:rPr>
                <w:sz w:val="16"/>
                <w:szCs w:val="16"/>
              </w:rPr>
            </w:pPr>
          </w:p>
        </w:tc>
        <w:tc>
          <w:tcPr>
            <w:tcW w:w="115" w:type="dxa"/>
            <w:vAlign w:val="bottom"/>
          </w:tcPr>
          <w:p w14:paraId="27C88052"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1EF935E" w14:textId="77777777" w:rsidR="00C561BD" w:rsidRPr="00682E64" w:rsidRDefault="00C561BD" w:rsidP="00AC2186">
            <w:pPr>
              <w:tabs>
                <w:tab w:val="decimal" w:pos="113"/>
              </w:tabs>
              <w:spacing w:line="140" w:lineRule="exact"/>
              <w:rPr>
                <w:sz w:val="16"/>
                <w:szCs w:val="16"/>
              </w:rPr>
            </w:pPr>
          </w:p>
        </w:tc>
        <w:tc>
          <w:tcPr>
            <w:tcW w:w="115" w:type="dxa"/>
          </w:tcPr>
          <w:p w14:paraId="6EF56539"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57392102" w14:textId="77777777" w:rsidR="00C561BD" w:rsidRPr="00682E64" w:rsidRDefault="00C561BD" w:rsidP="00AC2186">
            <w:pPr>
              <w:tabs>
                <w:tab w:val="decimal" w:pos="113"/>
              </w:tabs>
              <w:spacing w:line="140" w:lineRule="exact"/>
              <w:rPr>
                <w:sz w:val="16"/>
                <w:szCs w:val="16"/>
              </w:rPr>
            </w:pPr>
          </w:p>
        </w:tc>
        <w:tc>
          <w:tcPr>
            <w:tcW w:w="115" w:type="dxa"/>
          </w:tcPr>
          <w:p w14:paraId="45B439BF"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2E181D12" w14:textId="77777777" w:rsidR="00C561BD" w:rsidRPr="00682E64" w:rsidRDefault="00C561BD" w:rsidP="00AC2186">
            <w:pPr>
              <w:tabs>
                <w:tab w:val="decimal" w:pos="113"/>
              </w:tabs>
              <w:spacing w:line="140" w:lineRule="exact"/>
              <w:rPr>
                <w:sz w:val="16"/>
                <w:szCs w:val="16"/>
              </w:rPr>
            </w:pPr>
          </w:p>
        </w:tc>
        <w:tc>
          <w:tcPr>
            <w:tcW w:w="115" w:type="dxa"/>
            <w:vAlign w:val="bottom"/>
          </w:tcPr>
          <w:p w14:paraId="6E1FF65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B3AF173" w14:textId="77777777" w:rsidR="00C561BD" w:rsidRPr="00682E64" w:rsidRDefault="00C561BD" w:rsidP="00AC2186">
            <w:pPr>
              <w:tabs>
                <w:tab w:val="decimal" w:pos="113"/>
              </w:tabs>
              <w:spacing w:line="140" w:lineRule="exact"/>
              <w:rPr>
                <w:sz w:val="16"/>
                <w:szCs w:val="16"/>
              </w:rPr>
            </w:pPr>
          </w:p>
        </w:tc>
        <w:tc>
          <w:tcPr>
            <w:tcW w:w="115" w:type="dxa"/>
            <w:vAlign w:val="bottom"/>
          </w:tcPr>
          <w:p w14:paraId="7F4DB44C"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30ABA8C" w14:textId="77777777" w:rsidR="00C561BD" w:rsidRPr="00682E64" w:rsidRDefault="00C561BD" w:rsidP="00AC2186">
            <w:pPr>
              <w:tabs>
                <w:tab w:val="decimal" w:pos="113"/>
              </w:tabs>
              <w:spacing w:line="140" w:lineRule="exact"/>
              <w:rPr>
                <w:sz w:val="16"/>
                <w:szCs w:val="16"/>
              </w:rPr>
            </w:pPr>
          </w:p>
        </w:tc>
        <w:tc>
          <w:tcPr>
            <w:tcW w:w="115" w:type="dxa"/>
            <w:vAlign w:val="bottom"/>
          </w:tcPr>
          <w:p w14:paraId="2DA37F47"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4568847" w14:textId="77777777" w:rsidR="00C561BD" w:rsidRPr="00682E64" w:rsidRDefault="00C561BD" w:rsidP="00AC2186">
            <w:pPr>
              <w:tabs>
                <w:tab w:val="decimal" w:pos="113"/>
              </w:tabs>
              <w:spacing w:line="140" w:lineRule="exact"/>
              <w:rPr>
                <w:sz w:val="16"/>
                <w:szCs w:val="16"/>
              </w:rPr>
            </w:pPr>
          </w:p>
        </w:tc>
        <w:tc>
          <w:tcPr>
            <w:tcW w:w="115" w:type="dxa"/>
            <w:vAlign w:val="bottom"/>
          </w:tcPr>
          <w:p w14:paraId="36B7028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5E9D7AE"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703FCBD"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F039FE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91B029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C3F3D3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11D139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3857E2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3460A3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101DA15" w14:textId="77777777" w:rsidR="00C561BD" w:rsidRPr="00682E64" w:rsidRDefault="00C561BD" w:rsidP="00AC2186">
            <w:pPr>
              <w:tabs>
                <w:tab w:val="decimal" w:pos="113"/>
              </w:tabs>
              <w:spacing w:line="140" w:lineRule="exact"/>
              <w:rPr>
                <w:sz w:val="16"/>
                <w:szCs w:val="16"/>
              </w:rPr>
            </w:pPr>
          </w:p>
        </w:tc>
        <w:tc>
          <w:tcPr>
            <w:tcW w:w="146" w:type="dxa"/>
            <w:vAlign w:val="bottom"/>
          </w:tcPr>
          <w:p w14:paraId="4F18412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0875F3C" w14:textId="77777777" w:rsidR="00C561BD" w:rsidRPr="00682E64" w:rsidRDefault="00C561BD" w:rsidP="00AC2186">
            <w:pPr>
              <w:tabs>
                <w:tab w:val="decimal" w:pos="113"/>
              </w:tabs>
              <w:spacing w:line="140" w:lineRule="exact"/>
              <w:rPr>
                <w:sz w:val="16"/>
                <w:szCs w:val="16"/>
              </w:rPr>
            </w:pPr>
          </w:p>
        </w:tc>
        <w:tc>
          <w:tcPr>
            <w:tcW w:w="115" w:type="dxa"/>
            <w:vAlign w:val="bottom"/>
          </w:tcPr>
          <w:p w14:paraId="145D6F3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F816D78" w14:textId="77777777" w:rsidR="00C561BD" w:rsidRPr="00682E64" w:rsidRDefault="00C561BD" w:rsidP="00AC2186">
            <w:pPr>
              <w:tabs>
                <w:tab w:val="decimal" w:pos="113"/>
              </w:tabs>
              <w:spacing w:line="140" w:lineRule="exact"/>
              <w:rPr>
                <w:sz w:val="16"/>
                <w:szCs w:val="16"/>
              </w:rPr>
            </w:pPr>
          </w:p>
        </w:tc>
        <w:tc>
          <w:tcPr>
            <w:tcW w:w="115" w:type="dxa"/>
          </w:tcPr>
          <w:p w14:paraId="03518D88"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6AAF5453" w14:textId="77777777" w:rsidR="00C561BD" w:rsidRPr="00682E64" w:rsidRDefault="00C561BD" w:rsidP="00AC2186">
            <w:pPr>
              <w:tabs>
                <w:tab w:val="decimal" w:pos="113"/>
              </w:tabs>
              <w:spacing w:line="140" w:lineRule="exact"/>
              <w:rPr>
                <w:sz w:val="16"/>
                <w:szCs w:val="16"/>
              </w:rPr>
            </w:pPr>
          </w:p>
        </w:tc>
      </w:tr>
      <w:tr w:rsidR="00C561BD" w:rsidRPr="00682E64" w14:paraId="30365E40" w14:textId="77777777" w:rsidTr="00AC2186">
        <w:tc>
          <w:tcPr>
            <w:tcW w:w="857" w:type="dxa"/>
            <w:tcBorders>
              <w:top w:val="single" w:sz="4" w:space="0" w:color="auto"/>
            </w:tcBorders>
          </w:tcPr>
          <w:p w14:paraId="173E36EC" w14:textId="77777777" w:rsidR="00C561BD" w:rsidRPr="00B05763" w:rsidRDefault="00C561BD" w:rsidP="00AC2186">
            <w:pPr>
              <w:bidi w:val="0"/>
              <w:spacing w:line="140" w:lineRule="exact"/>
              <w:jc w:val="right"/>
              <w:rPr>
                <w:i/>
                <w:iCs/>
                <w:sz w:val="12"/>
                <w:szCs w:val="12"/>
                <w:rtl/>
              </w:rPr>
            </w:pPr>
          </w:p>
        </w:tc>
        <w:tc>
          <w:tcPr>
            <w:tcW w:w="2309" w:type="dxa"/>
            <w:vAlign w:val="bottom"/>
          </w:tcPr>
          <w:p w14:paraId="48CDBAC0"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השפעת המס בגין עסקאות תשלום מבוסס מניות</w:t>
            </w:r>
          </w:p>
        </w:tc>
        <w:tc>
          <w:tcPr>
            <w:tcW w:w="113" w:type="dxa"/>
            <w:vAlign w:val="bottom"/>
          </w:tcPr>
          <w:p w14:paraId="17822860"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7753AF6E" w14:textId="77777777" w:rsidR="00C561BD" w:rsidRPr="00682E64" w:rsidRDefault="00C561BD" w:rsidP="00AC2186">
            <w:pPr>
              <w:tabs>
                <w:tab w:val="decimal" w:pos="113"/>
              </w:tabs>
              <w:spacing w:line="140" w:lineRule="exact"/>
              <w:rPr>
                <w:sz w:val="16"/>
                <w:szCs w:val="16"/>
              </w:rPr>
            </w:pPr>
          </w:p>
        </w:tc>
        <w:tc>
          <w:tcPr>
            <w:tcW w:w="115" w:type="dxa"/>
            <w:vAlign w:val="bottom"/>
          </w:tcPr>
          <w:p w14:paraId="607E16E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040A2C2" w14:textId="77777777" w:rsidR="00C561BD" w:rsidRPr="00682E64" w:rsidRDefault="00C561BD" w:rsidP="00AC2186">
            <w:pPr>
              <w:tabs>
                <w:tab w:val="decimal" w:pos="113"/>
              </w:tabs>
              <w:spacing w:line="140" w:lineRule="exact"/>
              <w:rPr>
                <w:sz w:val="16"/>
                <w:szCs w:val="16"/>
              </w:rPr>
            </w:pPr>
          </w:p>
        </w:tc>
        <w:tc>
          <w:tcPr>
            <w:tcW w:w="115" w:type="dxa"/>
            <w:vAlign w:val="bottom"/>
          </w:tcPr>
          <w:p w14:paraId="2AB0D155"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C5B7016" w14:textId="77777777" w:rsidR="00C561BD" w:rsidRPr="00682E64" w:rsidRDefault="00C561BD" w:rsidP="00AC2186">
            <w:pPr>
              <w:tabs>
                <w:tab w:val="decimal" w:pos="113"/>
              </w:tabs>
              <w:spacing w:line="140" w:lineRule="exact"/>
              <w:rPr>
                <w:sz w:val="16"/>
                <w:szCs w:val="16"/>
              </w:rPr>
            </w:pPr>
          </w:p>
        </w:tc>
        <w:tc>
          <w:tcPr>
            <w:tcW w:w="115" w:type="dxa"/>
          </w:tcPr>
          <w:p w14:paraId="3AE7DD6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6C2570FD" w14:textId="77777777" w:rsidR="00C561BD" w:rsidRPr="00682E64" w:rsidRDefault="00C561BD" w:rsidP="00AC2186">
            <w:pPr>
              <w:tabs>
                <w:tab w:val="decimal" w:pos="113"/>
              </w:tabs>
              <w:spacing w:line="140" w:lineRule="exact"/>
              <w:rPr>
                <w:sz w:val="16"/>
                <w:szCs w:val="16"/>
              </w:rPr>
            </w:pPr>
          </w:p>
        </w:tc>
        <w:tc>
          <w:tcPr>
            <w:tcW w:w="115" w:type="dxa"/>
          </w:tcPr>
          <w:p w14:paraId="736C7911"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236D7564" w14:textId="77777777" w:rsidR="00C561BD" w:rsidRPr="00682E64" w:rsidRDefault="00C561BD" w:rsidP="00AC2186">
            <w:pPr>
              <w:tabs>
                <w:tab w:val="decimal" w:pos="113"/>
              </w:tabs>
              <w:spacing w:line="140" w:lineRule="exact"/>
              <w:rPr>
                <w:sz w:val="16"/>
                <w:szCs w:val="16"/>
              </w:rPr>
            </w:pPr>
          </w:p>
        </w:tc>
        <w:tc>
          <w:tcPr>
            <w:tcW w:w="115" w:type="dxa"/>
            <w:vAlign w:val="bottom"/>
          </w:tcPr>
          <w:p w14:paraId="393D4CAE"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FB37065" w14:textId="77777777" w:rsidR="00C561BD" w:rsidRPr="00682E64" w:rsidRDefault="00C561BD" w:rsidP="00AC2186">
            <w:pPr>
              <w:tabs>
                <w:tab w:val="decimal" w:pos="113"/>
              </w:tabs>
              <w:spacing w:line="140" w:lineRule="exact"/>
              <w:rPr>
                <w:sz w:val="16"/>
                <w:szCs w:val="16"/>
              </w:rPr>
            </w:pPr>
          </w:p>
        </w:tc>
        <w:tc>
          <w:tcPr>
            <w:tcW w:w="115" w:type="dxa"/>
            <w:vAlign w:val="bottom"/>
          </w:tcPr>
          <w:p w14:paraId="21EBD3F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F2EAB20" w14:textId="77777777" w:rsidR="00C561BD" w:rsidRPr="00682E64" w:rsidRDefault="00C561BD" w:rsidP="00AC2186">
            <w:pPr>
              <w:tabs>
                <w:tab w:val="decimal" w:pos="113"/>
              </w:tabs>
              <w:spacing w:line="140" w:lineRule="exact"/>
              <w:rPr>
                <w:sz w:val="16"/>
                <w:szCs w:val="16"/>
              </w:rPr>
            </w:pPr>
          </w:p>
        </w:tc>
        <w:tc>
          <w:tcPr>
            <w:tcW w:w="115" w:type="dxa"/>
            <w:vAlign w:val="bottom"/>
          </w:tcPr>
          <w:p w14:paraId="6C67DE03"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7BD0ECD" w14:textId="77777777" w:rsidR="00C561BD" w:rsidRPr="00682E64" w:rsidRDefault="00C561BD" w:rsidP="00AC2186">
            <w:pPr>
              <w:tabs>
                <w:tab w:val="decimal" w:pos="113"/>
              </w:tabs>
              <w:spacing w:line="140" w:lineRule="exact"/>
              <w:rPr>
                <w:sz w:val="16"/>
                <w:szCs w:val="16"/>
              </w:rPr>
            </w:pPr>
          </w:p>
        </w:tc>
        <w:tc>
          <w:tcPr>
            <w:tcW w:w="115" w:type="dxa"/>
            <w:vAlign w:val="bottom"/>
          </w:tcPr>
          <w:p w14:paraId="5AEDB61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C6FBEF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5FCDF9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119AA8C"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0B093C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12207BE"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18FE4C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847AD1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0C6F65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BE50B92" w14:textId="77777777" w:rsidR="00C561BD" w:rsidRPr="00682E64" w:rsidRDefault="00C561BD" w:rsidP="00AC2186">
            <w:pPr>
              <w:tabs>
                <w:tab w:val="decimal" w:pos="113"/>
              </w:tabs>
              <w:spacing w:line="140" w:lineRule="exact"/>
              <w:rPr>
                <w:sz w:val="16"/>
                <w:szCs w:val="16"/>
              </w:rPr>
            </w:pPr>
          </w:p>
        </w:tc>
        <w:tc>
          <w:tcPr>
            <w:tcW w:w="146" w:type="dxa"/>
            <w:vAlign w:val="bottom"/>
          </w:tcPr>
          <w:p w14:paraId="5CF9C112"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470B1FE" w14:textId="77777777" w:rsidR="00C561BD" w:rsidRPr="00682E64" w:rsidRDefault="00C561BD" w:rsidP="00AC2186">
            <w:pPr>
              <w:tabs>
                <w:tab w:val="decimal" w:pos="113"/>
              </w:tabs>
              <w:spacing w:line="140" w:lineRule="exact"/>
              <w:rPr>
                <w:sz w:val="16"/>
                <w:szCs w:val="16"/>
              </w:rPr>
            </w:pPr>
          </w:p>
        </w:tc>
        <w:tc>
          <w:tcPr>
            <w:tcW w:w="115" w:type="dxa"/>
            <w:vAlign w:val="bottom"/>
          </w:tcPr>
          <w:p w14:paraId="2269510A"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D56B889" w14:textId="77777777" w:rsidR="00C561BD" w:rsidRPr="00682E64" w:rsidRDefault="00C561BD" w:rsidP="00AC2186">
            <w:pPr>
              <w:tabs>
                <w:tab w:val="decimal" w:pos="113"/>
              </w:tabs>
              <w:spacing w:line="140" w:lineRule="exact"/>
              <w:rPr>
                <w:sz w:val="16"/>
                <w:szCs w:val="16"/>
              </w:rPr>
            </w:pPr>
          </w:p>
        </w:tc>
        <w:tc>
          <w:tcPr>
            <w:tcW w:w="115" w:type="dxa"/>
          </w:tcPr>
          <w:p w14:paraId="42F239AF"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619BC736" w14:textId="77777777" w:rsidR="00C561BD" w:rsidRPr="00682E64" w:rsidRDefault="00C561BD" w:rsidP="00AC2186">
            <w:pPr>
              <w:tabs>
                <w:tab w:val="decimal" w:pos="113"/>
              </w:tabs>
              <w:spacing w:line="140" w:lineRule="exact"/>
              <w:rPr>
                <w:sz w:val="16"/>
                <w:szCs w:val="16"/>
              </w:rPr>
            </w:pPr>
          </w:p>
        </w:tc>
      </w:tr>
      <w:tr w:rsidR="00C561BD" w:rsidRPr="00682E64" w14:paraId="13CD9A74" w14:textId="77777777" w:rsidTr="00AC2186">
        <w:tc>
          <w:tcPr>
            <w:tcW w:w="857" w:type="dxa"/>
            <w:tcBorders>
              <w:bottom w:val="single" w:sz="4" w:space="0" w:color="auto"/>
              <w:right w:val="single" w:sz="4" w:space="0" w:color="auto"/>
            </w:tcBorders>
          </w:tcPr>
          <w:p w14:paraId="30CA8BDA" w14:textId="77777777" w:rsidR="00C561BD" w:rsidRPr="00B05763" w:rsidRDefault="00C561BD" w:rsidP="00AC2186">
            <w:pPr>
              <w:bidi w:val="0"/>
              <w:spacing w:line="140" w:lineRule="exact"/>
              <w:jc w:val="right"/>
              <w:rPr>
                <w:i/>
                <w:iCs/>
                <w:sz w:val="12"/>
                <w:szCs w:val="12"/>
                <w:rtl/>
              </w:rPr>
            </w:pPr>
            <w:r>
              <w:rPr>
                <w:i/>
                <w:iCs/>
                <w:sz w:val="12"/>
                <w:szCs w:val="12"/>
              </w:rPr>
              <w:t>IAS 1.107</w:t>
            </w:r>
          </w:p>
        </w:tc>
        <w:tc>
          <w:tcPr>
            <w:tcW w:w="2309" w:type="dxa"/>
            <w:tcBorders>
              <w:left w:val="single" w:sz="4" w:space="0" w:color="auto"/>
            </w:tcBorders>
            <w:vAlign w:val="bottom"/>
          </w:tcPr>
          <w:p w14:paraId="6563F26D"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 xml:space="preserve">דיבידנד לבעלי מניות החברה </w:t>
            </w:r>
          </w:p>
        </w:tc>
        <w:tc>
          <w:tcPr>
            <w:tcW w:w="113" w:type="dxa"/>
            <w:vAlign w:val="bottom"/>
          </w:tcPr>
          <w:p w14:paraId="46581D55"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3D6A28A3" w14:textId="77777777" w:rsidR="00C561BD" w:rsidRPr="00682E64" w:rsidRDefault="00C561BD" w:rsidP="00AC2186">
            <w:pPr>
              <w:tabs>
                <w:tab w:val="decimal" w:pos="113"/>
              </w:tabs>
              <w:spacing w:line="140" w:lineRule="exact"/>
              <w:rPr>
                <w:sz w:val="16"/>
                <w:szCs w:val="16"/>
              </w:rPr>
            </w:pPr>
          </w:p>
        </w:tc>
        <w:tc>
          <w:tcPr>
            <w:tcW w:w="115" w:type="dxa"/>
            <w:vAlign w:val="bottom"/>
          </w:tcPr>
          <w:p w14:paraId="2CA5B82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C958554" w14:textId="77777777" w:rsidR="00C561BD" w:rsidRPr="00682E64" w:rsidRDefault="00C561BD" w:rsidP="00AC2186">
            <w:pPr>
              <w:tabs>
                <w:tab w:val="decimal" w:pos="113"/>
              </w:tabs>
              <w:spacing w:line="140" w:lineRule="exact"/>
              <w:rPr>
                <w:sz w:val="16"/>
                <w:szCs w:val="16"/>
              </w:rPr>
            </w:pPr>
          </w:p>
        </w:tc>
        <w:tc>
          <w:tcPr>
            <w:tcW w:w="115" w:type="dxa"/>
            <w:vAlign w:val="bottom"/>
          </w:tcPr>
          <w:p w14:paraId="3F28E253"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E7F58E8" w14:textId="77777777" w:rsidR="00C561BD" w:rsidRPr="00682E64" w:rsidRDefault="00C561BD" w:rsidP="00AC2186">
            <w:pPr>
              <w:tabs>
                <w:tab w:val="decimal" w:pos="113"/>
              </w:tabs>
              <w:spacing w:line="140" w:lineRule="exact"/>
              <w:rPr>
                <w:sz w:val="16"/>
                <w:szCs w:val="16"/>
              </w:rPr>
            </w:pPr>
          </w:p>
        </w:tc>
        <w:tc>
          <w:tcPr>
            <w:tcW w:w="115" w:type="dxa"/>
          </w:tcPr>
          <w:p w14:paraId="16826C1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24795D7D" w14:textId="77777777" w:rsidR="00C561BD" w:rsidRPr="00682E64" w:rsidRDefault="00C561BD" w:rsidP="00AC2186">
            <w:pPr>
              <w:tabs>
                <w:tab w:val="decimal" w:pos="113"/>
              </w:tabs>
              <w:spacing w:line="140" w:lineRule="exact"/>
              <w:rPr>
                <w:sz w:val="16"/>
                <w:szCs w:val="16"/>
              </w:rPr>
            </w:pPr>
          </w:p>
        </w:tc>
        <w:tc>
          <w:tcPr>
            <w:tcW w:w="115" w:type="dxa"/>
          </w:tcPr>
          <w:p w14:paraId="5F04418D"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4153A074" w14:textId="77777777" w:rsidR="00C561BD" w:rsidRPr="00682E64" w:rsidRDefault="00C561BD" w:rsidP="00AC2186">
            <w:pPr>
              <w:tabs>
                <w:tab w:val="decimal" w:pos="113"/>
              </w:tabs>
              <w:spacing w:line="140" w:lineRule="exact"/>
              <w:rPr>
                <w:sz w:val="16"/>
                <w:szCs w:val="16"/>
              </w:rPr>
            </w:pPr>
          </w:p>
        </w:tc>
        <w:tc>
          <w:tcPr>
            <w:tcW w:w="115" w:type="dxa"/>
            <w:vAlign w:val="bottom"/>
          </w:tcPr>
          <w:p w14:paraId="403F610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A791530" w14:textId="77777777" w:rsidR="00C561BD" w:rsidRPr="00682E64" w:rsidRDefault="00C561BD" w:rsidP="00AC2186">
            <w:pPr>
              <w:tabs>
                <w:tab w:val="decimal" w:pos="113"/>
              </w:tabs>
              <w:spacing w:line="140" w:lineRule="exact"/>
              <w:rPr>
                <w:sz w:val="16"/>
                <w:szCs w:val="16"/>
              </w:rPr>
            </w:pPr>
          </w:p>
        </w:tc>
        <w:tc>
          <w:tcPr>
            <w:tcW w:w="115" w:type="dxa"/>
            <w:vAlign w:val="bottom"/>
          </w:tcPr>
          <w:p w14:paraId="722ECA9F"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8201D17" w14:textId="77777777" w:rsidR="00C561BD" w:rsidRPr="00682E64" w:rsidRDefault="00C561BD" w:rsidP="00AC2186">
            <w:pPr>
              <w:tabs>
                <w:tab w:val="decimal" w:pos="113"/>
              </w:tabs>
              <w:spacing w:line="140" w:lineRule="exact"/>
              <w:rPr>
                <w:sz w:val="16"/>
                <w:szCs w:val="16"/>
              </w:rPr>
            </w:pPr>
          </w:p>
        </w:tc>
        <w:tc>
          <w:tcPr>
            <w:tcW w:w="115" w:type="dxa"/>
            <w:vAlign w:val="bottom"/>
          </w:tcPr>
          <w:p w14:paraId="5308C16A"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1F0D2FB" w14:textId="77777777" w:rsidR="00C561BD" w:rsidRPr="00682E64" w:rsidRDefault="00C561BD" w:rsidP="00AC2186">
            <w:pPr>
              <w:tabs>
                <w:tab w:val="decimal" w:pos="113"/>
              </w:tabs>
              <w:spacing w:line="140" w:lineRule="exact"/>
              <w:rPr>
                <w:sz w:val="16"/>
                <w:szCs w:val="16"/>
              </w:rPr>
            </w:pPr>
          </w:p>
        </w:tc>
        <w:tc>
          <w:tcPr>
            <w:tcW w:w="115" w:type="dxa"/>
            <w:vAlign w:val="bottom"/>
          </w:tcPr>
          <w:p w14:paraId="5EDAA7F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56BC00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1B3611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9A10CFF"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27C515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649C4D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7100E3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DFF409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45D68B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E875DD1" w14:textId="77777777" w:rsidR="00C561BD" w:rsidRPr="00682E64" w:rsidRDefault="00C561BD" w:rsidP="00AC2186">
            <w:pPr>
              <w:tabs>
                <w:tab w:val="decimal" w:pos="113"/>
              </w:tabs>
              <w:spacing w:line="140" w:lineRule="exact"/>
              <w:rPr>
                <w:sz w:val="16"/>
                <w:szCs w:val="16"/>
              </w:rPr>
            </w:pPr>
          </w:p>
        </w:tc>
        <w:tc>
          <w:tcPr>
            <w:tcW w:w="146" w:type="dxa"/>
            <w:vAlign w:val="bottom"/>
          </w:tcPr>
          <w:p w14:paraId="2A27083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6743353" w14:textId="77777777" w:rsidR="00C561BD" w:rsidRPr="00682E64" w:rsidRDefault="00C561BD" w:rsidP="00AC2186">
            <w:pPr>
              <w:tabs>
                <w:tab w:val="decimal" w:pos="113"/>
              </w:tabs>
              <w:spacing w:line="140" w:lineRule="exact"/>
              <w:rPr>
                <w:sz w:val="16"/>
                <w:szCs w:val="16"/>
              </w:rPr>
            </w:pPr>
          </w:p>
        </w:tc>
        <w:tc>
          <w:tcPr>
            <w:tcW w:w="115" w:type="dxa"/>
            <w:vAlign w:val="bottom"/>
          </w:tcPr>
          <w:p w14:paraId="22E1DA3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D7D020A" w14:textId="77777777" w:rsidR="00C561BD" w:rsidRPr="00682E64" w:rsidRDefault="00C561BD" w:rsidP="00AC2186">
            <w:pPr>
              <w:tabs>
                <w:tab w:val="decimal" w:pos="113"/>
              </w:tabs>
              <w:spacing w:line="140" w:lineRule="exact"/>
              <w:rPr>
                <w:sz w:val="16"/>
                <w:szCs w:val="16"/>
              </w:rPr>
            </w:pPr>
          </w:p>
        </w:tc>
        <w:tc>
          <w:tcPr>
            <w:tcW w:w="115" w:type="dxa"/>
          </w:tcPr>
          <w:p w14:paraId="4FC40ADB"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2EE14981" w14:textId="77777777" w:rsidR="00C561BD" w:rsidRPr="00682E64" w:rsidRDefault="00C561BD" w:rsidP="00AC2186">
            <w:pPr>
              <w:tabs>
                <w:tab w:val="decimal" w:pos="113"/>
              </w:tabs>
              <w:spacing w:line="140" w:lineRule="exact"/>
              <w:rPr>
                <w:sz w:val="16"/>
                <w:szCs w:val="16"/>
              </w:rPr>
            </w:pPr>
          </w:p>
        </w:tc>
      </w:tr>
      <w:tr w:rsidR="00C561BD" w:rsidRPr="00682E64" w14:paraId="4B1A877C" w14:textId="77777777" w:rsidTr="00AC2186">
        <w:tc>
          <w:tcPr>
            <w:tcW w:w="857" w:type="dxa"/>
            <w:tcBorders>
              <w:top w:val="single" w:sz="4" w:space="0" w:color="auto"/>
            </w:tcBorders>
          </w:tcPr>
          <w:p w14:paraId="51AB1DA5" w14:textId="77777777" w:rsidR="00C561BD" w:rsidRPr="00B05763" w:rsidRDefault="00C561BD" w:rsidP="00AC2186">
            <w:pPr>
              <w:bidi w:val="0"/>
              <w:spacing w:line="140" w:lineRule="exact"/>
              <w:jc w:val="right"/>
              <w:rPr>
                <w:i/>
                <w:iCs/>
                <w:sz w:val="12"/>
                <w:szCs w:val="12"/>
                <w:rtl/>
              </w:rPr>
            </w:pPr>
          </w:p>
        </w:tc>
        <w:tc>
          <w:tcPr>
            <w:tcW w:w="2309" w:type="dxa"/>
            <w:vAlign w:val="bottom"/>
          </w:tcPr>
          <w:p w14:paraId="2C9D240D"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הטבה הונית מעסקה עם בעל שליטה</w:t>
            </w:r>
          </w:p>
        </w:tc>
        <w:tc>
          <w:tcPr>
            <w:tcW w:w="113" w:type="dxa"/>
            <w:vAlign w:val="bottom"/>
          </w:tcPr>
          <w:p w14:paraId="237CC9C9"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0555ED4E" w14:textId="77777777" w:rsidR="00C561BD" w:rsidRPr="00682E64" w:rsidRDefault="00C561BD" w:rsidP="00AC2186">
            <w:pPr>
              <w:tabs>
                <w:tab w:val="decimal" w:pos="113"/>
              </w:tabs>
              <w:spacing w:line="140" w:lineRule="exact"/>
              <w:rPr>
                <w:sz w:val="16"/>
                <w:szCs w:val="16"/>
              </w:rPr>
            </w:pPr>
          </w:p>
        </w:tc>
        <w:tc>
          <w:tcPr>
            <w:tcW w:w="115" w:type="dxa"/>
            <w:vAlign w:val="bottom"/>
          </w:tcPr>
          <w:p w14:paraId="4C7D6F2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31EE0C7" w14:textId="77777777" w:rsidR="00C561BD" w:rsidRPr="00682E64" w:rsidRDefault="00C561BD" w:rsidP="00AC2186">
            <w:pPr>
              <w:tabs>
                <w:tab w:val="decimal" w:pos="113"/>
              </w:tabs>
              <w:spacing w:line="140" w:lineRule="exact"/>
              <w:rPr>
                <w:sz w:val="16"/>
                <w:szCs w:val="16"/>
              </w:rPr>
            </w:pPr>
          </w:p>
        </w:tc>
        <w:tc>
          <w:tcPr>
            <w:tcW w:w="115" w:type="dxa"/>
            <w:vAlign w:val="bottom"/>
          </w:tcPr>
          <w:p w14:paraId="52A1D416"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55226C3" w14:textId="77777777" w:rsidR="00C561BD" w:rsidRPr="00682E64" w:rsidRDefault="00C561BD" w:rsidP="00AC2186">
            <w:pPr>
              <w:tabs>
                <w:tab w:val="decimal" w:pos="113"/>
              </w:tabs>
              <w:spacing w:line="140" w:lineRule="exact"/>
              <w:rPr>
                <w:sz w:val="16"/>
                <w:szCs w:val="16"/>
              </w:rPr>
            </w:pPr>
          </w:p>
        </w:tc>
        <w:tc>
          <w:tcPr>
            <w:tcW w:w="115" w:type="dxa"/>
          </w:tcPr>
          <w:p w14:paraId="5BA5DE5B"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055028E5" w14:textId="77777777" w:rsidR="00C561BD" w:rsidRPr="00682E64" w:rsidRDefault="00C561BD" w:rsidP="00AC2186">
            <w:pPr>
              <w:tabs>
                <w:tab w:val="decimal" w:pos="113"/>
              </w:tabs>
              <w:spacing w:line="140" w:lineRule="exact"/>
              <w:rPr>
                <w:sz w:val="16"/>
                <w:szCs w:val="16"/>
              </w:rPr>
            </w:pPr>
          </w:p>
        </w:tc>
        <w:tc>
          <w:tcPr>
            <w:tcW w:w="115" w:type="dxa"/>
          </w:tcPr>
          <w:p w14:paraId="6F3D98E1"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291ED8B7" w14:textId="77777777" w:rsidR="00C561BD" w:rsidRPr="00682E64" w:rsidRDefault="00C561BD" w:rsidP="00AC2186">
            <w:pPr>
              <w:tabs>
                <w:tab w:val="decimal" w:pos="113"/>
              </w:tabs>
              <w:spacing w:line="140" w:lineRule="exact"/>
              <w:rPr>
                <w:sz w:val="16"/>
                <w:szCs w:val="16"/>
              </w:rPr>
            </w:pPr>
          </w:p>
        </w:tc>
        <w:tc>
          <w:tcPr>
            <w:tcW w:w="115" w:type="dxa"/>
            <w:vAlign w:val="bottom"/>
          </w:tcPr>
          <w:p w14:paraId="1F6CAA64"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6D183DD" w14:textId="77777777" w:rsidR="00C561BD" w:rsidRPr="00682E64" w:rsidRDefault="00C561BD" w:rsidP="00AC2186">
            <w:pPr>
              <w:tabs>
                <w:tab w:val="decimal" w:pos="113"/>
              </w:tabs>
              <w:spacing w:line="140" w:lineRule="exact"/>
              <w:rPr>
                <w:sz w:val="16"/>
                <w:szCs w:val="16"/>
              </w:rPr>
            </w:pPr>
          </w:p>
        </w:tc>
        <w:tc>
          <w:tcPr>
            <w:tcW w:w="115" w:type="dxa"/>
            <w:vAlign w:val="bottom"/>
          </w:tcPr>
          <w:p w14:paraId="4EBC7E57"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047AD44" w14:textId="77777777" w:rsidR="00C561BD" w:rsidRPr="00682E64" w:rsidRDefault="00C561BD" w:rsidP="00AC2186">
            <w:pPr>
              <w:tabs>
                <w:tab w:val="decimal" w:pos="113"/>
              </w:tabs>
              <w:spacing w:line="140" w:lineRule="exact"/>
              <w:rPr>
                <w:sz w:val="16"/>
                <w:szCs w:val="16"/>
              </w:rPr>
            </w:pPr>
          </w:p>
        </w:tc>
        <w:tc>
          <w:tcPr>
            <w:tcW w:w="115" w:type="dxa"/>
            <w:vAlign w:val="bottom"/>
          </w:tcPr>
          <w:p w14:paraId="48CEE57D"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4446D9CE" w14:textId="77777777" w:rsidR="00C561BD" w:rsidRPr="00682E64" w:rsidRDefault="00C561BD" w:rsidP="00AC2186">
            <w:pPr>
              <w:tabs>
                <w:tab w:val="decimal" w:pos="113"/>
              </w:tabs>
              <w:spacing w:line="140" w:lineRule="exact"/>
              <w:rPr>
                <w:sz w:val="16"/>
                <w:szCs w:val="16"/>
              </w:rPr>
            </w:pPr>
          </w:p>
        </w:tc>
        <w:tc>
          <w:tcPr>
            <w:tcW w:w="115" w:type="dxa"/>
            <w:vAlign w:val="bottom"/>
          </w:tcPr>
          <w:p w14:paraId="6D1E952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94D6A9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9FEDFE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1E13C0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8C7889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9D0ED3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F29435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D08BA0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2D516C0"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3D6A1CA" w14:textId="77777777" w:rsidR="00C561BD" w:rsidRPr="00682E64" w:rsidRDefault="00C561BD" w:rsidP="00AC2186">
            <w:pPr>
              <w:tabs>
                <w:tab w:val="decimal" w:pos="113"/>
              </w:tabs>
              <w:spacing w:line="140" w:lineRule="exact"/>
              <w:rPr>
                <w:sz w:val="16"/>
                <w:szCs w:val="16"/>
              </w:rPr>
            </w:pPr>
          </w:p>
        </w:tc>
        <w:tc>
          <w:tcPr>
            <w:tcW w:w="146" w:type="dxa"/>
            <w:vAlign w:val="bottom"/>
          </w:tcPr>
          <w:p w14:paraId="5C097449"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1BEED4F" w14:textId="77777777" w:rsidR="00C561BD" w:rsidRPr="00682E64" w:rsidRDefault="00C561BD" w:rsidP="00AC2186">
            <w:pPr>
              <w:tabs>
                <w:tab w:val="decimal" w:pos="113"/>
              </w:tabs>
              <w:spacing w:line="140" w:lineRule="exact"/>
              <w:rPr>
                <w:sz w:val="16"/>
                <w:szCs w:val="16"/>
              </w:rPr>
            </w:pPr>
          </w:p>
        </w:tc>
        <w:tc>
          <w:tcPr>
            <w:tcW w:w="115" w:type="dxa"/>
            <w:vAlign w:val="bottom"/>
          </w:tcPr>
          <w:p w14:paraId="44A2D2E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581D4A4" w14:textId="77777777" w:rsidR="00C561BD" w:rsidRPr="00682E64" w:rsidRDefault="00C561BD" w:rsidP="00AC2186">
            <w:pPr>
              <w:tabs>
                <w:tab w:val="decimal" w:pos="113"/>
              </w:tabs>
              <w:spacing w:line="140" w:lineRule="exact"/>
              <w:rPr>
                <w:sz w:val="16"/>
                <w:szCs w:val="16"/>
              </w:rPr>
            </w:pPr>
          </w:p>
        </w:tc>
        <w:tc>
          <w:tcPr>
            <w:tcW w:w="115" w:type="dxa"/>
          </w:tcPr>
          <w:p w14:paraId="50C7608F"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0BD024A5" w14:textId="77777777" w:rsidR="00C561BD" w:rsidRPr="00682E64" w:rsidRDefault="00C561BD" w:rsidP="00AC2186">
            <w:pPr>
              <w:tabs>
                <w:tab w:val="decimal" w:pos="113"/>
              </w:tabs>
              <w:spacing w:line="140" w:lineRule="exact"/>
              <w:rPr>
                <w:sz w:val="16"/>
                <w:szCs w:val="16"/>
              </w:rPr>
            </w:pPr>
          </w:p>
        </w:tc>
      </w:tr>
      <w:tr w:rsidR="00C561BD" w:rsidRPr="00682E64" w14:paraId="179CBB0F" w14:textId="77777777" w:rsidTr="00AC2186">
        <w:tc>
          <w:tcPr>
            <w:tcW w:w="857" w:type="dxa"/>
            <w:vMerge w:val="restart"/>
            <w:tcBorders>
              <w:bottom w:val="single" w:sz="4" w:space="0" w:color="auto"/>
              <w:right w:val="single" w:sz="4" w:space="0" w:color="auto"/>
            </w:tcBorders>
            <w:vAlign w:val="center"/>
          </w:tcPr>
          <w:p w14:paraId="53CC8D11" w14:textId="77777777" w:rsidR="00C561BD" w:rsidRPr="00B05763" w:rsidRDefault="00C561BD" w:rsidP="00AC2186">
            <w:pPr>
              <w:bidi w:val="0"/>
              <w:spacing w:line="140" w:lineRule="exact"/>
              <w:jc w:val="right"/>
              <w:rPr>
                <w:i/>
                <w:iCs/>
                <w:sz w:val="12"/>
                <w:szCs w:val="12"/>
                <w:rtl/>
              </w:rPr>
            </w:pPr>
            <w:r>
              <w:rPr>
                <w:i/>
                <w:iCs/>
                <w:sz w:val="12"/>
                <w:szCs w:val="12"/>
              </w:rPr>
              <w:t>IAS 1.106(d)(Iii)</w:t>
            </w:r>
          </w:p>
        </w:tc>
        <w:tc>
          <w:tcPr>
            <w:tcW w:w="2309" w:type="dxa"/>
            <w:tcBorders>
              <w:left w:val="single" w:sz="4" w:space="0" w:color="auto"/>
            </w:tcBorders>
            <w:vAlign w:val="bottom"/>
          </w:tcPr>
          <w:p w14:paraId="694CAA07"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רכישת זכויות שאינן מקנות שליטה</w:t>
            </w:r>
          </w:p>
        </w:tc>
        <w:tc>
          <w:tcPr>
            <w:tcW w:w="113" w:type="dxa"/>
            <w:vAlign w:val="bottom"/>
          </w:tcPr>
          <w:p w14:paraId="3D23BB1D"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1ECE28F2" w14:textId="77777777" w:rsidR="00C561BD" w:rsidRPr="00682E64" w:rsidRDefault="00C561BD" w:rsidP="00AC2186">
            <w:pPr>
              <w:tabs>
                <w:tab w:val="decimal" w:pos="113"/>
              </w:tabs>
              <w:spacing w:line="140" w:lineRule="exact"/>
              <w:rPr>
                <w:sz w:val="16"/>
                <w:szCs w:val="16"/>
              </w:rPr>
            </w:pPr>
          </w:p>
        </w:tc>
        <w:tc>
          <w:tcPr>
            <w:tcW w:w="115" w:type="dxa"/>
            <w:vAlign w:val="bottom"/>
          </w:tcPr>
          <w:p w14:paraId="6605847C"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CB86834" w14:textId="77777777" w:rsidR="00C561BD" w:rsidRPr="00682E64" w:rsidRDefault="00C561BD" w:rsidP="00AC2186">
            <w:pPr>
              <w:tabs>
                <w:tab w:val="decimal" w:pos="113"/>
              </w:tabs>
              <w:spacing w:line="140" w:lineRule="exact"/>
              <w:rPr>
                <w:sz w:val="16"/>
                <w:szCs w:val="16"/>
              </w:rPr>
            </w:pPr>
          </w:p>
        </w:tc>
        <w:tc>
          <w:tcPr>
            <w:tcW w:w="115" w:type="dxa"/>
            <w:vAlign w:val="bottom"/>
          </w:tcPr>
          <w:p w14:paraId="498286F4"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F80266B" w14:textId="77777777" w:rsidR="00C561BD" w:rsidRPr="00682E64" w:rsidRDefault="00C561BD" w:rsidP="00AC2186">
            <w:pPr>
              <w:tabs>
                <w:tab w:val="decimal" w:pos="113"/>
              </w:tabs>
              <w:spacing w:line="140" w:lineRule="exact"/>
              <w:rPr>
                <w:sz w:val="16"/>
                <w:szCs w:val="16"/>
              </w:rPr>
            </w:pPr>
          </w:p>
        </w:tc>
        <w:tc>
          <w:tcPr>
            <w:tcW w:w="115" w:type="dxa"/>
          </w:tcPr>
          <w:p w14:paraId="624EA04D"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7D68841C" w14:textId="77777777" w:rsidR="00C561BD" w:rsidRPr="00682E64" w:rsidRDefault="00C561BD" w:rsidP="00AC2186">
            <w:pPr>
              <w:tabs>
                <w:tab w:val="decimal" w:pos="113"/>
              </w:tabs>
              <w:spacing w:line="140" w:lineRule="exact"/>
              <w:rPr>
                <w:sz w:val="16"/>
                <w:szCs w:val="16"/>
              </w:rPr>
            </w:pPr>
          </w:p>
        </w:tc>
        <w:tc>
          <w:tcPr>
            <w:tcW w:w="115" w:type="dxa"/>
          </w:tcPr>
          <w:p w14:paraId="2DA113B8"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177E42E7" w14:textId="77777777" w:rsidR="00C561BD" w:rsidRPr="00682E64" w:rsidRDefault="00C561BD" w:rsidP="00AC2186">
            <w:pPr>
              <w:tabs>
                <w:tab w:val="decimal" w:pos="113"/>
              </w:tabs>
              <w:spacing w:line="140" w:lineRule="exact"/>
              <w:rPr>
                <w:sz w:val="16"/>
                <w:szCs w:val="16"/>
              </w:rPr>
            </w:pPr>
          </w:p>
        </w:tc>
        <w:tc>
          <w:tcPr>
            <w:tcW w:w="115" w:type="dxa"/>
            <w:vAlign w:val="bottom"/>
          </w:tcPr>
          <w:p w14:paraId="61D94F37"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8C0CCC4" w14:textId="77777777" w:rsidR="00C561BD" w:rsidRPr="00682E64" w:rsidRDefault="00C561BD" w:rsidP="00AC2186">
            <w:pPr>
              <w:tabs>
                <w:tab w:val="decimal" w:pos="113"/>
              </w:tabs>
              <w:spacing w:line="140" w:lineRule="exact"/>
              <w:rPr>
                <w:sz w:val="16"/>
                <w:szCs w:val="16"/>
              </w:rPr>
            </w:pPr>
          </w:p>
        </w:tc>
        <w:tc>
          <w:tcPr>
            <w:tcW w:w="115" w:type="dxa"/>
            <w:vAlign w:val="bottom"/>
          </w:tcPr>
          <w:p w14:paraId="477C6899"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AC596EB" w14:textId="77777777" w:rsidR="00C561BD" w:rsidRPr="00682E64" w:rsidRDefault="00C561BD" w:rsidP="00AC2186">
            <w:pPr>
              <w:tabs>
                <w:tab w:val="decimal" w:pos="113"/>
              </w:tabs>
              <w:spacing w:line="140" w:lineRule="exact"/>
              <w:rPr>
                <w:sz w:val="16"/>
                <w:szCs w:val="16"/>
              </w:rPr>
            </w:pPr>
          </w:p>
        </w:tc>
        <w:tc>
          <w:tcPr>
            <w:tcW w:w="115" w:type="dxa"/>
            <w:vAlign w:val="bottom"/>
          </w:tcPr>
          <w:p w14:paraId="593B66F9"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6EA41BC" w14:textId="77777777" w:rsidR="00C561BD" w:rsidRPr="00682E64" w:rsidRDefault="00C561BD" w:rsidP="00AC2186">
            <w:pPr>
              <w:tabs>
                <w:tab w:val="decimal" w:pos="113"/>
              </w:tabs>
              <w:spacing w:line="140" w:lineRule="exact"/>
              <w:rPr>
                <w:sz w:val="16"/>
                <w:szCs w:val="16"/>
              </w:rPr>
            </w:pPr>
          </w:p>
        </w:tc>
        <w:tc>
          <w:tcPr>
            <w:tcW w:w="115" w:type="dxa"/>
            <w:vAlign w:val="bottom"/>
          </w:tcPr>
          <w:p w14:paraId="73E8BCF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2A6FAC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AEF2EB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4DFB91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5CD3B7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D6F2B5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CDE3353"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363A9A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17055D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D9A01B5" w14:textId="77777777" w:rsidR="00C561BD" w:rsidRPr="00682E64" w:rsidRDefault="00C561BD" w:rsidP="00AC2186">
            <w:pPr>
              <w:tabs>
                <w:tab w:val="decimal" w:pos="113"/>
              </w:tabs>
              <w:spacing w:line="140" w:lineRule="exact"/>
              <w:rPr>
                <w:sz w:val="16"/>
                <w:szCs w:val="16"/>
              </w:rPr>
            </w:pPr>
          </w:p>
        </w:tc>
        <w:tc>
          <w:tcPr>
            <w:tcW w:w="146" w:type="dxa"/>
            <w:vAlign w:val="bottom"/>
          </w:tcPr>
          <w:p w14:paraId="0840461D"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4CE7358" w14:textId="77777777" w:rsidR="00C561BD" w:rsidRPr="00682E64" w:rsidRDefault="00C561BD" w:rsidP="00AC2186">
            <w:pPr>
              <w:tabs>
                <w:tab w:val="decimal" w:pos="113"/>
              </w:tabs>
              <w:spacing w:line="140" w:lineRule="exact"/>
              <w:rPr>
                <w:sz w:val="16"/>
                <w:szCs w:val="16"/>
              </w:rPr>
            </w:pPr>
          </w:p>
        </w:tc>
        <w:tc>
          <w:tcPr>
            <w:tcW w:w="115" w:type="dxa"/>
            <w:vAlign w:val="bottom"/>
          </w:tcPr>
          <w:p w14:paraId="1F2BC24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CC8BFF5" w14:textId="77777777" w:rsidR="00C561BD" w:rsidRPr="00682E64" w:rsidRDefault="00C561BD" w:rsidP="00AC2186">
            <w:pPr>
              <w:tabs>
                <w:tab w:val="decimal" w:pos="113"/>
              </w:tabs>
              <w:spacing w:line="140" w:lineRule="exact"/>
              <w:rPr>
                <w:sz w:val="16"/>
                <w:szCs w:val="16"/>
              </w:rPr>
            </w:pPr>
          </w:p>
        </w:tc>
        <w:tc>
          <w:tcPr>
            <w:tcW w:w="115" w:type="dxa"/>
          </w:tcPr>
          <w:p w14:paraId="6C79139C"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7BF24061" w14:textId="77777777" w:rsidR="00C561BD" w:rsidRPr="00682E64" w:rsidRDefault="00C561BD" w:rsidP="00AC2186">
            <w:pPr>
              <w:tabs>
                <w:tab w:val="decimal" w:pos="113"/>
              </w:tabs>
              <w:spacing w:line="140" w:lineRule="exact"/>
              <w:rPr>
                <w:sz w:val="16"/>
                <w:szCs w:val="16"/>
              </w:rPr>
            </w:pPr>
          </w:p>
        </w:tc>
      </w:tr>
      <w:tr w:rsidR="00C561BD" w:rsidRPr="00682E64" w14:paraId="46BB106D" w14:textId="77777777" w:rsidTr="00AC2186">
        <w:tc>
          <w:tcPr>
            <w:tcW w:w="857" w:type="dxa"/>
            <w:vMerge/>
            <w:tcBorders>
              <w:bottom w:val="single" w:sz="4" w:space="0" w:color="auto"/>
              <w:right w:val="single" w:sz="4" w:space="0" w:color="auto"/>
            </w:tcBorders>
          </w:tcPr>
          <w:p w14:paraId="72C0DEA0"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6C299875"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זכויות שאינן מקנות שליטה שנוצרו בחברות שאוחדו לראשונה</w:t>
            </w:r>
          </w:p>
        </w:tc>
        <w:tc>
          <w:tcPr>
            <w:tcW w:w="113" w:type="dxa"/>
            <w:vAlign w:val="bottom"/>
          </w:tcPr>
          <w:p w14:paraId="12CAB5EB"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05B1C421" w14:textId="77777777" w:rsidR="00C561BD" w:rsidRPr="00682E64" w:rsidRDefault="00C561BD" w:rsidP="00AC2186">
            <w:pPr>
              <w:tabs>
                <w:tab w:val="decimal" w:pos="113"/>
              </w:tabs>
              <w:spacing w:line="140" w:lineRule="exact"/>
              <w:rPr>
                <w:sz w:val="16"/>
                <w:szCs w:val="16"/>
              </w:rPr>
            </w:pPr>
          </w:p>
        </w:tc>
        <w:tc>
          <w:tcPr>
            <w:tcW w:w="115" w:type="dxa"/>
            <w:vAlign w:val="bottom"/>
          </w:tcPr>
          <w:p w14:paraId="0FBDCB9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F38B3D3" w14:textId="77777777" w:rsidR="00C561BD" w:rsidRPr="00682E64" w:rsidRDefault="00C561BD" w:rsidP="00AC2186">
            <w:pPr>
              <w:tabs>
                <w:tab w:val="decimal" w:pos="113"/>
              </w:tabs>
              <w:spacing w:line="140" w:lineRule="exact"/>
              <w:rPr>
                <w:sz w:val="16"/>
                <w:szCs w:val="16"/>
              </w:rPr>
            </w:pPr>
          </w:p>
        </w:tc>
        <w:tc>
          <w:tcPr>
            <w:tcW w:w="115" w:type="dxa"/>
            <w:vAlign w:val="bottom"/>
          </w:tcPr>
          <w:p w14:paraId="3D57A089"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5B67D69" w14:textId="77777777" w:rsidR="00C561BD" w:rsidRPr="00682E64" w:rsidRDefault="00C561BD" w:rsidP="00AC2186">
            <w:pPr>
              <w:tabs>
                <w:tab w:val="decimal" w:pos="113"/>
              </w:tabs>
              <w:spacing w:line="140" w:lineRule="exact"/>
              <w:rPr>
                <w:sz w:val="16"/>
                <w:szCs w:val="16"/>
              </w:rPr>
            </w:pPr>
          </w:p>
        </w:tc>
        <w:tc>
          <w:tcPr>
            <w:tcW w:w="115" w:type="dxa"/>
          </w:tcPr>
          <w:p w14:paraId="24F6169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0FCD527C" w14:textId="77777777" w:rsidR="00C561BD" w:rsidRPr="00682E64" w:rsidRDefault="00C561BD" w:rsidP="00AC2186">
            <w:pPr>
              <w:tabs>
                <w:tab w:val="decimal" w:pos="113"/>
              </w:tabs>
              <w:spacing w:line="140" w:lineRule="exact"/>
              <w:rPr>
                <w:sz w:val="16"/>
                <w:szCs w:val="16"/>
              </w:rPr>
            </w:pPr>
          </w:p>
        </w:tc>
        <w:tc>
          <w:tcPr>
            <w:tcW w:w="115" w:type="dxa"/>
          </w:tcPr>
          <w:p w14:paraId="52E2184B"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46CAC665" w14:textId="77777777" w:rsidR="00C561BD" w:rsidRPr="00682E64" w:rsidRDefault="00C561BD" w:rsidP="00AC2186">
            <w:pPr>
              <w:tabs>
                <w:tab w:val="decimal" w:pos="113"/>
              </w:tabs>
              <w:spacing w:line="140" w:lineRule="exact"/>
              <w:rPr>
                <w:sz w:val="16"/>
                <w:szCs w:val="16"/>
              </w:rPr>
            </w:pPr>
          </w:p>
        </w:tc>
        <w:tc>
          <w:tcPr>
            <w:tcW w:w="115" w:type="dxa"/>
            <w:vAlign w:val="bottom"/>
          </w:tcPr>
          <w:p w14:paraId="6C29DFAA"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D7667D5" w14:textId="77777777" w:rsidR="00C561BD" w:rsidRPr="00682E64" w:rsidRDefault="00C561BD" w:rsidP="00AC2186">
            <w:pPr>
              <w:tabs>
                <w:tab w:val="decimal" w:pos="113"/>
              </w:tabs>
              <w:spacing w:line="140" w:lineRule="exact"/>
              <w:rPr>
                <w:sz w:val="16"/>
                <w:szCs w:val="16"/>
              </w:rPr>
            </w:pPr>
          </w:p>
        </w:tc>
        <w:tc>
          <w:tcPr>
            <w:tcW w:w="115" w:type="dxa"/>
            <w:vAlign w:val="bottom"/>
          </w:tcPr>
          <w:p w14:paraId="627A1F95"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21A82BB" w14:textId="77777777" w:rsidR="00C561BD" w:rsidRPr="00682E64" w:rsidRDefault="00C561BD" w:rsidP="00AC2186">
            <w:pPr>
              <w:tabs>
                <w:tab w:val="decimal" w:pos="113"/>
              </w:tabs>
              <w:spacing w:line="140" w:lineRule="exact"/>
              <w:rPr>
                <w:sz w:val="16"/>
                <w:szCs w:val="16"/>
              </w:rPr>
            </w:pPr>
          </w:p>
        </w:tc>
        <w:tc>
          <w:tcPr>
            <w:tcW w:w="115" w:type="dxa"/>
            <w:vAlign w:val="bottom"/>
          </w:tcPr>
          <w:p w14:paraId="4E15ED1D"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A365FAF" w14:textId="77777777" w:rsidR="00C561BD" w:rsidRPr="00682E64" w:rsidRDefault="00C561BD" w:rsidP="00AC2186">
            <w:pPr>
              <w:tabs>
                <w:tab w:val="decimal" w:pos="113"/>
              </w:tabs>
              <w:spacing w:line="140" w:lineRule="exact"/>
              <w:rPr>
                <w:sz w:val="16"/>
                <w:szCs w:val="16"/>
              </w:rPr>
            </w:pPr>
          </w:p>
        </w:tc>
        <w:tc>
          <w:tcPr>
            <w:tcW w:w="115" w:type="dxa"/>
            <w:vAlign w:val="bottom"/>
          </w:tcPr>
          <w:p w14:paraId="53018780"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CB82BE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07997D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3C3A37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363168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B64DE8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7BA1A4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98E7D2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A63B12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D8F4423" w14:textId="77777777" w:rsidR="00C561BD" w:rsidRPr="00682E64" w:rsidRDefault="00C561BD" w:rsidP="00AC2186">
            <w:pPr>
              <w:tabs>
                <w:tab w:val="decimal" w:pos="113"/>
              </w:tabs>
              <w:spacing w:line="140" w:lineRule="exact"/>
              <w:rPr>
                <w:sz w:val="16"/>
                <w:szCs w:val="16"/>
              </w:rPr>
            </w:pPr>
          </w:p>
        </w:tc>
        <w:tc>
          <w:tcPr>
            <w:tcW w:w="146" w:type="dxa"/>
            <w:vAlign w:val="bottom"/>
          </w:tcPr>
          <w:p w14:paraId="1C35C3F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5AAA421" w14:textId="77777777" w:rsidR="00C561BD" w:rsidRPr="00682E64" w:rsidRDefault="00C561BD" w:rsidP="00AC2186">
            <w:pPr>
              <w:tabs>
                <w:tab w:val="decimal" w:pos="113"/>
              </w:tabs>
              <w:spacing w:line="140" w:lineRule="exact"/>
              <w:rPr>
                <w:sz w:val="16"/>
                <w:szCs w:val="16"/>
              </w:rPr>
            </w:pPr>
          </w:p>
        </w:tc>
        <w:tc>
          <w:tcPr>
            <w:tcW w:w="115" w:type="dxa"/>
            <w:vAlign w:val="bottom"/>
          </w:tcPr>
          <w:p w14:paraId="0E676CF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0CB230F" w14:textId="77777777" w:rsidR="00C561BD" w:rsidRPr="00682E64" w:rsidRDefault="00C561BD" w:rsidP="00AC2186">
            <w:pPr>
              <w:tabs>
                <w:tab w:val="decimal" w:pos="113"/>
              </w:tabs>
              <w:spacing w:line="140" w:lineRule="exact"/>
              <w:rPr>
                <w:sz w:val="16"/>
                <w:szCs w:val="16"/>
              </w:rPr>
            </w:pPr>
          </w:p>
        </w:tc>
        <w:tc>
          <w:tcPr>
            <w:tcW w:w="115" w:type="dxa"/>
          </w:tcPr>
          <w:p w14:paraId="7C0CB131"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0DF68E3A" w14:textId="77777777" w:rsidR="00C561BD" w:rsidRPr="00682E64" w:rsidRDefault="00C561BD" w:rsidP="00AC2186">
            <w:pPr>
              <w:tabs>
                <w:tab w:val="decimal" w:pos="113"/>
              </w:tabs>
              <w:spacing w:line="140" w:lineRule="exact"/>
              <w:rPr>
                <w:sz w:val="16"/>
                <w:szCs w:val="16"/>
              </w:rPr>
            </w:pPr>
          </w:p>
        </w:tc>
      </w:tr>
      <w:tr w:rsidR="00C561BD" w:rsidRPr="00682E64" w14:paraId="6840F271" w14:textId="77777777" w:rsidTr="00AC2186">
        <w:tc>
          <w:tcPr>
            <w:tcW w:w="857" w:type="dxa"/>
            <w:vMerge/>
            <w:tcBorders>
              <w:bottom w:val="single" w:sz="4" w:space="0" w:color="auto"/>
              <w:right w:val="single" w:sz="4" w:space="0" w:color="auto"/>
            </w:tcBorders>
          </w:tcPr>
          <w:p w14:paraId="1171F8C5"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5C6168DE"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יציאה מאיחוד של חברה מאוחדת</w:t>
            </w:r>
          </w:p>
        </w:tc>
        <w:tc>
          <w:tcPr>
            <w:tcW w:w="113" w:type="dxa"/>
            <w:vAlign w:val="bottom"/>
          </w:tcPr>
          <w:p w14:paraId="2000FB8B"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60BED6BD" w14:textId="77777777" w:rsidR="00C561BD" w:rsidRPr="00682E64" w:rsidRDefault="00C561BD" w:rsidP="00AC2186">
            <w:pPr>
              <w:tabs>
                <w:tab w:val="decimal" w:pos="113"/>
              </w:tabs>
              <w:spacing w:line="140" w:lineRule="exact"/>
              <w:rPr>
                <w:sz w:val="16"/>
                <w:szCs w:val="16"/>
              </w:rPr>
            </w:pPr>
          </w:p>
        </w:tc>
        <w:tc>
          <w:tcPr>
            <w:tcW w:w="115" w:type="dxa"/>
            <w:vAlign w:val="bottom"/>
          </w:tcPr>
          <w:p w14:paraId="1441094C"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E0E6D05" w14:textId="77777777" w:rsidR="00C561BD" w:rsidRPr="00682E64" w:rsidRDefault="00C561BD" w:rsidP="00AC2186">
            <w:pPr>
              <w:tabs>
                <w:tab w:val="decimal" w:pos="113"/>
              </w:tabs>
              <w:spacing w:line="140" w:lineRule="exact"/>
              <w:rPr>
                <w:sz w:val="16"/>
                <w:szCs w:val="16"/>
              </w:rPr>
            </w:pPr>
          </w:p>
        </w:tc>
        <w:tc>
          <w:tcPr>
            <w:tcW w:w="115" w:type="dxa"/>
            <w:vAlign w:val="bottom"/>
          </w:tcPr>
          <w:p w14:paraId="2A792C7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5AA9371" w14:textId="77777777" w:rsidR="00C561BD" w:rsidRPr="00682E64" w:rsidRDefault="00C561BD" w:rsidP="00AC2186">
            <w:pPr>
              <w:tabs>
                <w:tab w:val="decimal" w:pos="113"/>
              </w:tabs>
              <w:spacing w:line="140" w:lineRule="exact"/>
              <w:rPr>
                <w:sz w:val="16"/>
                <w:szCs w:val="16"/>
              </w:rPr>
            </w:pPr>
          </w:p>
        </w:tc>
        <w:tc>
          <w:tcPr>
            <w:tcW w:w="115" w:type="dxa"/>
          </w:tcPr>
          <w:p w14:paraId="7BE705DA"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68D8780D" w14:textId="77777777" w:rsidR="00C561BD" w:rsidRPr="00682E64" w:rsidRDefault="00C561BD" w:rsidP="00AC2186">
            <w:pPr>
              <w:tabs>
                <w:tab w:val="decimal" w:pos="113"/>
              </w:tabs>
              <w:spacing w:line="140" w:lineRule="exact"/>
              <w:rPr>
                <w:sz w:val="16"/>
                <w:szCs w:val="16"/>
              </w:rPr>
            </w:pPr>
          </w:p>
        </w:tc>
        <w:tc>
          <w:tcPr>
            <w:tcW w:w="115" w:type="dxa"/>
          </w:tcPr>
          <w:p w14:paraId="53826E4D"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4DCE692C" w14:textId="77777777" w:rsidR="00C561BD" w:rsidRPr="00682E64" w:rsidRDefault="00C561BD" w:rsidP="00AC2186">
            <w:pPr>
              <w:tabs>
                <w:tab w:val="decimal" w:pos="113"/>
              </w:tabs>
              <w:spacing w:line="140" w:lineRule="exact"/>
              <w:rPr>
                <w:sz w:val="16"/>
                <w:szCs w:val="16"/>
              </w:rPr>
            </w:pPr>
          </w:p>
        </w:tc>
        <w:tc>
          <w:tcPr>
            <w:tcW w:w="115" w:type="dxa"/>
            <w:vAlign w:val="bottom"/>
          </w:tcPr>
          <w:p w14:paraId="02A597BA"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5BA6CC6" w14:textId="77777777" w:rsidR="00C561BD" w:rsidRPr="00682E64" w:rsidRDefault="00C561BD" w:rsidP="00AC2186">
            <w:pPr>
              <w:tabs>
                <w:tab w:val="decimal" w:pos="113"/>
              </w:tabs>
              <w:spacing w:line="140" w:lineRule="exact"/>
              <w:rPr>
                <w:sz w:val="16"/>
                <w:szCs w:val="16"/>
              </w:rPr>
            </w:pPr>
          </w:p>
        </w:tc>
        <w:tc>
          <w:tcPr>
            <w:tcW w:w="115" w:type="dxa"/>
            <w:vAlign w:val="bottom"/>
          </w:tcPr>
          <w:p w14:paraId="7BEBB63B"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CBADF29" w14:textId="77777777" w:rsidR="00C561BD" w:rsidRPr="00682E64" w:rsidRDefault="00C561BD" w:rsidP="00AC2186">
            <w:pPr>
              <w:tabs>
                <w:tab w:val="decimal" w:pos="113"/>
              </w:tabs>
              <w:spacing w:line="140" w:lineRule="exact"/>
              <w:rPr>
                <w:sz w:val="16"/>
                <w:szCs w:val="16"/>
              </w:rPr>
            </w:pPr>
          </w:p>
        </w:tc>
        <w:tc>
          <w:tcPr>
            <w:tcW w:w="115" w:type="dxa"/>
            <w:vAlign w:val="bottom"/>
          </w:tcPr>
          <w:p w14:paraId="480FE6C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25148987" w14:textId="77777777" w:rsidR="00C561BD" w:rsidRPr="00682E64" w:rsidRDefault="00C561BD" w:rsidP="00AC2186">
            <w:pPr>
              <w:tabs>
                <w:tab w:val="decimal" w:pos="113"/>
              </w:tabs>
              <w:spacing w:line="140" w:lineRule="exact"/>
              <w:rPr>
                <w:sz w:val="16"/>
                <w:szCs w:val="16"/>
              </w:rPr>
            </w:pPr>
          </w:p>
        </w:tc>
        <w:tc>
          <w:tcPr>
            <w:tcW w:w="115" w:type="dxa"/>
            <w:vAlign w:val="bottom"/>
          </w:tcPr>
          <w:p w14:paraId="1FECCCD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A7B5B4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969805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F6D89B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849BC00"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FBE299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D4E344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C39AC38"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B909AE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594C4AD" w14:textId="77777777" w:rsidR="00C561BD" w:rsidRPr="00682E64" w:rsidRDefault="00C561BD" w:rsidP="00AC2186">
            <w:pPr>
              <w:tabs>
                <w:tab w:val="decimal" w:pos="113"/>
              </w:tabs>
              <w:spacing w:line="140" w:lineRule="exact"/>
              <w:rPr>
                <w:sz w:val="16"/>
                <w:szCs w:val="16"/>
              </w:rPr>
            </w:pPr>
          </w:p>
        </w:tc>
        <w:tc>
          <w:tcPr>
            <w:tcW w:w="146" w:type="dxa"/>
            <w:vAlign w:val="bottom"/>
          </w:tcPr>
          <w:p w14:paraId="5749F272"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AE6D1D6" w14:textId="77777777" w:rsidR="00C561BD" w:rsidRPr="00682E64" w:rsidRDefault="00C561BD" w:rsidP="00AC2186">
            <w:pPr>
              <w:tabs>
                <w:tab w:val="decimal" w:pos="113"/>
              </w:tabs>
              <w:spacing w:line="140" w:lineRule="exact"/>
              <w:rPr>
                <w:sz w:val="16"/>
                <w:szCs w:val="16"/>
              </w:rPr>
            </w:pPr>
          </w:p>
        </w:tc>
        <w:tc>
          <w:tcPr>
            <w:tcW w:w="115" w:type="dxa"/>
            <w:vAlign w:val="bottom"/>
          </w:tcPr>
          <w:p w14:paraId="140CD11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ABE2ABC" w14:textId="77777777" w:rsidR="00C561BD" w:rsidRPr="00682E64" w:rsidRDefault="00C561BD" w:rsidP="00AC2186">
            <w:pPr>
              <w:tabs>
                <w:tab w:val="decimal" w:pos="113"/>
              </w:tabs>
              <w:spacing w:line="140" w:lineRule="exact"/>
              <w:rPr>
                <w:sz w:val="16"/>
                <w:szCs w:val="16"/>
              </w:rPr>
            </w:pPr>
          </w:p>
        </w:tc>
        <w:tc>
          <w:tcPr>
            <w:tcW w:w="115" w:type="dxa"/>
          </w:tcPr>
          <w:p w14:paraId="7C7A3DCB"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78A18A3B" w14:textId="77777777" w:rsidR="00C561BD" w:rsidRPr="00682E64" w:rsidRDefault="00C561BD" w:rsidP="00AC2186">
            <w:pPr>
              <w:tabs>
                <w:tab w:val="decimal" w:pos="113"/>
              </w:tabs>
              <w:spacing w:line="140" w:lineRule="exact"/>
              <w:rPr>
                <w:sz w:val="16"/>
                <w:szCs w:val="16"/>
              </w:rPr>
            </w:pPr>
          </w:p>
        </w:tc>
      </w:tr>
      <w:tr w:rsidR="00C561BD" w:rsidRPr="00682E64" w14:paraId="0AE329F6" w14:textId="77777777" w:rsidTr="00AC2186">
        <w:tc>
          <w:tcPr>
            <w:tcW w:w="857" w:type="dxa"/>
            <w:vMerge/>
            <w:tcBorders>
              <w:bottom w:val="single" w:sz="4" w:space="0" w:color="auto"/>
              <w:right w:val="single" w:sz="4" w:space="0" w:color="auto"/>
            </w:tcBorders>
          </w:tcPr>
          <w:p w14:paraId="1EA1C061"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3E5E0F39"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דיבידנד לבעלי זכויות שאינן מקנות שליטה</w:t>
            </w:r>
          </w:p>
        </w:tc>
        <w:tc>
          <w:tcPr>
            <w:tcW w:w="113" w:type="dxa"/>
            <w:vAlign w:val="bottom"/>
          </w:tcPr>
          <w:p w14:paraId="397ACA36" w14:textId="77777777" w:rsidR="00C561BD" w:rsidRPr="00682E64" w:rsidRDefault="00C561BD" w:rsidP="00AC2186">
            <w:pPr>
              <w:spacing w:line="140" w:lineRule="exact"/>
              <w:rPr>
                <w:sz w:val="16"/>
                <w:szCs w:val="16"/>
              </w:rPr>
            </w:pPr>
          </w:p>
        </w:tc>
        <w:tc>
          <w:tcPr>
            <w:tcW w:w="633" w:type="dxa"/>
            <w:tcBorders>
              <w:left w:val="nil"/>
              <w:bottom w:val="single" w:sz="6" w:space="0" w:color="auto"/>
              <w:right w:val="nil"/>
            </w:tcBorders>
            <w:shd w:val="clear" w:color="auto" w:fill="auto"/>
            <w:vAlign w:val="bottom"/>
          </w:tcPr>
          <w:p w14:paraId="36AC3E8D" w14:textId="77777777" w:rsidR="00C561BD" w:rsidRPr="00682E64" w:rsidRDefault="00C561BD" w:rsidP="00AC2186">
            <w:pPr>
              <w:tabs>
                <w:tab w:val="decimal" w:pos="113"/>
              </w:tabs>
              <w:spacing w:line="140" w:lineRule="exact"/>
              <w:rPr>
                <w:sz w:val="16"/>
                <w:szCs w:val="16"/>
              </w:rPr>
            </w:pPr>
          </w:p>
        </w:tc>
        <w:tc>
          <w:tcPr>
            <w:tcW w:w="115" w:type="dxa"/>
            <w:vAlign w:val="bottom"/>
          </w:tcPr>
          <w:p w14:paraId="08E88543" w14:textId="77777777" w:rsidR="00C561BD" w:rsidRPr="00682E64" w:rsidRDefault="00C561BD" w:rsidP="00AC2186">
            <w:pPr>
              <w:tabs>
                <w:tab w:val="decimal" w:pos="113"/>
              </w:tabs>
              <w:spacing w:line="140" w:lineRule="exact"/>
              <w:rPr>
                <w:sz w:val="16"/>
                <w:szCs w:val="16"/>
              </w:rPr>
            </w:pPr>
          </w:p>
        </w:tc>
        <w:tc>
          <w:tcPr>
            <w:tcW w:w="633" w:type="dxa"/>
            <w:tcBorders>
              <w:left w:val="nil"/>
              <w:bottom w:val="single" w:sz="6" w:space="0" w:color="auto"/>
              <w:right w:val="nil"/>
            </w:tcBorders>
            <w:shd w:val="clear" w:color="auto" w:fill="auto"/>
            <w:vAlign w:val="bottom"/>
          </w:tcPr>
          <w:p w14:paraId="5B4D0D3E" w14:textId="77777777" w:rsidR="00C561BD" w:rsidRPr="00682E64" w:rsidRDefault="00C561BD" w:rsidP="00AC2186">
            <w:pPr>
              <w:tabs>
                <w:tab w:val="decimal" w:pos="113"/>
              </w:tabs>
              <w:spacing w:line="140" w:lineRule="exact"/>
              <w:rPr>
                <w:sz w:val="16"/>
                <w:szCs w:val="16"/>
              </w:rPr>
            </w:pPr>
          </w:p>
        </w:tc>
        <w:tc>
          <w:tcPr>
            <w:tcW w:w="115" w:type="dxa"/>
            <w:vAlign w:val="bottom"/>
          </w:tcPr>
          <w:p w14:paraId="3601DC50" w14:textId="77777777" w:rsidR="00C561BD" w:rsidRPr="00682E64" w:rsidRDefault="00C561BD" w:rsidP="00AC2186">
            <w:pPr>
              <w:tabs>
                <w:tab w:val="decimal" w:pos="113"/>
              </w:tabs>
              <w:spacing w:line="140" w:lineRule="exact"/>
              <w:rPr>
                <w:sz w:val="16"/>
                <w:szCs w:val="16"/>
              </w:rPr>
            </w:pPr>
          </w:p>
        </w:tc>
        <w:tc>
          <w:tcPr>
            <w:tcW w:w="633" w:type="dxa"/>
            <w:tcBorders>
              <w:left w:val="nil"/>
              <w:bottom w:val="single" w:sz="6" w:space="0" w:color="auto"/>
              <w:right w:val="nil"/>
            </w:tcBorders>
            <w:shd w:val="clear" w:color="auto" w:fill="auto"/>
            <w:vAlign w:val="bottom"/>
          </w:tcPr>
          <w:p w14:paraId="006DCC46" w14:textId="77777777" w:rsidR="00C561BD" w:rsidRPr="00682E64" w:rsidRDefault="00C561BD" w:rsidP="00AC2186">
            <w:pPr>
              <w:tabs>
                <w:tab w:val="decimal" w:pos="113"/>
              </w:tabs>
              <w:spacing w:line="140" w:lineRule="exact"/>
              <w:rPr>
                <w:sz w:val="16"/>
                <w:szCs w:val="16"/>
              </w:rPr>
            </w:pPr>
          </w:p>
        </w:tc>
        <w:tc>
          <w:tcPr>
            <w:tcW w:w="115" w:type="dxa"/>
          </w:tcPr>
          <w:p w14:paraId="0F42396D"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tcPr>
          <w:p w14:paraId="7AA1D393" w14:textId="77777777" w:rsidR="00C561BD" w:rsidRPr="00682E64" w:rsidRDefault="00C561BD" w:rsidP="00AC2186">
            <w:pPr>
              <w:tabs>
                <w:tab w:val="decimal" w:pos="113"/>
              </w:tabs>
              <w:spacing w:line="140" w:lineRule="exact"/>
              <w:rPr>
                <w:sz w:val="16"/>
                <w:szCs w:val="16"/>
              </w:rPr>
            </w:pPr>
          </w:p>
        </w:tc>
        <w:tc>
          <w:tcPr>
            <w:tcW w:w="115" w:type="dxa"/>
          </w:tcPr>
          <w:p w14:paraId="2D3EB6F6" w14:textId="77777777" w:rsidR="00C561BD" w:rsidRPr="00682E64" w:rsidRDefault="00C561BD" w:rsidP="00AC2186">
            <w:pPr>
              <w:tabs>
                <w:tab w:val="decimal" w:pos="113"/>
              </w:tabs>
              <w:spacing w:line="140" w:lineRule="exact"/>
              <w:rPr>
                <w:sz w:val="16"/>
                <w:szCs w:val="16"/>
              </w:rPr>
            </w:pPr>
          </w:p>
        </w:tc>
        <w:tc>
          <w:tcPr>
            <w:tcW w:w="633" w:type="dxa"/>
            <w:gridSpan w:val="2"/>
            <w:tcBorders>
              <w:left w:val="nil"/>
              <w:bottom w:val="single" w:sz="6" w:space="0" w:color="auto"/>
              <w:right w:val="nil"/>
            </w:tcBorders>
            <w:shd w:val="clear" w:color="auto" w:fill="auto"/>
          </w:tcPr>
          <w:p w14:paraId="59FDC3AC" w14:textId="77777777" w:rsidR="00C561BD" w:rsidRPr="00682E64" w:rsidRDefault="00C561BD" w:rsidP="00AC2186">
            <w:pPr>
              <w:tabs>
                <w:tab w:val="decimal" w:pos="113"/>
              </w:tabs>
              <w:spacing w:line="140" w:lineRule="exact"/>
              <w:rPr>
                <w:sz w:val="16"/>
                <w:szCs w:val="16"/>
              </w:rPr>
            </w:pPr>
          </w:p>
        </w:tc>
        <w:tc>
          <w:tcPr>
            <w:tcW w:w="115" w:type="dxa"/>
            <w:vAlign w:val="bottom"/>
          </w:tcPr>
          <w:p w14:paraId="7748822F" w14:textId="77777777" w:rsidR="00C561BD" w:rsidRPr="00682E64" w:rsidRDefault="00C561BD" w:rsidP="00AC2186">
            <w:pPr>
              <w:tabs>
                <w:tab w:val="decimal" w:pos="113"/>
              </w:tabs>
              <w:spacing w:line="140" w:lineRule="exact"/>
              <w:rPr>
                <w:sz w:val="16"/>
                <w:szCs w:val="16"/>
              </w:rPr>
            </w:pPr>
          </w:p>
        </w:tc>
        <w:tc>
          <w:tcPr>
            <w:tcW w:w="633" w:type="dxa"/>
            <w:tcBorders>
              <w:left w:val="nil"/>
              <w:bottom w:val="single" w:sz="6" w:space="0" w:color="auto"/>
              <w:right w:val="nil"/>
            </w:tcBorders>
            <w:shd w:val="clear" w:color="auto" w:fill="auto"/>
            <w:vAlign w:val="bottom"/>
          </w:tcPr>
          <w:p w14:paraId="33B74A13" w14:textId="77777777" w:rsidR="00C561BD" w:rsidRPr="00682E64" w:rsidRDefault="00C561BD" w:rsidP="00AC2186">
            <w:pPr>
              <w:tabs>
                <w:tab w:val="decimal" w:pos="113"/>
              </w:tabs>
              <w:spacing w:line="140" w:lineRule="exact"/>
              <w:rPr>
                <w:sz w:val="16"/>
                <w:szCs w:val="16"/>
              </w:rPr>
            </w:pPr>
          </w:p>
        </w:tc>
        <w:tc>
          <w:tcPr>
            <w:tcW w:w="115" w:type="dxa"/>
            <w:vAlign w:val="bottom"/>
          </w:tcPr>
          <w:p w14:paraId="19A17E44" w14:textId="77777777" w:rsidR="00C561BD" w:rsidRPr="00682E64" w:rsidRDefault="00C561BD" w:rsidP="00AC2186">
            <w:pPr>
              <w:tabs>
                <w:tab w:val="decimal" w:pos="113"/>
              </w:tabs>
              <w:spacing w:line="140" w:lineRule="exact"/>
              <w:rPr>
                <w:sz w:val="16"/>
                <w:szCs w:val="16"/>
              </w:rPr>
            </w:pPr>
          </w:p>
        </w:tc>
        <w:tc>
          <w:tcPr>
            <w:tcW w:w="748" w:type="dxa"/>
            <w:tcBorders>
              <w:left w:val="nil"/>
              <w:bottom w:val="single" w:sz="6" w:space="0" w:color="auto"/>
              <w:right w:val="nil"/>
            </w:tcBorders>
            <w:shd w:val="clear" w:color="auto" w:fill="auto"/>
            <w:vAlign w:val="bottom"/>
          </w:tcPr>
          <w:p w14:paraId="6375B57E" w14:textId="77777777" w:rsidR="00C561BD" w:rsidRPr="00682E64" w:rsidRDefault="00C561BD" w:rsidP="00AC2186">
            <w:pPr>
              <w:tabs>
                <w:tab w:val="decimal" w:pos="113"/>
              </w:tabs>
              <w:spacing w:line="140" w:lineRule="exact"/>
              <w:rPr>
                <w:sz w:val="16"/>
                <w:szCs w:val="16"/>
              </w:rPr>
            </w:pPr>
          </w:p>
        </w:tc>
        <w:tc>
          <w:tcPr>
            <w:tcW w:w="115" w:type="dxa"/>
            <w:vAlign w:val="bottom"/>
          </w:tcPr>
          <w:p w14:paraId="35C084DB" w14:textId="77777777" w:rsidR="00C561BD" w:rsidRPr="00682E64" w:rsidRDefault="00C561BD" w:rsidP="00AC2186">
            <w:pPr>
              <w:tabs>
                <w:tab w:val="decimal" w:pos="113"/>
              </w:tabs>
              <w:spacing w:line="140" w:lineRule="exact"/>
              <w:rPr>
                <w:sz w:val="16"/>
                <w:szCs w:val="16"/>
              </w:rPr>
            </w:pPr>
          </w:p>
        </w:tc>
        <w:tc>
          <w:tcPr>
            <w:tcW w:w="748" w:type="dxa"/>
            <w:tcBorders>
              <w:left w:val="nil"/>
              <w:bottom w:val="single" w:sz="6" w:space="0" w:color="auto"/>
              <w:right w:val="nil"/>
            </w:tcBorders>
            <w:shd w:val="clear" w:color="auto" w:fill="auto"/>
            <w:vAlign w:val="bottom"/>
          </w:tcPr>
          <w:p w14:paraId="35B5967B" w14:textId="77777777" w:rsidR="00C561BD" w:rsidRPr="00682E64" w:rsidRDefault="00C561BD" w:rsidP="00AC2186">
            <w:pPr>
              <w:tabs>
                <w:tab w:val="decimal" w:pos="113"/>
              </w:tabs>
              <w:spacing w:line="140" w:lineRule="exact"/>
              <w:rPr>
                <w:sz w:val="16"/>
                <w:szCs w:val="16"/>
              </w:rPr>
            </w:pPr>
          </w:p>
        </w:tc>
        <w:tc>
          <w:tcPr>
            <w:tcW w:w="115" w:type="dxa"/>
            <w:vAlign w:val="bottom"/>
          </w:tcPr>
          <w:p w14:paraId="125ACD1F"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407BC8F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7D9C076"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27B95E1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D5A5492"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5D6B26D3"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BD58EC"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650941A1"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F27ACE8"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20211DF2" w14:textId="77777777" w:rsidR="00C561BD" w:rsidRPr="00682E64" w:rsidRDefault="00C561BD" w:rsidP="00AC2186">
            <w:pPr>
              <w:tabs>
                <w:tab w:val="decimal" w:pos="113"/>
              </w:tabs>
              <w:spacing w:line="140" w:lineRule="exact"/>
              <w:rPr>
                <w:sz w:val="16"/>
                <w:szCs w:val="16"/>
              </w:rPr>
            </w:pPr>
          </w:p>
        </w:tc>
        <w:tc>
          <w:tcPr>
            <w:tcW w:w="146" w:type="dxa"/>
            <w:vAlign w:val="bottom"/>
          </w:tcPr>
          <w:p w14:paraId="31868257"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10430AA4" w14:textId="77777777" w:rsidR="00C561BD" w:rsidRPr="00682E64" w:rsidRDefault="00C561BD" w:rsidP="00AC2186">
            <w:pPr>
              <w:tabs>
                <w:tab w:val="decimal" w:pos="113"/>
              </w:tabs>
              <w:spacing w:line="140" w:lineRule="exact"/>
              <w:rPr>
                <w:sz w:val="16"/>
                <w:szCs w:val="16"/>
              </w:rPr>
            </w:pPr>
          </w:p>
        </w:tc>
        <w:tc>
          <w:tcPr>
            <w:tcW w:w="115" w:type="dxa"/>
            <w:vAlign w:val="bottom"/>
          </w:tcPr>
          <w:p w14:paraId="76FBF08B"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3A4802D3" w14:textId="77777777" w:rsidR="00C561BD" w:rsidRPr="00682E64" w:rsidRDefault="00C561BD" w:rsidP="00AC2186">
            <w:pPr>
              <w:tabs>
                <w:tab w:val="decimal" w:pos="113"/>
              </w:tabs>
              <w:spacing w:line="140" w:lineRule="exact"/>
              <w:rPr>
                <w:sz w:val="16"/>
                <w:szCs w:val="16"/>
              </w:rPr>
            </w:pPr>
          </w:p>
        </w:tc>
        <w:tc>
          <w:tcPr>
            <w:tcW w:w="115" w:type="dxa"/>
          </w:tcPr>
          <w:p w14:paraId="77A13C14" w14:textId="77777777" w:rsidR="00C561BD" w:rsidRPr="00682E64" w:rsidRDefault="00C561BD" w:rsidP="00AC2186">
            <w:pPr>
              <w:tabs>
                <w:tab w:val="decimal" w:pos="113"/>
              </w:tabs>
              <w:spacing w:line="140" w:lineRule="exact"/>
              <w:rPr>
                <w:sz w:val="16"/>
                <w:szCs w:val="16"/>
              </w:rPr>
            </w:pPr>
          </w:p>
        </w:tc>
        <w:tc>
          <w:tcPr>
            <w:tcW w:w="640" w:type="dxa"/>
            <w:tcBorders>
              <w:left w:val="nil"/>
              <w:bottom w:val="single" w:sz="6" w:space="0" w:color="auto"/>
              <w:right w:val="nil"/>
            </w:tcBorders>
            <w:shd w:val="clear" w:color="auto" w:fill="auto"/>
          </w:tcPr>
          <w:p w14:paraId="7F8ACCE3" w14:textId="77777777" w:rsidR="00C561BD" w:rsidRPr="00682E64" w:rsidRDefault="00C561BD" w:rsidP="00AC2186">
            <w:pPr>
              <w:tabs>
                <w:tab w:val="decimal" w:pos="113"/>
              </w:tabs>
              <w:spacing w:line="140" w:lineRule="exact"/>
              <w:rPr>
                <w:sz w:val="16"/>
                <w:szCs w:val="16"/>
              </w:rPr>
            </w:pPr>
          </w:p>
        </w:tc>
      </w:tr>
      <w:tr w:rsidR="00C561BD" w:rsidRPr="00682E64" w14:paraId="441367F7" w14:textId="77777777" w:rsidTr="00AC2186">
        <w:tc>
          <w:tcPr>
            <w:tcW w:w="857" w:type="dxa"/>
            <w:tcBorders>
              <w:top w:val="single" w:sz="4" w:space="0" w:color="auto"/>
            </w:tcBorders>
          </w:tcPr>
          <w:p w14:paraId="47CD81D5" w14:textId="77777777" w:rsidR="00C561BD" w:rsidRPr="00B05763" w:rsidRDefault="00C561BD" w:rsidP="00AC2186">
            <w:pPr>
              <w:widowControl/>
              <w:spacing w:line="140" w:lineRule="exact"/>
              <w:jc w:val="right"/>
              <w:rPr>
                <w:i/>
                <w:iCs/>
                <w:sz w:val="12"/>
                <w:szCs w:val="12"/>
                <w:rtl/>
              </w:rPr>
            </w:pPr>
          </w:p>
        </w:tc>
        <w:tc>
          <w:tcPr>
            <w:tcW w:w="2309" w:type="dxa"/>
            <w:vAlign w:val="bottom"/>
          </w:tcPr>
          <w:p w14:paraId="31FA9C73" w14:textId="77777777" w:rsidR="00C561BD" w:rsidRPr="00682E64" w:rsidRDefault="00C561BD" w:rsidP="00AC2186">
            <w:pPr>
              <w:widowControl/>
              <w:spacing w:line="140" w:lineRule="exact"/>
              <w:jc w:val="left"/>
              <w:rPr>
                <w:sz w:val="16"/>
                <w:szCs w:val="16"/>
                <w:rtl/>
              </w:rPr>
            </w:pPr>
          </w:p>
        </w:tc>
        <w:tc>
          <w:tcPr>
            <w:tcW w:w="113" w:type="dxa"/>
            <w:vAlign w:val="bottom"/>
          </w:tcPr>
          <w:p w14:paraId="7650B9F8" w14:textId="77777777" w:rsidR="00C561BD" w:rsidRPr="00682E64" w:rsidRDefault="00C561BD" w:rsidP="00AC2186">
            <w:pPr>
              <w:widowControl/>
              <w:spacing w:line="140" w:lineRule="exact"/>
              <w:rPr>
                <w:sz w:val="16"/>
                <w:szCs w:val="16"/>
              </w:rPr>
            </w:pPr>
          </w:p>
        </w:tc>
        <w:tc>
          <w:tcPr>
            <w:tcW w:w="633" w:type="dxa"/>
            <w:tcBorders>
              <w:top w:val="single" w:sz="6" w:space="0" w:color="auto"/>
              <w:left w:val="nil"/>
              <w:right w:val="nil"/>
            </w:tcBorders>
            <w:shd w:val="clear" w:color="auto" w:fill="auto"/>
            <w:vAlign w:val="bottom"/>
          </w:tcPr>
          <w:p w14:paraId="11FB6944"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75020714"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shd w:val="clear" w:color="auto" w:fill="auto"/>
            <w:vAlign w:val="bottom"/>
          </w:tcPr>
          <w:p w14:paraId="69D67F00"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64D32333"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shd w:val="clear" w:color="auto" w:fill="auto"/>
            <w:vAlign w:val="bottom"/>
          </w:tcPr>
          <w:p w14:paraId="12FA5391" w14:textId="77777777" w:rsidR="00C561BD" w:rsidRPr="00682E64" w:rsidRDefault="00C561BD" w:rsidP="00AC2186">
            <w:pPr>
              <w:widowControl/>
              <w:tabs>
                <w:tab w:val="decimal" w:pos="113"/>
              </w:tabs>
              <w:spacing w:line="140" w:lineRule="exact"/>
              <w:rPr>
                <w:sz w:val="16"/>
                <w:szCs w:val="16"/>
              </w:rPr>
            </w:pPr>
          </w:p>
        </w:tc>
        <w:tc>
          <w:tcPr>
            <w:tcW w:w="115" w:type="dxa"/>
          </w:tcPr>
          <w:p w14:paraId="286494B4"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tcPr>
          <w:p w14:paraId="35A98B9E" w14:textId="77777777" w:rsidR="00C561BD" w:rsidRPr="00682E64" w:rsidRDefault="00C561BD" w:rsidP="00AC2186">
            <w:pPr>
              <w:widowControl/>
              <w:tabs>
                <w:tab w:val="decimal" w:pos="113"/>
              </w:tabs>
              <w:spacing w:line="140" w:lineRule="exact"/>
              <w:rPr>
                <w:sz w:val="16"/>
                <w:szCs w:val="16"/>
              </w:rPr>
            </w:pPr>
          </w:p>
        </w:tc>
        <w:tc>
          <w:tcPr>
            <w:tcW w:w="115" w:type="dxa"/>
          </w:tcPr>
          <w:p w14:paraId="445DF827" w14:textId="77777777" w:rsidR="00C561BD" w:rsidRPr="00682E64" w:rsidRDefault="00C561BD" w:rsidP="00AC2186">
            <w:pPr>
              <w:widowControl/>
              <w:tabs>
                <w:tab w:val="decimal" w:pos="113"/>
              </w:tabs>
              <w:spacing w:line="140" w:lineRule="exact"/>
              <w:rPr>
                <w:sz w:val="16"/>
                <w:szCs w:val="16"/>
              </w:rPr>
            </w:pPr>
          </w:p>
        </w:tc>
        <w:tc>
          <w:tcPr>
            <w:tcW w:w="633" w:type="dxa"/>
            <w:gridSpan w:val="2"/>
            <w:tcBorders>
              <w:top w:val="single" w:sz="6" w:space="0" w:color="auto"/>
              <w:left w:val="nil"/>
              <w:right w:val="nil"/>
            </w:tcBorders>
            <w:shd w:val="clear" w:color="auto" w:fill="auto"/>
          </w:tcPr>
          <w:p w14:paraId="6405BC25"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4B0FB853"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shd w:val="clear" w:color="auto" w:fill="auto"/>
            <w:vAlign w:val="bottom"/>
          </w:tcPr>
          <w:p w14:paraId="351F1CAC"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059BC822"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shd w:val="clear" w:color="auto" w:fill="auto"/>
            <w:vAlign w:val="bottom"/>
          </w:tcPr>
          <w:p w14:paraId="44596511"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3487172A"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shd w:val="clear" w:color="auto" w:fill="auto"/>
            <w:vAlign w:val="bottom"/>
          </w:tcPr>
          <w:p w14:paraId="3D9085DE"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6C6C66CB"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15B06F16"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2CA263DA"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6CDD7942"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0781DBBB"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1BD74710"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2CCDF825"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74B57A48"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71210A00"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1B8986EE" w14:textId="77777777" w:rsidR="00C561BD" w:rsidRPr="00682E64" w:rsidRDefault="00C561BD" w:rsidP="00AC2186">
            <w:pPr>
              <w:widowControl/>
              <w:tabs>
                <w:tab w:val="decimal" w:pos="113"/>
              </w:tabs>
              <w:spacing w:line="140" w:lineRule="exact"/>
              <w:rPr>
                <w:sz w:val="16"/>
                <w:szCs w:val="16"/>
              </w:rPr>
            </w:pPr>
          </w:p>
        </w:tc>
        <w:tc>
          <w:tcPr>
            <w:tcW w:w="146" w:type="dxa"/>
            <w:vAlign w:val="bottom"/>
          </w:tcPr>
          <w:p w14:paraId="060A25B7"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4E559B5F"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453666B3"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530EBD0A" w14:textId="77777777" w:rsidR="00C561BD" w:rsidRPr="00682E64" w:rsidRDefault="00C561BD" w:rsidP="00AC2186">
            <w:pPr>
              <w:widowControl/>
              <w:tabs>
                <w:tab w:val="decimal" w:pos="113"/>
              </w:tabs>
              <w:spacing w:line="140" w:lineRule="exact"/>
              <w:rPr>
                <w:sz w:val="16"/>
                <w:szCs w:val="16"/>
              </w:rPr>
            </w:pPr>
          </w:p>
        </w:tc>
        <w:tc>
          <w:tcPr>
            <w:tcW w:w="115" w:type="dxa"/>
          </w:tcPr>
          <w:p w14:paraId="77770491" w14:textId="77777777" w:rsidR="00C561BD" w:rsidRPr="00682E64" w:rsidRDefault="00C561BD" w:rsidP="00AC2186">
            <w:pPr>
              <w:widowControl/>
              <w:tabs>
                <w:tab w:val="decimal" w:pos="113"/>
              </w:tabs>
              <w:spacing w:line="140" w:lineRule="exact"/>
              <w:rPr>
                <w:sz w:val="16"/>
                <w:szCs w:val="16"/>
              </w:rPr>
            </w:pPr>
          </w:p>
        </w:tc>
        <w:tc>
          <w:tcPr>
            <w:tcW w:w="640" w:type="dxa"/>
            <w:tcBorders>
              <w:top w:val="single" w:sz="6" w:space="0" w:color="auto"/>
              <w:left w:val="nil"/>
              <w:right w:val="nil"/>
            </w:tcBorders>
            <w:shd w:val="clear" w:color="auto" w:fill="auto"/>
          </w:tcPr>
          <w:p w14:paraId="2BF72A02" w14:textId="77777777" w:rsidR="00C561BD" w:rsidRPr="00682E64" w:rsidRDefault="00C561BD" w:rsidP="00AC2186">
            <w:pPr>
              <w:widowControl/>
              <w:tabs>
                <w:tab w:val="decimal" w:pos="113"/>
              </w:tabs>
              <w:spacing w:line="140" w:lineRule="exact"/>
              <w:rPr>
                <w:sz w:val="16"/>
                <w:szCs w:val="16"/>
              </w:rPr>
            </w:pPr>
          </w:p>
        </w:tc>
      </w:tr>
      <w:tr w:rsidR="00C561BD" w:rsidRPr="00682E64" w14:paraId="0C96E084" w14:textId="77777777" w:rsidTr="00AC2186">
        <w:tc>
          <w:tcPr>
            <w:tcW w:w="857" w:type="dxa"/>
          </w:tcPr>
          <w:p w14:paraId="37885562" w14:textId="77777777" w:rsidR="00C561BD" w:rsidRPr="00B05763" w:rsidRDefault="00C561BD" w:rsidP="00AC2186">
            <w:pPr>
              <w:bidi w:val="0"/>
              <w:spacing w:line="140" w:lineRule="exact"/>
              <w:jc w:val="right"/>
              <w:rPr>
                <w:i/>
                <w:iCs/>
                <w:sz w:val="12"/>
                <w:szCs w:val="12"/>
                <w:rtl/>
              </w:rPr>
            </w:pPr>
          </w:p>
        </w:tc>
        <w:tc>
          <w:tcPr>
            <w:tcW w:w="2309" w:type="dxa"/>
            <w:vAlign w:val="bottom"/>
          </w:tcPr>
          <w:p w14:paraId="0440649A" w14:textId="13AC144B" w:rsidR="00C561BD" w:rsidRDefault="00C561BD" w:rsidP="00AF4CE7">
            <w:pPr>
              <w:pStyle w:val="a3"/>
              <w:spacing w:line="140" w:lineRule="exact"/>
              <w:rPr>
                <w:sz w:val="16"/>
                <w:szCs w:val="16"/>
                <w:u w:val="single"/>
              </w:rPr>
            </w:pPr>
            <w:r w:rsidRPr="00682E64">
              <w:rPr>
                <w:rFonts w:hint="cs"/>
                <w:sz w:val="16"/>
                <w:szCs w:val="16"/>
                <w:u w:val="single"/>
                <w:rtl/>
              </w:rPr>
              <w:t xml:space="preserve">יתרה ליום 30 בספטמבר, </w:t>
            </w:r>
            <w:r w:rsidR="00827093">
              <w:rPr>
                <w:rFonts w:hint="cs"/>
                <w:sz w:val="16"/>
                <w:szCs w:val="16"/>
                <w:u w:val="single"/>
                <w:rtl/>
              </w:rPr>
              <w:t>201</w:t>
            </w:r>
            <w:r w:rsidR="00AF4CE7">
              <w:rPr>
                <w:rFonts w:hint="cs"/>
                <w:sz w:val="16"/>
                <w:szCs w:val="16"/>
                <w:u w:val="single"/>
                <w:rtl/>
              </w:rPr>
              <w:t>9</w:t>
            </w:r>
          </w:p>
        </w:tc>
        <w:tc>
          <w:tcPr>
            <w:tcW w:w="113" w:type="dxa"/>
            <w:vAlign w:val="bottom"/>
          </w:tcPr>
          <w:p w14:paraId="35600CD0" w14:textId="77777777" w:rsidR="00C561BD" w:rsidRPr="00682E64" w:rsidRDefault="00C561BD" w:rsidP="00AC2186">
            <w:pPr>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40D84920" w14:textId="77777777" w:rsidR="00C561BD" w:rsidRPr="00682E64" w:rsidRDefault="00C561BD" w:rsidP="00AC2186">
            <w:pPr>
              <w:tabs>
                <w:tab w:val="decimal" w:pos="113"/>
              </w:tabs>
              <w:spacing w:line="140" w:lineRule="exact"/>
              <w:rPr>
                <w:sz w:val="16"/>
                <w:szCs w:val="16"/>
              </w:rPr>
            </w:pPr>
          </w:p>
        </w:tc>
        <w:tc>
          <w:tcPr>
            <w:tcW w:w="115" w:type="dxa"/>
            <w:vAlign w:val="bottom"/>
          </w:tcPr>
          <w:p w14:paraId="447A27FE" w14:textId="77777777" w:rsidR="00C561BD" w:rsidRPr="00682E64" w:rsidRDefault="00C561BD" w:rsidP="00AC2186">
            <w:pPr>
              <w:tabs>
                <w:tab w:val="decimal" w:pos="113"/>
              </w:tabs>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1D5D0D2C" w14:textId="77777777" w:rsidR="00C561BD" w:rsidRPr="00682E64" w:rsidRDefault="00C561BD" w:rsidP="00AC2186">
            <w:pPr>
              <w:tabs>
                <w:tab w:val="decimal" w:pos="113"/>
              </w:tabs>
              <w:spacing w:line="140" w:lineRule="exact"/>
              <w:rPr>
                <w:sz w:val="16"/>
                <w:szCs w:val="16"/>
              </w:rPr>
            </w:pPr>
          </w:p>
        </w:tc>
        <w:tc>
          <w:tcPr>
            <w:tcW w:w="115" w:type="dxa"/>
            <w:vAlign w:val="bottom"/>
          </w:tcPr>
          <w:p w14:paraId="15CF18EB" w14:textId="77777777" w:rsidR="00C561BD" w:rsidRPr="00682E64" w:rsidRDefault="00C561BD" w:rsidP="00AC2186">
            <w:pPr>
              <w:tabs>
                <w:tab w:val="decimal" w:pos="113"/>
              </w:tabs>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44FBB13C" w14:textId="77777777" w:rsidR="00C561BD" w:rsidRPr="00682E64" w:rsidRDefault="00C561BD" w:rsidP="00AC2186">
            <w:pPr>
              <w:tabs>
                <w:tab w:val="decimal" w:pos="113"/>
              </w:tabs>
              <w:spacing w:line="140" w:lineRule="exact"/>
              <w:rPr>
                <w:sz w:val="16"/>
                <w:szCs w:val="16"/>
              </w:rPr>
            </w:pPr>
          </w:p>
        </w:tc>
        <w:tc>
          <w:tcPr>
            <w:tcW w:w="115" w:type="dxa"/>
          </w:tcPr>
          <w:p w14:paraId="06CB17AD" w14:textId="77777777" w:rsidR="00C561BD" w:rsidRPr="00682E64" w:rsidRDefault="00C561BD" w:rsidP="00AC2186">
            <w:pPr>
              <w:tabs>
                <w:tab w:val="decimal" w:pos="113"/>
              </w:tabs>
              <w:spacing w:line="140" w:lineRule="exact"/>
              <w:rPr>
                <w:sz w:val="16"/>
                <w:szCs w:val="16"/>
              </w:rPr>
            </w:pPr>
          </w:p>
        </w:tc>
        <w:tc>
          <w:tcPr>
            <w:tcW w:w="690" w:type="dxa"/>
            <w:tcBorders>
              <w:top w:val="nil"/>
              <w:left w:val="nil"/>
              <w:bottom w:val="double" w:sz="6" w:space="0" w:color="auto"/>
              <w:right w:val="nil"/>
            </w:tcBorders>
            <w:shd w:val="clear" w:color="auto" w:fill="auto"/>
          </w:tcPr>
          <w:p w14:paraId="38580943" w14:textId="77777777" w:rsidR="00C561BD" w:rsidRPr="00682E64" w:rsidRDefault="00C561BD" w:rsidP="00AC2186">
            <w:pPr>
              <w:tabs>
                <w:tab w:val="decimal" w:pos="113"/>
              </w:tabs>
              <w:spacing w:line="140" w:lineRule="exact"/>
              <w:rPr>
                <w:sz w:val="16"/>
                <w:szCs w:val="16"/>
              </w:rPr>
            </w:pPr>
          </w:p>
        </w:tc>
        <w:tc>
          <w:tcPr>
            <w:tcW w:w="115" w:type="dxa"/>
          </w:tcPr>
          <w:p w14:paraId="246818C6"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bottom w:val="double" w:sz="6" w:space="0" w:color="auto"/>
              <w:right w:val="nil"/>
            </w:tcBorders>
            <w:shd w:val="clear" w:color="auto" w:fill="auto"/>
          </w:tcPr>
          <w:p w14:paraId="488B17B4" w14:textId="77777777" w:rsidR="00C561BD" w:rsidRPr="00682E64" w:rsidRDefault="00C561BD" w:rsidP="00AC2186">
            <w:pPr>
              <w:tabs>
                <w:tab w:val="decimal" w:pos="113"/>
              </w:tabs>
              <w:spacing w:line="140" w:lineRule="exact"/>
              <w:rPr>
                <w:sz w:val="16"/>
                <w:szCs w:val="16"/>
              </w:rPr>
            </w:pPr>
          </w:p>
        </w:tc>
        <w:tc>
          <w:tcPr>
            <w:tcW w:w="115" w:type="dxa"/>
            <w:vAlign w:val="bottom"/>
          </w:tcPr>
          <w:p w14:paraId="1B1941F0" w14:textId="77777777" w:rsidR="00C561BD" w:rsidRPr="00682E64" w:rsidRDefault="00C561BD" w:rsidP="00AC2186">
            <w:pPr>
              <w:tabs>
                <w:tab w:val="decimal" w:pos="113"/>
              </w:tabs>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33035D18" w14:textId="77777777" w:rsidR="00C561BD" w:rsidRPr="00682E64" w:rsidRDefault="00C561BD" w:rsidP="00AC2186">
            <w:pPr>
              <w:tabs>
                <w:tab w:val="decimal" w:pos="113"/>
              </w:tabs>
              <w:spacing w:line="140" w:lineRule="exact"/>
              <w:rPr>
                <w:sz w:val="16"/>
                <w:szCs w:val="16"/>
              </w:rPr>
            </w:pPr>
          </w:p>
        </w:tc>
        <w:tc>
          <w:tcPr>
            <w:tcW w:w="115" w:type="dxa"/>
            <w:vAlign w:val="bottom"/>
          </w:tcPr>
          <w:p w14:paraId="23173172" w14:textId="77777777" w:rsidR="00C561BD" w:rsidRPr="00682E64" w:rsidRDefault="00C561BD" w:rsidP="00AC2186">
            <w:pPr>
              <w:tabs>
                <w:tab w:val="decimal" w:pos="113"/>
              </w:tabs>
              <w:spacing w:line="140" w:lineRule="exact"/>
              <w:rPr>
                <w:sz w:val="16"/>
                <w:szCs w:val="16"/>
              </w:rPr>
            </w:pPr>
          </w:p>
        </w:tc>
        <w:tc>
          <w:tcPr>
            <w:tcW w:w="748" w:type="dxa"/>
            <w:tcBorders>
              <w:top w:val="nil"/>
              <w:left w:val="nil"/>
              <w:bottom w:val="double" w:sz="6" w:space="0" w:color="auto"/>
              <w:right w:val="nil"/>
            </w:tcBorders>
            <w:shd w:val="clear" w:color="auto" w:fill="auto"/>
            <w:vAlign w:val="bottom"/>
          </w:tcPr>
          <w:p w14:paraId="4BD0A014" w14:textId="77777777" w:rsidR="00C561BD" w:rsidRPr="00682E64" w:rsidRDefault="00C561BD" w:rsidP="00AC2186">
            <w:pPr>
              <w:tabs>
                <w:tab w:val="decimal" w:pos="113"/>
              </w:tabs>
              <w:spacing w:line="140" w:lineRule="exact"/>
              <w:rPr>
                <w:sz w:val="16"/>
                <w:szCs w:val="16"/>
              </w:rPr>
            </w:pPr>
          </w:p>
        </w:tc>
        <w:tc>
          <w:tcPr>
            <w:tcW w:w="115" w:type="dxa"/>
            <w:vAlign w:val="bottom"/>
          </w:tcPr>
          <w:p w14:paraId="1D9A0BEA" w14:textId="77777777" w:rsidR="00C561BD" w:rsidRPr="00682E64" w:rsidRDefault="00C561BD" w:rsidP="00AC2186">
            <w:pPr>
              <w:tabs>
                <w:tab w:val="decimal" w:pos="113"/>
              </w:tabs>
              <w:spacing w:line="140" w:lineRule="exact"/>
              <w:rPr>
                <w:sz w:val="16"/>
                <w:szCs w:val="16"/>
              </w:rPr>
            </w:pPr>
          </w:p>
        </w:tc>
        <w:tc>
          <w:tcPr>
            <w:tcW w:w="748" w:type="dxa"/>
            <w:tcBorders>
              <w:top w:val="nil"/>
              <w:left w:val="nil"/>
              <w:bottom w:val="double" w:sz="6" w:space="0" w:color="auto"/>
              <w:right w:val="nil"/>
            </w:tcBorders>
            <w:shd w:val="clear" w:color="auto" w:fill="auto"/>
            <w:vAlign w:val="bottom"/>
          </w:tcPr>
          <w:p w14:paraId="39C7D205" w14:textId="77777777" w:rsidR="00C561BD" w:rsidRPr="00682E64" w:rsidRDefault="00C561BD" w:rsidP="00AC2186">
            <w:pPr>
              <w:tabs>
                <w:tab w:val="decimal" w:pos="113"/>
              </w:tabs>
              <w:spacing w:line="140" w:lineRule="exact"/>
              <w:rPr>
                <w:sz w:val="16"/>
                <w:szCs w:val="16"/>
              </w:rPr>
            </w:pPr>
          </w:p>
        </w:tc>
        <w:tc>
          <w:tcPr>
            <w:tcW w:w="115" w:type="dxa"/>
            <w:vAlign w:val="bottom"/>
          </w:tcPr>
          <w:p w14:paraId="41D0E4A1"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05DFD40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6D5B45B"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7F75008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6A1B2BA"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44525D4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6D0CF6C"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33B23448"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68C8406"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67B1BA29" w14:textId="77777777" w:rsidR="00C561BD" w:rsidRPr="00682E64" w:rsidRDefault="00C561BD" w:rsidP="00AC2186">
            <w:pPr>
              <w:tabs>
                <w:tab w:val="decimal" w:pos="113"/>
              </w:tabs>
              <w:spacing w:line="140" w:lineRule="exact"/>
              <w:rPr>
                <w:sz w:val="16"/>
                <w:szCs w:val="16"/>
              </w:rPr>
            </w:pPr>
          </w:p>
        </w:tc>
        <w:tc>
          <w:tcPr>
            <w:tcW w:w="146" w:type="dxa"/>
            <w:vAlign w:val="bottom"/>
          </w:tcPr>
          <w:p w14:paraId="283FAAE3" w14:textId="77777777" w:rsidR="00C561BD" w:rsidRPr="00682E64" w:rsidRDefault="00C561BD" w:rsidP="00AC2186">
            <w:pPr>
              <w:tabs>
                <w:tab w:val="decimal" w:pos="113"/>
              </w:tabs>
              <w:spacing w:line="140" w:lineRule="exact"/>
              <w:rPr>
                <w:sz w:val="16"/>
                <w:szCs w:val="16"/>
              </w:rPr>
            </w:pPr>
          </w:p>
        </w:tc>
        <w:tc>
          <w:tcPr>
            <w:tcW w:w="690" w:type="dxa"/>
            <w:tcBorders>
              <w:top w:val="nil"/>
              <w:left w:val="nil"/>
              <w:bottom w:val="double" w:sz="6" w:space="0" w:color="auto"/>
              <w:right w:val="nil"/>
            </w:tcBorders>
            <w:shd w:val="clear" w:color="auto" w:fill="auto"/>
            <w:vAlign w:val="bottom"/>
          </w:tcPr>
          <w:p w14:paraId="2D8B80D6" w14:textId="77777777" w:rsidR="00C561BD" w:rsidRPr="00682E64" w:rsidRDefault="00C561BD" w:rsidP="00AC2186">
            <w:pPr>
              <w:tabs>
                <w:tab w:val="decimal" w:pos="113"/>
              </w:tabs>
              <w:spacing w:line="140" w:lineRule="exact"/>
              <w:rPr>
                <w:sz w:val="16"/>
                <w:szCs w:val="16"/>
              </w:rPr>
            </w:pPr>
          </w:p>
        </w:tc>
        <w:tc>
          <w:tcPr>
            <w:tcW w:w="115" w:type="dxa"/>
            <w:vAlign w:val="bottom"/>
          </w:tcPr>
          <w:p w14:paraId="5BDA5853" w14:textId="77777777" w:rsidR="00C561BD" w:rsidRPr="00682E64" w:rsidRDefault="00C561BD" w:rsidP="00AC2186">
            <w:pPr>
              <w:tabs>
                <w:tab w:val="decimal" w:pos="113"/>
              </w:tabs>
              <w:spacing w:line="140" w:lineRule="exact"/>
              <w:rPr>
                <w:sz w:val="16"/>
                <w:szCs w:val="16"/>
              </w:rPr>
            </w:pPr>
          </w:p>
        </w:tc>
        <w:tc>
          <w:tcPr>
            <w:tcW w:w="690" w:type="dxa"/>
            <w:tcBorders>
              <w:top w:val="nil"/>
              <w:left w:val="nil"/>
              <w:bottom w:val="double" w:sz="6" w:space="0" w:color="auto"/>
              <w:right w:val="nil"/>
            </w:tcBorders>
            <w:shd w:val="clear" w:color="auto" w:fill="auto"/>
            <w:vAlign w:val="bottom"/>
          </w:tcPr>
          <w:p w14:paraId="627B4609" w14:textId="77777777" w:rsidR="00C561BD" w:rsidRPr="00682E64" w:rsidRDefault="00C561BD" w:rsidP="00AC2186">
            <w:pPr>
              <w:tabs>
                <w:tab w:val="decimal" w:pos="113"/>
              </w:tabs>
              <w:spacing w:line="140" w:lineRule="exact"/>
              <w:rPr>
                <w:sz w:val="16"/>
                <w:szCs w:val="16"/>
              </w:rPr>
            </w:pPr>
          </w:p>
        </w:tc>
        <w:tc>
          <w:tcPr>
            <w:tcW w:w="115" w:type="dxa"/>
          </w:tcPr>
          <w:p w14:paraId="2E3AB7F7" w14:textId="77777777" w:rsidR="00C561BD" w:rsidRPr="00682E64" w:rsidRDefault="00C561BD" w:rsidP="00AC2186">
            <w:pPr>
              <w:tabs>
                <w:tab w:val="decimal" w:pos="113"/>
              </w:tabs>
              <w:spacing w:line="140" w:lineRule="exact"/>
              <w:rPr>
                <w:sz w:val="16"/>
                <w:szCs w:val="16"/>
              </w:rPr>
            </w:pPr>
          </w:p>
        </w:tc>
        <w:tc>
          <w:tcPr>
            <w:tcW w:w="640" w:type="dxa"/>
            <w:tcBorders>
              <w:top w:val="nil"/>
              <w:left w:val="nil"/>
              <w:bottom w:val="double" w:sz="6" w:space="0" w:color="auto"/>
              <w:right w:val="nil"/>
            </w:tcBorders>
            <w:shd w:val="clear" w:color="auto" w:fill="auto"/>
          </w:tcPr>
          <w:p w14:paraId="1DB03967" w14:textId="77777777" w:rsidR="00C561BD" w:rsidRPr="00682E64" w:rsidRDefault="00C561BD" w:rsidP="00AC2186">
            <w:pPr>
              <w:tabs>
                <w:tab w:val="decimal" w:pos="113"/>
              </w:tabs>
              <w:spacing w:line="140" w:lineRule="exact"/>
              <w:rPr>
                <w:sz w:val="16"/>
                <w:szCs w:val="16"/>
              </w:rPr>
            </w:pPr>
          </w:p>
        </w:tc>
      </w:tr>
    </w:tbl>
    <w:p w14:paraId="132FCEFE" w14:textId="77777777" w:rsidR="00C561BD" w:rsidRPr="00DA3B53" w:rsidRDefault="00C561BD" w:rsidP="00C561BD">
      <w:pPr>
        <w:rPr>
          <w:sz w:val="15"/>
          <w:szCs w:val="15"/>
          <w:rtl/>
        </w:rPr>
      </w:pPr>
    </w:p>
    <w:p w14:paraId="2C24B21A" w14:textId="77777777" w:rsidR="00C561BD" w:rsidRPr="00A227B8" w:rsidRDefault="00C561BD" w:rsidP="009F14AD">
      <w:pPr>
        <w:rPr>
          <w:rtl/>
        </w:rPr>
      </w:pPr>
      <w:r w:rsidRPr="00A227B8">
        <w:rPr>
          <w:rFonts w:hint="eastAsia"/>
          <w:rtl/>
        </w:rPr>
        <w:t>הבאורים</w:t>
      </w:r>
      <w:r w:rsidRPr="00A227B8">
        <w:rPr>
          <w:rtl/>
        </w:rPr>
        <w:t xml:space="preserve"> המצורפים מהווים חלק בלתי נפרד מהדוחות הכספיים ביניים מאוחדים.</w:t>
      </w:r>
    </w:p>
    <w:p w14:paraId="34240E40" w14:textId="77777777" w:rsidR="00C561BD" w:rsidRPr="00785F4C" w:rsidRDefault="00C561BD" w:rsidP="00C561BD">
      <w:pPr>
        <w:pBdr>
          <w:bottom w:val="single" w:sz="12" w:space="1" w:color="auto"/>
        </w:pBdr>
        <w:rPr>
          <w:b/>
          <w:bCs/>
          <w:rtl/>
        </w:rPr>
      </w:pPr>
      <w:r>
        <w:rPr>
          <w:sz w:val="18"/>
          <w:szCs w:val="18"/>
          <w:rtl/>
        </w:rPr>
        <w:br w:type="page"/>
      </w:r>
      <w:r>
        <w:rPr>
          <w:rFonts w:hint="cs"/>
          <w:b/>
          <w:bCs/>
          <w:rtl/>
        </w:rPr>
        <w:lastRenderedPageBreak/>
        <w:t>דוחות מאוחדים על השינויים בהון</w:t>
      </w:r>
      <w:r w:rsidRPr="002E462C">
        <w:rPr>
          <w:rStyle w:val="ab"/>
          <w:b/>
          <w:bCs w:val="0"/>
          <w:rtl/>
        </w:rPr>
        <w:footnoteReference w:id="41"/>
      </w:r>
    </w:p>
    <w:p w14:paraId="66437F72" w14:textId="77777777" w:rsidR="00C561BD" w:rsidRDefault="00C561BD" w:rsidP="00C561BD">
      <w:pPr>
        <w:widowControl/>
        <w:spacing w:line="120" w:lineRule="auto"/>
      </w:pPr>
    </w:p>
    <w:p w14:paraId="41D8A57C" w14:textId="77777777" w:rsidR="007C744C" w:rsidRDefault="007C744C" w:rsidP="00C561BD">
      <w:pPr>
        <w:widowControl/>
        <w:spacing w:line="120" w:lineRule="auto"/>
        <w:rPr>
          <w:rtl/>
        </w:rPr>
      </w:pPr>
    </w:p>
    <w:tbl>
      <w:tblPr>
        <w:bidiVisual/>
        <w:tblW w:w="15856" w:type="dxa"/>
        <w:tblInd w:w="50" w:type="dxa"/>
        <w:tblLayout w:type="fixed"/>
        <w:tblCellMar>
          <w:left w:w="0" w:type="dxa"/>
          <w:right w:w="0" w:type="dxa"/>
        </w:tblCellMar>
        <w:tblLook w:val="0000" w:firstRow="0" w:lastRow="0" w:firstColumn="0" w:lastColumn="0" w:noHBand="0" w:noVBand="0"/>
      </w:tblPr>
      <w:tblGrid>
        <w:gridCol w:w="857"/>
        <w:gridCol w:w="2309"/>
        <w:gridCol w:w="113"/>
        <w:gridCol w:w="633"/>
        <w:gridCol w:w="115"/>
        <w:gridCol w:w="633"/>
        <w:gridCol w:w="115"/>
        <w:gridCol w:w="633"/>
        <w:gridCol w:w="115"/>
        <w:gridCol w:w="690"/>
        <w:gridCol w:w="115"/>
        <w:gridCol w:w="231"/>
        <w:gridCol w:w="402"/>
        <w:gridCol w:w="115"/>
        <w:gridCol w:w="633"/>
        <w:gridCol w:w="115"/>
        <w:gridCol w:w="748"/>
        <w:gridCol w:w="115"/>
        <w:gridCol w:w="748"/>
        <w:gridCol w:w="115"/>
        <w:gridCol w:w="690"/>
        <w:gridCol w:w="115"/>
        <w:gridCol w:w="690"/>
        <w:gridCol w:w="115"/>
        <w:gridCol w:w="690"/>
        <w:gridCol w:w="115"/>
        <w:gridCol w:w="690"/>
        <w:gridCol w:w="115"/>
        <w:gridCol w:w="690"/>
        <w:gridCol w:w="146"/>
        <w:gridCol w:w="690"/>
        <w:gridCol w:w="115"/>
        <w:gridCol w:w="690"/>
        <w:gridCol w:w="115"/>
        <w:gridCol w:w="640"/>
      </w:tblGrid>
      <w:tr w:rsidR="00C561BD" w:rsidRPr="00682E64" w14:paraId="4C1AD338" w14:textId="77777777" w:rsidTr="00AC2186">
        <w:tc>
          <w:tcPr>
            <w:tcW w:w="857" w:type="dxa"/>
            <w:tcBorders>
              <w:bottom w:val="single" w:sz="4" w:space="0" w:color="auto"/>
              <w:right w:val="single" w:sz="4" w:space="0" w:color="auto"/>
            </w:tcBorders>
          </w:tcPr>
          <w:p w14:paraId="48B06816" w14:textId="77777777" w:rsidR="00C561BD" w:rsidRDefault="00C561BD" w:rsidP="00AC2186">
            <w:pPr>
              <w:bidi w:val="0"/>
              <w:spacing w:line="140" w:lineRule="exact"/>
              <w:jc w:val="right"/>
              <w:rPr>
                <w:i/>
                <w:iCs/>
                <w:sz w:val="12"/>
                <w:szCs w:val="12"/>
              </w:rPr>
            </w:pPr>
            <w:r>
              <w:rPr>
                <w:i/>
                <w:iCs/>
                <w:sz w:val="12"/>
                <w:szCs w:val="12"/>
              </w:rPr>
              <w:t>IAS 1.10(c);</w:t>
            </w:r>
          </w:p>
          <w:p w14:paraId="3295E25E" w14:textId="77777777" w:rsidR="00C561BD" w:rsidRDefault="00C561BD" w:rsidP="00AC2186">
            <w:pPr>
              <w:bidi w:val="0"/>
              <w:spacing w:line="140" w:lineRule="exact"/>
              <w:jc w:val="right"/>
              <w:rPr>
                <w:i/>
                <w:iCs/>
                <w:sz w:val="12"/>
                <w:szCs w:val="12"/>
              </w:rPr>
            </w:pPr>
            <w:r>
              <w:rPr>
                <w:i/>
                <w:iCs/>
                <w:sz w:val="12"/>
                <w:szCs w:val="12"/>
              </w:rPr>
              <w:t>IAS 1.51(b),(c);</w:t>
            </w:r>
          </w:p>
          <w:p w14:paraId="3B1A09D7" w14:textId="77777777" w:rsidR="00C561BD" w:rsidRPr="00B05763" w:rsidRDefault="00C561BD" w:rsidP="00AC2186">
            <w:pPr>
              <w:bidi w:val="0"/>
              <w:spacing w:line="140" w:lineRule="exact"/>
              <w:jc w:val="right"/>
              <w:rPr>
                <w:i/>
                <w:iCs/>
                <w:sz w:val="12"/>
                <w:szCs w:val="12"/>
              </w:rPr>
            </w:pPr>
            <w:r>
              <w:rPr>
                <w:i/>
                <w:iCs/>
                <w:sz w:val="12"/>
                <w:szCs w:val="12"/>
              </w:rPr>
              <w:t>IAS 34.10</w:t>
            </w:r>
          </w:p>
        </w:tc>
        <w:tc>
          <w:tcPr>
            <w:tcW w:w="2309" w:type="dxa"/>
            <w:tcBorders>
              <w:left w:val="single" w:sz="4" w:space="0" w:color="auto"/>
            </w:tcBorders>
            <w:vAlign w:val="bottom"/>
          </w:tcPr>
          <w:p w14:paraId="70F840D7" w14:textId="77777777" w:rsidR="00C561BD" w:rsidRPr="00682E64" w:rsidRDefault="00C561BD" w:rsidP="00AC2186">
            <w:pPr>
              <w:tabs>
                <w:tab w:val="decimal" w:pos="113"/>
              </w:tabs>
              <w:spacing w:line="140" w:lineRule="exact"/>
              <w:jc w:val="center"/>
              <w:rPr>
                <w:sz w:val="16"/>
                <w:szCs w:val="16"/>
                <w:rtl/>
              </w:rPr>
            </w:pPr>
          </w:p>
        </w:tc>
        <w:tc>
          <w:tcPr>
            <w:tcW w:w="113" w:type="dxa"/>
            <w:vAlign w:val="bottom"/>
          </w:tcPr>
          <w:p w14:paraId="7EDC59BC" w14:textId="77777777" w:rsidR="00C561BD" w:rsidRPr="00682E64" w:rsidRDefault="00C561BD" w:rsidP="00AC2186">
            <w:pPr>
              <w:spacing w:line="140" w:lineRule="exact"/>
              <w:jc w:val="center"/>
              <w:rPr>
                <w:sz w:val="16"/>
                <w:szCs w:val="16"/>
              </w:rPr>
            </w:pPr>
          </w:p>
        </w:tc>
        <w:tc>
          <w:tcPr>
            <w:tcW w:w="11017" w:type="dxa"/>
            <w:gridSpan w:val="28"/>
            <w:tcBorders>
              <w:left w:val="nil"/>
              <w:bottom w:val="single" w:sz="6" w:space="0" w:color="auto"/>
              <w:right w:val="nil"/>
            </w:tcBorders>
            <w:vAlign w:val="bottom"/>
          </w:tcPr>
          <w:p w14:paraId="666B7535" w14:textId="77777777" w:rsidR="00C561BD" w:rsidRPr="00682E64" w:rsidRDefault="00C561BD" w:rsidP="00AC2186">
            <w:pPr>
              <w:spacing w:line="140" w:lineRule="exact"/>
              <w:jc w:val="center"/>
              <w:rPr>
                <w:sz w:val="16"/>
                <w:szCs w:val="16"/>
                <w:rtl/>
              </w:rPr>
            </w:pPr>
            <w:r w:rsidRPr="00682E64">
              <w:rPr>
                <w:rFonts w:hint="cs"/>
                <w:sz w:val="16"/>
                <w:szCs w:val="16"/>
                <w:rtl/>
              </w:rPr>
              <w:t xml:space="preserve">מיוחס לבעלי מניות החברה </w:t>
            </w:r>
          </w:p>
        </w:tc>
        <w:tc>
          <w:tcPr>
            <w:tcW w:w="115" w:type="dxa"/>
            <w:vAlign w:val="bottom"/>
          </w:tcPr>
          <w:p w14:paraId="437C7275" w14:textId="77777777" w:rsidR="00C561BD" w:rsidRPr="00682E64" w:rsidRDefault="00C561BD" w:rsidP="00AC2186">
            <w:pPr>
              <w:spacing w:line="140" w:lineRule="exact"/>
              <w:jc w:val="center"/>
              <w:rPr>
                <w:sz w:val="16"/>
                <w:szCs w:val="16"/>
              </w:rPr>
            </w:pPr>
          </w:p>
        </w:tc>
        <w:tc>
          <w:tcPr>
            <w:tcW w:w="690" w:type="dxa"/>
            <w:tcBorders>
              <w:left w:val="nil"/>
              <w:right w:val="nil"/>
            </w:tcBorders>
            <w:shd w:val="clear" w:color="auto" w:fill="auto"/>
            <w:vAlign w:val="bottom"/>
          </w:tcPr>
          <w:p w14:paraId="183FC42E" w14:textId="77777777" w:rsidR="00C561BD" w:rsidRPr="00682E64" w:rsidRDefault="00C561BD" w:rsidP="00AC2186">
            <w:pPr>
              <w:spacing w:line="140" w:lineRule="exact"/>
              <w:jc w:val="center"/>
              <w:rPr>
                <w:sz w:val="16"/>
                <w:szCs w:val="16"/>
                <w:rtl/>
              </w:rPr>
            </w:pPr>
          </w:p>
        </w:tc>
        <w:tc>
          <w:tcPr>
            <w:tcW w:w="115" w:type="dxa"/>
            <w:vAlign w:val="bottom"/>
          </w:tcPr>
          <w:p w14:paraId="6155CBBC" w14:textId="77777777" w:rsidR="00C561BD" w:rsidRPr="00682E64" w:rsidRDefault="00C561BD" w:rsidP="00AC2186">
            <w:pPr>
              <w:spacing w:line="140" w:lineRule="exact"/>
              <w:jc w:val="center"/>
              <w:rPr>
                <w:sz w:val="16"/>
                <w:szCs w:val="16"/>
              </w:rPr>
            </w:pPr>
          </w:p>
        </w:tc>
        <w:tc>
          <w:tcPr>
            <w:tcW w:w="640" w:type="dxa"/>
            <w:tcBorders>
              <w:left w:val="nil"/>
              <w:right w:val="nil"/>
            </w:tcBorders>
            <w:shd w:val="clear" w:color="auto" w:fill="auto"/>
            <w:vAlign w:val="bottom"/>
          </w:tcPr>
          <w:p w14:paraId="3375DFE3" w14:textId="77777777" w:rsidR="00C561BD" w:rsidRPr="00682E64" w:rsidRDefault="00C561BD" w:rsidP="00AC2186">
            <w:pPr>
              <w:spacing w:line="140" w:lineRule="exact"/>
              <w:jc w:val="center"/>
              <w:rPr>
                <w:sz w:val="16"/>
                <w:szCs w:val="16"/>
                <w:rtl/>
              </w:rPr>
            </w:pPr>
          </w:p>
        </w:tc>
      </w:tr>
      <w:tr w:rsidR="00C561BD" w:rsidRPr="00682E64" w14:paraId="5CA339C6" w14:textId="77777777" w:rsidTr="00AC2186">
        <w:tc>
          <w:tcPr>
            <w:tcW w:w="857" w:type="dxa"/>
            <w:tcBorders>
              <w:top w:val="single" w:sz="4" w:space="0" w:color="auto"/>
            </w:tcBorders>
          </w:tcPr>
          <w:p w14:paraId="3C25D752" w14:textId="77777777" w:rsidR="00C561BD" w:rsidRPr="00B05763" w:rsidRDefault="00C561BD" w:rsidP="00AC2186">
            <w:pPr>
              <w:bidi w:val="0"/>
              <w:spacing w:line="140" w:lineRule="exact"/>
              <w:jc w:val="right"/>
              <w:rPr>
                <w:i/>
                <w:iCs/>
                <w:sz w:val="12"/>
                <w:szCs w:val="12"/>
              </w:rPr>
            </w:pPr>
          </w:p>
        </w:tc>
        <w:tc>
          <w:tcPr>
            <w:tcW w:w="2309" w:type="dxa"/>
            <w:vAlign w:val="bottom"/>
          </w:tcPr>
          <w:p w14:paraId="12C245AD" w14:textId="77777777" w:rsidR="00C561BD" w:rsidRPr="00682E64" w:rsidRDefault="00C561BD" w:rsidP="00AC2186">
            <w:pPr>
              <w:tabs>
                <w:tab w:val="decimal" w:pos="113"/>
              </w:tabs>
              <w:spacing w:line="140" w:lineRule="exact"/>
              <w:jc w:val="center"/>
              <w:rPr>
                <w:sz w:val="16"/>
                <w:szCs w:val="16"/>
              </w:rPr>
            </w:pPr>
          </w:p>
        </w:tc>
        <w:tc>
          <w:tcPr>
            <w:tcW w:w="113" w:type="dxa"/>
            <w:vAlign w:val="bottom"/>
          </w:tcPr>
          <w:p w14:paraId="41F7AC01"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558E7801" w14:textId="77777777" w:rsidR="00C561BD" w:rsidRPr="00682E64" w:rsidRDefault="00C561BD" w:rsidP="00AC2186">
            <w:pPr>
              <w:spacing w:line="140" w:lineRule="exact"/>
              <w:jc w:val="center"/>
              <w:rPr>
                <w:sz w:val="16"/>
                <w:szCs w:val="16"/>
                <w:rtl/>
              </w:rPr>
            </w:pPr>
            <w:r w:rsidRPr="00682E64">
              <w:rPr>
                <w:rFonts w:hint="cs"/>
                <w:sz w:val="16"/>
                <w:szCs w:val="16"/>
                <w:rtl/>
              </w:rPr>
              <w:t xml:space="preserve">הון </w:t>
            </w:r>
          </w:p>
          <w:p w14:paraId="559EAFCE" w14:textId="77777777" w:rsidR="00C561BD" w:rsidRPr="00682E64" w:rsidRDefault="00C561BD" w:rsidP="00AC2186">
            <w:pPr>
              <w:spacing w:line="140" w:lineRule="exact"/>
              <w:jc w:val="center"/>
              <w:rPr>
                <w:sz w:val="16"/>
                <w:szCs w:val="16"/>
              </w:rPr>
            </w:pPr>
            <w:r w:rsidRPr="00682E64">
              <w:rPr>
                <w:rFonts w:hint="cs"/>
                <w:sz w:val="16"/>
                <w:szCs w:val="16"/>
                <w:rtl/>
              </w:rPr>
              <w:t xml:space="preserve">מניות </w:t>
            </w:r>
          </w:p>
        </w:tc>
        <w:tc>
          <w:tcPr>
            <w:tcW w:w="115" w:type="dxa"/>
            <w:tcBorders>
              <w:top w:val="single" w:sz="6" w:space="0" w:color="auto"/>
              <w:left w:val="nil"/>
              <w:bottom w:val="nil"/>
              <w:right w:val="nil"/>
            </w:tcBorders>
            <w:vAlign w:val="bottom"/>
          </w:tcPr>
          <w:p w14:paraId="43CB4BD3"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6928BD42" w14:textId="77777777" w:rsidR="00C561BD" w:rsidRPr="00682E64" w:rsidRDefault="00C561BD" w:rsidP="00AC2186">
            <w:pPr>
              <w:spacing w:line="140" w:lineRule="exact"/>
              <w:jc w:val="center"/>
              <w:rPr>
                <w:sz w:val="16"/>
                <w:szCs w:val="16"/>
              </w:rPr>
            </w:pPr>
            <w:r w:rsidRPr="00682E64">
              <w:rPr>
                <w:rFonts w:hint="cs"/>
                <w:sz w:val="16"/>
                <w:szCs w:val="16"/>
                <w:rtl/>
              </w:rPr>
              <w:t>פרמיה על מניות</w:t>
            </w:r>
          </w:p>
        </w:tc>
        <w:tc>
          <w:tcPr>
            <w:tcW w:w="115" w:type="dxa"/>
            <w:tcBorders>
              <w:top w:val="single" w:sz="6" w:space="0" w:color="auto"/>
              <w:left w:val="nil"/>
              <w:bottom w:val="nil"/>
              <w:right w:val="nil"/>
            </w:tcBorders>
            <w:vAlign w:val="bottom"/>
          </w:tcPr>
          <w:p w14:paraId="5AF1847C"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7E747E62" w14:textId="77777777" w:rsidR="00C561BD" w:rsidRPr="00682E64" w:rsidRDefault="00C561BD" w:rsidP="00AC2186">
            <w:pPr>
              <w:spacing w:line="140" w:lineRule="exact"/>
              <w:jc w:val="center"/>
              <w:rPr>
                <w:sz w:val="16"/>
                <w:szCs w:val="16"/>
                <w:rtl/>
              </w:rPr>
            </w:pPr>
            <w:r w:rsidRPr="00682E64">
              <w:rPr>
                <w:rFonts w:hint="cs"/>
                <w:sz w:val="16"/>
                <w:szCs w:val="16"/>
                <w:rtl/>
              </w:rPr>
              <w:t>כתבי</w:t>
            </w:r>
          </w:p>
          <w:p w14:paraId="562160AC" w14:textId="77777777" w:rsidR="00C561BD" w:rsidRPr="00682E64" w:rsidRDefault="00C561BD" w:rsidP="00AC2186">
            <w:pPr>
              <w:spacing w:line="140" w:lineRule="exact"/>
              <w:jc w:val="center"/>
              <w:rPr>
                <w:sz w:val="16"/>
                <w:szCs w:val="16"/>
              </w:rPr>
            </w:pPr>
            <w:r w:rsidRPr="00682E64">
              <w:rPr>
                <w:rFonts w:hint="cs"/>
                <w:sz w:val="16"/>
                <w:szCs w:val="16"/>
                <w:rtl/>
              </w:rPr>
              <w:t xml:space="preserve"> אופציה</w:t>
            </w:r>
          </w:p>
        </w:tc>
        <w:tc>
          <w:tcPr>
            <w:tcW w:w="115" w:type="dxa"/>
            <w:tcBorders>
              <w:top w:val="single" w:sz="6" w:space="0" w:color="auto"/>
              <w:left w:val="nil"/>
              <w:bottom w:val="nil"/>
              <w:right w:val="nil"/>
            </w:tcBorders>
            <w:vAlign w:val="bottom"/>
          </w:tcPr>
          <w:p w14:paraId="5986960D" w14:textId="77777777" w:rsidR="00C561BD" w:rsidRPr="00682E64" w:rsidRDefault="00C561BD" w:rsidP="00AC2186">
            <w:pPr>
              <w:spacing w:line="140" w:lineRule="exact"/>
              <w:jc w:val="center"/>
              <w:rPr>
                <w:sz w:val="16"/>
                <w:szCs w:val="16"/>
              </w:rPr>
            </w:pPr>
          </w:p>
        </w:tc>
        <w:tc>
          <w:tcPr>
            <w:tcW w:w="690" w:type="dxa"/>
            <w:tcBorders>
              <w:top w:val="single" w:sz="6" w:space="0" w:color="auto"/>
              <w:left w:val="nil"/>
              <w:bottom w:val="single" w:sz="6" w:space="0" w:color="auto"/>
              <w:right w:val="nil"/>
            </w:tcBorders>
            <w:vAlign w:val="bottom"/>
          </w:tcPr>
          <w:p w14:paraId="1B375C52" w14:textId="1F8AB13B" w:rsidR="00C561BD" w:rsidRPr="007D56F4" w:rsidRDefault="00516850" w:rsidP="00AC2186">
            <w:pPr>
              <w:spacing w:line="180" w:lineRule="exact"/>
              <w:jc w:val="center"/>
              <w:rPr>
                <w:sz w:val="14"/>
                <w:szCs w:val="14"/>
              </w:rPr>
            </w:pPr>
            <w:r w:rsidRPr="00682E64">
              <w:rPr>
                <w:rFonts w:hint="cs"/>
                <w:sz w:val="16"/>
                <w:szCs w:val="16"/>
                <w:rtl/>
              </w:rPr>
              <w:t>קרן בגין עסקאות עם בעלי זכויות שאינן מקנות שליטה</w:t>
            </w:r>
            <w:r w:rsidRPr="00682E64">
              <w:rPr>
                <w:rStyle w:val="ab"/>
                <w:sz w:val="16"/>
                <w:szCs w:val="16"/>
              </w:rPr>
              <w:footnoteReference w:id="42"/>
            </w:r>
          </w:p>
        </w:tc>
        <w:tc>
          <w:tcPr>
            <w:tcW w:w="115" w:type="dxa"/>
            <w:tcBorders>
              <w:top w:val="single" w:sz="6" w:space="0" w:color="auto"/>
              <w:left w:val="nil"/>
              <w:bottom w:val="nil"/>
              <w:right w:val="nil"/>
            </w:tcBorders>
            <w:vAlign w:val="bottom"/>
          </w:tcPr>
          <w:p w14:paraId="35DD8956" w14:textId="77777777" w:rsidR="00C561BD" w:rsidRPr="00682E64" w:rsidRDefault="00C561BD" w:rsidP="00AC2186">
            <w:pPr>
              <w:spacing w:line="140" w:lineRule="exact"/>
              <w:jc w:val="center"/>
              <w:rPr>
                <w:sz w:val="16"/>
                <w:szCs w:val="16"/>
              </w:rPr>
            </w:pPr>
          </w:p>
        </w:tc>
        <w:tc>
          <w:tcPr>
            <w:tcW w:w="633" w:type="dxa"/>
            <w:gridSpan w:val="2"/>
            <w:tcBorders>
              <w:top w:val="single" w:sz="6" w:space="0" w:color="auto"/>
              <w:left w:val="nil"/>
              <w:bottom w:val="single" w:sz="6" w:space="0" w:color="auto"/>
              <w:right w:val="nil"/>
            </w:tcBorders>
            <w:vAlign w:val="bottom"/>
          </w:tcPr>
          <w:p w14:paraId="0EEA7007" w14:textId="77777777" w:rsidR="00C561BD" w:rsidRPr="00682E64" w:rsidRDefault="00C561BD" w:rsidP="00AC2186">
            <w:pPr>
              <w:spacing w:line="140" w:lineRule="exact"/>
              <w:jc w:val="center"/>
              <w:rPr>
                <w:sz w:val="16"/>
                <w:szCs w:val="16"/>
                <w:rtl/>
              </w:rPr>
            </w:pPr>
            <w:r w:rsidRPr="00682E64">
              <w:rPr>
                <w:rFonts w:hint="cs"/>
                <w:sz w:val="16"/>
                <w:szCs w:val="16"/>
                <w:rtl/>
              </w:rPr>
              <w:t xml:space="preserve">מניות </w:t>
            </w:r>
          </w:p>
          <w:p w14:paraId="52D87078" w14:textId="77777777" w:rsidR="00C561BD" w:rsidRPr="00682E64" w:rsidRDefault="00C561BD" w:rsidP="00AC2186">
            <w:pPr>
              <w:spacing w:line="140" w:lineRule="exact"/>
              <w:jc w:val="center"/>
              <w:rPr>
                <w:sz w:val="16"/>
                <w:szCs w:val="16"/>
              </w:rPr>
            </w:pPr>
            <w:r w:rsidRPr="00682E64">
              <w:rPr>
                <w:rFonts w:hint="cs"/>
                <w:sz w:val="16"/>
                <w:szCs w:val="16"/>
                <w:rtl/>
              </w:rPr>
              <w:t>אוצר</w:t>
            </w:r>
          </w:p>
        </w:tc>
        <w:tc>
          <w:tcPr>
            <w:tcW w:w="115" w:type="dxa"/>
            <w:tcBorders>
              <w:top w:val="single" w:sz="6" w:space="0" w:color="auto"/>
              <w:left w:val="nil"/>
              <w:bottom w:val="nil"/>
              <w:right w:val="nil"/>
            </w:tcBorders>
            <w:vAlign w:val="bottom"/>
          </w:tcPr>
          <w:p w14:paraId="545F80B6"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6ED9AD24" w14:textId="77777777" w:rsidR="00C561BD" w:rsidRPr="00682E64" w:rsidRDefault="00C561BD" w:rsidP="00AC2186">
            <w:pPr>
              <w:spacing w:line="140" w:lineRule="exact"/>
              <w:jc w:val="center"/>
              <w:rPr>
                <w:sz w:val="16"/>
                <w:szCs w:val="16"/>
              </w:rPr>
            </w:pPr>
            <w:r w:rsidRPr="00682E64">
              <w:rPr>
                <w:rFonts w:hint="cs"/>
                <w:sz w:val="16"/>
                <w:szCs w:val="16"/>
                <w:rtl/>
              </w:rPr>
              <w:t>קרן בגין עסקה עם בעל שליטה</w:t>
            </w:r>
          </w:p>
        </w:tc>
        <w:tc>
          <w:tcPr>
            <w:tcW w:w="115" w:type="dxa"/>
            <w:tcBorders>
              <w:top w:val="single" w:sz="6" w:space="0" w:color="auto"/>
              <w:left w:val="nil"/>
              <w:bottom w:val="nil"/>
              <w:right w:val="nil"/>
            </w:tcBorders>
            <w:vAlign w:val="bottom"/>
          </w:tcPr>
          <w:p w14:paraId="2FD434EA" w14:textId="77777777" w:rsidR="00C561BD" w:rsidRPr="00682E64" w:rsidRDefault="00C561BD" w:rsidP="00AC2186">
            <w:pPr>
              <w:spacing w:line="140" w:lineRule="exact"/>
              <w:jc w:val="center"/>
              <w:rPr>
                <w:sz w:val="16"/>
                <w:szCs w:val="16"/>
              </w:rPr>
            </w:pPr>
          </w:p>
        </w:tc>
        <w:tc>
          <w:tcPr>
            <w:tcW w:w="748" w:type="dxa"/>
            <w:tcBorders>
              <w:top w:val="single" w:sz="6" w:space="0" w:color="auto"/>
              <w:left w:val="nil"/>
              <w:bottom w:val="single" w:sz="6" w:space="0" w:color="auto"/>
              <w:right w:val="nil"/>
            </w:tcBorders>
            <w:vAlign w:val="bottom"/>
          </w:tcPr>
          <w:p w14:paraId="7AFED224" w14:textId="77777777" w:rsidR="00C561BD" w:rsidRPr="00682E64" w:rsidRDefault="00C561BD" w:rsidP="00AC2186">
            <w:pPr>
              <w:pStyle w:val="a3"/>
              <w:widowControl/>
              <w:spacing w:line="140" w:lineRule="exact"/>
              <w:ind w:left="0"/>
              <w:jc w:val="center"/>
              <w:rPr>
                <w:sz w:val="16"/>
                <w:szCs w:val="16"/>
              </w:rPr>
            </w:pPr>
            <w:r w:rsidRPr="00682E64">
              <w:rPr>
                <w:rFonts w:hint="cs"/>
                <w:sz w:val="16"/>
                <w:szCs w:val="16"/>
                <w:rtl/>
              </w:rPr>
              <w:t>קרן בגין עסקאות תשלום מבוסס מניות</w:t>
            </w:r>
            <w:r w:rsidRPr="00682E64" w:rsidDel="00BC1882">
              <w:rPr>
                <w:rFonts w:hint="cs"/>
                <w:sz w:val="16"/>
                <w:szCs w:val="16"/>
                <w:rtl/>
              </w:rPr>
              <w:t xml:space="preserve"> </w:t>
            </w:r>
          </w:p>
        </w:tc>
        <w:tc>
          <w:tcPr>
            <w:tcW w:w="115" w:type="dxa"/>
            <w:tcBorders>
              <w:top w:val="single" w:sz="6" w:space="0" w:color="auto"/>
              <w:left w:val="nil"/>
              <w:bottom w:val="nil"/>
              <w:right w:val="nil"/>
            </w:tcBorders>
            <w:vAlign w:val="bottom"/>
          </w:tcPr>
          <w:p w14:paraId="1CD0A6D1" w14:textId="77777777" w:rsidR="00C561BD" w:rsidRPr="00682E64" w:rsidRDefault="00C561BD" w:rsidP="00AC2186">
            <w:pPr>
              <w:spacing w:line="140" w:lineRule="exact"/>
              <w:jc w:val="center"/>
              <w:rPr>
                <w:sz w:val="16"/>
                <w:szCs w:val="16"/>
              </w:rPr>
            </w:pPr>
          </w:p>
        </w:tc>
        <w:tc>
          <w:tcPr>
            <w:tcW w:w="748" w:type="dxa"/>
            <w:tcBorders>
              <w:top w:val="single" w:sz="6" w:space="0" w:color="auto"/>
              <w:left w:val="nil"/>
              <w:bottom w:val="single" w:sz="6" w:space="0" w:color="auto"/>
              <w:right w:val="nil"/>
            </w:tcBorders>
            <w:vAlign w:val="bottom"/>
          </w:tcPr>
          <w:p w14:paraId="0B9C5D98"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יתרת רווח (הפסד)</w:t>
            </w:r>
          </w:p>
        </w:tc>
        <w:tc>
          <w:tcPr>
            <w:tcW w:w="115" w:type="dxa"/>
            <w:tcBorders>
              <w:left w:val="nil"/>
              <w:bottom w:val="nil"/>
              <w:right w:val="nil"/>
            </w:tcBorders>
            <w:vAlign w:val="bottom"/>
          </w:tcPr>
          <w:p w14:paraId="08BF5681" w14:textId="77777777" w:rsidR="00C561BD" w:rsidRPr="00682E64" w:rsidRDefault="00C561BD" w:rsidP="00AC2186">
            <w:pPr>
              <w:spacing w:line="140" w:lineRule="exact"/>
              <w:jc w:val="center"/>
              <w:rPr>
                <w:sz w:val="16"/>
                <w:szCs w:val="16"/>
              </w:rPr>
            </w:pPr>
          </w:p>
        </w:tc>
        <w:tc>
          <w:tcPr>
            <w:tcW w:w="690" w:type="dxa"/>
            <w:tcBorders>
              <w:top w:val="single" w:sz="6" w:space="0" w:color="auto"/>
              <w:left w:val="nil"/>
              <w:bottom w:val="single" w:sz="6" w:space="0" w:color="auto"/>
              <w:right w:val="nil"/>
            </w:tcBorders>
            <w:shd w:val="clear" w:color="auto" w:fill="auto"/>
            <w:vAlign w:val="bottom"/>
          </w:tcPr>
          <w:p w14:paraId="2F6654E0"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קרן הערכה מחדש</w:t>
            </w:r>
          </w:p>
        </w:tc>
        <w:tc>
          <w:tcPr>
            <w:tcW w:w="115" w:type="dxa"/>
            <w:tcBorders>
              <w:top w:val="single" w:sz="6" w:space="0" w:color="auto"/>
              <w:left w:val="nil"/>
              <w:right w:val="nil"/>
            </w:tcBorders>
            <w:shd w:val="clear" w:color="auto" w:fill="auto"/>
          </w:tcPr>
          <w:p w14:paraId="03D2F031"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4E5540F8" w14:textId="47E17230" w:rsidR="00C561BD" w:rsidRPr="00682E64" w:rsidRDefault="00C561BD" w:rsidP="00DD2F85">
            <w:pPr>
              <w:pStyle w:val="a3"/>
              <w:widowControl/>
              <w:spacing w:line="140" w:lineRule="exact"/>
              <w:ind w:left="0"/>
              <w:jc w:val="center"/>
              <w:rPr>
                <w:sz w:val="16"/>
                <w:szCs w:val="16"/>
                <w:rtl/>
              </w:rPr>
            </w:pPr>
            <w:r w:rsidRPr="00682E64">
              <w:rPr>
                <w:rFonts w:hint="cs"/>
                <w:sz w:val="16"/>
                <w:szCs w:val="16"/>
                <w:rtl/>
              </w:rPr>
              <w:t xml:space="preserve">קרן בגין נכסים פיננסיים </w:t>
            </w:r>
            <w:r w:rsidR="00DD2F85">
              <w:rPr>
                <w:rFonts w:hint="cs"/>
                <w:sz w:val="16"/>
                <w:szCs w:val="16"/>
                <w:rtl/>
              </w:rPr>
              <w:t>הנמדדים בשווי הוגן דרך רווח כולל אחר</w:t>
            </w:r>
          </w:p>
        </w:tc>
        <w:tc>
          <w:tcPr>
            <w:tcW w:w="115" w:type="dxa"/>
            <w:tcBorders>
              <w:top w:val="single" w:sz="6" w:space="0" w:color="auto"/>
              <w:left w:val="nil"/>
              <w:right w:val="nil"/>
            </w:tcBorders>
            <w:shd w:val="clear" w:color="auto" w:fill="auto"/>
          </w:tcPr>
          <w:p w14:paraId="37AA5AA3"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1D63F250"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קרן בגין עסקאות גידור</w:t>
            </w:r>
          </w:p>
        </w:tc>
        <w:tc>
          <w:tcPr>
            <w:tcW w:w="115" w:type="dxa"/>
            <w:tcBorders>
              <w:top w:val="single" w:sz="6" w:space="0" w:color="auto"/>
              <w:left w:val="nil"/>
              <w:right w:val="nil"/>
            </w:tcBorders>
            <w:shd w:val="clear" w:color="auto" w:fill="auto"/>
            <w:vAlign w:val="bottom"/>
          </w:tcPr>
          <w:p w14:paraId="1E53AB66"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0AE334B6"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התאמות הנובעות מתרגום דוחות כספיים של פעילויות חוץ</w:t>
            </w:r>
            <w:r w:rsidRPr="00682E64">
              <w:rPr>
                <w:rStyle w:val="ab"/>
                <w:sz w:val="16"/>
                <w:szCs w:val="16"/>
                <w:rtl/>
              </w:rPr>
              <w:footnoteReference w:id="43"/>
            </w:r>
            <w:r w:rsidRPr="00682E64">
              <w:rPr>
                <w:rFonts w:hint="cs"/>
                <w:sz w:val="16"/>
                <w:szCs w:val="16"/>
                <w:rtl/>
              </w:rPr>
              <w:t xml:space="preserve"> </w:t>
            </w:r>
          </w:p>
        </w:tc>
        <w:tc>
          <w:tcPr>
            <w:tcW w:w="115" w:type="dxa"/>
            <w:tcBorders>
              <w:top w:val="single" w:sz="6" w:space="0" w:color="auto"/>
              <w:left w:val="nil"/>
              <w:right w:val="nil"/>
            </w:tcBorders>
            <w:shd w:val="clear" w:color="auto" w:fill="auto"/>
            <w:vAlign w:val="bottom"/>
          </w:tcPr>
          <w:p w14:paraId="4969D6A0"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7C5B8DEA" w14:textId="6447C35A" w:rsidR="00C561BD" w:rsidRPr="00682E64" w:rsidRDefault="00516850" w:rsidP="00AC2186">
            <w:pPr>
              <w:pStyle w:val="a3"/>
              <w:widowControl/>
              <w:spacing w:line="140" w:lineRule="exact"/>
              <w:ind w:left="0"/>
              <w:jc w:val="center"/>
              <w:rPr>
                <w:sz w:val="16"/>
                <w:szCs w:val="16"/>
                <w:rtl/>
              </w:rPr>
            </w:pPr>
            <w:r>
              <w:rPr>
                <w:rFonts w:hint="cs"/>
                <w:sz w:val="16"/>
                <w:szCs w:val="16"/>
                <w:rtl/>
              </w:rPr>
              <w:t>קרן בגין מדידה מחדש בשל תכנית להטבה מוגדרת</w:t>
            </w:r>
          </w:p>
        </w:tc>
        <w:tc>
          <w:tcPr>
            <w:tcW w:w="146" w:type="dxa"/>
            <w:tcBorders>
              <w:left w:val="nil"/>
              <w:right w:val="nil"/>
            </w:tcBorders>
            <w:vAlign w:val="bottom"/>
          </w:tcPr>
          <w:p w14:paraId="5F604962" w14:textId="77777777" w:rsidR="00C561BD" w:rsidRPr="00682E64" w:rsidRDefault="00C561BD" w:rsidP="00AC2186">
            <w:pPr>
              <w:spacing w:line="140" w:lineRule="exact"/>
              <w:jc w:val="center"/>
              <w:rPr>
                <w:sz w:val="16"/>
                <w:szCs w:val="16"/>
              </w:rPr>
            </w:pPr>
          </w:p>
        </w:tc>
        <w:tc>
          <w:tcPr>
            <w:tcW w:w="690" w:type="dxa"/>
            <w:tcBorders>
              <w:left w:val="nil"/>
              <w:bottom w:val="single" w:sz="6" w:space="0" w:color="auto"/>
              <w:right w:val="nil"/>
            </w:tcBorders>
            <w:shd w:val="clear" w:color="auto" w:fill="auto"/>
            <w:vAlign w:val="bottom"/>
          </w:tcPr>
          <w:p w14:paraId="0BEC2CB7" w14:textId="77777777" w:rsidR="00C561BD" w:rsidRPr="00682E64" w:rsidRDefault="00C561BD" w:rsidP="00AC2186">
            <w:pPr>
              <w:widowControl/>
              <w:spacing w:line="140" w:lineRule="exact"/>
              <w:jc w:val="center"/>
              <w:rPr>
                <w:sz w:val="16"/>
                <w:szCs w:val="16"/>
              </w:rPr>
            </w:pPr>
            <w:r w:rsidRPr="00682E64">
              <w:rPr>
                <w:rFonts w:hint="cs"/>
                <w:sz w:val="16"/>
                <w:szCs w:val="16"/>
                <w:rtl/>
              </w:rPr>
              <w:t>סה"כ</w:t>
            </w:r>
          </w:p>
        </w:tc>
        <w:tc>
          <w:tcPr>
            <w:tcW w:w="115" w:type="dxa"/>
            <w:vAlign w:val="bottom"/>
          </w:tcPr>
          <w:p w14:paraId="7E7C2279" w14:textId="77777777" w:rsidR="00C561BD" w:rsidRPr="00682E64" w:rsidRDefault="00C561BD" w:rsidP="00AC2186">
            <w:pPr>
              <w:spacing w:line="140" w:lineRule="exact"/>
              <w:jc w:val="center"/>
              <w:rPr>
                <w:sz w:val="16"/>
                <w:szCs w:val="16"/>
              </w:rPr>
            </w:pPr>
          </w:p>
        </w:tc>
        <w:tc>
          <w:tcPr>
            <w:tcW w:w="690" w:type="dxa"/>
            <w:tcBorders>
              <w:left w:val="nil"/>
              <w:bottom w:val="single" w:sz="6" w:space="0" w:color="auto"/>
              <w:right w:val="nil"/>
            </w:tcBorders>
            <w:shd w:val="clear" w:color="auto" w:fill="auto"/>
            <w:vAlign w:val="bottom"/>
          </w:tcPr>
          <w:p w14:paraId="7B436C6C" w14:textId="77777777" w:rsidR="00C561BD" w:rsidRPr="00682E64" w:rsidRDefault="00C561BD" w:rsidP="00AC2186">
            <w:pPr>
              <w:widowControl/>
              <w:spacing w:line="140" w:lineRule="exact"/>
              <w:jc w:val="center"/>
              <w:rPr>
                <w:sz w:val="16"/>
                <w:szCs w:val="16"/>
              </w:rPr>
            </w:pPr>
            <w:r w:rsidRPr="00682E64">
              <w:rPr>
                <w:rFonts w:hint="cs"/>
                <w:sz w:val="16"/>
                <w:szCs w:val="16"/>
                <w:rtl/>
              </w:rPr>
              <w:t>זכויות שאינן מקנות שליטה</w:t>
            </w:r>
          </w:p>
        </w:tc>
        <w:tc>
          <w:tcPr>
            <w:tcW w:w="115" w:type="dxa"/>
            <w:vAlign w:val="bottom"/>
          </w:tcPr>
          <w:p w14:paraId="64A35DCC" w14:textId="77777777" w:rsidR="00C561BD" w:rsidRPr="00682E64" w:rsidRDefault="00C561BD" w:rsidP="00AC2186">
            <w:pPr>
              <w:spacing w:line="140" w:lineRule="exact"/>
              <w:jc w:val="center"/>
              <w:rPr>
                <w:sz w:val="16"/>
                <w:szCs w:val="16"/>
              </w:rPr>
            </w:pPr>
          </w:p>
        </w:tc>
        <w:tc>
          <w:tcPr>
            <w:tcW w:w="640" w:type="dxa"/>
            <w:tcBorders>
              <w:left w:val="nil"/>
              <w:bottom w:val="single" w:sz="6" w:space="0" w:color="auto"/>
              <w:right w:val="nil"/>
            </w:tcBorders>
            <w:shd w:val="clear" w:color="auto" w:fill="auto"/>
            <w:vAlign w:val="bottom"/>
          </w:tcPr>
          <w:p w14:paraId="6A5250F8" w14:textId="77777777" w:rsidR="00C561BD" w:rsidRPr="00682E64" w:rsidRDefault="00C561BD" w:rsidP="00AC2186">
            <w:pPr>
              <w:widowControl/>
              <w:spacing w:line="140" w:lineRule="exact"/>
              <w:jc w:val="center"/>
              <w:rPr>
                <w:sz w:val="16"/>
                <w:szCs w:val="16"/>
                <w:rtl/>
              </w:rPr>
            </w:pPr>
            <w:r w:rsidRPr="00682E64">
              <w:rPr>
                <w:rFonts w:hint="cs"/>
                <w:sz w:val="16"/>
                <w:szCs w:val="16"/>
                <w:rtl/>
              </w:rPr>
              <w:t xml:space="preserve">סה"כ </w:t>
            </w:r>
          </w:p>
          <w:p w14:paraId="72F92F94" w14:textId="77777777" w:rsidR="00C561BD" w:rsidRPr="00682E64" w:rsidRDefault="00C561BD" w:rsidP="00AC2186">
            <w:pPr>
              <w:spacing w:line="140" w:lineRule="exact"/>
              <w:jc w:val="center"/>
              <w:rPr>
                <w:sz w:val="16"/>
                <w:szCs w:val="16"/>
              </w:rPr>
            </w:pPr>
            <w:r w:rsidRPr="00682E64">
              <w:rPr>
                <w:rFonts w:hint="cs"/>
                <w:sz w:val="16"/>
                <w:szCs w:val="16"/>
                <w:rtl/>
              </w:rPr>
              <w:t>הון</w:t>
            </w:r>
          </w:p>
        </w:tc>
      </w:tr>
      <w:tr w:rsidR="00C561BD" w:rsidRPr="00682E64" w14:paraId="6199CEBB" w14:textId="77777777" w:rsidTr="00AC2186">
        <w:tc>
          <w:tcPr>
            <w:tcW w:w="857" w:type="dxa"/>
          </w:tcPr>
          <w:p w14:paraId="7CEC4841" w14:textId="77777777" w:rsidR="00C561BD" w:rsidRPr="00B05763" w:rsidRDefault="00C561BD" w:rsidP="00AC2186">
            <w:pPr>
              <w:bidi w:val="0"/>
              <w:spacing w:line="140" w:lineRule="exact"/>
              <w:jc w:val="right"/>
              <w:rPr>
                <w:i/>
                <w:iCs/>
                <w:sz w:val="12"/>
                <w:szCs w:val="12"/>
              </w:rPr>
            </w:pPr>
          </w:p>
        </w:tc>
        <w:tc>
          <w:tcPr>
            <w:tcW w:w="2309" w:type="dxa"/>
            <w:vAlign w:val="bottom"/>
          </w:tcPr>
          <w:p w14:paraId="0F9CD1F6" w14:textId="77777777" w:rsidR="00C561BD" w:rsidRPr="00682E64" w:rsidRDefault="00C561BD" w:rsidP="00AC2186">
            <w:pPr>
              <w:pStyle w:val="a3"/>
              <w:spacing w:line="140" w:lineRule="exact"/>
              <w:ind w:left="0"/>
              <w:rPr>
                <w:b/>
                <w:sz w:val="16"/>
                <w:szCs w:val="16"/>
                <w:u w:val="single"/>
              </w:rPr>
            </w:pPr>
          </w:p>
        </w:tc>
        <w:tc>
          <w:tcPr>
            <w:tcW w:w="113" w:type="dxa"/>
            <w:vAlign w:val="bottom"/>
          </w:tcPr>
          <w:p w14:paraId="0E2F9706" w14:textId="77777777" w:rsidR="00C561BD" w:rsidRPr="00682E64" w:rsidRDefault="00C561BD" w:rsidP="00AC2186">
            <w:pPr>
              <w:spacing w:line="140" w:lineRule="exact"/>
              <w:rPr>
                <w:sz w:val="16"/>
                <w:szCs w:val="16"/>
              </w:rPr>
            </w:pPr>
          </w:p>
        </w:tc>
        <w:tc>
          <w:tcPr>
            <w:tcW w:w="12577" w:type="dxa"/>
            <w:gridSpan w:val="32"/>
            <w:tcBorders>
              <w:left w:val="nil"/>
              <w:bottom w:val="single" w:sz="6" w:space="0" w:color="auto"/>
              <w:right w:val="nil"/>
            </w:tcBorders>
            <w:shd w:val="clear" w:color="auto" w:fill="auto"/>
            <w:vAlign w:val="bottom"/>
          </w:tcPr>
          <w:p w14:paraId="52C16DB0" w14:textId="77777777" w:rsidR="00C561BD" w:rsidRPr="00682E64" w:rsidRDefault="00C561BD" w:rsidP="00AC2186">
            <w:pPr>
              <w:tabs>
                <w:tab w:val="decimal" w:pos="113"/>
              </w:tabs>
              <w:spacing w:line="140" w:lineRule="exact"/>
              <w:jc w:val="center"/>
              <w:rPr>
                <w:sz w:val="16"/>
                <w:szCs w:val="16"/>
                <w:rtl/>
              </w:rPr>
            </w:pPr>
            <w:r w:rsidRPr="00682E64">
              <w:rPr>
                <w:rFonts w:hint="cs"/>
                <w:sz w:val="16"/>
                <w:szCs w:val="16"/>
                <w:rtl/>
              </w:rPr>
              <w:t>בלתי מבוקר</w:t>
            </w:r>
          </w:p>
        </w:tc>
      </w:tr>
      <w:tr w:rsidR="00C561BD" w:rsidRPr="00682E64" w14:paraId="2AA9991F" w14:textId="77777777" w:rsidTr="00AC2186">
        <w:tc>
          <w:tcPr>
            <w:tcW w:w="857" w:type="dxa"/>
          </w:tcPr>
          <w:p w14:paraId="649CB4F2" w14:textId="77777777" w:rsidR="00C561BD" w:rsidRPr="00B05763" w:rsidRDefault="00C561BD" w:rsidP="00AC2186">
            <w:pPr>
              <w:bidi w:val="0"/>
              <w:spacing w:line="140" w:lineRule="exact"/>
              <w:jc w:val="right"/>
              <w:rPr>
                <w:i/>
                <w:iCs/>
                <w:sz w:val="12"/>
                <w:szCs w:val="12"/>
              </w:rPr>
            </w:pPr>
          </w:p>
        </w:tc>
        <w:tc>
          <w:tcPr>
            <w:tcW w:w="2309" w:type="dxa"/>
            <w:vAlign w:val="bottom"/>
          </w:tcPr>
          <w:p w14:paraId="6AD6A006" w14:textId="77777777" w:rsidR="00C561BD" w:rsidRPr="00682E64" w:rsidRDefault="00C561BD" w:rsidP="00AC2186">
            <w:pPr>
              <w:pStyle w:val="a3"/>
              <w:spacing w:line="140" w:lineRule="exact"/>
              <w:ind w:left="0"/>
              <w:rPr>
                <w:b/>
                <w:sz w:val="16"/>
                <w:szCs w:val="16"/>
                <w:u w:val="single"/>
              </w:rPr>
            </w:pPr>
          </w:p>
        </w:tc>
        <w:tc>
          <w:tcPr>
            <w:tcW w:w="113" w:type="dxa"/>
            <w:vAlign w:val="bottom"/>
          </w:tcPr>
          <w:p w14:paraId="46C5E68A" w14:textId="77777777" w:rsidR="00C561BD" w:rsidRPr="00682E64" w:rsidRDefault="00C561BD" w:rsidP="00AC2186">
            <w:pPr>
              <w:spacing w:line="140" w:lineRule="exact"/>
              <w:rPr>
                <w:sz w:val="16"/>
                <w:szCs w:val="16"/>
              </w:rPr>
            </w:pPr>
          </w:p>
        </w:tc>
        <w:tc>
          <w:tcPr>
            <w:tcW w:w="3280" w:type="dxa"/>
            <w:gridSpan w:val="9"/>
            <w:tcBorders>
              <w:left w:val="nil"/>
              <w:bottom w:val="single" w:sz="6" w:space="0" w:color="auto"/>
              <w:right w:val="nil"/>
            </w:tcBorders>
            <w:shd w:val="clear" w:color="auto" w:fill="auto"/>
            <w:vAlign w:val="bottom"/>
          </w:tcPr>
          <w:p w14:paraId="312A0663" w14:textId="77777777" w:rsidR="00C561BD" w:rsidRPr="00B05763" w:rsidRDefault="00C561BD" w:rsidP="00AC2186">
            <w:pPr>
              <w:bidi w:val="0"/>
              <w:spacing w:line="140" w:lineRule="exact"/>
              <w:jc w:val="left"/>
              <w:rPr>
                <w:i/>
                <w:iCs/>
                <w:sz w:val="13"/>
                <w:szCs w:val="13"/>
              </w:rPr>
            </w:pPr>
            <w:r w:rsidRPr="00B05763">
              <w:rPr>
                <w:i/>
                <w:iCs/>
                <w:sz w:val="13"/>
                <w:szCs w:val="13"/>
              </w:rPr>
              <w:t>IAS 1.</w:t>
            </w:r>
            <w:r>
              <w:rPr>
                <w:i/>
                <w:iCs/>
                <w:sz w:val="13"/>
                <w:szCs w:val="13"/>
              </w:rPr>
              <w:t>51</w:t>
            </w:r>
            <w:r w:rsidRPr="00B05763">
              <w:rPr>
                <w:i/>
                <w:iCs/>
                <w:sz w:val="13"/>
                <w:szCs w:val="13"/>
              </w:rPr>
              <w:t>(d)</w:t>
            </w:r>
            <w:r>
              <w:rPr>
                <w:i/>
                <w:iCs/>
                <w:sz w:val="13"/>
                <w:szCs w:val="13"/>
              </w:rPr>
              <w:t>,</w:t>
            </w:r>
            <w:r w:rsidRPr="00B05763">
              <w:rPr>
                <w:i/>
                <w:iCs/>
                <w:sz w:val="13"/>
                <w:szCs w:val="13"/>
              </w:rPr>
              <w:t>(</w:t>
            </w:r>
            <w:r>
              <w:rPr>
                <w:i/>
                <w:iCs/>
                <w:sz w:val="13"/>
                <w:szCs w:val="13"/>
              </w:rPr>
              <w:t>e</w:t>
            </w:r>
            <w:r w:rsidRPr="00B05763">
              <w:rPr>
                <w:i/>
                <w:iCs/>
                <w:sz w:val="13"/>
                <w:szCs w:val="13"/>
              </w:rPr>
              <w:t>)</w:t>
            </w:r>
          </w:p>
        </w:tc>
        <w:tc>
          <w:tcPr>
            <w:tcW w:w="9297" w:type="dxa"/>
            <w:gridSpan w:val="23"/>
            <w:tcBorders>
              <w:left w:val="nil"/>
              <w:bottom w:val="single" w:sz="6" w:space="0" w:color="auto"/>
              <w:right w:val="nil"/>
            </w:tcBorders>
            <w:shd w:val="clear" w:color="auto" w:fill="auto"/>
            <w:vAlign w:val="bottom"/>
          </w:tcPr>
          <w:p w14:paraId="3443DE08" w14:textId="77777777" w:rsidR="00C561BD" w:rsidRPr="00682E64" w:rsidRDefault="00C561BD" w:rsidP="00AC2186">
            <w:pPr>
              <w:spacing w:line="140" w:lineRule="exact"/>
              <w:ind w:left="2746"/>
              <w:jc w:val="left"/>
              <w:rPr>
                <w:sz w:val="16"/>
                <w:szCs w:val="16"/>
              </w:rPr>
            </w:pPr>
            <w:r w:rsidRPr="00682E64">
              <w:rPr>
                <w:rFonts w:hint="cs"/>
                <w:sz w:val="16"/>
                <w:szCs w:val="16"/>
                <w:rtl/>
              </w:rPr>
              <w:t>אלפי ש"ח</w:t>
            </w:r>
          </w:p>
        </w:tc>
      </w:tr>
      <w:tr w:rsidR="00C561BD" w:rsidRPr="00682E64" w14:paraId="39718B7B" w14:textId="77777777" w:rsidTr="00AC2186">
        <w:tc>
          <w:tcPr>
            <w:tcW w:w="857" w:type="dxa"/>
          </w:tcPr>
          <w:p w14:paraId="4764074A" w14:textId="77777777" w:rsidR="00C561BD" w:rsidRPr="00B05763" w:rsidRDefault="00C561BD" w:rsidP="00AC2186">
            <w:pPr>
              <w:widowControl/>
              <w:spacing w:line="140" w:lineRule="exact"/>
              <w:jc w:val="right"/>
              <w:rPr>
                <w:i/>
                <w:iCs/>
                <w:sz w:val="12"/>
                <w:szCs w:val="12"/>
              </w:rPr>
            </w:pPr>
          </w:p>
        </w:tc>
        <w:tc>
          <w:tcPr>
            <w:tcW w:w="2309" w:type="dxa"/>
            <w:vAlign w:val="bottom"/>
          </w:tcPr>
          <w:p w14:paraId="6378713B" w14:textId="77777777" w:rsidR="00C561BD" w:rsidRPr="00682E64" w:rsidRDefault="00C561BD" w:rsidP="00AC2186">
            <w:pPr>
              <w:pStyle w:val="a3"/>
              <w:widowControl/>
              <w:spacing w:line="140" w:lineRule="exact"/>
              <w:ind w:left="0"/>
              <w:rPr>
                <w:b/>
                <w:sz w:val="16"/>
                <w:szCs w:val="16"/>
                <w:u w:val="single"/>
              </w:rPr>
            </w:pPr>
          </w:p>
        </w:tc>
        <w:tc>
          <w:tcPr>
            <w:tcW w:w="113" w:type="dxa"/>
            <w:vAlign w:val="bottom"/>
          </w:tcPr>
          <w:p w14:paraId="1E9CCBFD" w14:textId="77777777" w:rsidR="00C561BD" w:rsidRPr="00682E64" w:rsidRDefault="00C561BD" w:rsidP="00AC2186">
            <w:pPr>
              <w:widowControl/>
              <w:spacing w:line="140" w:lineRule="exact"/>
              <w:rPr>
                <w:sz w:val="16"/>
                <w:szCs w:val="16"/>
              </w:rPr>
            </w:pPr>
          </w:p>
        </w:tc>
        <w:tc>
          <w:tcPr>
            <w:tcW w:w="633" w:type="dxa"/>
            <w:tcBorders>
              <w:top w:val="single" w:sz="6" w:space="0" w:color="auto"/>
              <w:left w:val="nil"/>
              <w:right w:val="nil"/>
            </w:tcBorders>
            <w:vAlign w:val="bottom"/>
          </w:tcPr>
          <w:p w14:paraId="004A5D70"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3FEF51D4"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vAlign w:val="bottom"/>
          </w:tcPr>
          <w:p w14:paraId="5B22F813"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6793D2C2"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vAlign w:val="bottom"/>
          </w:tcPr>
          <w:p w14:paraId="2D093EDC"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tcPr>
          <w:p w14:paraId="56BD445A"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tcPr>
          <w:p w14:paraId="35F42702"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tcPr>
          <w:p w14:paraId="72894A4B" w14:textId="77777777" w:rsidR="00C561BD" w:rsidRPr="00682E64" w:rsidRDefault="00C561BD" w:rsidP="00AC2186">
            <w:pPr>
              <w:widowControl/>
              <w:tabs>
                <w:tab w:val="decimal" w:pos="113"/>
              </w:tabs>
              <w:spacing w:line="140" w:lineRule="exact"/>
              <w:rPr>
                <w:sz w:val="16"/>
                <w:szCs w:val="16"/>
              </w:rPr>
            </w:pPr>
          </w:p>
        </w:tc>
        <w:tc>
          <w:tcPr>
            <w:tcW w:w="633" w:type="dxa"/>
            <w:gridSpan w:val="2"/>
            <w:tcBorders>
              <w:top w:val="single" w:sz="6" w:space="0" w:color="auto"/>
              <w:left w:val="nil"/>
              <w:right w:val="nil"/>
            </w:tcBorders>
          </w:tcPr>
          <w:p w14:paraId="17F425E5"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0C5E8568"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vAlign w:val="bottom"/>
          </w:tcPr>
          <w:p w14:paraId="213097A3"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60360C2C"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vAlign w:val="bottom"/>
          </w:tcPr>
          <w:p w14:paraId="147DEA86"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3D9AD7CB"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vAlign w:val="bottom"/>
          </w:tcPr>
          <w:p w14:paraId="78555AAA"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7D841661"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4F5B735C"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02656E76"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084B56C6"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4D4C9C5C"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0F174943"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0B623D59"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52D8470A"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4E2A1DF4"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40CBF2E1" w14:textId="77777777" w:rsidR="00C561BD" w:rsidRPr="00682E64" w:rsidRDefault="00C561BD" w:rsidP="00AC2186">
            <w:pPr>
              <w:widowControl/>
              <w:tabs>
                <w:tab w:val="decimal" w:pos="113"/>
              </w:tabs>
              <w:spacing w:line="140" w:lineRule="exact"/>
              <w:rPr>
                <w:sz w:val="16"/>
                <w:szCs w:val="16"/>
              </w:rPr>
            </w:pPr>
          </w:p>
        </w:tc>
        <w:tc>
          <w:tcPr>
            <w:tcW w:w="146" w:type="dxa"/>
            <w:tcBorders>
              <w:top w:val="single" w:sz="6" w:space="0" w:color="auto"/>
              <w:left w:val="nil"/>
              <w:bottom w:val="nil"/>
              <w:right w:val="nil"/>
            </w:tcBorders>
            <w:vAlign w:val="bottom"/>
          </w:tcPr>
          <w:p w14:paraId="6B318863"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vAlign w:val="bottom"/>
          </w:tcPr>
          <w:p w14:paraId="664A3852"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485F9375"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vAlign w:val="bottom"/>
          </w:tcPr>
          <w:p w14:paraId="15A8B80A"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tcPr>
          <w:p w14:paraId="04A90485" w14:textId="77777777" w:rsidR="00C561BD" w:rsidRPr="00682E64" w:rsidRDefault="00C561BD" w:rsidP="00AC2186">
            <w:pPr>
              <w:widowControl/>
              <w:tabs>
                <w:tab w:val="decimal" w:pos="113"/>
              </w:tabs>
              <w:spacing w:line="140" w:lineRule="exact"/>
              <w:rPr>
                <w:sz w:val="16"/>
                <w:szCs w:val="16"/>
              </w:rPr>
            </w:pPr>
          </w:p>
        </w:tc>
        <w:tc>
          <w:tcPr>
            <w:tcW w:w="640" w:type="dxa"/>
            <w:tcBorders>
              <w:top w:val="single" w:sz="6" w:space="0" w:color="auto"/>
              <w:left w:val="nil"/>
              <w:right w:val="nil"/>
            </w:tcBorders>
          </w:tcPr>
          <w:p w14:paraId="631F0E39" w14:textId="77777777" w:rsidR="00C561BD" w:rsidRPr="00682E64" w:rsidRDefault="00C561BD" w:rsidP="00AC2186">
            <w:pPr>
              <w:widowControl/>
              <w:tabs>
                <w:tab w:val="decimal" w:pos="113"/>
              </w:tabs>
              <w:spacing w:line="140" w:lineRule="exact"/>
              <w:rPr>
                <w:sz w:val="16"/>
                <w:szCs w:val="16"/>
              </w:rPr>
            </w:pPr>
          </w:p>
        </w:tc>
      </w:tr>
      <w:tr w:rsidR="00C561BD" w:rsidRPr="00682E64" w14:paraId="6F90D126" w14:textId="77777777" w:rsidTr="00AC2186">
        <w:tc>
          <w:tcPr>
            <w:tcW w:w="857" w:type="dxa"/>
          </w:tcPr>
          <w:p w14:paraId="5400C14D" w14:textId="77777777" w:rsidR="00C561BD" w:rsidRPr="00B05763" w:rsidRDefault="00C561BD" w:rsidP="00AC2186">
            <w:pPr>
              <w:bidi w:val="0"/>
              <w:spacing w:line="140" w:lineRule="exact"/>
              <w:jc w:val="right"/>
              <w:rPr>
                <w:i/>
                <w:iCs/>
                <w:sz w:val="12"/>
                <w:szCs w:val="12"/>
                <w:rtl/>
              </w:rPr>
            </w:pPr>
          </w:p>
        </w:tc>
        <w:tc>
          <w:tcPr>
            <w:tcW w:w="2309" w:type="dxa"/>
            <w:tcBorders>
              <w:left w:val="nil"/>
            </w:tcBorders>
            <w:vAlign w:val="bottom"/>
          </w:tcPr>
          <w:p w14:paraId="3C049C16" w14:textId="2557B478" w:rsidR="00C561BD" w:rsidRDefault="00C561BD" w:rsidP="00AF4CE7">
            <w:pPr>
              <w:pStyle w:val="a3"/>
              <w:spacing w:line="140" w:lineRule="exact"/>
              <w:jc w:val="both"/>
              <w:rPr>
                <w:b/>
                <w:sz w:val="16"/>
                <w:szCs w:val="16"/>
                <w:rtl/>
              </w:rPr>
            </w:pPr>
            <w:r w:rsidRPr="00682E64">
              <w:rPr>
                <w:rFonts w:hint="cs"/>
                <w:b/>
                <w:sz w:val="16"/>
                <w:szCs w:val="16"/>
                <w:u w:val="single"/>
                <w:rtl/>
              </w:rPr>
              <w:t>יתרה ליום 1 ביולי,</w:t>
            </w:r>
            <w:r w:rsidR="006231DA">
              <w:rPr>
                <w:rFonts w:hint="cs"/>
                <w:b/>
                <w:sz w:val="16"/>
                <w:szCs w:val="16"/>
                <w:u w:val="single"/>
                <w:rtl/>
              </w:rPr>
              <w:t>201</w:t>
            </w:r>
            <w:r w:rsidR="00AF4CE7">
              <w:rPr>
                <w:rFonts w:hint="cs"/>
                <w:b/>
                <w:sz w:val="16"/>
                <w:szCs w:val="16"/>
                <w:u w:val="single"/>
                <w:rtl/>
              </w:rPr>
              <w:t>8</w:t>
            </w:r>
            <w:r>
              <w:rPr>
                <w:rStyle w:val="ab"/>
                <w:b/>
                <w:sz w:val="16"/>
                <w:szCs w:val="16"/>
              </w:rPr>
              <w:footnoteReference w:id="44"/>
            </w:r>
            <w:r w:rsidR="00285250">
              <w:rPr>
                <w:rFonts w:hint="cs"/>
                <w:b/>
                <w:sz w:val="16"/>
                <w:szCs w:val="16"/>
                <w:rtl/>
              </w:rPr>
              <w:t xml:space="preserve"> </w:t>
            </w:r>
          </w:p>
        </w:tc>
        <w:tc>
          <w:tcPr>
            <w:tcW w:w="113" w:type="dxa"/>
            <w:vAlign w:val="bottom"/>
          </w:tcPr>
          <w:p w14:paraId="17E4CE2A" w14:textId="77777777" w:rsidR="00C561BD" w:rsidRPr="00682E64" w:rsidRDefault="00C561BD" w:rsidP="00AC2186">
            <w:pPr>
              <w:spacing w:line="140" w:lineRule="exact"/>
              <w:rPr>
                <w:sz w:val="16"/>
                <w:szCs w:val="16"/>
              </w:rPr>
            </w:pPr>
          </w:p>
        </w:tc>
        <w:tc>
          <w:tcPr>
            <w:tcW w:w="633" w:type="dxa"/>
            <w:shd w:val="clear" w:color="auto" w:fill="auto"/>
            <w:vAlign w:val="bottom"/>
          </w:tcPr>
          <w:p w14:paraId="3FC5D063" w14:textId="77777777" w:rsidR="00C561BD" w:rsidRPr="00682E64" w:rsidRDefault="00C561BD" w:rsidP="00AC2186">
            <w:pPr>
              <w:tabs>
                <w:tab w:val="decimal" w:pos="113"/>
              </w:tabs>
              <w:spacing w:line="140" w:lineRule="exact"/>
              <w:rPr>
                <w:sz w:val="16"/>
                <w:szCs w:val="16"/>
              </w:rPr>
            </w:pPr>
          </w:p>
        </w:tc>
        <w:tc>
          <w:tcPr>
            <w:tcW w:w="115" w:type="dxa"/>
            <w:vAlign w:val="bottom"/>
          </w:tcPr>
          <w:p w14:paraId="22D84979" w14:textId="77777777" w:rsidR="00C561BD" w:rsidRPr="00682E64" w:rsidRDefault="00C561BD" w:rsidP="00AC2186">
            <w:pPr>
              <w:tabs>
                <w:tab w:val="decimal" w:pos="113"/>
              </w:tabs>
              <w:spacing w:line="140" w:lineRule="exact"/>
              <w:rPr>
                <w:sz w:val="16"/>
                <w:szCs w:val="16"/>
              </w:rPr>
            </w:pPr>
          </w:p>
        </w:tc>
        <w:tc>
          <w:tcPr>
            <w:tcW w:w="633" w:type="dxa"/>
            <w:shd w:val="clear" w:color="auto" w:fill="auto"/>
            <w:vAlign w:val="bottom"/>
          </w:tcPr>
          <w:p w14:paraId="5E8762D3" w14:textId="77777777" w:rsidR="00C561BD" w:rsidRPr="00682E64" w:rsidRDefault="00C561BD" w:rsidP="00AC2186">
            <w:pPr>
              <w:tabs>
                <w:tab w:val="decimal" w:pos="113"/>
              </w:tabs>
              <w:spacing w:line="140" w:lineRule="exact"/>
              <w:rPr>
                <w:sz w:val="16"/>
                <w:szCs w:val="16"/>
              </w:rPr>
            </w:pPr>
          </w:p>
        </w:tc>
        <w:tc>
          <w:tcPr>
            <w:tcW w:w="115" w:type="dxa"/>
            <w:vAlign w:val="bottom"/>
          </w:tcPr>
          <w:p w14:paraId="0AE71784" w14:textId="77777777" w:rsidR="00C561BD" w:rsidRPr="00682E64" w:rsidRDefault="00C561BD" w:rsidP="00AC2186">
            <w:pPr>
              <w:tabs>
                <w:tab w:val="decimal" w:pos="113"/>
              </w:tabs>
              <w:spacing w:line="140" w:lineRule="exact"/>
              <w:rPr>
                <w:sz w:val="16"/>
                <w:szCs w:val="16"/>
              </w:rPr>
            </w:pPr>
          </w:p>
        </w:tc>
        <w:tc>
          <w:tcPr>
            <w:tcW w:w="633" w:type="dxa"/>
            <w:shd w:val="clear" w:color="auto" w:fill="auto"/>
            <w:vAlign w:val="bottom"/>
          </w:tcPr>
          <w:p w14:paraId="5E7DD4C7" w14:textId="77777777" w:rsidR="00C561BD" w:rsidRPr="00682E64" w:rsidRDefault="00C561BD" w:rsidP="00AC2186">
            <w:pPr>
              <w:tabs>
                <w:tab w:val="decimal" w:pos="113"/>
              </w:tabs>
              <w:spacing w:line="140" w:lineRule="exact"/>
              <w:rPr>
                <w:sz w:val="16"/>
                <w:szCs w:val="16"/>
              </w:rPr>
            </w:pPr>
          </w:p>
        </w:tc>
        <w:tc>
          <w:tcPr>
            <w:tcW w:w="115" w:type="dxa"/>
          </w:tcPr>
          <w:p w14:paraId="1C58CE7B" w14:textId="77777777" w:rsidR="00C561BD" w:rsidRPr="00682E64" w:rsidRDefault="00C561BD" w:rsidP="00AC2186">
            <w:pPr>
              <w:tabs>
                <w:tab w:val="decimal" w:pos="113"/>
              </w:tabs>
              <w:spacing w:line="140" w:lineRule="exact"/>
              <w:rPr>
                <w:sz w:val="16"/>
                <w:szCs w:val="16"/>
              </w:rPr>
            </w:pPr>
          </w:p>
        </w:tc>
        <w:tc>
          <w:tcPr>
            <w:tcW w:w="690" w:type="dxa"/>
            <w:shd w:val="clear" w:color="auto" w:fill="auto"/>
          </w:tcPr>
          <w:p w14:paraId="15F605A6" w14:textId="77777777" w:rsidR="00C561BD" w:rsidRPr="00682E64" w:rsidRDefault="00C561BD" w:rsidP="00AC2186">
            <w:pPr>
              <w:tabs>
                <w:tab w:val="decimal" w:pos="113"/>
              </w:tabs>
              <w:spacing w:line="140" w:lineRule="exact"/>
              <w:rPr>
                <w:sz w:val="16"/>
                <w:szCs w:val="16"/>
              </w:rPr>
            </w:pPr>
          </w:p>
        </w:tc>
        <w:tc>
          <w:tcPr>
            <w:tcW w:w="115" w:type="dxa"/>
          </w:tcPr>
          <w:p w14:paraId="1A43774A" w14:textId="77777777" w:rsidR="00C561BD" w:rsidRPr="00682E64" w:rsidRDefault="00C561BD" w:rsidP="00AC2186">
            <w:pPr>
              <w:tabs>
                <w:tab w:val="decimal" w:pos="113"/>
              </w:tabs>
              <w:spacing w:line="140" w:lineRule="exact"/>
              <w:rPr>
                <w:sz w:val="16"/>
                <w:szCs w:val="16"/>
              </w:rPr>
            </w:pPr>
          </w:p>
        </w:tc>
        <w:tc>
          <w:tcPr>
            <w:tcW w:w="633" w:type="dxa"/>
            <w:gridSpan w:val="2"/>
            <w:shd w:val="clear" w:color="auto" w:fill="auto"/>
          </w:tcPr>
          <w:p w14:paraId="29441E63" w14:textId="77777777" w:rsidR="00C561BD" w:rsidRPr="00682E64" w:rsidRDefault="00C561BD" w:rsidP="00AC2186">
            <w:pPr>
              <w:tabs>
                <w:tab w:val="decimal" w:pos="113"/>
              </w:tabs>
              <w:spacing w:line="140" w:lineRule="exact"/>
              <w:rPr>
                <w:sz w:val="16"/>
                <w:szCs w:val="16"/>
              </w:rPr>
            </w:pPr>
          </w:p>
        </w:tc>
        <w:tc>
          <w:tcPr>
            <w:tcW w:w="115" w:type="dxa"/>
            <w:vAlign w:val="bottom"/>
          </w:tcPr>
          <w:p w14:paraId="354E80E6" w14:textId="77777777" w:rsidR="00C561BD" w:rsidRPr="00682E64" w:rsidRDefault="00C561BD" w:rsidP="00AC2186">
            <w:pPr>
              <w:tabs>
                <w:tab w:val="decimal" w:pos="113"/>
              </w:tabs>
              <w:spacing w:line="140" w:lineRule="exact"/>
              <w:rPr>
                <w:sz w:val="16"/>
                <w:szCs w:val="16"/>
              </w:rPr>
            </w:pPr>
          </w:p>
        </w:tc>
        <w:tc>
          <w:tcPr>
            <w:tcW w:w="633" w:type="dxa"/>
            <w:shd w:val="clear" w:color="auto" w:fill="auto"/>
            <w:vAlign w:val="bottom"/>
          </w:tcPr>
          <w:p w14:paraId="1FB3D598" w14:textId="77777777" w:rsidR="00C561BD" w:rsidRPr="00682E64" w:rsidRDefault="00C561BD" w:rsidP="00AC2186">
            <w:pPr>
              <w:tabs>
                <w:tab w:val="decimal" w:pos="113"/>
              </w:tabs>
              <w:spacing w:line="140" w:lineRule="exact"/>
              <w:rPr>
                <w:sz w:val="16"/>
                <w:szCs w:val="16"/>
              </w:rPr>
            </w:pPr>
          </w:p>
        </w:tc>
        <w:tc>
          <w:tcPr>
            <w:tcW w:w="115" w:type="dxa"/>
            <w:vAlign w:val="bottom"/>
          </w:tcPr>
          <w:p w14:paraId="5115DA1F" w14:textId="77777777" w:rsidR="00C561BD" w:rsidRPr="00682E64" w:rsidRDefault="00C561BD" w:rsidP="00AC2186">
            <w:pPr>
              <w:tabs>
                <w:tab w:val="decimal" w:pos="113"/>
              </w:tabs>
              <w:spacing w:line="140" w:lineRule="exact"/>
              <w:rPr>
                <w:sz w:val="16"/>
                <w:szCs w:val="16"/>
              </w:rPr>
            </w:pPr>
          </w:p>
        </w:tc>
        <w:tc>
          <w:tcPr>
            <w:tcW w:w="748" w:type="dxa"/>
            <w:shd w:val="clear" w:color="auto" w:fill="auto"/>
            <w:vAlign w:val="bottom"/>
          </w:tcPr>
          <w:p w14:paraId="4E5DB00D" w14:textId="77777777" w:rsidR="00C561BD" w:rsidRPr="00682E64" w:rsidRDefault="00C561BD" w:rsidP="00AC2186">
            <w:pPr>
              <w:tabs>
                <w:tab w:val="decimal" w:pos="113"/>
              </w:tabs>
              <w:spacing w:line="140" w:lineRule="exact"/>
              <w:rPr>
                <w:sz w:val="16"/>
                <w:szCs w:val="16"/>
              </w:rPr>
            </w:pPr>
          </w:p>
        </w:tc>
        <w:tc>
          <w:tcPr>
            <w:tcW w:w="115" w:type="dxa"/>
            <w:vAlign w:val="bottom"/>
          </w:tcPr>
          <w:p w14:paraId="7B37C5ED" w14:textId="77777777" w:rsidR="00C561BD" w:rsidRPr="00682E64" w:rsidRDefault="00C561BD" w:rsidP="00AC2186">
            <w:pPr>
              <w:tabs>
                <w:tab w:val="decimal" w:pos="113"/>
              </w:tabs>
              <w:spacing w:line="140" w:lineRule="exact"/>
              <w:rPr>
                <w:sz w:val="16"/>
                <w:szCs w:val="16"/>
              </w:rPr>
            </w:pPr>
          </w:p>
        </w:tc>
        <w:tc>
          <w:tcPr>
            <w:tcW w:w="748" w:type="dxa"/>
            <w:shd w:val="clear" w:color="auto" w:fill="auto"/>
            <w:vAlign w:val="bottom"/>
          </w:tcPr>
          <w:p w14:paraId="25B101D2" w14:textId="77777777" w:rsidR="00C561BD" w:rsidRPr="00682E64" w:rsidRDefault="00C561BD" w:rsidP="00AC2186">
            <w:pPr>
              <w:tabs>
                <w:tab w:val="decimal" w:pos="113"/>
              </w:tabs>
              <w:spacing w:line="140" w:lineRule="exact"/>
              <w:rPr>
                <w:sz w:val="16"/>
                <w:szCs w:val="16"/>
              </w:rPr>
            </w:pPr>
          </w:p>
        </w:tc>
        <w:tc>
          <w:tcPr>
            <w:tcW w:w="115" w:type="dxa"/>
            <w:vAlign w:val="bottom"/>
          </w:tcPr>
          <w:p w14:paraId="129F9E59"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108A73A2"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2A82C347"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758A41D2"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540C1CFC"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6FC0C796"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51B5AFBD"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4223D561"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73BDBD68"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51183072" w14:textId="77777777" w:rsidR="00C561BD" w:rsidRPr="00682E64" w:rsidRDefault="00C561BD" w:rsidP="00AC2186">
            <w:pPr>
              <w:tabs>
                <w:tab w:val="decimal" w:pos="113"/>
              </w:tabs>
              <w:spacing w:line="140" w:lineRule="exact"/>
              <w:rPr>
                <w:sz w:val="16"/>
                <w:szCs w:val="16"/>
              </w:rPr>
            </w:pPr>
          </w:p>
        </w:tc>
        <w:tc>
          <w:tcPr>
            <w:tcW w:w="146" w:type="dxa"/>
            <w:vAlign w:val="bottom"/>
          </w:tcPr>
          <w:p w14:paraId="28077462"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4108ADD1" w14:textId="77777777" w:rsidR="00C561BD" w:rsidRPr="00682E64" w:rsidRDefault="00C561BD" w:rsidP="00AC2186">
            <w:pPr>
              <w:tabs>
                <w:tab w:val="decimal" w:pos="113"/>
              </w:tabs>
              <w:spacing w:line="140" w:lineRule="exact"/>
              <w:rPr>
                <w:sz w:val="16"/>
                <w:szCs w:val="16"/>
              </w:rPr>
            </w:pPr>
          </w:p>
        </w:tc>
        <w:tc>
          <w:tcPr>
            <w:tcW w:w="115" w:type="dxa"/>
            <w:vAlign w:val="bottom"/>
          </w:tcPr>
          <w:p w14:paraId="0500F914"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1160390E" w14:textId="77777777" w:rsidR="00C561BD" w:rsidRPr="00682E64" w:rsidRDefault="00C561BD" w:rsidP="00AC2186">
            <w:pPr>
              <w:tabs>
                <w:tab w:val="decimal" w:pos="113"/>
              </w:tabs>
              <w:spacing w:line="140" w:lineRule="exact"/>
              <w:rPr>
                <w:sz w:val="16"/>
                <w:szCs w:val="16"/>
              </w:rPr>
            </w:pPr>
          </w:p>
        </w:tc>
        <w:tc>
          <w:tcPr>
            <w:tcW w:w="115" w:type="dxa"/>
          </w:tcPr>
          <w:p w14:paraId="337977D2" w14:textId="77777777" w:rsidR="00C561BD" w:rsidRPr="00682E64" w:rsidRDefault="00C561BD" w:rsidP="00AC2186">
            <w:pPr>
              <w:tabs>
                <w:tab w:val="decimal" w:pos="113"/>
              </w:tabs>
              <w:spacing w:line="140" w:lineRule="exact"/>
              <w:rPr>
                <w:sz w:val="16"/>
                <w:szCs w:val="16"/>
              </w:rPr>
            </w:pPr>
          </w:p>
        </w:tc>
        <w:tc>
          <w:tcPr>
            <w:tcW w:w="640" w:type="dxa"/>
            <w:shd w:val="clear" w:color="auto" w:fill="auto"/>
          </w:tcPr>
          <w:p w14:paraId="55F693CC" w14:textId="77777777" w:rsidR="00C561BD" w:rsidRPr="00682E64" w:rsidRDefault="00C561BD" w:rsidP="00AC2186">
            <w:pPr>
              <w:tabs>
                <w:tab w:val="decimal" w:pos="113"/>
              </w:tabs>
              <w:spacing w:line="140" w:lineRule="exact"/>
              <w:rPr>
                <w:sz w:val="16"/>
                <w:szCs w:val="16"/>
              </w:rPr>
            </w:pPr>
          </w:p>
        </w:tc>
      </w:tr>
      <w:tr w:rsidR="00C561BD" w:rsidRPr="00682E64" w14:paraId="0FF306E9" w14:textId="77777777" w:rsidTr="00AC2186">
        <w:tc>
          <w:tcPr>
            <w:tcW w:w="857" w:type="dxa"/>
          </w:tcPr>
          <w:p w14:paraId="21B4890E" w14:textId="77777777" w:rsidR="00C561BD" w:rsidRPr="00B05763" w:rsidRDefault="00C561BD" w:rsidP="00AC2186">
            <w:pPr>
              <w:bidi w:val="0"/>
              <w:spacing w:line="140" w:lineRule="exact"/>
              <w:jc w:val="right"/>
              <w:rPr>
                <w:i/>
                <w:iCs/>
                <w:sz w:val="12"/>
                <w:szCs w:val="12"/>
                <w:rtl/>
              </w:rPr>
            </w:pPr>
          </w:p>
        </w:tc>
        <w:tc>
          <w:tcPr>
            <w:tcW w:w="2309" w:type="dxa"/>
            <w:vAlign w:val="bottom"/>
          </w:tcPr>
          <w:p w14:paraId="25FAA771" w14:textId="77777777" w:rsidR="00C561BD" w:rsidRPr="00682E64" w:rsidRDefault="00C561BD" w:rsidP="00AC2186">
            <w:pPr>
              <w:widowControl/>
              <w:spacing w:line="140" w:lineRule="exact"/>
              <w:ind w:left="57"/>
              <w:jc w:val="left"/>
              <w:rPr>
                <w:sz w:val="16"/>
                <w:szCs w:val="16"/>
                <w:rtl/>
              </w:rPr>
            </w:pPr>
          </w:p>
        </w:tc>
        <w:tc>
          <w:tcPr>
            <w:tcW w:w="113" w:type="dxa"/>
            <w:vAlign w:val="bottom"/>
          </w:tcPr>
          <w:p w14:paraId="1BF66D39"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57C8EF02"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2860E9F"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7BEBBD0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DBEC800"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3B0B6C8F" w14:textId="77777777" w:rsidR="00C561BD" w:rsidRPr="00682E64" w:rsidRDefault="00C561BD" w:rsidP="00AC2186">
            <w:pPr>
              <w:widowControl/>
              <w:spacing w:line="140" w:lineRule="exact"/>
              <w:ind w:left="57"/>
              <w:jc w:val="left"/>
              <w:rPr>
                <w:sz w:val="16"/>
                <w:szCs w:val="16"/>
              </w:rPr>
            </w:pPr>
          </w:p>
        </w:tc>
        <w:tc>
          <w:tcPr>
            <w:tcW w:w="115" w:type="dxa"/>
          </w:tcPr>
          <w:p w14:paraId="40508B82"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tcPr>
          <w:p w14:paraId="6D04C0BB" w14:textId="77777777" w:rsidR="00C561BD" w:rsidRPr="00682E64" w:rsidRDefault="00C561BD" w:rsidP="00AC2186">
            <w:pPr>
              <w:widowControl/>
              <w:spacing w:line="140" w:lineRule="exact"/>
              <w:ind w:left="57"/>
              <w:jc w:val="left"/>
              <w:rPr>
                <w:sz w:val="16"/>
                <w:szCs w:val="16"/>
              </w:rPr>
            </w:pPr>
          </w:p>
        </w:tc>
        <w:tc>
          <w:tcPr>
            <w:tcW w:w="115" w:type="dxa"/>
          </w:tcPr>
          <w:p w14:paraId="6A62C336" w14:textId="77777777" w:rsidR="00C561BD" w:rsidRPr="00682E64" w:rsidRDefault="00C561BD" w:rsidP="00AC2186">
            <w:pPr>
              <w:widowControl/>
              <w:spacing w:line="140" w:lineRule="exact"/>
              <w:ind w:left="57"/>
              <w:jc w:val="left"/>
              <w:rPr>
                <w:sz w:val="16"/>
                <w:szCs w:val="16"/>
              </w:rPr>
            </w:pPr>
          </w:p>
        </w:tc>
        <w:tc>
          <w:tcPr>
            <w:tcW w:w="633" w:type="dxa"/>
            <w:gridSpan w:val="2"/>
            <w:tcBorders>
              <w:top w:val="nil"/>
              <w:left w:val="nil"/>
              <w:right w:val="nil"/>
            </w:tcBorders>
            <w:shd w:val="clear" w:color="auto" w:fill="auto"/>
          </w:tcPr>
          <w:p w14:paraId="69E7E36E" w14:textId="77777777" w:rsidR="00C561BD" w:rsidRPr="00682E64" w:rsidRDefault="00C561BD" w:rsidP="00AC2186">
            <w:pPr>
              <w:widowControl/>
              <w:spacing w:line="140" w:lineRule="exact"/>
              <w:ind w:left="57"/>
              <w:jc w:val="left"/>
              <w:rPr>
                <w:sz w:val="16"/>
                <w:szCs w:val="16"/>
              </w:rPr>
            </w:pPr>
          </w:p>
        </w:tc>
        <w:tc>
          <w:tcPr>
            <w:tcW w:w="115" w:type="dxa"/>
            <w:vAlign w:val="bottom"/>
          </w:tcPr>
          <w:p w14:paraId="000CD39F"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071F3A6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40F56E2"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6B84F3B6" w14:textId="77777777" w:rsidR="00C561BD" w:rsidRPr="00682E64" w:rsidRDefault="00C561BD" w:rsidP="00AC2186">
            <w:pPr>
              <w:widowControl/>
              <w:spacing w:line="140" w:lineRule="exact"/>
              <w:ind w:left="57"/>
              <w:jc w:val="left"/>
              <w:rPr>
                <w:sz w:val="16"/>
                <w:szCs w:val="16"/>
              </w:rPr>
            </w:pPr>
          </w:p>
        </w:tc>
        <w:tc>
          <w:tcPr>
            <w:tcW w:w="115" w:type="dxa"/>
            <w:vAlign w:val="bottom"/>
          </w:tcPr>
          <w:p w14:paraId="66866C0D"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4DEC0DF5"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3E044AC"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7DB75E10"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7EA07515"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6CB8AEC5"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0415BD6C"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51108378"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01906505"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1B801CCD"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1CDDAFDB"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7FB01931" w14:textId="77777777" w:rsidR="00C561BD" w:rsidRPr="00682E64" w:rsidRDefault="00C561BD" w:rsidP="00AC2186">
            <w:pPr>
              <w:widowControl/>
              <w:spacing w:line="140" w:lineRule="exact"/>
              <w:ind w:left="57"/>
              <w:jc w:val="left"/>
              <w:rPr>
                <w:sz w:val="16"/>
                <w:szCs w:val="16"/>
              </w:rPr>
            </w:pPr>
          </w:p>
        </w:tc>
        <w:tc>
          <w:tcPr>
            <w:tcW w:w="146" w:type="dxa"/>
            <w:vAlign w:val="bottom"/>
          </w:tcPr>
          <w:p w14:paraId="21C370F0"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61D07A48"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5F006DB"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3443CC36" w14:textId="77777777" w:rsidR="00C561BD" w:rsidRPr="00682E64" w:rsidDel="00506022" w:rsidRDefault="00C561BD" w:rsidP="00AC2186">
            <w:pPr>
              <w:widowControl/>
              <w:spacing w:line="140" w:lineRule="exact"/>
              <w:ind w:left="57"/>
              <w:jc w:val="left"/>
              <w:rPr>
                <w:sz w:val="16"/>
                <w:szCs w:val="16"/>
              </w:rPr>
            </w:pPr>
          </w:p>
        </w:tc>
        <w:tc>
          <w:tcPr>
            <w:tcW w:w="115" w:type="dxa"/>
          </w:tcPr>
          <w:p w14:paraId="27FE067D" w14:textId="77777777" w:rsidR="00C561BD" w:rsidRPr="00682E64" w:rsidRDefault="00C561BD" w:rsidP="00AC2186">
            <w:pPr>
              <w:widowControl/>
              <w:spacing w:line="140" w:lineRule="exact"/>
              <w:ind w:left="57"/>
              <w:jc w:val="left"/>
              <w:rPr>
                <w:sz w:val="16"/>
                <w:szCs w:val="16"/>
              </w:rPr>
            </w:pPr>
          </w:p>
        </w:tc>
        <w:tc>
          <w:tcPr>
            <w:tcW w:w="640" w:type="dxa"/>
            <w:tcBorders>
              <w:top w:val="nil"/>
              <w:left w:val="nil"/>
              <w:right w:val="nil"/>
            </w:tcBorders>
            <w:shd w:val="clear" w:color="auto" w:fill="auto"/>
          </w:tcPr>
          <w:p w14:paraId="574BBF34" w14:textId="77777777" w:rsidR="00C561BD" w:rsidRPr="00682E64" w:rsidRDefault="00C561BD" w:rsidP="00AC2186">
            <w:pPr>
              <w:widowControl/>
              <w:spacing w:line="140" w:lineRule="exact"/>
              <w:ind w:left="57"/>
              <w:jc w:val="left"/>
              <w:rPr>
                <w:sz w:val="16"/>
                <w:szCs w:val="16"/>
              </w:rPr>
            </w:pPr>
          </w:p>
        </w:tc>
      </w:tr>
      <w:tr w:rsidR="00C561BD" w:rsidRPr="00682E64" w14:paraId="4C82DAFC" w14:textId="77777777" w:rsidTr="00AC2186">
        <w:tc>
          <w:tcPr>
            <w:tcW w:w="857" w:type="dxa"/>
            <w:tcBorders>
              <w:bottom w:val="single" w:sz="4" w:space="0" w:color="auto"/>
              <w:right w:val="single" w:sz="4" w:space="0" w:color="auto"/>
            </w:tcBorders>
          </w:tcPr>
          <w:p w14:paraId="795CC406" w14:textId="77777777" w:rsidR="00C561BD" w:rsidRPr="00B05763" w:rsidRDefault="00C561BD" w:rsidP="00AC2186">
            <w:pPr>
              <w:bidi w:val="0"/>
              <w:spacing w:line="140" w:lineRule="exact"/>
              <w:jc w:val="right"/>
              <w:rPr>
                <w:i/>
                <w:iCs/>
                <w:sz w:val="12"/>
                <w:szCs w:val="12"/>
                <w:rtl/>
              </w:rPr>
            </w:pPr>
            <w:r>
              <w:rPr>
                <w:i/>
                <w:iCs/>
                <w:sz w:val="12"/>
                <w:szCs w:val="12"/>
              </w:rPr>
              <w:t>IAS 1.106(d)(i)</w:t>
            </w:r>
          </w:p>
        </w:tc>
        <w:tc>
          <w:tcPr>
            <w:tcW w:w="2309" w:type="dxa"/>
            <w:tcBorders>
              <w:left w:val="single" w:sz="4" w:space="0" w:color="auto"/>
            </w:tcBorders>
            <w:vAlign w:val="bottom"/>
          </w:tcPr>
          <w:p w14:paraId="76D920E6" w14:textId="77777777" w:rsidR="00C561BD" w:rsidRPr="00682E64" w:rsidRDefault="00C561BD" w:rsidP="00AC2186">
            <w:pPr>
              <w:widowControl/>
              <w:spacing w:line="140" w:lineRule="exact"/>
              <w:ind w:left="57"/>
              <w:jc w:val="left"/>
              <w:rPr>
                <w:sz w:val="16"/>
                <w:szCs w:val="16"/>
                <w:rtl/>
              </w:rPr>
            </w:pPr>
            <w:r w:rsidRPr="00682E64">
              <w:rPr>
                <w:rFonts w:hint="cs"/>
                <w:sz w:val="16"/>
                <w:szCs w:val="16"/>
                <w:rtl/>
              </w:rPr>
              <w:t>רווח נקי (הפסד)</w:t>
            </w:r>
          </w:p>
        </w:tc>
        <w:tc>
          <w:tcPr>
            <w:tcW w:w="113" w:type="dxa"/>
            <w:vAlign w:val="bottom"/>
          </w:tcPr>
          <w:p w14:paraId="02D0082D"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01D65A2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74C44D0"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63F8991A"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3165FD7"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1C67AA3A" w14:textId="77777777" w:rsidR="00C561BD" w:rsidRPr="00682E64" w:rsidRDefault="00C561BD" w:rsidP="00AC2186">
            <w:pPr>
              <w:widowControl/>
              <w:spacing w:line="140" w:lineRule="exact"/>
              <w:ind w:left="57"/>
              <w:jc w:val="left"/>
              <w:rPr>
                <w:sz w:val="16"/>
                <w:szCs w:val="16"/>
              </w:rPr>
            </w:pPr>
          </w:p>
        </w:tc>
        <w:tc>
          <w:tcPr>
            <w:tcW w:w="115" w:type="dxa"/>
          </w:tcPr>
          <w:p w14:paraId="4FFA34DB"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tcPr>
          <w:p w14:paraId="4CCAA1D4" w14:textId="77777777" w:rsidR="00C561BD" w:rsidRPr="00682E64" w:rsidRDefault="00C561BD" w:rsidP="00AC2186">
            <w:pPr>
              <w:widowControl/>
              <w:spacing w:line="140" w:lineRule="exact"/>
              <w:ind w:left="57"/>
              <w:jc w:val="left"/>
              <w:rPr>
                <w:sz w:val="16"/>
                <w:szCs w:val="16"/>
              </w:rPr>
            </w:pPr>
          </w:p>
        </w:tc>
        <w:tc>
          <w:tcPr>
            <w:tcW w:w="115" w:type="dxa"/>
          </w:tcPr>
          <w:p w14:paraId="14AF2DEA" w14:textId="77777777" w:rsidR="00C561BD" w:rsidRPr="00682E64" w:rsidRDefault="00C561BD" w:rsidP="00AC2186">
            <w:pPr>
              <w:widowControl/>
              <w:spacing w:line="140" w:lineRule="exact"/>
              <w:ind w:left="57"/>
              <w:jc w:val="left"/>
              <w:rPr>
                <w:sz w:val="16"/>
                <w:szCs w:val="16"/>
              </w:rPr>
            </w:pPr>
          </w:p>
        </w:tc>
        <w:tc>
          <w:tcPr>
            <w:tcW w:w="633" w:type="dxa"/>
            <w:gridSpan w:val="2"/>
            <w:tcBorders>
              <w:top w:val="nil"/>
              <w:left w:val="nil"/>
              <w:right w:val="nil"/>
            </w:tcBorders>
            <w:shd w:val="clear" w:color="auto" w:fill="auto"/>
          </w:tcPr>
          <w:p w14:paraId="1F81331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A90CA79"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5FB45FBE" w14:textId="77777777" w:rsidR="00C561BD" w:rsidRPr="00682E64" w:rsidRDefault="00C561BD" w:rsidP="00AC2186">
            <w:pPr>
              <w:widowControl/>
              <w:spacing w:line="140" w:lineRule="exact"/>
              <w:ind w:left="57"/>
              <w:jc w:val="left"/>
              <w:rPr>
                <w:sz w:val="16"/>
                <w:szCs w:val="16"/>
              </w:rPr>
            </w:pPr>
          </w:p>
        </w:tc>
        <w:tc>
          <w:tcPr>
            <w:tcW w:w="115" w:type="dxa"/>
            <w:vAlign w:val="bottom"/>
          </w:tcPr>
          <w:p w14:paraId="25C9E96C"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4E0C8F34"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2DE95DB"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4027D5D7"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343666E"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5BBD752F"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0E456325"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16F93878"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71F805A5"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52FD71AB"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5FFE8828"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42BA5AF8"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0240C047"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091D11A7" w14:textId="77777777" w:rsidR="00C561BD" w:rsidRPr="00682E64" w:rsidRDefault="00C561BD" w:rsidP="00AC2186">
            <w:pPr>
              <w:widowControl/>
              <w:spacing w:line="140" w:lineRule="exact"/>
              <w:ind w:left="57"/>
              <w:jc w:val="left"/>
              <w:rPr>
                <w:sz w:val="16"/>
                <w:szCs w:val="16"/>
              </w:rPr>
            </w:pPr>
          </w:p>
        </w:tc>
        <w:tc>
          <w:tcPr>
            <w:tcW w:w="146" w:type="dxa"/>
            <w:vAlign w:val="bottom"/>
          </w:tcPr>
          <w:p w14:paraId="3B3AED71"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5EB3D43E"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3E23507"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0819139B" w14:textId="77777777" w:rsidR="00C561BD" w:rsidRPr="00682E64" w:rsidDel="00506022" w:rsidRDefault="00C561BD" w:rsidP="00AC2186">
            <w:pPr>
              <w:widowControl/>
              <w:spacing w:line="140" w:lineRule="exact"/>
              <w:ind w:left="57"/>
              <w:jc w:val="left"/>
              <w:rPr>
                <w:sz w:val="16"/>
                <w:szCs w:val="16"/>
              </w:rPr>
            </w:pPr>
          </w:p>
        </w:tc>
        <w:tc>
          <w:tcPr>
            <w:tcW w:w="115" w:type="dxa"/>
          </w:tcPr>
          <w:p w14:paraId="4511CE6A" w14:textId="77777777" w:rsidR="00C561BD" w:rsidRPr="00682E64" w:rsidRDefault="00C561BD" w:rsidP="00AC2186">
            <w:pPr>
              <w:widowControl/>
              <w:spacing w:line="140" w:lineRule="exact"/>
              <w:ind w:left="57"/>
              <w:jc w:val="left"/>
              <w:rPr>
                <w:sz w:val="16"/>
                <w:szCs w:val="16"/>
              </w:rPr>
            </w:pPr>
          </w:p>
        </w:tc>
        <w:tc>
          <w:tcPr>
            <w:tcW w:w="640" w:type="dxa"/>
            <w:tcBorders>
              <w:top w:val="nil"/>
              <w:left w:val="nil"/>
              <w:right w:val="nil"/>
            </w:tcBorders>
            <w:shd w:val="clear" w:color="auto" w:fill="auto"/>
          </w:tcPr>
          <w:p w14:paraId="57289FAF" w14:textId="77777777" w:rsidR="00C561BD" w:rsidRPr="00682E64" w:rsidRDefault="00C561BD" w:rsidP="00AC2186">
            <w:pPr>
              <w:widowControl/>
              <w:spacing w:line="140" w:lineRule="exact"/>
              <w:ind w:left="57"/>
              <w:jc w:val="left"/>
              <w:rPr>
                <w:sz w:val="16"/>
                <w:szCs w:val="16"/>
              </w:rPr>
            </w:pPr>
          </w:p>
        </w:tc>
      </w:tr>
      <w:tr w:rsidR="00C561BD" w:rsidRPr="00682E64" w14:paraId="5AEC477D" w14:textId="77777777" w:rsidTr="00AC2186">
        <w:tc>
          <w:tcPr>
            <w:tcW w:w="857" w:type="dxa"/>
            <w:tcBorders>
              <w:top w:val="single" w:sz="4" w:space="0" w:color="auto"/>
              <w:bottom w:val="single" w:sz="4" w:space="0" w:color="auto"/>
              <w:right w:val="single" w:sz="4" w:space="0" w:color="auto"/>
            </w:tcBorders>
          </w:tcPr>
          <w:p w14:paraId="5317CA4A" w14:textId="77777777" w:rsidR="00C561BD" w:rsidRPr="00B05763" w:rsidRDefault="00C561BD" w:rsidP="00AC2186">
            <w:pPr>
              <w:bidi w:val="0"/>
              <w:spacing w:line="140" w:lineRule="exact"/>
              <w:jc w:val="right"/>
              <w:rPr>
                <w:i/>
                <w:iCs/>
                <w:sz w:val="12"/>
                <w:szCs w:val="12"/>
                <w:rtl/>
              </w:rPr>
            </w:pPr>
            <w:r>
              <w:rPr>
                <w:i/>
                <w:iCs/>
                <w:sz w:val="12"/>
                <w:szCs w:val="12"/>
              </w:rPr>
              <w:t>IAS 1.106(d)(ii)</w:t>
            </w:r>
          </w:p>
        </w:tc>
        <w:tc>
          <w:tcPr>
            <w:tcW w:w="2309" w:type="dxa"/>
            <w:tcBorders>
              <w:left w:val="single" w:sz="4" w:space="0" w:color="auto"/>
            </w:tcBorders>
            <w:vAlign w:val="bottom"/>
          </w:tcPr>
          <w:p w14:paraId="52B8636E" w14:textId="77777777" w:rsidR="00C561BD" w:rsidRPr="00682E64" w:rsidRDefault="00C561BD" w:rsidP="00AC2186">
            <w:pPr>
              <w:widowControl/>
              <w:spacing w:line="140" w:lineRule="exact"/>
              <w:ind w:left="57"/>
              <w:jc w:val="left"/>
              <w:rPr>
                <w:sz w:val="16"/>
                <w:szCs w:val="16"/>
                <w:rtl/>
              </w:rPr>
            </w:pPr>
            <w:r w:rsidRPr="00682E64">
              <w:rPr>
                <w:rFonts w:hint="eastAsia"/>
                <w:sz w:val="16"/>
                <w:szCs w:val="16"/>
                <w:rtl/>
              </w:rPr>
              <w:t>סה</w:t>
            </w:r>
            <w:r w:rsidRPr="00682E64">
              <w:rPr>
                <w:sz w:val="16"/>
                <w:szCs w:val="16"/>
                <w:rtl/>
              </w:rPr>
              <w:t xml:space="preserve">"כ </w:t>
            </w:r>
            <w:r w:rsidRPr="00682E64">
              <w:rPr>
                <w:rFonts w:hint="eastAsia"/>
                <w:sz w:val="16"/>
                <w:szCs w:val="16"/>
                <w:rtl/>
              </w:rPr>
              <w:t>רווח</w:t>
            </w:r>
            <w:r w:rsidRPr="00682E64">
              <w:rPr>
                <w:sz w:val="16"/>
                <w:szCs w:val="16"/>
                <w:rtl/>
              </w:rPr>
              <w:t xml:space="preserve"> (הפסד) </w:t>
            </w:r>
            <w:r w:rsidRPr="00682E64">
              <w:rPr>
                <w:rFonts w:hint="eastAsia"/>
                <w:sz w:val="16"/>
                <w:szCs w:val="16"/>
                <w:rtl/>
              </w:rPr>
              <w:t>כולל</w:t>
            </w:r>
            <w:r w:rsidRPr="00682E64">
              <w:rPr>
                <w:sz w:val="16"/>
                <w:szCs w:val="16"/>
                <w:rtl/>
              </w:rPr>
              <w:t xml:space="preserve"> </w:t>
            </w:r>
            <w:r w:rsidRPr="00682E64">
              <w:rPr>
                <w:rFonts w:hint="eastAsia"/>
                <w:sz w:val="16"/>
                <w:szCs w:val="16"/>
                <w:rtl/>
              </w:rPr>
              <w:t>אחר</w:t>
            </w:r>
          </w:p>
        </w:tc>
        <w:tc>
          <w:tcPr>
            <w:tcW w:w="113" w:type="dxa"/>
            <w:vAlign w:val="bottom"/>
          </w:tcPr>
          <w:p w14:paraId="06CB580B"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41FD52BF" w14:textId="77777777" w:rsidR="00C561BD" w:rsidRPr="00682E64" w:rsidRDefault="00C561BD" w:rsidP="00AC2186">
            <w:pPr>
              <w:widowControl/>
              <w:spacing w:line="140" w:lineRule="exact"/>
              <w:ind w:left="57"/>
              <w:jc w:val="left"/>
              <w:rPr>
                <w:sz w:val="16"/>
                <w:szCs w:val="16"/>
              </w:rPr>
            </w:pPr>
          </w:p>
        </w:tc>
        <w:tc>
          <w:tcPr>
            <w:tcW w:w="115" w:type="dxa"/>
            <w:vAlign w:val="bottom"/>
          </w:tcPr>
          <w:p w14:paraId="2E5C3E6F"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23D3E205"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292AE6A"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2039CEC2" w14:textId="77777777" w:rsidR="00C561BD" w:rsidRPr="00682E64" w:rsidRDefault="00C561BD" w:rsidP="00AC2186">
            <w:pPr>
              <w:widowControl/>
              <w:spacing w:line="140" w:lineRule="exact"/>
              <w:ind w:left="57"/>
              <w:jc w:val="left"/>
              <w:rPr>
                <w:sz w:val="16"/>
                <w:szCs w:val="16"/>
              </w:rPr>
            </w:pPr>
          </w:p>
        </w:tc>
        <w:tc>
          <w:tcPr>
            <w:tcW w:w="115" w:type="dxa"/>
          </w:tcPr>
          <w:p w14:paraId="64BDAF6F"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bottom w:val="single" w:sz="6" w:space="0" w:color="auto"/>
              <w:right w:val="nil"/>
            </w:tcBorders>
            <w:shd w:val="clear" w:color="auto" w:fill="auto"/>
          </w:tcPr>
          <w:p w14:paraId="5C000FB0" w14:textId="77777777" w:rsidR="00C561BD" w:rsidRPr="00682E64" w:rsidRDefault="00C561BD" w:rsidP="00AC2186">
            <w:pPr>
              <w:widowControl/>
              <w:spacing w:line="140" w:lineRule="exact"/>
              <w:ind w:left="57"/>
              <w:jc w:val="left"/>
              <w:rPr>
                <w:sz w:val="16"/>
                <w:szCs w:val="16"/>
              </w:rPr>
            </w:pPr>
          </w:p>
        </w:tc>
        <w:tc>
          <w:tcPr>
            <w:tcW w:w="115" w:type="dxa"/>
          </w:tcPr>
          <w:p w14:paraId="0966AF07" w14:textId="77777777" w:rsidR="00C561BD" w:rsidRPr="00682E64" w:rsidRDefault="00C561BD" w:rsidP="00AC2186">
            <w:pPr>
              <w:widowControl/>
              <w:spacing w:line="140" w:lineRule="exact"/>
              <w:ind w:left="57"/>
              <w:jc w:val="left"/>
              <w:rPr>
                <w:sz w:val="16"/>
                <w:szCs w:val="16"/>
              </w:rPr>
            </w:pPr>
          </w:p>
        </w:tc>
        <w:tc>
          <w:tcPr>
            <w:tcW w:w="633" w:type="dxa"/>
            <w:gridSpan w:val="2"/>
            <w:tcBorders>
              <w:top w:val="nil"/>
              <w:left w:val="nil"/>
              <w:bottom w:val="single" w:sz="6" w:space="0" w:color="auto"/>
              <w:right w:val="nil"/>
            </w:tcBorders>
            <w:shd w:val="clear" w:color="auto" w:fill="auto"/>
          </w:tcPr>
          <w:p w14:paraId="43555C16"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CBA88D7"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5B207992" w14:textId="77777777" w:rsidR="00C561BD" w:rsidRPr="00682E64" w:rsidRDefault="00C561BD" w:rsidP="00AC2186">
            <w:pPr>
              <w:widowControl/>
              <w:spacing w:line="140" w:lineRule="exact"/>
              <w:ind w:left="57"/>
              <w:jc w:val="left"/>
              <w:rPr>
                <w:sz w:val="16"/>
                <w:szCs w:val="16"/>
              </w:rPr>
            </w:pPr>
          </w:p>
        </w:tc>
        <w:tc>
          <w:tcPr>
            <w:tcW w:w="115" w:type="dxa"/>
            <w:vAlign w:val="bottom"/>
          </w:tcPr>
          <w:p w14:paraId="07E4AB3C"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bottom w:val="single" w:sz="6" w:space="0" w:color="auto"/>
              <w:right w:val="nil"/>
            </w:tcBorders>
            <w:shd w:val="clear" w:color="auto" w:fill="auto"/>
            <w:vAlign w:val="bottom"/>
          </w:tcPr>
          <w:p w14:paraId="6A89E46D" w14:textId="77777777" w:rsidR="00C561BD" w:rsidRPr="00682E64" w:rsidRDefault="00C561BD" w:rsidP="00AC2186">
            <w:pPr>
              <w:widowControl/>
              <w:spacing w:line="140" w:lineRule="exact"/>
              <w:ind w:left="57"/>
              <w:jc w:val="left"/>
              <w:rPr>
                <w:sz w:val="16"/>
                <w:szCs w:val="16"/>
              </w:rPr>
            </w:pPr>
          </w:p>
        </w:tc>
        <w:tc>
          <w:tcPr>
            <w:tcW w:w="115" w:type="dxa"/>
            <w:vAlign w:val="bottom"/>
          </w:tcPr>
          <w:p w14:paraId="470D1C50"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bottom w:val="single" w:sz="6" w:space="0" w:color="auto"/>
              <w:right w:val="nil"/>
            </w:tcBorders>
            <w:shd w:val="clear" w:color="auto" w:fill="auto"/>
            <w:vAlign w:val="bottom"/>
          </w:tcPr>
          <w:p w14:paraId="5D04066C"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E774382"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4065D01B"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1CED7BA5"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5DAD28A1"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56FC9176"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32654811"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728A72BD"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4460B033"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4C5471F6"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5EA4D79C" w14:textId="77777777" w:rsidR="00C561BD" w:rsidRPr="00682E64" w:rsidRDefault="00C561BD" w:rsidP="00AC2186">
            <w:pPr>
              <w:widowControl/>
              <w:spacing w:line="140" w:lineRule="exact"/>
              <w:ind w:left="57"/>
              <w:jc w:val="left"/>
              <w:rPr>
                <w:sz w:val="16"/>
                <w:szCs w:val="16"/>
              </w:rPr>
            </w:pPr>
          </w:p>
        </w:tc>
        <w:tc>
          <w:tcPr>
            <w:tcW w:w="146" w:type="dxa"/>
            <w:vAlign w:val="bottom"/>
          </w:tcPr>
          <w:p w14:paraId="74F0756D"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bottom w:val="single" w:sz="6" w:space="0" w:color="auto"/>
              <w:right w:val="nil"/>
            </w:tcBorders>
            <w:shd w:val="clear" w:color="auto" w:fill="auto"/>
            <w:vAlign w:val="bottom"/>
          </w:tcPr>
          <w:p w14:paraId="47D5DD2B"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2929D26"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bottom w:val="single" w:sz="6" w:space="0" w:color="auto"/>
              <w:right w:val="nil"/>
            </w:tcBorders>
            <w:shd w:val="clear" w:color="auto" w:fill="auto"/>
            <w:vAlign w:val="bottom"/>
          </w:tcPr>
          <w:p w14:paraId="7DA3B589" w14:textId="77777777" w:rsidR="00C561BD" w:rsidRPr="00682E64" w:rsidDel="00506022" w:rsidRDefault="00C561BD" w:rsidP="00AC2186">
            <w:pPr>
              <w:widowControl/>
              <w:spacing w:line="140" w:lineRule="exact"/>
              <w:ind w:left="57"/>
              <w:jc w:val="left"/>
              <w:rPr>
                <w:sz w:val="16"/>
                <w:szCs w:val="16"/>
              </w:rPr>
            </w:pPr>
          </w:p>
        </w:tc>
        <w:tc>
          <w:tcPr>
            <w:tcW w:w="115" w:type="dxa"/>
          </w:tcPr>
          <w:p w14:paraId="0C7836FE" w14:textId="77777777" w:rsidR="00C561BD" w:rsidRPr="00682E64" w:rsidRDefault="00C561BD" w:rsidP="00AC2186">
            <w:pPr>
              <w:widowControl/>
              <w:spacing w:line="140" w:lineRule="exact"/>
              <w:ind w:left="57"/>
              <w:jc w:val="left"/>
              <w:rPr>
                <w:sz w:val="16"/>
                <w:szCs w:val="16"/>
              </w:rPr>
            </w:pPr>
          </w:p>
        </w:tc>
        <w:tc>
          <w:tcPr>
            <w:tcW w:w="640" w:type="dxa"/>
            <w:tcBorders>
              <w:top w:val="nil"/>
              <w:left w:val="nil"/>
              <w:bottom w:val="single" w:sz="6" w:space="0" w:color="auto"/>
              <w:right w:val="nil"/>
            </w:tcBorders>
            <w:shd w:val="clear" w:color="auto" w:fill="auto"/>
          </w:tcPr>
          <w:p w14:paraId="7AE2693D" w14:textId="77777777" w:rsidR="00C561BD" w:rsidRPr="00682E64" w:rsidRDefault="00C561BD" w:rsidP="00AC2186">
            <w:pPr>
              <w:widowControl/>
              <w:spacing w:line="140" w:lineRule="exact"/>
              <w:ind w:left="57"/>
              <w:jc w:val="left"/>
              <w:rPr>
                <w:sz w:val="16"/>
                <w:szCs w:val="16"/>
              </w:rPr>
            </w:pPr>
          </w:p>
        </w:tc>
      </w:tr>
      <w:tr w:rsidR="00C561BD" w:rsidRPr="00682E64" w14:paraId="558E5737" w14:textId="77777777" w:rsidTr="00AC2186">
        <w:tc>
          <w:tcPr>
            <w:tcW w:w="857" w:type="dxa"/>
            <w:tcBorders>
              <w:top w:val="single" w:sz="4" w:space="0" w:color="auto"/>
            </w:tcBorders>
          </w:tcPr>
          <w:p w14:paraId="357F69D7" w14:textId="77777777" w:rsidR="00C561BD" w:rsidRPr="00B05763" w:rsidRDefault="00C561BD" w:rsidP="00AC2186">
            <w:pPr>
              <w:bidi w:val="0"/>
              <w:spacing w:line="140" w:lineRule="exact"/>
              <w:jc w:val="right"/>
              <w:rPr>
                <w:i/>
                <w:iCs/>
                <w:sz w:val="12"/>
                <w:szCs w:val="12"/>
                <w:rtl/>
              </w:rPr>
            </w:pPr>
          </w:p>
        </w:tc>
        <w:tc>
          <w:tcPr>
            <w:tcW w:w="2309" w:type="dxa"/>
            <w:vAlign w:val="bottom"/>
          </w:tcPr>
          <w:p w14:paraId="740C385E" w14:textId="77777777" w:rsidR="00C561BD" w:rsidRPr="00682E64" w:rsidRDefault="00C561BD" w:rsidP="00AC2186">
            <w:pPr>
              <w:widowControl/>
              <w:spacing w:line="140" w:lineRule="exact"/>
              <w:ind w:left="57"/>
              <w:jc w:val="left"/>
              <w:rPr>
                <w:sz w:val="16"/>
                <w:szCs w:val="16"/>
                <w:rtl/>
              </w:rPr>
            </w:pPr>
            <w:r w:rsidRPr="00682E64">
              <w:rPr>
                <w:rFonts w:hint="cs"/>
                <w:sz w:val="16"/>
                <w:szCs w:val="16"/>
                <w:rtl/>
              </w:rPr>
              <w:t>סה"כ רווח (הפסד) כולל</w:t>
            </w:r>
          </w:p>
        </w:tc>
        <w:tc>
          <w:tcPr>
            <w:tcW w:w="113" w:type="dxa"/>
            <w:vAlign w:val="bottom"/>
          </w:tcPr>
          <w:p w14:paraId="13DB5122"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5FC436E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057A320E"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3BDEEE2C"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263D277"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7A8E202E" w14:textId="77777777" w:rsidR="00C561BD" w:rsidRPr="00682E64" w:rsidRDefault="00C561BD" w:rsidP="00AC2186">
            <w:pPr>
              <w:widowControl/>
              <w:spacing w:line="140" w:lineRule="exact"/>
              <w:ind w:left="57"/>
              <w:jc w:val="left"/>
              <w:rPr>
                <w:sz w:val="16"/>
                <w:szCs w:val="16"/>
              </w:rPr>
            </w:pPr>
          </w:p>
        </w:tc>
        <w:tc>
          <w:tcPr>
            <w:tcW w:w="115" w:type="dxa"/>
          </w:tcPr>
          <w:p w14:paraId="397575C7"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tcPr>
          <w:p w14:paraId="6A3430E0" w14:textId="77777777" w:rsidR="00C561BD" w:rsidRPr="00682E64" w:rsidRDefault="00C561BD" w:rsidP="00AC2186">
            <w:pPr>
              <w:widowControl/>
              <w:spacing w:line="140" w:lineRule="exact"/>
              <w:ind w:left="57"/>
              <w:jc w:val="left"/>
              <w:rPr>
                <w:sz w:val="16"/>
                <w:szCs w:val="16"/>
              </w:rPr>
            </w:pPr>
          </w:p>
        </w:tc>
        <w:tc>
          <w:tcPr>
            <w:tcW w:w="115" w:type="dxa"/>
          </w:tcPr>
          <w:p w14:paraId="6F43FC8E" w14:textId="77777777" w:rsidR="00C561BD" w:rsidRPr="00682E64" w:rsidRDefault="00C561BD" w:rsidP="00AC2186">
            <w:pPr>
              <w:widowControl/>
              <w:spacing w:line="140" w:lineRule="exact"/>
              <w:ind w:left="57"/>
              <w:jc w:val="left"/>
              <w:rPr>
                <w:sz w:val="16"/>
                <w:szCs w:val="16"/>
              </w:rPr>
            </w:pPr>
          </w:p>
        </w:tc>
        <w:tc>
          <w:tcPr>
            <w:tcW w:w="633" w:type="dxa"/>
            <w:gridSpan w:val="2"/>
            <w:tcBorders>
              <w:top w:val="single" w:sz="6" w:space="0" w:color="auto"/>
              <w:left w:val="nil"/>
              <w:right w:val="nil"/>
            </w:tcBorders>
            <w:shd w:val="clear" w:color="auto" w:fill="auto"/>
          </w:tcPr>
          <w:p w14:paraId="1E3CC51B"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C62577B"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03C2C5C8" w14:textId="77777777" w:rsidR="00C561BD" w:rsidRPr="00682E64" w:rsidRDefault="00C561BD" w:rsidP="00AC2186">
            <w:pPr>
              <w:widowControl/>
              <w:spacing w:line="140" w:lineRule="exact"/>
              <w:ind w:left="57"/>
              <w:jc w:val="left"/>
              <w:rPr>
                <w:sz w:val="16"/>
                <w:szCs w:val="16"/>
              </w:rPr>
            </w:pPr>
          </w:p>
        </w:tc>
        <w:tc>
          <w:tcPr>
            <w:tcW w:w="115" w:type="dxa"/>
            <w:vAlign w:val="bottom"/>
          </w:tcPr>
          <w:p w14:paraId="622A30B1" w14:textId="77777777" w:rsidR="00C561BD" w:rsidRPr="00682E64" w:rsidRDefault="00C561BD" w:rsidP="00AC2186">
            <w:pPr>
              <w:widowControl/>
              <w:spacing w:line="140" w:lineRule="exact"/>
              <w:ind w:left="57"/>
              <w:jc w:val="left"/>
              <w:rPr>
                <w:sz w:val="16"/>
                <w:szCs w:val="16"/>
              </w:rPr>
            </w:pPr>
          </w:p>
        </w:tc>
        <w:tc>
          <w:tcPr>
            <w:tcW w:w="748" w:type="dxa"/>
            <w:tcBorders>
              <w:top w:val="single" w:sz="6" w:space="0" w:color="auto"/>
              <w:left w:val="nil"/>
              <w:right w:val="nil"/>
            </w:tcBorders>
            <w:shd w:val="clear" w:color="auto" w:fill="auto"/>
            <w:vAlign w:val="bottom"/>
          </w:tcPr>
          <w:p w14:paraId="079AE87F"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CD5FCB8" w14:textId="77777777" w:rsidR="00C561BD" w:rsidRPr="00682E64" w:rsidRDefault="00C561BD" w:rsidP="00AC2186">
            <w:pPr>
              <w:widowControl/>
              <w:spacing w:line="140" w:lineRule="exact"/>
              <w:ind w:left="57"/>
              <w:jc w:val="left"/>
              <w:rPr>
                <w:sz w:val="16"/>
                <w:szCs w:val="16"/>
              </w:rPr>
            </w:pPr>
          </w:p>
        </w:tc>
        <w:tc>
          <w:tcPr>
            <w:tcW w:w="748" w:type="dxa"/>
            <w:tcBorders>
              <w:top w:val="single" w:sz="6" w:space="0" w:color="auto"/>
              <w:left w:val="nil"/>
              <w:right w:val="nil"/>
            </w:tcBorders>
            <w:shd w:val="clear" w:color="auto" w:fill="auto"/>
            <w:vAlign w:val="bottom"/>
          </w:tcPr>
          <w:p w14:paraId="184CFB9C"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C5D3E33"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00282304"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1ED406EE"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471A8DF6"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60C4F2C1"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7EA1AE86"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1BB157C6"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7D80FB9A"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58413762"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58F68EEE" w14:textId="77777777" w:rsidR="00C561BD" w:rsidRPr="00682E64" w:rsidRDefault="00C561BD" w:rsidP="00AC2186">
            <w:pPr>
              <w:widowControl/>
              <w:spacing w:line="140" w:lineRule="exact"/>
              <w:ind w:left="57"/>
              <w:jc w:val="left"/>
              <w:rPr>
                <w:sz w:val="16"/>
                <w:szCs w:val="16"/>
              </w:rPr>
            </w:pPr>
          </w:p>
        </w:tc>
        <w:tc>
          <w:tcPr>
            <w:tcW w:w="146" w:type="dxa"/>
            <w:vAlign w:val="bottom"/>
          </w:tcPr>
          <w:p w14:paraId="05D6229F"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02FADF4B" w14:textId="77777777" w:rsidR="00C561BD" w:rsidRPr="00682E64" w:rsidRDefault="00C561BD" w:rsidP="00AC2186">
            <w:pPr>
              <w:widowControl/>
              <w:spacing w:line="140" w:lineRule="exact"/>
              <w:ind w:left="57"/>
              <w:jc w:val="left"/>
              <w:rPr>
                <w:sz w:val="16"/>
                <w:szCs w:val="16"/>
              </w:rPr>
            </w:pPr>
          </w:p>
        </w:tc>
        <w:tc>
          <w:tcPr>
            <w:tcW w:w="115" w:type="dxa"/>
            <w:vAlign w:val="bottom"/>
          </w:tcPr>
          <w:p w14:paraId="6D54F631"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6F75AD9C" w14:textId="77777777" w:rsidR="00C561BD" w:rsidRPr="00682E64" w:rsidRDefault="00C561BD" w:rsidP="00AC2186">
            <w:pPr>
              <w:widowControl/>
              <w:spacing w:line="140" w:lineRule="exact"/>
              <w:ind w:left="57"/>
              <w:jc w:val="left"/>
              <w:rPr>
                <w:sz w:val="16"/>
                <w:szCs w:val="16"/>
              </w:rPr>
            </w:pPr>
          </w:p>
        </w:tc>
        <w:tc>
          <w:tcPr>
            <w:tcW w:w="115" w:type="dxa"/>
          </w:tcPr>
          <w:p w14:paraId="10923B87" w14:textId="77777777" w:rsidR="00C561BD" w:rsidRPr="00682E64" w:rsidRDefault="00C561BD" w:rsidP="00AC2186">
            <w:pPr>
              <w:widowControl/>
              <w:spacing w:line="140" w:lineRule="exact"/>
              <w:ind w:left="57"/>
              <w:jc w:val="left"/>
              <w:rPr>
                <w:sz w:val="16"/>
                <w:szCs w:val="16"/>
              </w:rPr>
            </w:pPr>
          </w:p>
        </w:tc>
        <w:tc>
          <w:tcPr>
            <w:tcW w:w="640" w:type="dxa"/>
            <w:tcBorders>
              <w:top w:val="single" w:sz="6" w:space="0" w:color="auto"/>
              <w:left w:val="nil"/>
              <w:right w:val="nil"/>
            </w:tcBorders>
            <w:shd w:val="clear" w:color="auto" w:fill="auto"/>
          </w:tcPr>
          <w:p w14:paraId="55025547" w14:textId="77777777" w:rsidR="00C561BD" w:rsidRPr="00682E64" w:rsidRDefault="00C561BD" w:rsidP="00AC2186">
            <w:pPr>
              <w:widowControl/>
              <w:spacing w:line="140" w:lineRule="exact"/>
              <w:ind w:left="57"/>
              <w:jc w:val="left"/>
              <w:rPr>
                <w:sz w:val="16"/>
                <w:szCs w:val="16"/>
              </w:rPr>
            </w:pPr>
          </w:p>
        </w:tc>
      </w:tr>
      <w:tr w:rsidR="00C561BD" w:rsidRPr="00682E64" w14:paraId="5612D29F" w14:textId="77777777" w:rsidTr="00AC2186">
        <w:tc>
          <w:tcPr>
            <w:tcW w:w="857" w:type="dxa"/>
          </w:tcPr>
          <w:p w14:paraId="50B4AB53" w14:textId="77777777" w:rsidR="00C561BD" w:rsidRPr="00B05763" w:rsidRDefault="00C561BD" w:rsidP="00AC2186">
            <w:pPr>
              <w:widowControl/>
              <w:spacing w:line="140" w:lineRule="exact"/>
              <w:jc w:val="right"/>
              <w:rPr>
                <w:i/>
                <w:iCs/>
                <w:sz w:val="12"/>
                <w:szCs w:val="12"/>
                <w:rtl/>
              </w:rPr>
            </w:pPr>
          </w:p>
        </w:tc>
        <w:tc>
          <w:tcPr>
            <w:tcW w:w="2309" w:type="dxa"/>
            <w:vAlign w:val="bottom"/>
          </w:tcPr>
          <w:p w14:paraId="3E1D80E5" w14:textId="77777777" w:rsidR="00C561BD" w:rsidRPr="00682E64" w:rsidRDefault="00C561BD" w:rsidP="00AC2186">
            <w:pPr>
              <w:widowControl/>
              <w:spacing w:line="140" w:lineRule="exact"/>
              <w:jc w:val="left"/>
              <w:rPr>
                <w:sz w:val="16"/>
                <w:szCs w:val="16"/>
                <w:rtl/>
              </w:rPr>
            </w:pPr>
          </w:p>
        </w:tc>
        <w:tc>
          <w:tcPr>
            <w:tcW w:w="113" w:type="dxa"/>
            <w:vAlign w:val="bottom"/>
          </w:tcPr>
          <w:p w14:paraId="0CE6A0B2" w14:textId="77777777" w:rsidR="00C561BD" w:rsidRPr="00682E64" w:rsidRDefault="00C561BD" w:rsidP="00AC2186">
            <w:pPr>
              <w:widowControl/>
              <w:spacing w:line="140" w:lineRule="exact"/>
              <w:rPr>
                <w:sz w:val="16"/>
                <w:szCs w:val="16"/>
              </w:rPr>
            </w:pPr>
          </w:p>
        </w:tc>
        <w:tc>
          <w:tcPr>
            <w:tcW w:w="633" w:type="dxa"/>
            <w:tcBorders>
              <w:top w:val="nil"/>
              <w:left w:val="nil"/>
              <w:right w:val="nil"/>
            </w:tcBorders>
            <w:shd w:val="clear" w:color="auto" w:fill="auto"/>
            <w:vAlign w:val="bottom"/>
          </w:tcPr>
          <w:p w14:paraId="06AF756E"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438A93F" w14:textId="77777777" w:rsidR="00C561BD" w:rsidRPr="00682E64" w:rsidRDefault="00C561BD" w:rsidP="00AC2186">
            <w:pPr>
              <w:widowControl/>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CC196C6"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09C20F50" w14:textId="77777777" w:rsidR="00C561BD" w:rsidRPr="00682E64" w:rsidRDefault="00C561BD" w:rsidP="00AC2186">
            <w:pPr>
              <w:widowControl/>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4D21A52" w14:textId="77777777" w:rsidR="00C561BD" w:rsidRPr="00682E64" w:rsidRDefault="00C561BD" w:rsidP="00AC2186">
            <w:pPr>
              <w:widowControl/>
              <w:tabs>
                <w:tab w:val="decimal" w:pos="113"/>
              </w:tabs>
              <w:spacing w:line="140" w:lineRule="exact"/>
              <w:rPr>
                <w:sz w:val="16"/>
                <w:szCs w:val="16"/>
              </w:rPr>
            </w:pPr>
          </w:p>
        </w:tc>
        <w:tc>
          <w:tcPr>
            <w:tcW w:w="115" w:type="dxa"/>
          </w:tcPr>
          <w:p w14:paraId="3B48A6B6" w14:textId="77777777" w:rsidR="00C561BD" w:rsidRPr="00682E64" w:rsidRDefault="00C561BD" w:rsidP="00AC2186">
            <w:pPr>
              <w:widowControl/>
              <w:tabs>
                <w:tab w:val="decimal" w:pos="113"/>
              </w:tabs>
              <w:spacing w:line="140" w:lineRule="exact"/>
              <w:rPr>
                <w:sz w:val="16"/>
                <w:szCs w:val="16"/>
              </w:rPr>
            </w:pPr>
          </w:p>
        </w:tc>
        <w:tc>
          <w:tcPr>
            <w:tcW w:w="690" w:type="dxa"/>
            <w:tcBorders>
              <w:top w:val="nil"/>
              <w:left w:val="nil"/>
              <w:right w:val="nil"/>
            </w:tcBorders>
            <w:shd w:val="clear" w:color="auto" w:fill="auto"/>
          </w:tcPr>
          <w:p w14:paraId="6D3075BF" w14:textId="77777777" w:rsidR="00C561BD" w:rsidRPr="00682E64" w:rsidRDefault="00C561BD" w:rsidP="00AC2186">
            <w:pPr>
              <w:widowControl/>
              <w:tabs>
                <w:tab w:val="decimal" w:pos="113"/>
              </w:tabs>
              <w:spacing w:line="140" w:lineRule="exact"/>
              <w:rPr>
                <w:sz w:val="16"/>
                <w:szCs w:val="16"/>
              </w:rPr>
            </w:pPr>
          </w:p>
        </w:tc>
        <w:tc>
          <w:tcPr>
            <w:tcW w:w="115" w:type="dxa"/>
          </w:tcPr>
          <w:p w14:paraId="77221439" w14:textId="77777777" w:rsidR="00C561BD" w:rsidRPr="00682E64" w:rsidRDefault="00C561BD" w:rsidP="00AC2186">
            <w:pPr>
              <w:widowControl/>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716EC803"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41FC1E4A" w14:textId="77777777" w:rsidR="00C561BD" w:rsidRPr="00682E64" w:rsidRDefault="00C561BD" w:rsidP="00AC2186">
            <w:pPr>
              <w:widowControl/>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022D8D3"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53E4C542" w14:textId="77777777" w:rsidR="00C561BD" w:rsidRPr="00682E64" w:rsidRDefault="00C561BD" w:rsidP="00AC2186">
            <w:pPr>
              <w:widowControl/>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A704E12"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16FC948" w14:textId="77777777" w:rsidR="00C561BD" w:rsidRPr="00682E64" w:rsidRDefault="00C561BD" w:rsidP="00AC2186">
            <w:pPr>
              <w:widowControl/>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889803D"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E0956AA"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674E7B91"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48E75247"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6D4C3725"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1FEC7FFA"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4EF66546"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5D9804E5"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2C00B68F"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32685EF9"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691033D2" w14:textId="77777777" w:rsidR="00C561BD" w:rsidRPr="00682E64" w:rsidRDefault="00C561BD" w:rsidP="00AC2186">
            <w:pPr>
              <w:widowControl/>
              <w:tabs>
                <w:tab w:val="decimal" w:pos="113"/>
              </w:tabs>
              <w:spacing w:line="140" w:lineRule="exact"/>
              <w:rPr>
                <w:sz w:val="16"/>
                <w:szCs w:val="16"/>
              </w:rPr>
            </w:pPr>
          </w:p>
        </w:tc>
        <w:tc>
          <w:tcPr>
            <w:tcW w:w="146" w:type="dxa"/>
            <w:vAlign w:val="bottom"/>
          </w:tcPr>
          <w:p w14:paraId="2DA0F66D" w14:textId="77777777" w:rsidR="00C561BD" w:rsidRPr="00682E64" w:rsidRDefault="00C561BD" w:rsidP="00AC2186">
            <w:pPr>
              <w:widowControl/>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131A8619"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7B972008" w14:textId="77777777" w:rsidR="00C561BD" w:rsidRPr="00682E64" w:rsidRDefault="00C561BD" w:rsidP="00AC2186">
            <w:pPr>
              <w:widowControl/>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FB4C086" w14:textId="77777777" w:rsidR="00C561BD" w:rsidRPr="00682E64" w:rsidRDefault="00C561BD" w:rsidP="00AC2186">
            <w:pPr>
              <w:widowControl/>
              <w:tabs>
                <w:tab w:val="decimal" w:pos="113"/>
              </w:tabs>
              <w:spacing w:line="140" w:lineRule="exact"/>
              <w:rPr>
                <w:sz w:val="16"/>
                <w:szCs w:val="16"/>
              </w:rPr>
            </w:pPr>
          </w:p>
        </w:tc>
        <w:tc>
          <w:tcPr>
            <w:tcW w:w="115" w:type="dxa"/>
          </w:tcPr>
          <w:p w14:paraId="044ACAFF" w14:textId="77777777" w:rsidR="00C561BD" w:rsidRPr="00682E64" w:rsidRDefault="00C561BD" w:rsidP="00AC2186">
            <w:pPr>
              <w:widowControl/>
              <w:tabs>
                <w:tab w:val="decimal" w:pos="113"/>
              </w:tabs>
              <w:spacing w:line="140" w:lineRule="exact"/>
              <w:rPr>
                <w:sz w:val="16"/>
                <w:szCs w:val="16"/>
              </w:rPr>
            </w:pPr>
          </w:p>
        </w:tc>
        <w:tc>
          <w:tcPr>
            <w:tcW w:w="640" w:type="dxa"/>
            <w:tcBorders>
              <w:top w:val="nil"/>
              <w:left w:val="nil"/>
              <w:right w:val="nil"/>
            </w:tcBorders>
            <w:shd w:val="clear" w:color="auto" w:fill="auto"/>
          </w:tcPr>
          <w:p w14:paraId="445A44EB" w14:textId="77777777" w:rsidR="00C561BD" w:rsidRPr="00682E64" w:rsidRDefault="00C561BD" w:rsidP="00AC2186">
            <w:pPr>
              <w:widowControl/>
              <w:tabs>
                <w:tab w:val="decimal" w:pos="113"/>
              </w:tabs>
              <w:spacing w:line="140" w:lineRule="exact"/>
              <w:rPr>
                <w:sz w:val="16"/>
                <w:szCs w:val="16"/>
              </w:rPr>
            </w:pPr>
          </w:p>
        </w:tc>
      </w:tr>
      <w:tr w:rsidR="00C561BD" w:rsidRPr="00682E64" w14:paraId="2745B95D" w14:textId="77777777" w:rsidTr="00AC2186">
        <w:tc>
          <w:tcPr>
            <w:tcW w:w="857" w:type="dxa"/>
            <w:tcBorders>
              <w:bottom w:val="single" w:sz="4" w:space="0" w:color="auto"/>
              <w:right w:val="single" w:sz="4" w:space="0" w:color="auto"/>
            </w:tcBorders>
            <w:vAlign w:val="center"/>
          </w:tcPr>
          <w:p w14:paraId="2B270324" w14:textId="77777777" w:rsidR="00C561BD" w:rsidRPr="00B05763" w:rsidRDefault="00C561BD" w:rsidP="00AC2186">
            <w:pPr>
              <w:bidi w:val="0"/>
              <w:spacing w:line="140" w:lineRule="exact"/>
              <w:jc w:val="right"/>
              <w:rPr>
                <w:i/>
                <w:iCs/>
                <w:sz w:val="12"/>
                <w:szCs w:val="12"/>
                <w:rtl/>
              </w:rPr>
            </w:pPr>
            <w:r>
              <w:rPr>
                <w:i/>
                <w:iCs/>
                <w:sz w:val="12"/>
                <w:szCs w:val="12"/>
              </w:rPr>
              <w:t>IAS 1.96</w:t>
            </w:r>
          </w:p>
        </w:tc>
        <w:tc>
          <w:tcPr>
            <w:tcW w:w="2309" w:type="dxa"/>
            <w:tcBorders>
              <w:left w:val="single" w:sz="4" w:space="0" w:color="auto"/>
            </w:tcBorders>
            <w:vAlign w:val="bottom"/>
          </w:tcPr>
          <w:p w14:paraId="12B04CB4"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העברה מקרן הערכה מחדש בגין מימוש רכוש קבוע</w:t>
            </w:r>
          </w:p>
        </w:tc>
        <w:tc>
          <w:tcPr>
            <w:tcW w:w="113" w:type="dxa"/>
            <w:vAlign w:val="bottom"/>
          </w:tcPr>
          <w:p w14:paraId="107B59F4"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6736A0D5" w14:textId="77777777" w:rsidR="00C561BD" w:rsidRPr="00682E64" w:rsidRDefault="00C561BD" w:rsidP="00AC2186">
            <w:pPr>
              <w:tabs>
                <w:tab w:val="decimal" w:pos="113"/>
              </w:tabs>
              <w:spacing w:line="140" w:lineRule="exact"/>
              <w:rPr>
                <w:sz w:val="16"/>
                <w:szCs w:val="16"/>
              </w:rPr>
            </w:pPr>
          </w:p>
        </w:tc>
        <w:tc>
          <w:tcPr>
            <w:tcW w:w="115" w:type="dxa"/>
            <w:vAlign w:val="bottom"/>
          </w:tcPr>
          <w:p w14:paraId="35C4F84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074862A" w14:textId="77777777" w:rsidR="00C561BD" w:rsidRPr="00682E64" w:rsidRDefault="00C561BD" w:rsidP="00AC2186">
            <w:pPr>
              <w:tabs>
                <w:tab w:val="decimal" w:pos="113"/>
              </w:tabs>
              <w:spacing w:line="140" w:lineRule="exact"/>
              <w:rPr>
                <w:sz w:val="16"/>
                <w:szCs w:val="16"/>
              </w:rPr>
            </w:pPr>
          </w:p>
        </w:tc>
        <w:tc>
          <w:tcPr>
            <w:tcW w:w="115" w:type="dxa"/>
            <w:vAlign w:val="bottom"/>
          </w:tcPr>
          <w:p w14:paraId="714BEE1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8F90933" w14:textId="77777777" w:rsidR="00C561BD" w:rsidRPr="00682E64" w:rsidRDefault="00C561BD" w:rsidP="00AC2186">
            <w:pPr>
              <w:tabs>
                <w:tab w:val="decimal" w:pos="113"/>
              </w:tabs>
              <w:spacing w:line="140" w:lineRule="exact"/>
              <w:rPr>
                <w:sz w:val="16"/>
                <w:szCs w:val="16"/>
              </w:rPr>
            </w:pPr>
          </w:p>
        </w:tc>
        <w:tc>
          <w:tcPr>
            <w:tcW w:w="115" w:type="dxa"/>
          </w:tcPr>
          <w:p w14:paraId="54E2A94A"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16856BD4" w14:textId="77777777" w:rsidR="00C561BD" w:rsidRPr="00682E64" w:rsidRDefault="00C561BD" w:rsidP="00AC2186">
            <w:pPr>
              <w:tabs>
                <w:tab w:val="decimal" w:pos="113"/>
              </w:tabs>
              <w:spacing w:line="140" w:lineRule="exact"/>
              <w:rPr>
                <w:sz w:val="16"/>
                <w:szCs w:val="16"/>
              </w:rPr>
            </w:pPr>
          </w:p>
        </w:tc>
        <w:tc>
          <w:tcPr>
            <w:tcW w:w="115" w:type="dxa"/>
          </w:tcPr>
          <w:p w14:paraId="178665BB"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19F975E0" w14:textId="77777777" w:rsidR="00C561BD" w:rsidRPr="00682E64" w:rsidRDefault="00C561BD" w:rsidP="00AC2186">
            <w:pPr>
              <w:tabs>
                <w:tab w:val="decimal" w:pos="113"/>
              </w:tabs>
              <w:spacing w:line="140" w:lineRule="exact"/>
              <w:rPr>
                <w:sz w:val="16"/>
                <w:szCs w:val="16"/>
              </w:rPr>
            </w:pPr>
          </w:p>
        </w:tc>
        <w:tc>
          <w:tcPr>
            <w:tcW w:w="115" w:type="dxa"/>
            <w:vAlign w:val="bottom"/>
          </w:tcPr>
          <w:p w14:paraId="122BDC08"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7A4E796" w14:textId="77777777" w:rsidR="00C561BD" w:rsidRPr="00682E64" w:rsidRDefault="00C561BD" w:rsidP="00AC2186">
            <w:pPr>
              <w:tabs>
                <w:tab w:val="decimal" w:pos="113"/>
              </w:tabs>
              <w:spacing w:line="140" w:lineRule="exact"/>
              <w:rPr>
                <w:sz w:val="16"/>
                <w:szCs w:val="16"/>
              </w:rPr>
            </w:pPr>
          </w:p>
        </w:tc>
        <w:tc>
          <w:tcPr>
            <w:tcW w:w="115" w:type="dxa"/>
            <w:vAlign w:val="bottom"/>
          </w:tcPr>
          <w:p w14:paraId="4C5546AC"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E8524E0" w14:textId="77777777" w:rsidR="00C561BD" w:rsidRPr="00682E64" w:rsidRDefault="00C561BD" w:rsidP="00AC2186">
            <w:pPr>
              <w:tabs>
                <w:tab w:val="decimal" w:pos="113"/>
              </w:tabs>
              <w:spacing w:line="140" w:lineRule="exact"/>
              <w:rPr>
                <w:sz w:val="16"/>
                <w:szCs w:val="16"/>
              </w:rPr>
            </w:pPr>
          </w:p>
        </w:tc>
        <w:tc>
          <w:tcPr>
            <w:tcW w:w="115" w:type="dxa"/>
            <w:vAlign w:val="bottom"/>
          </w:tcPr>
          <w:p w14:paraId="54E490E5"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F979434" w14:textId="77777777" w:rsidR="00C561BD" w:rsidRPr="00682E64" w:rsidRDefault="00C561BD" w:rsidP="00AC2186">
            <w:pPr>
              <w:tabs>
                <w:tab w:val="decimal" w:pos="113"/>
              </w:tabs>
              <w:spacing w:line="140" w:lineRule="exact"/>
              <w:rPr>
                <w:sz w:val="16"/>
                <w:szCs w:val="16"/>
              </w:rPr>
            </w:pPr>
          </w:p>
        </w:tc>
        <w:tc>
          <w:tcPr>
            <w:tcW w:w="115" w:type="dxa"/>
            <w:vAlign w:val="bottom"/>
          </w:tcPr>
          <w:p w14:paraId="551D8820"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8FC096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80226E3"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59AA43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89A8BF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BF8C01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0ED72F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060547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A94E77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D80ADD9" w14:textId="77777777" w:rsidR="00C561BD" w:rsidRPr="00682E64" w:rsidRDefault="00C561BD" w:rsidP="00AC2186">
            <w:pPr>
              <w:tabs>
                <w:tab w:val="decimal" w:pos="113"/>
              </w:tabs>
              <w:spacing w:line="140" w:lineRule="exact"/>
              <w:rPr>
                <w:sz w:val="16"/>
                <w:szCs w:val="16"/>
              </w:rPr>
            </w:pPr>
          </w:p>
        </w:tc>
        <w:tc>
          <w:tcPr>
            <w:tcW w:w="146" w:type="dxa"/>
            <w:vAlign w:val="bottom"/>
          </w:tcPr>
          <w:p w14:paraId="4C9A5412"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798024A" w14:textId="77777777" w:rsidR="00C561BD" w:rsidRPr="00682E64" w:rsidRDefault="00C561BD" w:rsidP="00AC2186">
            <w:pPr>
              <w:tabs>
                <w:tab w:val="decimal" w:pos="113"/>
              </w:tabs>
              <w:spacing w:line="140" w:lineRule="exact"/>
              <w:rPr>
                <w:sz w:val="16"/>
                <w:szCs w:val="16"/>
              </w:rPr>
            </w:pPr>
          </w:p>
        </w:tc>
        <w:tc>
          <w:tcPr>
            <w:tcW w:w="115" w:type="dxa"/>
            <w:vAlign w:val="bottom"/>
          </w:tcPr>
          <w:p w14:paraId="7D9CC33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1FA4298" w14:textId="77777777" w:rsidR="00C561BD" w:rsidRPr="00682E64" w:rsidRDefault="00C561BD" w:rsidP="00AC2186">
            <w:pPr>
              <w:tabs>
                <w:tab w:val="decimal" w:pos="113"/>
              </w:tabs>
              <w:spacing w:line="140" w:lineRule="exact"/>
              <w:rPr>
                <w:sz w:val="16"/>
                <w:szCs w:val="16"/>
              </w:rPr>
            </w:pPr>
          </w:p>
        </w:tc>
        <w:tc>
          <w:tcPr>
            <w:tcW w:w="115" w:type="dxa"/>
          </w:tcPr>
          <w:p w14:paraId="78D96F72"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48956B64" w14:textId="77777777" w:rsidR="00C561BD" w:rsidRPr="00682E64" w:rsidRDefault="00C561BD" w:rsidP="00AC2186">
            <w:pPr>
              <w:tabs>
                <w:tab w:val="decimal" w:pos="113"/>
              </w:tabs>
              <w:spacing w:line="140" w:lineRule="exact"/>
              <w:rPr>
                <w:sz w:val="16"/>
                <w:szCs w:val="16"/>
              </w:rPr>
            </w:pPr>
          </w:p>
        </w:tc>
      </w:tr>
      <w:tr w:rsidR="00C561BD" w:rsidRPr="00682E64" w14:paraId="0A311BB5" w14:textId="77777777" w:rsidTr="00AC2186">
        <w:tc>
          <w:tcPr>
            <w:tcW w:w="857" w:type="dxa"/>
            <w:tcBorders>
              <w:top w:val="single" w:sz="4" w:space="0" w:color="auto"/>
            </w:tcBorders>
          </w:tcPr>
          <w:p w14:paraId="38E4FD0D" w14:textId="77777777" w:rsidR="00C561BD" w:rsidRPr="00B05763" w:rsidRDefault="00C561BD" w:rsidP="00AC2186">
            <w:pPr>
              <w:bidi w:val="0"/>
              <w:spacing w:line="140" w:lineRule="exact"/>
              <w:jc w:val="right"/>
              <w:rPr>
                <w:i/>
                <w:iCs/>
                <w:sz w:val="12"/>
                <w:szCs w:val="12"/>
                <w:rtl/>
              </w:rPr>
            </w:pPr>
          </w:p>
        </w:tc>
        <w:tc>
          <w:tcPr>
            <w:tcW w:w="2309" w:type="dxa"/>
            <w:vAlign w:val="bottom"/>
          </w:tcPr>
          <w:p w14:paraId="43CCB483"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העברה מקרן הערכה מחדש בגין שערוך רכוש קבוע, בגובה הפחת</w:t>
            </w:r>
          </w:p>
        </w:tc>
        <w:tc>
          <w:tcPr>
            <w:tcW w:w="113" w:type="dxa"/>
            <w:vAlign w:val="bottom"/>
          </w:tcPr>
          <w:p w14:paraId="1F35E8CC"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7230A077" w14:textId="77777777" w:rsidR="00C561BD" w:rsidRPr="00682E64" w:rsidRDefault="00C561BD" w:rsidP="00AC2186">
            <w:pPr>
              <w:tabs>
                <w:tab w:val="decimal" w:pos="113"/>
              </w:tabs>
              <w:spacing w:line="140" w:lineRule="exact"/>
              <w:rPr>
                <w:sz w:val="16"/>
                <w:szCs w:val="16"/>
              </w:rPr>
            </w:pPr>
          </w:p>
        </w:tc>
        <w:tc>
          <w:tcPr>
            <w:tcW w:w="115" w:type="dxa"/>
            <w:vAlign w:val="bottom"/>
          </w:tcPr>
          <w:p w14:paraId="4E88E493"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4B5B23E" w14:textId="77777777" w:rsidR="00C561BD" w:rsidRPr="00682E64" w:rsidRDefault="00C561BD" w:rsidP="00AC2186">
            <w:pPr>
              <w:tabs>
                <w:tab w:val="decimal" w:pos="113"/>
              </w:tabs>
              <w:spacing w:line="140" w:lineRule="exact"/>
              <w:rPr>
                <w:sz w:val="16"/>
                <w:szCs w:val="16"/>
              </w:rPr>
            </w:pPr>
          </w:p>
        </w:tc>
        <w:tc>
          <w:tcPr>
            <w:tcW w:w="115" w:type="dxa"/>
            <w:vAlign w:val="bottom"/>
          </w:tcPr>
          <w:p w14:paraId="7983E25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3901513" w14:textId="77777777" w:rsidR="00C561BD" w:rsidRPr="00682E64" w:rsidRDefault="00C561BD" w:rsidP="00AC2186">
            <w:pPr>
              <w:tabs>
                <w:tab w:val="decimal" w:pos="113"/>
              </w:tabs>
              <w:spacing w:line="140" w:lineRule="exact"/>
              <w:rPr>
                <w:sz w:val="16"/>
                <w:szCs w:val="16"/>
              </w:rPr>
            </w:pPr>
          </w:p>
        </w:tc>
        <w:tc>
          <w:tcPr>
            <w:tcW w:w="115" w:type="dxa"/>
          </w:tcPr>
          <w:p w14:paraId="59856D84"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6EC74534" w14:textId="77777777" w:rsidR="00C561BD" w:rsidRPr="00682E64" w:rsidRDefault="00C561BD" w:rsidP="00AC2186">
            <w:pPr>
              <w:tabs>
                <w:tab w:val="decimal" w:pos="113"/>
              </w:tabs>
              <w:spacing w:line="140" w:lineRule="exact"/>
              <w:rPr>
                <w:sz w:val="16"/>
                <w:szCs w:val="16"/>
              </w:rPr>
            </w:pPr>
          </w:p>
        </w:tc>
        <w:tc>
          <w:tcPr>
            <w:tcW w:w="115" w:type="dxa"/>
          </w:tcPr>
          <w:p w14:paraId="6DB6DD70"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1B5A1424" w14:textId="77777777" w:rsidR="00C561BD" w:rsidRPr="00682E64" w:rsidRDefault="00C561BD" w:rsidP="00AC2186">
            <w:pPr>
              <w:tabs>
                <w:tab w:val="decimal" w:pos="113"/>
              </w:tabs>
              <w:spacing w:line="140" w:lineRule="exact"/>
              <w:rPr>
                <w:sz w:val="16"/>
                <w:szCs w:val="16"/>
              </w:rPr>
            </w:pPr>
          </w:p>
        </w:tc>
        <w:tc>
          <w:tcPr>
            <w:tcW w:w="115" w:type="dxa"/>
            <w:vAlign w:val="bottom"/>
          </w:tcPr>
          <w:p w14:paraId="69C365B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821357C" w14:textId="77777777" w:rsidR="00C561BD" w:rsidRPr="00682E64" w:rsidRDefault="00C561BD" w:rsidP="00AC2186">
            <w:pPr>
              <w:tabs>
                <w:tab w:val="decimal" w:pos="113"/>
              </w:tabs>
              <w:spacing w:line="140" w:lineRule="exact"/>
              <w:rPr>
                <w:sz w:val="16"/>
                <w:szCs w:val="16"/>
              </w:rPr>
            </w:pPr>
          </w:p>
        </w:tc>
        <w:tc>
          <w:tcPr>
            <w:tcW w:w="115" w:type="dxa"/>
            <w:vAlign w:val="bottom"/>
          </w:tcPr>
          <w:p w14:paraId="7D0D8506"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AB5331D" w14:textId="77777777" w:rsidR="00C561BD" w:rsidRPr="00682E64" w:rsidRDefault="00C561BD" w:rsidP="00AC2186">
            <w:pPr>
              <w:tabs>
                <w:tab w:val="decimal" w:pos="113"/>
              </w:tabs>
              <w:spacing w:line="140" w:lineRule="exact"/>
              <w:rPr>
                <w:sz w:val="16"/>
                <w:szCs w:val="16"/>
              </w:rPr>
            </w:pPr>
          </w:p>
        </w:tc>
        <w:tc>
          <w:tcPr>
            <w:tcW w:w="115" w:type="dxa"/>
            <w:vAlign w:val="bottom"/>
          </w:tcPr>
          <w:p w14:paraId="6476A3CB"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6768ECB" w14:textId="77777777" w:rsidR="00C561BD" w:rsidRPr="00682E64" w:rsidRDefault="00C561BD" w:rsidP="00AC2186">
            <w:pPr>
              <w:tabs>
                <w:tab w:val="decimal" w:pos="113"/>
              </w:tabs>
              <w:spacing w:line="140" w:lineRule="exact"/>
              <w:rPr>
                <w:sz w:val="16"/>
                <w:szCs w:val="16"/>
              </w:rPr>
            </w:pPr>
          </w:p>
        </w:tc>
        <w:tc>
          <w:tcPr>
            <w:tcW w:w="115" w:type="dxa"/>
            <w:vAlign w:val="bottom"/>
          </w:tcPr>
          <w:p w14:paraId="7D50D8B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197A01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0E4FBCD"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B9CCDD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990F623"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93F788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FEB3E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048398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DD3A1B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AEFFA18" w14:textId="77777777" w:rsidR="00C561BD" w:rsidRPr="00682E64" w:rsidRDefault="00C561BD" w:rsidP="00AC2186">
            <w:pPr>
              <w:tabs>
                <w:tab w:val="decimal" w:pos="113"/>
              </w:tabs>
              <w:spacing w:line="140" w:lineRule="exact"/>
              <w:rPr>
                <w:sz w:val="16"/>
                <w:szCs w:val="16"/>
              </w:rPr>
            </w:pPr>
          </w:p>
        </w:tc>
        <w:tc>
          <w:tcPr>
            <w:tcW w:w="146" w:type="dxa"/>
            <w:vAlign w:val="bottom"/>
          </w:tcPr>
          <w:p w14:paraId="035A33ED"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686D055" w14:textId="77777777" w:rsidR="00C561BD" w:rsidRPr="00682E64" w:rsidRDefault="00C561BD" w:rsidP="00AC2186">
            <w:pPr>
              <w:tabs>
                <w:tab w:val="decimal" w:pos="113"/>
              </w:tabs>
              <w:spacing w:line="140" w:lineRule="exact"/>
              <w:rPr>
                <w:sz w:val="16"/>
                <w:szCs w:val="16"/>
              </w:rPr>
            </w:pPr>
          </w:p>
        </w:tc>
        <w:tc>
          <w:tcPr>
            <w:tcW w:w="115" w:type="dxa"/>
            <w:vAlign w:val="bottom"/>
          </w:tcPr>
          <w:p w14:paraId="6CF3206C"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62FBD61" w14:textId="77777777" w:rsidR="00C561BD" w:rsidRPr="00682E64" w:rsidRDefault="00C561BD" w:rsidP="00AC2186">
            <w:pPr>
              <w:tabs>
                <w:tab w:val="decimal" w:pos="113"/>
              </w:tabs>
              <w:spacing w:line="140" w:lineRule="exact"/>
              <w:rPr>
                <w:sz w:val="16"/>
                <w:szCs w:val="16"/>
              </w:rPr>
            </w:pPr>
          </w:p>
        </w:tc>
        <w:tc>
          <w:tcPr>
            <w:tcW w:w="115" w:type="dxa"/>
          </w:tcPr>
          <w:p w14:paraId="30810CAE"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61D02BE7" w14:textId="77777777" w:rsidR="00C561BD" w:rsidRPr="00682E64" w:rsidRDefault="00C561BD" w:rsidP="00AC2186">
            <w:pPr>
              <w:tabs>
                <w:tab w:val="decimal" w:pos="113"/>
              </w:tabs>
              <w:spacing w:line="140" w:lineRule="exact"/>
              <w:rPr>
                <w:sz w:val="16"/>
                <w:szCs w:val="16"/>
              </w:rPr>
            </w:pPr>
          </w:p>
        </w:tc>
      </w:tr>
      <w:tr w:rsidR="00C561BD" w:rsidRPr="00682E64" w14:paraId="7C6FDD6E" w14:textId="77777777" w:rsidTr="00AC2186">
        <w:tc>
          <w:tcPr>
            <w:tcW w:w="857" w:type="dxa"/>
            <w:vMerge w:val="restart"/>
            <w:tcBorders>
              <w:bottom w:val="single" w:sz="4" w:space="0" w:color="auto"/>
              <w:right w:val="single" w:sz="4" w:space="0" w:color="auto"/>
            </w:tcBorders>
            <w:vAlign w:val="center"/>
          </w:tcPr>
          <w:p w14:paraId="1900999E" w14:textId="77777777" w:rsidR="00C561BD" w:rsidRPr="00B05763" w:rsidRDefault="00C561BD" w:rsidP="00AC2186">
            <w:pPr>
              <w:bidi w:val="0"/>
              <w:spacing w:line="140" w:lineRule="exact"/>
              <w:jc w:val="right"/>
              <w:rPr>
                <w:i/>
                <w:iCs/>
                <w:sz w:val="12"/>
                <w:szCs w:val="12"/>
                <w:rtl/>
              </w:rPr>
            </w:pPr>
            <w:r>
              <w:rPr>
                <w:i/>
                <w:iCs/>
                <w:sz w:val="12"/>
                <w:szCs w:val="12"/>
              </w:rPr>
              <w:t>IAS 1.106(d)(iii)</w:t>
            </w:r>
          </w:p>
        </w:tc>
        <w:tc>
          <w:tcPr>
            <w:tcW w:w="2309" w:type="dxa"/>
            <w:tcBorders>
              <w:left w:val="single" w:sz="4" w:space="0" w:color="auto"/>
            </w:tcBorders>
            <w:vAlign w:val="bottom"/>
          </w:tcPr>
          <w:p w14:paraId="4711F1FA"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 xml:space="preserve">הנפקת הון מניות (בניכוי הוצאות הנפקה </w:t>
            </w:r>
            <w:r w:rsidRPr="00682E64">
              <w:rPr>
                <w:rFonts w:hint="eastAsia"/>
                <w:sz w:val="16"/>
                <w:szCs w:val="16"/>
                <w:rtl/>
              </w:rPr>
              <w:t>בסך</w:t>
            </w:r>
            <w:r w:rsidRPr="00682E64">
              <w:rPr>
                <w:sz w:val="16"/>
                <w:szCs w:val="16"/>
                <w:rtl/>
              </w:rPr>
              <w:t xml:space="preserve"> ____ </w:t>
            </w:r>
            <w:r w:rsidRPr="00682E64">
              <w:rPr>
                <w:rFonts w:hint="eastAsia"/>
                <w:sz w:val="16"/>
                <w:szCs w:val="16"/>
                <w:rtl/>
              </w:rPr>
              <w:t>אלפי</w:t>
            </w:r>
            <w:r w:rsidRPr="00682E64">
              <w:rPr>
                <w:sz w:val="16"/>
                <w:szCs w:val="16"/>
                <w:rtl/>
              </w:rPr>
              <w:t xml:space="preserve"> </w:t>
            </w:r>
            <w:r w:rsidRPr="00682E64">
              <w:rPr>
                <w:rFonts w:hint="eastAsia"/>
                <w:sz w:val="16"/>
                <w:szCs w:val="16"/>
                <w:rtl/>
              </w:rPr>
              <w:t>ש</w:t>
            </w:r>
            <w:r w:rsidRPr="00682E64">
              <w:rPr>
                <w:sz w:val="16"/>
                <w:szCs w:val="16"/>
                <w:rtl/>
              </w:rPr>
              <w:t>"ח)</w:t>
            </w:r>
          </w:p>
        </w:tc>
        <w:tc>
          <w:tcPr>
            <w:tcW w:w="113" w:type="dxa"/>
            <w:vAlign w:val="bottom"/>
          </w:tcPr>
          <w:p w14:paraId="167CEAC6"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5147776F" w14:textId="77777777" w:rsidR="00C561BD" w:rsidRPr="00682E64" w:rsidRDefault="00C561BD" w:rsidP="00AC2186">
            <w:pPr>
              <w:tabs>
                <w:tab w:val="decimal" w:pos="113"/>
              </w:tabs>
              <w:spacing w:line="140" w:lineRule="exact"/>
              <w:rPr>
                <w:sz w:val="16"/>
                <w:szCs w:val="16"/>
              </w:rPr>
            </w:pPr>
          </w:p>
        </w:tc>
        <w:tc>
          <w:tcPr>
            <w:tcW w:w="115" w:type="dxa"/>
            <w:vAlign w:val="bottom"/>
          </w:tcPr>
          <w:p w14:paraId="3DBDBE6F"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33F6B63" w14:textId="77777777" w:rsidR="00C561BD" w:rsidRPr="00682E64" w:rsidRDefault="00C561BD" w:rsidP="00AC2186">
            <w:pPr>
              <w:tabs>
                <w:tab w:val="decimal" w:pos="113"/>
              </w:tabs>
              <w:spacing w:line="140" w:lineRule="exact"/>
              <w:rPr>
                <w:sz w:val="16"/>
                <w:szCs w:val="16"/>
              </w:rPr>
            </w:pPr>
          </w:p>
        </w:tc>
        <w:tc>
          <w:tcPr>
            <w:tcW w:w="115" w:type="dxa"/>
            <w:vAlign w:val="bottom"/>
          </w:tcPr>
          <w:p w14:paraId="23077E3F"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1830316" w14:textId="77777777" w:rsidR="00C561BD" w:rsidRPr="00682E64" w:rsidRDefault="00C561BD" w:rsidP="00AC2186">
            <w:pPr>
              <w:tabs>
                <w:tab w:val="decimal" w:pos="113"/>
              </w:tabs>
              <w:spacing w:line="140" w:lineRule="exact"/>
              <w:rPr>
                <w:sz w:val="16"/>
                <w:szCs w:val="16"/>
              </w:rPr>
            </w:pPr>
          </w:p>
        </w:tc>
        <w:tc>
          <w:tcPr>
            <w:tcW w:w="115" w:type="dxa"/>
          </w:tcPr>
          <w:p w14:paraId="4A1A58C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6FCCB8CF" w14:textId="77777777" w:rsidR="00C561BD" w:rsidRPr="00682E64" w:rsidRDefault="00C561BD" w:rsidP="00AC2186">
            <w:pPr>
              <w:tabs>
                <w:tab w:val="decimal" w:pos="113"/>
              </w:tabs>
              <w:spacing w:line="140" w:lineRule="exact"/>
              <w:rPr>
                <w:sz w:val="16"/>
                <w:szCs w:val="16"/>
              </w:rPr>
            </w:pPr>
          </w:p>
        </w:tc>
        <w:tc>
          <w:tcPr>
            <w:tcW w:w="115" w:type="dxa"/>
          </w:tcPr>
          <w:p w14:paraId="1BDADA55"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35F6AF8B" w14:textId="77777777" w:rsidR="00C561BD" w:rsidRPr="00682E64" w:rsidRDefault="00C561BD" w:rsidP="00AC2186">
            <w:pPr>
              <w:tabs>
                <w:tab w:val="decimal" w:pos="113"/>
              </w:tabs>
              <w:spacing w:line="140" w:lineRule="exact"/>
              <w:rPr>
                <w:sz w:val="16"/>
                <w:szCs w:val="16"/>
              </w:rPr>
            </w:pPr>
          </w:p>
        </w:tc>
        <w:tc>
          <w:tcPr>
            <w:tcW w:w="115" w:type="dxa"/>
            <w:vAlign w:val="bottom"/>
          </w:tcPr>
          <w:p w14:paraId="53B937F8"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3A50215" w14:textId="77777777" w:rsidR="00C561BD" w:rsidRPr="00682E64" w:rsidRDefault="00C561BD" w:rsidP="00AC2186">
            <w:pPr>
              <w:tabs>
                <w:tab w:val="decimal" w:pos="113"/>
              </w:tabs>
              <w:spacing w:line="140" w:lineRule="exact"/>
              <w:rPr>
                <w:sz w:val="16"/>
                <w:szCs w:val="16"/>
              </w:rPr>
            </w:pPr>
          </w:p>
        </w:tc>
        <w:tc>
          <w:tcPr>
            <w:tcW w:w="115" w:type="dxa"/>
            <w:vAlign w:val="bottom"/>
          </w:tcPr>
          <w:p w14:paraId="6C4DA310"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97588EE" w14:textId="77777777" w:rsidR="00C561BD" w:rsidRPr="00682E64" w:rsidRDefault="00C561BD" w:rsidP="00AC2186">
            <w:pPr>
              <w:tabs>
                <w:tab w:val="decimal" w:pos="113"/>
              </w:tabs>
              <w:spacing w:line="140" w:lineRule="exact"/>
              <w:rPr>
                <w:sz w:val="16"/>
                <w:szCs w:val="16"/>
              </w:rPr>
            </w:pPr>
          </w:p>
        </w:tc>
        <w:tc>
          <w:tcPr>
            <w:tcW w:w="115" w:type="dxa"/>
            <w:vAlign w:val="bottom"/>
          </w:tcPr>
          <w:p w14:paraId="2D1316DC"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060CE43" w14:textId="77777777" w:rsidR="00C561BD" w:rsidRPr="00682E64" w:rsidRDefault="00C561BD" w:rsidP="00AC2186">
            <w:pPr>
              <w:tabs>
                <w:tab w:val="decimal" w:pos="113"/>
              </w:tabs>
              <w:spacing w:line="140" w:lineRule="exact"/>
              <w:rPr>
                <w:sz w:val="16"/>
                <w:szCs w:val="16"/>
              </w:rPr>
            </w:pPr>
          </w:p>
        </w:tc>
        <w:tc>
          <w:tcPr>
            <w:tcW w:w="115" w:type="dxa"/>
            <w:vAlign w:val="bottom"/>
          </w:tcPr>
          <w:p w14:paraId="2CD5C01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F375E2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A245E5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0448E8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11C466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4C5BF33"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144E30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AC5E1F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47AFF4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D9FF6E5" w14:textId="77777777" w:rsidR="00C561BD" w:rsidRPr="00682E64" w:rsidRDefault="00C561BD" w:rsidP="00AC2186">
            <w:pPr>
              <w:tabs>
                <w:tab w:val="decimal" w:pos="113"/>
              </w:tabs>
              <w:spacing w:line="140" w:lineRule="exact"/>
              <w:rPr>
                <w:sz w:val="16"/>
                <w:szCs w:val="16"/>
              </w:rPr>
            </w:pPr>
          </w:p>
        </w:tc>
        <w:tc>
          <w:tcPr>
            <w:tcW w:w="146" w:type="dxa"/>
            <w:vAlign w:val="bottom"/>
          </w:tcPr>
          <w:p w14:paraId="2CCFA08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44F610C" w14:textId="77777777" w:rsidR="00C561BD" w:rsidRPr="00682E64" w:rsidRDefault="00C561BD" w:rsidP="00AC2186">
            <w:pPr>
              <w:tabs>
                <w:tab w:val="decimal" w:pos="113"/>
              </w:tabs>
              <w:spacing w:line="140" w:lineRule="exact"/>
              <w:rPr>
                <w:sz w:val="16"/>
                <w:szCs w:val="16"/>
              </w:rPr>
            </w:pPr>
          </w:p>
        </w:tc>
        <w:tc>
          <w:tcPr>
            <w:tcW w:w="115" w:type="dxa"/>
            <w:vAlign w:val="bottom"/>
          </w:tcPr>
          <w:p w14:paraId="644ACDB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4C1F251" w14:textId="77777777" w:rsidR="00C561BD" w:rsidRPr="00682E64" w:rsidRDefault="00C561BD" w:rsidP="00AC2186">
            <w:pPr>
              <w:tabs>
                <w:tab w:val="decimal" w:pos="113"/>
              </w:tabs>
              <w:spacing w:line="140" w:lineRule="exact"/>
              <w:rPr>
                <w:sz w:val="16"/>
                <w:szCs w:val="16"/>
              </w:rPr>
            </w:pPr>
          </w:p>
        </w:tc>
        <w:tc>
          <w:tcPr>
            <w:tcW w:w="115" w:type="dxa"/>
          </w:tcPr>
          <w:p w14:paraId="3F79E04C"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419E9967" w14:textId="77777777" w:rsidR="00C561BD" w:rsidRPr="00682E64" w:rsidRDefault="00C561BD" w:rsidP="00AC2186">
            <w:pPr>
              <w:tabs>
                <w:tab w:val="decimal" w:pos="113"/>
              </w:tabs>
              <w:spacing w:line="140" w:lineRule="exact"/>
              <w:rPr>
                <w:sz w:val="16"/>
                <w:szCs w:val="16"/>
              </w:rPr>
            </w:pPr>
          </w:p>
        </w:tc>
      </w:tr>
      <w:tr w:rsidR="00C561BD" w:rsidRPr="00682E64" w14:paraId="1F2D9CD2" w14:textId="77777777" w:rsidTr="00AC2186">
        <w:tc>
          <w:tcPr>
            <w:tcW w:w="857" w:type="dxa"/>
            <w:vMerge/>
            <w:tcBorders>
              <w:bottom w:val="single" w:sz="4" w:space="0" w:color="auto"/>
              <w:right w:val="single" w:sz="4" w:space="0" w:color="auto"/>
            </w:tcBorders>
          </w:tcPr>
          <w:p w14:paraId="6A8EBD12"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00F83BFA"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הנפקת הון/מכירת מניות לבעלי זכויות שאינן מקנות שליטה</w:t>
            </w:r>
          </w:p>
        </w:tc>
        <w:tc>
          <w:tcPr>
            <w:tcW w:w="113" w:type="dxa"/>
            <w:vAlign w:val="bottom"/>
          </w:tcPr>
          <w:p w14:paraId="4E219087"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78B27969" w14:textId="77777777" w:rsidR="00C561BD" w:rsidRPr="00682E64" w:rsidRDefault="00C561BD" w:rsidP="00AC2186">
            <w:pPr>
              <w:tabs>
                <w:tab w:val="decimal" w:pos="113"/>
              </w:tabs>
              <w:spacing w:line="140" w:lineRule="exact"/>
              <w:rPr>
                <w:sz w:val="16"/>
                <w:szCs w:val="16"/>
              </w:rPr>
            </w:pPr>
          </w:p>
        </w:tc>
        <w:tc>
          <w:tcPr>
            <w:tcW w:w="115" w:type="dxa"/>
            <w:vAlign w:val="bottom"/>
          </w:tcPr>
          <w:p w14:paraId="71E8ABC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613BEA7" w14:textId="77777777" w:rsidR="00C561BD" w:rsidRPr="00682E64" w:rsidRDefault="00C561BD" w:rsidP="00AC2186">
            <w:pPr>
              <w:tabs>
                <w:tab w:val="decimal" w:pos="113"/>
              </w:tabs>
              <w:spacing w:line="140" w:lineRule="exact"/>
              <w:rPr>
                <w:sz w:val="16"/>
                <w:szCs w:val="16"/>
              </w:rPr>
            </w:pPr>
          </w:p>
        </w:tc>
        <w:tc>
          <w:tcPr>
            <w:tcW w:w="115" w:type="dxa"/>
            <w:vAlign w:val="bottom"/>
          </w:tcPr>
          <w:p w14:paraId="3E85C4CA"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CDB5519" w14:textId="77777777" w:rsidR="00C561BD" w:rsidRPr="00682E64" w:rsidRDefault="00C561BD" w:rsidP="00AC2186">
            <w:pPr>
              <w:tabs>
                <w:tab w:val="decimal" w:pos="113"/>
              </w:tabs>
              <w:spacing w:line="140" w:lineRule="exact"/>
              <w:rPr>
                <w:sz w:val="16"/>
                <w:szCs w:val="16"/>
              </w:rPr>
            </w:pPr>
          </w:p>
        </w:tc>
        <w:tc>
          <w:tcPr>
            <w:tcW w:w="115" w:type="dxa"/>
          </w:tcPr>
          <w:p w14:paraId="755C6025"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73E150E4" w14:textId="77777777" w:rsidR="00C561BD" w:rsidRPr="00682E64" w:rsidRDefault="00C561BD" w:rsidP="00AC2186">
            <w:pPr>
              <w:tabs>
                <w:tab w:val="decimal" w:pos="113"/>
              </w:tabs>
              <w:spacing w:line="140" w:lineRule="exact"/>
              <w:rPr>
                <w:sz w:val="16"/>
                <w:szCs w:val="16"/>
              </w:rPr>
            </w:pPr>
          </w:p>
        </w:tc>
        <w:tc>
          <w:tcPr>
            <w:tcW w:w="115" w:type="dxa"/>
          </w:tcPr>
          <w:p w14:paraId="25E938EF"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7F39F745" w14:textId="77777777" w:rsidR="00C561BD" w:rsidRPr="00682E64" w:rsidRDefault="00C561BD" w:rsidP="00AC2186">
            <w:pPr>
              <w:tabs>
                <w:tab w:val="decimal" w:pos="113"/>
              </w:tabs>
              <w:spacing w:line="140" w:lineRule="exact"/>
              <w:rPr>
                <w:sz w:val="16"/>
                <w:szCs w:val="16"/>
              </w:rPr>
            </w:pPr>
          </w:p>
        </w:tc>
        <w:tc>
          <w:tcPr>
            <w:tcW w:w="115" w:type="dxa"/>
            <w:vAlign w:val="bottom"/>
          </w:tcPr>
          <w:p w14:paraId="6DD01916"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35F471E" w14:textId="77777777" w:rsidR="00C561BD" w:rsidRPr="00682E64" w:rsidRDefault="00C561BD" w:rsidP="00AC2186">
            <w:pPr>
              <w:tabs>
                <w:tab w:val="decimal" w:pos="113"/>
              </w:tabs>
              <w:spacing w:line="140" w:lineRule="exact"/>
              <w:rPr>
                <w:sz w:val="16"/>
                <w:szCs w:val="16"/>
              </w:rPr>
            </w:pPr>
          </w:p>
        </w:tc>
        <w:tc>
          <w:tcPr>
            <w:tcW w:w="115" w:type="dxa"/>
            <w:vAlign w:val="bottom"/>
          </w:tcPr>
          <w:p w14:paraId="593839EA"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D12B50D" w14:textId="77777777" w:rsidR="00C561BD" w:rsidRPr="00682E64" w:rsidRDefault="00C561BD" w:rsidP="00AC2186">
            <w:pPr>
              <w:tabs>
                <w:tab w:val="decimal" w:pos="113"/>
              </w:tabs>
              <w:spacing w:line="140" w:lineRule="exact"/>
              <w:rPr>
                <w:sz w:val="16"/>
                <w:szCs w:val="16"/>
              </w:rPr>
            </w:pPr>
          </w:p>
        </w:tc>
        <w:tc>
          <w:tcPr>
            <w:tcW w:w="115" w:type="dxa"/>
            <w:vAlign w:val="bottom"/>
          </w:tcPr>
          <w:p w14:paraId="31B894E8"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1355250" w14:textId="77777777" w:rsidR="00C561BD" w:rsidRPr="00682E64" w:rsidRDefault="00C561BD" w:rsidP="00AC2186">
            <w:pPr>
              <w:tabs>
                <w:tab w:val="decimal" w:pos="113"/>
              </w:tabs>
              <w:spacing w:line="140" w:lineRule="exact"/>
              <w:rPr>
                <w:sz w:val="16"/>
                <w:szCs w:val="16"/>
              </w:rPr>
            </w:pPr>
          </w:p>
        </w:tc>
        <w:tc>
          <w:tcPr>
            <w:tcW w:w="115" w:type="dxa"/>
            <w:vAlign w:val="bottom"/>
          </w:tcPr>
          <w:p w14:paraId="45A38C3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E47334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C87436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C32602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39F6A7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5C36CC1"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530240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2E3A4A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2F2D7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6EF4569" w14:textId="77777777" w:rsidR="00C561BD" w:rsidRPr="00682E64" w:rsidRDefault="00C561BD" w:rsidP="00AC2186">
            <w:pPr>
              <w:tabs>
                <w:tab w:val="decimal" w:pos="113"/>
              </w:tabs>
              <w:spacing w:line="140" w:lineRule="exact"/>
              <w:rPr>
                <w:sz w:val="16"/>
                <w:szCs w:val="16"/>
              </w:rPr>
            </w:pPr>
          </w:p>
        </w:tc>
        <w:tc>
          <w:tcPr>
            <w:tcW w:w="146" w:type="dxa"/>
            <w:vAlign w:val="bottom"/>
          </w:tcPr>
          <w:p w14:paraId="74469333"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28A055C" w14:textId="77777777" w:rsidR="00C561BD" w:rsidRPr="00682E64" w:rsidRDefault="00C561BD" w:rsidP="00AC2186">
            <w:pPr>
              <w:tabs>
                <w:tab w:val="decimal" w:pos="113"/>
              </w:tabs>
              <w:spacing w:line="140" w:lineRule="exact"/>
              <w:rPr>
                <w:sz w:val="16"/>
                <w:szCs w:val="16"/>
              </w:rPr>
            </w:pPr>
          </w:p>
        </w:tc>
        <w:tc>
          <w:tcPr>
            <w:tcW w:w="115" w:type="dxa"/>
            <w:vAlign w:val="bottom"/>
          </w:tcPr>
          <w:p w14:paraId="13FC81C0"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90A68BB" w14:textId="77777777" w:rsidR="00C561BD" w:rsidRPr="00682E64" w:rsidRDefault="00C561BD" w:rsidP="00AC2186">
            <w:pPr>
              <w:tabs>
                <w:tab w:val="decimal" w:pos="113"/>
              </w:tabs>
              <w:spacing w:line="140" w:lineRule="exact"/>
              <w:rPr>
                <w:sz w:val="16"/>
                <w:szCs w:val="16"/>
              </w:rPr>
            </w:pPr>
          </w:p>
        </w:tc>
        <w:tc>
          <w:tcPr>
            <w:tcW w:w="115" w:type="dxa"/>
          </w:tcPr>
          <w:p w14:paraId="7F60C0CC"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3DD13D68" w14:textId="77777777" w:rsidR="00C561BD" w:rsidRPr="00682E64" w:rsidRDefault="00C561BD" w:rsidP="00AC2186">
            <w:pPr>
              <w:tabs>
                <w:tab w:val="decimal" w:pos="113"/>
              </w:tabs>
              <w:spacing w:line="140" w:lineRule="exact"/>
              <w:rPr>
                <w:sz w:val="16"/>
                <w:szCs w:val="16"/>
              </w:rPr>
            </w:pPr>
          </w:p>
        </w:tc>
      </w:tr>
      <w:tr w:rsidR="00C561BD" w:rsidRPr="00682E64" w14:paraId="37A1562B" w14:textId="77777777" w:rsidTr="00AC2186">
        <w:tc>
          <w:tcPr>
            <w:tcW w:w="857" w:type="dxa"/>
            <w:tcBorders>
              <w:top w:val="single" w:sz="4" w:space="0" w:color="auto"/>
            </w:tcBorders>
          </w:tcPr>
          <w:p w14:paraId="33E5D631" w14:textId="77777777" w:rsidR="00C561BD" w:rsidRPr="00B05763" w:rsidRDefault="00C561BD" w:rsidP="00AC2186">
            <w:pPr>
              <w:bidi w:val="0"/>
              <w:spacing w:line="140" w:lineRule="exact"/>
              <w:jc w:val="right"/>
              <w:rPr>
                <w:i/>
                <w:iCs/>
                <w:sz w:val="12"/>
                <w:szCs w:val="12"/>
                <w:rtl/>
              </w:rPr>
            </w:pPr>
          </w:p>
        </w:tc>
        <w:tc>
          <w:tcPr>
            <w:tcW w:w="2309" w:type="dxa"/>
            <w:vAlign w:val="bottom"/>
          </w:tcPr>
          <w:p w14:paraId="1356EE98"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תקבולים בגין אופציית המרה בהנפקת אגרות חוב ניתנות להמרה (בניכוי הוצאות הנפקה)</w:t>
            </w:r>
          </w:p>
        </w:tc>
        <w:tc>
          <w:tcPr>
            <w:tcW w:w="113" w:type="dxa"/>
            <w:vAlign w:val="bottom"/>
          </w:tcPr>
          <w:p w14:paraId="090BFA10"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2B84FE2C" w14:textId="77777777" w:rsidR="00C561BD" w:rsidRPr="00682E64" w:rsidRDefault="00C561BD" w:rsidP="00AC2186">
            <w:pPr>
              <w:tabs>
                <w:tab w:val="decimal" w:pos="113"/>
              </w:tabs>
              <w:spacing w:line="140" w:lineRule="exact"/>
              <w:rPr>
                <w:sz w:val="16"/>
                <w:szCs w:val="16"/>
              </w:rPr>
            </w:pPr>
          </w:p>
        </w:tc>
        <w:tc>
          <w:tcPr>
            <w:tcW w:w="115" w:type="dxa"/>
            <w:vAlign w:val="bottom"/>
          </w:tcPr>
          <w:p w14:paraId="2817A6F7"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E6D286D" w14:textId="77777777" w:rsidR="00C561BD" w:rsidRPr="00682E64" w:rsidRDefault="00C561BD" w:rsidP="00AC2186">
            <w:pPr>
              <w:tabs>
                <w:tab w:val="decimal" w:pos="113"/>
              </w:tabs>
              <w:spacing w:line="140" w:lineRule="exact"/>
              <w:rPr>
                <w:sz w:val="16"/>
                <w:szCs w:val="16"/>
              </w:rPr>
            </w:pPr>
          </w:p>
        </w:tc>
        <w:tc>
          <w:tcPr>
            <w:tcW w:w="115" w:type="dxa"/>
            <w:vAlign w:val="bottom"/>
          </w:tcPr>
          <w:p w14:paraId="2CB49725"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7172D1A" w14:textId="77777777" w:rsidR="00C561BD" w:rsidRPr="00682E64" w:rsidRDefault="00C561BD" w:rsidP="00AC2186">
            <w:pPr>
              <w:tabs>
                <w:tab w:val="decimal" w:pos="113"/>
              </w:tabs>
              <w:spacing w:line="140" w:lineRule="exact"/>
              <w:rPr>
                <w:sz w:val="16"/>
                <w:szCs w:val="16"/>
              </w:rPr>
            </w:pPr>
          </w:p>
        </w:tc>
        <w:tc>
          <w:tcPr>
            <w:tcW w:w="115" w:type="dxa"/>
          </w:tcPr>
          <w:p w14:paraId="3F29FCF0"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48D94965" w14:textId="77777777" w:rsidR="00C561BD" w:rsidRPr="00682E64" w:rsidRDefault="00C561BD" w:rsidP="00AC2186">
            <w:pPr>
              <w:tabs>
                <w:tab w:val="decimal" w:pos="113"/>
              </w:tabs>
              <w:spacing w:line="140" w:lineRule="exact"/>
              <w:rPr>
                <w:sz w:val="16"/>
                <w:szCs w:val="16"/>
              </w:rPr>
            </w:pPr>
          </w:p>
        </w:tc>
        <w:tc>
          <w:tcPr>
            <w:tcW w:w="115" w:type="dxa"/>
          </w:tcPr>
          <w:p w14:paraId="52E18919"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31556304" w14:textId="77777777" w:rsidR="00C561BD" w:rsidRPr="00682E64" w:rsidRDefault="00C561BD" w:rsidP="00AC2186">
            <w:pPr>
              <w:tabs>
                <w:tab w:val="decimal" w:pos="113"/>
              </w:tabs>
              <w:spacing w:line="140" w:lineRule="exact"/>
              <w:rPr>
                <w:sz w:val="16"/>
                <w:szCs w:val="16"/>
              </w:rPr>
            </w:pPr>
          </w:p>
        </w:tc>
        <w:tc>
          <w:tcPr>
            <w:tcW w:w="115" w:type="dxa"/>
            <w:vAlign w:val="bottom"/>
          </w:tcPr>
          <w:p w14:paraId="33C46F9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1FAA7BD" w14:textId="77777777" w:rsidR="00C561BD" w:rsidRPr="00682E64" w:rsidRDefault="00C561BD" w:rsidP="00AC2186">
            <w:pPr>
              <w:tabs>
                <w:tab w:val="decimal" w:pos="113"/>
              </w:tabs>
              <w:spacing w:line="140" w:lineRule="exact"/>
              <w:rPr>
                <w:sz w:val="16"/>
                <w:szCs w:val="16"/>
              </w:rPr>
            </w:pPr>
          </w:p>
        </w:tc>
        <w:tc>
          <w:tcPr>
            <w:tcW w:w="115" w:type="dxa"/>
            <w:vAlign w:val="bottom"/>
          </w:tcPr>
          <w:p w14:paraId="5801BEFF"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6092576" w14:textId="77777777" w:rsidR="00C561BD" w:rsidRPr="00682E64" w:rsidRDefault="00C561BD" w:rsidP="00AC2186">
            <w:pPr>
              <w:tabs>
                <w:tab w:val="decimal" w:pos="113"/>
              </w:tabs>
              <w:spacing w:line="140" w:lineRule="exact"/>
              <w:rPr>
                <w:sz w:val="16"/>
                <w:szCs w:val="16"/>
              </w:rPr>
            </w:pPr>
          </w:p>
        </w:tc>
        <w:tc>
          <w:tcPr>
            <w:tcW w:w="115" w:type="dxa"/>
            <w:vAlign w:val="bottom"/>
          </w:tcPr>
          <w:p w14:paraId="37EEFE21"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697FECB" w14:textId="77777777" w:rsidR="00C561BD" w:rsidRPr="00682E64" w:rsidRDefault="00C561BD" w:rsidP="00AC2186">
            <w:pPr>
              <w:tabs>
                <w:tab w:val="decimal" w:pos="113"/>
              </w:tabs>
              <w:spacing w:line="140" w:lineRule="exact"/>
              <w:rPr>
                <w:sz w:val="16"/>
                <w:szCs w:val="16"/>
              </w:rPr>
            </w:pPr>
          </w:p>
        </w:tc>
        <w:tc>
          <w:tcPr>
            <w:tcW w:w="115" w:type="dxa"/>
            <w:vAlign w:val="bottom"/>
          </w:tcPr>
          <w:p w14:paraId="7016A48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FB3001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117A15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29458E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0242DE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702BA6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EB679D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96D22E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AE0735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FB5F41A" w14:textId="77777777" w:rsidR="00C561BD" w:rsidRPr="00682E64" w:rsidRDefault="00C561BD" w:rsidP="00AC2186">
            <w:pPr>
              <w:tabs>
                <w:tab w:val="decimal" w:pos="113"/>
              </w:tabs>
              <w:spacing w:line="140" w:lineRule="exact"/>
              <w:rPr>
                <w:sz w:val="16"/>
                <w:szCs w:val="16"/>
              </w:rPr>
            </w:pPr>
          </w:p>
        </w:tc>
        <w:tc>
          <w:tcPr>
            <w:tcW w:w="146" w:type="dxa"/>
            <w:vAlign w:val="bottom"/>
          </w:tcPr>
          <w:p w14:paraId="226249F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FBC24E8" w14:textId="77777777" w:rsidR="00C561BD" w:rsidRPr="00682E64" w:rsidRDefault="00C561BD" w:rsidP="00AC2186">
            <w:pPr>
              <w:tabs>
                <w:tab w:val="decimal" w:pos="113"/>
              </w:tabs>
              <w:spacing w:line="140" w:lineRule="exact"/>
              <w:rPr>
                <w:sz w:val="16"/>
                <w:szCs w:val="16"/>
              </w:rPr>
            </w:pPr>
          </w:p>
        </w:tc>
        <w:tc>
          <w:tcPr>
            <w:tcW w:w="115" w:type="dxa"/>
            <w:vAlign w:val="bottom"/>
          </w:tcPr>
          <w:p w14:paraId="5FE09725"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6134F7E" w14:textId="77777777" w:rsidR="00C561BD" w:rsidRPr="00682E64" w:rsidRDefault="00C561BD" w:rsidP="00AC2186">
            <w:pPr>
              <w:tabs>
                <w:tab w:val="decimal" w:pos="113"/>
              </w:tabs>
              <w:spacing w:line="140" w:lineRule="exact"/>
              <w:rPr>
                <w:sz w:val="16"/>
                <w:szCs w:val="16"/>
              </w:rPr>
            </w:pPr>
          </w:p>
        </w:tc>
        <w:tc>
          <w:tcPr>
            <w:tcW w:w="115" w:type="dxa"/>
          </w:tcPr>
          <w:p w14:paraId="6DDD6193"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60F52535" w14:textId="77777777" w:rsidR="00C561BD" w:rsidRPr="00682E64" w:rsidRDefault="00C561BD" w:rsidP="00AC2186">
            <w:pPr>
              <w:tabs>
                <w:tab w:val="decimal" w:pos="113"/>
              </w:tabs>
              <w:spacing w:line="140" w:lineRule="exact"/>
              <w:rPr>
                <w:sz w:val="16"/>
                <w:szCs w:val="16"/>
              </w:rPr>
            </w:pPr>
          </w:p>
        </w:tc>
      </w:tr>
      <w:tr w:rsidR="00C561BD" w:rsidRPr="00682E64" w14:paraId="5A2E3457" w14:textId="77777777" w:rsidTr="00AC2186">
        <w:tc>
          <w:tcPr>
            <w:tcW w:w="857" w:type="dxa"/>
          </w:tcPr>
          <w:p w14:paraId="43738963" w14:textId="77777777" w:rsidR="00C561BD" w:rsidRPr="00B05763" w:rsidRDefault="00C561BD" w:rsidP="00AC2186">
            <w:pPr>
              <w:bidi w:val="0"/>
              <w:spacing w:line="140" w:lineRule="exact"/>
              <w:jc w:val="right"/>
              <w:rPr>
                <w:i/>
                <w:iCs/>
                <w:sz w:val="12"/>
                <w:szCs w:val="12"/>
                <w:rtl/>
              </w:rPr>
            </w:pPr>
          </w:p>
        </w:tc>
        <w:tc>
          <w:tcPr>
            <w:tcW w:w="2309" w:type="dxa"/>
            <w:vAlign w:val="bottom"/>
          </w:tcPr>
          <w:p w14:paraId="426A65AB"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המרת אגרות חוב להמרה במניות</w:t>
            </w:r>
          </w:p>
        </w:tc>
        <w:tc>
          <w:tcPr>
            <w:tcW w:w="113" w:type="dxa"/>
            <w:vAlign w:val="bottom"/>
          </w:tcPr>
          <w:p w14:paraId="06CB2EA3"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3BC8CAB4" w14:textId="77777777" w:rsidR="00C561BD" w:rsidRPr="00682E64" w:rsidRDefault="00C561BD" w:rsidP="00AC2186">
            <w:pPr>
              <w:tabs>
                <w:tab w:val="decimal" w:pos="113"/>
              </w:tabs>
              <w:spacing w:line="140" w:lineRule="exact"/>
              <w:rPr>
                <w:sz w:val="16"/>
                <w:szCs w:val="16"/>
              </w:rPr>
            </w:pPr>
          </w:p>
        </w:tc>
        <w:tc>
          <w:tcPr>
            <w:tcW w:w="115" w:type="dxa"/>
            <w:vAlign w:val="bottom"/>
          </w:tcPr>
          <w:p w14:paraId="21152AA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4129C57" w14:textId="77777777" w:rsidR="00C561BD" w:rsidRPr="00682E64" w:rsidRDefault="00C561BD" w:rsidP="00AC2186">
            <w:pPr>
              <w:tabs>
                <w:tab w:val="decimal" w:pos="113"/>
              </w:tabs>
              <w:spacing w:line="140" w:lineRule="exact"/>
              <w:rPr>
                <w:sz w:val="16"/>
                <w:szCs w:val="16"/>
              </w:rPr>
            </w:pPr>
          </w:p>
        </w:tc>
        <w:tc>
          <w:tcPr>
            <w:tcW w:w="115" w:type="dxa"/>
            <w:vAlign w:val="bottom"/>
          </w:tcPr>
          <w:p w14:paraId="1904949E"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FC63129" w14:textId="77777777" w:rsidR="00C561BD" w:rsidRPr="00682E64" w:rsidRDefault="00C561BD" w:rsidP="00AC2186">
            <w:pPr>
              <w:tabs>
                <w:tab w:val="decimal" w:pos="113"/>
              </w:tabs>
              <w:spacing w:line="140" w:lineRule="exact"/>
              <w:rPr>
                <w:sz w:val="16"/>
                <w:szCs w:val="16"/>
              </w:rPr>
            </w:pPr>
          </w:p>
        </w:tc>
        <w:tc>
          <w:tcPr>
            <w:tcW w:w="115" w:type="dxa"/>
          </w:tcPr>
          <w:p w14:paraId="5158E1D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59DCB6D1" w14:textId="77777777" w:rsidR="00C561BD" w:rsidRPr="00682E64" w:rsidRDefault="00C561BD" w:rsidP="00AC2186">
            <w:pPr>
              <w:tabs>
                <w:tab w:val="decimal" w:pos="113"/>
              </w:tabs>
              <w:spacing w:line="140" w:lineRule="exact"/>
              <w:rPr>
                <w:sz w:val="16"/>
                <w:szCs w:val="16"/>
              </w:rPr>
            </w:pPr>
          </w:p>
        </w:tc>
        <w:tc>
          <w:tcPr>
            <w:tcW w:w="115" w:type="dxa"/>
          </w:tcPr>
          <w:p w14:paraId="035E553C"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54F88216" w14:textId="77777777" w:rsidR="00C561BD" w:rsidRPr="00682E64" w:rsidRDefault="00C561BD" w:rsidP="00AC2186">
            <w:pPr>
              <w:tabs>
                <w:tab w:val="decimal" w:pos="113"/>
              </w:tabs>
              <w:spacing w:line="140" w:lineRule="exact"/>
              <w:rPr>
                <w:sz w:val="16"/>
                <w:szCs w:val="16"/>
              </w:rPr>
            </w:pPr>
          </w:p>
        </w:tc>
        <w:tc>
          <w:tcPr>
            <w:tcW w:w="115" w:type="dxa"/>
            <w:vAlign w:val="bottom"/>
          </w:tcPr>
          <w:p w14:paraId="5CA37509"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5CDBB75" w14:textId="77777777" w:rsidR="00C561BD" w:rsidRPr="00682E64" w:rsidRDefault="00C561BD" w:rsidP="00AC2186">
            <w:pPr>
              <w:tabs>
                <w:tab w:val="decimal" w:pos="113"/>
              </w:tabs>
              <w:spacing w:line="140" w:lineRule="exact"/>
              <w:rPr>
                <w:sz w:val="16"/>
                <w:szCs w:val="16"/>
              </w:rPr>
            </w:pPr>
          </w:p>
        </w:tc>
        <w:tc>
          <w:tcPr>
            <w:tcW w:w="115" w:type="dxa"/>
            <w:vAlign w:val="bottom"/>
          </w:tcPr>
          <w:p w14:paraId="409D1B2C"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6282C24" w14:textId="77777777" w:rsidR="00C561BD" w:rsidRPr="00682E64" w:rsidRDefault="00C561BD" w:rsidP="00AC2186">
            <w:pPr>
              <w:tabs>
                <w:tab w:val="decimal" w:pos="113"/>
              </w:tabs>
              <w:spacing w:line="140" w:lineRule="exact"/>
              <w:rPr>
                <w:sz w:val="16"/>
                <w:szCs w:val="16"/>
              </w:rPr>
            </w:pPr>
          </w:p>
        </w:tc>
        <w:tc>
          <w:tcPr>
            <w:tcW w:w="115" w:type="dxa"/>
            <w:vAlign w:val="bottom"/>
          </w:tcPr>
          <w:p w14:paraId="2E325405"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BCE0FB8" w14:textId="77777777" w:rsidR="00C561BD" w:rsidRPr="00682E64" w:rsidRDefault="00C561BD" w:rsidP="00AC2186">
            <w:pPr>
              <w:tabs>
                <w:tab w:val="decimal" w:pos="113"/>
              </w:tabs>
              <w:spacing w:line="140" w:lineRule="exact"/>
              <w:rPr>
                <w:sz w:val="16"/>
                <w:szCs w:val="16"/>
              </w:rPr>
            </w:pPr>
          </w:p>
        </w:tc>
        <w:tc>
          <w:tcPr>
            <w:tcW w:w="115" w:type="dxa"/>
            <w:vAlign w:val="bottom"/>
          </w:tcPr>
          <w:p w14:paraId="0B3DDFC3"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FBDEE1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464CA2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9ACA238"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ED82CE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640D0E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F9BD09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79D14A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02D490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457FBB1" w14:textId="77777777" w:rsidR="00C561BD" w:rsidRPr="00682E64" w:rsidRDefault="00C561BD" w:rsidP="00AC2186">
            <w:pPr>
              <w:tabs>
                <w:tab w:val="decimal" w:pos="113"/>
              </w:tabs>
              <w:spacing w:line="140" w:lineRule="exact"/>
              <w:rPr>
                <w:sz w:val="16"/>
                <w:szCs w:val="16"/>
              </w:rPr>
            </w:pPr>
          </w:p>
        </w:tc>
        <w:tc>
          <w:tcPr>
            <w:tcW w:w="146" w:type="dxa"/>
            <w:vAlign w:val="bottom"/>
          </w:tcPr>
          <w:p w14:paraId="4E5FA73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69DE03C" w14:textId="77777777" w:rsidR="00C561BD" w:rsidRPr="00682E64" w:rsidRDefault="00C561BD" w:rsidP="00AC2186">
            <w:pPr>
              <w:tabs>
                <w:tab w:val="decimal" w:pos="113"/>
              </w:tabs>
              <w:spacing w:line="140" w:lineRule="exact"/>
              <w:rPr>
                <w:sz w:val="16"/>
                <w:szCs w:val="16"/>
              </w:rPr>
            </w:pPr>
          </w:p>
        </w:tc>
        <w:tc>
          <w:tcPr>
            <w:tcW w:w="115" w:type="dxa"/>
            <w:vAlign w:val="bottom"/>
          </w:tcPr>
          <w:p w14:paraId="31B04B0B"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33BB864" w14:textId="77777777" w:rsidR="00C561BD" w:rsidRPr="00682E64" w:rsidRDefault="00C561BD" w:rsidP="00AC2186">
            <w:pPr>
              <w:tabs>
                <w:tab w:val="decimal" w:pos="113"/>
              </w:tabs>
              <w:spacing w:line="140" w:lineRule="exact"/>
              <w:rPr>
                <w:sz w:val="16"/>
                <w:szCs w:val="16"/>
              </w:rPr>
            </w:pPr>
          </w:p>
        </w:tc>
        <w:tc>
          <w:tcPr>
            <w:tcW w:w="115" w:type="dxa"/>
          </w:tcPr>
          <w:p w14:paraId="351DB489"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4FA3CE4D" w14:textId="77777777" w:rsidR="00C561BD" w:rsidRPr="00682E64" w:rsidRDefault="00C561BD" w:rsidP="00AC2186">
            <w:pPr>
              <w:tabs>
                <w:tab w:val="decimal" w:pos="113"/>
              </w:tabs>
              <w:spacing w:line="140" w:lineRule="exact"/>
              <w:rPr>
                <w:sz w:val="16"/>
                <w:szCs w:val="16"/>
              </w:rPr>
            </w:pPr>
          </w:p>
        </w:tc>
      </w:tr>
      <w:tr w:rsidR="00C561BD" w:rsidRPr="00682E64" w14:paraId="454A5B6C" w14:textId="77777777" w:rsidTr="00AC2186">
        <w:tc>
          <w:tcPr>
            <w:tcW w:w="857" w:type="dxa"/>
            <w:tcBorders>
              <w:bottom w:val="single" w:sz="4" w:space="0" w:color="auto"/>
              <w:right w:val="single" w:sz="4" w:space="0" w:color="auto"/>
            </w:tcBorders>
            <w:vAlign w:val="center"/>
          </w:tcPr>
          <w:p w14:paraId="399ADBAD" w14:textId="77777777" w:rsidR="00C561BD" w:rsidRPr="00B05763" w:rsidRDefault="00C561BD" w:rsidP="00AC2186">
            <w:pPr>
              <w:bidi w:val="0"/>
              <w:spacing w:line="140" w:lineRule="exact"/>
              <w:jc w:val="right"/>
              <w:rPr>
                <w:i/>
                <w:iCs/>
                <w:sz w:val="12"/>
                <w:szCs w:val="12"/>
                <w:rtl/>
              </w:rPr>
            </w:pPr>
            <w:r>
              <w:rPr>
                <w:i/>
                <w:iCs/>
                <w:sz w:val="12"/>
                <w:szCs w:val="12"/>
              </w:rPr>
              <w:t>IAS 1.106(d)(iii)</w:t>
            </w:r>
          </w:p>
        </w:tc>
        <w:tc>
          <w:tcPr>
            <w:tcW w:w="2309" w:type="dxa"/>
            <w:tcBorders>
              <w:left w:val="single" w:sz="4" w:space="0" w:color="auto"/>
            </w:tcBorders>
            <w:vAlign w:val="bottom"/>
          </w:tcPr>
          <w:p w14:paraId="04EA4F2C"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מימוש כתבי אופציה והמרת אגרות חוב להמרה בחברה מאוחדת</w:t>
            </w:r>
          </w:p>
        </w:tc>
        <w:tc>
          <w:tcPr>
            <w:tcW w:w="113" w:type="dxa"/>
            <w:vAlign w:val="bottom"/>
          </w:tcPr>
          <w:p w14:paraId="2BEBFDDD"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1776C794" w14:textId="77777777" w:rsidR="00C561BD" w:rsidRPr="00682E64" w:rsidRDefault="00C561BD" w:rsidP="00AC2186">
            <w:pPr>
              <w:tabs>
                <w:tab w:val="decimal" w:pos="113"/>
              </w:tabs>
              <w:spacing w:line="140" w:lineRule="exact"/>
              <w:rPr>
                <w:sz w:val="16"/>
                <w:szCs w:val="16"/>
              </w:rPr>
            </w:pPr>
          </w:p>
        </w:tc>
        <w:tc>
          <w:tcPr>
            <w:tcW w:w="115" w:type="dxa"/>
            <w:vAlign w:val="bottom"/>
          </w:tcPr>
          <w:p w14:paraId="42D32666"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974E249" w14:textId="77777777" w:rsidR="00C561BD" w:rsidRPr="00682E64" w:rsidRDefault="00C561BD" w:rsidP="00AC2186">
            <w:pPr>
              <w:tabs>
                <w:tab w:val="decimal" w:pos="113"/>
              </w:tabs>
              <w:spacing w:line="140" w:lineRule="exact"/>
              <w:rPr>
                <w:sz w:val="16"/>
                <w:szCs w:val="16"/>
              </w:rPr>
            </w:pPr>
          </w:p>
        </w:tc>
        <w:tc>
          <w:tcPr>
            <w:tcW w:w="115" w:type="dxa"/>
            <w:vAlign w:val="bottom"/>
          </w:tcPr>
          <w:p w14:paraId="5419CC15"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CB718FE" w14:textId="77777777" w:rsidR="00C561BD" w:rsidRPr="00682E64" w:rsidRDefault="00C561BD" w:rsidP="00AC2186">
            <w:pPr>
              <w:tabs>
                <w:tab w:val="decimal" w:pos="113"/>
              </w:tabs>
              <w:spacing w:line="140" w:lineRule="exact"/>
              <w:rPr>
                <w:sz w:val="16"/>
                <w:szCs w:val="16"/>
              </w:rPr>
            </w:pPr>
          </w:p>
        </w:tc>
        <w:tc>
          <w:tcPr>
            <w:tcW w:w="115" w:type="dxa"/>
          </w:tcPr>
          <w:p w14:paraId="1746C089"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10550FC7" w14:textId="77777777" w:rsidR="00C561BD" w:rsidRPr="00682E64" w:rsidRDefault="00C561BD" w:rsidP="00AC2186">
            <w:pPr>
              <w:tabs>
                <w:tab w:val="decimal" w:pos="113"/>
              </w:tabs>
              <w:spacing w:line="140" w:lineRule="exact"/>
              <w:rPr>
                <w:sz w:val="16"/>
                <w:szCs w:val="16"/>
              </w:rPr>
            </w:pPr>
          </w:p>
        </w:tc>
        <w:tc>
          <w:tcPr>
            <w:tcW w:w="115" w:type="dxa"/>
          </w:tcPr>
          <w:p w14:paraId="2A4B0E20"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1C69AA62" w14:textId="77777777" w:rsidR="00C561BD" w:rsidRPr="00682E64" w:rsidRDefault="00C561BD" w:rsidP="00AC2186">
            <w:pPr>
              <w:tabs>
                <w:tab w:val="decimal" w:pos="113"/>
              </w:tabs>
              <w:spacing w:line="140" w:lineRule="exact"/>
              <w:rPr>
                <w:sz w:val="16"/>
                <w:szCs w:val="16"/>
              </w:rPr>
            </w:pPr>
          </w:p>
        </w:tc>
        <w:tc>
          <w:tcPr>
            <w:tcW w:w="115" w:type="dxa"/>
            <w:vAlign w:val="bottom"/>
          </w:tcPr>
          <w:p w14:paraId="1CBA3364"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E52493D" w14:textId="77777777" w:rsidR="00C561BD" w:rsidRPr="00682E64" w:rsidRDefault="00C561BD" w:rsidP="00AC2186">
            <w:pPr>
              <w:tabs>
                <w:tab w:val="decimal" w:pos="113"/>
              </w:tabs>
              <w:spacing w:line="140" w:lineRule="exact"/>
              <w:rPr>
                <w:sz w:val="16"/>
                <w:szCs w:val="16"/>
              </w:rPr>
            </w:pPr>
          </w:p>
        </w:tc>
        <w:tc>
          <w:tcPr>
            <w:tcW w:w="115" w:type="dxa"/>
            <w:vAlign w:val="bottom"/>
          </w:tcPr>
          <w:p w14:paraId="25D06EB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48336BB8" w14:textId="77777777" w:rsidR="00C561BD" w:rsidRPr="00682E64" w:rsidRDefault="00C561BD" w:rsidP="00AC2186">
            <w:pPr>
              <w:tabs>
                <w:tab w:val="decimal" w:pos="113"/>
              </w:tabs>
              <w:spacing w:line="140" w:lineRule="exact"/>
              <w:rPr>
                <w:sz w:val="16"/>
                <w:szCs w:val="16"/>
              </w:rPr>
            </w:pPr>
          </w:p>
        </w:tc>
        <w:tc>
          <w:tcPr>
            <w:tcW w:w="115" w:type="dxa"/>
            <w:vAlign w:val="bottom"/>
          </w:tcPr>
          <w:p w14:paraId="77B84F80"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4CEE3A6" w14:textId="77777777" w:rsidR="00C561BD" w:rsidRPr="00682E64" w:rsidRDefault="00C561BD" w:rsidP="00AC2186">
            <w:pPr>
              <w:tabs>
                <w:tab w:val="decimal" w:pos="113"/>
              </w:tabs>
              <w:spacing w:line="140" w:lineRule="exact"/>
              <w:rPr>
                <w:sz w:val="16"/>
                <w:szCs w:val="16"/>
              </w:rPr>
            </w:pPr>
          </w:p>
        </w:tc>
        <w:tc>
          <w:tcPr>
            <w:tcW w:w="115" w:type="dxa"/>
            <w:vAlign w:val="bottom"/>
          </w:tcPr>
          <w:p w14:paraId="400044C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55B484E"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9F1B32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872985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F4B0BD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D12D0F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5E83A4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9106A6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5CE6BCD"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B0A597C" w14:textId="77777777" w:rsidR="00C561BD" w:rsidRPr="00682E64" w:rsidRDefault="00C561BD" w:rsidP="00AC2186">
            <w:pPr>
              <w:tabs>
                <w:tab w:val="decimal" w:pos="113"/>
              </w:tabs>
              <w:spacing w:line="140" w:lineRule="exact"/>
              <w:rPr>
                <w:sz w:val="16"/>
                <w:szCs w:val="16"/>
              </w:rPr>
            </w:pPr>
          </w:p>
        </w:tc>
        <w:tc>
          <w:tcPr>
            <w:tcW w:w="146" w:type="dxa"/>
            <w:vAlign w:val="bottom"/>
          </w:tcPr>
          <w:p w14:paraId="3717C4DC"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5E80B75" w14:textId="77777777" w:rsidR="00C561BD" w:rsidRPr="00682E64" w:rsidRDefault="00C561BD" w:rsidP="00AC2186">
            <w:pPr>
              <w:tabs>
                <w:tab w:val="decimal" w:pos="113"/>
              </w:tabs>
              <w:spacing w:line="140" w:lineRule="exact"/>
              <w:rPr>
                <w:sz w:val="16"/>
                <w:szCs w:val="16"/>
              </w:rPr>
            </w:pPr>
          </w:p>
        </w:tc>
        <w:tc>
          <w:tcPr>
            <w:tcW w:w="115" w:type="dxa"/>
            <w:vAlign w:val="bottom"/>
          </w:tcPr>
          <w:p w14:paraId="520C51A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DA679AC" w14:textId="77777777" w:rsidR="00C561BD" w:rsidRPr="00682E64" w:rsidRDefault="00C561BD" w:rsidP="00AC2186">
            <w:pPr>
              <w:tabs>
                <w:tab w:val="decimal" w:pos="113"/>
              </w:tabs>
              <w:spacing w:line="140" w:lineRule="exact"/>
              <w:rPr>
                <w:sz w:val="16"/>
                <w:szCs w:val="16"/>
              </w:rPr>
            </w:pPr>
          </w:p>
        </w:tc>
        <w:tc>
          <w:tcPr>
            <w:tcW w:w="115" w:type="dxa"/>
          </w:tcPr>
          <w:p w14:paraId="36967FD2"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46B267F1" w14:textId="77777777" w:rsidR="00C561BD" w:rsidRPr="00682E64" w:rsidRDefault="00C561BD" w:rsidP="00AC2186">
            <w:pPr>
              <w:tabs>
                <w:tab w:val="decimal" w:pos="113"/>
              </w:tabs>
              <w:spacing w:line="140" w:lineRule="exact"/>
              <w:rPr>
                <w:sz w:val="16"/>
                <w:szCs w:val="16"/>
              </w:rPr>
            </w:pPr>
          </w:p>
        </w:tc>
      </w:tr>
      <w:tr w:rsidR="00C561BD" w:rsidRPr="00682E64" w14:paraId="23B1E997" w14:textId="77777777" w:rsidTr="00AC2186">
        <w:tc>
          <w:tcPr>
            <w:tcW w:w="857" w:type="dxa"/>
            <w:tcBorders>
              <w:top w:val="single" w:sz="4" w:space="0" w:color="auto"/>
              <w:bottom w:val="single" w:sz="4" w:space="0" w:color="auto"/>
              <w:right w:val="single" w:sz="4" w:space="0" w:color="auto"/>
            </w:tcBorders>
          </w:tcPr>
          <w:p w14:paraId="50A21407" w14:textId="77777777" w:rsidR="00C561BD" w:rsidRPr="00B05763" w:rsidRDefault="00C561BD" w:rsidP="00AC2186">
            <w:pPr>
              <w:bidi w:val="0"/>
              <w:spacing w:line="140" w:lineRule="exact"/>
              <w:jc w:val="right"/>
              <w:rPr>
                <w:i/>
                <w:iCs/>
                <w:sz w:val="12"/>
                <w:szCs w:val="12"/>
                <w:rtl/>
              </w:rPr>
            </w:pPr>
            <w:r>
              <w:rPr>
                <w:i/>
                <w:iCs/>
                <w:sz w:val="12"/>
                <w:szCs w:val="12"/>
              </w:rPr>
              <w:t>IAS 1.106(d)(iii); IFRS 2.50</w:t>
            </w:r>
          </w:p>
        </w:tc>
        <w:tc>
          <w:tcPr>
            <w:tcW w:w="2309" w:type="dxa"/>
            <w:tcBorders>
              <w:left w:val="single" w:sz="4" w:space="0" w:color="auto"/>
            </w:tcBorders>
            <w:vAlign w:val="center"/>
          </w:tcPr>
          <w:p w14:paraId="74E7298E"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עלות תשלום מבוסס מניות</w:t>
            </w:r>
          </w:p>
        </w:tc>
        <w:tc>
          <w:tcPr>
            <w:tcW w:w="113" w:type="dxa"/>
            <w:vAlign w:val="bottom"/>
          </w:tcPr>
          <w:p w14:paraId="633224B2"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15B6A11A" w14:textId="77777777" w:rsidR="00C561BD" w:rsidRPr="00682E64" w:rsidRDefault="00C561BD" w:rsidP="00AC2186">
            <w:pPr>
              <w:tabs>
                <w:tab w:val="decimal" w:pos="113"/>
              </w:tabs>
              <w:spacing w:line="140" w:lineRule="exact"/>
              <w:rPr>
                <w:sz w:val="16"/>
                <w:szCs w:val="16"/>
              </w:rPr>
            </w:pPr>
          </w:p>
        </w:tc>
        <w:tc>
          <w:tcPr>
            <w:tcW w:w="115" w:type="dxa"/>
            <w:vAlign w:val="bottom"/>
          </w:tcPr>
          <w:p w14:paraId="1A4F0D28"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5B87F89" w14:textId="77777777" w:rsidR="00C561BD" w:rsidRPr="00682E64" w:rsidRDefault="00C561BD" w:rsidP="00AC2186">
            <w:pPr>
              <w:tabs>
                <w:tab w:val="decimal" w:pos="113"/>
              </w:tabs>
              <w:spacing w:line="140" w:lineRule="exact"/>
              <w:rPr>
                <w:sz w:val="16"/>
                <w:szCs w:val="16"/>
              </w:rPr>
            </w:pPr>
          </w:p>
        </w:tc>
        <w:tc>
          <w:tcPr>
            <w:tcW w:w="115" w:type="dxa"/>
            <w:vAlign w:val="bottom"/>
          </w:tcPr>
          <w:p w14:paraId="720199F6"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27C617C" w14:textId="77777777" w:rsidR="00C561BD" w:rsidRPr="00682E64" w:rsidRDefault="00C561BD" w:rsidP="00AC2186">
            <w:pPr>
              <w:tabs>
                <w:tab w:val="decimal" w:pos="113"/>
              </w:tabs>
              <w:spacing w:line="140" w:lineRule="exact"/>
              <w:rPr>
                <w:sz w:val="16"/>
                <w:szCs w:val="16"/>
              </w:rPr>
            </w:pPr>
          </w:p>
        </w:tc>
        <w:tc>
          <w:tcPr>
            <w:tcW w:w="115" w:type="dxa"/>
          </w:tcPr>
          <w:p w14:paraId="38B4BA4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085ADC4F" w14:textId="77777777" w:rsidR="00C561BD" w:rsidRPr="00682E64" w:rsidRDefault="00C561BD" w:rsidP="00AC2186">
            <w:pPr>
              <w:tabs>
                <w:tab w:val="decimal" w:pos="113"/>
              </w:tabs>
              <w:spacing w:line="140" w:lineRule="exact"/>
              <w:rPr>
                <w:sz w:val="16"/>
                <w:szCs w:val="16"/>
              </w:rPr>
            </w:pPr>
          </w:p>
        </w:tc>
        <w:tc>
          <w:tcPr>
            <w:tcW w:w="115" w:type="dxa"/>
          </w:tcPr>
          <w:p w14:paraId="20C2841D"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615315F7" w14:textId="77777777" w:rsidR="00C561BD" w:rsidRPr="00682E64" w:rsidRDefault="00C561BD" w:rsidP="00AC2186">
            <w:pPr>
              <w:tabs>
                <w:tab w:val="decimal" w:pos="113"/>
              </w:tabs>
              <w:spacing w:line="140" w:lineRule="exact"/>
              <w:rPr>
                <w:sz w:val="16"/>
                <w:szCs w:val="16"/>
              </w:rPr>
            </w:pPr>
          </w:p>
        </w:tc>
        <w:tc>
          <w:tcPr>
            <w:tcW w:w="115" w:type="dxa"/>
            <w:vAlign w:val="bottom"/>
          </w:tcPr>
          <w:p w14:paraId="4B7E7EDE"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ED5F831" w14:textId="77777777" w:rsidR="00C561BD" w:rsidRPr="00682E64" w:rsidRDefault="00C561BD" w:rsidP="00AC2186">
            <w:pPr>
              <w:tabs>
                <w:tab w:val="decimal" w:pos="113"/>
              </w:tabs>
              <w:spacing w:line="140" w:lineRule="exact"/>
              <w:rPr>
                <w:sz w:val="16"/>
                <w:szCs w:val="16"/>
              </w:rPr>
            </w:pPr>
          </w:p>
        </w:tc>
        <w:tc>
          <w:tcPr>
            <w:tcW w:w="115" w:type="dxa"/>
            <w:vAlign w:val="bottom"/>
          </w:tcPr>
          <w:p w14:paraId="019F5F13"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A0F0543" w14:textId="77777777" w:rsidR="00C561BD" w:rsidRPr="00682E64" w:rsidRDefault="00C561BD" w:rsidP="00AC2186">
            <w:pPr>
              <w:tabs>
                <w:tab w:val="decimal" w:pos="113"/>
              </w:tabs>
              <w:spacing w:line="140" w:lineRule="exact"/>
              <w:rPr>
                <w:sz w:val="16"/>
                <w:szCs w:val="16"/>
              </w:rPr>
            </w:pPr>
          </w:p>
        </w:tc>
        <w:tc>
          <w:tcPr>
            <w:tcW w:w="115" w:type="dxa"/>
            <w:vAlign w:val="bottom"/>
          </w:tcPr>
          <w:p w14:paraId="0D49BF60"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13F7142" w14:textId="77777777" w:rsidR="00C561BD" w:rsidRPr="00682E64" w:rsidRDefault="00C561BD" w:rsidP="00AC2186">
            <w:pPr>
              <w:tabs>
                <w:tab w:val="decimal" w:pos="113"/>
              </w:tabs>
              <w:spacing w:line="140" w:lineRule="exact"/>
              <w:rPr>
                <w:sz w:val="16"/>
                <w:szCs w:val="16"/>
              </w:rPr>
            </w:pPr>
          </w:p>
        </w:tc>
        <w:tc>
          <w:tcPr>
            <w:tcW w:w="115" w:type="dxa"/>
            <w:vAlign w:val="bottom"/>
          </w:tcPr>
          <w:p w14:paraId="59E8D15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3B39A58"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C35147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B5EBB5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C452B6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49FF15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6FAF41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47313DC"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DCDC24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9A2F23C" w14:textId="77777777" w:rsidR="00C561BD" w:rsidRPr="00682E64" w:rsidRDefault="00C561BD" w:rsidP="00AC2186">
            <w:pPr>
              <w:tabs>
                <w:tab w:val="decimal" w:pos="113"/>
              </w:tabs>
              <w:spacing w:line="140" w:lineRule="exact"/>
              <w:rPr>
                <w:sz w:val="16"/>
                <w:szCs w:val="16"/>
              </w:rPr>
            </w:pPr>
          </w:p>
        </w:tc>
        <w:tc>
          <w:tcPr>
            <w:tcW w:w="146" w:type="dxa"/>
            <w:vAlign w:val="bottom"/>
          </w:tcPr>
          <w:p w14:paraId="5B33DCE9"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FAEACCF" w14:textId="77777777" w:rsidR="00C561BD" w:rsidRPr="00682E64" w:rsidRDefault="00C561BD" w:rsidP="00AC2186">
            <w:pPr>
              <w:tabs>
                <w:tab w:val="decimal" w:pos="113"/>
              </w:tabs>
              <w:spacing w:line="140" w:lineRule="exact"/>
              <w:rPr>
                <w:sz w:val="16"/>
                <w:szCs w:val="16"/>
              </w:rPr>
            </w:pPr>
          </w:p>
        </w:tc>
        <w:tc>
          <w:tcPr>
            <w:tcW w:w="115" w:type="dxa"/>
            <w:vAlign w:val="bottom"/>
          </w:tcPr>
          <w:p w14:paraId="1B287D0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B5265AA" w14:textId="77777777" w:rsidR="00C561BD" w:rsidRPr="00682E64" w:rsidRDefault="00C561BD" w:rsidP="00AC2186">
            <w:pPr>
              <w:tabs>
                <w:tab w:val="decimal" w:pos="113"/>
              </w:tabs>
              <w:spacing w:line="140" w:lineRule="exact"/>
              <w:rPr>
                <w:sz w:val="16"/>
                <w:szCs w:val="16"/>
              </w:rPr>
            </w:pPr>
          </w:p>
        </w:tc>
        <w:tc>
          <w:tcPr>
            <w:tcW w:w="115" w:type="dxa"/>
          </w:tcPr>
          <w:p w14:paraId="231313F6"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2DF178BE" w14:textId="77777777" w:rsidR="00C561BD" w:rsidRPr="00682E64" w:rsidRDefault="00C561BD" w:rsidP="00AC2186">
            <w:pPr>
              <w:tabs>
                <w:tab w:val="decimal" w:pos="113"/>
              </w:tabs>
              <w:spacing w:line="140" w:lineRule="exact"/>
              <w:rPr>
                <w:sz w:val="16"/>
                <w:szCs w:val="16"/>
              </w:rPr>
            </w:pPr>
          </w:p>
        </w:tc>
      </w:tr>
      <w:tr w:rsidR="00C561BD" w:rsidRPr="00682E64" w14:paraId="080B2A6B" w14:textId="77777777" w:rsidTr="00AC2186">
        <w:tc>
          <w:tcPr>
            <w:tcW w:w="857" w:type="dxa"/>
            <w:tcBorders>
              <w:top w:val="single" w:sz="4" w:space="0" w:color="auto"/>
            </w:tcBorders>
          </w:tcPr>
          <w:p w14:paraId="7B5B1427" w14:textId="77777777" w:rsidR="00C561BD" w:rsidRPr="00B05763" w:rsidRDefault="00C561BD" w:rsidP="00AC2186">
            <w:pPr>
              <w:bidi w:val="0"/>
              <w:spacing w:line="140" w:lineRule="exact"/>
              <w:jc w:val="right"/>
              <w:rPr>
                <w:i/>
                <w:iCs/>
                <w:sz w:val="12"/>
                <w:szCs w:val="12"/>
                <w:rtl/>
              </w:rPr>
            </w:pPr>
          </w:p>
        </w:tc>
        <w:tc>
          <w:tcPr>
            <w:tcW w:w="2309" w:type="dxa"/>
            <w:vAlign w:val="bottom"/>
          </w:tcPr>
          <w:p w14:paraId="70211540"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השפעת המס בגין עסקאות תשלום מבוסס מניות</w:t>
            </w:r>
          </w:p>
        </w:tc>
        <w:tc>
          <w:tcPr>
            <w:tcW w:w="113" w:type="dxa"/>
            <w:vAlign w:val="bottom"/>
          </w:tcPr>
          <w:p w14:paraId="40392678"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6B85AAEC" w14:textId="77777777" w:rsidR="00C561BD" w:rsidRPr="00682E64" w:rsidRDefault="00C561BD" w:rsidP="00AC2186">
            <w:pPr>
              <w:tabs>
                <w:tab w:val="decimal" w:pos="113"/>
              </w:tabs>
              <w:spacing w:line="140" w:lineRule="exact"/>
              <w:rPr>
                <w:sz w:val="16"/>
                <w:szCs w:val="16"/>
              </w:rPr>
            </w:pPr>
          </w:p>
        </w:tc>
        <w:tc>
          <w:tcPr>
            <w:tcW w:w="115" w:type="dxa"/>
            <w:vAlign w:val="bottom"/>
          </w:tcPr>
          <w:p w14:paraId="01FB1E1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9BD2F3F" w14:textId="77777777" w:rsidR="00C561BD" w:rsidRPr="00682E64" w:rsidRDefault="00C561BD" w:rsidP="00AC2186">
            <w:pPr>
              <w:tabs>
                <w:tab w:val="decimal" w:pos="113"/>
              </w:tabs>
              <w:spacing w:line="140" w:lineRule="exact"/>
              <w:rPr>
                <w:sz w:val="16"/>
                <w:szCs w:val="16"/>
              </w:rPr>
            </w:pPr>
          </w:p>
        </w:tc>
        <w:tc>
          <w:tcPr>
            <w:tcW w:w="115" w:type="dxa"/>
            <w:vAlign w:val="bottom"/>
          </w:tcPr>
          <w:p w14:paraId="09CA38C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DF17101" w14:textId="77777777" w:rsidR="00C561BD" w:rsidRPr="00682E64" w:rsidRDefault="00C561BD" w:rsidP="00AC2186">
            <w:pPr>
              <w:tabs>
                <w:tab w:val="decimal" w:pos="113"/>
              </w:tabs>
              <w:spacing w:line="140" w:lineRule="exact"/>
              <w:rPr>
                <w:sz w:val="16"/>
                <w:szCs w:val="16"/>
              </w:rPr>
            </w:pPr>
          </w:p>
        </w:tc>
        <w:tc>
          <w:tcPr>
            <w:tcW w:w="115" w:type="dxa"/>
          </w:tcPr>
          <w:p w14:paraId="2289021D"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7D22E8B3" w14:textId="77777777" w:rsidR="00C561BD" w:rsidRPr="00682E64" w:rsidRDefault="00C561BD" w:rsidP="00AC2186">
            <w:pPr>
              <w:tabs>
                <w:tab w:val="decimal" w:pos="113"/>
              </w:tabs>
              <w:spacing w:line="140" w:lineRule="exact"/>
              <w:rPr>
                <w:sz w:val="16"/>
                <w:szCs w:val="16"/>
              </w:rPr>
            </w:pPr>
          </w:p>
        </w:tc>
        <w:tc>
          <w:tcPr>
            <w:tcW w:w="115" w:type="dxa"/>
          </w:tcPr>
          <w:p w14:paraId="3F4616E2"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7EE8BFAE" w14:textId="77777777" w:rsidR="00C561BD" w:rsidRPr="00682E64" w:rsidRDefault="00C561BD" w:rsidP="00AC2186">
            <w:pPr>
              <w:tabs>
                <w:tab w:val="decimal" w:pos="113"/>
              </w:tabs>
              <w:spacing w:line="140" w:lineRule="exact"/>
              <w:rPr>
                <w:sz w:val="16"/>
                <w:szCs w:val="16"/>
              </w:rPr>
            </w:pPr>
          </w:p>
        </w:tc>
        <w:tc>
          <w:tcPr>
            <w:tcW w:w="115" w:type="dxa"/>
            <w:vAlign w:val="bottom"/>
          </w:tcPr>
          <w:p w14:paraId="420E5F69"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C6F19E2" w14:textId="77777777" w:rsidR="00C561BD" w:rsidRPr="00682E64" w:rsidRDefault="00C561BD" w:rsidP="00AC2186">
            <w:pPr>
              <w:tabs>
                <w:tab w:val="decimal" w:pos="113"/>
              </w:tabs>
              <w:spacing w:line="140" w:lineRule="exact"/>
              <w:rPr>
                <w:sz w:val="16"/>
                <w:szCs w:val="16"/>
              </w:rPr>
            </w:pPr>
          </w:p>
        </w:tc>
        <w:tc>
          <w:tcPr>
            <w:tcW w:w="115" w:type="dxa"/>
            <w:vAlign w:val="bottom"/>
          </w:tcPr>
          <w:p w14:paraId="0D40CBAC"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9D22D6D" w14:textId="77777777" w:rsidR="00C561BD" w:rsidRPr="00682E64" w:rsidRDefault="00C561BD" w:rsidP="00AC2186">
            <w:pPr>
              <w:tabs>
                <w:tab w:val="decimal" w:pos="113"/>
              </w:tabs>
              <w:spacing w:line="140" w:lineRule="exact"/>
              <w:rPr>
                <w:sz w:val="16"/>
                <w:szCs w:val="16"/>
              </w:rPr>
            </w:pPr>
          </w:p>
        </w:tc>
        <w:tc>
          <w:tcPr>
            <w:tcW w:w="115" w:type="dxa"/>
            <w:vAlign w:val="bottom"/>
          </w:tcPr>
          <w:p w14:paraId="5F255AF4"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71F30DC" w14:textId="77777777" w:rsidR="00C561BD" w:rsidRPr="00682E64" w:rsidRDefault="00C561BD" w:rsidP="00AC2186">
            <w:pPr>
              <w:tabs>
                <w:tab w:val="decimal" w:pos="113"/>
              </w:tabs>
              <w:spacing w:line="140" w:lineRule="exact"/>
              <w:rPr>
                <w:sz w:val="16"/>
                <w:szCs w:val="16"/>
              </w:rPr>
            </w:pPr>
          </w:p>
        </w:tc>
        <w:tc>
          <w:tcPr>
            <w:tcW w:w="115" w:type="dxa"/>
            <w:vAlign w:val="bottom"/>
          </w:tcPr>
          <w:p w14:paraId="42A2492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6DE3AB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67F192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4F4E07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154BD8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AF6CA23"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8B59D7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A66EF1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9EE3D4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3B1F8C1" w14:textId="77777777" w:rsidR="00C561BD" w:rsidRPr="00682E64" w:rsidRDefault="00C561BD" w:rsidP="00AC2186">
            <w:pPr>
              <w:tabs>
                <w:tab w:val="decimal" w:pos="113"/>
              </w:tabs>
              <w:spacing w:line="140" w:lineRule="exact"/>
              <w:rPr>
                <w:sz w:val="16"/>
                <w:szCs w:val="16"/>
              </w:rPr>
            </w:pPr>
          </w:p>
        </w:tc>
        <w:tc>
          <w:tcPr>
            <w:tcW w:w="146" w:type="dxa"/>
            <w:vAlign w:val="bottom"/>
          </w:tcPr>
          <w:p w14:paraId="4DA0D8C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EA9543D" w14:textId="77777777" w:rsidR="00C561BD" w:rsidRPr="00682E64" w:rsidRDefault="00C561BD" w:rsidP="00AC2186">
            <w:pPr>
              <w:tabs>
                <w:tab w:val="decimal" w:pos="113"/>
              </w:tabs>
              <w:spacing w:line="140" w:lineRule="exact"/>
              <w:rPr>
                <w:sz w:val="16"/>
                <w:szCs w:val="16"/>
              </w:rPr>
            </w:pPr>
          </w:p>
        </w:tc>
        <w:tc>
          <w:tcPr>
            <w:tcW w:w="115" w:type="dxa"/>
            <w:vAlign w:val="bottom"/>
          </w:tcPr>
          <w:p w14:paraId="31116AF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4429361" w14:textId="77777777" w:rsidR="00C561BD" w:rsidRPr="00682E64" w:rsidRDefault="00C561BD" w:rsidP="00AC2186">
            <w:pPr>
              <w:tabs>
                <w:tab w:val="decimal" w:pos="113"/>
              </w:tabs>
              <w:spacing w:line="140" w:lineRule="exact"/>
              <w:rPr>
                <w:sz w:val="16"/>
                <w:szCs w:val="16"/>
              </w:rPr>
            </w:pPr>
          </w:p>
        </w:tc>
        <w:tc>
          <w:tcPr>
            <w:tcW w:w="115" w:type="dxa"/>
          </w:tcPr>
          <w:p w14:paraId="091CA272"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2A90975A" w14:textId="77777777" w:rsidR="00C561BD" w:rsidRPr="00682E64" w:rsidRDefault="00C561BD" w:rsidP="00AC2186">
            <w:pPr>
              <w:tabs>
                <w:tab w:val="decimal" w:pos="113"/>
              </w:tabs>
              <w:spacing w:line="140" w:lineRule="exact"/>
              <w:rPr>
                <w:sz w:val="16"/>
                <w:szCs w:val="16"/>
              </w:rPr>
            </w:pPr>
          </w:p>
        </w:tc>
      </w:tr>
      <w:tr w:rsidR="00C561BD" w:rsidRPr="00682E64" w14:paraId="38952C39" w14:textId="77777777" w:rsidTr="00AC2186">
        <w:tc>
          <w:tcPr>
            <w:tcW w:w="857" w:type="dxa"/>
            <w:tcBorders>
              <w:bottom w:val="single" w:sz="4" w:space="0" w:color="auto"/>
              <w:right w:val="single" w:sz="4" w:space="0" w:color="auto"/>
            </w:tcBorders>
          </w:tcPr>
          <w:p w14:paraId="2F6712BB" w14:textId="77777777" w:rsidR="00C561BD" w:rsidRPr="00B05763" w:rsidRDefault="00C561BD" w:rsidP="00AC2186">
            <w:pPr>
              <w:bidi w:val="0"/>
              <w:spacing w:line="140" w:lineRule="exact"/>
              <w:jc w:val="right"/>
              <w:rPr>
                <w:i/>
                <w:iCs/>
                <w:sz w:val="12"/>
                <w:szCs w:val="12"/>
                <w:rtl/>
              </w:rPr>
            </w:pPr>
            <w:r>
              <w:rPr>
                <w:i/>
                <w:iCs/>
                <w:sz w:val="12"/>
                <w:szCs w:val="12"/>
              </w:rPr>
              <w:t>IAS 1.107</w:t>
            </w:r>
          </w:p>
        </w:tc>
        <w:tc>
          <w:tcPr>
            <w:tcW w:w="2309" w:type="dxa"/>
            <w:tcBorders>
              <w:left w:val="single" w:sz="4" w:space="0" w:color="auto"/>
            </w:tcBorders>
            <w:vAlign w:val="bottom"/>
          </w:tcPr>
          <w:p w14:paraId="20464AD4"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 xml:space="preserve">דיבידנד לבעלי מניות החברה </w:t>
            </w:r>
          </w:p>
        </w:tc>
        <w:tc>
          <w:tcPr>
            <w:tcW w:w="113" w:type="dxa"/>
            <w:vAlign w:val="bottom"/>
          </w:tcPr>
          <w:p w14:paraId="43B17803"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0A55F27F" w14:textId="77777777" w:rsidR="00C561BD" w:rsidRPr="00682E64" w:rsidRDefault="00C561BD" w:rsidP="00AC2186">
            <w:pPr>
              <w:tabs>
                <w:tab w:val="decimal" w:pos="113"/>
              </w:tabs>
              <w:spacing w:line="140" w:lineRule="exact"/>
              <w:rPr>
                <w:sz w:val="16"/>
                <w:szCs w:val="16"/>
              </w:rPr>
            </w:pPr>
          </w:p>
        </w:tc>
        <w:tc>
          <w:tcPr>
            <w:tcW w:w="115" w:type="dxa"/>
            <w:vAlign w:val="bottom"/>
          </w:tcPr>
          <w:p w14:paraId="1E4498BA"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8A3DFF3" w14:textId="77777777" w:rsidR="00C561BD" w:rsidRPr="00682E64" w:rsidRDefault="00C561BD" w:rsidP="00AC2186">
            <w:pPr>
              <w:tabs>
                <w:tab w:val="decimal" w:pos="113"/>
              </w:tabs>
              <w:spacing w:line="140" w:lineRule="exact"/>
              <w:rPr>
                <w:sz w:val="16"/>
                <w:szCs w:val="16"/>
              </w:rPr>
            </w:pPr>
          </w:p>
        </w:tc>
        <w:tc>
          <w:tcPr>
            <w:tcW w:w="115" w:type="dxa"/>
            <w:vAlign w:val="bottom"/>
          </w:tcPr>
          <w:p w14:paraId="51D358F3"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4083CCB" w14:textId="77777777" w:rsidR="00C561BD" w:rsidRPr="00682E64" w:rsidRDefault="00C561BD" w:rsidP="00AC2186">
            <w:pPr>
              <w:tabs>
                <w:tab w:val="decimal" w:pos="113"/>
              </w:tabs>
              <w:spacing w:line="140" w:lineRule="exact"/>
              <w:rPr>
                <w:sz w:val="16"/>
                <w:szCs w:val="16"/>
              </w:rPr>
            </w:pPr>
          </w:p>
        </w:tc>
        <w:tc>
          <w:tcPr>
            <w:tcW w:w="115" w:type="dxa"/>
          </w:tcPr>
          <w:p w14:paraId="3B10FB6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15899F73" w14:textId="77777777" w:rsidR="00C561BD" w:rsidRPr="00682E64" w:rsidRDefault="00C561BD" w:rsidP="00AC2186">
            <w:pPr>
              <w:tabs>
                <w:tab w:val="decimal" w:pos="113"/>
              </w:tabs>
              <w:spacing w:line="140" w:lineRule="exact"/>
              <w:rPr>
                <w:sz w:val="16"/>
                <w:szCs w:val="16"/>
              </w:rPr>
            </w:pPr>
          </w:p>
        </w:tc>
        <w:tc>
          <w:tcPr>
            <w:tcW w:w="115" w:type="dxa"/>
          </w:tcPr>
          <w:p w14:paraId="5BB6AA02"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09A50784" w14:textId="77777777" w:rsidR="00C561BD" w:rsidRPr="00682E64" w:rsidRDefault="00C561BD" w:rsidP="00AC2186">
            <w:pPr>
              <w:tabs>
                <w:tab w:val="decimal" w:pos="113"/>
              </w:tabs>
              <w:spacing w:line="140" w:lineRule="exact"/>
              <w:rPr>
                <w:sz w:val="16"/>
                <w:szCs w:val="16"/>
              </w:rPr>
            </w:pPr>
          </w:p>
        </w:tc>
        <w:tc>
          <w:tcPr>
            <w:tcW w:w="115" w:type="dxa"/>
            <w:vAlign w:val="bottom"/>
          </w:tcPr>
          <w:p w14:paraId="1B1DFEF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8CA0890" w14:textId="77777777" w:rsidR="00C561BD" w:rsidRPr="00682E64" w:rsidRDefault="00C561BD" w:rsidP="00AC2186">
            <w:pPr>
              <w:tabs>
                <w:tab w:val="decimal" w:pos="113"/>
              </w:tabs>
              <w:spacing w:line="140" w:lineRule="exact"/>
              <w:rPr>
                <w:sz w:val="16"/>
                <w:szCs w:val="16"/>
              </w:rPr>
            </w:pPr>
          </w:p>
        </w:tc>
        <w:tc>
          <w:tcPr>
            <w:tcW w:w="115" w:type="dxa"/>
            <w:vAlign w:val="bottom"/>
          </w:tcPr>
          <w:p w14:paraId="29B7722D"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DA3F778" w14:textId="77777777" w:rsidR="00C561BD" w:rsidRPr="00682E64" w:rsidRDefault="00C561BD" w:rsidP="00AC2186">
            <w:pPr>
              <w:tabs>
                <w:tab w:val="decimal" w:pos="113"/>
              </w:tabs>
              <w:spacing w:line="140" w:lineRule="exact"/>
              <w:rPr>
                <w:sz w:val="16"/>
                <w:szCs w:val="16"/>
              </w:rPr>
            </w:pPr>
          </w:p>
        </w:tc>
        <w:tc>
          <w:tcPr>
            <w:tcW w:w="115" w:type="dxa"/>
            <w:vAlign w:val="bottom"/>
          </w:tcPr>
          <w:p w14:paraId="1659AF9B"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9B28E46" w14:textId="77777777" w:rsidR="00C561BD" w:rsidRPr="00682E64" w:rsidRDefault="00C561BD" w:rsidP="00AC2186">
            <w:pPr>
              <w:tabs>
                <w:tab w:val="decimal" w:pos="113"/>
              </w:tabs>
              <w:spacing w:line="140" w:lineRule="exact"/>
              <w:rPr>
                <w:sz w:val="16"/>
                <w:szCs w:val="16"/>
              </w:rPr>
            </w:pPr>
          </w:p>
        </w:tc>
        <w:tc>
          <w:tcPr>
            <w:tcW w:w="115" w:type="dxa"/>
            <w:vAlign w:val="bottom"/>
          </w:tcPr>
          <w:p w14:paraId="2208D96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889840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E9A2C0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B97C03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7B5D63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5E907A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7D85B0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229EE71"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DAD546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D8B7D61" w14:textId="77777777" w:rsidR="00C561BD" w:rsidRPr="00682E64" w:rsidRDefault="00C561BD" w:rsidP="00AC2186">
            <w:pPr>
              <w:tabs>
                <w:tab w:val="decimal" w:pos="113"/>
              </w:tabs>
              <w:spacing w:line="140" w:lineRule="exact"/>
              <w:rPr>
                <w:sz w:val="16"/>
                <w:szCs w:val="16"/>
              </w:rPr>
            </w:pPr>
          </w:p>
        </w:tc>
        <w:tc>
          <w:tcPr>
            <w:tcW w:w="146" w:type="dxa"/>
            <w:vAlign w:val="bottom"/>
          </w:tcPr>
          <w:p w14:paraId="6B55F895"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C2E6031" w14:textId="77777777" w:rsidR="00C561BD" w:rsidRPr="00682E64" w:rsidRDefault="00C561BD" w:rsidP="00AC2186">
            <w:pPr>
              <w:tabs>
                <w:tab w:val="decimal" w:pos="113"/>
              </w:tabs>
              <w:spacing w:line="140" w:lineRule="exact"/>
              <w:rPr>
                <w:sz w:val="16"/>
                <w:szCs w:val="16"/>
              </w:rPr>
            </w:pPr>
          </w:p>
        </w:tc>
        <w:tc>
          <w:tcPr>
            <w:tcW w:w="115" w:type="dxa"/>
            <w:vAlign w:val="bottom"/>
          </w:tcPr>
          <w:p w14:paraId="7A2D1F93"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0213A32" w14:textId="77777777" w:rsidR="00C561BD" w:rsidRPr="00682E64" w:rsidRDefault="00C561BD" w:rsidP="00AC2186">
            <w:pPr>
              <w:tabs>
                <w:tab w:val="decimal" w:pos="113"/>
              </w:tabs>
              <w:spacing w:line="140" w:lineRule="exact"/>
              <w:rPr>
                <w:sz w:val="16"/>
                <w:szCs w:val="16"/>
              </w:rPr>
            </w:pPr>
          </w:p>
        </w:tc>
        <w:tc>
          <w:tcPr>
            <w:tcW w:w="115" w:type="dxa"/>
          </w:tcPr>
          <w:p w14:paraId="05C26A4F"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0E74F985" w14:textId="77777777" w:rsidR="00C561BD" w:rsidRPr="00682E64" w:rsidRDefault="00C561BD" w:rsidP="00AC2186">
            <w:pPr>
              <w:tabs>
                <w:tab w:val="decimal" w:pos="113"/>
              </w:tabs>
              <w:spacing w:line="140" w:lineRule="exact"/>
              <w:rPr>
                <w:sz w:val="16"/>
                <w:szCs w:val="16"/>
              </w:rPr>
            </w:pPr>
          </w:p>
        </w:tc>
      </w:tr>
      <w:tr w:rsidR="00C561BD" w:rsidRPr="00682E64" w14:paraId="0F8DA6D2" w14:textId="77777777" w:rsidTr="00AC2186">
        <w:tc>
          <w:tcPr>
            <w:tcW w:w="857" w:type="dxa"/>
            <w:tcBorders>
              <w:top w:val="single" w:sz="4" w:space="0" w:color="auto"/>
            </w:tcBorders>
          </w:tcPr>
          <w:p w14:paraId="4DCE566E" w14:textId="77777777" w:rsidR="00C561BD" w:rsidRPr="00B05763" w:rsidRDefault="00C561BD" w:rsidP="00AC2186">
            <w:pPr>
              <w:bidi w:val="0"/>
              <w:spacing w:line="140" w:lineRule="exact"/>
              <w:jc w:val="right"/>
              <w:rPr>
                <w:i/>
                <w:iCs/>
                <w:sz w:val="12"/>
                <w:szCs w:val="12"/>
                <w:rtl/>
              </w:rPr>
            </w:pPr>
          </w:p>
        </w:tc>
        <w:tc>
          <w:tcPr>
            <w:tcW w:w="2309" w:type="dxa"/>
            <w:vAlign w:val="bottom"/>
          </w:tcPr>
          <w:p w14:paraId="7FD69DFD"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הטבה הונית מעסקה עם בעל שליטה</w:t>
            </w:r>
          </w:p>
        </w:tc>
        <w:tc>
          <w:tcPr>
            <w:tcW w:w="113" w:type="dxa"/>
            <w:vAlign w:val="bottom"/>
          </w:tcPr>
          <w:p w14:paraId="6777DF8E"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7CC8331C" w14:textId="77777777" w:rsidR="00C561BD" w:rsidRPr="00682E64" w:rsidRDefault="00C561BD" w:rsidP="00AC2186">
            <w:pPr>
              <w:tabs>
                <w:tab w:val="decimal" w:pos="113"/>
              </w:tabs>
              <w:spacing w:line="140" w:lineRule="exact"/>
              <w:rPr>
                <w:sz w:val="16"/>
                <w:szCs w:val="16"/>
              </w:rPr>
            </w:pPr>
          </w:p>
        </w:tc>
        <w:tc>
          <w:tcPr>
            <w:tcW w:w="115" w:type="dxa"/>
            <w:vAlign w:val="bottom"/>
          </w:tcPr>
          <w:p w14:paraId="275DA1EC"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E19B22D" w14:textId="77777777" w:rsidR="00C561BD" w:rsidRPr="00682E64" w:rsidRDefault="00C561BD" w:rsidP="00AC2186">
            <w:pPr>
              <w:tabs>
                <w:tab w:val="decimal" w:pos="113"/>
              </w:tabs>
              <w:spacing w:line="140" w:lineRule="exact"/>
              <w:rPr>
                <w:sz w:val="16"/>
                <w:szCs w:val="16"/>
              </w:rPr>
            </w:pPr>
          </w:p>
        </w:tc>
        <w:tc>
          <w:tcPr>
            <w:tcW w:w="115" w:type="dxa"/>
            <w:vAlign w:val="bottom"/>
          </w:tcPr>
          <w:p w14:paraId="4AD54136"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2339ECA" w14:textId="77777777" w:rsidR="00C561BD" w:rsidRPr="00682E64" w:rsidRDefault="00C561BD" w:rsidP="00AC2186">
            <w:pPr>
              <w:tabs>
                <w:tab w:val="decimal" w:pos="113"/>
              </w:tabs>
              <w:spacing w:line="140" w:lineRule="exact"/>
              <w:rPr>
                <w:sz w:val="16"/>
                <w:szCs w:val="16"/>
              </w:rPr>
            </w:pPr>
          </w:p>
        </w:tc>
        <w:tc>
          <w:tcPr>
            <w:tcW w:w="115" w:type="dxa"/>
          </w:tcPr>
          <w:p w14:paraId="415F93FC"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0ABCF3E8" w14:textId="77777777" w:rsidR="00C561BD" w:rsidRPr="00682E64" w:rsidRDefault="00C561BD" w:rsidP="00AC2186">
            <w:pPr>
              <w:tabs>
                <w:tab w:val="decimal" w:pos="113"/>
              </w:tabs>
              <w:spacing w:line="140" w:lineRule="exact"/>
              <w:rPr>
                <w:sz w:val="16"/>
                <w:szCs w:val="16"/>
              </w:rPr>
            </w:pPr>
          </w:p>
        </w:tc>
        <w:tc>
          <w:tcPr>
            <w:tcW w:w="115" w:type="dxa"/>
          </w:tcPr>
          <w:p w14:paraId="0DE5B817"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40D415A9" w14:textId="77777777" w:rsidR="00C561BD" w:rsidRPr="00682E64" w:rsidRDefault="00C561BD" w:rsidP="00AC2186">
            <w:pPr>
              <w:tabs>
                <w:tab w:val="decimal" w:pos="113"/>
              </w:tabs>
              <w:spacing w:line="140" w:lineRule="exact"/>
              <w:rPr>
                <w:sz w:val="16"/>
                <w:szCs w:val="16"/>
              </w:rPr>
            </w:pPr>
          </w:p>
        </w:tc>
        <w:tc>
          <w:tcPr>
            <w:tcW w:w="115" w:type="dxa"/>
            <w:vAlign w:val="bottom"/>
          </w:tcPr>
          <w:p w14:paraId="234FBCE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50FA358" w14:textId="77777777" w:rsidR="00C561BD" w:rsidRPr="00682E64" w:rsidRDefault="00C561BD" w:rsidP="00AC2186">
            <w:pPr>
              <w:tabs>
                <w:tab w:val="decimal" w:pos="113"/>
              </w:tabs>
              <w:spacing w:line="140" w:lineRule="exact"/>
              <w:rPr>
                <w:sz w:val="16"/>
                <w:szCs w:val="16"/>
              </w:rPr>
            </w:pPr>
          </w:p>
        </w:tc>
        <w:tc>
          <w:tcPr>
            <w:tcW w:w="115" w:type="dxa"/>
            <w:vAlign w:val="bottom"/>
          </w:tcPr>
          <w:p w14:paraId="03FA393E"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172C3EF" w14:textId="77777777" w:rsidR="00C561BD" w:rsidRPr="00682E64" w:rsidRDefault="00C561BD" w:rsidP="00AC2186">
            <w:pPr>
              <w:tabs>
                <w:tab w:val="decimal" w:pos="113"/>
              </w:tabs>
              <w:spacing w:line="140" w:lineRule="exact"/>
              <w:rPr>
                <w:sz w:val="16"/>
                <w:szCs w:val="16"/>
              </w:rPr>
            </w:pPr>
          </w:p>
        </w:tc>
        <w:tc>
          <w:tcPr>
            <w:tcW w:w="115" w:type="dxa"/>
            <w:vAlign w:val="bottom"/>
          </w:tcPr>
          <w:p w14:paraId="1AD37B7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E33932A" w14:textId="77777777" w:rsidR="00C561BD" w:rsidRPr="00682E64" w:rsidRDefault="00C561BD" w:rsidP="00AC2186">
            <w:pPr>
              <w:tabs>
                <w:tab w:val="decimal" w:pos="113"/>
              </w:tabs>
              <w:spacing w:line="140" w:lineRule="exact"/>
              <w:rPr>
                <w:sz w:val="16"/>
                <w:szCs w:val="16"/>
              </w:rPr>
            </w:pPr>
          </w:p>
        </w:tc>
        <w:tc>
          <w:tcPr>
            <w:tcW w:w="115" w:type="dxa"/>
            <w:vAlign w:val="bottom"/>
          </w:tcPr>
          <w:p w14:paraId="5BA1886D"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EFB931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446BCD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8C8262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16C851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B3B159C"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4B8A90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B38996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562D36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B55B491" w14:textId="77777777" w:rsidR="00C561BD" w:rsidRPr="00682E64" w:rsidRDefault="00C561BD" w:rsidP="00AC2186">
            <w:pPr>
              <w:tabs>
                <w:tab w:val="decimal" w:pos="113"/>
              </w:tabs>
              <w:spacing w:line="140" w:lineRule="exact"/>
              <w:rPr>
                <w:sz w:val="16"/>
                <w:szCs w:val="16"/>
              </w:rPr>
            </w:pPr>
          </w:p>
        </w:tc>
        <w:tc>
          <w:tcPr>
            <w:tcW w:w="146" w:type="dxa"/>
            <w:vAlign w:val="bottom"/>
          </w:tcPr>
          <w:p w14:paraId="51FD12E4"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4CA842D" w14:textId="77777777" w:rsidR="00C561BD" w:rsidRPr="00682E64" w:rsidRDefault="00C561BD" w:rsidP="00AC2186">
            <w:pPr>
              <w:tabs>
                <w:tab w:val="decimal" w:pos="113"/>
              </w:tabs>
              <w:spacing w:line="140" w:lineRule="exact"/>
              <w:rPr>
                <w:sz w:val="16"/>
                <w:szCs w:val="16"/>
              </w:rPr>
            </w:pPr>
          </w:p>
        </w:tc>
        <w:tc>
          <w:tcPr>
            <w:tcW w:w="115" w:type="dxa"/>
            <w:vAlign w:val="bottom"/>
          </w:tcPr>
          <w:p w14:paraId="183D99E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E45E799" w14:textId="77777777" w:rsidR="00C561BD" w:rsidRPr="00682E64" w:rsidRDefault="00C561BD" w:rsidP="00AC2186">
            <w:pPr>
              <w:tabs>
                <w:tab w:val="decimal" w:pos="113"/>
              </w:tabs>
              <w:spacing w:line="140" w:lineRule="exact"/>
              <w:rPr>
                <w:sz w:val="16"/>
                <w:szCs w:val="16"/>
              </w:rPr>
            </w:pPr>
          </w:p>
        </w:tc>
        <w:tc>
          <w:tcPr>
            <w:tcW w:w="115" w:type="dxa"/>
          </w:tcPr>
          <w:p w14:paraId="2AD2804C"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6890A16C" w14:textId="77777777" w:rsidR="00C561BD" w:rsidRPr="00682E64" w:rsidRDefault="00C561BD" w:rsidP="00AC2186">
            <w:pPr>
              <w:tabs>
                <w:tab w:val="decimal" w:pos="113"/>
              </w:tabs>
              <w:spacing w:line="140" w:lineRule="exact"/>
              <w:rPr>
                <w:sz w:val="16"/>
                <w:szCs w:val="16"/>
              </w:rPr>
            </w:pPr>
          </w:p>
        </w:tc>
      </w:tr>
      <w:tr w:rsidR="00C561BD" w:rsidRPr="00682E64" w14:paraId="13155245" w14:textId="77777777" w:rsidTr="00AC2186">
        <w:tc>
          <w:tcPr>
            <w:tcW w:w="857" w:type="dxa"/>
            <w:vMerge w:val="restart"/>
            <w:tcBorders>
              <w:bottom w:val="single" w:sz="4" w:space="0" w:color="auto"/>
              <w:right w:val="single" w:sz="4" w:space="0" w:color="auto"/>
            </w:tcBorders>
            <w:vAlign w:val="center"/>
          </w:tcPr>
          <w:p w14:paraId="4845800F" w14:textId="77777777" w:rsidR="00C561BD" w:rsidRPr="00B05763" w:rsidRDefault="00C561BD" w:rsidP="00AC2186">
            <w:pPr>
              <w:bidi w:val="0"/>
              <w:spacing w:line="140" w:lineRule="exact"/>
              <w:jc w:val="right"/>
              <w:rPr>
                <w:i/>
                <w:iCs/>
                <w:sz w:val="12"/>
                <w:szCs w:val="12"/>
                <w:rtl/>
              </w:rPr>
            </w:pPr>
            <w:r>
              <w:rPr>
                <w:i/>
                <w:iCs/>
                <w:sz w:val="12"/>
                <w:szCs w:val="12"/>
              </w:rPr>
              <w:t>IAS 1.106(d)(Iii)</w:t>
            </w:r>
          </w:p>
        </w:tc>
        <w:tc>
          <w:tcPr>
            <w:tcW w:w="2309" w:type="dxa"/>
            <w:tcBorders>
              <w:left w:val="single" w:sz="4" w:space="0" w:color="auto"/>
            </w:tcBorders>
            <w:vAlign w:val="bottom"/>
          </w:tcPr>
          <w:p w14:paraId="2D4E9B03"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רכישת זכויות שאינן מקנות שליטה</w:t>
            </w:r>
          </w:p>
        </w:tc>
        <w:tc>
          <w:tcPr>
            <w:tcW w:w="113" w:type="dxa"/>
            <w:vAlign w:val="bottom"/>
          </w:tcPr>
          <w:p w14:paraId="3B9D9A95"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28400D76" w14:textId="77777777" w:rsidR="00C561BD" w:rsidRPr="00682E64" w:rsidRDefault="00C561BD" w:rsidP="00AC2186">
            <w:pPr>
              <w:tabs>
                <w:tab w:val="decimal" w:pos="113"/>
              </w:tabs>
              <w:spacing w:line="140" w:lineRule="exact"/>
              <w:rPr>
                <w:sz w:val="16"/>
                <w:szCs w:val="16"/>
              </w:rPr>
            </w:pPr>
          </w:p>
        </w:tc>
        <w:tc>
          <w:tcPr>
            <w:tcW w:w="115" w:type="dxa"/>
            <w:vAlign w:val="bottom"/>
          </w:tcPr>
          <w:p w14:paraId="3C513EB6"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3DF939A" w14:textId="77777777" w:rsidR="00C561BD" w:rsidRPr="00682E64" w:rsidRDefault="00C561BD" w:rsidP="00AC2186">
            <w:pPr>
              <w:tabs>
                <w:tab w:val="decimal" w:pos="113"/>
              </w:tabs>
              <w:spacing w:line="140" w:lineRule="exact"/>
              <w:rPr>
                <w:sz w:val="16"/>
                <w:szCs w:val="16"/>
              </w:rPr>
            </w:pPr>
          </w:p>
        </w:tc>
        <w:tc>
          <w:tcPr>
            <w:tcW w:w="115" w:type="dxa"/>
            <w:vAlign w:val="bottom"/>
          </w:tcPr>
          <w:p w14:paraId="032E395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F5B6407" w14:textId="77777777" w:rsidR="00C561BD" w:rsidRPr="00682E64" w:rsidRDefault="00C561BD" w:rsidP="00AC2186">
            <w:pPr>
              <w:tabs>
                <w:tab w:val="decimal" w:pos="113"/>
              </w:tabs>
              <w:spacing w:line="140" w:lineRule="exact"/>
              <w:rPr>
                <w:sz w:val="16"/>
                <w:szCs w:val="16"/>
              </w:rPr>
            </w:pPr>
          </w:p>
        </w:tc>
        <w:tc>
          <w:tcPr>
            <w:tcW w:w="115" w:type="dxa"/>
          </w:tcPr>
          <w:p w14:paraId="10191FB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2EE25851" w14:textId="77777777" w:rsidR="00C561BD" w:rsidRPr="00682E64" w:rsidRDefault="00C561BD" w:rsidP="00AC2186">
            <w:pPr>
              <w:tabs>
                <w:tab w:val="decimal" w:pos="113"/>
              </w:tabs>
              <w:spacing w:line="140" w:lineRule="exact"/>
              <w:rPr>
                <w:sz w:val="16"/>
                <w:szCs w:val="16"/>
              </w:rPr>
            </w:pPr>
          </w:p>
        </w:tc>
        <w:tc>
          <w:tcPr>
            <w:tcW w:w="115" w:type="dxa"/>
          </w:tcPr>
          <w:p w14:paraId="3C62F50A"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3B5F63C3" w14:textId="77777777" w:rsidR="00C561BD" w:rsidRPr="00682E64" w:rsidRDefault="00C561BD" w:rsidP="00AC2186">
            <w:pPr>
              <w:tabs>
                <w:tab w:val="decimal" w:pos="113"/>
              </w:tabs>
              <w:spacing w:line="140" w:lineRule="exact"/>
              <w:rPr>
                <w:sz w:val="16"/>
                <w:szCs w:val="16"/>
              </w:rPr>
            </w:pPr>
          </w:p>
        </w:tc>
        <w:tc>
          <w:tcPr>
            <w:tcW w:w="115" w:type="dxa"/>
            <w:vAlign w:val="bottom"/>
          </w:tcPr>
          <w:p w14:paraId="55831597"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0E03552" w14:textId="77777777" w:rsidR="00C561BD" w:rsidRPr="00682E64" w:rsidRDefault="00C561BD" w:rsidP="00AC2186">
            <w:pPr>
              <w:tabs>
                <w:tab w:val="decimal" w:pos="113"/>
              </w:tabs>
              <w:spacing w:line="140" w:lineRule="exact"/>
              <w:rPr>
                <w:sz w:val="16"/>
                <w:szCs w:val="16"/>
              </w:rPr>
            </w:pPr>
          </w:p>
        </w:tc>
        <w:tc>
          <w:tcPr>
            <w:tcW w:w="115" w:type="dxa"/>
            <w:vAlign w:val="bottom"/>
          </w:tcPr>
          <w:p w14:paraId="546A611B"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01C2C3E" w14:textId="77777777" w:rsidR="00C561BD" w:rsidRPr="00682E64" w:rsidRDefault="00C561BD" w:rsidP="00AC2186">
            <w:pPr>
              <w:tabs>
                <w:tab w:val="decimal" w:pos="113"/>
              </w:tabs>
              <w:spacing w:line="140" w:lineRule="exact"/>
              <w:rPr>
                <w:sz w:val="16"/>
                <w:szCs w:val="16"/>
              </w:rPr>
            </w:pPr>
          </w:p>
        </w:tc>
        <w:tc>
          <w:tcPr>
            <w:tcW w:w="115" w:type="dxa"/>
            <w:vAlign w:val="bottom"/>
          </w:tcPr>
          <w:p w14:paraId="23D9FB6D"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C8F4136" w14:textId="77777777" w:rsidR="00C561BD" w:rsidRPr="00682E64" w:rsidRDefault="00C561BD" w:rsidP="00AC2186">
            <w:pPr>
              <w:tabs>
                <w:tab w:val="decimal" w:pos="113"/>
              </w:tabs>
              <w:spacing w:line="140" w:lineRule="exact"/>
              <w:rPr>
                <w:sz w:val="16"/>
                <w:szCs w:val="16"/>
              </w:rPr>
            </w:pPr>
          </w:p>
        </w:tc>
        <w:tc>
          <w:tcPr>
            <w:tcW w:w="115" w:type="dxa"/>
            <w:vAlign w:val="bottom"/>
          </w:tcPr>
          <w:p w14:paraId="1EC5B2C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169117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6CF64B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D575E3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BC6B52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12184F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DF60C9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34D93B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2286FF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45BBE61" w14:textId="77777777" w:rsidR="00C561BD" w:rsidRPr="00682E64" w:rsidRDefault="00C561BD" w:rsidP="00AC2186">
            <w:pPr>
              <w:tabs>
                <w:tab w:val="decimal" w:pos="113"/>
              </w:tabs>
              <w:spacing w:line="140" w:lineRule="exact"/>
              <w:rPr>
                <w:sz w:val="16"/>
                <w:szCs w:val="16"/>
              </w:rPr>
            </w:pPr>
          </w:p>
        </w:tc>
        <w:tc>
          <w:tcPr>
            <w:tcW w:w="146" w:type="dxa"/>
            <w:vAlign w:val="bottom"/>
          </w:tcPr>
          <w:p w14:paraId="7EA37ECE"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1449082" w14:textId="77777777" w:rsidR="00C561BD" w:rsidRPr="00682E64" w:rsidRDefault="00C561BD" w:rsidP="00AC2186">
            <w:pPr>
              <w:tabs>
                <w:tab w:val="decimal" w:pos="113"/>
              </w:tabs>
              <w:spacing w:line="140" w:lineRule="exact"/>
              <w:rPr>
                <w:sz w:val="16"/>
                <w:szCs w:val="16"/>
              </w:rPr>
            </w:pPr>
          </w:p>
        </w:tc>
        <w:tc>
          <w:tcPr>
            <w:tcW w:w="115" w:type="dxa"/>
            <w:vAlign w:val="bottom"/>
          </w:tcPr>
          <w:p w14:paraId="1E68A5D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FAE0D8E" w14:textId="77777777" w:rsidR="00C561BD" w:rsidRPr="00682E64" w:rsidRDefault="00C561BD" w:rsidP="00AC2186">
            <w:pPr>
              <w:tabs>
                <w:tab w:val="decimal" w:pos="113"/>
              </w:tabs>
              <w:spacing w:line="140" w:lineRule="exact"/>
              <w:rPr>
                <w:sz w:val="16"/>
                <w:szCs w:val="16"/>
              </w:rPr>
            </w:pPr>
          </w:p>
        </w:tc>
        <w:tc>
          <w:tcPr>
            <w:tcW w:w="115" w:type="dxa"/>
          </w:tcPr>
          <w:p w14:paraId="434AD721"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292BDEF6" w14:textId="77777777" w:rsidR="00C561BD" w:rsidRPr="00682E64" w:rsidRDefault="00C561BD" w:rsidP="00AC2186">
            <w:pPr>
              <w:tabs>
                <w:tab w:val="decimal" w:pos="113"/>
              </w:tabs>
              <w:spacing w:line="140" w:lineRule="exact"/>
              <w:rPr>
                <w:sz w:val="16"/>
                <w:szCs w:val="16"/>
              </w:rPr>
            </w:pPr>
          </w:p>
        </w:tc>
      </w:tr>
      <w:tr w:rsidR="00C561BD" w:rsidRPr="00682E64" w14:paraId="1BB6BED7" w14:textId="77777777" w:rsidTr="00AC2186">
        <w:tc>
          <w:tcPr>
            <w:tcW w:w="857" w:type="dxa"/>
            <w:vMerge/>
            <w:tcBorders>
              <w:bottom w:val="single" w:sz="4" w:space="0" w:color="auto"/>
              <w:right w:val="single" w:sz="4" w:space="0" w:color="auto"/>
            </w:tcBorders>
          </w:tcPr>
          <w:p w14:paraId="3401DECF"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46CD7873"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זכויות שאינן מקנות שליטה שנוצרו בחברות שאוחדו לראשונה</w:t>
            </w:r>
          </w:p>
        </w:tc>
        <w:tc>
          <w:tcPr>
            <w:tcW w:w="113" w:type="dxa"/>
            <w:vAlign w:val="bottom"/>
          </w:tcPr>
          <w:p w14:paraId="5392B808"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3EAAE618" w14:textId="77777777" w:rsidR="00C561BD" w:rsidRPr="00682E64" w:rsidRDefault="00C561BD" w:rsidP="00AC2186">
            <w:pPr>
              <w:tabs>
                <w:tab w:val="decimal" w:pos="113"/>
              </w:tabs>
              <w:spacing w:line="140" w:lineRule="exact"/>
              <w:rPr>
                <w:sz w:val="16"/>
                <w:szCs w:val="16"/>
              </w:rPr>
            </w:pPr>
          </w:p>
        </w:tc>
        <w:tc>
          <w:tcPr>
            <w:tcW w:w="115" w:type="dxa"/>
            <w:vAlign w:val="bottom"/>
          </w:tcPr>
          <w:p w14:paraId="3D4A02B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B579BDF" w14:textId="77777777" w:rsidR="00C561BD" w:rsidRPr="00682E64" w:rsidRDefault="00C561BD" w:rsidP="00AC2186">
            <w:pPr>
              <w:tabs>
                <w:tab w:val="decimal" w:pos="113"/>
              </w:tabs>
              <w:spacing w:line="140" w:lineRule="exact"/>
              <w:rPr>
                <w:sz w:val="16"/>
                <w:szCs w:val="16"/>
              </w:rPr>
            </w:pPr>
          </w:p>
        </w:tc>
        <w:tc>
          <w:tcPr>
            <w:tcW w:w="115" w:type="dxa"/>
            <w:vAlign w:val="bottom"/>
          </w:tcPr>
          <w:p w14:paraId="4B038EF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2910C46" w14:textId="77777777" w:rsidR="00C561BD" w:rsidRPr="00682E64" w:rsidRDefault="00C561BD" w:rsidP="00AC2186">
            <w:pPr>
              <w:tabs>
                <w:tab w:val="decimal" w:pos="113"/>
              </w:tabs>
              <w:spacing w:line="140" w:lineRule="exact"/>
              <w:rPr>
                <w:sz w:val="16"/>
                <w:szCs w:val="16"/>
              </w:rPr>
            </w:pPr>
          </w:p>
        </w:tc>
        <w:tc>
          <w:tcPr>
            <w:tcW w:w="115" w:type="dxa"/>
          </w:tcPr>
          <w:p w14:paraId="7190B224"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570F11AD" w14:textId="77777777" w:rsidR="00C561BD" w:rsidRPr="00682E64" w:rsidRDefault="00C561BD" w:rsidP="00AC2186">
            <w:pPr>
              <w:tabs>
                <w:tab w:val="decimal" w:pos="113"/>
              </w:tabs>
              <w:spacing w:line="140" w:lineRule="exact"/>
              <w:rPr>
                <w:sz w:val="16"/>
                <w:szCs w:val="16"/>
              </w:rPr>
            </w:pPr>
          </w:p>
        </w:tc>
        <w:tc>
          <w:tcPr>
            <w:tcW w:w="115" w:type="dxa"/>
          </w:tcPr>
          <w:p w14:paraId="78260AC3"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6677D0C6" w14:textId="77777777" w:rsidR="00C561BD" w:rsidRPr="00682E64" w:rsidRDefault="00C561BD" w:rsidP="00AC2186">
            <w:pPr>
              <w:tabs>
                <w:tab w:val="decimal" w:pos="113"/>
              </w:tabs>
              <w:spacing w:line="140" w:lineRule="exact"/>
              <w:rPr>
                <w:sz w:val="16"/>
                <w:szCs w:val="16"/>
              </w:rPr>
            </w:pPr>
          </w:p>
        </w:tc>
        <w:tc>
          <w:tcPr>
            <w:tcW w:w="115" w:type="dxa"/>
            <w:vAlign w:val="bottom"/>
          </w:tcPr>
          <w:p w14:paraId="1D91388A"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732BC3B" w14:textId="77777777" w:rsidR="00C561BD" w:rsidRPr="00682E64" w:rsidRDefault="00C561BD" w:rsidP="00AC2186">
            <w:pPr>
              <w:tabs>
                <w:tab w:val="decimal" w:pos="113"/>
              </w:tabs>
              <w:spacing w:line="140" w:lineRule="exact"/>
              <w:rPr>
                <w:sz w:val="16"/>
                <w:szCs w:val="16"/>
              </w:rPr>
            </w:pPr>
          </w:p>
        </w:tc>
        <w:tc>
          <w:tcPr>
            <w:tcW w:w="115" w:type="dxa"/>
            <w:vAlign w:val="bottom"/>
          </w:tcPr>
          <w:p w14:paraId="206C02D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AB4EE87" w14:textId="77777777" w:rsidR="00C561BD" w:rsidRPr="00682E64" w:rsidRDefault="00C561BD" w:rsidP="00AC2186">
            <w:pPr>
              <w:tabs>
                <w:tab w:val="decimal" w:pos="113"/>
              </w:tabs>
              <w:spacing w:line="140" w:lineRule="exact"/>
              <w:rPr>
                <w:sz w:val="16"/>
                <w:szCs w:val="16"/>
              </w:rPr>
            </w:pPr>
          </w:p>
        </w:tc>
        <w:tc>
          <w:tcPr>
            <w:tcW w:w="115" w:type="dxa"/>
            <w:vAlign w:val="bottom"/>
          </w:tcPr>
          <w:p w14:paraId="3A2FB2BF"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2E90CF9" w14:textId="77777777" w:rsidR="00C561BD" w:rsidRPr="00682E64" w:rsidRDefault="00C561BD" w:rsidP="00AC2186">
            <w:pPr>
              <w:tabs>
                <w:tab w:val="decimal" w:pos="113"/>
              </w:tabs>
              <w:spacing w:line="140" w:lineRule="exact"/>
              <w:rPr>
                <w:sz w:val="16"/>
                <w:szCs w:val="16"/>
              </w:rPr>
            </w:pPr>
          </w:p>
        </w:tc>
        <w:tc>
          <w:tcPr>
            <w:tcW w:w="115" w:type="dxa"/>
            <w:vAlign w:val="bottom"/>
          </w:tcPr>
          <w:p w14:paraId="51A3802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8782DE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5852F8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17C8A7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1D88A7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B45AB0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ABF590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9C658F3"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94F371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F01853C" w14:textId="77777777" w:rsidR="00C561BD" w:rsidRPr="00682E64" w:rsidRDefault="00C561BD" w:rsidP="00AC2186">
            <w:pPr>
              <w:tabs>
                <w:tab w:val="decimal" w:pos="113"/>
              </w:tabs>
              <w:spacing w:line="140" w:lineRule="exact"/>
              <w:rPr>
                <w:sz w:val="16"/>
                <w:szCs w:val="16"/>
              </w:rPr>
            </w:pPr>
          </w:p>
        </w:tc>
        <w:tc>
          <w:tcPr>
            <w:tcW w:w="146" w:type="dxa"/>
            <w:vAlign w:val="bottom"/>
          </w:tcPr>
          <w:p w14:paraId="08612FC2"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1371DA9B" w14:textId="77777777" w:rsidR="00C561BD" w:rsidRPr="00682E64" w:rsidRDefault="00C561BD" w:rsidP="00AC2186">
            <w:pPr>
              <w:tabs>
                <w:tab w:val="decimal" w:pos="113"/>
              </w:tabs>
              <w:spacing w:line="140" w:lineRule="exact"/>
              <w:rPr>
                <w:sz w:val="16"/>
                <w:szCs w:val="16"/>
              </w:rPr>
            </w:pPr>
          </w:p>
        </w:tc>
        <w:tc>
          <w:tcPr>
            <w:tcW w:w="115" w:type="dxa"/>
            <w:vAlign w:val="bottom"/>
          </w:tcPr>
          <w:p w14:paraId="11DC177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37D220C" w14:textId="77777777" w:rsidR="00C561BD" w:rsidRPr="00682E64" w:rsidRDefault="00C561BD" w:rsidP="00AC2186">
            <w:pPr>
              <w:tabs>
                <w:tab w:val="decimal" w:pos="113"/>
              </w:tabs>
              <w:spacing w:line="140" w:lineRule="exact"/>
              <w:rPr>
                <w:sz w:val="16"/>
                <w:szCs w:val="16"/>
              </w:rPr>
            </w:pPr>
          </w:p>
        </w:tc>
        <w:tc>
          <w:tcPr>
            <w:tcW w:w="115" w:type="dxa"/>
          </w:tcPr>
          <w:p w14:paraId="328FFCD4"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58E31C05" w14:textId="77777777" w:rsidR="00C561BD" w:rsidRPr="00682E64" w:rsidRDefault="00C561BD" w:rsidP="00AC2186">
            <w:pPr>
              <w:tabs>
                <w:tab w:val="decimal" w:pos="113"/>
              </w:tabs>
              <w:spacing w:line="140" w:lineRule="exact"/>
              <w:rPr>
                <w:sz w:val="16"/>
                <w:szCs w:val="16"/>
              </w:rPr>
            </w:pPr>
          </w:p>
        </w:tc>
      </w:tr>
      <w:tr w:rsidR="00C561BD" w:rsidRPr="00682E64" w14:paraId="16D927D3" w14:textId="77777777" w:rsidTr="00AC2186">
        <w:tc>
          <w:tcPr>
            <w:tcW w:w="857" w:type="dxa"/>
            <w:vMerge/>
            <w:tcBorders>
              <w:bottom w:val="single" w:sz="4" w:space="0" w:color="auto"/>
              <w:right w:val="single" w:sz="4" w:space="0" w:color="auto"/>
            </w:tcBorders>
          </w:tcPr>
          <w:p w14:paraId="4CC3FB79"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159321BC"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יציאה מאיחוד של חברה מאוחדת</w:t>
            </w:r>
          </w:p>
        </w:tc>
        <w:tc>
          <w:tcPr>
            <w:tcW w:w="113" w:type="dxa"/>
            <w:vAlign w:val="bottom"/>
          </w:tcPr>
          <w:p w14:paraId="4881D56E"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37E5B647" w14:textId="77777777" w:rsidR="00C561BD" w:rsidRPr="00682E64" w:rsidRDefault="00C561BD" w:rsidP="00AC2186">
            <w:pPr>
              <w:tabs>
                <w:tab w:val="decimal" w:pos="113"/>
              </w:tabs>
              <w:spacing w:line="140" w:lineRule="exact"/>
              <w:rPr>
                <w:sz w:val="16"/>
                <w:szCs w:val="16"/>
              </w:rPr>
            </w:pPr>
          </w:p>
        </w:tc>
        <w:tc>
          <w:tcPr>
            <w:tcW w:w="115" w:type="dxa"/>
            <w:vAlign w:val="bottom"/>
          </w:tcPr>
          <w:p w14:paraId="028E890E"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12C8799" w14:textId="77777777" w:rsidR="00C561BD" w:rsidRPr="00682E64" w:rsidRDefault="00C561BD" w:rsidP="00AC2186">
            <w:pPr>
              <w:tabs>
                <w:tab w:val="decimal" w:pos="113"/>
              </w:tabs>
              <w:spacing w:line="140" w:lineRule="exact"/>
              <w:rPr>
                <w:sz w:val="16"/>
                <w:szCs w:val="16"/>
              </w:rPr>
            </w:pPr>
          </w:p>
        </w:tc>
        <w:tc>
          <w:tcPr>
            <w:tcW w:w="115" w:type="dxa"/>
            <w:vAlign w:val="bottom"/>
          </w:tcPr>
          <w:p w14:paraId="145AC43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9253A7A" w14:textId="77777777" w:rsidR="00C561BD" w:rsidRPr="00682E64" w:rsidRDefault="00C561BD" w:rsidP="00AC2186">
            <w:pPr>
              <w:tabs>
                <w:tab w:val="decimal" w:pos="113"/>
              </w:tabs>
              <w:spacing w:line="140" w:lineRule="exact"/>
              <w:rPr>
                <w:sz w:val="16"/>
                <w:szCs w:val="16"/>
              </w:rPr>
            </w:pPr>
          </w:p>
        </w:tc>
        <w:tc>
          <w:tcPr>
            <w:tcW w:w="115" w:type="dxa"/>
          </w:tcPr>
          <w:p w14:paraId="244160BE"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7B292DC4" w14:textId="77777777" w:rsidR="00C561BD" w:rsidRPr="00682E64" w:rsidRDefault="00C561BD" w:rsidP="00AC2186">
            <w:pPr>
              <w:tabs>
                <w:tab w:val="decimal" w:pos="113"/>
              </w:tabs>
              <w:spacing w:line="140" w:lineRule="exact"/>
              <w:rPr>
                <w:sz w:val="16"/>
                <w:szCs w:val="16"/>
              </w:rPr>
            </w:pPr>
          </w:p>
        </w:tc>
        <w:tc>
          <w:tcPr>
            <w:tcW w:w="115" w:type="dxa"/>
          </w:tcPr>
          <w:p w14:paraId="75CDA2C0"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6CE984FA" w14:textId="77777777" w:rsidR="00C561BD" w:rsidRPr="00682E64" w:rsidRDefault="00C561BD" w:rsidP="00AC2186">
            <w:pPr>
              <w:tabs>
                <w:tab w:val="decimal" w:pos="113"/>
              </w:tabs>
              <w:spacing w:line="140" w:lineRule="exact"/>
              <w:rPr>
                <w:sz w:val="16"/>
                <w:szCs w:val="16"/>
              </w:rPr>
            </w:pPr>
          </w:p>
        </w:tc>
        <w:tc>
          <w:tcPr>
            <w:tcW w:w="115" w:type="dxa"/>
            <w:vAlign w:val="bottom"/>
          </w:tcPr>
          <w:p w14:paraId="559F53F2"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C643EC2" w14:textId="77777777" w:rsidR="00C561BD" w:rsidRPr="00682E64" w:rsidRDefault="00C561BD" w:rsidP="00AC2186">
            <w:pPr>
              <w:tabs>
                <w:tab w:val="decimal" w:pos="113"/>
              </w:tabs>
              <w:spacing w:line="140" w:lineRule="exact"/>
              <w:rPr>
                <w:sz w:val="16"/>
                <w:szCs w:val="16"/>
              </w:rPr>
            </w:pPr>
          </w:p>
        </w:tc>
        <w:tc>
          <w:tcPr>
            <w:tcW w:w="115" w:type="dxa"/>
            <w:vAlign w:val="bottom"/>
          </w:tcPr>
          <w:p w14:paraId="0CC87C2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24EEE29" w14:textId="77777777" w:rsidR="00C561BD" w:rsidRPr="00682E64" w:rsidRDefault="00C561BD" w:rsidP="00AC2186">
            <w:pPr>
              <w:tabs>
                <w:tab w:val="decimal" w:pos="113"/>
              </w:tabs>
              <w:spacing w:line="140" w:lineRule="exact"/>
              <w:rPr>
                <w:sz w:val="16"/>
                <w:szCs w:val="16"/>
              </w:rPr>
            </w:pPr>
          </w:p>
        </w:tc>
        <w:tc>
          <w:tcPr>
            <w:tcW w:w="115" w:type="dxa"/>
            <w:vAlign w:val="bottom"/>
          </w:tcPr>
          <w:p w14:paraId="29134B26"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436C9BF" w14:textId="77777777" w:rsidR="00C561BD" w:rsidRPr="00682E64" w:rsidRDefault="00C561BD" w:rsidP="00AC2186">
            <w:pPr>
              <w:tabs>
                <w:tab w:val="decimal" w:pos="113"/>
              </w:tabs>
              <w:spacing w:line="140" w:lineRule="exact"/>
              <w:rPr>
                <w:sz w:val="16"/>
                <w:szCs w:val="16"/>
              </w:rPr>
            </w:pPr>
          </w:p>
        </w:tc>
        <w:tc>
          <w:tcPr>
            <w:tcW w:w="115" w:type="dxa"/>
            <w:vAlign w:val="bottom"/>
          </w:tcPr>
          <w:p w14:paraId="24E6862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AB5FB0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6C52D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0B2383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023DF5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B3ADC8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C2AE01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3E2A86C"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963EC3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9699733" w14:textId="77777777" w:rsidR="00C561BD" w:rsidRPr="00682E64" w:rsidRDefault="00C561BD" w:rsidP="00AC2186">
            <w:pPr>
              <w:tabs>
                <w:tab w:val="decimal" w:pos="113"/>
              </w:tabs>
              <w:spacing w:line="140" w:lineRule="exact"/>
              <w:rPr>
                <w:sz w:val="16"/>
                <w:szCs w:val="16"/>
              </w:rPr>
            </w:pPr>
          </w:p>
        </w:tc>
        <w:tc>
          <w:tcPr>
            <w:tcW w:w="146" w:type="dxa"/>
            <w:vAlign w:val="bottom"/>
          </w:tcPr>
          <w:p w14:paraId="62DA7995"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2774548" w14:textId="77777777" w:rsidR="00C561BD" w:rsidRPr="00682E64" w:rsidRDefault="00C561BD" w:rsidP="00AC2186">
            <w:pPr>
              <w:tabs>
                <w:tab w:val="decimal" w:pos="113"/>
              </w:tabs>
              <w:spacing w:line="140" w:lineRule="exact"/>
              <w:rPr>
                <w:sz w:val="16"/>
                <w:szCs w:val="16"/>
              </w:rPr>
            </w:pPr>
          </w:p>
        </w:tc>
        <w:tc>
          <w:tcPr>
            <w:tcW w:w="115" w:type="dxa"/>
            <w:vAlign w:val="bottom"/>
          </w:tcPr>
          <w:p w14:paraId="64A9DA8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3318B84" w14:textId="77777777" w:rsidR="00C561BD" w:rsidRPr="00682E64" w:rsidRDefault="00C561BD" w:rsidP="00AC2186">
            <w:pPr>
              <w:tabs>
                <w:tab w:val="decimal" w:pos="113"/>
              </w:tabs>
              <w:spacing w:line="140" w:lineRule="exact"/>
              <w:rPr>
                <w:sz w:val="16"/>
                <w:szCs w:val="16"/>
              </w:rPr>
            </w:pPr>
          </w:p>
        </w:tc>
        <w:tc>
          <w:tcPr>
            <w:tcW w:w="115" w:type="dxa"/>
          </w:tcPr>
          <w:p w14:paraId="7EC2274F"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796AF22A" w14:textId="77777777" w:rsidR="00C561BD" w:rsidRPr="00682E64" w:rsidRDefault="00C561BD" w:rsidP="00AC2186">
            <w:pPr>
              <w:tabs>
                <w:tab w:val="decimal" w:pos="113"/>
              </w:tabs>
              <w:spacing w:line="140" w:lineRule="exact"/>
              <w:rPr>
                <w:sz w:val="16"/>
                <w:szCs w:val="16"/>
              </w:rPr>
            </w:pPr>
          </w:p>
        </w:tc>
      </w:tr>
      <w:tr w:rsidR="00C561BD" w:rsidRPr="00682E64" w14:paraId="1F22BC50" w14:textId="77777777" w:rsidTr="00AC2186">
        <w:tc>
          <w:tcPr>
            <w:tcW w:w="857" w:type="dxa"/>
            <w:vMerge/>
            <w:tcBorders>
              <w:bottom w:val="single" w:sz="4" w:space="0" w:color="auto"/>
              <w:right w:val="single" w:sz="4" w:space="0" w:color="auto"/>
            </w:tcBorders>
          </w:tcPr>
          <w:p w14:paraId="23D99927"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6DD53C4A"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דיבידנד לבעלי זכויות שאינן מקנות שליטה</w:t>
            </w:r>
          </w:p>
        </w:tc>
        <w:tc>
          <w:tcPr>
            <w:tcW w:w="113" w:type="dxa"/>
            <w:vAlign w:val="bottom"/>
          </w:tcPr>
          <w:p w14:paraId="2876DBE5" w14:textId="77777777" w:rsidR="00C561BD" w:rsidRPr="00682E64" w:rsidRDefault="00C561BD" w:rsidP="00AC2186">
            <w:pPr>
              <w:spacing w:line="140" w:lineRule="exact"/>
              <w:rPr>
                <w:sz w:val="16"/>
                <w:szCs w:val="16"/>
              </w:rPr>
            </w:pPr>
          </w:p>
        </w:tc>
        <w:tc>
          <w:tcPr>
            <w:tcW w:w="633" w:type="dxa"/>
            <w:tcBorders>
              <w:left w:val="nil"/>
              <w:bottom w:val="single" w:sz="6" w:space="0" w:color="auto"/>
              <w:right w:val="nil"/>
            </w:tcBorders>
            <w:shd w:val="clear" w:color="auto" w:fill="auto"/>
            <w:vAlign w:val="bottom"/>
          </w:tcPr>
          <w:p w14:paraId="72DEA127" w14:textId="77777777" w:rsidR="00C561BD" w:rsidRPr="00682E64" w:rsidRDefault="00C561BD" w:rsidP="00AC2186">
            <w:pPr>
              <w:tabs>
                <w:tab w:val="decimal" w:pos="113"/>
              </w:tabs>
              <w:spacing w:line="140" w:lineRule="exact"/>
              <w:rPr>
                <w:sz w:val="16"/>
                <w:szCs w:val="16"/>
              </w:rPr>
            </w:pPr>
          </w:p>
        </w:tc>
        <w:tc>
          <w:tcPr>
            <w:tcW w:w="115" w:type="dxa"/>
            <w:vAlign w:val="bottom"/>
          </w:tcPr>
          <w:p w14:paraId="61D94183" w14:textId="77777777" w:rsidR="00C561BD" w:rsidRPr="00682E64" w:rsidRDefault="00C561BD" w:rsidP="00AC2186">
            <w:pPr>
              <w:tabs>
                <w:tab w:val="decimal" w:pos="113"/>
              </w:tabs>
              <w:spacing w:line="140" w:lineRule="exact"/>
              <w:rPr>
                <w:sz w:val="16"/>
                <w:szCs w:val="16"/>
              </w:rPr>
            </w:pPr>
          </w:p>
        </w:tc>
        <w:tc>
          <w:tcPr>
            <w:tcW w:w="633" w:type="dxa"/>
            <w:tcBorders>
              <w:left w:val="nil"/>
              <w:bottom w:val="single" w:sz="6" w:space="0" w:color="auto"/>
              <w:right w:val="nil"/>
            </w:tcBorders>
            <w:shd w:val="clear" w:color="auto" w:fill="auto"/>
            <w:vAlign w:val="bottom"/>
          </w:tcPr>
          <w:p w14:paraId="66B3319A" w14:textId="77777777" w:rsidR="00C561BD" w:rsidRPr="00682E64" w:rsidRDefault="00C561BD" w:rsidP="00AC2186">
            <w:pPr>
              <w:tabs>
                <w:tab w:val="decimal" w:pos="113"/>
              </w:tabs>
              <w:spacing w:line="140" w:lineRule="exact"/>
              <w:rPr>
                <w:sz w:val="16"/>
                <w:szCs w:val="16"/>
              </w:rPr>
            </w:pPr>
          </w:p>
        </w:tc>
        <w:tc>
          <w:tcPr>
            <w:tcW w:w="115" w:type="dxa"/>
            <w:vAlign w:val="bottom"/>
          </w:tcPr>
          <w:p w14:paraId="0382DA2F" w14:textId="77777777" w:rsidR="00C561BD" w:rsidRPr="00682E64" w:rsidRDefault="00C561BD" w:rsidP="00AC2186">
            <w:pPr>
              <w:tabs>
                <w:tab w:val="decimal" w:pos="113"/>
              </w:tabs>
              <w:spacing w:line="140" w:lineRule="exact"/>
              <w:rPr>
                <w:sz w:val="16"/>
                <w:szCs w:val="16"/>
              </w:rPr>
            </w:pPr>
          </w:p>
        </w:tc>
        <w:tc>
          <w:tcPr>
            <w:tcW w:w="633" w:type="dxa"/>
            <w:tcBorders>
              <w:left w:val="nil"/>
              <w:bottom w:val="single" w:sz="6" w:space="0" w:color="auto"/>
              <w:right w:val="nil"/>
            </w:tcBorders>
            <w:shd w:val="clear" w:color="auto" w:fill="auto"/>
            <w:vAlign w:val="bottom"/>
          </w:tcPr>
          <w:p w14:paraId="4DF8EC81" w14:textId="77777777" w:rsidR="00C561BD" w:rsidRPr="00682E64" w:rsidRDefault="00C561BD" w:rsidP="00AC2186">
            <w:pPr>
              <w:tabs>
                <w:tab w:val="decimal" w:pos="113"/>
              </w:tabs>
              <w:spacing w:line="140" w:lineRule="exact"/>
              <w:rPr>
                <w:sz w:val="16"/>
                <w:szCs w:val="16"/>
              </w:rPr>
            </w:pPr>
          </w:p>
        </w:tc>
        <w:tc>
          <w:tcPr>
            <w:tcW w:w="115" w:type="dxa"/>
          </w:tcPr>
          <w:p w14:paraId="6195E9E0"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tcPr>
          <w:p w14:paraId="4F3A2E7C" w14:textId="77777777" w:rsidR="00C561BD" w:rsidRPr="00682E64" w:rsidRDefault="00C561BD" w:rsidP="00AC2186">
            <w:pPr>
              <w:tabs>
                <w:tab w:val="decimal" w:pos="113"/>
              </w:tabs>
              <w:spacing w:line="140" w:lineRule="exact"/>
              <w:rPr>
                <w:sz w:val="16"/>
                <w:szCs w:val="16"/>
              </w:rPr>
            </w:pPr>
          </w:p>
        </w:tc>
        <w:tc>
          <w:tcPr>
            <w:tcW w:w="115" w:type="dxa"/>
          </w:tcPr>
          <w:p w14:paraId="06162B69" w14:textId="77777777" w:rsidR="00C561BD" w:rsidRPr="00682E64" w:rsidRDefault="00C561BD" w:rsidP="00AC2186">
            <w:pPr>
              <w:tabs>
                <w:tab w:val="decimal" w:pos="113"/>
              </w:tabs>
              <w:spacing w:line="140" w:lineRule="exact"/>
              <w:rPr>
                <w:sz w:val="16"/>
                <w:szCs w:val="16"/>
              </w:rPr>
            </w:pPr>
          </w:p>
        </w:tc>
        <w:tc>
          <w:tcPr>
            <w:tcW w:w="633" w:type="dxa"/>
            <w:gridSpan w:val="2"/>
            <w:tcBorders>
              <w:left w:val="nil"/>
              <w:bottom w:val="single" w:sz="6" w:space="0" w:color="auto"/>
              <w:right w:val="nil"/>
            </w:tcBorders>
            <w:shd w:val="clear" w:color="auto" w:fill="auto"/>
          </w:tcPr>
          <w:p w14:paraId="1B8BFEE3" w14:textId="77777777" w:rsidR="00C561BD" w:rsidRPr="00682E64" w:rsidRDefault="00C561BD" w:rsidP="00AC2186">
            <w:pPr>
              <w:tabs>
                <w:tab w:val="decimal" w:pos="113"/>
              </w:tabs>
              <w:spacing w:line="140" w:lineRule="exact"/>
              <w:rPr>
                <w:sz w:val="16"/>
                <w:szCs w:val="16"/>
              </w:rPr>
            </w:pPr>
          </w:p>
        </w:tc>
        <w:tc>
          <w:tcPr>
            <w:tcW w:w="115" w:type="dxa"/>
            <w:vAlign w:val="bottom"/>
          </w:tcPr>
          <w:p w14:paraId="64BE1697" w14:textId="77777777" w:rsidR="00C561BD" w:rsidRPr="00682E64" w:rsidRDefault="00C561BD" w:rsidP="00AC2186">
            <w:pPr>
              <w:tabs>
                <w:tab w:val="decimal" w:pos="113"/>
              </w:tabs>
              <w:spacing w:line="140" w:lineRule="exact"/>
              <w:rPr>
                <w:sz w:val="16"/>
                <w:szCs w:val="16"/>
              </w:rPr>
            </w:pPr>
          </w:p>
        </w:tc>
        <w:tc>
          <w:tcPr>
            <w:tcW w:w="633" w:type="dxa"/>
            <w:tcBorders>
              <w:left w:val="nil"/>
              <w:bottom w:val="single" w:sz="6" w:space="0" w:color="auto"/>
              <w:right w:val="nil"/>
            </w:tcBorders>
            <w:shd w:val="clear" w:color="auto" w:fill="auto"/>
            <w:vAlign w:val="bottom"/>
          </w:tcPr>
          <w:p w14:paraId="6B758DAC" w14:textId="77777777" w:rsidR="00C561BD" w:rsidRPr="00682E64" w:rsidRDefault="00C561BD" w:rsidP="00AC2186">
            <w:pPr>
              <w:tabs>
                <w:tab w:val="decimal" w:pos="113"/>
              </w:tabs>
              <w:spacing w:line="140" w:lineRule="exact"/>
              <w:rPr>
                <w:sz w:val="16"/>
                <w:szCs w:val="16"/>
              </w:rPr>
            </w:pPr>
          </w:p>
        </w:tc>
        <w:tc>
          <w:tcPr>
            <w:tcW w:w="115" w:type="dxa"/>
            <w:vAlign w:val="bottom"/>
          </w:tcPr>
          <w:p w14:paraId="17C8F221" w14:textId="77777777" w:rsidR="00C561BD" w:rsidRPr="00682E64" w:rsidRDefault="00C561BD" w:rsidP="00AC2186">
            <w:pPr>
              <w:tabs>
                <w:tab w:val="decimal" w:pos="113"/>
              </w:tabs>
              <w:spacing w:line="140" w:lineRule="exact"/>
              <w:rPr>
                <w:sz w:val="16"/>
                <w:szCs w:val="16"/>
              </w:rPr>
            </w:pPr>
          </w:p>
        </w:tc>
        <w:tc>
          <w:tcPr>
            <w:tcW w:w="748" w:type="dxa"/>
            <w:tcBorders>
              <w:left w:val="nil"/>
              <w:bottom w:val="single" w:sz="6" w:space="0" w:color="auto"/>
              <w:right w:val="nil"/>
            </w:tcBorders>
            <w:shd w:val="clear" w:color="auto" w:fill="auto"/>
            <w:vAlign w:val="bottom"/>
          </w:tcPr>
          <w:p w14:paraId="12FD8C2C" w14:textId="77777777" w:rsidR="00C561BD" w:rsidRPr="00682E64" w:rsidRDefault="00C561BD" w:rsidP="00AC2186">
            <w:pPr>
              <w:tabs>
                <w:tab w:val="decimal" w:pos="113"/>
              </w:tabs>
              <w:spacing w:line="140" w:lineRule="exact"/>
              <w:rPr>
                <w:sz w:val="16"/>
                <w:szCs w:val="16"/>
              </w:rPr>
            </w:pPr>
          </w:p>
        </w:tc>
        <w:tc>
          <w:tcPr>
            <w:tcW w:w="115" w:type="dxa"/>
            <w:vAlign w:val="bottom"/>
          </w:tcPr>
          <w:p w14:paraId="23F71F98" w14:textId="77777777" w:rsidR="00C561BD" w:rsidRPr="00682E64" w:rsidRDefault="00C561BD" w:rsidP="00AC2186">
            <w:pPr>
              <w:tabs>
                <w:tab w:val="decimal" w:pos="113"/>
              </w:tabs>
              <w:spacing w:line="140" w:lineRule="exact"/>
              <w:rPr>
                <w:sz w:val="16"/>
                <w:szCs w:val="16"/>
              </w:rPr>
            </w:pPr>
          </w:p>
        </w:tc>
        <w:tc>
          <w:tcPr>
            <w:tcW w:w="748" w:type="dxa"/>
            <w:tcBorders>
              <w:left w:val="nil"/>
              <w:bottom w:val="single" w:sz="6" w:space="0" w:color="auto"/>
              <w:right w:val="nil"/>
            </w:tcBorders>
            <w:shd w:val="clear" w:color="auto" w:fill="auto"/>
            <w:vAlign w:val="bottom"/>
          </w:tcPr>
          <w:p w14:paraId="5A83D91E" w14:textId="77777777" w:rsidR="00C561BD" w:rsidRPr="00682E64" w:rsidRDefault="00C561BD" w:rsidP="00AC2186">
            <w:pPr>
              <w:tabs>
                <w:tab w:val="decimal" w:pos="113"/>
              </w:tabs>
              <w:spacing w:line="140" w:lineRule="exact"/>
              <w:rPr>
                <w:sz w:val="16"/>
                <w:szCs w:val="16"/>
              </w:rPr>
            </w:pPr>
          </w:p>
        </w:tc>
        <w:tc>
          <w:tcPr>
            <w:tcW w:w="115" w:type="dxa"/>
            <w:vAlign w:val="bottom"/>
          </w:tcPr>
          <w:p w14:paraId="0F2D3802"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54CA4B9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FC3AA49"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4068B41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BD0F2A1"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69F8C70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7F84EC2"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5BF21B9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18D1F5"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3D3B9200" w14:textId="77777777" w:rsidR="00C561BD" w:rsidRPr="00682E64" w:rsidRDefault="00C561BD" w:rsidP="00AC2186">
            <w:pPr>
              <w:tabs>
                <w:tab w:val="decimal" w:pos="113"/>
              </w:tabs>
              <w:spacing w:line="140" w:lineRule="exact"/>
              <w:rPr>
                <w:sz w:val="16"/>
                <w:szCs w:val="16"/>
              </w:rPr>
            </w:pPr>
          </w:p>
        </w:tc>
        <w:tc>
          <w:tcPr>
            <w:tcW w:w="146" w:type="dxa"/>
            <w:vAlign w:val="bottom"/>
          </w:tcPr>
          <w:p w14:paraId="315CD65A"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5198180E" w14:textId="77777777" w:rsidR="00C561BD" w:rsidRPr="00682E64" w:rsidRDefault="00C561BD" w:rsidP="00AC2186">
            <w:pPr>
              <w:tabs>
                <w:tab w:val="decimal" w:pos="113"/>
              </w:tabs>
              <w:spacing w:line="140" w:lineRule="exact"/>
              <w:rPr>
                <w:sz w:val="16"/>
                <w:szCs w:val="16"/>
              </w:rPr>
            </w:pPr>
          </w:p>
        </w:tc>
        <w:tc>
          <w:tcPr>
            <w:tcW w:w="115" w:type="dxa"/>
            <w:vAlign w:val="bottom"/>
          </w:tcPr>
          <w:p w14:paraId="52DFB75D"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6B8A424D" w14:textId="77777777" w:rsidR="00C561BD" w:rsidRPr="00682E64" w:rsidRDefault="00C561BD" w:rsidP="00AC2186">
            <w:pPr>
              <w:tabs>
                <w:tab w:val="decimal" w:pos="113"/>
              </w:tabs>
              <w:spacing w:line="140" w:lineRule="exact"/>
              <w:rPr>
                <w:sz w:val="16"/>
                <w:szCs w:val="16"/>
              </w:rPr>
            </w:pPr>
          </w:p>
        </w:tc>
        <w:tc>
          <w:tcPr>
            <w:tcW w:w="115" w:type="dxa"/>
          </w:tcPr>
          <w:p w14:paraId="321E63CF" w14:textId="77777777" w:rsidR="00C561BD" w:rsidRPr="00682E64" w:rsidRDefault="00C561BD" w:rsidP="00AC2186">
            <w:pPr>
              <w:tabs>
                <w:tab w:val="decimal" w:pos="113"/>
              </w:tabs>
              <w:spacing w:line="140" w:lineRule="exact"/>
              <w:rPr>
                <w:sz w:val="16"/>
                <w:szCs w:val="16"/>
              </w:rPr>
            </w:pPr>
          </w:p>
        </w:tc>
        <w:tc>
          <w:tcPr>
            <w:tcW w:w="640" w:type="dxa"/>
            <w:tcBorders>
              <w:left w:val="nil"/>
              <w:bottom w:val="single" w:sz="6" w:space="0" w:color="auto"/>
              <w:right w:val="nil"/>
            </w:tcBorders>
            <w:shd w:val="clear" w:color="auto" w:fill="auto"/>
          </w:tcPr>
          <w:p w14:paraId="52E7BBF6" w14:textId="77777777" w:rsidR="00C561BD" w:rsidRPr="00682E64" w:rsidRDefault="00C561BD" w:rsidP="00AC2186">
            <w:pPr>
              <w:tabs>
                <w:tab w:val="decimal" w:pos="113"/>
              </w:tabs>
              <w:spacing w:line="140" w:lineRule="exact"/>
              <w:rPr>
                <w:sz w:val="16"/>
                <w:szCs w:val="16"/>
              </w:rPr>
            </w:pPr>
          </w:p>
        </w:tc>
      </w:tr>
      <w:tr w:rsidR="00C561BD" w:rsidRPr="00682E64" w14:paraId="18743800" w14:textId="77777777" w:rsidTr="00AC2186">
        <w:tc>
          <w:tcPr>
            <w:tcW w:w="857" w:type="dxa"/>
            <w:tcBorders>
              <w:top w:val="single" w:sz="4" w:space="0" w:color="auto"/>
            </w:tcBorders>
          </w:tcPr>
          <w:p w14:paraId="129F0AC7" w14:textId="77777777" w:rsidR="00C561BD" w:rsidRPr="00B05763" w:rsidRDefault="00C561BD" w:rsidP="00AC2186">
            <w:pPr>
              <w:widowControl/>
              <w:spacing w:line="140" w:lineRule="exact"/>
              <w:jc w:val="right"/>
              <w:rPr>
                <w:i/>
                <w:iCs/>
                <w:sz w:val="12"/>
                <w:szCs w:val="12"/>
                <w:rtl/>
              </w:rPr>
            </w:pPr>
          </w:p>
        </w:tc>
        <w:tc>
          <w:tcPr>
            <w:tcW w:w="2309" w:type="dxa"/>
            <w:vAlign w:val="bottom"/>
          </w:tcPr>
          <w:p w14:paraId="7A6D333B" w14:textId="77777777" w:rsidR="00C561BD" w:rsidRPr="00682E64" w:rsidRDefault="00C561BD" w:rsidP="00AC2186">
            <w:pPr>
              <w:widowControl/>
              <w:spacing w:line="140" w:lineRule="exact"/>
              <w:jc w:val="left"/>
              <w:rPr>
                <w:sz w:val="16"/>
                <w:szCs w:val="16"/>
                <w:rtl/>
              </w:rPr>
            </w:pPr>
          </w:p>
        </w:tc>
        <w:tc>
          <w:tcPr>
            <w:tcW w:w="113" w:type="dxa"/>
            <w:vAlign w:val="bottom"/>
          </w:tcPr>
          <w:p w14:paraId="4A534E73" w14:textId="77777777" w:rsidR="00C561BD" w:rsidRPr="00682E64" w:rsidRDefault="00C561BD" w:rsidP="00AC2186">
            <w:pPr>
              <w:widowControl/>
              <w:spacing w:line="140" w:lineRule="exact"/>
              <w:rPr>
                <w:sz w:val="16"/>
                <w:szCs w:val="16"/>
              </w:rPr>
            </w:pPr>
          </w:p>
        </w:tc>
        <w:tc>
          <w:tcPr>
            <w:tcW w:w="633" w:type="dxa"/>
            <w:tcBorders>
              <w:top w:val="single" w:sz="6" w:space="0" w:color="auto"/>
              <w:left w:val="nil"/>
              <w:right w:val="nil"/>
            </w:tcBorders>
            <w:shd w:val="clear" w:color="auto" w:fill="auto"/>
            <w:vAlign w:val="bottom"/>
          </w:tcPr>
          <w:p w14:paraId="78F580E5"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7D5EB957"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shd w:val="clear" w:color="auto" w:fill="auto"/>
            <w:vAlign w:val="bottom"/>
          </w:tcPr>
          <w:p w14:paraId="35F92B07"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32F47F17"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shd w:val="clear" w:color="auto" w:fill="auto"/>
            <w:vAlign w:val="bottom"/>
          </w:tcPr>
          <w:p w14:paraId="68BC5D22" w14:textId="77777777" w:rsidR="00C561BD" w:rsidRPr="00682E64" w:rsidRDefault="00C561BD" w:rsidP="00AC2186">
            <w:pPr>
              <w:widowControl/>
              <w:tabs>
                <w:tab w:val="decimal" w:pos="113"/>
              </w:tabs>
              <w:spacing w:line="140" w:lineRule="exact"/>
              <w:rPr>
                <w:sz w:val="16"/>
                <w:szCs w:val="16"/>
              </w:rPr>
            </w:pPr>
          </w:p>
        </w:tc>
        <w:tc>
          <w:tcPr>
            <w:tcW w:w="115" w:type="dxa"/>
          </w:tcPr>
          <w:p w14:paraId="1D4DE202"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tcPr>
          <w:p w14:paraId="4FE4157B" w14:textId="77777777" w:rsidR="00C561BD" w:rsidRPr="00682E64" w:rsidRDefault="00C561BD" w:rsidP="00AC2186">
            <w:pPr>
              <w:widowControl/>
              <w:tabs>
                <w:tab w:val="decimal" w:pos="113"/>
              </w:tabs>
              <w:spacing w:line="140" w:lineRule="exact"/>
              <w:rPr>
                <w:sz w:val="16"/>
                <w:szCs w:val="16"/>
              </w:rPr>
            </w:pPr>
          </w:p>
        </w:tc>
        <w:tc>
          <w:tcPr>
            <w:tcW w:w="115" w:type="dxa"/>
          </w:tcPr>
          <w:p w14:paraId="7C18F6B5" w14:textId="77777777" w:rsidR="00C561BD" w:rsidRPr="00682E64" w:rsidRDefault="00C561BD" w:rsidP="00AC2186">
            <w:pPr>
              <w:widowControl/>
              <w:tabs>
                <w:tab w:val="decimal" w:pos="113"/>
              </w:tabs>
              <w:spacing w:line="140" w:lineRule="exact"/>
              <w:rPr>
                <w:sz w:val="16"/>
                <w:szCs w:val="16"/>
              </w:rPr>
            </w:pPr>
          </w:p>
        </w:tc>
        <w:tc>
          <w:tcPr>
            <w:tcW w:w="633" w:type="dxa"/>
            <w:gridSpan w:val="2"/>
            <w:tcBorders>
              <w:top w:val="single" w:sz="6" w:space="0" w:color="auto"/>
              <w:left w:val="nil"/>
              <w:right w:val="nil"/>
            </w:tcBorders>
            <w:shd w:val="clear" w:color="auto" w:fill="auto"/>
          </w:tcPr>
          <w:p w14:paraId="64BD7497"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532EA1FE"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shd w:val="clear" w:color="auto" w:fill="auto"/>
            <w:vAlign w:val="bottom"/>
          </w:tcPr>
          <w:p w14:paraId="3F095EA5"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6580C3D2"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shd w:val="clear" w:color="auto" w:fill="auto"/>
            <w:vAlign w:val="bottom"/>
          </w:tcPr>
          <w:p w14:paraId="17E52E00"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4E228041"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shd w:val="clear" w:color="auto" w:fill="auto"/>
            <w:vAlign w:val="bottom"/>
          </w:tcPr>
          <w:p w14:paraId="1C9F17AE"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E5C2E6D"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516DD8A0"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7E1C4178"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1D08A683"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6FE8A443"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4AF292C7"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56F5C09F"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2CEB75EB"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60179043"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030636A8" w14:textId="77777777" w:rsidR="00C561BD" w:rsidRPr="00682E64" w:rsidRDefault="00C561BD" w:rsidP="00AC2186">
            <w:pPr>
              <w:widowControl/>
              <w:tabs>
                <w:tab w:val="decimal" w:pos="113"/>
              </w:tabs>
              <w:spacing w:line="140" w:lineRule="exact"/>
              <w:rPr>
                <w:sz w:val="16"/>
                <w:szCs w:val="16"/>
              </w:rPr>
            </w:pPr>
          </w:p>
        </w:tc>
        <w:tc>
          <w:tcPr>
            <w:tcW w:w="146" w:type="dxa"/>
            <w:vAlign w:val="bottom"/>
          </w:tcPr>
          <w:p w14:paraId="206B761E"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559F2162"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54D09E31"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6251A5B9" w14:textId="77777777" w:rsidR="00C561BD" w:rsidRPr="00682E64" w:rsidRDefault="00C561BD" w:rsidP="00AC2186">
            <w:pPr>
              <w:widowControl/>
              <w:tabs>
                <w:tab w:val="decimal" w:pos="113"/>
              </w:tabs>
              <w:spacing w:line="140" w:lineRule="exact"/>
              <w:rPr>
                <w:sz w:val="16"/>
                <w:szCs w:val="16"/>
              </w:rPr>
            </w:pPr>
          </w:p>
        </w:tc>
        <w:tc>
          <w:tcPr>
            <w:tcW w:w="115" w:type="dxa"/>
          </w:tcPr>
          <w:p w14:paraId="714FA7EF" w14:textId="77777777" w:rsidR="00C561BD" w:rsidRPr="00682E64" w:rsidRDefault="00C561BD" w:rsidP="00AC2186">
            <w:pPr>
              <w:widowControl/>
              <w:tabs>
                <w:tab w:val="decimal" w:pos="113"/>
              </w:tabs>
              <w:spacing w:line="140" w:lineRule="exact"/>
              <w:rPr>
                <w:sz w:val="16"/>
                <w:szCs w:val="16"/>
              </w:rPr>
            </w:pPr>
          </w:p>
        </w:tc>
        <w:tc>
          <w:tcPr>
            <w:tcW w:w="640" w:type="dxa"/>
            <w:tcBorders>
              <w:top w:val="single" w:sz="6" w:space="0" w:color="auto"/>
              <w:left w:val="nil"/>
              <w:right w:val="nil"/>
            </w:tcBorders>
            <w:shd w:val="clear" w:color="auto" w:fill="auto"/>
          </w:tcPr>
          <w:p w14:paraId="17EA7416" w14:textId="77777777" w:rsidR="00C561BD" w:rsidRPr="00682E64" w:rsidRDefault="00C561BD" w:rsidP="00AC2186">
            <w:pPr>
              <w:widowControl/>
              <w:tabs>
                <w:tab w:val="decimal" w:pos="113"/>
              </w:tabs>
              <w:spacing w:line="140" w:lineRule="exact"/>
              <w:rPr>
                <w:sz w:val="16"/>
                <w:szCs w:val="16"/>
              </w:rPr>
            </w:pPr>
          </w:p>
        </w:tc>
      </w:tr>
      <w:tr w:rsidR="00C561BD" w:rsidRPr="00682E64" w14:paraId="1FCCFF55" w14:textId="77777777" w:rsidTr="00AC2186">
        <w:tc>
          <w:tcPr>
            <w:tcW w:w="857" w:type="dxa"/>
          </w:tcPr>
          <w:p w14:paraId="3D9520D5" w14:textId="77777777" w:rsidR="00C561BD" w:rsidRPr="00B05763" w:rsidRDefault="00C561BD" w:rsidP="00AC2186">
            <w:pPr>
              <w:bidi w:val="0"/>
              <w:spacing w:line="140" w:lineRule="exact"/>
              <w:jc w:val="right"/>
              <w:rPr>
                <w:i/>
                <w:iCs/>
                <w:sz w:val="12"/>
                <w:szCs w:val="12"/>
                <w:rtl/>
              </w:rPr>
            </w:pPr>
          </w:p>
        </w:tc>
        <w:tc>
          <w:tcPr>
            <w:tcW w:w="2309" w:type="dxa"/>
            <w:vAlign w:val="bottom"/>
          </w:tcPr>
          <w:p w14:paraId="1D195423" w14:textId="3E08FF32" w:rsidR="00C561BD" w:rsidRDefault="00C561BD" w:rsidP="00AF4CE7">
            <w:pPr>
              <w:pStyle w:val="a3"/>
              <w:spacing w:line="140" w:lineRule="exact"/>
              <w:rPr>
                <w:sz w:val="16"/>
                <w:szCs w:val="16"/>
                <w:u w:val="single"/>
              </w:rPr>
            </w:pPr>
            <w:r w:rsidRPr="00682E64">
              <w:rPr>
                <w:rFonts w:hint="cs"/>
                <w:sz w:val="16"/>
                <w:szCs w:val="16"/>
                <w:u w:val="single"/>
                <w:rtl/>
              </w:rPr>
              <w:t xml:space="preserve">יתרה ליום 30 בספטמבר, </w:t>
            </w:r>
            <w:r w:rsidR="004F7D3D">
              <w:rPr>
                <w:rFonts w:hint="cs"/>
                <w:sz w:val="16"/>
                <w:szCs w:val="16"/>
                <w:u w:val="single"/>
                <w:rtl/>
              </w:rPr>
              <w:t>201</w:t>
            </w:r>
            <w:r w:rsidR="00AF4CE7">
              <w:rPr>
                <w:rFonts w:hint="cs"/>
                <w:sz w:val="16"/>
                <w:szCs w:val="16"/>
                <w:u w:val="single"/>
                <w:rtl/>
              </w:rPr>
              <w:t>8</w:t>
            </w:r>
          </w:p>
        </w:tc>
        <w:tc>
          <w:tcPr>
            <w:tcW w:w="113" w:type="dxa"/>
            <w:vAlign w:val="bottom"/>
          </w:tcPr>
          <w:p w14:paraId="6FBD8480" w14:textId="77777777" w:rsidR="00C561BD" w:rsidRPr="00682E64" w:rsidRDefault="00C561BD" w:rsidP="00AC2186">
            <w:pPr>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54910EC5" w14:textId="77777777" w:rsidR="00C561BD" w:rsidRPr="00682E64" w:rsidRDefault="00C561BD" w:rsidP="00AC2186">
            <w:pPr>
              <w:tabs>
                <w:tab w:val="decimal" w:pos="113"/>
              </w:tabs>
              <w:spacing w:line="140" w:lineRule="exact"/>
              <w:rPr>
                <w:sz w:val="16"/>
                <w:szCs w:val="16"/>
              </w:rPr>
            </w:pPr>
          </w:p>
        </w:tc>
        <w:tc>
          <w:tcPr>
            <w:tcW w:w="115" w:type="dxa"/>
            <w:vAlign w:val="bottom"/>
          </w:tcPr>
          <w:p w14:paraId="5BF08789" w14:textId="77777777" w:rsidR="00C561BD" w:rsidRPr="00682E64" w:rsidRDefault="00C561BD" w:rsidP="00AC2186">
            <w:pPr>
              <w:tabs>
                <w:tab w:val="decimal" w:pos="113"/>
              </w:tabs>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358C8928" w14:textId="77777777" w:rsidR="00C561BD" w:rsidRPr="00682E64" w:rsidRDefault="00C561BD" w:rsidP="00AC2186">
            <w:pPr>
              <w:tabs>
                <w:tab w:val="decimal" w:pos="113"/>
              </w:tabs>
              <w:spacing w:line="140" w:lineRule="exact"/>
              <w:rPr>
                <w:sz w:val="16"/>
                <w:szCs w:val="16"/>
              </w:rPr>
            </w:pPr>
          </w:p>
        </w:tc>
        <w:tc>
          <w:tcPr>
            <w:tcW w:w="115" w:type="dxa"/>
            <w:vAlign w:val="bottom"/>
          </w:tcPr>
          <w:p w14:paraId="6B769D11" w14:textId="77777777" w:rsidR="00C561BD" w:rsidRPr="00682E64" w:rsidRDefault="00C561BD" w:rsidP="00AC2186">
            <w:pPr>
              <w:tabs>
                <w:tab w:val="decimal" w:pos="113"/>
              </w:tabs>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407497B4" w14:textId="77777777" w:rsidR="00C561BD" w:rsidRPr="00682E64" w:rsidRDefault="00C561BD" w:rsidP="00AC2186">
            <w:pPr>
              <w:tabs>
                <w:tab w:val="decimal" w:pos="113"/>
              </w:tabs>
              <w:spacing w:line="140" w:lineRule="exact"/>
              <w:rPr>
                <w:sz w:val="16"/>
                <w:szCs w:val="16"/>
              </w:rPr>
            </w:pPr>
          </w:p>
        </w:tc>
        <w:tc>
          <w:tcPr>
            <w:tcW w:w="115" w:type="dxa"/>
          </w:tcPr>
          <w:p w14:paraId="53EC980D" w14:textId="77777777" w:rsidR="00C561BD" w:rsidRPr="00682E64" w:rsidRDefault="00C561BD" w:rsidP="00AC2186">
            <w:pPr>
              <w:tabs>
                <w:tab w:val="decimal" w:pos="113"/>
              </w:tabs>
              <w:spacing w:line="140" w:lineRule="exact"/>
              <w:rPr>
                <w:sz w:val="16"/>
                <w:szCs w:val="16"/>
              </w:rPr>
            </w:pPr>
          </w:p>
        </w:tc>
        <w:tc>
          <w:tcPr>
            <w:tcW w:w="690" w:type="dxa"/>
            <w:tcBorders>
              <w:top w:val="nil"/>
              <w:left w:val="nil"/>
              <w:bottom w:val="double" w:sz="6" w:space="0" w:color="auto"/>
              <w:right w:val="nil"/>
            </w:tcBorders>
            <w:shd w:val="clear" w:color="auto" w:fill="auto"/>
          </w:tcPr>
          <w:p w14:paraId="36920563" w14:textId="77777777" w:rsidR="00C561BD" w:rsidRPr="00682E64" w:rsidRDefault="00C561BD" w:rsidP="00AC2186">
            <w:pPr>
              <w:tabs>
                <w:tab w:val="decimal" w:pos="113"/>
              </w:tabs>
              <w:spacing w:line="140" w:lineRule="exact"/>
              <w:rPr>
                <w:sz w:val="16"/>
                <w:szCs w:val="16"/>
              </w:rPr>
            </w:pPr>
          </w:p>
        </w:tc>
        <w:tc>
          <w:tcPr>
            <w:tcW w:w="115" w:type="dxa"/>
          </w:tcPr>
          <w:p w14:paraId="1AE57890"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bottom w:val="double" w:sz="6" w:space="0" w:color="auto"/>
              <w:right w:val="nil"/>
            </w:tcBorders>
            <w:shd w:val="clear" w:color="auto" w:fill="auto"/>
          </w:tcPr>
          <w:p w14:paraId="704EFEBB" w14:textId="77777777" w:rsidR="00C561BD" w:rsidRPr="00682E64" w:rsidRDefault="00C561BD" w:rsidP="00AC2186">
            <w:pPr>
              <w:tabs>
                <w:tab w:val="decimal" w:pos="113"/>
              </w:tabs>
              <w:spacing w:line="140" w:lineRule="exact"/>
              <w:rPr>
                <w:sz w:val="16"/>
                <w:szCs w:val="16"/>
              </w:rPr>
            </w:pPr>
          </w:p>
        </w:tc>
        <w:tc>
          <w:tcPr>
            <w:tcW w:w="115" w:type="dxa"/>
            <w:vAlign w:val="bottom"/>
          </w:tcPr>
          <w:p w14:paraId="218F44A5" w14:textId="77777777" w:rsidR="00C561BD" w:rsidRPr="00682E64" w:rsidRDefault="00C561BD" w:rsidP="00AC2186">
            <w:pPr>
              <w:tabs>
                <w:tab w:val="decimal" w:pos="113"/>
              </w:tabs>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10493966" w14:textId="77777777" w:rsidR="00C561BD" w:rsidRPr="00682E64" w:rsidRDefault="00C561BD" w:rsidP="00AC2186">
            <w:pPr>
              <w:tabs>
                <w:tab w:val="decimal" w:pos="113"/>
              </w:tabs>
              <w:spacing w:line="140" w:lineRule="exact"/>
              <w:rPr>
                <w:sz w:val="16"/>
                <w:szCs w:val="16"/>
              </w:rPr>
            </w:pPr>
          </w:p>
        </w:tc>
        <w:tc>
          <w:tcPr>
            <w:tcW w:w="115" w:type="dxa"/>
            <w:vAlign w:val="bottom"/>
          </w:tcPr>
          <w:p w14:paraId="642BAE28" w14:textId="77777777" w:rsidR="00C561BD" w:rsidRPr="00682E64" w:rsidRDefault="00C561BD" w:rsidP="00AC2186">
            <w:pPr>
              <w:tabs>
                <w:tab w:val="decimal" w:pos="113"/>
              </w:tabs>
              <w:spacing w:line="140" w:lineRule="exact"/>
              <w:rPr>
                <w:sz w:val="16"/>
                <w:szCs w:val="16"/>
              </w:rPr>
            </w:pPr>
          </w:p>
        </w:tc>
        <w:tc>
          <w:tcPr>
            <w:tcW w:w="748" w:type="dxa"/>
            <w:tcBorders>
              <w:top w:val="nil"/>
              <w:left w:val="nil"/>
              <w:bottom w:val="double" w:sz="6" w:space="0" w:color="auto"/>
              <w:right w:val="nil"/>
            </w:tcBorders>
            <w:shd w:val="clear" w:color="auto" w:fill="auto"/>
            <w:vAlign w:val="bottom"/>
          </w:tcPr>
          <w:p w14:paraId="7AC525E5" w14:textId="77777777" w:rsidR="00C561BD" w:rsidRPr="00682E64" w:rsidRDefault="00C561BD" w:rsidP="00AC2186">
            <w:pPr>
              <w:tabs>
                <w:tab w:val="decimal" w:pos="113"/>
              </w:tabs>
              <w:spacing w:line="140" w:lineRule="exact"/>
              <w:rPr>
                <w:sz w:val="16"/>
                <w:szCs w:val="16"/>
              </w:rPr>
            </w:pPr>
          </w:p>
        </w:tc>
        <w:tc>
          <w:tcPr>
            <w:tcW w:w="115" w:type="dxa"/>
            <w:vAlign w:val="bottom"/>
          </w:tcPr>
          <w:p w14:paraId="784BBB92" w14:textId="77777777" w:rsidR="00C561BD" w:rsidRPr="00682E64" w:rsidRDefault="00C561BD" w:rsidP="00AC2186">
            <w:pPr>
              <w:tabs>
                <w:tab w:val="decimal" w:pos="113"/>
              </w:tabs>
              <w:spacing w:line="140" w:lineRule="exact"/>
              <w:rPr>
                <w:sz w:val="16"/>
                <w:szCs w:val="16"/>
              </w:rPr>
            </w:pPr>
          </w:p>
        </w:tc>
        <w:tc>
          <w:tcPr>
            <w:tcW w:w="748" w:type="dxa"/>
            <w:tcBorders>
              <w:top w:val="nil"/>
              <w:left w:val="nil"/>
              <w:bottom w:val="double" w:sz="6" w:space="0" w:color="auto"/>
              <w:right w:val="nil"/>
            </w:tcBorders>
            <w:shd w:val="clear" w:color="auto" w:fill="auto"/>
            <w:vAlign w:val="bottom"/>
          </w:tcPr>
          <w:p w14:paraId="0C67DA23" w14:textId="77777777" w:rsidR="00C561BD" w:rsidRPr="00682E64" w:rsidRDefault="00C561BD" w:rsidP="00AC2186">
            <w:pPr>
              <w:tabs>
                <w:tab w:val="decimal" w:pos="113"/>
              </w:tabs>
              <w:spacing w:line="140" w:lineRule="exact"/>
              <w:rPr>
                <w:sz w:val="16"/>
                <w:szCs w:val="16"/>
              </w:rPr>
            </w:pPr>
          </w:p>
        </w:tc>
        <w:tc>
          <w:tcPr>
            <w:tcW w:w="115" w:type="dxa"/>
            <w:vAlign w:val="bottom"/>
          </w:tcPr>
          <w:p w14:paraId="07281B34"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28A84CFE"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B9E8177"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6AD9A03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9E49D6C"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127815AC"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3E42E5E"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03D39F8C"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89C77B4"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55A916EC" w14:textId="77777777" w:rsidR="00C561BD" w:rsidRPr="00682E64" w:rsidRDefault="00C561BD" w:rsidP="00AC2186">
            <w:pPr>
              <w:tabs>
                <w:tab w:val="decimal" w:pos="113"/>
              </w:tabs>
              <w:spacing w:line="140" w:lineRule="exact"/>
              <w:rPr>
                <w:sz w:val="16"/>
                <w:szCs w:val="16"/>
              </w:rPr>
            </w:pPr>
          </w:p>
        </w:tc>
        <w:tc>
          <w:tcPr>
            <w:tcW w:w="146" w:type="dxa"/>
            <w:vAlign w:val="bottom"/>
          </w:tcPr>
          <w:p w14:paraId="52E1301A" w14:textId="77777777" w:rsidR="00C561BD" w:rsidRPr="00682E64" w:rsidRDefault="00C561BD" w:rsidP="00AC2186">
            <w:pPr>
              <w:tabs>
                <w:tab w:val="decimal" w:pos="113"/>
              </w:tabs>
              <w:spacing w:line="140" w:lineRule="exact"/>
              <w:rPr>
                <w:sz w:val="16"/>
                <w:szCs w:val="16"/>
              </w:rPr>
            </w:pPr>
          </w:p>
        </w:tc>
        <w:tc>
          <w:tcPr>
            <w:tcW w:w="690" w:type="dxa"/>
            <w:tcBorders>
              <w:top w:val="nil"/>
              <w:left w:val="nil"/>
              <w:bottom w:val="double" w:sz="6" w:space="0" w:color="auto"/>
              <w:right w:val="nil"/>
            </w:tcBorders>
            <w:shd w:val="clear" w:color="auto" w:fill="auto"/>
            <w:vAlign w:val="bottom"/>
          </w:tcPr>
          <w:p w14:paraId="23FF4384" w14:textId="77777777" w:rsidR="00C561BD" w:rsidRPr="00682E64" w:rsidRDefault="00C561BD" w:rsidP="00AC2186">
            <w:pPr>
              <w:tabs>
                <w:tab w:val="decimal" w:pos="113"/>
              </w:tabs>
              <w:spacing w:line="140" w:lineRule="exact"/>
              <w:rPr>
                <w:sz w:val="16"/>
                <w:szCs w:val="16"/>
              </w:rPr>
            </w:pPr>
          </w:p>
        </w:tc>
        <w:tc>
          <w:tcPr>
            <w:tcW w:w="115" w:type="dxa"/>
            <w:vAlign w:val="bottom"/>
          </w:tcPr>
          <w:p w14:paraId="12CDF247" w14:textId="77777777" w:rsidR="00C561BD" w:rsidRPr="00682E64" w:rsidRDefault="00C561BD" w:rsidP="00AC2186">
            <w:pPr>
              <w:tabs>
                <w:tab w:val="decimal" w:pos="113"/>
              </w:tabs>
              <w:spacing w:line="140" w:lineRule="exact"/>
              <w:rPr>
                <w:sz w:val="16"/>
                <w:szCs w:val="16"/>
              </w:rPr>
            </w:pPr>
          </w:p>
        </w:tc>
        <w:tc>
          <w:tcPr>
            <w:tcW w:w="690" w:type="dxa"/>
            <w:tcBorders>
              <w:top w:val="nil"/>
              <w:left w:val="nil"/>
              <w:bottom w:val="double" w:sz="6" w:space="0" w:color="auto"/>
              <w:right w:val="nil"/>
            </w:tcBorders>
            <w:shd w:val="clear" w:color="auto" w:fill="auto"/>
            <w:vAlign w:val="bottom"/>
          </w:tcPr>
          <w:p w14:paraId="01D440AC" w14:textId="77777777" w:rsidR="00C561BD" w:rsidRPr="00682E64" w:rsidRDefault="00C561BD" w:rsidP="00AC2186">
            <w:pPr>
              <w:tabs>
                <w:tab w:val="decimal" w:pos="113"/>
              </w:tabs>
              <w:spacing w:line="140" w:lineRule="exact"/>
              <w:rPr>
                <w:sz w:val="16"/>
                <w:szCs w:val="16"/>
              </w:rPr>
            </w:pPr>
          </w:p>
        </w:tc>
        <w:tc>
          <w:tcPr>
            <w:tcW w:w="115" w:type="dxa"/>
          </w:tcPr>
          <w:p w14:paraId="46C1C6C6" w14:textId="77777777" w:rsidR="00C561BD" w:rsidRPr="00682E64" w:rsidRDefault="00C561BD" w:rsidP="00AC2186">
            <w:pPr>
              <w:tabs>
                <w:tab w:val="decimal" w:pos="113"/>
              </w:tabs>
              <w:spacing w:line="140" w:lineRule="exact"/>
              <w:rPr>
                <w:sz w:val="16"/>
                <w:szCs w:val="16"/>
              </w:rPr>
            </w:pPr>
          </w:p>
        </w:tc>
        <w:tc>
          <w:tcPr>
            <w:tcW w:w="640" w:type="dxa"/>
            <w:tcBorders>
              <w:top w:val="nil"/>
              <w:left w:val="nil"/>
              <w:bottom w:val="double" w:sz="6" w:space="0" w:color="auto"/>
              <w:right w:val="nil"/>
            </w:tcBorders>
            <w:shd w:val="clear" w:color="auto" w:fill="auto"/>
          </w:tcPr>
          <w:p w14:paraId="12F36DEE" w14:textId="77777777" w:rsidR="00C561BD" w:rsidRPr="00682E64" w:rsidRDefault="00C561BD" w:rsidP="00AC2186">
            <w:pPr>
              <w:tabs>
                <w:tab w:val="decimal" w:pos="113"/>
              </w:tabs>
              <w:spacing w:line="140" w:lineRule="exact"/>
              <w:rPr>
                <w:sz w:val="16"/>
                <w:szCs w:val="16"/>
              </w:rPr>
            </w:pPr>
          </w:p>
        </w:tc>
      </w:tr>
    </w:tbl>
    <w:p w14:paraId="498AF18A" w14:textId="77777777" w:rsidR="00280C26" w:rsidRDefault="00280C26" w:rsidP="009F14AD">
      <w:pPr>
        <w:rPr>
          <w:rtl/>
        </w:rPr>
      </w:pPr>
    </w:p>
    <w:p w14:paraId="4BEFF311" w14:textId="77777777" w:rsidR="00C561BD" w:rsidRPr="00DA3B53" w:rsidRDefault="00C561BD" w:rsidP="009F14AD">
      <w:pPr>
        <w:rPr>
          <w:sz w:val="16"/>
          <w:szCs w:val="16"/>
          <w:rtl/>
        </w:rPr>
      </w:pPr>
      <w:r w:rsidRPr="00A227B8">
        <w:rPr>
          <w:rFonts w:hint="eastAsia"/>
          <w:rtl/>
        </w:rPr>
        <w:t>הבאורים</w:t>
      </w:r>
      <w:r w:rsidRPr="00A227B8">
        <w:rPr>
          <w:rtl/>
        </w:rPr>
        <w:t xml:space="preserve"> המצורפים מהווים חלק בלתי נפרד מהדוחות הכספיים ביניים מאוחדים.</w:t>
      </w:r>
    </w:p>
    <w:p w14:paraId="4A62B1F6" w14:textId="77777777" w:rsidR="00AB7D68" w:rsidRPr="00571BF2" w:rsidRDefault="00AB7D68" w:rsidP="00571BF2">
      <w:pPr>
        <w:pBdr>
          <w:bottom w:val="single" w:sz="12" w:space="1" w:color="auto"/>
        </w:pBdr>
        <w:rPr>
          <w:b/>
          <w:bCs/>
          <w:rtl/>
        </w:rPr>
      </w:pPr>
      <w:r>
        <w:rPr>
          <w:rtl/>
        </w:rPr>
        <w:br w:type="page"/>
      </w:r>
      <w:bookmarkEnd w:id="28"/>
      <w:bookmarkEnd w:id="29"/>
      <w:bookmarkEnd w:id="30"/>
      <w:bookmarkEnd w:id="31"/>
      <w:bookmarkEnd w:id="32"/>
      <w:bookmarkEnd w:id="33"/>
      <w:bookmarkEnd w:id="34"/>
      <w:bookmarkEnd w:id="35"/>
      <w:bookmarkEnd w:id="36"/>
      <w:r w:rsidRPr="00571BF2">
        <w:rPr>
          <w:rFonts w:hint="cs"/>
          <w:b/>
          <w:bCs/>
          <w:rtl/>
        </w:rPr>
        <w:lastRenderedPageBreak/>
        <w:t>דוחות מאוחדים על השינויים בהון</w:t>
      </w:r>
      <w:r w:rsidR="006A44FC" w:rsidRPr="00571BF2">
        <w:rPr>
          <w:rStyle w:val="ab"/>
          <w:b/>
          <w:bCs w:val="0"/>
          <w:rtl/>
        </w:rPr>
        <w:footnoteReference w:id="45"/>
      </w:r>
    </w:p>
    <w:p w14:paraId="475216B7" w14:textId="77777777" w:rsidR="00AB7D68" w:rsidRDefault="00AB7D68" w:rsidP="007C744C">
      <w:pPr>
        <w:rPr>
          <w:rtl/>
        </w:rPr>
      </w:pPr>
    </w:p>
    <w:tbl>
      <w:tblPr>
        <w:bidiVisual/>
        <w:tblW w:w="15958" w:type="dxa"/>
        <w:tblInd w:w="50" w:type="dxa"/>
        <w:tblLayout w:type="fixed"/>
        <w:tblCellMar>
          <w:left w:w="0" w:type="dxa"/>
          <w:right w:w="0" w:type="dxa"/>
        </w:tblCellMar>
        <w:tblLook w:val="0000" w:firstRow="0" w:lastRow="0" w:firstColumn="0" w:lastColumn="0" w:noHBand="0" w:noVBand="0"/>
      </w:tblPr>
      <w:tblGrid>
        <w:gridCol w:w="1009"/>
        <w:gridCol w:w="2790"/>
        <w:gridCol w:w="113"/>
        <w:gridCol w:w="624"/>
        <w:gridCol w:w="113"/>
        <w:gridCol w:w="624"/>
        <w:gridCol w:w="35"/>
        <w:gridCol w:w="78"/>
        <w:gridCol w:w="624"/>
        <w:gridCol w:w="113"/>
        <w:gridCol w:w="680"/>
        <w:gridCol w:w="113"/>
        <w:gridCol w:w="624"/>
        <w:gridCol w:w="113"/>
        <w:gridCol w:w="624"/>
        <w:gridCol w:w="113"/>
        <w:gridCol w:w="624"/>
        <w:gridCol w:w="113"/>
        <w:gridCol w:w="624"/>
        <w:gridCol w:w="113"/>
        <w:gridCol w:w="680"/>
        <w:gridCol w:w="113"/>
        <w:gridCol w:w="680"/>
        <w:gridCol w:w="113"/>
        <w:gridCol w:w="680"/>
        <w:gridCol w:w="113"/>
        <w:gridCol w:w="680"/>
        <w:gridCol w:w="113"/>
        <w:gridCol w:w="680"/>
        <w:gridCol w:w="144"/>
        <w:gridCol w:w="624"/>
        <w:gridCol w:w="113"/>
        <w:gridCol w:w="624"/>
        <w:gridCol w:w="113"/>
        <w:gridCol w:w="624"/>
      </w:tblGrid>
      <w:tr w:rsidR="00924C0D" w:rsidRPr="006A44FC" w14:paraId="3ECA3E42" w14:textId="77777777" w:rsidTr="00285250">
        <w:tc>
          <w:tcPr>
            <w:tcW w:w="1009" w:type="dxa"/>
            <w:tcBorders>
              <w:bottom w:val="single" w:sz="4" w:space="0" w:color="auto"/>
              <w:right w:val="single" w:sz="4" w:space="0" w:color="auto"/>
            </w:tcBorders>
            <w:vAlign w:val="center"/>
          </w:tcPr>
          <w:p w14:paraId="333E36FC" w14:textId="77777777" w:rsidR="00924C0D" w:rsidRPr="00B21C4E" w:rsidRDefault="00924C0D" w:rsidP="00D8256B">
            <w:pPr>
              <w:bidi w:val="0"/>
              <w:spacing w:line="140" w:lineRule="exact"/>
              <w:jc w:val="right"/>
              <w:rPr>
                <w:i/>
                <w:iCs/>
                <w:sz w:val="13"/>
                <w:szCs w:val="13"/>
                <w:rtl/>
              </w:rPr>
            </w:pPr>
            <w:r>
              <w:rPr>
                <w:i/>
                <w:iCs/>
                <w:sz w:val="13"/>
                <w:szCs w:val="13"/>
              </w:rPr>
              <w:t>IAS </w:t>
            </w:r>
            <w:r w:rsidRPr="00B21C4E">
              <w:rPr>
                <w:i/>
                <w:iCs/>
                <w:sz w:val="13"/>
                <w:szCs w:val="13"/>
              </w:rPr>
              <w:t xml:space="preserve">1.10(c); </w:t>
            </w:r>
            <w:r>
              <w:rPr>
                <w:i/>
                <w:iCs/>
                <w:sz w:val="13"/>
                <w:szCs w:val="13"/>
              </w:rPr>
              <w:t>IAS </w:t>
            </w:r>
            <w:r w:rsidRPr="00B21C4E">
              <w:rPr>
                <w:i/>
                <w:iCs/>
                <w:sz w:val="13"/>
                <w:szCs w:val="13"/>
              </w:rPr>
              <w:t>1.51(b</w:t>
            </w:r>
            <w:r>
              <w:rPr>
                <w:i/>
                <w:iCs/>
                <w:sz w:val="13"/>
                <w:szCs w:val="13"/>
              </w:rPr>
              <w:t>), (</w:t>
            </w:r>
            <w:r w:rsidRPr="00B21C4E">
              <w:rPr>
                <w:i/>
                <w:iCs/>
                <w:sz w:val="13"/>
                <w:szCs w:val="13"/>
              </w:rPr>
              <w:t xml:space="preserve">c); </w:t>
            </w:r>
            <w:r>
              <w:rPr>
                <w:i/>
                <w:iCs/>
                <w:sz w:val="13"/>
                <w:szCs w:val="13"/>
              </w:rPr>
              <w:t>IAS </w:t>
            </w:r>
            <w:r w:rsidRPr="00B21C4E">
              <w:rPr>
                <w:i/>
                <w:iCs/>
                <w:sz w:val="13"/>
                <w:szCs w:val="13"/>
              </w:rPr>
              <w:t>34.10</w:t>
            </w:r>
          </w:p>
        </w:tc>
        <w:tc>
          <w:tcPr>
            <w:tcW w:w="2790" w:type="dxa"/>
            <w:tcBorders>
              <w:left w:val="single" w:sz="4" w:space="0" w:color="auto"/>
            </w:tcBorders>
            <w:vAlign w:val="bottom"/>
          </w:tcPr>
          <w:p w14:paraId="74D0267A" w14:textId="77777777" w:rsidR="00924C0D" w:rsidRPr="006A44FC" w:rsidRDefault="00924C0D" w:rsidP="00D8256B">
            <w:pPr>
              <w:tabs>
                <w:tab w:val="decimal" w:pos="113"/>
              </w:tabs>
              <w:spacing w:line="140" w:lineRule="exact"/>
              <w:jc w:val="center"/>
              <w:rPr>
                <w:sz w:val="16"/>
                <w:szCs w:val="16"/>
                <w:rtl/>
              </w:rPr>
            </w:pPr>
          </w:p>
        </w:tc>
        <w:tc>
          <w:tcPr>
            <w:tcW w:w="113" w:type="dxa"/>
            <w:vAlign w:val="bottom"/>
          </w:tcPr>
          <w:p w14:paraId="70611AB7" w14:textId="77777777" w:rsidR="00924C0D" w:rsidRPr="006A44FC" w:rsidRDefault="00924C0D" w:rsidP="00D8256B">
            <w:pPr>
              <w:spacing w:line="140" w:lineRule="exact"/>
              <w:jc w:val="center"/>
              <w:rPr>
                <w:sz w:val="16"/>
                <w:szCs w:val="16"/>
              </w:rPr>
            </w:pPr>
          </w:p>
        </w:tc>
        <w:tc>
          <w:tcPr>
            <w:tcW w:w="10572" w:type="dxa"/>
            <w:gridSpan w:val="28"/>
            <w:tcBorders>
              <w:left w:val="nil"/>
              <w:bottom w:val="single" w:sz="6" w:space="0" w:color="auto"/>
              <w:right w:val="nil"/>
            </w:tcBorders>
            <w:vAlign w:val="bottom"/>
          </w:tcPr>
          <w:p w14:paraId="584ADD2F" w14:textId="77777777" w:rsidR="00924C0D" w:rsidRPr="006A44FC" w:rsidRDefault="00924C0D" w:rsidP="00D8256B">
            <w:pPr>
              <w:spacing w:line="140" w:lineRule="exact"/>
              <w:jc w:val="center"/>
              <w:rPr>
                <w:sz w:val="16"/>
                <w:szCs w:val="16"/>
                <w:rtl/>
              </w:rPr>
            </w:pPr>
            <w:r w:rsidRPr="006A44FC">
              <w:rPr>
                <w:rFonts w:hint="cs"/>
                <w:sz w:val="16"/>
                <w:szCs w:val="16"/>
                <w:rtl/>
              </w:rPr>
              <w:t xml:space="preserve">מיוחס לבעלי מניות החברה </w:t>
            </w:r>
          </w:p>
        </w:tc>
        <w:tc>
          <w:tcPr>
            <w:tcW w:w="113" w:type="dxa"/>
            <w:vAlign w:val="bottom"/>
          </w:tcPr>
          <w:p w14:paraId="4B1433E8" w14:textId="77777777" w:rsidR="00924C0D" w:rsidRPr="006A44FC" w:rsidRDefault="00924C0D" w:rsidP="00D8256B">
            <w:pPr>
              <w:spacing w:line="140" w:lineRule="exact"/>
              <w:jc w:val="center"/>
              <w:rPr>
                <w:sz w:val="16"/>
                <w:szCs w:val="16"/>
              </w:rPr>
            </w:pPr>
          </w:p>
        </w:tc>
        <w:tc>
          <w:tcPr>
            <w:tcW w:w="624" w:type="dxa"/>
            <w:tcBorders>
              <w:left w:val="nil"/>
              <w:right w:val="nil"/>
            </w:tcBorders>
            <w:shd w:val="clear" w:color="auto" w:fill="auto"/>
            <w:vAlign w:val="bottom"/>
          </w:tcPr>
          <w:p w14:paraId="61183155" w14:textId="77777777" w:rsidR="00924C0D" w:rsidRPr="006A44FC" w:rsidRDefault="00924C0D" w:rsidP="00D8256B">
            <w:pPr>
              <w:spacing w:line="140" w:lineRule="exact"/>
              <w:jc w:val="center"/>
              <w:rPr>
                <w:sz w:val="16"/>
                <w:szCs w:val="16"/>
                <w:rtl/>
              </w:rPr>
            </w:pPr>
          </w:p>
        </w:tc>
        <w:tc>
          <w:tcPr>
            <w:tcW w:w="113" w:type="dxa"/>
            <w:vAlign w:val="bottom"/>
          </w:tcPr>
          <w:p w14:paraId="782972DA" w14:textId="77777777" w:rsidR="00924C0D" w:rsidRPr="006A44FC" w:rsidRDefault="00924C0D" w:rsidP="00D8256B">
            <w:pPr>
              <w:spacing w:line="140" w:lineRule="exact"/>
              <w:jc w:val="center"/>
              <w:rPr>
                <w:sz w:val="16"/>
                <w:szCs w:val="16"/>
              </w:rPr>
            </w:pPr>
          </w:p>
        </w:tc>
        <w:tc>
          <w:tcPr>
            <w:tcW w:w="624" w:type="dxa"/>
            <w:tcBorders>
              <w:left w:val="nil"/>
              <w:right w:val="nil"/>
            </w:tcBorders>
            <w:shd w:val="clear" w:color="auto" w:fill="auto"/>
            <w:vAlign w:val="bottom"/>
          </w:tcPr>
          <w:p w14:paraId="69280164" w14:textId="77777777" w:rsidR="00924C0D" w:rsidRPr="006A44FC" w:rsidRDefault="00924C0D" w:rsidP="00D8256B">
            <w:pPr>
              <w:spacing w:line="140" w:lineRule="exact"/>
              <w:jc w:val="center"/>
              <w:rPr>
                <w:sz w:val="16"/>
                <w:szCs w:val="16"/>
                <w:rtl/>
              </w:rPr>
            </w:pPr>
          </w:p>
        </w:tc>
      </w:tr>
      <w:tr w:rsidR="007D56F4" w:rsidRPr="006A44FC" w14:paraId="245CD85C" w14:textId="77777777" w:rsidTr="00285250">
        <w:tc>
          <w:tcPr>
            <w:tcW w:w="1009" w:type="dxa"/>
            <w:tcBorders>
              <w:top w:val="single" w:sz="4" w:space="0" w:color="auto"/>
            </w:tcBorders>
            <w:vAlign w:val="center"/>
          </w:tcPr>
          <w:p w14:paraId="6FC33726" w14:textId="77777777" w:rsidR="007D56F4" w:rsidRPr="00B21C4E" w:rsidRDefault="007D56F4" w:rsidP="00D8256B">
            <w:pPr>
              <w:bidi w:val="0"/>
              <w:spacing w:line="140" w:lineRule="exact"/>
              <w:jc w:val="right"/>
              <w:rPr>
                <w:i/>
                <w:iCs/>
                <w:sz w:val="13"/>
                <w:szCs w:val="13"/>
              </w:rPr>
            </w:pPr>
          </w:p>
        </w:tc>
        <w:tc>
          <w:tcPr>
            <w:tcW w:w="2790" w:type="dxa"/>
            <w:vAlign w:val="bottom"/>
          </w:tcPr>
          <w:p w14:paraId="2F27B074" w14:textId="77777777" w:rsidR="007D56F4" w:rsidRPr="006A44FC" w:rsidRDefault="007D56F4" w:rsidP="00D8256B">
            <w:pPr>
              <w:tabs>
                <w:tab w:val="decimal" w:pos="113"/>
              </w:tabs>
              <w:spacing w:line="140" w:lineRule="exact"/>
              <w:jc w:val="center"/>
              <w:rPr>
                <w:sz w:val="16"/>
                <w:szCs w:val="16"/>
              </w:rPr>
            </w:pPr>
          </w:p>
        </w:tc>
        <w:tc>
          <w:tcPr>
            <w:tcW w:w="113" w:type="dxa"/>
            <w:vAlign w:val="bottom"/>
          </w:tcPr>
          <w:p w14:paraId="20A93187"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15DDC44A" w14:textId="77777777" w:rsidR="007D56F4" w:rsidRPr="006A44FC" w:rsidRDefault="007D56F4" w:rsidP="00D8256B">
            <w:pPr>
              <w:spacing w:line="140" w:lineRule="exact"/>
              <w:jc w:val="center"/>
              <w:rPr>
                <w:sz w:val="16"/>
                <w:szCs w:val="16"/>
                <w:rtl/>
              </w:rPr>
            </w:pPr>
            <w:r w:rsidRPr="006A44FC">
              <w:rPr>
                <w:rFonts w:hint="cs"/>
                <w:sz w:val="16"/>
                <w:szCs w:val="16"/>
                <w:rtl/>
              </w:rPr>
              <w:t>הון</w:t>
            </w:r>
          </w:p>
          <w:p w14:paraId="77BFFFDB" w14:textId="77777777" w:rsidR="007D56F4" w:rsidRPr="006A44FC" w:rsidRDefault="007D56F4" w:rsidP="00D8256B">
            <w:pPr>
              <w:spacing w:line="140" w:lineRule="exact"/>
              <w:jc w:val="center"/>
              <w:rPr>
                <w:sz w:val="16"/>
                <w:szCs w:val="16"/>
              </w:rPr>
            </w:pPr>
            <w:r w:rsidRPr="006A44FC">
              <w:rPr>
                <w:rFonts w:hint="cs"/>
                <w:sz w:val="16"/>
                <w:szCs w:val="16"/>
                <w:rtl/>
              </w:rPr>
              <w:t>מניות</w:t>
            </w:r>
          </w:p>
        </w:tc>
        <w:tc>
          <w:tcPr>
            <w:tcW w:w="113" w:type="dxa"/>
            <w:tcBorders>
              <w:top w:val="single" w:sz="6" w:space="0" w:color="auto"/>
              <w:left w:val="nil"/>
              <w:bottom w:val="nil"/>
              <w:right w:val="nil"/>
            </w:tcBorders>
            <w:vAlign w:val="bottom"/>
          </w:tcPr>
          <w:p w14:paraId="1BC75E82"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4A817512" w14:textId="77777777" w:rsidR="007D56F4" w:rsidRPr="006A44FC" w:rsidRDefault="007D56F4" w:rsidP="00D8256B">
            <w:pPr>
              <w:spacing w:line="140" w:lineRule="exact"/>
              <w:jc w:val="center"/>
              <w:rPr>
                <w:sz w:val="16"/>
                <w:szCs w:val="16"/>
              </w:rPr>
            </w:pPr>
            <w:r w:rsidRPr="006A44FC">
              <w:rPr>
                <w:rFonts w:hint="cs"/>
                <w:sz w:val="16"/>
                <w:szCs w:val="16"/>
                <w:rtl/>
              </w:rPr>
              <w:t>פרמיה על מניות</w:t>
            </w:r>
          </w:p>
        </w:tc>
        <w:tc>
          <w:tcPr>
            <w:tcW w:w="113" w:type="dxa"/>
            <w:gridSpan w:val="2"/>
            <w:tcBorders>
              <w:top w:val="single" w:sz="6" w:space="0" w:color="auto"/>
              <w:left w:val="nil"/>
              <w:bottom w:val="nil"/>
              <w:right w:val="nil"/>
            </w:tcBorders>
            <w:vAlign w:val="bottom"/>
          </w:tcPr>
          <w:p w14:paraId="63751731"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1E07A2F9" w14:textId="77777777" w:rsidR="007D56F4" w:rsidRPr="006A44FC" w:rsidRDefault="007D56F4" w:rsidP="00D8256B">
            <w:pPr>
              <w:spacing w:line="140" w:lineRule="exact"/>
              <w:jc w:val="center"/>
              <w:rPr>
                <w:sz w:val="16"/>
                <w:szCs w:val="16"/>
                <w:rtl/>
              </w:rPr>
            </w:pPr>
            <w:r w:rsidRPr="006A44FC">
              <w:rPr>
                <w:rFonts w:hint="cs"/>
                <w:sz w:val="16"/>
                <w:szCs w:val="16"/>
                <w:rtl/>
              </w:rPr>
              <w:t>כתבי</w:t>
            </w:r>
          </w:p>
          <w:p w14:paraId="2603DAB6" w14:textId="77777777" w:rsidR="007D56F4" w:rsidRPr="006A44FC" w:rsidRDefault="007D56F4" w:rsidP="00D8256B">
            <w:pPr>
              <w:spacing w:line="140" w:lineRule="exact"/>
              <w:jc w:val="center"/>
              <w:rPr>
                <w:sz w:val="16"/>
                <w:szCs w:val="16"/>
              </w:rPr>
            </w:pPr>
            <w:r w:rsidRPr="006A44FC">
              <w:rPr>
                <w:rFonts w:hint="cs"/>
                <w:sz w:val="16"/>
                <w:szCs w:val="16"/>
                <w:rtl/>
              </w:rPr>
              <w:t>אופציה</w:t>
            </w:r>
          </w:p>
        </w:tc>
        <w:tc>
          <w:tcPr>
            <w:tcW w:w="113" w:type="dxa"/>
            <w:tcBorders>
              <w:top w:val="single" w:sz="6" w:space="0" w:color="auto"/>
              <w:left w:val="nil"/>
              <w:bottom w:val="nil"/>
              <w:right w:val="nil"/>
            </w:tcBorders>
            <w:vAlign w:val="bottom"/>
          </w:tcPr>
          <w:p w14:paraId="7CEA510E" w14:textId="77777777" w:rsidR="007D56F4" w:rsidRPr="006A44FC" w:rsidRDefault="007D56F4" w:rsidP="00D8256B">
            <w:pPr>
              <w:spacing w:line="140" w:lineRule="exact"/>
              <w:jc w:val="center"/>
              <w:rPr>
                <w:sz w:val="16"/>
                <w:szCs w:val="16"/>
              </w:rPr>
            </w:pPr>
          </w:p>
        </w:tc>
        <w:tc>
          <w:tcPr>
            <w:tcW w:w="680" w:type="dxa"/>
            <w:tcBorders>
              <w:top w:val="single" w:sz="6" w:space="0" w:color="auto"/>
              <w:left w:val="nil"/>
              <w:bottom w:val="single" w:sz="6" w:space="0" w:color="auto"/>
              <w:right w:val="nil"/>
            </w:tcBorders>
            <w:vAlign w:val="bottom"/>
          </w:tcPr>
          <w:p w14:paraId="4434773A" w14:textId="4547AC08" w:rsidR="007D56F4" w:rsidRPr="007D56F4" w:rsidRDefault="00516850" w:rsidP="007D56F4">
            <w:pPr>
              <w:spacing w:line="180" w:lineRule="exact"/>
              <w:jc w:val="center"/>
              <w:rPr>
                <w:sz w:val="16"/>
                <w:szCs w:val="16"/>
              </w:rPr>
            </w:pPr>
            <w:r w:rsidRPr="006A44FC">
              <w:rPr>
                <w:rFonts w:hint="cs"/>
                <w:sz w:val="16"/>
                <w:szCs w:val="16"/>
                <w:rtl/>
              </w:rPr>
              <w:t>קרן בגין עסקאות עם בעלי זכויות שאינן מקנות שליטה</w:t>
            </w:r>
            <w:r w:rsidRPr="006A44FC">
              <w:rPr>
                <w:rStyle w:val="ab"/>
                <w:sz w:val="16"/>
                <w:szCs w:val="16"/>
              </w:rPr>
              <w:footnoteReference w:id="46"/>
            </w:r>
          </w:p>
        </w:tc>
        <w:tc>
          <w:tcPr>
            <w:tcW w:w="113" w:type="dxa"/>
            <w:tcBorders>
              <w:top w:val="single" w:sz="6" w:space="0" w:color="auto"/>
              <w:left w:val="nil"/>
              <w:bottom w:val="nil"/>
              <w:right w:val="nil"/>
            </w:tcBorders>
            <w:vAlign w:val="bottom"/>
          </w:tcPr>
          <w:p w14:paraId="2BCED0B3"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38293AB2" w14:textId="77777777" w:rsidR="007D56F4" w:rsidRPr="006A44FC" w:rsidRDefault="007D56F4" w:rsidP="00D8256B">
            <w:pPr>
              <w:spacing w:line="140" w:lineRule="exact"/>
              <w:jc w:val="center"/>
              <w:rPr>
                <w:sz w:val="16"/>
                <w:szCs w:val="16"/>
                <w:rtl/>
              </w:rPr>
            </w:pPr>
            <w:r w:rsidRPr="006A44FC">
              <w:rPr>
                <w:rFonts w:hint="cs"/>
                <w:sz w:val="16"/>
                <w:szCs w:val="16"/>
                <w:rtl/>
              </w:rPr>
              <w:t>מניות</w:t>
            </w:r>
          </w:p>
          <w:p w14:paraId="20BD8613" w14:textId="77777777" w:rsidR="007D56F4" w:rsidRPr="006A44FC" w:rsidRDefault="007D56F4" w:rsidP="00D8256B">
            <w:pPr>
              <w:spacing w:line="140" w:lineRule="exact"/>
              <w:jc w:val="center"/>
              <w:rPr>
                <w:sz w:val="16"/>
                <w:szCs w:val="16"/>
              </w:rPr>
            </w:pPr>
            <w:r w:rsidRPr="006A44FC">
              <w:rPr>
                <w:rFonts w:hint="cs"/>
                <w:sz w:val="16"/>
                <w:szCs w:val="16"/>
                <w:rtl/>
              </w:rPr>
              <w:t>אוצר</w:t>
            </w:r>
          </w:p>
        </w:tc>
        <w:tc>
          <w:tcPr>
            <w:tcW w:w="113" w:type="dxa"/>
            <w:tcBorders>
              <w:top w:val="single" w:sz="6" w:space="0" w:color="auto"/>
              <w:left w:val="nil"/>
              <w:bottom w:val="nil"/>
              <w:right w:val="nil"/>
            </w:tcBorders>
            <w:vAlign w:val="bottom"/>
          </w:tcPr>
          <w:p w14:paraId="21CD3E5A"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59DDC60E" w14:textId="77777777" w:rsidR="007D56F4" w:rsidRPr="006A44FC" w:rsidRDefault="007D56F4" w:rsidP="00D8256B">
            <w:pPr>
              <w:spacing w:line="140" w:lineRule="exact"/>
              <w:jc w:val="center"/>
              <w:rPr>
                <w:sz w:val="16"/>
                <w:szCs w:val="16"/>
              </w:rPr>
            </w:pPr>
            <w:r w:rsidRPr="006A44FC">
              <w:rPr>
                <w:rFonts w:hint="cs"/>
                <w:sz w:val="16"/>
                <w:szCs w:val="16"/>
                <w:rtl/>
              </w:rPr>
              <w:t>קרן בגין עסקה עם בעל שליטה</w:t>
            </w:r>
          </w:p>
        </w:tc>
        <w:tc>
          <w:tcPr>
            <w:tcW w:w="113" w:type="dxa"/>
            <w:tcBorders>
              <w:top w:val="single" w:sz="6" w:space="0" w:color="auto"/>
              <w:left w:val="nil"/>
              <w:bottom w:val="nil"/>
              <w:right w:val="nil"/>
            </w:tcBorders>
            <w:vAlign w:val="bottom"/>
          </w:tcPr>
          <w:p w14:paraId="2C03EC3E"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2D8AC23E" w14:textId="77777777" w:rsidR="007D56F4" w:rsidRPr="006A44FC" w:rsidRDefault="007D56F4" w:rsidP="00584BF3">
            <w:pPr>
              <w:spacing w:line="140" w:lineRule="exact"/>
              <w:jc w:val="center"/>
              <w:rPr>
                <w:sz w:val="16"/>
                <w:szCs w:val="16"/>
              </w:rPr>
            </w:pPr>
            <w:r w:rsidRPr="006A44FC">
              <w:rPr>
                <w:rFonts w:hint="cs"/>
                <w:sz w:val="16"/>
                <w:szCs w:val="16"/>
                <w:rtl/>
              </w:rPr>
              <w:t>קרן בגין עסקאות תשלום מבוסס מניות</w:t>
            </w:r>
          </w:p>
        </w:tc>
        <w:tc>
          <w:tcPr>
            <w:tcW w:w="113" w:type="dxa"/>
            <w:tcBorders>
              <w:top w:val="single" w:sz="6" w:space="0" w:color="auto"/>
              <w:left w:val="nil"/>
              <w:bottom w:val="nil"/>
              <w:right w:val="nil"/>
            </w:tcBorders>
            <w:vAlign w:val="bottom"/>
          </w:tcPr>
          <w:p w14:paraId="3F4A9572"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2B5416D9" w14:textId="77777777" w:rsidR="007D56F4" w:rsidRDefault="007D56F4" w:rsidP="00584BF3">
            <w:pPr>
              <w:spacing w:line="140" w:lineRule="exact"/>
              <w:jc w:val="center"/>
              <w:rPr>
                <w:sz w:val="16"/>
                <w:szCs w:val="16"/>
                <w:rtl/>
              </w:rPr>
            </w:pPr>
            <w:r w:rsidRPr="006A44FC">
              <w:rPr>
                <w:rFonts w:hint="cs"/>
                <w:sz w:val="16"/>
                <w:szCs w:val="16"/>
                <w:rtl/>
              </w:rPr>
              <w:t>יתרת</w:t>
            </w:r>
          </w:p>
          <w:p w14:paraId="53FD53E7" w14:textId="77777777" w:rsidR="007D56F4" w:rsidRPr="006A44FC" w:rsidRDefault="007D56F4" w:rsidP="00584BF3">
            <w:pPr>
              <w:spacing w:line="140" w:lineRule="exact"/>
              <w:jc w:val="center"/>
              <w:rPr>
                <w:sz w:val="16"/>
                <w:szCs w:val="16"/>
                <w:rtl/>
              </w:rPr>
            </w:pPr>
            <w:r w:rsidRPr="006A44FC">
              <w:rPr>
                <w:rFonts w:hint="cs"/>
                <w:sz w:val="16"/>
                <w:szCs w:val="16"/>
                <w:rtl/>
              </w:rPr>
              <w:t>רווח (הפסד)</w:t>
            </w:r>
          </w:p>
        </w:tc>
        <w:tc>
          <w:tcPr>
            <w:tcW w:w="113" w:type="dxa"/>
            <w:tcBorders>
              <w:left w:val="nil"/>
              <w:bottom w:val="nil"/>
              <w:right w:val="nil"/>
            </w:tcBorders>
            <w:vAlign w:val="bottom"/>
          </w:tcPr>
          <w:p w14:paraId="3888B34A" w14:textId="77777777" w:rsidR="007D56F4" w:rsidRPr="006A44FC" w:rsidRDefault="007D56F4" w:rsidP="00D8256B">
            <w:pPr>
              <w:spacing w:line="140" w:lineRule="exact"/>
              <w:jc w:val="center"/>
              <w:rPr>
                <w:sz w:val="16"/>
                <w:szCs w:val="16"/>
              </w:rPr>
            </w:pPr>
          </w:p>
        </w:tc>
        <w:tc>
          <w:tcPr>
            <w:tcW w:w="680" w:type="dxa"/>
            <w:tcBorders>
              <w:top w:val="single" w:sz="6" w:space="0" w:color="auto"/>
              <w:left w:val="nil"/>
              <w:bottom w:val="single" w:sz="6" w:space="0" w:color="auto"/>
              <w:right w:val="nil"/>
            </w:tcBorders>
            <w:shd w:val="clear" w:color="auto" w:fill="auto"/>
            <w:vAlign w:val="bottom"/>
          </w:tcPr>
          <w:p w14:paraId="6F52E6B6" w14:textId="77777777" w:rsidR="007D56F4" w:rsidRDefault="007D56F4" w:rsidP="00584BF3">
            <w:pPr>
              <w:spacing w:line="140" w:lineRule="exact"/>
              <w:jc w:val="center"/>
              <w:rPr>
                <w:sz w:val="16"/>
                <w:szCs w:val="16"/>
                <w:rtl/>
              </w:rPr>
            </w:pPr>
            <w:r w:rsidRPr="006A44FC">
              <w:rPr>
                <w:rFonts w:hint="cs"/>
                <w:sz w:val="16"/>
                <w:szCs w:val="16"/>
                <w:rtl/>
              </w:rPr>
              <w:t>קרן</w:t>
            </w:r>
          </w:p>
          <w:p w14:paraId="5A69C33C" w14:textId="77777777" w:rsidR="007D56F4" w:rsidRPr="006A44FC" w:rsidRDefault="007D56F4" w:rsidP="00584BF3">
            <w:pPr>
              <w:spacing w:line="140" w:lineRule="exact"/>
              <w:jc w:val="center"/>
              <w:rPr>
                <w:sz w:val="16"/>
                <w:szCs w:val="16"/>
                <w:rtl/>
              </w:rPr>
            </w:pPr>
            <w:r w:rsidRPr="006A44FC">
              <w:rPr>
                <w:rFonts w:hint="cs"/>
                <w:sz w:val="16"/>
                <w:szCs w:val="16"/>
                <w:rtl/>
              </w:rPr>
              <w:t>הערכה מחדש</w:t>
            </w:r>
          </w:p>
        </w:tc>
        <w:tc>
          <w:tcPr>
            <w:tcW w:w="113" w:type="dxa"/>
            <w:tcBorders>
              <w:top w:val="single" w:sz="6" w:space="0" w:color="auto"/>
              <w:left w:val="nil"/>
              <w:right w:val="nil"/>
            </w:tcBorders>
            <w:shd w:val="clear" w:color="auto" w:fill="auto"/>
          </w:tcPr>
          <w:p w14:paraId="2673BD06" w14:textId="77777777" w:rsidR="007D56F4" w:rsidRPr="006A44FC" w:rsidRDefault="007D56F4" w:rsidP="00D8256B">
            <w:pPr>
              <w:pStyle w:val="a3"/>
              <w:widowControl/>
              <w:spacing w:line="140" w:lineRule="exact"/>
              <w:ind w:left="0"/>
              <w:jc w:val="center"/>
              <w:rPr>
                <w:sz w:val="16"/>
                <w:szCs w:val="16"/>
                <w:rtl/>
              </w:rPr>
            </w:pPr>
          </w:p>
        </w:tc>
        <w:tc>
          <w:tcPr>
            <w:tcW w:w="680" w:type="dxa"/>
            <w:tcBorders>
              <w:top w:val="single" w:sz="6" w:space="0" w:color="auto"/>
              <w:left w:val="nil"/>
              <w:bottom w:val="single" w:sz="6" w:space="0" w:color="auto"/>
              <w:right w:val="nil"/>
            </w:tcBorders>
            <w:shd w:val="clear" w:color="auto" w:fill="auto"/>
            <w:vAlign w:val="bottom"/>
          </w:tcPr>
          <w:p w14:paraId="41275C0E" w14:textId="5B354384" w:rsidR="007D56F4" w:rsidRPr="00584BF3" w:rsidRDefault="007D56F4" w:rsidP="00584BF3">
            <w:pPr>
              <w:spacing w:line="180" w:lineRule="exact"/>
              <w:jc w:val="center"/>
              <w:rPr>
                <w:sz w:val="16"/>
                <w:szCs w:val="16"/>
                <w:rtl/>
              </w:rPr>
            </w:pPr>
            <w:r w:rsidRPr="00584BF3">
              <w:rPr>
                <w:rFonts w:hint="cs"/>
                <w:sz w:val="16"/>
                <w:szCs w:val="16"/>
                <w:rtl/>
              </w:rPr>
              <w:t xml:space="preserve">קרן בגין נכסים פיננסיים </w:t>
            </w:r>
            <w:r w:rsidR="00DD2F85" w:rsidRPr="00584BF3">
              <w:rPr>
                <w:rFonts w:hint="cs"/>
                <w:sz w:val="16"/>
                <w:szCs w:val="16"/>
                <w:rtl/>
              </w:rPr>
              <w:t>הנמדדים בשווי הוגן דרך רווח כולל אחר</w:t>
            </w:r>
          </w:p>
        </w:tc>
        <w:tc>
          <w:tcPr>
            <w:tcW w:w="113" w:type="dxa"/>
            <w:tcBorders>
              <w:top w:val="single" w:sz="6" w:space="0" w:color="auto"/>
              <w:left w:val="nil"/>
              <w:right w:val="nil"/>
            </w:tcBorders>
            <w:shd w:val="clear" w:color="auto" w:fill="auto"/>
          </w:tcPr>
          <w:p w14:paraId="1E036CDD" w14:textId="77777777" w:rsidR="007D56F4" w:rsidRPr="00584BF3" w:rsidRDefault="007D56F4" w:rsidP="00D8256B">
            <w:pPr>
              <w:pStyle w:val="a3"/>
              <w:widowControl/>
              <w:spacing w:line="140" w:lineRule="exact"/>
              <w:ind w:left="0"/>
              <w:jc w:val="center"/>
              <w:rPr>
                <w:sz w:val="16"/>
                <w:szCs w:val="16"/>
                <w:rtl/>
              </w:rPr>
            </w:pPr>
          </w:p>
        </w:tc>
        <w:tc>
          <w:tcPr>
            <w:tcW w:w="680" w:type="dxa"/>
            <w:tcBorders>
              <w:top w:val="single" w:sz="6" w:space="0" w:color="auto"/>
              <w:left w:val="nil"/>
              <w:bottom w:val="single" w:sz="6" w:space="0" w:color="auto"/>
              <w:right w:val="nil"/>
            </w:tcBorders>
            <w:shd w:val="clear" w:color="auto" w:fill="auto"/>
            <w:vAlign w:val="bottom"/>
          </w:tcPr>
          <w:p w14:paraId="047423B8" w14:textId="77777777" w:rsidR="007D56F4" w:rsidRPr="00584BF3" w:rsidRDefault="007D56F4" w:rsidP="00584BF3">
            <w:pPr>
              <w:spacing w:line="180" w:lineRule="exact"/>
              <w:jc w:val="center"/>
              <w:rPr>
                <w:sz w:val="16"/>
                <w:szCs w:val="16"/>
                <w:rtl/>
              </w:rPr>
            </w:pPr>
            <w:r w:rsidRPr="00584BF3">
              <w:rPr>
                <w:rFonts w:hint="cs"/>
                <w:sz w:val="16"/>
                <w:szCs w:val="16"/>
                <w:rtl/>
              </w:rPr>
              <w:t>קרן בגין עסקאות גידור</w:t>
            </w:r>
          </w:p>
        </w:tc>
        <w:tc>
          <w:tcPr>
            <w:tcW w:w="113" w:type="dxa"/>
            <w:tcBorders>
              <w:top w:val="single" w:sz="6" w:space="0" w:color="auto"/>
              <w:left w:val="nil"/>
              <w:right w:val="nil"/>
            </w:tcBorders>
            <w:shd w:val="clear" w:color="auto" w:fill="auto"/>
            <w:vAlign w:val="bottom"/>
          </w:tcPr>
          <w:p w14:paraId="768AFD9E" w14:textId="77777777" w:rsidR="007D56F4" w:rsidRPr="00584BF3" w:rsidRDefault="007D56F4" w:rsidP="00D8256B">
            <w:pPr>
              <w:pStyle w:val="a3"/>
              <w:widowControl/>
              <w:spacing w:line="140" w:lineRule="exact"/>
              <w:ind w:left="0"/>
              <w:jc w:val="center"/>
              <w:rPr>
                <w:sz w:val="16"/>
                <w:szCs w:val="16"/>
                <w:rtl/>
              </w:rPr>
            </w:pPr>
          </w:p>
        </w:tc>
        <w:tc>
          <w:tcPr>
            <w:tcW w:w="680" w:type="dxa"/>
            <w:tcBorders>
              <w:top w:val="single" w:sz="6" w:space="0" w:color="auto"/>
              <w:left w:val="nil"/>
              <w:bottom w:val="single" w:sz="6" w:space="0" w:color="auto"/>
              <w:right w:val="nil"/>
            </w:tcBorders>
            <w:shd w:val="clear" w:color="auto" w:fill="auto"/>
            <w:vAlign w:val="bottom"/>
          </w:tcPr>
          <w:p w14:paraId="4D3083F1" w14:textId="77777777" w:rsidR="007D56F4" w:rsidRPr="00584BF3" w:rsidRDefault="007D56F4" w:rsidP="00584BF3">
            <w:pPr>
              <w:spacing w:line="180" w:lineRule="exact"/>
              <w:jc w:val="center"/>
              <w:rPr>
                <w:sz w:val="16"/>
                <w:szCs w:val="16"/>
                <w:rtl/>
              </w:rPr>
            </w:pPr>
            <w:r w:rsidRPr="00584BF3">
              <w:rPr>
                <w:rFonts w:hint="cs"/>
                <w:sz w:val="16"/>
                <w:szCs w:val="16"/>
                <w:rtl/>
              </w:rPr>
              <w:t>התאמות הנובעות מתרגום דוחות כספיים של פעילויות חוץ</w:t>
            </w:r>
            <w:r w:rsidRPr="00584BF3">
              <w:rPr>
                <w:rStyle w:val="ab"/>
                <w:bCs w:val="0"/>
                <w:sz w:val="16"/>
                <w:szCs w:val="16"/>
                <w:rtl/>
              </w:rPr>
              <w:footnoteReference w:id="47"/>
            </w:r>
          </w:p>
        </w:tc>
        <w:tc>
          <w:tcPr>
            <w:tcW w:w="113" w:type="dxa"/>
            <w:tcBorders>
              <w:top w:val="single" w:sz="6" w:space="0" w:color="auto"/>
              <w:left w:val="nil"/>
              <w:right w:val="nil"/>
            </w:tcBorders>
            <w:shd w:val="clear" w:color="auto" w:fill="auto"/>
            <w:vAlign w:val="bottom"/>
          </w:tcPr>
          <w:p w14:paraId="5942A3F8" w14:textId="77777777" w:rsidR="007D56F4" w:rsidRPr="00584BF3" w:rsidRDefault="007D56F4" w:rsidP="00584BF3">
            <w:pPr>
              <w:spacing w:line="180" w:lineRule="exact"/>
              <w:jc w:val="center"/>
              <w:rPr>
                <w:sz w:val="16"/>
                <w:szCs w:val="16"/>
                <w:rtl/>
              </w:rPr>
            </w:pPr>
          </w:p>
        </w:tc>
        <w:tc>
          <w:tcPr>
            <w:tcW w:w="680" w:type="dxa"/>
            <w:tcBorders>
              <w:top w:val="single" w:sz="6" w:space="0" w:color="auto"/>
              <w:left w:val="nil"/>
              <w:bottom w:val="single" w:sz="6" w:space="0" w:color="auto"/>
              <w:right w:val="nil"/>
            </w:tcBorders>
            <w:shd w:val="clear" w:color="auto" w:fill="auto"/>
            <w:vAlign w:val="bottom"/>
          </w:tcPr>
          <w:p w14:paraId="6C993EC0" w14:textId="6D3251ED" w:rsidR="007D56F4" w:rsidRPr="00584BF3" w:rsidRDefault="00516850" w:rsidP="00584BF3">
            <w:pPr>
              <w:spacing w:line="180" w:lineRule="exact"/>
              <w:jc w:val="center"/>
              <w:rPr>
                <w:sz w:val="16"/>
                <w:szCs w:val="16"/>
                <w:rtl/>
              </w:rPr>
            </w:pPr>
            <w:r w:rsidRPr="00584BF3">
              <w:rPr>
                <w:rFonts w:hint="cs"/>
                <w:sz w:val="16"/>
                <w:szCs w:val="16"/>
                <w:rtl/>
              </w:rPr>
              <w:t>קרן בגין מדידה מחדש בשל תכנית להטבה מוגדרת</w:t>
            </w:r>
          </w:p>
        </w:tc>
        <w:tc>
          <w:tcPr>
            <w:tcW w:w="144" w:type="dxa"/>
            <w:tcBorders>
              <w:left w:val="nil"/>
              <w:right w:val="nil"/>
            </w:tcBorders>
            <w:vAlign w:val="bottom"/>
          </w:tcPr>
          <w:p w14:paraId="4E094DE6" w14:textId="77777777" w:rsidR="007D56F4" w:rsidRPr="00584BF3" w:rsidRDefault="007D56F4" w:rsidP="00D8256B">
            <w:pPr>
              <w:spacing w:line="140" w:lineRule="exact"/>
              <w:jc w:val="center"/>
              <w:rPr>
                <w:sz w:val="16"/>
                <w:szCs w:val="16"/>
              </w:rPr>
            </w:pPr>
          </w:p>
        </w:tc>
        <w:tc>
          <w:tcPr>
            <w:tcW w:w="624" w:type="dxa"/>
            <w:tcBorders>
              <w:left w:val="nil"/>
              <w:bottom w:val="single" w:sz="6" w:space="0" w:color="auto"/>
              <w:right w:val="nil"/>
            </w:tcBorders>
            <w:shd w:val="clear" w:color="auto" w:fill="auto"/>
            <w:vAlign w:val="bottom"/>
          </w:tcPr>
          <w:p w14:paraId="55FE5E06" w14:textId="77777777" w:rsidR="007D56F4" w:rsidRPr="00584BF3" w:rsidRDefault="007D56F4" w:rsidP="00D8256B">
            <w:pPr>
              <w:spacing w:line="140" w:lineRule="exact"/>
              <w:jc w:val="center"/>
              <w:rPr>
                <w:sz w:val="16"/>
                <w:szCs w:val="16"/>
              </w:rPr>
            </w:pPr>
            <w:r w:rsidRPr="00584BF3">
              <w:rPr>
                <w:rFonts w:hint="cs"/>
                <w:sz w:val="16"/>
                <w:szCs w:val="16"/>
                <w:rtl/>
              </w:rPr>
              <w:t>סה"כ</w:t>
            </w:r>
          </w:p>
        </w:tc>
        <w:tc>
          <w:tcPr>
            <w:tcW w:w="113" w:type="dxa"/>
            <w:vAlign w:val="bottom"/>
          </w:tcPr>
          <w:p w14:paraId="1A69F47C" w14:textId="77777777" w:rsidR="007D56F4" w:rsidRPr="00584BF3" w:rsidRDefault="007D56F4" w:rsidP="00D8256B">
            <w:pPr>
              <w:spacing w:line="140" w:lineRule="exact"/>
              <w:jc w:val="center"/>
              <w:rPr>
                <w:sz w:val="16"/>
                <w:szCs w:val="16"/>
              </w:rPr>
            </w:pPr>
          </w:p>
        </w:tc>
        <w:tc>
          <w:tcPr>
            <w:tcW w:w="624" w:type="dxa"/>
            <w:tcBorders>
              <w:left w:val="nil"/>
              <w:bottom w:val="single" w:sz="6" w:space="0" w:color="auto"/>
              <w:right w:val="nil"/>
            </w:tcBorders>
            <w:shd w:val="clear" w:color="auto" w:fill="auto"/>
            <w:vAlign w:val="bottom"/>
          </w:tcPr>
          <w:p w14:paraId="6DD4E687" w14:textId="77777777" w:rsidR="007D56F4" w:rsidRPr="00584BF3" w:rsidRDefault="007D56F4" w:rsidP="00D8256B">
            <w:pPr>
              <w:spacing w:line="140" w:lineRule="exact"/>
              <w:jc w:val="center"/>
              <w:rPr>
                <w:sz w:val="16"/>
                <w:szCs w:val="16"/>
              </w:rPr>
            </w:pPr>
            <w:r w:rsidRPr="00584BF3">
              <w:rPr>
                <w:rFonts w:hint="cs"/>
                <w:sz w:val="16"/>
                <w:szCs w:val="16"/>
                <w:rtl/>
              </w:rPr>
              <w:t>זכויות שאינן מקנות שליטה</w:t>
            </w:r>
          </w:p>
        </w:tc>
        <w:tc>
          <w:tcPr>
            <w:tcW w:w="113" w:type="dxa"/>
            <w:vAlign w:val="bottom"/>
          </w:tcPr>
          <w:p w14:paraId="1B9CACB3" w14:textId="77777777" w:rsidR="007D56F4" w:rsidRPr="00584BF3" w:rsidRDefault="007D56F4" w:rsidP="00D8256B">
            <w:pPr>
              <w:spacing w:line="140" w:lineRule="exact"/>
              <w:jc w:val="center"/>
              <w:rPr>
                <w:sz w:val="16"/>
                <w:szCs w:val="16"/>
              </w:rPr>
            </w:pPr>
          </w:p>
        </w:tc>
        <w:tc>
          <w:tcPr>
            <w:tcW w:w="624" w:type="dxa"/>
            <w:tcBorders>
              <w:left w:val="nil"/>
              <w:bottom w:val="single" w:sz="6" w:space="0" w:color="auto"/>
              <w:right w:val="nil"/>
            </w:tcBorders>
            <w:shd w:val="clear" w:color="auto" w:fill="auto"/>
            <w:vAlign w:val="bottom"/>
          </w:tcPr>
          <w:p w14:paraId="649A18FB" w14:textId="77777777" w:rsidR="007D56F4" w:rsidRPr="00584BF3" w:rsidRDefault="007D56F4" w:rsidP="00D8256B">
            <w:pPr>
              <w:spacing w:line="140" w:lineRule="exact"/>
              <w:jc w:val="center"/>
              <w:rPr>
                <w:sz w:val="16"/>
                <w:szCs w:val="16"/>
                <w:rtl/>
              </w:rPr>
            </w:pPr>
            <w:r w:rsidRPr="00584BF3">
              <w:rPr>
                <w:rFonts w:hint="cs"/>
                <w:sz w:val="16"/>
                <w:szCs w:val="16"/>
                <w:rtl/>
              </w:rPr>
              <w:t>סה"כ</w:t>
            </w:r>
          </w:p>
          <w:p w14:paraId="06BD39BE" w14:textId="77777777" w:rsidR="007D56F4" w:rsidRPr="00584BF3" w:rsidRDefault="007D56F4" w:rsidP="00D8256B">
            <w:pPr>
              <w:spacing w:line="140" w:lineRule="exact"/>
              <w:jc w:val="center"/>
              <w:rPr>
                <w:sz w:val="16"/>
                <w:szCs w:val="16"/>
              </w:rPr>
            </w:pPr>
            <w:r w:rsidRPr="00584BF3">
              <w:rPr>
                <w:rFonts w:hint="cs"/>
                <w:sz w:val="16"/>
                <w:szCs w:val="16"/>
                <w:rtl/>
              </w:rPr>
              <w:t>הון</w:t>
            </w:r>
          </w:p>
        </w:tc>
      </w:tr>
      <w:tr w:rsidR="00924C0D" w:rsidRPr="006A44FC" w14:paraId="0136D5EC" w14:textId="77777777" w:rsidTr="00285250">
        <w:tc>
          <w:tcPr>
            <w:tcW w:w="1009" w:type="dxa"/>
            <w:vAlign w:val="center"/>
          </w:tcPr>
          <w:p w14:paraId="18E50CF4" w14:textId="77777777" w:rsidR="00924C0D" w:rsidRPr="00B21C4E" w:rsidRDefault="00924C0D" w:rsidP="00D8256B">
            <w:pPr>
              <w:pStyle w:val="a3"/>
              <w:bidi w:val="0"/>
              <w:spacing w:line="140" w:lineRule="exact"/>
              <w:ind w:left="0"/>
              <w:jc w:val="right"/>
              <w:rPr>
                <w:b/>
                <w:i/>
                <w:iCs/>
                <w:sz w:val="13"/>
                <w:szCs w:val="13"/>
                <w:u w:val="single"/>
              </w:rPr>
            </w:pPr>
          </w:p>
        </w:tc>
        <w:tc>
          <w:tcPr>
            <w:tcW w:w="2790" w:type="dxa"/>
            <w:vAlign w:val="bottom"/>
          </w:tcPr>
          <w:p w14:paraId="262EA3B7" w14:textId="77777777" w:rsidR="00924C0D" w:rsidRPr="006A44FC" w:rsidRDefault="00924C0D" w:rsidP="00D8256B">
            <w:pPr>
              <w:pStyle w:val="a3"/>
              <w:spacing w:line="140" w:lineRule="exact"/>
              <w:ind w:left="0"/>
              <w:rPr>
                <w:b/>
                <w:sz w:val="16"/>
                <w:szCs w:val="16"/>
                <w:u w:val="single"/>
              </w:rPr>
            </w:pPr>
          </w:p>
        </w:tc>
        <w:tc>
          <w:tcPr>
            <w:tcW w:w="113" w:type="dxa"/>
            <w:vAlign w:val="bottom"/>
          </w:tcPr>
          <w:p w14:paraId="664B6A5C" w14:textId="77777777" w:rsidR="00924C0D" w:rsidRPr="006A44FC" w:rsidRDefault="00924C0D" w:rsidP="00D8256B">
            <w:pPr>
              <w:spacing w:line="140" w:lineRule="exact"/>
              <w:rPr>
                <w:sz w:val="16"/>
                <w:szCs w:val="16"/>
              </w:rPr>
            </w:pPr>
          </w:p>
        </w:tc>
        <w:tc>
          <w:tcPr>
            <w:tcW w:w="12046" w:type="dxa"/>
            <w:gridSpan w:val="32"/>
            <w:tcBorders>
              <w:left w:val="nil"/>
              <w:bottom w:val="single" w:sz="6" w:space="0" w:color="auto"/>
              <w:right w:val="nil"/>
            </w:tcBorders>
            <w:shd w:val="clear" w:color="auto" w:fill="auto"/>
            <w:vAlign w:val="bottom"/>
          </w:tcPr>
          <w:p w14:paraId="763C452D" w14:textId="77777777" w:rsidR="00924C0D" w:rsidRPr="00584BF3" w:rsidRDefault="00924C0D" w:rsidP="00584BF3">
            <w:pPr>
              <w:spacing w:line="180" w:lineRule="exact"/>
              <w:jc w:val="center"/>
              <w:rPr>
                <w:sz w:val="16"/>
                <w:szCs w:val="16"/>
                <w:rtl/>
              </w:rPr>
            </w:pPr>
            <w:r w:rsidRPr="00584BF3">
              <w:rPr>
                <w:rFonts w:hint="cs"/>
                <w:sz w:val="16"/>
                <w:szCs w:val="16"/>
                <w:rtl/>
              </w:rPr>
              <w:t>מבוקר</w:t>
            </w:r>
          </w:p>
        </w:tc>
      </w:tr>
      <w:tr w:rsidR="00924C0D" w:rsidRPr="006A44FC" w14:paraId="40A33FFA" w14:textId="77777777" w:rsidTr="00285250">
        <w:tc>
          <w:tcPr>
            <w:tcW w:w="1009" w:type="dxa"/>
            <w:vAlign w:val="center"/>
          </w:tcPr>
          <w:p w14:paraId="2FB97AE7" w14:textId="77777777" w:rsidR="00924C0D" w:rsidRPr="00B21C4E" w:rsidRDefault="00924C0D" w:rsidP="00D8256B">
            <w:pPr>
              <w:pStyle w:val="a3"/>
              <w:bidi w:val="0"/>
              <w:spacing w:line="140" w:lineRule="exact"/>
              <w:ind w:left="0"/>
              <w:jc w:val="right"/>
              <w:rPr>
                <w:b/>
                <w:i/>
                <w:iCs/>
                <w:sz w:val="13"/>
                <w:szCs w:val="13"/>
                <w:u w:val="single"/>
              </w:rPr>
            </w:pPr>
          </w:p>
        </w:tc>
        <w:tc>
          <w:tcPr>
            <w:tcW w:w="2790" w:type="dxa"/>
            <w:vAlign w:val="bottom"/>
          </w:tcPr>
          <w:p w14:paraId="79ACC449" w14:textId="77777777" w:rsidR="00924C0D" w:rsidRPr="006A44FC" w:rsidRDefault="00924C0D" w:rsidP="00D8256B">
            <w:pPr>
              <w:pStyle w:val="a3"/>
              <w:spacing w:line="140" w:lineRule="exact"/>
              <w:ind w:left="0"/>
              <w:rPr>
                <w:b/>
                <w:sz w:val="16"/>
                <w:szCs w:val="16"/>
                <w:u w:val="single"/>
              </w:rPr>
            </w:pPr>
          </w:p>
        </w:tc>
        <w:tc>
          <w:tcPr>
            <w:tcW w:w="113" w:type="dxa"/>
            <w:vAlign w:val="bottom"/>
          </w:tcPr>
          <w:p w14:paraId="73F31E16" w14:textId="77777777" w:rsidR="00924C0D" w:rsidRPr="006A44FC" w:rsidRDefault="00924C0D" w:rsidP="00D8256B">
            <w:pPr>
              <w:spacing w:line="140" w:lineRule="exact"/>
              <w:rPr>
                <w:sz w:val="16"/>
                <w:szCs w:val="16"/>
              </w:rPr>
            </w:pPr>
          </w:p>
        </w:tc>
        <w:tc>
          <w:tcPr>
            <w:tcW w:w="1396" w:type="dxa"/>
            <w:gridSpan w:val="4"/>
            <w:tcBorders>
              <w:left w:val="nil"/>
              <w:bottom w:val="single" w:sz="6" w:space="0" w:color="auto"/>
              <w:right w:val="nil"/>
            </w:tcBorders>
            <w:shd w:val="clear" w:color="auto" w:fill="auto"/>
            <w:vAlign w:val="bottom"/>
          </w:tcPr>
          <w:p w14:paraId="50D63A70" w14:textId="77777777" w:rsidR="00924C0D" w:rsidRPr="006A44FC" w:rsidRDefault="00924C0D" w:rsidP="00D8256B">
            <w:pPr>
              <w:tabs>
                <w:tab w:val="decimal" w:pos="113"/>
              </w:tabs>
              <w:spacing w:line="140" w:lineRule="exact"/>
              <w:jc w:val="right"/>
              <w:rPr>
                <w:sz w:val="16"/>
                <w:szCs w:val="16"/>
              </w:rPr>
            </w:pPr>
            <w:r w:rsidRPr="009C1B68">
              <w:rPr>
                <w:rFonts w:hint="cs"/>
                <w:i/>
                <w:iCs/>
                <w:sz w:val="14"/>
                <w:szCs w:val="14"/>
              </w:rPr>
              <w:t>I</w:t>
            </w:r>
            <w:r w:rsidRPr="009C1B68">
              <w:rPr>
                <w:i/>
                <w:iCs/>
                <w:sz w:val="14"/>
                <w:szCs w:val="14"/>
              </w:rPr>
              <w:t>AS</w:t>
            </w:r>
            <w:r>
              <w:rPr>
                <w:i/>
                <w:iCs/>
                <w:sz w:val="14"/>
                <w:szCs w:val="14"/>
              </w:rPr>
              <w:t> </w:t>
            </w:r>
            <w:r w:rsidRPr="009C1B68">
              <w:rPr>
                <w:i/>
                <w:iCs/>
                <w:sz w:val="14"/>
                <w:szCs w:val="14"/>
              </w:rPr>
              <w:t>1.51(d), (e)</w:t>
            </w:r>
          </w:p>
        </w:tc>
        <w:tc>
          <w:tcPr>
            <w:tcW w:w="10650" w:type="dxa"/>
            <w:gridSpan w:val="28"/>
            <w:tcBorders>
              <w:left w:val="nil"/>
              <w:bottom w:val="single" w:sz="6" w:space="0" w:color="auto"/>
              <w:right w:val="nil"/>
            </w:tcBorders>
            <w:shd w:val="clear" w:color="auto" w:fill="auto"/>
            <w:vAlign w:val="bottom"/>
          </w:tcPr>
          <w:p w14:paraId="458CABAF" w14:textId="77777777" w:rsidR="00225232" w:rsidRPr="00584BF3" w:rsidRDefault="00924C0D" w:rsidP="00584BF3">
            <w:pPr>
              <w:spacing w:line="180" w:lineRule="exact"/>
              <w:jc w:val="center"/>
              <w:rPr>
                <w:sz w:val="16"/>
                <w:szCs w:val="16"/>
              </w:rPr>
            </w:pPr>
            <w:r w:rsidRPr="00584BF3">
              <w:rPr>
                <w:rFonts w:hint="cs"/>
                <w:sz w:val="16"/>
                <w:szCs w:val="16"/>
                <w:rtl/>
              </w:rPr>
              <w:t>אלפי ש"ח</w:t>
            </w:r>
          </w:p>
        </w:tc>
      </w:tr>
      <w:tr w:rsidR="00844A20" w:rsidRPr="006A44FC" w14:paraId="687BD943" w14:textId="77777777" w:rsidTr="00285250">
        <w:tc>
          <w:tcPr>
            <w:tcW w:w="1009" w:type="dxa"/>
            <w:vAlign w:val="center"/>
          </w:tcPr>
          <w:p w14:paraId="51DA26C5" w14:textId="77777777" w:rsidR="00924C0D" w:rsidRPr="00B21C4E" w:rsidRDefault="00924C0D" w:rsidP="00D8256B">
            <w:pPr>
              <w:pStyle w:val="a3"/>
              <w:bidi w:val="0"/>
              <w:spacing w:line="140" w:lineRule="exact"/>
              <w:ind w:left="0"/>
              <w:jc w:val="right"/>
              <w:rPr>
                <w:b/>
                <w:i/>
                <w:iCs/>
                <w:sz w:val="13"/>
                <w:szCs w:val="13"/>
                <w:u w:val="single"/>
                <w:rtl/>
              </w:rPr>
            </w:pPr>
          </w:p>
        </w:tc>
        <w:tc>
          <w:tcPr>
            <w:tcW w:w="2790" w:type="dxa"/>
            <w:vAlign w:val="bottom"/>
          </w:tcPr>
          <w:p w14:paraId="390E4250" w14:textId="23E7310E" w:rsidR="008D22FA" w:rsidRPr="00D83475" w:rsidRDefault="00D83475" w:rsidP="00285250">
            <w:pPr>
              <w:pStyle w:val="a3"/>
              <w:spacing w:line="140" w:lineRule="exact"/>
              <w:jc w:val="both"/>
              <w:rPr>
                <w:b/>
                <w:sz w:val="16"/>
                <w:szCs w:val="16"/>
                <w:rtl/>
              </w:rPr>
            </w:pPr>
            <w:r w:rsidRPr="00D83475">
              <w:rPr>
                <w:rFonts w:hint="cs"/>
                <w:b/>
                <w:sz w:val="16"/>
                <w:szCs w:val="16"/>
                <w:u w:val="single"/>
                <w:rtl/>
              </w:rPr>
              <w:t>יתרה ליום 1 בינואר,2018</w:t>
            </w:r>
            <w:r w:rsidRPr="00D83475">
              <w:rPr>
                <w:rFonts w:hint="cs"/>
                <w:b/>
                <w:sz w:val="16"/>
                <w:szCs w:val="16"/>
                <w:rtl/>
              </w:rPr>
              <w:t xml:space="preserve"> (מבוקר)</w:t>
            </w:r>
          </w:p>
        </w:tc>
        <w:tc>
          <w:tcPr>
            <w:tcW w:w="113" w:type="dxa"/>
            <w:vAlign w:val="bottom"/>
          </w:tcPr>
          <w:p w14:paraId="7312BC5E" w14:textId="77777777" w:rsidR="00924C0D" w:rsidRPr="006A44FC" w:rsidRDefault="00924C0D" w:rsidP="00D8256B">
            <w:pPr>
              <w:spacing w:line="140" w:lineRule="exact"/>
              <w:rPr>
                <w:sz w:val="16"/>
                <w:szCs w:val="16"/>
              </w:rPr>
            </w:pPr>
          </w:p>
        </w:tc>
        <w:tc>
          <w:tcPr>
            <w:tcW w:w="624" w:type="dxa"/>
            <w:shd w:val="clear" w:color="auto" w:fill="auto"/>
            <w:vAlign w:val="bottom"/>
          </w:tcPr>
          <w:p w14:paraId="30D16307" w14:textId="77777777" w:rsidR="00924C0D" w:rsidRPr="006A44FC" w:rsidRDefault="00924C0D" w:rsidP="00D8256B">
            <w:pPr>
              <w:tabs>
                <w:tab w:val="decimal" w:pos="113"/>
              </w:tabs>
              <w:spacing w:line="140" w:lineRule="exact"/>
              <w:rPr>
                <w:sz w:val="16"/>
                <w:szCs w:val="16"/>
              </w:rPr>
            </w:pPr>
          </w:p>
        </w:tc>
        <w:tc>
          <w:tcPr>
            <w:tcW w:w="113" w:type="dxa"/>
            <w:vAlign w:val="bottom"/>
          </w:tcPr>
          <w:p w14:paraId="6BD0C733"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4376F08E" w14:textId="77777777" w:rsidR="00924C0D" w:rsidRPr="006A44FC" w:rsidRDefault="00924C0D" w:rsidP="00D8256B">
            <w:pPr>
              <w:tabs>
                <w:tab w:val="decimal" w:pos="113"/>
              </w:tabs>
              <w:spacing w:line="140" w:lineRule="exact"/>
              <w:rPr>
                <w:sz w:val="16"/>
                <w:szCs w:val="16"/>
              </w:rPr>
            </w:pPr>
          </w:p>
        </w:tc>
        <w:tc>
          <w:tcPr>
            <w:tcW w:w="113" w:type="dxa"/>
            <w:gridSpan w:val="2"/>
            <w:vAlign w:val="bottom"/>
          </w:tcPr>
          <w:p w14:paraId="44F74955"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5DC5223C" w14:textId="77777777" w:rsidR="00924C0D" w:rsidRPr="006A44FC" w:rsidRDefault="00924C0D" w:rsidP="00D8256B">
            <w:pPr>
              <w:tabs>
                <w:tab w:val="decimal" w:pos="113"/>
              </w:tabs>
              <w:spacing w:line="140" w:lineRule="exact"/>
              <w:rPr>
                <w:sz w:val="16"/>
                <w:szCs w:val="16"/>
              </w:rPr>
            </w:pPr>
          </w:p>
        </w:tc>
        <w:tc>
          <w:tcPr>
            <w:tcW w:w="113" w:type="dxa"/>
          </w:tcPr>
          <w:p w14:paraId="6EBF4843" w14:textId="77777777" w:rsidR="00924C0D" w:rsidRPr="006A44FC" w:rsidRDefault="00924C0D" w:rsidP="00D8256B">
            <w:pPr>
              <w:tabs>
                <w:tab w:val="decimal" w:pos="113"/>
              </w:tabs>
              <w:spacing w:line="140" w:lineRule="exact"/>
              <w:rPr>
                <w:sz w:val="16"/>
                <w:szCs w:val="16"/>
              </w:rPr>
            </w:pPr>
          </w:p>
        </w:tc>
        <w:tc>
          <w:tcPr>
            <w:tcW w:w="680" w:type="dxa"/>
            <w:shd w:val="clear" w:color="auto" w:fill="auto"/>
          </w:tcPr>
          <w:p w14:paraId="3B4424D5" w14:textId="77777777" w:rsidR="00924C0D" w:rsidRPr="006A44FC" w:rsidRDefault="00924C0D" w:rsidP="00D8256B">
            <w:pPr>
              <w:tabs>
                <w:tab w:val="decimal" w:pos="113"/>
              </w:tabs>
              <w:spacing w:line="140" w:lineRule="exact"/>
              <w:rPr>
                <w:sz w:val="16"/>
                <w:szCs w:val="16"/>
              </w:rPr>
            </w:pPr>
          </w:p>
        </w:tc>
        <w:tc>
          <w:tcPr>
            <w:tcW w:w="113" w:type="dxa"/>
          </w:tcPr>
          <w:p w14:paraId="4045C7D6" w14:textId="77777777" w:rsidR="00924C0D" w:rsidRPr="006A44FC" w:rsidRDefault="00924C0D" w:rsidP="00D8256B">
            <w:pPr>
              <w:tabs>
                <w:tab w:val="decimal" w:pos="113"/>
              </w:tabs>
              <w:spacing w:line="140" w:lineRule="exact"/>
              <w:rPr>
                <w:sz w:val="16"/>
                <w:szCs w:val="16"/>
              </w:rPr>
            </w:pPr>
          </w:p>
        </w:tc>
        <w:tc>
          <w:tcPr>
            <w:tcW w:w="624" w:type="dxa"/>
            <w:shd w:val="clear" w:color="auto" w:fill="auto"/>
          </w:tcPr>
          <w:p w14:paraId="50102905" w14:textId="77777777" w:rsidR="00924C0D" w:rsidRPr="006A44FC" w:rsidRDefault="00924C0D" w:rsidP="00D8256B">
            <w:pPr>
              <w:tabs>
                <w:tab w:val="decimal" w:pos="113"/>
              </w:tabs>
              <w:spacing w:line="140" w:lineRule="exact"/>
              <w:rPr>
                <w:sz w:val="16"/>
                <w:szCs w:val="16"/>
              </w:rPr>
            </w:pPr>
          </w:p>
        </w:tc>
        <w:tc>
          <w:tcPr>
            <w:tcW w:w="113" w:type="dxa"/>
            <w:vAlign w:val="bottom"/>
          </w:tcPr>
          <w:p w14:paraId="17027B36"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553D8AA7" w14:textId="77777777" w:rsidR="00924C0D" w:rsidRPr="006A44FC" w:rsidRDefault="00924C0D" w:rsidP="00D8256B">
            <w:pPr>
              <w:tabs>
                <w:tab w:val="decimal" w:pos="113"/>
              </w:tabs>
              <w:spacing w:line="140" w:lineRule="exact"/>
              <w:rPr>
                <w:sz w:val="16"/>
                <w:szCs w:val="16"/>
              </w:rPr>
            </w:pPr>
          </w:p>
        </w:tc>
        <w:tc>
          <w:tcPr>
            <w:tcW w:w="113" w:type="dxa"/>
            <w:vAlign w:val="bottom"/>
          </w:tcPr>
          <w:p w14:paraId="34FCFFD0"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68EE8B8D" w14:textId="77777777" w:rsidR="00924C0D" w:rsidRPr="006A44FC" w:rsidRDefault="00924C0D" w:rsidP="00D8256B">
            <w:pPr>
              <w:tabs>
                <w:tab w:val="decimal" w:pos="113"/>
              </w:tabs>
              <w:spacing w:line="140" w:lineRule="exact"/>
              <w:rPr>
                <w:sz w:val="16"/>
                <w:szCs w:val="16"/>
              </w:rPr>
            </w:pPr>
          </w:p>
        </w:tc>
        <w:tc>
          <w:tcPr>
            <w:tcW w:w="113" w:type="dxa"/>
            <w:vAlign w:val="bottom"/>
          </w:tcPr>
          <w:p w14:paraId="226C9AE2"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3B7E90D7" w14:textId="77777777" w:rsidR="00924C0D" w:rsidRPr="006A44FC" w:rsidRDefault="00924C0D" w:rsidP="00D8256B">
            <w:pPr>
              <w:tabs>
                <w:tab w:val="decimal" w:pos="113"/>
              </w:tabs>
              <w:spacing w:line="140" w:lineRule="exact"/>
              <w:rPr>
                <w:sz w:val="16"/>
                <w:szCs w:val="16"/>
              </w:rPr>
            </w:pPr>
          </w:p>
        </w:tc>
        <w:tc>
          <w:tcPr>
            <w:tcW w:w="113" w:type="dxa"/>
            <w:vAlign w:val="bottom"/>
          </w:tcPr>
          <w:p w14:paraId="01875F8D" w14:textId="77777777" w:rsidR="00924C0D" w:rsidRPr="006A44FC" w:rsidRDefault="00924C0D" w:rsidP="00D8256B">
            <w:pPr>
              <w:tabs>
                <w:tab w:val="decimal" w:pos="113"/>
              </w:tabs>
              <w:spacing w:line="140" w:lineRule="exact"/>
              <w:rPr>
                <w:sz w:val="16"/>
                <w:szCs w:val="16"/>
              </w:rPr>
            </w:pPr>
          </w:p>
        </w:tc>
        <w:tc>
          <w:tcPr>
            <w:tcW w:w="680" w:type="dxa"/>
            <w:shd w:val="clear" w:color="auto" w:fill="auto"/>
            <w:vAlign w:val="bottom"/>
          </w:tcPr>
          <w:p w14:paraId="416956B9" w14:textId="77777777" w:rsidR="00924C0D" w:rsidRPr="006A44FC" w:rsidRDefault="00924C0D" w:rsidP="00D8256B">
            <w:pPr>
              <w:tabs>
                <w:tab w:val="decimal" w:pos="113"/>
              </w:tabs>
              <w:spacing w:line="140" w:lineRule="exact"/>
              <w:rPr>
                <w:sz w:val="16"/>
                <w:szCs w:val="16"/>
              </w:rPr>
            </w:pPr>
          </w:p>
        </w:tc>
        <w:tc>
          <w:tcPr>
            <w:tcW w:w="113" w:type="dxa"/>
            <w:shd w:val="clear" w:color="auto" w:fill="auto"/>
            <w:vAlign w:val="bottom"/>
          </w:tcPr>
          <w:p w14:paraId="0130E163" w14:textId="77777777" w:rsidR="00924C0D" w:rsidRPr="006A44FC" w:rsidRDefault="00924C0D" w:rsidP="00D8256B">
            <w:pPr>
              <w:tabs>
                <w:tab w:val="decimal" w:pos="113"/>
              </w:tabs>
              <w:spacing w:line="140" w:lineRule="exact"/>
              <w:rPr>
                <w:sz w:val="16"/>
                <w:szCs w:val="16"/>
              </w:rPr>
            </w:pPr>
          </w:p>
        </w:tc>
        <w:tc>
          <w:tcPr>
            <w:tcW w:w="680" w:type="dxa"/>
            <w:shd w:val="clear" w:color="auto" w:fill="auto"/>
            <w:vAlign w:val="bottom"/>
          </w:tcPr>
          <w:p w14:paraId="4B433A4D" w14:textId="77777777" w:rsidR="00924C0D" w:rsidRPr="006A44FC" w:rsidRDefault="00924C0D" w:rsidP="00D8256B">
            <w:pPr>
              <w:tabs>
                <w:tab w:val="decimal" w:pos="113"/>
              </w:tabs>
              <w:spacing w:line="140" w:lineRule="exact"/>
              <w:rPr>
                <w:sz w:val="16"/>
                <w:szCs w:val="16"/>
              </w:rPr>
            </w:pPr>
          </w:p>
        </w:tc>
        <w:tc>
          <w:tcPr>
            <w:tcW w:w="113" w:type="dxa"/>
            <w:shd w:val="clear" w:color="auto" w:fill="auto"/>
            <w:vAlign w:val="bottom"/>
          </w:tcPr>
          <w:p w14:paraId="6D2083AC" w14:textId="77777777" w:rsidR="00924C0D" w:rsidRPr="006A44FC" w:rsidRDefault="00924C0D" w:rsidP="00D8256B">
            <w:pPr>
              <w:tabs>
                <w:tab w:val="decimal" w:pos="113"/>
              </w:tabs>
              <w:spacing w:line="140" w:lineRule="exact"/>
              <w:rPr>
                <w:sz w:val="16"/>
                <w:szCs w:val="16"/>
              </w:rPr>
            </w:pPr>
          </w:p>
        </w:tc>
        <w:tc>
          <w:tcPr>
            <w:tcW w:w="680" w:type="dxa"/>
            <w:shd w:val="clear" w:color="auto" w:fill="auto"/>
            <w:vAlign w:val="bottom"/>
          </w:tcPr>
          <w:p w14:paraId="136851C7" w14:textId="77777777" w:rsidR="00924C0D" w:rsidRPr="006A44FC" w:rsidRDefault="00924C0D" w:rsidP="00D8256B">
            <w:pPr>
              <w:tabs>
                <w:tab w:val="decimal" w:pos="113"/>
              </w:tabs>
              <w:spacing w:line="140" w:lineRule="exact"/>
              <w:rPr>
                <w:sz w:val="16"/>
                <w:szCs w:val="16"/>
              </w:rPr>
            </w:pPr>
          </w:p>
        </w:tc>
        <w:tc>
          <w:tcPr>
            <w:tcW w:w="113" w:type="dxa"/>
            <w:shd w:val="clear" w:color="auto" w:fill="auto"/>
            <w:vAlign w:val="bottom"/>
          </w:tcPr>
          <w:p w14:paraId="2415EF2D" w14:textId="77777777" w:rsidR="00924C0D" w:rsidRPr="006A44FC" w:rsidRDefault="00924C0D" w:rsidP="00D8256B">
            <w:pPr>
              <w:tabs>
                <w:tab w:val="decimal" w:pos="113"/>
              </w:tabs>
              <w:spacing w:line="140" w:lineRule="exact"/>
              <w:rPr>
                <w:sz w:val="16"/>
                <w:szCs w:val="16"/>
              </w:rPr>
            </w:pPr>
          </w:p>
        </w:tc>
        <w:tc>
          <w:tcPr>
            <w:tcW w:w="680" w:type="dxa"/>
            <w:shd w:val="clear" w:color="auto" w:fill="auto"/>
            <w:vAlign w:val="bottom"/>
          </w:tcPr>
          <w:p w14:paraId="78854771" w14:textId="77777777" w:rsidR="00924C0D" w:rsidRPr="006A44FC" w:rsidRDefault="00924C0D" w:rsidP="00D8256B">
            <w:pPr>
              <w:tabs>
                <w:tab w:val="decimal" w:pos="113"/>
              </w:tabs>
              <w:spacing w:line="140" w:lineRule="exact"/>
              <w:rPr>
                <w:sz w:val="16"/>
                <w:szCs w:val="16"/>
              </w:rPr>
            </w:pPr>
          </w:p>
        </w:tc>
        <w:tc>
          <w:tcPr>
            <w:tcW w:w="113" w:type="dxa"/>
            <w:shd w:val="clear" w:color="auto" w:fill="auto"/>
            <w:vAlign w:val="bottom"/>
          </w:tcPr>
          <w:p w14:paraId="2C12BFCD" w14:textId="77777777" w:rsidR="00924C0D" w:rsidRPr="006A44FC" w:rsidRDefault="00924C0D" w:rsidP="00D8256B">
            <w:pPr>
              <w:tabs>
                <w:tab w:val="decimal" w:pos="113"/>
              </w:tabs>
              <w:spacing w:line="140" w:lineRule="exact"/>
              <w:rPr>
                <w:sz w:val="16"/>
                <w:szCs w:val="16"/>
              </w:rPr>
            </w:pPr>
          </w:p>
        </w:tc>
        <w:tc>
          <w:tcPr>
            <w:tcW w:w="680" w:type="dxa"/>
            <w:shd w:val="clear" w:color="auto" w:fill="auto"/>
            <w:vAlign w:val="bottom"/>
          </w:tcPr>
          <w:p w14:paraId="6654D7CA" w14:textId="77777777" w:rsidR="00924C0D" w:rsidRPr="006A44FC" w:rsidRDefault="00924C0D" w:rsidP="00D8256B">
            <w:pPr>
              <w:tabs>
                <w:tab w:val="decimal" w:pos="113"/>
              </w:tabs>
              <w:spacing w:line="140" w:lineRule="exact"/>
              <w:rPr>
                <w:sz w:val="16"/>
                <w:szCs w:val="16"/>
              </w:rPr>
            </w:pPr>
          </w:p>
        </w:tc>
        <w:tc>
          <w:tcPr>
            <w:tcW w:w="144" w:type="dxa"/>
            <w:vAlign w:val="bottom"/>
          </w:tcPr>
          <w:p w14:paraId="5FE742B0"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45F63FC4" w14:textId="77777777" w:rsidR="00924C0D" w:rsidRPr="006A44FC" w:rsidRDefault="00924C0D" w:rsidP="00D8256B">
            <w:pPr>
              <w:tabs>
                <w:tab w:val="decimal" w:pos="113"/>
              </w:tabs>
              <w:spacing w:line="140" w:lineRule="exact"/>
              <w:rPr>
                <w:sz w:val="16"/>
                <w:szCs w:val="16"/>
              </w:rPr>
            </w:pPr>
          </w:p>
        </w:tc>
        <w:tc>
          <w:tcPr>
            <w:tcW w:w="113" w:type="dxa"/>
            <w:vAlign w:val="bottom"/>
          </w:tcPr>
          <w:p w14:paraId="12F91647"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78D84D9F" w14:textId="77777777" w:rsidR="00924C0D" w:rsidRPr="006A44FC" w:rsidRDefault="00924C0D" w:rsidP="00D8256B">
            <w:pPr>
              <w:tabs>
                <w:tab w:val="decimal" w:pos="113"/>
              </w:tabs>
              <w:spacing w:line="140" w:lineRule="exact"/>
              <w:rPr>
                <w:sz w:val="16"/>
                <w:szCs w:val="16"/>
              </w:rPr>
            </w:pPr>
          </w:p>
        </w:tc>
        <w:tc>
          <w:tcPr>
            <w:tcW w:w="113" w:type="dxa"/>
          </w:tcPr>
          <w:p w14:paraId="1D26D6EF" w14:textId="77777777" w:rsidR="00924C0D" w:rsidRPr="006A44FC" w:rsidRDefault="00924C0D" w:rsidP="00D8256B">
            <w:pPr>
              <w:tabs>
                <w:tab w:val="decimal" w:pos="113"/>
              </w:tabs>
              <w:spacing w:line="140" w:lineRule="exact"/>
              <w:rPr>
                <w:sz w:val="16"/>
                <w:szCs w:val="16"/>
              </w:rPr>
            </w:pPr>
          </w:p>
        </w:tc>
        <w:tc>
          <w:tcPr>
            <w:tcW w:w="624" w:type="dxa"/>
            <w:shd w:val="clear" w:color="auto" w:fill="auto"/>
          </w:tcPr>
          <w:p w14:paraId="76104033" w14:textId="77777777" w:rsidR="00924C0D" w:rsidRPr="006A44FC" w:rsidRDefault="00924C0D" w:rsidP="00D8256B">
            <w:pPr>
              <w:tabs>
                <w:tab w:val="decimal" w:pos="113"/>
              </w:tabs>
              <w:spacing w:line="140" w:lineRule="exact"/>
              <w:rPr>
                <w:sz w:val="16"/>
                <w:szCs w:val="16"/>
              </w:rPr>
            </w:pPr>
          </w:p>
        </w:tc>
      </w:tr>
      <w:tr w:rsidR="00285250" w:rsidRPr="006A44FC" w14:paraId="12A7E16C" w14:textId="77777777" w:rsidTr="00285250">
        <w:tc>
          <w:tcPr>
            <w:tcW w:w="1009" w:type="dxa"/>
            <w:vAlign w:val="center"/>
          </w:tcPr>
          <w:p w14:paraId="0C539E3C" w14:textId="77777777" w:rsidR="00285250" w:rsidRPr="00B21C4E" w:rsidRDefault="00285250" w:rsidP="00285250">
            <w:pPr>
              <w:pStyle w:val="a3"/>
              <w:widowControl/>
              <w:spacing w:line="140" w:lineRule="exact"/>
              <w:ind w:left="0"/>
              <w:jc w:val="right"/>
              <w:rPr>
                <w:b/>
                <w:i/>
                <w:iCs/>
                <w:sz w:val="13"/>
                <w:szCs w:val="13"/>
                <w:u w:val="single"/>
                <w:rtl/>
              </w:rPr>
            </w:pPr>
          </w:p>
        </w:tc>
        <w:tc>
          <w:tcPr>
            <w:tcW w:w="2790" w:type="dxa"/>
            <w:vAlign w:val="bottom"/>
          </w:tcPr>
          <w:p w14:paraId="7EEA2C79" w14:textId="60130695" w:rsidR="00285250" w:rsidRPr="00285250" w:rsidRDefault="00285250" w:rsidP="00285250">
            <w:pPr>
              <w:pStyle w:val="a3"/>
              <w:spacing w:line="140" w:lineRule="exact"/>
              <w:jc w:val="both"/>
              <w:rPr>
                <w:b/>
                <w:sz w:val="16"/>
                <w:szCs w:val="16"/>
                <w:rtl/>
              </w:rPr>
            </w:pPr>
            <w:r w:rsidRPr="00285250">
              <w:rPr>
                <w:rFonts w:hint="cs"/>
                <w:b/>
                <w:sz w:val="16"/>
                <w:szCs w:val="16"/>
                <w:rtl/>
              </w:rPr>
              <w:t xml:space="preserve">השפעה מצטברת כתוצאה מאימוץ לראשונה של </w:t>
            </w:r>
            <w:r w:rsidRPr="00285250">
              <w:rPr>
                <w:rFonts w:hint="cs"/>
                <w:bCs/>
                <w:sz w:val="16"/>
                <w:szCs w:val="16"/>
              </w:rPr>
              <w:t>IFRS 15</w:t>
            </w:r>
            <w:r w:rsidRPr="00285250">
              <w:rPr>
                <w:rFonts w:hint="cs"/>
                <w:b/>
                <w:sz w:val="16"/>
                <w:szCs w:val="16"/>
                <w:rtl/>
              </w:rPr>
              <w:t xml:space="preserve"> ליום 1 בינואר 2018 </w:t>
            </w:r>
          </w:p>
        </w:tc>
        <w:tc>
          <w:tcPr>
            <w:tcW w:w="113" w:type="dxa"/>
            <w:vAlign w:val="bottom"/>
          </w:tcPr>
          <w:p w14:paraId="78B92580" w14:textId="77777777" w:rsidR="00285250" w:rsidRPr="006A44FC" w:rsidRDefault="00285250" w:rsidP="00285250">
            <w:pPr>
              <w:widowControl/>
              <w:spacing w:line="140" w:lineRule="exact"/>
              <w:rPr>
                <w:sz w:val="16"/>
                <w:szCs w:val="16"/>
              </w:rPr>
            </w:pPr>
          </w:p>
        </w:tc>
        <w:tc>
          <w:tcPr>
            <w:tcW w:w="624" w:type="dxa"/>
            <w:shd w:val="clear" w:color="auto" w:fill="auto"/>
            <w:vAlign w:val="bottom"/>
          </w:tcPr>
          <w:p w14:paraId="71E08FF7"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4EFFE94C"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AA5D81C" w14:textId="77777777" w:rsidR="00285250" w:rsidRPr="006A44FC" w:rsidRDefault="00285250" w:rsidP="00285250">
            <w:pPr>
              <w:widowControl/>
              <w:tabs>
                <w:tab w:val="decimal" w:pos="113"/>
              </w:tabs>
              <w:spacing w:line="140" w:lineRule="exact"/>
              <w:rPr>
                <w:sz w:val="16"/>
                <w:szCs w:val="16"/>
              </w:rPr>
            </w:pPr>
          </w:p>
        </w:tc>
        <w:tc>
          <w:tcPr>
            <w:tcW w:w="113" w:type="dxa"/>
            <w:gridSpan w:val="2"/>
            <w:vAlign w:val="bottom"/>
          </w:tcPr>
          <w:p w14:paraId="5760794C"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2B1A2B42" w14:textId="77777777" w:rsidR="00285250" w:rsidRPr="006A44FC" w:rsidRDefault="00285250" w:rsidP="00285250">
            <w:pPr>
              <w:widowControl/>
              <w:tabs>
                <w:tab w:val="decimal" w:pos="113"/>
              </w:tabs>
              <w:spacing w:line="140" w:lineRule="exact"/>
              <w:rPr>
                <w:sz w:val="16"/>
                <w:szCs w:val="16"/>
              </w:rPr>
            </w:pPr>
          </w:p>
        </w:tc>
        <w:tc>
          <w:tcPr>
            <w:tcW w:w="113" w:type="dxa"/>
          </w:tcPr>
          <w:p w14:paraId="25FA43DE"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tcPr>
          <w:p w14:paraId="0D0A5AAB" w14:textId="77777777" w:rsidR="00285250" w:rsidRPr="006A44FC" w:rsidRDefault="00285250" w:rsidP="00285250">
            <w:pPr>
              <w:widowControl/>
              <w:tabs>
                <w:tab w:val="decimal" w:pos="113"/>
              </w:tabs>
              <w:spacing w:line="140" w:lineRule="exact"/>
              <w:rPr>
                <w:sz w:val="16"/>
                <w:szCs w:val="16"/>
              </w:rPr>
            </w:pPr>
          </w:p>
        </w:tc>
        <w:tc>
          <w:tcPr>
            <w:tcW w:w="113" w:type="dxa"/>
          </w:tcPr>
          <w:p w14:paraId="6144FC61"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tcPr>
          <w:p w14:paraId="2E93002A"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87A0673"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5C5656A6"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7746F538"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783A5A27"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71A19143"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5E4EA45C"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0A04425B"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607243DF"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1AA29F4D"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6BC605EA"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26DDE403"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29810043"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54F3D485"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292CC56A"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359E37D8"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11D12620" w14:textId="77777777" w:rsidR="00285250" w:rsidRPr="006A44FC" w:rsidRDefault="00285250" w:rsidP="00285250">
            <w:pPr>
              <w:widowControl/>
              <w:tabs>
                <w:tab w:val="decimal" w:pos="113"/>
              </w:tabs>
              <w:spacing w:line="140" w:lineRule="exact"/>
              <w:rPr>
                <w:sz w:val="16"/>
                <w:szCs w:val="16"/>
              </w:rPr>
            </w:pPr>
          </w:p>
        </w:tc>
        <w:tc>
          <w:tcPr>
            <w:tcW w:w="144" w:type="dxa"/>
            <w:vAlign w:val="bottom"/>
          </w:tcPr>
          <w:p w14:paraId="1FB04622"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87F5C25"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8FED074"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28FEA40" w14:textId="77777777" w:rsidR="00285250" w:rsidRPr="006A44FC" w:rsidRDefault="00285250" w:rsidP="00285250">
            <w:pPr>
              <w:widowControl/>
              <w:tabs>
                <w:tab w:val="decimal" w:pos="113"/>
              </w:tabs>
              <w:spacing w:line="140" w:lineRule="exact"/>
              <w:rPr>
                <w:sz w:val="16"/>
                <w:szCs w:val="16"/>
              </w:rPr>
            </w:pPr>
          </w:p>
        </w:tc>
        <w:tc>
          <w:tcPr>
            <w:tcW w:w="113" w:type="dxa"/>
          </w:tcPr>
          <w:p w14:paraId="261A799C"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tcPr>
          <w:p w14:paraId="60B81FC6" w14:textId="77777777" w:rsidR="00285250" w:rsidRPr="006A44FC" w:rsidRDefault="00285250" w:rsidP="00285250">
            <w:pPr>
              <w:widowControl/>
              <w:tabs>
                <w:tab w:val="decimal" w:pos="113"/>
              </w:tabs>
              <w:spacing w:line="140" w:lineRule="exact"/>
              <w:rPr>
                <w:sz w:val="16"/>
                <w:szCs w:val="16"/>
              </w:rPr>
            </w:pPr>
          </w:p>
        </w:tc>
      </w:tr>
      <w:tr w:rsidR="00285250" w:rsidRPr="006A44FC" w14:paraId="730070E2" w14:textId="77777777" w:rsidTr="00285250">
        <w:tc>
          <w:tcPr>
            <w:tcW w:w="1009" w:type="dxa"/>
            <w:vAlign w:val="center"/>
          </w:tcPr>
          <w:p w14:paraId="27FD0E8C" w14:textId="77777777" w:rsidR="00285250" w:rsidRPr="00B21C4E" w:rsidRDefault="00285250" w:rsidP="00285250">
            <w:pPr>
              <w:pStyle w:val="a3"/>
              <w:widowControl/>
              <w:spacing w:line="140" w:lineRule="exact"/>
              <w:ind w:left="0"/>
              <w:jc w:val="right"/>
              <w:rPr>
                <w:b/>
                <w:i/>
                <w:iCs/>
                <w:sz w:val="13"/>
                <w:szCs w:val="13"/>
                <w:u w:val="single"/>
                <w:rtl/>
              </w:rPr>
            </w:pPr>
          </w:p>
        </w:tc>
        <w:tc>
          <w:tcPr>
            <w:tcW w:w="2790" w:type="dxa"/>
            <w:vAlign w:val="bottom"/>
          </w:tcPr>
          <w:p w14:paraId="3223DA24" w14:textId="54F061BD" w:rsidR="00285250" w:rsidRPr="00285250" w:rsidRDefault="00285250" w:rsidP="00285250">
            <w:pPr>
              <w:pStyle w:val="a3"/>
              <w:spacing w:line="140" w:lineRule="exact"/>
              <w:jc w:val="both"/>
              <w:rPr>
                <w:b/>
                <w:sz w:val="16"/>
                <w:szCs w:val="16"/>
                <w:rtl/>
              </w:rPr>
            </w:pPr>
            <w:r w:rsidRPr="00285250">
              <w:rPr>
                <w:rFonts w:hint="cs"/>
                <w:b/>
                <w:sz w:val="16"/>
                <w:szCs w:val="16"/>
                <w:rtl/>
              </w:rPr>
              <w:t xml:space="preserve">השפעה מצטברת כתוצאה מאימוץ לראשונה של </w:t>
            </w:r>
            <w:r w:rsidRPr="00285250">
              <w:rPr>
                <w:rFonts w:hint="cs"/>
                <w:bCs/>
                <w:sz w:val="16"/>
                <w:szCs w:val="16"/>
              </w:rPr>
              <w:t xml:space="preserve">IFRS </w:t>
            </w:r>
            <w:r w:rsidRPr="00285250">
              <w:rPr>
                <w:bCs/>
                <w:sz w:val="16"/>
                <w:szCs w:val="16"/>
              </w:rPr>
              <w:t>9</w:t>
            </w:r>
            <w:r w:rsidRPr="00285250">
              <w:rPr>
                <w:rFonts w:hint="cs"/>
                <w:b/>
                <w:sz w:val="16"/>
                <w:szCs w:val="16"/>
                <w:rtl/>
              </w:rPr>
              <w:t xml:space="preserve"> ליום 1 בינואר 2018 </w:t>
            </w:r>
          </w:p>
        </w:tc>
        <w:tc>
          <w:tcPr>
            <w:tcW w:w="113" w:type="dxa"/>
            <w:vAlign w:val="bottom"/>
          </w:tcPr>
          <w:p w14:paraId="24746348" w14:textId="77777777" w:rsidR="00285250" w:rsidRPr="006A44FC" w:rsidRDefault="00285250" w:rsidP="00285250">
            <w:pPr>
              <w:widowControl/>
              <w:spacing w:line="140" w:lineRule="exact"/>
              <w:rPr>
                <w:sz w:val="16"/>
                <w:szCs w:val="16"/>
              </w:rPr>
            </w:pPr>
          </w:p>
        </w:tc>
        <w:tc>
          <w:tcPr>
            <w:tcW w:w="624" w:type="dxa"/>
            <w:shd w:val="clear" w:color="auto" w:fill="auto"/>
            <w:vAlign w:val="bottom"/>
          </w:tcPr>
          <w:p w14:paraId="20119095"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CE46C49"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21B0349" w14:textId="77777777" w:rsidR="00285250" w:rsidRPr="006A44FC" w:rsidRDefault="00285250" w:rsidP="00285250">
            <w:pPr>
              <w:widowControl/>
              <w:tabs>
                <w:tab w:val="decimal" w:pos="113"/>
              </w:tabs>
              <w:spacing w:line="140" w:lineRule="exact"/>
              <w:rPr>
                <w:sz w:val="16"/>
                <w:szCs w:val="16"/>
              </w:rPr>
            </w:pPr>
          </w:p>
        </w:tc>
        <w:tc>
          <w:tcPr>
            <w:tcW w:w="113" w:type="dxa"/>
            <w:gridSpan w:val="2"/>
            <w:vAlign w:val="bottom"/>
          </w:tcPr>
          <w:p w14:paraId="2159EE66"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121B8198" w14:textId="77777777" w:rsidR="00285250" w:rsidRPr="006A44FC" w:rsidRDefault="00285250" w:rsidP="00285250">
            <w:pPr>
              <w:widowControl/>
              <w:tabs>
                <w:tab w:val="decimal" w:pos="113"/>
              </w:tabs>
              <w:spacing w:line="140" w:lineRule="exact"/>
              <w:rPr>
                <w:sz w:val="16"/>
                <w:szCs w:val="16"/>
              </w:rPr>
            </w:pPr>
          </w:p>
        </w:tc>
        <w:tc>
          <w:tcPr>
            <w:tcW w:w="113" w:type="dxa"/>
          </w:tcPr>
          <w:p w14:paraId="44476315"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tcPr>
          <w:p w14:paraId="01B105AF" w14:textId="77777777" w:rsidR="00285250" w:rsidRPr="006A44FC" w:rsidRDefault="00285250" w:rsidP="00285250">
            <w:pPr>
              <w:widowControl/>
              <w:tabs>
                <w:tab w:val="decimal" w:pos="113"/>
              </w:tabs>
              <w:spacing w:line="140" w:lineRule="exact"/>
              <w:rPr>
                <w:sz w:val="16"/>
                <w:szCs w:val="16"/>
              </w:rPr>
            </w:pPr>
          </w:p>
        </w:tc>
        <w:tc>
          <w:tcPr>
            <w:tcW w:w="113" w:type="dxa"/>
          </w:tcPr>
          <w:p w14:paraId="7F33B102"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tcPr>
          <w:p w14:paraId="7D1AA0E5"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019B7C30"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4F7EED1"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7691964D"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A3FED20"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1178C6DC"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61719E6B"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ED7470F"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03CE02A3"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1147E82E"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0EA2F2B3"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1C45632B"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2CFA2D8E"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14B27EA0"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1EB07208"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72134F55"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69D75315" w14:textId="77777777" w:rsidR="00285250" w:rsidRPr="006A44FC" w:rsidRDefault="00285250" w:rsidP="00285250">
            <w:pPr>
              <w:widowControl/>
              <w:tabs>
                <w:tab w:val="decimal" w:pos="113"/>
              </w:tabs>
              <w:spacing w:line="140" w:lineRule="exact"/>
              <w:rPr>
                <w:sz w:val="16"/>
                <w:szCs w:val="16"/>
              </w:rPr>
            </w:pPr>
          </w:p>
        </w:tc>
        <w:tc>
          <w:tcPr>
            <w:tcW w:w="144" w:type="dxa"/>
            <w:vAlign w:val="bottom"/>
          </w:tcPr>
          <w:p w14:paraId="049B395B"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51F3FAAD"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17E4958B"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3749AF0B" w14:textId="77777777" w:rsidR="00285250" w:rsidRPr="006A44FC" w:rsidRDefault="00285250" w:rsidP="00285250">
            <w:pPr>
              <w:widowControl/>
              <w:tabs>
                <w:tab w:val="decimal" w:pos="113"/>
              </w:tabs>
              <w:spacing w:line="140" w:lineRule="exact"/>
              <w:rPr>
                <w:sz w:val="16"/>
                <w:szCs w:val="16"/>
              </w:rPr>
            </w:pPr>
          </w:p>
        </w:tc>
        <w:tc>
          <w:tcPr>
            <w:tcW w:w="113" w:type="dxa"/>
          </w:tcPr>
          <w:p w14:paraId="20CCFFA8"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tcPr>
          <w:p w14:paraId="73788E85" w14:textId="77777777" w:rsidR="00285250" w:rsidRPr="006A44FC" w:rsidRDefault="00285250" w:rsidP="00285250">
            <w:pPr>
              <w:widowControl/>
              <w:tabs>
                <w:tab w:val="decimal" w:pos="113"/>
              </w:tabs>
              <w:spacing w:line="140" w:lineRule="exact"/>
              <w:rPr>
                <w:sz w:val="16"/>
                <w:szCs w:val="16"/>
              </w:rPr>
            </w:pPr>
          </w:p>
        </w:tc>
      </w:tr>
      <w:tr w:rsidR="00285250" w:rsidRPr="006A44FC" w14:paraId="7C3238AF" w14:textId="77777777" w:rsidTr="00285250">
        <w:tc>
          <w:tcPr>
            <w:tcW w:w="1009" w:type="dxa"/>
            <w:vAlign w:val="center"/>
          </w:tcPr>
          <w:p w14:paraId="72F795F2" w14:textId="77777777" w:rsidR="00285250" w:rsidRPr="00B21C4E" w:rsidRDefault="00285250" w:rsidP="00285250">
            <w:pPr>
              <w:pStyle w:val="a3"/>
              <w:widowControl/>
              <w:spacing w:line="140" w:lineRule="exact"/>
              <w:ind w:left="0"/>
              <w:jc w:val="right"/>
              <w:rPr>
                <w:b/>
                <w:i/>
                <w:iCs/>
                <w:sz w:val="13"/>
                <w:szCs w:val="13"/>
                <w:u w:val="single"/>
                <w:rtl/>
              </w:rPr>
            </w:pPr>
          </w:p>
        </w:tc>
        <w:tc>
          <w:tcPr>
            <w:tcW w:w="2790" w:type="dxa"/>
            <w:vAlign w:val="bottom"/>
          </w:tcPr>
          <w:p w14:paraId="1F404AE5" w14:textId="24E260CF" w:rsidR="00285250" w:rsidRPr="00285250" w:rsidRDefault="00285250" w:rsidP="00285250">
            <w:pPr>
              <w:pStyle w:val="a3"/>
              <w:spacing w:line="140" w:lineRule="exact"/>
              <w:jc w:val="both"/>
              <w:rPr>
                <w:b/>
                <w:sz w:val="16"/>
                <w:szCs w:val="16"/>
                <w:rtl/>
              </w:rPr>
            </w:pPr>
            <w:r w:rsidRPr="00285250">
              <w:rPr>
                <w:rFonts w:hint="cs"/>
                <w:b/>
                <w:sz w:val="16"/>
                <w:szCs w:val="16"/>
                <w:rtl/>
              </w:rPr>
              <w:t xml:space="preserve">יתרה ליום 1 בינואר 2018 (לאחר אימוץ לראשונה של </w:t>
            </w:r>
            <w:r w:rsidRPr="00285250">
              <w:rPr>
                <w:rFonts w:hint="cs"/>
                <w:bCs/>
                <w:sz w:val="16"/>
                <w:szCs w:val="16"/>
              </w:rPr>
              <w:t>IFRS 15</w:t>
            </w:r>
            <w:r w:rsidRPr="00285250">
              <w:rPr>
                <w:bCs/>
                <w:sz w:val="16"/>
                <w:szCs w:val="16"/>
              </w:rPr>
              <w:t xml:space="preserve"> </w:t>
            </w:r>
            <w:r w:rsidRPr="00285250">
              <w:rPr>
                <w:rFonts w:hint="cs"/>
                <w:bCs/>
                <w:sz w:val="16"/>
                <w:szCs w:val="16"/>
                <w:rtl/>
              </w:rPr>
              <w:t xml:space="preserve"> ו- </w:t>
            </w:r>
            <w:r w:rsidRPr="00285250">
              <w:rPr>
                <w:rFonts w:hint="cs"/>
                <w:bCs/>
                <w:sz w:val="16"/>
                <w:szCs w:val="16"/>
              </w:rPr>
              <w:t xml:space="preserve">IFRS </w:t>
            </w:r>
            <w:r w:rsidRPr="00285250">
              <w:rPr>
                <w:bCs/>
                <w:sz w:val="16"/>
                <w:szCs w:val="16"/>
              </w:rPr>
              <w:t>9</w:t>
            </w:r>
            <w:r w:rsidRPr="00285250">
              <w:rPr>
                <w:rFonts w:hint="cs"/>
                <w:bCs/>
                <w:sz w:val="16"/>
                <w:szCs w:val="16"/>
                <w:rtl/>
              </w:rPr>
              <w:t>)</w:t>
            </w:r>
          </w:p>
        </w:tc>
        <w:tc>
          <w:tcPr>
            <w:tcW w:w="113" w:type="dxa"/>
            <w:vAlign w:val="bottom"/>
          </w:tcPr>
          <w:p w14:paraId="0085EEEA" w14:textId="77777777" w:rsidR="00285250" w:rsidRPr="006A44FC" w:rsidRDefault="00285250" w:rsidP="00285250">
            <w:pPr>
              <w:widowControl/>
              <w:spacing w:line="140" w:lineRule="exact"/>
              <w:rPr>
                <w:sz w:val="16"/>
                <w:szCs w:val="16"/>
              </w:rPr>
            </w:pPr>
          </w:p>
        </w:tc>
        <w:tc>
          <w:tcPr>
            <w:tcW w:w="624" w:type="dxa"/>
            <w:shd w:val="clear" w:color="auto" w:fill="auto"/>
            <w:vAlign w:val="bottom"/>
          </w:tcPr>
          <w:p w14:paraId="2D2B3192"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6D19681B"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02BBD6C0" w14:textId="77777777" w:rsidR="00285250" w:rsidRPr="006A44FC" w:rsidRDefault="00285250" w:rsidP="00285250">
            <w:pPr>
              <w:widowControl/>
              <w:tabs>
                <w:tab w:val="decimal" w:pos="113"/>
              </w:tabs>
              <w:spacing w:line="140" w:lineRule="exact"/>
              <w:rPr>
                <w:sz w:val="16"/>
                <w:szCs w:val="16"/>
              </w:rPr>
            </w:pPr>
          </w:p>
        </w:tc>
        <w:tc>
          <w:tcPr>
            <w:tcW w:w="113" w:type="dxa"/>
            <w:gridSpan w:val="2"/>
            <w:vAlign w:val="bottom"/>
          </w:tcPr>
          <w:p w14:paraId="7B2A3413"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1D1CC32E" w14:textId="77777777" w:rsidR="00285250" w:rsidRPr="006A44FC" w:rsidRDefault="00285250" w:rsidP="00285250">
            <w:pPr>
              <w:widowControl/>
              <w:tabs>
                <w:tab w:val="decimal" w:pos="113"/>
              </w:tabs>
              <w:spacing w:line="140" w:lineRule="exact"/>
              <w:rPr>
                <w:sz w:val="16"/>
                <w:szCs w:val="16"/>
              </w:rPr>
            </w:pPr>
          </w:p>
        </w:tc>
        <w:tc>
          <w:tcPr>
            <w:tcW w:w="113" w:type="dxa"/>
          </w:tcPr>
          <w:p w14:paraId="73787315"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tcPr>
          <w:p w14:paraId="6EE3CF62" w14:textId="77777777" w:rsidR="00285250" w:rsidRPr="006A44FC" w:rsidRDefault="00285250" w:rsidP="00285250">
            <w:pPr>
              <w:widowControl/>
              <w:tabs>
                <w:tab w:val="decimal" w:pos="113"/>
              </w:tabs>
              <w:spacing w:line="140" w:lineRule="exact"/>
              <w:rPr>
                <w:sz w:val="16"/>
                <w:szCs w:val="16"/>
              </w:rPr>
            </w:pPr>
          </w:p>
        </w:tc>
        <w:tc>
          <w:tcPr>
            <w:tcW w:w="113" w:type="dxa"/>
          </w:tcPr>
          <w:p w14:paraId="3497CC07"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tcPr>
          <w:p w14:paraId="3E7AF1E6"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0D9ED7BA"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21C6C5E0"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61A1EAE7"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1BBD9987"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3B7A250"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6DAC1D6"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14B025D"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45A67889"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1E6AF5F0"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0869CDAF"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5E046FB7"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6B3EA1B6"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5CCEA1FA"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7E28CC28"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7E2D20A6"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244A85E7" w14:textId="77777777" w:rsidR="00285250" w:rsidRPr="006A44FC" w:rsidRDefault="00285250" w:rsidP="00285250">
            <w:pPr>
              <w:widowControl/>
              <w:tabs>
                <w:tab w:val="decimal" w:pos="113"/>
              </w:tabs>
              <w:spacing w:line="140" w:lineRule="exact"/>
              <w:rPr>
                <w:sz w:val="16"/>
                <w:szCs w:val="16"/>
              </w:rPr>
            </w:pPr>
          </w:p>
        </w:tc>
        <w:tc>
          <w:tcPr>
            <w:tcW w:w="144" w:type="dxa"/>
            <w:vAlign w:val="bottom"/>
          </w:tcPr>
          <w:p w14:paraId="59FFC3A9"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40214F1"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1EEA46A2"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1CA4699B" w14:textId="77777777" w:rsidR="00285250" w:rsidRPr="006A44FC" w:rsidRDefault="00285250" w:rsidP="00285250">
            <w:pPr>
              <w:widowControl/>
              <w:tabs>
                <w:tab w:val="decimal" w:pos="113"/>
              </w:tabs>
              <w:spacing w:line="140" w:lineRule="exact"/>
              <w:rPr>
                <w:sz w:val="16"/>
                <w:szCs w:val="16"/>
              </w:rPr>
            </w:pPr>
          </w:p>
        </w:tc>
        <w:tc>
          <w:tcPr>
            <w:tcW w:w="113" w:type="dxa"/>
          </w:tcPr>
          <w:p w14:paraId="6A740DFD"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tcPr>
          <w:p w14:paraId="014982F9" w14:textId="77777777" w:rsidR="00285250" w:rsidRPr="006A44FC" w:rsidRDefault="00285250" w:rsidP="00285250">
            <w:pPr>
              <w:widowControl/>
              <w:tabs>
                <w:tab w:val="decimal" w:pos="113"/>
              </w:tabs>
              <w:spacing w:line="140" w:lineRule="exact"/>
              <w:rPr>
                <w:sz w:val="16"/>
                <w:szCs w:val="16"/>
              </w:rPr>
            </w:pPr>
          </w:p>
        </w:tc>
      </w:tr>
      <w:tr w:rsidR="00285250" w:rsidRPr="006A44FC" w14:paraId="2BE51EC3" w14:textId="77777777" w:rsidTr="00285250">
        <w:tc>
          <w:tcPr>
            <w:tcW w:w="1009" w:type="dxa"/>
            <w:tcBorders>
              <w:bottom w:val="single" w:sz="4" w:space="0" w:color="auto"/>
              <w:right w:val="single" w:sz="4" w:space="0" w:color="auto"/>
            </w:tcBorders>
            <w:vAlign w:val="center"/>
          </w:tcPr>
          <w:p w14:paraId="4D7FB4B1" w14:textId="77777777" w:rsidR="00285250" w:rsidRPr="00B21C4E" w:rsidRDefault="00285250" w:rsidP="00285250">
            <w:pPr>
              <w:widowControl/>
              <w:bidi w:val="0"/>
              <w:spacing w:line="140" w:lineRule="exact"/>
              <w:jc w:val="right"/>
              <w:rPr>
                <w:i/>
                <w:iCs/>
                <w:sz w:val="13"/>
                <w:szCs w:val="13"/>
                <w:rtl/>
              </w:rPr>
            </w:pPr>
            <w:r>
              <w:rPr>
                <w:rFonts w:hint="cs"/>
                <w:i/>
                <w:iCs/>
                <w:sz w:val="13"/>
                <w:szCs w:val="13"/>
              </w:rPr>
              <w:t>IAS </w:t>
            </w:r>
            <w:r>
              <w:rPr>
                <w:i/>
                <w:iCs/>
                <w:sz w:val="13"/>
                <w:szCs w:val="13"/>
              </w:rPr>
              <w:t>1.106(d)(i)</w:t>
            </w:r>
          </w:p>
        </w:tc>
        <w:tc>
          <w:tcPr>
            <w:tcW w:w="2790" w:type="dxa"/>
            <w:tcBorders>
              <w:left w:val="single" w:sz="4" w:space="0" w:color="auto"/>
            </w:tcBorders>
            <w:vAlign w:val="bottom"/>
          </w:tcPr>
          <w:p w14:paraId="3743B694" w14:textId="77777777" w:rsidR="00285250" w:rsidRPr="006A44FC" w:rsidRDefault="00285250" w:rsidP="00285250">
            <w:pPr>
              <w:widowControl/>
              <w:spacing w:line="140" w:lineRule="exact"/>
              <w:ind w:left="57"/>
              <w:jc w:val="left"/>
              <w:rPr>
                <w:sz w:val="16"/>
                <w:szCs w:val="16"/>
                <w:rtl/>
              </w:rPr>
            </w:pPr>
            <w:r w:rsidRPr="006A44FC">
              <w:rPr>
                <w:rFonts w:hint="cs"/>
                <w:sz w:val="16"/>
                <w:szCs w:val="16"/>
                <w:rtl/>
              </w:rPr>
              <w:t>רווח נקי (הפסד)</w:t>
            </w:r>
          </w:p>
        </w:tc>
        <w:tc>
          <w:tcPr>
            <w:tcW w:w="113" w:type="dxa"/>
            <w:vAlign w:val="bottom"/>
          </w:tcPr>
          <w:p w14:paraId="3BC02229"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54EB42EE" w14:textId="77777777" w:rsidR="00285250" w:rsidRPr="006A44FC" w:rsidRDefault="00285250" w:rsidP="00285250">
            <w:pPr>
              <w:widowControl/>
              <w:spacing w:line="140" w:lineRule="exact"/>
              <w:ind w:left="57"/>
              <w:jc w:val="left"/>
              <w:rPr>
                <w:sz w:val="16"/>
                <w:szCs w:val="16"/>
              </w:rPr>
            </w:pPr>
          </w:p>
        </w:tc>
        <w:tc>
          <w:tcPr>
            <w:tcW w:w="113" w:type="dxa"/>
            <w:vAlign w:val="bottom"/>
          </w:tcPr>
          <w:p w14:paraId="60737B9A"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4959A64D" w14:textId="77777777" w:rsidR="00285250" w:rsidRPr="006A44FC" w:rsidRDefault="00285250" w:rsidP="00285250">
            <w:pPr>
              <w:widowControl/>
              <w:spacing w:line="140" w:lineRule="exact"/>
              <w:ind w:left="57"/>
              <w:jc w:val="left"/>
              <w:rPr>
                <w:sz w:val="16"/>
                <w:szCs w:val="16"/>
              </w:rPr>
            </w:pPr>
          </w:p>
        </w:tc>
        <w:tc>
          <w:tcPr>
            <w:tcW w:w="113" w:type="dxa"/>
            <w:gridSpan w:val="2"/>
            <w:vAlign w:val="bottom"/>
          </w:tcPr>
          <w:p w14:paraId="0F4DAC45"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31D693CE" w14:textId="77777777" w:rsidR="00285250" w:rsidRPr="006A44FC" w:rsidRDefault="00285250" w:rsidP="00285250">
            <w:pPr>
              <w:widowControl/>
              <w:spacing w:line="140" w:lineRule="exact"/>
              <w:ind w:left="57"/>
              <w:jc w:val="left"/>
              <w:rPr>
                <w:sz w:val="16"/>
                <w:szCs w:val="16"/>
              </w:rPr>
            </w:pPr>
          </w:p>
        </w:tc>
        <w:tc>
          <w:tcPr>
            <w:tcW w:w="113" w:type="dxa"/>
          </w:tcPr>
          <w:p w14:paraId="0FF11D48" w14:textId="77777777" w:rsidR="00285250" w:rsidRPr="006A44FC" w:rsidRDefault="00285250" w:rsidP="00285250">
            <w:pPr>
              <w:widowControl/>
              <w:spacing w:line="140" w:lineRule="exact"/>
              <w:ind w:left="57"/>
              <w:jc w:val="left"/>
              <w:rPr>
                <w:sz w:val="16"/>
                <w:szCs w:val="16"/>
              </w:rPr>
            </w:pPr>
          </w:p>
        </w:tc>
        <w:tc>
          <w:tcPr>
            <w:tcW w:w="680" w:type="dxa"/>
            <w:tcBorders>
              <w:top w:val="nil"/>
              <w:left w:val="nil"/>
              <w:right w:val="nil"/>
            </w:tcBorders>
            <w:shd w:val="clear" w:color="auto" w:fill="auto"/>
          </w:tcPr>
          <w:p w14:paraId="2FFD05A9" w14:textId="77777777" w:rsidR="00285250" w:rsidRPr="006A44FC" w:rsidRDefault="00285250" w:rsidP="00285250">
            <w:pPr>
              <w:widowControl/>
              <w:spacing w:line="140" w:lineRule="exact"/>
              <w:ind w:left="57"/>
              <w:jc w:val="left"/>
              <w:rPr>
                <w:sz w:val="16"/>
                <w:szCs w:val="16"/>
              </w:rPr>
            </w:pPr>
          </w:p>
        </w:tc>
        <w:tc>
          <w:tcPr>
            <w:tcW w:w="113" w:type="dxa"/>
          </w:tcPr>
          <w:p w14:paraId="18CEE835"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tcPr>
          <w:p w14:paraId="54AEFB7D" w14:textId="77777777" w:rsidR="00285250" w:rsidRPr="006A44FC" w:rsidRDefault="00285250" w:rsidP="00285250">
            <w:pPr>
              <w:widowControl/>
              <w:spacing w:line="140" w:lineRule="exact"/>
              <w:ind w:left="57"/>
              <w:jc w:val="left"/>
              <w:rPr>
                <w:sz w:val="16"/>
                <w:szCs w:val="16"/>
              </w:rPr>
            </w:pPr>
          </w:p>
        </w:tc>
        <w:tc>
          <w:tcPr>
            <w:tcW w:w="113" w:type="dxa"/>
            <w:vAlign w:val="bottom"/>
          </w:tcPr>
          <w:p w14:paraId="57F2DA21"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1AA6F729" w14:textId="77777777" w:rsidR="00285250" w:rsidRPr="006A44FC" w:rsidRDefault="00285250" w:rsidP="00285250">
            <w:pPr>
              <w:widowControl/>
              <w:spacing w:line="140" w:lineRule="exact"/>
              <w:ind w:left="57"/>
              <w:jc w:val="left"/>
              <w:rPr>
                <w:sz w:val="16"/>
                <w:szCs w:val="16"/>
              </w:rPr>
            </w:pPr>
          </w:p>
        </w:tc>
        <w:tc>
          <w:tcPr>
            <w:tcW w:w="113" w:type="dxa"/>
            <w:vAlign w:val="bottom"/>
          </w:tcPr>
          <w:p w14:paraId="1264AB33"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3B088C0F" w14:textId="77777777" w:rsidR="00285250" w:rsidRPr="006A44FC" w:rsidRDefault="00285250" w:rsidP="00285250">
            <w:pPr>
              <w:widowControl/>
              <w:spacing w:line="140" w:lineRule="exact"/>
              <w:ind w:left="57"/>
              <w:jc w:val="left"/>
              <w:rPr>
                <w:sz w:val="16"/>
                <w:szCs w:val="16"/>
              </w:rPr>
            </w:pPr>
          </w:p>
        </w:tc>
        <w:tc>
          <w:tcPr>
            <w:tcW w:w="113" w:type="dxa"/>
            <w:vAlign w:val="bottom"/>
          </w:tcPr>
          <w:p w14:paraId="51F1EEB2"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495EF4EF" w14:textId="77777777" w:rsidR="00285250" w:rsidRPr="006A44FC" w:rsidRDefault="00285250" w:rsidP="00285250">
            <w:pPr>
              <w:widowControl/>
              <w:spacing w:line="140" w:lineRule="exact"/>
              <w:ind w:left="57"/>
              <w:jc w:val="left"/>
              <w:rPr>
                <w:sz w:val="16"/>
                <w:szCs w:val="16"/>
              </w:rPr>
            </w:pPr>
          </w:p>
        </w:tc>
        <w:tc>
          <w:tcPr>
            <w:tcW w:w="113" w:type="dxa"/>
            <w:vAlign w:val="bottom"/>
          </w:tcPr>
          <w:p w14:paraId="5AE75F99" w14:textId="77777777" w:rsidR="00285250" w:rsidRPr="006A44FC" w:rsidRDefault="00285250" w:rsidP="00285250">
            <w:pPr>
              <w:widowControl/>
              <w:spacing w:line="140" w:lineRule="exact"/>
              <w:ind w:left="57"/>
              <w:jc w:val="left"/>
              <w:rPr>
                <w:sz w:val="16"/>
                <w:szCs w:val="16"/>
              </w:rPr>
            </w:pPr>
          </w:p>
        </w:tc>
        <w:tc>
          <w:tcPr>
            <w:tcW w:w="680" w:type="dxa"/>
            <w:tcBorders>
              <w:left w:val="nil"/>
              <w:right w:val="nil"/>
            </w:tcBorders>
            <w:shd w:val="clear" w:color="auto" w:fill="auto"/>
            <w:vAlign w:val="bottom"/>
          </w:tcPr>
          <w:p w14:paraId="794B4433"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57844DA4" w14:textId="77777777" w:rsidR="00285250" w:rsidRPr="006A44FC" w:rsidRDefault="00285250" w:rsidP="00285250">
            <w:pPr>
              <w:widowControl/>
              <w:spacing w:line="140" w:lineRule="exact"/>
              <w:ind w:left="57"/>
              <w:jc w:val="left"/>
              <w:rPr>
                <w:sz w:val="16"/>
                <w:szCs w:val="16"/>
              </w:rPr>
            </w:pPr>
          </w:p>
        </w:tc>
        <w:tc>
          <w:tcPr>
            <w:tcW w:w="680" w:type="dxa"/>
            <w:tcBorders>
              <w:left w:val="nil"/>
              <w:right w:val="nil"/>
            </w:tcBorders>
            <w:shd w:val="clear" w:color="auto" w:fill="auto"/>
            <w:vAlign w:val="bottom"/>
          </w:tcPr>
          <w:p w14:paraId="09A362D3"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5C12EEC0" w14:textId="77777777" w:rsidR="00285250" w:rsidRPr="006A44FC" w:rsidRDefault="00285250" w:rsidP="00285250">
            <w:pPr>
              <w:widowControl/>
              <w:spacing w:line="140" w:lineRule="exact"/>
              <w:ind w:left="57"/>
              <w:jc w:val="left"/>
              <w:rPr>
                <w:sz w:val="16"/>
                <w:szCs w:val="16"/>
              </w:rPr>
            </w:pPr>
          </w:p>
        </w:tc>
        <w:tc>
          <w:tcPr>
            <w:tcW w:w="680" w:type="dxa"/>
            <w:tcBorders>
              <w:left w:val="nil"/>
              <w:right w:val="nil"/>
            </w:tcBorders>
            <w:shd w:val="clear" w:color="auto" w:fill="auto"/>
            <w:vAlign w:val="bottom"/>
          </w:tcPr>
          <w:p w14:paraId="5D5E1B22"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7E43C9F4" w14:textId="77777777" w:rsidR="00285250" w:rsidRPr="006A44FC" w:rsidRDefault="00285250" w:rsidP="00285250">
            <w:pPr>
              <w:widowControl/>
              <w:spacing w:line="140" w:lineRule="exact"/>
              <w:ind w:left="57"/>
              <w:jc w:val="left"/>
              <w:rPr>
                <w:sz w:val="16"/>
                <w:szCs w:val="16"/>
              </w:rPr>
            </w:pPr>
          </w:p>
        </w:tc>
        <w:tc>
          <w:tcPr>
            <w:tcW w:w="680" w:type="dxa"/>
            <w:tcBorders>
              <w:left w:val="nil"/>
              <w:right w:val="nil"/>
            </w:tcBorders>
            <w:shd w:val="clear" w:color="auto" w:fill="auto"/>
            <w:vAlign w:val="bottom"/>
          </w:tcPr>
          <w:p w14:paraId="09A79758"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7D65CEA0" w14:textId="77777777" w:rsidR="00285250" w:rsidRPr="006A44FC" w:rsidRDefault="00285250" w:rsidP="00285250">
            <w:pPr>
              <w:widowControl/>
              <w:spacing w:line="140" w:lineRule="exact"/>
              <w:ind w:left="57"/>
              <w:jc w:val="left"/>
              <w:rPr>
                <w:sz w:val="16"/>
                <w:szCs w:val="16"/>
              </w:rPr>
            </w:pPr>
          </w:p>
        </w:tc>
        <w:tc>
          <w:tcPr>
            <w:tcW w:w="680" w:type="dxa"/>
            <w:tcBorders>
              <w:left w:val="nil"/>
              <w:right w:val="nil"/>
            </w:tcBorders>
            <w:shd w:val="clear" w:color="auto" w:fill="auto"/>
            <w:vAlign w:val="bottom"/>
          </w:tcPr>
          <w:p w14:paraId="45B4D127" w14:textId="77777777" w:rsidR="00285250" w:rsidRPr="006A44FC" w:rsidRDefault="00285250" w:rsidP="00285250">
            <w:pPr>
              <w:widowControl/>
              <w:spacing w:line="140" w:lineRule="exact"/>
              <w:ind w:left="57"/>
              <w:jc w:val="left"/>
              <w:rPr>
                <w:sz w:val="16"/>
                <w:szCs w:val="16"/>
              </w:rPr>
            </w:pPr>
          </w:p>
        </w:tc>
        <w:tc>
          <w:tcPr>
            <w:tcW w:w="144" w:type="dxa"/>
            <w:vAlign w:val="bottom"/>
          </w:tcPr>
          <w:p w14:paraId="44C896EA"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5E526F5D" w14:textId="77777777" w:rsidR="00285250" w:rsidRPr="006A44FC" w:rsidRDefault="00285250" w:rsidP="00285250">
            <w:pPr>
              <w:widowControl/>
              <w:spacing w:line="140" w:lineRule="exact"/>
              <w:ind w:left="57"/>
              <w:jc w:val="left"/>
              <w:rPr>
                <w:sz w:val="16"/>
                <w:szCs w:val="16"/>
              </w:rPr>
            </w:pPr>
          </w:p>
        </w:tc>
        <w:tc>
          <w:tcPr>
            <w:tcW w:w="113" w:type="dxa"/>
            <w:vAlign w:val="bottom"/>
          </w:tcPr>
          <w:p w14:paraId="1B873341"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2CC610BE" w14:textId="77777777" w:rsidR="00285250" w:rsidRPr="006A44FC" w:rsidDel="00506022" w:rsidRDefault="00285250" w:rsidP="00285250">
            <w:pPr>
              <w:widowControl/>
              <w:spacing w:line="140" w:lineRule="exact"/>
              <w:ind w:left="57"/>
              <w:jc w:val="left"/>
              <w:rPr>
                <w:sz w:val="16"/>
                <w:szCs w:val="16"/>
              </w:rPr>
            </w:pPr>
          </w:p>
        </w:tc>
        <w:tc>
          <w:tcPr>
            <w:tcW w:w="113" w:type="dxa"/>
          </w:tcPr>
          <w:p w14:paraId="457D117B"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tcPr>
          <w:p w14:paraId="6A1467F5" w14:textId="77777777" w:rsidR="00285250" w:rsidRPr="006A44FC" w:rsidRDefault="00285250" w:rsidP="00285250">
            <w:pPr>
              <w:widowControl/>
              <w:spacing w:line="140" w:lineRule="exact"/>
              <w:ind w:left="57"/>
              <w:jc w:val="left"/>
              <w:rPr>
                <w:sz w:val="16"/>
                <w:szCs w:val="16"/>
              </w:rPr>
            </w:pPr>
          </w:p>
        </w:tc>
      </w:tr>
      <w:tr w:rsidR="00285250" w:rsidRPr="006A44FC" w14:paraId="41C78558" w14:textId="77777777" w:rsidTr="00285250">
        <w:tc>
          <w:tcPr>
            <w:tcW w:w="1009" w:type="dxa"/>
            <w:tcBorders>
              <w:top w:val="single" w:sz="4" w:space="0" w:color="auto"/>
              <w:bottom w:val="single" w:sz="4" w:space="0" w:color="auto"/>
              <w:right w:val="single" w:sz="4" w:space="0" w:color="auto"/>
            </w:tcBorders>
            <w:vAlign w:val="center"/>
          </w:tcPr>
          <w:p w14:paraId="0FD9E2E1" w14:textId="77777777" w:rsidR="00285250" w:rsidRPr="00B21C4E" w:rsidRDefault="00285250" w:rsidP="00285250">
            <w:pPr>
              <w:widowControl/>
              <w:bidi w:val="0"/>
              <w:spacing w:line="140" w:lineRule="exact"/>
              <w:jc w:val="right"/>
              <w:rPr>
                <w:i/>
                <w:iCs/>
                <w:sz w:val="13"/>
                <w:szCs w:val="13"/>
                <w:rtl/>
              </w:rPr>
            </w:pPr>
            <w:r>
              <w:rPr>
                <w:rFonts w:hint="cs"/>
                <w:i/>
                <w:iCs/>
                <w:sz w:val="13"/>
                <w:szCs w:val="13"/>
              </w:rPr>
              <w:t>IAS </w:t>
            </w:r>
            <w:r>
              <w:rPr>
                <w:i/>
                <w:iCs/>
                <w:sz w:val="13"/>
                <w:szCs w:val="13"/>
              </w:rPr>
              <w:t>1.106(d)(ii)</w:t>
            </w:r>
          </w:p>
        </w:tc>
        <w:tc>
          <w:tcPr>
            <w:tcW w:w="2790" w:type="dxa"/>
            <w:tcBorders>
              <w:left w:val="single" w:sz="4" w:space="0" w:color="auto"/>
            </w:tcBorders>
            <w:vAlign w:val="bottom"/>
          </w:tcPr>
          <w:p w14:paraId="34E18285" w14:textId="77777777" w:rsidR="00285250" w:rsidRPr="006A44FC" w:rsidRDefault="00285250" w:rsidP="00285250">
            <w:pPr>
              <w:widowControl/>
              <w:spacing w:line="140" w:lineRule="exact"/>
              <w:ind w:left="57"/>
              <w:jc w:val="left"/>
              <w:rPr>
                <w:sz w:val="16"/>
                <w:szCs w:val="16"/>
                <w:rtl/>
              </w:rPr>
            </w:pPr>
            <w:r w:rsidRPr="006A44FC">
              <w:rPr>
                <w:rFonts w:hint="eastAsia"/>
                <w:sz w:val="16"/>
                <w:szCs w:val="16"/>
                <w:rtl/>
              </w:rPr>
              <w:t>סה</w:t>
            </w:r>
            <w:r w:rsidRPr="006A44FC">
              <w:rPr>
                <w:sz w:val="16"/>
                <w:szCs w:val="16"/>
                <w:rtl/>
              </w:rPr>
              <w:t xml:space="preserve">"כ </w:t>
            </w:r>
            <w:r w:rsidRPr="006A44FC">
              <w:rPr>
                <w:rFonts w:hint="eastAsia"/>
                <w:sz w:val="16"/>
                <w:szCs w:val="16"/>
                <w:rtl/>
              </w:rPr>
              <w:t>רווח</w:t>
            </w:r>
            <w:r w:rsidRPr="006A44FC">
              <w:rPr>
                <w:sz w:val="16"/>
                <w:szCs w:val="16"/>
                <w:rtl/>
              </w:rPr>
              <w:t xml:space="preserve"> (הפסד) </w:t>
            </w:r>
            <w:r w:rsidRPr="006A44FC">
              <w:rPr>
                <w:rFonts w:hint="eastAsia"/>
                <w:sz w:val="16"/>
                <w:szCs w:val="16"/>
                <w:rtl/>
              </w:rPr>
              <w:t>כולל</w:t>
            </w:r>
            <w:r w:rsidRPr="006A44FC">
              <w:rPr>
                <w:sz w:val="16"/>
                <w:szCs w:val="16"/>
                <w:rtl/>
              </w:rPr>
              <w:t xml:space="preserve"> </w:t>
            </w:r>
            <w:r w:rsidRPr="006A44FC">
              <w:rPr>
                <w:rFonts w:hint="eastAsia"/>
                <w:sz w:val="16"/>
                <w:szCs w:val="16"/>
                <w:rtl/>
              </w:rPr>
              <w:t>אחר</w:t>
            </w:r>
          </w:p>
        </w:tc>
        <w:tc>
          <w:tcPr>
            <w:tcW w:w="113" w:type="dxa"/>
            <w:vAlign w:val="bottom"/>
          </w:tcPr>
          <w:p w14:paraId="4A58E54F"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4F61DBFE" w14:textId="77777777" w:rsidR="00285250" w:rsidRPr="006A44FC" w:rsidRDefault="00285250" w:rsidP="00285250">
            <w:pPr>
              <w:widowControl/>
              <w:spacing w:line="140" w:lineRule="exact"/>
              <w:ind w:left="57"/>
              <w:jc w:val="left"/>
              <w:rPr>
                <w:sz w:val="16"/>
                <w:szCs w:val="16"/>
              </w:rPr>
            </w:pPr>
          </w:p>
        </w:tc>
        <w:tc>
          <w:tcPr>
            <w:tcW w:w="113" w:type="dxa"/>
            <w:vAlign w:val="bottom"/>
          </w:tcPr>
          <w:p w14:paraId="7841865F"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04CCE852" w14:textId="77777777" w:rsidR="00285250" w:rsidRPr="006A44FC" w:rsidRDefault="00285250" w:rsidP="00285250">
            <w:pPr>
              <w:widowControl/>
              <w:spacing w:line="140" w:lineRule="exact"/>
              <w:ind w:left="57"/>
              <w:jc w:val="left"/>
              <w:rPr>
                <w:sz w:val="16"/>
                <w:szCs w:val="16"/>
              </w:rPr>
            </w:pPr>
          </w:p>
        </w:tc>
        <w:tc>
          <w:tcPr>
            <w:tcW w:w="113" w:type="dxa"/>
            <w:gridSpan w:val="2"/>
            <w:vAlign w:val="bottom"/>
          </w:tcPr>
          <w:p w14:paraId="43F9445E"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4CC094ED" w14:textId="77777777" w:rsidR="00285250" w:rsidRPr="006A44FC" w:rsidRDefault="00285250" w:rsidP="00285250">
            <w:pPr>
              <w:widowControl/>
              <w:spacing w:line="140" w:lineRule="exact"/>
              <w:ind w:left="57"/>
              <w:jc w:val="left"/>
              <w:rPr>
                <w:sz w:val="16"/>
                <w:szCs w:val="16"/>
              </w:rPr>
            </w:pPr>
          </w:p>
        </w:tc>
        <w:tc>
          <w:tcPr>
            <w:tcW w:w="113" w:type="dxa"/>
          </w:tcPr>
          <w:p w14:paraId="131E2C94" w14:textId="77777777" w:rsidR="00285250" w:rsidRPr="006A44FC" w:rsidRDefault="00285250" w:rsidP="00285250">
            <w:pPr>
              <w:widowControl/>
              <w:spacing w:line="140" w:lineRule="exact"/>
              <w:ind w:left="57"/>
              <w:jc w:val="left"/>
              <w:rPr>
                <w:sz w:val="16"/>
                <w:szCs w:val="16"/>
              </w:rPr>
            </w:pPr>
          </w:p>
        </w:tc>
        <w:tc>
          <w:tcPr>
            <w:tcW w:w="680" w:type="dxa"/>
            <w:tcBorders>
              <w:top w:val="nil"/>
              <w:left w:val="nil"/>
              <w:bottom w:val="single" w:sz="6" w:space="0" w:color="auto"/>
              <w:right w:val="nil"/>
            </w:tcBorders>
            <w:shd w:val="clear" w:color="auto" w:fill="auto"/>
          </w:tcPr>
          <w:p w14:paraId="07A0F380" w14:textId="77777777" w:rsidR="00285250" w:rsidRPr="006A44FC" w:rsidRDefault="00285250" w:rsidP="00285250">
            <w:pPr>
              <w:widowControl/>
              <w:spacing w:line="140" w:lineRule="exact"/>
              <w:ind w:left="57"/>
              <w:jc w:val="left"/>
              <w:rPr>
                <w:sz w:val="16"/>
                <w:szCs w:val="16"/>
              </w:rPr>
            </w:pPr>
          </w:p>
        </w:tc>
        <w:tc>
          <w:tcPr>
            <w:tcW w:w="113" w:type="dxa"/>
          </w:tcPr>
          <w:p w14:paraId="44AA1EC9"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tcPr>
          <w:p w14:paraId="4D6BE214" w14:textId="77777777" w:rsidR="00285250" w:rsidRPr="006A44FC" w:rsidRDefault="00285250" w:rsidP="00285250">
            <w:pPr>
              <w:widowControl/>
              <w:spacing w:line="140" w:lineRule="exact"/>
              <w:ind w:left="57"/>
              <w:jc w:val="left"/>
              <w:rPr>
                <w:sz w:val="16"/>
                <w:szCs w:val="16"/>
              </w:rPr>
            </w:pPr>
          </w:p>
        </w:tc>
        <w:tc>
          <w:tcPr>
            <w:tcW w:w="113" w:type="dxa"/>
            <w:vAlign w:val="bottom"/>
          </w:tcPr>
          <w:p w14:paraId="3ECD0A08"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5B06BCE8" w14:textId="77777777" w:rsidR="00285250" w:rsidRPr="006A44FC" w:rsidRDefault="00285250" w:rsidP="00285250">
            <w:pPr>
              <w:widowControl/>
              <w:spacing w:line="140" w:lineRule="exact"/>
              <w:ind w:left="57"/>
              <w:jc w:val="left"/>
              <w:rPr>
                <w:sz w:val="16"/>
                <w:szCs w:val="16"/>
              </w:rPr>
            </w:pPr>
          </w:p>
        </w:tc>
        <w:tc>
          <w:tcPr>
            <w:tcW w:w="113" w:type="dxa"/>
            <w:vAlign w:val="bottom"/>
          </w:tcPr>
          <w:p w14:paraId="2C89EE9E"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4293F12D" w14:textId="77777777" w:rsidR="00285250" w:rsidRPr="006A44FC" w:rsidRDefault="00285250" w:rsidP="00285250">
            <w:pPr>
              <w:widowControl/>
              <w:spacing w:line="140" w:lineRule="exact"/>
              <w:ind w:left="57"/>
              <w:jc w:val="left"/>
              <w:rPr>
                <w:sz w:val="16"/>
                <w:szCs w:val="16"/>
              </w:rPr>
            </w:pPr>
          </w:p>
        </w:tc>
        <w:tc>
          <w:tcPr>
            <w:tcW w:w="113" w:type="dxa"/>
            <w:vAlign w:val="bottom"/>
          </w:tcPr>
          <w:p w14:paraId="409813A7"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2536D260" w14:textId="77777777" w:rsidR="00285250" w:rsidRPr="006A44FC" w:rsidRDefault="00285250" w:rsidP="00285250">
            <w:pPr>
              <w:widowControl/>
              <w:spacing w:line="140" w:lineRule="exact"/>
              <w:ind w:left="57"/>
              <w:jc w:val="left"/>
              <w:rPr>
                <w:sz w:val="16"/>
                <w:szCs w:val="16"/>
              </w:rPr>
            </w:pPr>
          </w:p>
        </w:tc>
        <w:tc>
          <w:tcPr>
            <w:tcW w:w="113" w:type="dxa"/>
            <w:vAlign w:val="bottom"/>
          </w:tcPr>
          <w:p w14:paraId="43316525" w14:textId="77777777" w:rsidR="00285250" w:rsidRPr="006A44FC" w:rsidRDefault="00285250" w:rsidP="00285250">
            <w:pPr>
              <w:widowControl/>
              <w:spacing w:line="140" w:lineRule="exact"/>
              <w:ind w:left="57"/>
              <w:jc w:val="left"/>
              <w:rPr>
                <w:sz w:val="16"/>
                <w:szCs w:val="16"/>
              </w:rPr>
            </w:pPr>
          </w:p>
        </w:tc>
        <w:tc>
          <w:tcPr>
            <w:tcW w:w="680" w:type="dxa"/>
            <w:tcBorders>
              <w:left w:val="nil"/>
              <w:bottom w:val="single" w:sz="6" w:space="0" w:color="auto"/>
              <w:right w:val="nil"/>
            </w:tcBorders>
            <w:shd w:val="clear" w:color="auto" w:fill="auto"/>
            <w:vAlign w:val="bottom"/>
          </w:tcPr>
          <w:p w14:paraId="59022617"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427C1E8A" w14:textId="77777777" w:rsidR="00285250" w:rsidRPr="006A44FC" w:rsidRDefault="00285250" w:rsidP="00285250">
            <w:pPr>
              <w:widowControl/>
              <w:spacing w:line="140" w:lineRule="exact"/>
              <w:ind w:left="57"/>
              <w:jc w:val="left"/>
              <w:rPr>
                <w:sz w:val="16"/>
                <w:szCs w:val="16"/>
              </w:rPr>
            </w:pPr>
          </w:p>
        </w:tc>
        <w:tc>
          <w:tcPr>
            <w:tcW w:w="680" w:type="dxa"/>
            <w:tcBorders>
              <w:left w:val="nil"/>
              <w:bottom w:val="single" w:sz="6" w:space="0" w:color="auto"/>
              <w:right w:val="nil"/>
            </w:tcBorders>
            <w:shd w:val="clear" w:color="auto" w:fill="auto"/>
            <w:vAlign w:val="bottom"/>
          </w:tcPr>
          <w:p w14:paraId="2EAC7A56"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29DE05CB" w14:textId="77777777" w:rsidR="00285250" w:rsidRPr="006A44FC" w:rsidRDefault="00285250" w:rsidP="00285250">
            <w:pPr>
              <w:widowControl/>
              <w:spacing w:line="140" w:lineRule="exact"/>
              <w:ind w:left="57"/>
              <w:jc w:val="left"/>
              <w:rPr>
                <w:sz w:val="16"/>
                <w:szCs w:val="16"/>
              </w:rPr>
            </w:pPr>
          </w:p>
        </w:tc>
        <w:tc>
          <w:tcPr>
            <w:tcW w:w="680" w:type="dxa"/>
            <w:tcBorders>
              <w:left w:val="nil"/>
              <w:bottom w:val="single" w:sz="6" w:space="0" w:color="auto"/>
              <w:right w:val="nil"/>
            </w:tcBorders>
            <w:shd w:val="clear" w:color="auto" w:fill="auto"/>
            <w:vAlign w:val="bottom"/>
          </w:tcPr>
          <w:p w14:paraId="4590FA56"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65E09AEB" w14:textId="77777777" w:rsidR="00285250" w:rsidRPr="006A44FC" w:rsidRDefault="00285250" w:rsidP="00285250">
            <w:pPr>
              <w:widowControl/>
              <w:spacing w:line="140" w:lineRule="exact"/>
              <w:ind w:left="57"/>
              <w:jc w:val="left"/>
              <w:rPr>
                <w:sz w:val="16"/>
                <w:szCs w:val="16"/>
              </w:rPr>
            </w:pPr>
          </w:p>
        </w:tc>
        <w:tc>
          <w:tcPr>
            <w:tcW w:w="680" w:type="dxa"/>
            <w:tcBorders>
              <w:left w:val="nil"/>
              <w:bottom w:val="single" w:sz="6" w:space="0" w:color="auto"/>
              <w:right w:val="nil"/>
            </w:tcBorders>
            <w:shd w:val="clear" w:color="auto" w:fill="auto"/>
            <w:vAlign w:val="bottom"/>
          </w:tcPr>
          <w:p w14:paraId="74A415DD"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55E7C016" w14:textId="77777777" w:rsidR="00285250" w:rsidRPr="006A44FC" w:rsidRDefault="00285250" w:rsidP="00285250">
            <w:pPr>
              <w:widowControl/>
              <w:spacing w:line="140" w:lineRule="exact"/>
              <w:ind w:left="57"/>
              <w:jc w:val="left"/>
              <w:rPr>
                <w:sz w:val="16"/>
                <w:szCs w:val="16"/>
              </w:rPr>
            </w:pPr>
          </w:p>
        </w:tc>
        <w:tc>
          <w:tcPr>
            <w:tcW w:w="680" w:type="dxa"/>
            <w:tcBorders>
              <w:left w:val="nil"/>
              <w:bottom w:val="single" w:sz="6" w:space="0" w:color="auto"/>
              <w:right w:val="nil"/>
            </w:tcBorders>
            <w:shd w:val="clear" w:color="auto" w:fill="auto"/>
            <w:vAlign w:val="bottom"/>
          </w:tcPr>
          <w:p w14:paraId="36C0EF20" w14:textId="77777777" w:rsidR="00285250" w:rsidRPr="006A44FC" w:rsidRDefault="00285250" w:rsidP="00285250">
            <w:pPr>
              <w:widowControl/>
              <w:spacing w:line="140" w:lineRule="exact"/>
              <w:ind w:left="57"/>
              <w:jc w:val="left"/>
              <w:rPr>
                <w:sz w:val="16"/>
                <w:szCs w:val="16"/>
              </w:rPr>
            </w:pPr>
          </w:p>
        </w:tc>
        <w:tc>
          <w:tcPr>
            <w:tcW w:w="144" w:type="dxa"/>
            <w:vAlign w:val="bottom"/>
          </w:tcPr>
          <w:p w14:paraId="22A25E04"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49FD8C8E" w14:textId="77777777" w:rsidR="00285250" w:rsidRPr="006A44FC" w:rsidRDefault="00285250" w:rsidP="00285250">
            <w:pPr>
              <w:widowControl/>
              <w:spacing w:line="140" w:lineRule="exact"/>
              <w:ind w:left="57"/>
              <w:jc w:val="left"/>
              <w:rPr>
                <w:sz w:val="16"/>
                <w:szCs w:val="16"/>
              </w:rPr>
            </w:pPr>
          </w:p>
        </w:tc>
        <w:tc>
          <w:tcPr>
            <w:tcW w:w="113" w:type="dxa"/>
            <w:vAlign w:val="bottom"/>
          </w:tcPr>
          <w:p w14:paraId="1F05F9E8"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4350F659" w14:textId="77777777" w:rsidR="00285250" w:rsidRPr="006A44FC" w:rsidDel="00506022" w:rsidRDefault="00285250" w:rsidP="00285250">
            <w:pPr>
              <w:widowControl/>
              <w:spacing w:line="140" w:lineRule="exact"/>
              <w:ind w:left="57"/>
              <w:jc w:val="left"/>
              <w:rPr>
                <w:sz w:val="16"/>
                <w:szCs w:val="16"/>
              </w:rPr>
            </w:pPr>
          </w:p>
        </w:tc>
        <w:tc>
          <w:tcPr>
            <w:tcW w:w="113" w:type="dxa"/>
          </w:tcPr>
          <w:p w14:paraId="14078F99"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tcPr>
          <w:p w14:paraId="011C9D34" w14:textId="77777777" w:rsidR="00285250" w:rsidRPr="006A44FC" w:rsidRDefault="00285250" w:rsidP="00285250">
            <w:pPr>
              <w:widowControl/>
              <w:spacing w:line="140" w:lineRule="exact"/>
              <w:ind w:left="57"/>
              <w:jc w:val="left"/>
              <w:rPr>
                <w:sz w:val="16"/>
                <w:szCs w:val="16"/>
              </w:rPr>
            </w:pPr>
          </w:p>
        </w:tc>
      </w:tr>
      <w:tr w:rsidR="00285250" w:rsidRPr="006A44FC" w14:paraId="62AF2F15" w14:textId="77777777" w:rsidTr="00285250">
        <w:tc>
          <w:tcPr>
            <w:tcW w:w="1009" w:type="dxa"/>
            <w:tcBorders>
              <w:top w:val="single" w:sz="4" w:space="0" w:color="auto"/>
            </w:tcBorders>
            <w:vAlign w:val="center"/>
          </w:tcPr>
          <w:p w14:paraId="1E535651" w14:textId="77777777" w:rsidR="00285250" w:rsidRPr="00B21C4E" w:rsidRDefault="00285250" w:rsidP="00285250">
            <w:pPr>
              <w:bidi w:val="0"/>
              <w:spacing w:line="140" w:lineRule="exact"/>
              <w:jc w:val="right"/>
              <w:rPr>
                <w:i/>
                <w:iCs/>
                <w:sz w:val="13"/>
                <w:szCs w:val="13"/>
                <w:rtl/>
              </w:rPr>
            </w:pPr>
          </w:p>
        </w:tc>
        <w:tc>
          <w:tcPr>
            <w:tcW w:w="2790" w:type="dxa"/>
            <w:vAlign w:val="bottom"/>
          </w:tcPr>
          <w:p w14:paraId="7E231C17" w14:textId="77777777" w:rsidR="00285250" w:rsidRPr="006A44FC" w:rsidRDefault="00285250" w:rsidP="00285250">
            <w:pPr>
              <w:widowControl/>
              <w:spacing w:line="140" w:lineRule="exact"/>
              <w:ind w:left="57"/>
              <w:jc w:val="left"/>
              <w:rPr>
                <w:sz w:val="16"/>
                <w:szCs w:val="16"/>
                <w:rtl/>
              </w:rPr>
            </w:pPr>
            <w:r w:rsidRPr="006A44FC">
              <w:rPr>
                <w:rFonts w:hint="cs"/>
                <w:sz w:val="16"/>
                <w:szCs w:val="16"/>
                <w:rtl/>
              </w:rPr>
              <w:t>סה"כ רווח (הפסד) כולל</w:t>
            </w:r>
          </w:p>
        </w:tc>
        <w:tc>
          <w:tcPr>
            <w:tcW w:w="113" w:type="dxa"/>
            <w:vAlign w:val="bottom"/>
          </w:tcPr>
          <w:p w14:paraId="23F9A72D"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3B8F36E6" w14:textId="77777777" w:rsidR="00285250" w:rsidRPr="006A44FC" w:rsidRDefault="00285250" w:rsidP="00285250">
            <w:pPr>
              <w:widowControl/>
              <w:spacing w:line="140" w:lineRule="exact"/>
              <w:ind w:left="57"/>
              <w:jc w:val="left"/>
              <w:rPr>
                <w:sz w:val="16"/>
                <w:szCs w:val="16"/>
              </w:rPr>
            </w:pPr>
          </w:p>
        </w:tc>
        <w:tc>
          <w:tcPr>
            <w:tcW w:w="113" w:type="dxa"/>
            <w:vAlign w:val="bottom"/>
          </w:tcPr>
          <w:p w14:paraId="0039EF53"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499EE77E" w14:textId="77777777" w:rsidR="00285250" w:rsidRPr="006A44FC" w:rsidRDefault="00285250" w:rsidP="00285250">
            <w:pPr>
              <w:widowControl/>
              <w:spacing w:line="140" w:lineRule="exact"/>
              <w:ind w:left="57"/>
              <w:jc w:val="left"/>
              <w:rPr>
                <w:sz w:val="16"/>
                <w:szCs w:val="16"/>
              </w:rPr>
            </w:pPr>
          </w:p>
        </w:tc>
        <w:tc>
          <w:tcPr>
            <w:tcW w:w="113" w:type="dxa"/>
            <w:gridSpan w:val="2"/>
            <w:vAlign w:val="bottom"/>
          </w:tcPr>
          <w:p w14:paraId="7023AA48"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23488EC2" w14:textId="77777777" w:rsidR="00285250" w:rsidRPr="006A44FC" w:rsidRDefault="00285250" w:rsidP="00285250">
            <w:pPr>
              <w:widowControl/>
              <w:spacing w:line="140" w:lineRule="exact"/>
              <w:ind w:left="57"/>
              <w:jc w:val="left"/>
              <w:rPr>
                <w:sz w:val="16"/>
                <w:szCs w:val="16"/>
              </w:rPr>
            </w:pPr>
          </w:p>
        </w:tc>
        <w:tc>
          <w:tcPr>
            <w:tcW w:w="113" w:type="dxa"/>
          </w:tcPr>
          <w:p w14:paraId="31997308" w14:textId="77777777" w:rsidR="00285250" w:rsidRPr="006A44FC" w:rsidRDefault="00285250" w:rsidP="00285250">
            <w:pPr>
              <w:widowControl/>
              <w:spacing w:line="140" w:lineRule="exact"/>
              <w:ind w:left="57"/>
              <w:jc w:val="left"/>
              <w:rPr>
                <w:sz w:val="16"/>
                <w:szCs w:val="16"/>
              </w:rPr>
            </w:pPr>
          </w:p>
        </w:tc>
        <w:tc>
          <w:tcPr>
            <w:tcW w:w="680" w:type="dxa"/>
            <w:tcBorders>
              <w:top w:val="single" w:sz="6" w:space="0" w:color="auto"/>
              <w:left w:val="nil"/>
              <w:right w:val="nil"/>
            </w:tcBorders>
            <w:shd w:val="clear" w:color="auto" w:fill="auto"/>
          </w:tcPr>
          <w:p w14:paraId="66DEC97A" w14:textId="77777777" w:rsidR="00285250" w:rsidRPr="006A44FC" w:rsidRDefault="00285250" w:rsidP="00285250">
            <w:pPr>
              <w:widowControl/>
              <w:spacing w:line="140" w:lineRule="exact"/>
              <w:ind w:left="57"/>
              <w:jc w:val="left"/>
              <w:rPr>
                <w:sz w:val="16"/>
                <w:szCs w:val="16"/>
              </w:rPr>
            </w:pPr>
          </w:p>
        </w:tc>
        <w:tc>
          <w:tcPr>
            <w:tcW w:w="113" w:type="dxa"/>
          </w:tcPr>
          <w:p w14:paraId="0BE449C8"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tcPr>
          <w:p w14:paraId="4FEF25D1" w14:textId="77777777" w:rsidR="00285250" w:rsidRPr="006A44FC" w:rsidRDefault="00285250" w:rsidP="00285250">
            <w:pPr>
              <w:widowControl/>
              <w:spacing w:line="140" w:lineRule="exact"/>
              <w:ind w:left="57"/>
              <w:jc w:val="left"/>
              <w:rPr>
                <w:sz w:val="16"/>
                <w:szCs w:val="16"/>
              </w:rPr>
            </w:pPr>
          </w:p>
        </w:tc>
        <w:tc>
          <w:tcPr>
            <w:tcW w:w="113" w:type="dxa"/>
            <w:vAlign w:val="bottom"/>
          </w:tcPr>
          <w:p w14:paraId="248AAA8E"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76BDC513" w14:textId="77777777" w:rsidR="00285250" w:rsidRPr="006A44FC" w:rsidRDefault="00285250" w:rsidP="00285250">
            <w:pPr>
              <w:widowControl/>
              <w:spacing w:line="140" w:lineRule="exact"/>
              <w:ind w:left="57"/>
              <w:jc w:val="left"/>
              <w:rPr>
                <w:sz w:val="16"/>
                <w:szCs w:val="16"/>
              </w:rPr>
            </w:pPr>
          </w:p>
        </w:tc>
        <w:tc>
          <w:tcPr>
            <w:tcW w:w="113" w:type="dxa"/>
            <w:vAlign w:val="bottom"/>
          </w:tcPr>
          <w:p w14:paraId="693E72A5"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1BC110D1" w14:textId="77777777" w:rsidR="00285250" w:rsidRPr="006A44FC" w:rsidRDefault="00285250" w:rsidP="00285250">
            <w:pPr>
              <w:widowControl/>
              <w:spacing w:line="140" w:lineRule="exact"/>
              <w:ind w:left="57"/>
              <w:jc w:val="left"/>
              <w:rPr>
                <w:sz w:val="16"/>
                <w:szCs w:val="16"/>
              </w:rPr>
            </w:pPr>
          </w:p>
        </w:tc>
        <w:tc>
          <w:tcPr>
            <w:tcW w:w="113" w:type="dxa"/>
            <w:vAlign w:val="bottom"/>
          </w:tcPr>
          <w:p w14:paraId="58AED27A"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45CD8722" w14:textId="77777777" w:rsidR="00285250" w:rsidRPr="006A44FC" w:rsidRDefault="00285250" w:rsidP="00285250">
            <w:pPr>
              <w:widowControl/>
              <w:spacing w:line="140" w:lineRule="exact"/>
              <w:ind w:left="57"/>
              <w:jc w:val="left"/>
              <w:rPr>
                <w:sz w:val="16"/>
                <w:szCs w:val="16"/>
              </w:rPr>
            </w:pPr>
          </w:p>
        </w:tc>
        <w:tc>
          <w:tcPr>
            <w:tcW w:w="113" w:type="dxa"/>
            <w:vAlign w:val="bottom"/>
          </w:tcPr>
          <w:p w14:paraId="78C60402" w14:textId="77777777" w:rsidR="00285250" w:rsidRPr="006A44FC" w:rsidRDefault="00285250" w:rsidP="00285250">
            <w:pPr>
              <w:widowControl/>
              <w:spacing w:line="140" w:lineRule="exact"/>
              <w:ind w:left="57"/>
              <w:jc w:val="left"/>
              <w:rPr>
                <w:sz w:val="16"/>
                <w:szCs w:val="16"/>
              </w:rPr>
            </w:pPr>
          </w:p>
        </w:tc>
        <w:tc>
          <w:tcPr>
            <w:tcW w:w="680" w:type="dxa"/>
            <w:tcBorders>
              <w:top w:val="single" w:sz="6" w:space="0" w:color="auto"/>
              <w:left w:val="nil"/>
              <w:right w:val="nil"/>
            </w:tcBorders>
            <w:shd w:val="clear" w:color="auto" w:fill="auto"/>
            <w:vAlign w:val="bottom"/>
          </w:tcPr>
          <w:p w14:paraId="5F94A6B4"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64CC2978" w14:textId="77777777" w:rsidR="00285250" w:rsidRPr="006A44FC" w:rsidRDefault="00285250" w:rsidP="00285250">
            <w:pPr>
              <w:widowControl/>
              <w:spacing w:line="140" w:lineRule="exact"/>
              <w:ind w:left="57"/>
              <w:jc w:val="left"/>
              <w:rPr>
                <w:sz w:val="16"/>
                <w:szCs w:val="16"/>
              </w:rPr>
            </w:pPr>
          </w:p>
        </w:tc>
        <w:tc>
          <w:tcPr>
            <w:tcW w:w="680" w:type="dxa"/>
            <w:tcBorders>
              <w:top w:val="single" w:sz="6" w:space="0" w:color="auto"/>
              <w:left w:val="nil"/>
              <w:right w:val="nil"/>
            </w:tcBorders>
            <w:shd w:val="clear" w:color="auto" w:fill="auto"/>
            <w:vAlign w:val="bottom"/>
          </w:tcPr>
          <w:p w14:paraId="075FD7E2"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02E9B32D" w14:textId="77777777" w:rsidR="00285250" w:rsidRPr="006A44FC" w:rsidRDefault="00285250" w:rsidP="00285250">
            <w:pPr>
              <w:widowControl/>
              <w:spacing w:line="140" w:lineRule="exact"/>
              <w:ind w:left="57"/>
              <w:jc w:val="left"/>
              <w:rPr>
                <w:sz w:val="16"/>
                <w:szCs w:val="16"/>
              </w:rPr>
            </w:pPr>
          </w:p>
        </w:tc>
        <w:tc>
          <w:tcPr>
            <w:tcW w:w="680" w:type="dxa"/>
            <w:tcBorders>
              <w:top w:val="single" w:sz="6" w:space="0" w:color="auto"/>
              <w:left w:val="nil"/>
              <w:right w:val="nil"/>
            </w:tcBorders>
            <w:shd w:val="clear" w:color="auto" w:fill="auto"/>
            <w:vAlign w:val="bottom"/>
          </w:tcPr>
          <w:p w14:paraId="5A8B700E"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3256B775" w14:textId="77777777" w:rsidR="00285250" w:rsidRPr="006A44FC" w:rsidRDefault="00285250" w:rsidP="00285250">
            <w:pPr>
              <w:widowControl/>
              <w:spacing w:line="140" w:lineRule="exact"/>
              <w:ind w:left="57"/>
              <w:jc w:val="left"/>
              <w:rPr>
                <w:sz w:val="16"/>
                <w:szCs w:val="16"/>
              </w:rPr>
            </w:pPr>
          </w:p>
        </w:tc>
        <w:tc>
          <w:tcPr>
            <w:tcW w:w="680" w:type="dxa"/>
            <w:tcBorders>
              <w:top w:val="single" w:sz="6" w:space="0" w:color="auto"/>
              <w:left w:val="nil"/>
              <w:right w:val="nil"/>
            </w:tcBorders>
            <w:shd w:val="clear" w:color="auto" w:fill="auto"/>
            <w:vAlign w:val="bottom"/>
          </w:tcPr>
          <w:p w14:paraId="43C8E356"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0CC6404C" w14:textId="77777777" w:rsidR="00285250" w:rsidRPr="006A44FC" w:rsidRDefault="00285250" w:rsidP="00285250">
            <w:pPr>
              <w:widowControl/>
              <w:spacing w:line="140" w:lineRule="exact"/>
              <w:ind w:left="57"/>
              <w:jc w:val="left"/>
              <w:rPr>
                <w:sz w:val="16"/>
                <w:szCs w:val="16"/>
              </w:rPr>
            </w:pPr>
          </w:p>
        </w:tc>
        <w:tc>
          <w:tcPr>
            <w:tcW w:w="680" w:type="dxa"/>
            <w:tcBorders>
              <w:top w:val="single" w:sz="6" w:space="0" w:color="auto"/>
              <w:left w:val="nil"/>
              <w:right w:val="nil"/>
            </w:tcBorders>
            <w:shd w:val="clear" w:color="auto" w:fill="auto"/>
            <w:vAlign w:val="bottom"/>
          </w:tcPr>
          <w:p w14:paraId="2C9D6639" w14:textId="77777777" w:rsidR="00285250" w:rsidRPr="006A44FC" w:rsidRDefault="00285250" w:rsidP="00285250">
            <w:pPr>
              <w:widowControl/>
              <w:spacing w:line="140" w:lineRule="exact"/>
              <w:ind w:left="57"/>
              <w:jc w:val="left"/>
              <w:rPr>
                <w:sz w:val="16"/>
                <w:szCs w:val="16"/>
              </w:rPr>
            </w:pPr>
          </w:p>
        </w:tc>
        <w:tc>
          <w:tcPr>
            <w:tcW w:w="144" w:type="dxa"/>
            <w:vAlign w:val="bottom"/>
          </w:tcPr>
          <w:p w14:paraId="2D675E8B"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71A2B90F" w14:textId="77777777" w:rsidR="00285250" w:rsidRPr="006A44FC" w:rsidRDefault="00285250" w:rsidP="00285250">
            <w:pPr>
              <w:widowControl/>
              <w:spacing w:line="140" w:lineRule="exact"/>
              <w:ind w:left="57"/>
              <w:jc w:val="left"/>
              <w:rPr>
                <w:sz w:val="16"/>
                <w:szCs w:val="16"/>
              </w:rPr>
            </w:pPr>
          </w:p>
        </w:tc>
        <w:tc>
          <w:tcPr>
            <w:tcW w:w="113" w:type="dxa"/>
            <w:vAlign w:val="bottom"/>
          </w:tcPr>
          <w:p w14:paraId="0AA267FE"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137C3259" w14:textId="77777777" w:rsidR="00285250" w:rsidRPr="006A44FC" w:rsidRDefault="00285250" w:rsidP="00285250">
            <w:pPr>
              <w:widowControl/>
              <w:spacing w:line="140" w:lineRule="exact"/>
              <w:ind w:left="57"/>
              <w:jc w:val="left"/>
              <w:rPr>
                <w:sz w:val="16"/>
                <w:szCs w:val="16"/>
              </w:rPr>
            </w:pPr>
          </w:p>
        </w:tc>
        <w:tc>
          <w:tcPr>
            <w:tcW w:w="113" w:type="dxa"/>
          </w:tcPr>
          <w:p w14:paraId="1EA44737"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tcPr>
          <w:p w14:paraId="1F4CDC61" w14:textId="77777777" w:rsidR="00285250" w:rsidRPr="006A44FC" w:rsidRDefault="00285250" w:rsidP="00285250">
            <w:pPr>
              <w:widowControl/>
              <w:spacing w:line="140" w:lineRule="exact"/>
              <w:ind w:left="57"/>
              <w:jc w:val="left"/>
              <w:rPr>
                <w:sz w:val="16"/>
                <w:szCs w:val="16"/>
              </w:rPr>
            </w:pPr>
          </w:p>
        </w:tc>
      </w:tr>
      <w:tr w:rsidR="00285250" w:rsidRPr="006A44FC" w14:paraId="038B9A43" w14:textId="77777777" w:rsidTr="00285250">
        <w:tc>
          <w:tcPr>
            <w:tcW w:w="1009" w:type="dxa"/>
            <w:vAlign w:val="center"/>
          </w:tcPr>
          <w:p w14:paraId="75AE1B28" w14:textId="77777777" w:rsidR="00285250" w:rsidRPr="00B21C4E" w:rsidRDefault="00285250" w:rsidP="00285250">
            <w:pPr>
              <w:widowControl/>
              <w:spacing w:line="140" w:lineRule="exact"/>
              <w:jc w:val="right"/>
              <w:rPr>
                <w:i/>
                <w:iCs/>
                <w:sz w:val="13"/>
                <w:szCs w:val="13"/>
                <w:rtl/>
              </w:rPr>
            </w:pPr>
          </w:p>
        </w:tc>
        <w:tc>
          <w:tcPr>
            <w:tcW w:w="2790" w:type="dxa"/>
            <w:vAlign w:val="bottom"/>
          </w:tcPr>
          <w:p w14:paraId="3354C844" w14:textId="77777777" w:rsidR="00285250" w:rsidRPr="006A44FC" w:rsidRDefault="00285250" w:rsidP="00285250">
            <w:pPr>
              <w:widowControl/>
              <w:spacing w:line="140" w:lineRule="exact"/>
              <w:jc w:val="left"/>
              <w:rPr>
                <w:sz w:val="16"/>
                <w:szCs w:val="16"/>
                <w:rtl/>
              </w:rPr>
            </w:pPr>
          </w:p>
        </w:tc>
        <w:tc>
          <w:tcPr>
            <w:tcW w:w="113" w:type="dxa"/>
            <w:vAlign w:val="bottom"/>
          </w:tcPr>
          <w:p w14:paraId="5693A08F" w14:textId="77777777" w:rsidR="00285250" w:rsidRPr="006A44FC" w:rsidRDefault="00285250" w:rsidP="00285250">
            <w:pPr>
              <w:widowControl/>
              <w:spacing w:line="140" w:lineRule="exact"/>
              <w:rPr>
                <w:sz w:val="16"/>
                <w:szCs w:val="16"/>
              </w:rPr>
            </w:pPr>
          </w:p>
        </w:tc>
        <w:tc>
          <w:tcPr>
            <w:tcW w:w="624" w:type="dxa"/>
            <w:tcBorders>
              <w:top w:val="nil"/>
              <w:left w:val="nil"/>
              <w:right w:val="nil"/>
            </w:tcBorders>
            <w:shd w:val="clear" w:color="auto" w:fill="auto"/>
            <w:vAlign w:val="bottom"/>
          </w:tcPr>
          <w:p w14:paraId="78836F34"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654E1540"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F921FB9" w14:textId="77777777" w:rsidR="00285250" w:rsidRPr="006A44FC" w:rsidRDefault="00285250" w:rsidP="00285250">
            <w:pPr>
              <w:widowControl/>
              <w:tabs>
                <w:tab w:val="decimal" w:pos="113"/>
              </w:tabs>
              <w:spacing w:line="140" w:lineRule="exact"/>
              <w:rPr>
                <w:sz w:val="16"/>
                <w:szCs w:val="16"/>
              </w:rPr>
            </w:pPr>
          </w:p>
        </w:tc>
        <w:tc>
          <w:tcPr>
            <w:tcW w:w="113" w:type="dxa"/>
            <w:gridSpan w:val="2"/>
            <w:vAlign w:val="bottom"/>
          </w:tcPr>
          <w:p w14:paraId="23D7F67E"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F180409" w14:textId="77777777" w:rsidR="00285250" w:rsidRPr="006A44FC" w:rsidRDefault="00285250" w:rsidP="00285250">
            <w:pPr>
              <w:widowControl/>
              <w:tabs>
                <w:tab w:val="decimal" w:pos="113"/>
              </w:tabs>
              <w:spacing w:line="140" w:lineRule="exact"/>
              <w:rPr>
                <w:sz w:val="16"/>
                <w:szCs w:val="16"/>
              </w:rPr>
            </w:pPr>
          </w:p>
        </w:tc>
        <w:tc>
          <w:tcPr>
            <w:tcW w:w="113" w:type="dxa"/>
          </w:tcPr>
          <w:p w14:paraId="475F92F4" w14:textId="77777777" w:rsidR="00285250" w:rsidRPr="006A44FC" w:rsidRDefault="00285250" w:rsidP="00285250">
            <w:pPr>
              <w:widowControl/>
              <w:tabs>
                <w:tab w:val="decimal" w:pos="113"/>
              </w:tabs>
              <w:spacing w:line="140" w:lineRule="exact"/>
              <w:rPr>
                <w:sz w:val="16"/>
                <w:szCs w:val="16"/>
              </w:rPr>
            </w:pPr>
          </w:p>
        </w:tc>
        <w:tc>
          <w:tcPr>
            <w:tcW w:w="680" w:type="dxa"/>
            <w:tcBorders>
              <w:top w:val="nil"/>
              <w:left w:val="nil"/>
              <w:right w:val="nil"/>
            </w:tcBorders>
            <w:shd w:val="clear" w:color="auto" w:fill="auto"/>
          </w:tcPr>
          <w:p w14:paraId="389571A2" w14:textId="77777777" w:rsidR="00285250" w:rsidRPr="006A44FC" w:rsidRDefault="00285250" w:rsidP="00285250">
            <w:pPr>
              <w:widowControl/>
              <w:tabs>
                <w:tab w:val="decimal" w:pos="113"/>
              </w:tabs>
              <w:spacing w:line="140" w:lineRule="exact"/>
              <w:rPr>
                <w:sz w:val="16"/>
                <w:szCs w:val="16"/>
              </w:rPr>
            </w:pPr>
          </w:p>
        </w:tc>
        <w:tc>
          <w:tcPr>
            <w:tcW w:w="113" w:type="dxa"/>
          </w:tcPr>
          <w:p w14:paraId="58352945"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tcPr>
          <w:p w14:paraId="0A7D189B"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7C25B24B"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D35EC18"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28AF3082"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3E4B242"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7976F4F"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79601AA"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00CABA0B" w14:textId="77777777" w:rsidR="00285250" w:rsidRPr="006A44FC" w:rsidRDefault="00285250" w:rsidP="00285250">
            <w:pPr>
              <w:widowControl/>
              <w:tabs>
                <w:tab w:val="decimal" w:pos="113"/>
              </w:tabs>
              <w:spacing w:line="140" w:lineRule="exact"/>
              <w:rPr>
                <w:sz w:val="16"/>
                <w:szCs w:val="16"/>
              </w:rPr>
            </w:pPr>
          </w:p>
        </w:tc>
        <w:tc>
          <w:tcPr>
            <w:tcW w:w="680" w:type="dxa"/>
            <w:tcBorders>
              <w:left w:val="nil"/>
              <w:right w:val="nil"/>
            </w:tcBorders>
            <w:shd w:val="clear" w:color="auto" w:fill="auto"/>
            <w:vAlign w:val="bottom"/>
          </w:tcPr>
          <w:p w14:paraId="7C4FDEF5"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1F29483B" w14:textId="77777777" w:rsidR="00285250" w:rsidRPr="006A44FC" w:rsidRDefault="00285250" w:rsidP="00285250">
            <w:pPr>
              <w:widowControl/>
              <w:tabs>
                <w:tab w:val="decimal" w:pos="113"/>
              </w:tabs>
              <w:spacing w:line="140" w:lineRule="exact"/>
              <w:rPr>
                <w:sz w:val="16"/>
                <w:szCs w:val="16"/>
              </w:rPr>
            </w:pPr>
          </w:p>
        </w:tc>
        <w:tc>
          <w:tcPr>
            <w:tcW w:w="680" w:type="dxa"/>
            <w:tcBorders>
              <w:left w:val="nil"/>
              <w:right w:val="nil"/>
            </w:tcBorders>
            <w:shd w:val="clear" w:color="auto" w:fill="auto"/>
            <w:vAlign w:val="bottom"/>
          </w:tcPr>
          <w:p w14:paraId="0DC4BBC1"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4F63970E" w14:textId="77777777" w:rsidR="00285250" w:rsidRPr="006A44FC" w:rsidRDefault="00285250" w:rsidP="00285250">
            <w:pPr>
              <w:widowControl/>
              <w:tabs>
                <w:tab w:val="decimal" w:pos="113"/>
              </w:tabs>
              <w:spacing w:line="140" w:lineRule="exact"/>
              <w:rPr>
                <w:sz w:val="16"/>
                <w:szCs w:val="16"/>
              </w:rPr>
            </w:pPr>
          </w:p>
        </w:tc>
        <w:tc>
          <w:tcPr>
            <w:tcW w:w="680" w:type="dxa"/>
            <w:tcBorders>
              <w:left w:val="nil"/>
              <w:right w:val="nil"/>
            </w:tcBorders>
            <w:shd w:val="clear" w:color="auto" w:fill="auto"/>
            <w:vAlign w:val="bottom"/>
          </w:tcPr>
          <w:p w14:paraId="3AA6D9EA"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2E02BA14" w14:textId="77777777" w:rsidR="00285250" w:rsidRPr="006A44FC" w:rsidRDefault="00285250" w:rsidP="00285250">
            <w:pPr>
              <w:widowControl/>
              <w:tabs>
                <w:tab w:val="decimal" w:pos="113"/>
              </w:tabs>
              <w:spacing w:line="140" w:lineRule="exact"/>
              <w:rPr>
                <w:sz w:val="16"/>
                <w:szCs w:val="16"/>
              </w:rPr>
            </w:pPr>
          </w:p>
        </w:tc>
        <w:tc>
          <w:tcPr>
            <w:tcW w:w="680" w:type="dxa"/>
            <w:tcBorders>
              <w:left w:val="nil"/>
              <w:right w:val="nil"/>
            </w:tcBorders>
            <w:shd w:val="clear" w:color="auto" w:fill="auto"/>
            <w:vAlign w:val="bottom"/>
          </w:tcPr>
          <w:p w14:paraId="39A96376"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325989AC" w14:textId="77777777" w:rsidR="00285250" w:rsidRPr="006A44FC" w:rsidRDefault="00285250" w:rsidP="00285250">
            <w:pPr>
              <w:widowControl/>
              <w:tabs>
                <w:tab w:val="decimal" w:pos="113"/>
              </w:tabs>
              <w:spacing w:line="140" w:lineRule="exact"/>
              <w:rPr>
                <w:sz w:val="16"/>
                <w:szCs w:val="16"/>
              </w:rPr>
            </w:pPr>
          </w:p>
        </w:tc>
        <w:tc>
          <w:tcPr>
            <w:tcW w:w="680" w:type="dxa"/>
            <w:tcBorders>
              <w:left w:val="nil"/>
              <w:right w:val="nil"/>
            </w:tcBorders>
            <w:shd w:val="clear" w:color="auto" w:fill="auto"/>
            <w:vAlign w:val="bottom"/>
          </w:tcPr>
          <w:p w14:paraId="3003633A" w14:textId="77777777" w:rsidR="00285250" w:rsidRPr="006A44FC" w:rsidRDefault="00285250" w:rsidP="00285250">
            <w:pPr>
              <w:widowControl/>
              <w:tabs>
                <w:tab w:val="decimal" w:pos="113"/>
              </w:tabs>
              <w:spacing w:line="140" w:lineRule="exact"/>
              <w:rPr>
                <w:sz w:val="16"/>
                <w:szCs w:val="16"/>
              </w:rPr>
            </w:pPr>
          </w:p>
        </w:tc>
        <w:tc>
          <w:tcPr>
            <w:tcW w:w="144" w:type="dxa"/>
            <w:vAlign w:val="bottom"/>
          </w:tcPr>
          <w:p w14:paraId="0D027673"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286CD1B"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7877488A"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326DE21" w14:textId="77777777" w:rsidR="00285250" w:rsidRPr="006A44FC" w:rsidRDefault="00285250" w:rsidP="00285250">
            <w:pPr>
              <w:widowControl/>
              <w:tabs>
                <w:tab w:val="decimal" w:pos="113"/>
              </w:tabs>
              <w:spacing w:line="140" w:lineRule="exact"/>
              <w:rPr>
                <w:sz w:val="16"/>
                <w:szCs w:val="16"/>
              </w:rPr>
            </w:pPr>
          </w:p>
        </w:tc>
        <w:tc>
          <w:tcPr>
            <w:tcW w:w="113" w:type="dxa"/>
          </w:tcPr>
          <w:p w14:paraId="5524658A"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tcPr>
          <w:p w14:paraId="705838E5" w14:textId="77777777" w:rsidR="00285250" w:rsidRPr="006A44FC" w:rsidRDefault="00285250" w:rsidP="00285250">
            <w:pPr>
              <w:widowControl/>
              <w:tabs>
                <w:tab w:val="decimal" w:pos="113"/>
              </w:tabs>
              <w:spacing w:line="140" w:lineRule="exact"/>
              <w:rPr>
                <w:sz w:val="16"/>
                <w:szCs w:val="16"/>
              </w:rPr>
            </w:pPr>
          </w:p>
        </w:tc>
      </w:tr>
      <w:tr w:rsidR="00285250" w:rsidRPr="006A44FC" w14:paraId="00290313" w14:textId="77777777" w:rsidTr="00285250">
        <w:tc>
          <w:tcPr>
            <w:tcW w:w="1009" w:type="dxa"/>
            <w:vAlign w:val="center"/>
          </w:tcPr>
          <w:p w14:paraId="1DA9B390" w14:textId="77777777" w:rsidR="00285250" w:rsidRPr="00B21C4E" w:rsidRDefault="00285250" w:rsidP="00285250">
            <w:pPr>
              <w:bidi w:val="0"/>
              <w:spacing w:line="140" w:lineRule="exact"/>
              <w:jc w:val="right"/>
              <w:rPr>
                <w:i/>
                <w:iCs/>
                <w:sz w:val="13"/>
                <w:szCs w:val="13"/>
                <w:rtl/>
              </w:rPr>
            </w:pPr>
          </w:p>
        </w:tc>
        <w:tc>
          <w:tcPr>
            <w:tcW w:w="2790" w:type="dxa"/>
            <w:tcBorders>
              <w:left w:val="nil"/>
            </w:tcBorders>
            <w:vAlign w:val="bottom"/>
          </w:tcPr>
          <w:p w14:paraId="125A7022"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העברה מקרן הערכה מחדש בגין מימוש רכוש קבוע</w:t>
            </w:r>
          </w:p>
        </w:tc>
        <w:tc>
          <w:tcPr>
            <w:tcW w:w="113" w:type="dxa"/>
            <w:vAlign w:val="bottom"/>
          </w:tcPr>
          <w:p w14:paraId="328C9381"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56039CD2" w14:textId="77777777" w:rsidR="00285250" w:rsidRPr="006A44FC" w:rsidRDefault="00285250" w:rsidP="00285250">
            <w:pPr>
              <w:tabs>
                <w:tab w:val="decimal" w:pos="113"/>
              </w:tabs>
              <w:spacing w:line="140" w:lineRule="exact"/>
              <w:rPr>
                <w:sz w:val="16"/>
                <w:szCs w:val="16"/>
              </w:rPr>
            </w:pPr>
          </w:p>
        </w:tc>
        <w:tc>
          <w:tcPr>
            <w:tcW w:w="113" w:type="dxa"/>
            <w:vAlign w:val="bottom"/>
          </w:tcPr>
          <w:p w14:paraId="63A3FFC6"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59846D1"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5DE18B6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0ACDEB5" w14:textId="77777777" w:rsidR="00285250" w:rsidRPr="006A44FC" w:rsidRDefault="00285250" w:rsidP="00285250">
            <w:pPr>
              <w:tabs>
                <w:tab w:val="decimal" w:pos="113"/>
              </w:tabs>
              <w:spacing w:line="140" w:lineRule="exact"/>
              <w:rPr>
                <w:sz w:val="16"/>
                <w:szCs w:val="16"/>
              </w:rPr>
            </w:pPr>
          </w:p>
        </w:tc>
        <w:tc>
          <w:tcPr>
            <w:tcW w:w="113" w:type="dxa"/>
          </w:tcPr>
          <w:p w14:paraId="72E890C1"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5F06357F" w14:textId="77777777" w:rsidR="00285250" w:rsidRPr="006A44FC" w:rsidRDefault="00285250" w:rsidP="00285250">
            <w:pPr>
              <w:tabs>
                <w:tab w:val="decimal" w:pos="113"/>
              </w:tabs>
              <w:spacing w:line="140" w:lineRule="exact"/>
              <w:rPr>
                <w:sz w:val="16"/>
                <w:szCs w:val="16"/>
              </w:rPr>
            </w:pPr>
          </w:p>
        </w:tc>
        <w:tc>
          <w:tcPr>
            <w:tcW w:w="113" w:type="dxa"/>
          </w:tcPr>
          <w:p w14:paraId="0C3F2CDF"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6EA9116B" w14:textId="77777777" w:rsidR="00285250" w:rsidRPr="006A44FC" w:rsidRDefault="00285250" w:rsidP="00285250">
            <w:pPr>
              <w:tabs>
                <w:tab w:val="decimal" w:pos="113"/>
              </w:tabs>
              <w:spacing w:line="140" w:lineRule="exact"/>
              <w:rPr>
                <w:sz w:val="16"/>
                <w:szCs w:val="16"/>
              </w:rPr>
            </w:pPr>
          </w:p>
        </w:tc>
        <w:tc>
          <w:tcPr>
            <w:tcW w:w="113" w:type="dxa"/>
            <w:vAlign w:val="bottom"/>
          </w:tcPr>
          <w:p w14:paraId="670E2EB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6239553" w14:textId="77777777" w:rsidR="00285250" w:rsidRPr="006A44FC" w:rsidRDefault="00285250" w:rsidP="00285250">
            <w:pPr>
              <w:tabs>
                <w:tab w:val="decimal" w:pos="113"/>
              </w:tabs>
              <w:spacing w:line="140" w:lineRule="exact"/>
              <w:rPr>
                <w:sz w:val="16"/>
                <w:szCs w:val="16"/>
              </w:rPr>
            </w:pPr>
          </w:p>
        </w:tc>
        <w:tc>
          <w:tcPr>
            <w:tcW w:w="113" w:type="dxa"/>
            <w:vAlign w:val="bottom"/>
          </w:tcPr>
          <w:p w14:paraId="3E245F6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46BD7FE" w14:textId="77777777" w:rsidR="00285250" w:rsidRPr="006A44FC" w:rsidRDefault="00285250" w:rsidP="00285250">
            <w:pPr>
              <w:tabs>
                <w:tab w:val="decimal" w:pos="113"/>
              </w:tabs>
              <w:spacing w:line="140" w:lineRule="exact"/>
              <w:rPr>
                <w:sz w:val="16"/>
                <w:szCs w:val="16"/>
              </w:rPr>
            </w:pPr>
          </w:p>
        </w:tc>
        <w:tc>
          <w:tcPr>
            <w:tcW w:w="113" w:type="dxa"/>
            <w:vAlign w:val="bottom"/>
          </w:tcPr>
          <w:p w14:paraId="0849F74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89F3323" w14:textId="77777777" w:rsidR="00285250" w:rsidRPr="006A44FC" w:rsidRDefault="00285250" w:rsidP="00285250">
            <w:pPr>
              <w:tabs>
                <w:tab w:val="decimal" w:pos="113"/>
              </w:tabs>
              <w:spacing w:line="140" w:lineRule="exact"/>
              <w:rPr>
                <w:sz w:val="16"/>
                <w:szCs w:val="16"/>
              </w:rPr>
            </w:pPr>
          </w:p>
        </w:tc>
        <w:tc>
          <w:tcPr>
            <w:tcW w:w="113" w:type="dxa"/>
            <w:vAlign w:val="bottom"/>
          </w:tcPr>
          <w:p w14:paraId="2E7973DF"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45F07A9"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CB5831C"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A73A329"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71473B80"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4C29502"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7DB632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67727C1"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43D027C"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395340E" w14:textId="77777777" w:rsidR="00285250" w:rsidRPr="006A44FC" w:rsidRDefault="00285250" w:rsidP="00285250">
            <w:pPr>
              <w:tabs>
                <w:tab w:val="decimal" w:pos="113"/>
              </w:tabs>
              <w:spacing w:line="140" w:lineRule="exact"/>
              <w:rPr>
                <w:sz w:val="16"/>
                <w:szCs w:val="16"/>
              </w:rPr>
            </w:pPr>
          </w:p>
        </w:tc>
        <w:tc>
          <w:tcPr>
            <w:tcW w:w="144" w:type="dxa"/>
            <w:vAlign w:val="bottom"/>
          </w:tcPr>
          <w:p w14:paraId="5DFAAAD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479DFCF" w14:textId="77777777" w:rsidR="00285250" w:rsidRPr="006A44FC" w:rsidRDefault="00285250" w:rsidP="00285250">
            <w:pPr>
              <w:tabs>
                <w:tab w:val="decimal" w:pos="113"/>
              </w:tabs>
              <w:spacing w:line="140" w:lineRule="exact"/>
              <w:rPr>
                <w:sz w:val="16"/>
                <w:szCs w:val="16"/>
              </w:rPr>
            </w:pPr>
          </w:p>
        </w:tc>
        <w:tc>
          <w:tcPr>
            <w:tcW w:w="113" w:type="dxa"/>
            <w:vAlign w:val="bottom"/>
          </w:tcPr>
          <w:p w14:paraId="028C0E4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20B5F14" w14:textId="77777777" w:rsidR="00285250" w:rsidRPr="006A44FC" w:rsidRDefault="00285250" w:rsidP="00285250">
            <w:pPr>
              <w:tabs>
                <w:tab w:val="decimal" w:pos="113"/>
              </w:tabs>
              <w:spacing w:line="140" w:lineRule="exact"/>
              <w:rPr>
                <w:sz w:val="16"/>
                <w:szCs w:val="16"/>
              </w:rPr>
            </w:pPr>
          </w:p>
        </w:tc>
        <w:tc>
          <w:tcPr>
            <w:tcW w:w="113" w:type="dxa"/>
          </w:tcPr>
          <w:p w14:paraId="194B541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79E5CE51" w14:textId="77777777" w:rsidR="00285250" w:rsidRPr="006A44FC" w:rsidRDefault="00285250" w:rsidP="00285250">
            <w:pPr>
              <w:tabs>
                <w:tab w:val="decimal" w:pos="113"/>
              </w:tabs>
              <w:spacing w:line="140" w:lineRule="exact"/>
              <w:rPr>
                <w:sz w:val="16"/>
                <w:szCs w:val="16"/>
              </w:rPr>
            </w:pPr>
          </w:p>
        </w:tc>
      </w:tr>
      <w:tr w:rsidR="00285250" w:rsidRPr="006A44FC" w14:paraId="398D90D1" w14:textId="77777777" w:rsidTr="00285250">
        <w:tc>
          <w:tcPr>
            <w:tcW w:w="1009" w:type="dxa"/>
            <w:tcBorders>
              <w:bottom w:val="single" w:sz="4" w:space="0" w:color="auto"/>
              <w:right w:val="single" w:sz="4" w:space="0" w:color="auto"/>
            </w:tcBorders>
            <w:vAlign w:val="center"/>
          </w:tcPr>
          <w:p w14:paraId="406796F1" w14:textId="77777777" w:rsidR="00285250" w:rsidRPr="00B21C4E" w:rsidRDefault="00285250" w:rsidP="00285250">
            <w:pPr>
              <w:bidi w:val="0"/>
              <w:spacing w:line="140" w:lineRule="exact"/>
              <w:jc w:val="right"/>
              <w:rPr>
                <w:i/>
                <w:iCs/>
                <w:sz w:val="13"/>
                <w:szCs w:val="13"/>
                <w:rtl/>
              </w:rPr>
            </w:pPr>
            <w:r>
              <w:rPr>
                <w:rFonts w:hint="cs"/>
                <w:i/>
                <w:iCs/>
                <w:sz w:val="13"/>
                <w:szCs w:val="13"/>
              </w:rPr>
              <w:t>IAS 1.96</w:t>
            </w:r>
          </w:p>
        </w:tc>
        <w:tc>
          <w:tcPr>
            <w:tcW w:w="2790" w:type="dxa"/>
            <w:tcBorders>
              <w:left w:val="single" w:sz="4" w:space="0" w:color="auto"/>
            </w:tcBorders>
            <w:vAlign w:val="bottom"/>
          </w:tcPr>
          <w:p w14:paraId="61166761"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העברה מקרן הערכה מחדש בגין שערוך רכוש קבוע, בגובה הפחת</w:t>
            </w:r>
          </w:p>
        </w:tc>
        <w:tc>
          <w:tcPr>
            <w:tcW w:w="113" w:type="dxa"/>
            <w:vAlign w:val="bottom"/>
          </w:tcPr>
          <w:p w14:paraId="3388D592"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23761A02" w14:textId="77777777" w:rsidR="00285250" w:rsidRPr="006A44FC" w:rsidRDefault="00285250" w:rsidP="00285250">
            <w:pPr>
              <w:tabs>
                <w:tab w:val="decimal" w:pos="113"/>
              </w:tabs>
              <w:spacing w:line="140" w:lineRule="exact"/>
              <w:rPr>
                <w:sz w:val="16"/>
                <w:szCs w:val="16"/>
              </w:rPr>
            </w:pPr>
          </w:p>
        </w:tc>
        <w:tc>
          <w:tcPr>
            <w:tcW w:w="113" w:type="dxa"/>
            <w:vAlign w:val="bottom"/>
          </w:tcPr>
          <w:p w14:paraId="04D07BA6"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D243644"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0142B9E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7E39029" w14:textId="77777777" w:rsidR="00285250" w:rsidRPr="006A44FC" w:rsidRDefault="00285250" w:rsidP="00285250">
            <w:pPr>
              <w:tabs>
                <w:tab w:val="decimal" w:pos="113"/>
              </w:tabs>
              <w:spacing w:line="140" w:lineRule="exact"/>
              <w:rPr>
                <w:sz w:val="16"/>
                <w:szCs w:val="16"/>
              </w:rPr>
            </w:pPr>
          </w:p>
        </w:tc>
        <w:tc>
          <w:tcPr>
            <w:tcW w:w="113" w:type="dxa"/>
          </w:tcPr>
          <w:p w14:paraId="701E77A5"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5BE0D8F8" w14:textId="77777777" w:rsidR="00285250" w:rsidRPr="006A44FC" w:rsidRDefault="00285250" w:rsidP="00285250">
            <w:pPr>
              <w:tabs>
                <w:tab w:val="decimal" w:pos="113"/>
              </w:tabs>
              <w:spacing w:line="140" w:lineRule="exact"/>
              <w:rPr>
                <w:sz w:val="16"/>
                <w:szCs w:val="16"/>
              </w:rPr>
            </w:pPr>
          </w:p>
        </w:tc>
        <w:tc>
          <w:tcPr>
            <w:tcW w:w="113" w:type="dxa"/>
          </w:tcPr>
          <w:p w14:paraId="5BF08ED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36A3B0E8" w14:textId="77777777" w:rsidR="00285250" w:rsidRPr="006A44FC" w:rsidRDefault="00285250" w:rsidP="00285250">
            <w:pPr>
              <w:tabs>
                <w:tab w:val="decimal" w:pos="113"/>
              </w:tabs>
              <w:spacing w:line="140" w:lineRule="exact"/>
              <w:rPr>
                <w:sz w:val="16"/>
                <w:szCs w:val="16"/>
              </w:rPr>
            </w:pPr>
          </w:p>
        </w:tc>
        <w:tc>
          <w:tcPr>
            <w:tcW w:w="113" w:type="dxa"/>
            <w:vAlign w:val="bottom"/>
          </w:tcPr>
          <w:p w14:paraId="40C68AF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BCE525E" w14:textId="77777777" w:rsidR="00285250" w:rsidRPr="006A44FC" w:rsidRDefault="00285250" w:rsidP="00285250">
            <w:pPr>
              <w:tabs>
                <w:tab w:val="decimal" w:pos="113"/>
              </w:tabs>
              <w:spacing w:line="140" w:lineRule="exact"/>
              <w:rPr>
                <w:sz w:val="16"/>
                <w:szCs w:val="16"/>
              </w:rPr>
            </w:pPr>
          </w:p>
        </w:tc>
        <w:tc>
          <w:tcPr>
            <w:tcW w:w="113" w:type="dxa"/>
            <w:vAlign w:val="bottom"/>
          </w:tcPr>
          <w:p w14:paraId="553AA6C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61E11B0" w14:textId="77777777" w:rsidR="00285250" w:rsidRPr="006A44FC" w:rsidRDefault="00285250" w:rsidP="00285250">
            <w:pPr>
              <w:tabs>
                <w:tab w:val="decimal" w:pos="113"/>
              </w:tabs>
              <w:spacing w:line="140" w:lineRule="exact"/>
              <w:rPr>
                <w:sz w:val="16"/>
                <w:szCs w:val="16"/>
              </w:rPr>
            </w:pPr>
          </w:p>
        </w:tc>
        <w:tc>
          <w:tcPr>
            <w:tcW w:w="113" w:type="dxa"/>
            <w:vAlign w:val="bottom"/>
          </w:tcPr>
          <w:p w14:paraId="0A99798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CD751A2" w14:textId="77777777" w:rsidR="00285250" w:rsidRPr="006A44FC" w:rsidRDefault="00285250" w:rsidP="00285250">
            <w:pPr>
              <w:tabs>
                <w:tab w:val="decimal" w:pos="113"/>
              </w:tabs>
              <w:spacing w:line="140" w:lineRule="exact"/>
              <w:rPr>
                <w:sz w:val="16"/>
                <w:szCs w:val="16"/>
              </w:rPr>
            </w:pPr>
          </w:p>
        </w:tc>
        <w:tc>
          <w:tcPr>
            <w:tcW w:w="113" w:type="dxa"/>
            <w:vAlign w:val="bottom"/>
          </w:tcPr>
          <w:p w14:paraId="2B6392C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603082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D5D9A69"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AF995D8"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03F6684C"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F0BE395"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62698E8"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1C4C497"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4B69332"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B39C3CC" w14:textId="77777777" w:rsidR="00285250" w:rsidRPr="006A44FC" w:rsidRDefault="00285250" w:rsidP="00285250">
            <w:pPr>
              <w:tabs>
                <w:tab w:val="decimal" w:pos="113"/>
              </w:tabs>
              <w:spacing w:line="140" w:lineRule="exact"/>
              <w:rPr>
                <w:sz w:val="16"/>
                <w:szCs w:val="16"/>
              </w:rPr>
            </w:pPr>
          </w:p>
        </w:tc>
        <w:tc>
          <w:tcPr>
            <w:tcW w:w="144" w:type="dxa"/>
            <w:vAlign w:val="bottom"/>
          </w:tcPr>
          <w:p w14:paraId="021952C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088BAAA" w14:textId="77777777" w:rsidR="00285250" w:rsidRPr="006A44FC" w:rsidRDefault="00285250" w:rsidP="00285250">
            <w:pPr>
              <w:tabs>
                <w:tab w:val="decimal" w:pos="113"/>
              </w:tabs>
              <w:spacing w:line="140" w:lineRule="exact"/>
              <w:rPr>
                <w:sz w:val="16"/>
                <w:szCs w:val="16"/>
              </w:rPr>
            </w:pPr>
          </w:p>
        </w:tc>
        <w:tc>
          <w:tcPr>
            <w:tcW w:w="113" w:type="dxa"/>
            <w:vAlign w:val="bottom"/>
          </w:tcPr>
          <w:p w14:paraId="386DCB9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7289422" w14:textId="77777777" w:rsidR="00285250" w:rsidRPr="006A44FC" w:rsidRDefault="00285250" w:rsidP="00285250">
            <w:pPr>
              <w:tabs>
                <w:tab w:val="decimal" w:pos="113"/>
              </w:tabs>
              <w:spacing w:line="140" w:lineRule="exact"/>
              <w:rPr>
                <w:sz w:val="16"/>
                <w:szCs w:val="16"/>
              </w:rPr>
            </w:pPr>
          </w:p>
        </w:tc>
        <w:tc>
          <w:tcPr>
            <w:tcW w:w="113" w:type="dxa"/>
          </w:tcPr>
          <w:p w14:paraId="1AC7B73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7ACD85A9" w14:textId="77777777" w:rsidR="00285250" w:rsidRPr="006A44FC" w:rsidRDefault="00285250" w:rsidP="00285250">
            <w:pPr>
              <w:tabs>
                <w:tab w:val="decimal" w:pos="113"/>
              </w:tabs>
              <w:spacing w:line="140" w:lineRule="exact"/>
              <w:rPr>
                <w:sz w:val="16"/>
                <w:szCs w:val="16"/>
              </w:rPr>
            </w:pPr>
          </w:p>
        </w:tc>
      </w:tr>
      <w:tr w:rsidR="00285250" w:rsidRPr="006A44FC" w14:paraId="7F7C148C" w14:textId="77777777" w:rsidTr="00285250">
        <w:tc>
          <w:tcPr>
            <w:tcW w:w="1009" w:type="dxa"/>
            <w:vMerge w:val="restart"/>
            <w:tcBorders>
              <w:top w:val="single" w:sz="4" w:space="0" w:color="auto"/>
              <w:bottom w:val="single" w:sz="4" w:space="0" w:color="auto"/>
              <w:right w:val="single" w:sz="4" w:space="0" w:color="auto"/>
            </w:tcBorders>
            <w:vAlign w:val="center"/>
          </w:tcPr>
          <w:p w14:paraId="06F9757A" w14:textId="77777777" w:rsidR="00285250" w:rsidRPr="00B21C4E" w:rsidRDefault="00285250" w:rsidP="00285250">
            <w:pPr>
              <w:bidi w:val="0"/>
              <w:spacing w:line="140" w:lineRule="exact"/>
              <w:jc w:val="right"/>
              <w:rPr>
                <w:i/>
                <w:iCs/>
                <w:sz w:val="13"/>
                <w:szCs w:val="13"/>
              </w:rPr>
            </w:pPr>
            <w:r>
              <w:rPr>
                <w:rFonts w:hint="cs"/>
                <w:i/>
                <w:iCs/>
                <w:sz w:val="13"/>
                <w:szCs w:val="13"/>
              </w:rPr>
              <w:t>IAS 1.106</w:t>
            </w:r>
            <w:r>
              <w:rPr>
                <w:i/>
                <w:iCs/>
                <w:sz w:val="13"/>
                <w:szCs w:val="13"/>
              </w:rPr>
              <w:t>(d)(iii)</w:t>
            </w:r>
          </w:p>
        </w:tc>
        <w:tc>
          <w:tcPr>
            <w:tcW w:w="2790" w:type="dxa"/>
            <w:tcBorders>
              <w:left w:val="single" w:sz="4" w:space="0" w:color="auto"/>
            </w:tcBorders>
            <w:vAlign w:val="bottom"/>
          </w:tcPr>
          <w:p w14:paraId="2B1C6ABD" w14:textId="77777777" w:rsidR="00285250" w:rsidRPr="006A44FC" w:rsidRDefault="00285250" w:rsidP="00285250">
            <w:pPr>
              <w:spacing w:line="140" w:lineRule="exact"/>
              <w:ind w:left="227" w:hanging="170"/>
              <w:jc w:val="left"/>
              <w:rPr>
                <w:sz w:val="16"/>
                <w:szCs w:val="16"/>
                <w:rtl/>
              </w:rPr>
            </w:pPr>
            <w:r w:rsidRPr="006A44FC">
              <w:rPr>
                <w:rFonts w:hint="eastAsia"/>
                <w:sz w:val="16"/>
                <w:szCs w:val="16"/>
                <w:rtl/>
              </w:rPr>
              <w:t>הנפקת</w:t>
            </w:r>
            <w:r w:rsidRPr="006A44FC">
              <w:rPr>
                <w:sz w:val="16"/>
                <w:szCs w:val="16"/>
                <w:rtl/>
              </w:rPr>
              <w:t xml:space="preserve"> </w:t>
            </w:r>
            <w:r w:rsidRPr="006A44FC">
              <w:rPr>
                <w:rFonts w:hint="eastAsia"/>
                <w:sz w:val="16"/>
                <w:szCs w:val="16"/>
                <w:rtl/>
              </w:rPr>
              <w:t>הון</w:t>
            </w:r>
            <w:r w:rsidRPr="006A44FC">
              <w:rPr>
                <w:sz w:val="16"/>
                <w:szCs w:val="16"/>
                <w:rtl/>
              </w:rPr>
              <w:t xml:space="preserve"> </w:t>
            </w:r>
            <w:r w:rsidRPr="006A44FC">
              <w:rPr>
                <w:rFonts w:hint="eastAsia"/>
                <w:sz w:val="16"/>
                <w:szCs w:val="16"/>
                <w:rtl/>
              </w:rPr>
              <w:t>מניות</w:t>
            </w:r>
            <w:r w:rsidRPr="006A44FC">
              <w:rPr>
                <w:sz w:val="16"/>
                <w:szCs w:val="16"/>
                <w:rtl/>
              </w:rPr>
              <w:t xml:space="preserve"> (בניכוי </w:t>
            </w:r>
            <w:r w:rsidRPr="006A44FC">
              <w:rPr>
                <w:rFonts w:hint="eastAsia"/>
                <w:sz w:val="16"/>
                <w:szCs w:val="16"/>
                <w:rtl/>
              </w:rPr>
              <w:t>הוצאות</w:t>
            </w:r>
            <w:r w:rsidRPr="006A44FC">
              <w:rPr>
                <w:sz w:val="16"/>
                <w:szCs w:val="16"/>
                <w:rtl/>
              </w:rPr>
              <w:t xml:space="preserve"> </w:t>
            </w:r>
            <w:r w:rsidRPr="006A44FC">
              <w:rPr>
                <w:rFonts w:hint="eastAsia"/>
                <w:sz w:val="16"/>
                <w:szCs w:val="16"/>
                <w:rtl/>
              </w:rPr>
              <w:t>הנפקה</w:t>
            </w:r>
            <w:r w:rsidRPr="006A44FC">
              <w:rPr>
                <w:sz w:val="16"/>
                <w:szCs w:val="16"/>
                <w:rtl/>
              </w:rPr>
              <w:t xml:space="preserve"> בסך  אלפי ש"ח)</w:t>
            </w:r>
          </w:p>
        </w:tc>
        <w:tc>
          <w:tcPr>
            <w:tcW w:w="113" w:type="dxa"/>
            <w:vAlign w:val="bottom"/>
          </w:tcPr>
          <w:p w14:paraId="7C37AEF2"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7F3F7564" w14:textId="77777777" w:rsidR="00285250" w:rsidRPr="006A44FC" w:rsidRDefault="00285250" w:rsidP="00285250">
            <w:pPr>
              <w:tabs>
                <w:tab w:val="decimal" w:pos="113"/>
              </w:tabs>
              <w:spacing w:line="140" w:lineRule="exact"/>
              <w:rPr>
                <w:sz w:val="16"/>
                <w:szCs w:val="16"/>
              </w:rPr>
            </w:pPr>
          </w:p>
        </w:tc>
        <w:tc>
          <w:tcPr>
            <w:tcW w:w="113" w:type="dxa"/>
            <w:vAlign w:val="bottom"/>
          </w:tcPr>
          <w:p w14:paraId="40878AB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AE18565"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28C7314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CBA7CD5" w14:textId="77777777" w:rsidR="00285250" w:rsidRPr="006A44FC" w:rsidRDefault="00285250" w:rsidP="00285250">
            <w:pPr>
              <w:tabs>
                <w:tab w:val="decimal" w:pos="113"/>
              </w:tabs>
              <w:spacing w:line="140" w:lineRule="exact"/>
              <w:rPr>
                <w:sz w:val="16"/>
                <w:szCs w:val="16"/>
              </w:rPr>
            </w:pPr>
          </w:p>
        </w:tc>
        <w:tc>
          <w:tcPr>
            <w:tcW w:w="113" w:type="dxa"/>
          </w:tcPr>
          <w:p w14:paraId="1953E3E1"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4259E2D0" w14:textId="77777777" w:rsidR="00285250" w:rsidRPr="006A44FC" w:rsidRDefault="00285250" w:rsidP="00285250">
            <w:pPr>
              <w:tabs>
                <w:tab w:val="decimal" w:pos="113"/>
              </w:tabs>
              <w:spacing w:line="140" w:lineRule="exact"/>
              <w:rPr>
                <w:sz w:val="16"/>
                <w:szCs w:val="16"/>
              </w:rPr>
            </w:pPr>
          </w:p>
        </w:tc>
        <w:tc>
          <w:tcPr>
            <w:tcW w:w="113" w:type="dxa"/>
          </w:tcPr>
          <w:p w14:paraId="0D5F289F"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16A61430" w14:textId="77777777" w:rsidR="00285250" w:rsidRPr="006A44FC" w:rsidRDefault="00285250" w:rsidP="00285250">
            <w:pPr>
              <w:tabs>
                <w:tab w:val="decimal" w:pos="113"/>
              </w:tabs>
              <w:spacing w:line="140" w:lineRule="exact"/>
              <w:rPr>
                <w:sz w:val="16"/>
                <w:szCs w:val="16"/>
              </w:rPr>
            </w:pPr>
          </w:p>
        </w:tc>
        <w:tc>
          <w:tcPr>
            <w:tcW w:w="113" w:type="dxa"/>
            <w:vAlign w:val="bottom"/>
          </w:tcPr>
          <w:p w14:paraId="7C61204B"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520D98E" w14:textId="77777777" w:rsidR="00285250" w:rsidRPr="006A44FC" w:rsidRDefault="00285250" w:rsidP="00285250">
            <w:pPr>
              <w:tabs>
                <w:tab w:val="decimal" w:pos="113"/>
              </w:tabs>
              <w:spacing w:line="140" w:lineRule="exact"/>
              <w:rPr>
                <w:sz w:val="16"/>
                <w:szCs w:val="16"/>
              </w:rPr>
            </w:pPr>
          </w:p>
        </w:tc>
        <w:tc>
          <w:tcPr>
            <w:tcW w:w="113" w:type="dxa"/>
            <w:vAlign w:val="bottom"/>
          </w:tcPr>
          <w:p w14:paraId="4846DD4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1A2B0B9" w14:textId="77777777" w:rsidR="00285250" w:rsidRPr="006A44FC" w:rsidRDefault="00285250" w:rsidP="00285250">
            <w:pPr>
              <w:tabs>
                <w:tab w:val="decimal" w:pos="113"/>
              </w:tabs>
              <w:spacing w:line="140" w:lineRule="exact"/>
              <w:rPr>
                <w:sz w:val="16"/>
                <w:szCs w:val="16"/>
              </w:rPr>
            </w:pPr>
          </w:p>
        </w:tc>
        <w:tc>
          <w:tcPr>
            <w:tcW w:w="113" w:type="dxa"/>
            <w:vAlign w:val="bottom"/>
          </w:tcPr>
          <w:p w14:paraId="39628632"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3C2EF9A" w14:textId="77777777" w:rsidR="00285250" w:rsidRPr="006A44FC" w:rsidRDefault="00285250" w:rsidP="00285250">
            <w:pPr>
              <w:tabs>
                <w:tab w:val="decimal" w:pos="113"/>
              </w:tabs>
              <w:spacing w:line="140" w:lineRule="exact"/>
              <w:rPr>
                <w:sz w:val="16"/>
                <w:szCs w:val="16"/>
              </w:rPr>
            </w:pPr>
          </w:p>
        </w:tc>
        <w:tc>
          <w:tcPr>
            <w:tcW w:w="113" w:type="dxa"/>
            <w:vAlign w:val="bottom"/>
          </w:tcPr>
          <w:p w14:paraId="386EACB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8E4535B"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3A5E74F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4BB112F"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78F1AE8"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8080029"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5FB027B"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99AFD81"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39FC090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4F2BF6A" w14:textId="77777777" w:rsidR="00285250" w:rsidRPr="006A44FC" w:rsidRDefault="00285250" w:rsidP="00285250">
            <w:pPr>
              <w:tabs>
                <w:tab w:val="decimal" w:pos="113"/>
              </w:tabs>
              <w:spacing w:line="140" w:lineRule="exact"/>
              <w:rPr>
                <w:sz w:val="16"/>
                <w:szCs w:val="16"/>
              </w:rPr>
            </w:pPr>
          </w:p>
        </w:tc>
        <w:tc>
          <w:tcPr>
            <w:tcW w:w="144" w:type="dxa"/>
            <w:vAlign w:val="bottom"/>
          </w:tcPr>
          <w:p w14:paraId="3FA5FAA2"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D8CEA5F" w14:textId="77777777" w:rsidR="00285250" w:rsidRPr="006A44FC" w:rsidRDefault="00285250" w:rsidP="00285250">
            <w:pPr>
              <w:tabs>
                <w:tab w:val="decimal" w:pos="113"/>
              </w:tabs>
              <w:spacing w:line="140" w:lineRule="exact"/>
              <w:rPr>
                <w:sz w:val="16"/>
                <w:szCs w:val="16"/>
              </w:rPr>
            </w:pPr>
          </w:p>
        </w:tc>
        <w:tc>
          <w:tcPr>
            <w:tcW w:w="113" w:type="dxa"/>
            <w:vAlign w:val="bottom"/>
          </w:tcPr>
          <w:p w14:paraId="0208305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F32DCFC" w14:textId="77777777" w:rsidR="00285250" w:rsidRPr="006A44FC" w:rsidRDefault="00285250" w:rsidP="00285250">
            <w:pPr>
              <w:tabs>
                <w:tab w:val="decimal" w:pos="113"/>
              </w:tabs>
              <w:spacing w:line="140" w:lineRule="exact"/>
              <w:rPr>
                <w:sz w:val="16"/>
                <w:szCs w:val="16"/>
              </w:rPr>
            </w:pPr>
          </w:p>
        </w:tc>
        <w:tc>
          <w:tcPr>
            <w:tcW w:w="113" w:type="dxa"/>
          </w:tcPr>
          <w:p w14:paraId="2D547A8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1CEE5D40" w14:textId="77777777" w:rsidR="00285250" w:rsidRPr="006A44FC" w:rsidRDefault="00285250" w:rsidP="00285250">
            <w:pPr>
              <w:tabs>
                <w:tab w:val="decimal" w:pos="113"/>
              </w:tabs>
              <w:spacing w:line="140" w:lineRule="exact"/>
              <w:rPr>
                <w:sz w:val="16"/>
                <w:szCs w:val="16"/>
              </w:rPr>
            </w:pPr>
          </w:p>
        </w:tc>
      </w:tr>
      <w:tr w:rsidR="00285250" w:rsidRPr="006A44FC" w14:paraId="0F135AA0" w14:textId="77777777" w:rsidTr="00285250">
        <w:tc>
          <w:tcPr>
            <w:tcW w:w="1009" w:type="dxa"/>
            <w:vMerge/>
            <w:tcBorders>
              <w:bottom w:val="single" w:sz="4" w:space="0" w:color="auto"/>
              <w:right w:val="single" w:sz="4" w:space="0" w:color="auto"/>
            </w:tcBorders>
            <w:vAlign w:val="center"/>
          </w:tcPr>
          <w:p w14:paraId="562D36D2" w14:textId="77777777" w:rsidR="00285250" w:rsidRPr="00B21C4E" w:rsidRDefault="00285250" w:rsidP="00285250">
            <w:pPr>
              <w:bidi w:val="0"/>
              <w:spacing w:line="140" w:lineRule="exact"/>
              <w:jc w:val="right"/>
              <w:rPr>
                <w:i/>
                <w:iCs/>
                <w:sz w:val="13"/>
                <w:szCs w:val="13"/>
                <w:rtl/>
              </w:rPr>
            </w:pPr>
          </w:p>
        </w:tc>
        <w:tc>
          <w:tcPr>
            <w:tcW w:w="2790" w:type="dxa"/>
            <w:tcBorders>
              <w:left w:val="single" w:sz="4" w:space="0" w:color="auto"/>
            </w:tcBorders>
            <w:vAlign w:val="bottom"/>
          </w:tcPr>
          <w:p w14:paraId="1F9CE8CA"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הנפקת הון/מכירת מניות לבעלי זכויות שאינן מקנות שליטה</w:t>
            </w:r>
          </w:p>
        </w:tc>
        <w:tc>
          <w:tcPr>
            <w:tcW w:w="113" w:type="dxa"/>
            <w:vAlign w:val="bottom"/>
          </w:tcPr>
          <w:p w14:paraId="619B4055"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1BFFEA80" w14:textId="77777777" w:rsidR="00285250" w:rsidRPr="006A44FC" w:rsidRDefault="00285250" w:rsidP="00285250">
            <w:pPr>
              <w:tabs>
                <w:tab w:val="decimal" w:pos="113"/>
              </w:tabs>
              <w:spacing w:line="140" w:lineRule="exact"/>
              <w:rPr>
                <w:sz w:val="16"/>
                <w:szCs w:val="16"/>
              </w:rPr>
            </w:pPr>
          </w:p>
        </w:tc>
        <w:tc>
          <w:tcPr>
            <w:tcW w:w="113" w:type="dxa"/>
            <w:vAlign w:val="bottom"/>
          </w:tcPr>
          <w:p w14:paraId="43D4006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71F2E7B"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4246E2B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474BC55" w14:textId="77777777" w:rsidR="00285250" w:rsidRPr="006A44FC" w:rsidRDefault="00285250" w:rsidP="00285250">
            <w:pPr>
              <w:tabs>
                <w:tab w:val="decimal" w:pos="113"/>
              </w:tabs>
              <w:spacing w:line="140" w:lineRule="exact"/>
              <w:rPr>
                <w:sz w:val="16"/>
                <w:szCs w:val="16"/>
              </w:rPr>
            </w:pPr>
          </w:p>
        </w:tc>
        <w:tc>
          <w:tcPr>
            <w:tcW w:w="113" w:type="dxa"/>
          </w:tcPr>
          <w:p w14:paraId="7D69DCA5"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6142A8FD" w14:textId="77777777" w:rsidR="00285250" w:rsidRPr="006A44FC" w:rsidRDefault="00285250" w:rsidP="00285250">
            <w:pPr>
              <w:tabs>
                <w:tab w:val="decimal" w:pos="113"/>
              </w:tabs>
              <w:spacing w:line="140" w:lineRule="exact"/>
              <w:rPr>
                <w:sz w:val="16"/>
                <w:szCs w:val="16"/>
              </w:rPr>
            </w:pPr>
          </w:p>
        </w:tc>
        <w:tc>
          <w:tcPr>
            <w:tcW w:w="113" w:type="dxa"/>
          </w:tcPr>
          <w:p w14:paraId="5559E646"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74E3E8A3" w14:textId="77777777" w:rsidR="00285250" w:rsidRPr="006A44FC" w:rsidRDefault="00285250" w:rsidP="00285250">
            <w:pPr>
              <w:tabs>
                <w:tab w:val="decimal" w:pos="113"/>
              </w:tabs>
              <w:spacing w:line="140" w:lineRule="exact"/>
              <w:rPr>
                <w:sz w:val="16"/>
                <w:szCs w:val="16"/>
              </w:rPr>
            </w:pPr>
          </w:p>
        </w:tc>
        <w:tc>
          <w:tcPr>
            <w:tcW w:w="113" w:type="dxa"/>
            <w:vAlign w:val="bottom"/>
          </w:tcPr>
          <w:p w14:paraId="6660B3EB"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6E31E35" w14:textId="77777777" w:rsidR="00285250" w:rsidRPr="006A44FC" w:rsidRDefault="00285250" w:rsidP="00285250">
            <w:pPr>
              <w:tabs>
                <w:tab w:val="decimal" w:pos="113"/>
              </w:tabs>
              <w:spacing w:line="140" w:lineRule="exact"/>
              <w:rPr>
                <w:sz w:val="16"/>
                <w:szCs w:val="16"/>
              </w:rPr>
            </w:pPr>
          </w:p>
        </w:tc>
        <w:tc>
          <w:tcPr>
            <w:tcW w:w="113" w:type="dxa"/>
            <w:vAlign w:val="bottom"/>
          </w:tcPr>
          <w:p w14:paraId="720A96F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B4D8487" w14:textId="77777777" w:rsidR="00285250" w:rsidRPr="006A44FC" w:rsidRDefault="00285250" w:rsidP="00285250">
            <w:pPr>
              <w:tabs>
                <w:tab w:val="decimal" w:pos="113"/>
              </w:tabs>
              <w:spacing w:line="140" w:lineRule="exact"/>
              <w:rPr>
                <w:sz w:val="16"/>
                <w:szCs w:val="16"/>
              </w:rPr>
            </w:pPr>
          </w:p>
        </w:tc>
        <w:tc>
          <w:tcPr>
            <w:tcW w:w="113" w:type="dxa"/>
            <w:vAlign w:val="bottom"/>
          </w:tcPr>
          <w:p w14:paraId="07E1F4F4"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27EFA2E" w14:textId="77777777" w:rsidR="00285250" w:rsidRPr="006A44FC" w:rsidRDefault="00285250" w:rsidP="00285250">
            <w:pPr>
              <w:tabs>
                <w:tab w:val="decimal" w:pos="113"/>
              </w:tabs>
              <w:spacing w:line="140" w:lineRule="exact"/>
              <w:rPr>
                <w:sz w:val="16"/>
                <w:szCs w:val="16"/>
              </w:rPr>
            </w:pPr>
          </w:p>
        </w:tc>
        <w:tc>
          <w:tcPr>
            <w:tcW w:w="113" w:type="dxa"/>
            <w:vAlign w:val="bottom"/>
          </w:tcPr>
          <w:p w14:paraId="5C50596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182A215"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B90CC0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CF1196A"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868D9A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97326A6"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319E8A9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A38A0D9"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97F6951"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7F82305" w14:textId="77777777" w:rsidR="00285250" w:rsidRPr="006A44FC" w:rsidRDefault="00285250" w:rsidP="00285250">
            <w:pPr>
              <w:tabs>
                <w:tab w:val="decimal" w:pos="113"/>
              </w:tabs>
              <w:spacing w:line="140" w:lineRule="exact"/>
              <w:rPr>
                <w:sz w:val="16"/>
                <w:szCs w:val="16"/>
              </w:rPr>
            </w:pPr>
          </w:p>
        </w:tc>
        <w:tc>
          <w:tcPr>
            <w:tcW w:w="144" w:type="dxa"/>
            <w:vAlign w:val="bottom"/>
          </w:tcPr>
          <w:p w14:paraId="55641B1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C6FCB2B" w14:textId="77777777" w:rsidR="00285250" w:rsidRPr="006A44FC" w:rsidRDefault="00285250" w:rsidP="00285250">
            <w:pPr>
              <w:tabs>
                <w:tab w:val="decimal" w:pos="113"/>
              </w:tabs>
              <w:spacing w:line="140" w:lineRule="exact"/>
              <w:rPr>
                <w:sz w:val="16"/>
                <w:szCs w:val="16"/>
              </w:rPr>
            </w:pPr>
          </w:p>
        </w:tc>
        <w:tc>
          <w:tcPr>
            <w:tcW w:w="113" w:type="dxa"/>
            <w:vAlign w:val="bottom"/>
          </w:tcPr>
          <w:p w14:paraId="67D228F4"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47A0E0F" w14:textId="77777777" w:rsidR="00285250" w:rsidRPr="006A44FC" w:rsidRDefault="00285250" w:rsidP="00285250">
            <w:pPr>
              <w:tabs>
                <w:tab w:val="decimal" w:pos="113"/>
              </w:tabs>
              <w:spacing w:line="140" w:lineRule="exact"/>
              <w:rPr>
                <w:sz w:val="16"/>
                <w:szCs w:val="16"/>
              </w:rPr>
            </w:pPr>
          </w:p>
        </w:tc>
        <w:tc>
          <w:tcPr>
            <w:tcW w:w="113" w:type="dxa"/>
          </w:tcPr>
          <w:p w14:paraId="5979FAC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3795F637" w14:textId="77777777" w:rsidR="00285250" w:rsidRPr="006A44FC" w:rsidRDefault="00285250" w:rsidP="00285250">
            <w:pPr>
              <w:tabs>
                <w:tab w:val="decimal" w:pos="113"/>
              </w:tabs>
              <w:spacing w:line="140" w:lineRule="exact"/>
              <w:rPr>
                <w:sz w:val="16"/>
                <w:szCs w:val="16"/>
              </w:rPr>
            </w:pPr>
          </w:p>
        </w:tc>
      </w:tr>
      <w:tr w:rsidR="00285250" w:rsidRPr="006A44FC" w14:paraId="4ACB05FA" w14:textId="77777777" w:rsidTr="00285250">
        <w:tc>
          <w:tcPr>
            <w:tcW w:w="1009" w:type="dxa"/>
            <w:tcBorders>
              <w:top w:val="single" w:sz="4" w:space="0" w:color="auto"/>
            </w:tcBorders>
            <w:vAlign w:val="center"/>
          </w:tcPr>
          <w:p w14:paraId="748859E7" w14:textId="77777777" w:rsidR="00285250" w:rsidRPr="00B21C4E" w:rsidRDefault="00285250" w:rsidP="00285250">
            <w:pPr>
              <w:bidi w:val="0"/>
              <w:spacing w:line="140" w:lineRule="exact"/>
              <w:jc w:val="right"/>
              <w:rPr>
                <w:i/>
                <w:iCs/>
                <w:sz w:val="13"/>
                <w:szCs w:val="13"/>
                <w:rtl/>
              </w:rPr>
            </w:pPr>
          </w:p>
        </w:tc>
        <w:tc>
          <w:tcPr>
            <w:tcW w:w="2790" w:type="dxa"/>
            <w:vAlign w:val="bottom"/>
          </w:tcPr>
          <w:p w14:paraId="2DEDF273"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תקבולים בגין אופציית המרה בהנפקת אגרות חוב ניתנות להמרה (בניכוי הוצאות הנפקה)</w:t>
            </w:r>
          </w:p>
        </w:tc>
        <w:tc>
          <w:tcPr>
            <w:tcW w:w="113" w:type="dxa"/>
            <w:vAlign w:val="bottom"/>
          </w:tcPr>
          <w:p w14:paraId="1C7ADF40"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30D359F1" w14:textId="77777777" w:rsidR="00285250" w:rsidRPr="006A44FC" w:rsidRDefault="00285250" w:rsidP="00285250">
            <w:pPr>
              <w:tabs>
                <w:tab w:val="decimal" w:pos="113"/>
              </w:tabs>
              <w:spacing w:line="140" w:lineRule="exact"/>
              <w:rPr>
                <w:sz w:val="16"/>
                <w:szCs w:val="16"/>
              </w:rPr>
            </w:pPr>
          </w:p>
        </w:tc>
        <w:tc>
          <w:tcPr>
            <w:tcW w:w="113" w:type="dxa"/>
            <w:vAlign w:val="bottom"/>
          </w:tcPr>
          <w:p w14:paraId="372E352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2BA5218"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40EC214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DC5BAB3" w14:textId="77777777" w:rsidR="00285250" w:rsidRPr="006A44FC" w:rsidRDefault="00285250" w:rsidP="00285250">
            <w:pPr>
              <w:tabs>
                <w:tab w:val="decimal" w:pos="113"/>
              </w:tabs>
              <w:spacing w:line="140" w:lineRule="exact"/>
              <w:rPr>
                <w:sz w:val="16"/>
                <w:szCs w:val="16"/>
              </w:rPr>
            </w:pPr>
          </w:p>
        </w:tc>
        <w:tc>
          <w:tcPr>
            <w:tcW w:w="113" w:type="dxa"/>
          </w:tcPr>
          <w:p w14:paraId="659832F3"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1AE790E3" w14:textId="77777777" w:rsidR="00285250" w:rsidRPr="006A44FC" w:rsidRDefault="00285250" w:rsidP="00285250">
            <w:pPr>
              <w:tabs>
                <w:tab w:val="decimal" w:pos="113"/>
              </w:tabs>
              <w:spacing w:line="140" w:lineRule="exact"/>
              <w:rPr>
                <w:sz w:val="16"/>
                <w:szCs w:val="16"/>
              </w:rPr>
            </w:pPr>
          </w:p>
        </w:tc>
        <w:tc>
          <w:tcPr>
            <w:tcW w:w="113" w:type="dxa"/>
          </w:tcPr>
          <w:p w14:paraId="40AE0A9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6FD815B2" w14:textId="77777777" w:rsidR="00285250" w:rsidRPr="006A44FC" w:rsidRDefault="00285250" w:rsidP="00285250">
            <w:pPr>
              <w:tabs>
                <w:tab w:val="decimal" w:pos="113"/>
              </w:tabs>
              <w:spacing w:line="140" w:lineRule="exact"/>
              <w:rPr>
                <w:sz w:val="16"/>
                <w:szCs w:val="16"/>
              </w:rPr>
            </w:pPr>
          </w:p>
        </w:tc>
        <w:tc>
          <w:tcPr>
            <w:tcW w:w="113" w:type="dxa"/>
            <w:vAlign w:val="bottom"/>
          </w:tcPr>
          <w:p w14:paraId="4FC5304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AD9A267" w14:textId="77777777" w:rsidR="00285250" w:rsidRPr="006A44FC" w:rsidRDefault="00285250" w:rsidP="00285250">
            <w:pPr>
              <w:tabs>
                <w:tab w:val="decimal" w:pos="113"/>
              </w:tabs>
              <w:spacing w:line="140" w:lineRule="exact"/>
              <w:rPr>
                <w:sz w:val="16"/>
                <w:szCs w:val="16"/>
              </w:rPr>
            </w:pPr>
          </w:p>
        </w:tc>
        <w:tc>
          <w:tcPr>
            <w:tcW w:w="113" w:type="dxa"/>
            <w:vAlign w:val="bottom"/>
          </w:tcPr>
          <w:p w14:paraId="6A38335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91770D9" w14:textId="77777777" w:rsidR="00285250" w:rsidRPr="006A44FC" w:rsidRDefault="00285250" w:rsidP="00285250">
            <w:pPr>
              <w:tabs>
                <w:tab w:val="decimal" w:pos="113"/>
              </w:tabs>
              <w:spacing w:line="140" w:lineRule="exact"/>
              <w:rPr>
                <w:sz w:val="16"/>
                <w:szCs w:val="16"/>
              </w:rPr>
            </w:pPr>
          </w:p>
        </w:tc>
        <w:tc>
          <w:tcPr>
            <w:tcW w:w="113" w:type="dxa"/>
            <w:vAlign w:val="bottom"/>
          </w:tcPr>
          <w:p w14:paraId="6350E42F"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14ED77C" w14:textId="77777777" w:rsidR="00285250" w:rsidRPr="006A44FC" w:rsidRDefault="00285250" w:rsidP="00285250">
            <w:pPr>
              <w:tabs>
                <w:tab w:val="decimal" w:pos="113"/>
              </w:tabs>
              <w:spacing w:line="140" w:lineRule="exact"/>
              <w:rPr>
                <w:sz w:val="16"/>
                <w:szCs w:val="16"/>
              </w:rPr>
            </w:pPr>
          </w:p>
        </w:tc>
        <w:tc>
          <w:tcPr>
            <w:tcW w:w="113" w:type="dxa"/>
            <w:vAlign w:val="bottom"/>
          </w:tcPr>
          <w:p w14:paraId="38AD85E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3F741F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FAB7AE6"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096AA4A"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F0F9F8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56855F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EB7911F"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3470D4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7D64845"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29F5E3A" w14:textId="77777777" w:rsidR="00285250" w:rsidRPr="006A44FC" w:rsidRDefault="00285250" w:rsidP="00285250">
            <w:pPr>
              <w:tabs>
                <w:tab w:val="decimal" w:pos="113"/>
              </w:tabs>
              <w:spacing w:line="140" w:lineRule="exact"/>
              <w:rPr>
                <w:sz w:val="16"/>
                <w:szCs w:val="16"/>
              </w:rPr>
            </w:pPr>
          </w:p>
        </w:tc>
        <w:tc>
          <w:tcPr>
            <w:tcW w:w="144" w:type="dxa"/>
            <w:vAlign w:val="bottom"/>
          </w:tcPr>
          <w:p w14:paraId="56EEA4C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C340145" w14:textId="77777777" w:rsidR="00285250" w:rsidRPr="006A44FC" w:rsidRDefault="00285250" w:rsidP="00285250">
            <w:pPr>
              <w:tabs>
                <w:tab w:val="decimal" w:pos="113"/>
              </w:tabs>
              <w:spacing w:line="140" w:lineRule="exact"/>
              <w:rPr>
                <w:sz w:val="16"/>
                <w:szCs w:val="16"/>
              </w:rPr>
            </w:pPr>
          </w:p>
        </w:tc>
        <w:tc>
          <w:tcPr>
            <w:tcW w:w="113" w:type="dxa"/>
            <w:vAlign w:val="bottom"/>
          </w:tcPr>
          <w:p w14:paraId="1221768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8CCF74E" w14:textId="77777777" w:rsidR="00285250" w:rsidRPr="006A44FC" w:rsidRDefault="00285250" w:rsidP="00285250">
            <w:pPr>
              <w:tabs>
                <w:tab w:val="decimal" w:pos="113"/>
              </w:tabs>
              <w:spacing w:line="140" w:lineRule="exact"/>
              <w:rPr>
                <w:sz w:val="16"/>
                <w:szCs w:val="16"/>
              </w:rPr>
            </w:pPr>
          </w:p>
        </w:tc>
        <w:tc>
          <w:tcPr>
            <w:tcW w:w="113" w:type="dxa"/>
          </w:tcPr>
          <w:p w14:paraId="5A383224"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38E881DE" w14:textId="77777777" w:rsidR="00285250" w:rsidRPr="006A44FC" w:rsidRDefault="00285250" w:rsidP="00285250">
            <w:pPr>
              <w:tabs>
                <w:tab w:val="decimal" w:pos="113"/>
              </w:tabs>
              <w:spacing w:line="140" w:lineRule="exact"/>
              <w:rPr>
                <w:sz w:val="16"/>
                <w:szCs w:val="16"/>
              </w:rPr>
            </w:pPr>
          </w:p>
        </w:tc>
      </w:tr>
      <w:tr w:rsidR="00285250" w:rsidRPr="006A44FC" w14:paraId="0B65513F" w14:textId="77777777" w:rsidTr="00285250">
        <w:tc>
          <w:tcPr>
            <w:tcW w:w="1009" w:type="dxa"/>
            <w:vMerge w:val="restart"/>
            <w:tcBorders>
              <w:bottom w:val="single" w:sz="4" w:space="0" w:color="auto"/>
              <w:right w:val="single" w:sz="4" w:space="0" w:color="auto"/>
            </w:tcBorders>
            <w:vAlign w:val="center"/>
          </w:tcPr>
          <w:p w14:paraId="69B129F9" w14:textId="77777777" w:rsidR="00285250" w:rsidRPr="00B21C4E" w:rsidRDefault="00285250" w:rsidP="00285250">
            <w:pPr>
              <w:bidi w:val="0"/>
              <w:spacing w:line="140" w:lineRule="exact"/>
              <w:jc w:val="right"/>
              <w:rPr>
                <w:i/>
                <w:iCs/>
                <w:sz w:val="13"/>
                <w:szCs w:val="13"/>
                <w:rtl/>
              </w:rPr>
            </w:pPr>
            <w:r>
              <w:rPr>
                <w:i/>
                <w:iCs/>
                <w:sz w:val="13"/>
                <w:szCs w:val="13"/>
              </w:rPr>
              <w:t>IAS 1.106(d)(iii);</w:t>
            </w:r>
          </w:p>
        </w:tc>
        <w:tc>
          <w:tcPr>
            <w:tcW w:w="2790" w:type="dxa"/>
            <w:tcBorders>
              <w:left w:val="single" w:sz="4" w:space="0" w:color="auto"/>
            </w:tcBorders>
            <w:vAlign w:val="bottom"/>
          </w:tcPr>
          <w:p w14:paraId="4CA433B6"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המרת אגרות חוב להמרה במניות</w:t>
            </w:r>
          </w:p>
        </w:tc>
        <w:tc>
          <w:tcPr>
            <w:tcW w:w="113" w:type="dxa"/>
            <w:vAlign w:val="bottom"/>
          </w:tcPr>
          <w:p w14:paraId="5260A96E"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6150B268" w14:textId="77777777" w:rsidR="00285250" w:rsidRPr="006A44FC" w:rsidRDefault="00285250" w:rsidP="00285250">
            <w:pPr>
              <w:tabs>
                <w:tab w:val="decimal" w:pos="113"/>
              </w:tabs>
              <w:spacing w:line="140" w:lineRule="exact"/>
              <w:rPr>
                <w:sz w:val="16"/>
                <w:szCs w:val="16"/>
              </w:rPr>
            </w:pPr>
          </w:p>
        </w:tc>
        <w:tc>
          <w:tcPr>
            <w:tcW w:w="113" w:type="dxa"/>
            <w:vAlign w:val="bottom"/>
          </w:tcPr>
          <w:p w14:paraId="6FD92AA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9453D13"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7044F2F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029F1AE" w14:textId="77777777" w:rsidR="00285250" w:rsidRPr="006A44FC" w:rsidRDefault="00285250" w:rsidP="00285250">
            <w:pPr>
              <w:tabs>
                <w:tab w:val="decimal" w:pos="113"/>
              </w:tabs>
              <w:spacing w:line="140" w:lineRule="exact"/>
              <w:rPr>
                <w:sz w:val="16"/>
                <w:szCs w:val="16"/>
              </w:rPr>
            </w:pPr>
          </w:p>
        </w:tc>
        <w:tc>
          <w:tcPr>
            <w:tcW w:w="113" w:type="dxa"/>
          </w:tcPr>
          <w:p w14:paraId="0429751C"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457E5EEE" w14:textId="77777777" w:rsidR="00285250" w:rsidRPr="006A44FC" w:rsidRDefault="00285250" w:rsidP="00285250">
            <w:pPr>
              <w:tabs>
                <w:tab w:val="decimal" w:pos="113"/>
              </w:tabs>
              <w:spacing w:line="140" w:lineRule="exact"/>
              <w:rPr>
                <w:sz w:val="16"/>
                <w:szCs w:val="16"/>
              </w:rPr>
            </w:pPr>
          </w:p>
        </w:tc>
        <w:tc>
          <w:tcPr>
            <w:tcW w:w="113" w:type="dxa"/>
          </w:tcPr>
          <w:p w14:paraId="1C0CAD4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2D611879" w14:textId="77777777" w:rsidR="00285250" w:rsidRPr="006A44FC" w:rsidRDefault="00285250" w:rsidP="00285250">
            <w:pPr>
              <w:tabs>
                <w:tab w:val="decimal" w:pos="113"/>
              </w:tabs>
              <w:spacing w:line="140" w:lineRule="exact"/>
              <w:rPr>
                <w:sz w:val="16"/>
                <w:szCs w:val="16"/>
              </w:rPr>
            </w:pPr>
          </w:p>
        </w:tc>
        <w:tc>
          <w:tcPr>
            <w:tcW w:w="113" w:type="dxa"/>
            <w:vAlign w:val="bottom"/>
          </w:tcPr>
          <w:p w14:paraId="00F4A7F6"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4DC3F37" w14:textId="77777777" w:rsidR="00285250" w:rsidRPr="006A44FC" w:rsidRDefault="00285250" w:rsidP="00285250">
            <w:pPr>
              <w:tabs>
                <w:tab w:val="decimal" w:pos="113"/>
              </w:tabs>
              <w:spacing w:line="140" w:lineRule="exact"/>
              <w:rPr>
                <w:sz w:val="16"/>
                <w:szCs w:val="16"/>
              </w:rPr>
            </w:pPr>
          </w:p>
        </w:tc>
        <w:tc>
          <w:tcPr>
            <w:tcW w:w="113" w:type="dxa"/>
            <w:vAlign w:val="bottom"/>
          </w:tcPr>
          <w:p w14:paraId="5071F952"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F76AA03" w14:textId="77777777" w:rsidR="00285250" w:rsidRPr="006A44FC" w:rsidRDefault="00285250" w:rsidP="00285250">
            <w:pPr>
              <w:tabs>
                <w:tab w:val="decimal" w:pos="113"/>
              </w:tabs>
              <w:spacing w:line="140" w:lineRule="exact"/>
              <w:rPr>
                <w:sz w:val="16"/>
                <w:szCs w:val="16"/>
              </w:rPr>
            </w:pPr>
          </w:p>
        </w:tc>
        <w:tc>
          <w:tcPr>
            <w:tcW w:w="113" w:type="dxa"/>
            <w:vAlign w:val="bottom"/>
          </w:tcPr>
          <w:p w14:paraId="46650C2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D9036EB" w14:textId="77777777" w:rsidR="00285250" w:rsidRPr="006A44FC" w:rsidRDefault="00285250" w:rsidP="00285250">
            <w:pPr>
              <w:tabs>
                <w:tab w:val="decimal" w:pos="113"/>
              </w:tabs>
              <w:spacing w:line="140" w:lineRule="exact"/>
              <w:rPr>
                <w:sz w:val="16"/>
                <w:szCs w:val="16"/>
              </w:rPr>
            </w:pPr>
          </w:p>
        </w:tc>
        <w:tc>
          <w:tcPr>
            <w:tcW w:w="113" w:type="dxa"/>
            <w:vAlign w:val="bottom"/>
          </w:tcPr>
          <w:p w14:paraId="1097ADC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5F2DEC0"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71582059"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CDDE3C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77917D9"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B94BAA6"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3C92B79"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795B180"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04C74E99"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D1F07EA" w14:textId="77777777" w:rsidR="00285250" w:rsidRPr="006A44FC" w:rsidRDefault="00285250" w:rsidP="00285250">
            <w:pPr>
              <w:tabs>
                <w:tab w:val="decimal" w:pos="113"/>
              </w:tabs>
              <w:spacing w:line="140" w:lineRule="exact"/>
              <w:rPr>
                <w:sz w:val="16"/>
                <w:szCs w:val="16"/>
              </w:rPr>
            </w:pPr>
          </w:p>
        </w:tc>
        <w:tc>
          <w:tcPr>
            <w:tcW w:w="144" w:type="dxa"/>
            <w:vAlign w:val="bottom"/>
          </w:tcPr>
          <w:p w14:paraId="5A7F8F0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A9EAC1F" w14:textId="77777777" w:rsidR="00285250" w:rsidRPr="006A44FC" w:rsidRDefault="00285250" w:rsidP="00285250">
            <w:pPr>
              <w:tabs>
                <w:tab w:val="decimal" w:pos="113"/>
              </w:tabs>
              <w:spacing w:line="140" w:lineRule="exact"/>
              <w:rPr>
                <w:sz w:val="16"/>
                <w:szCs w:val="16"/>
              </w:rPr>
            </w:pPr>
          </w:p>
        </w:tc>
        <w:tc>
          <w:tcPr>
            <w:tcW w:w="113" w:type="dxa"/>
            <w:vAlign w:val="bottom"/>
          </w:tcPr>
          <w:p w14:paraId="643E2462"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F06BEDC" w14:textId="77777777" w:rsidR="00285250" w:rsidRPr="006A44FC" w:rsidRDefault="00285250" w:rsidP="00285250">
            <w:pPr>
              <w:tabs>
                <w:tab w:val="decimal" w:pos="113"/>
              </w:tabs>
              <w:spacing w:line="140" w:lineRule="exact"/>
              <w:rPr>
                <w:sz w:val="16"/>
                <w:szCs w:val="16"/>
              </w:rPr>
            </w:pPr>
          </w:p>
        </w:tc>
        <w:tc>
          <w:tcPr>
            <w:tcW w:w="113" w:type="dxa"/>
          </w:tcPr>
          <w:p w14:paraId="00D4D00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7F3E12D4" w14:textId="77777777" w:rsidR="00285250" w:rsidRPr="006A44FC" w:rsidRDefault="00285250" w:rsidP="00285250">
            <w:pPr>
              <w:tabs>
                <w:tab w:val="decimal" w:pos="113"/>
              </w:tabs>
              <w:spacing w:line="140" w:lineRule="exact"/>
              <w:rPr>
                <w:sz w:val="16"/>
                <w:szCs w:val="16"/>
              </w:rPr>
            </w:pPr>
          </w:p>
        </w:tc>
      </w:tr>
      <w:tr w:rsidR="00285250" w:rsidRPr="006A44FC" w14:paraId="76E5E185" w14:textId="77777777" w:rsidTr="00285250">
        <w:tc>
          <w:tcPr>
            <w:tcW w:w="1009" w:type="dxa"/>
            <w:vMerge/>
            <w:tcBorders>
              <w:bottom w:val="single" w:sz="4" w:space="0" w:color="auto"/>
              <w:right w:val="single" w:sz="4" w:space="0" w:color="auto"/>
            </w:tcBorders>
            <w:vAlign w:val="center"/>
          </w:tcPr>
          <w:p w14:paraId="48EA9110" w14:textId="77777777" w:rsidR="00285250" w:rsidRPr="00B21C4E" w:rsidRDefault="00285250" w:rsidP="00285250">
            <w:pPr>
              <w:bidi w:val="0"/>
              <w:spacing w:line="140" w:lineRule="exact"/>
              <w:jc w:val="right"/>
              <w:rPr>
                <w:i/>
                <w:iCs/>
                <w:sz w:val="13"/>
                <w:szCs w:val="13"/>
                <w:rtl/>
              </w:rPr>
            </w:pPr>
          </w:p>
        </w:tc>
        <w:tc>
          <w:tcPr>
            <w:tcW w:w="2790" w:type="dxa"/>
            <w:tcBorders>
              <w:left w:val="single" w:sz="4" w:space="0" w:color="auto"/>
            </w:tcBorders>
            <w:vAlign w:val="bottom"/>
          </w:tcPr>
          <w:p w14:paraId="69CBEEF9"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מימוש כתבי אופציה והמרת אגרות חוב להמרה בחברה מאוחדת</w:t>
            </w:r>
          </w:p>
        </w:tc>
        <w:tc>
          <w:tcPr>
            <w:tcW w:w="113" w:type="dxa"/>
            <w:vAlign w:val="bottom"/>
          </w:tcPr>
          <w:p w14:paraId="4F9BB055"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22C8799C" w14:textId="77777777" w:rsidR="00285250" w:rsidRPr="006A44FC" w:rsidRDefault="00285250" w:rsidP="00285250">
            <w:pPr>
              <w:tabs>
                <w:tab w:val="decimal" w:pos="113"/>
              </w:tabs>
              <w:spacing w:line="140" w:lineRule="exact"/>
              <w:rPr>
                <w:sz w:val="16"/>
                <w:szCs w:val="16"/>
              </w:rPr>
            </w:pPr>
          </w:p>
        </w:tc>
        <w:tc>
          <w:tcPr>
            <w:tcW w:w="113" w:type="dxa"/>
            <w:vAlign w:val="bottom"/>
          </w:tcPr>
          <w:p w14:paraId="7FEE092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9E1C879"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15D4C9D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F50D916" w14:textId="77777777" w:rsidR="00285250" w:rsidRPr="006A44FC" w:rsidRDefault="00285250" w:rsidP="00285250">
            <w:pPr>
              <w:tabs>
                <w:tab w:val="decimal" w:pos="113"/>
              </w:tabs>
              <w:spacing w:line="140" w:lineRule="exact"/>
              <w:rPr>
                <w:sz w:val="16"/>
                <w:szCs w:val="16"/>
              </w:rPr>
            </w:pPr>
          </w:p>
        </w:tc>
        <w:tc>
          <w:tcPr>
            <w:tcW w:w="113" w:type="dxa"/>
          </w:tcPr>
          <w:p w14:paraId="7BA4E480"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7FDEF596" w14:textId="77777777" w:rsidR="00285250" w:rsidRPr="006A44FC" w:rsidRDefault="00285250" w:rsidP="00285250">
            <w:pPr>
              <w:tabs>
                <w:tab w:val="decimal" w:pos="113"/>
              </w:tabs>
              <w:spacing w:line="140" w:lineRule="exact"/>
              <w:rPr>
                <w:sz w:val="16"/>
                <w:szCs w:val="16"/>
              </w:rPr>
            </w:pPr>
          </w:p>
        </w:tc>
        <w:tc>
          <w:tcPr>
            <w:tcW w:w="113" w:type="dxa"/>
          </w:tcPr>
          <w:p w14:paraId="27807BB2"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07162D6A" w14:textId="77777777" w:rsidR="00285250" w:rsidRPr="006A44FC" w:rsidRDefault="00285250" w:rsidP="00285250">
            <w:pPr>
              <w:tabs>
                <w:tab w:val="decimal" w:pos="113"/>
              </w:tabs>
              <w:spacing w:line="140" w:lineRule="exact"/>
              <w:rPr>
                <w:sz w:val="16"/>
                <w:szCs w:val="16"/>
              </w:rPr>
            </w:pPr>
          </w:p>
        </w:tc>
        <w:tc>
          <w:tcPr>
            <w:tcW w:w="113" w:type="dxa"/>
            <w:vAlign w:val="bottom"/>
          </w:tcPr>
          <w:p w14:paraId="78D8F58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64F1FF8" w14:textId="77777777" w:rsidR="00285250" w:rsidRPr="006A44FC" w:rsidRDefault="00285250" w:rsidP="00285250">
            <w:pPr>
              <w:tabs>
                <w:tab w:val="decimal" w:pos="113"/>
              </w:tabs>
              <w:spacing w:line="140" w:lineRule="exact"/>
              <w:rPr>
                <w:sz w:val="16"/>
                <w:szCs w:val="16"/>
              </w:rPr>
            </w:pPr>
          </w:p>
        </w:tc>
        <w:tc>
          <w:tcPr>
            <w:tcW w:w="113" w:type="dxa"/>
            <w:vAlign w:val="bottom"/>
          </w:tcPr>
          <w:p w14:paraId="148A394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5C4E809" w14:textId="77777777" w:rsidR="00285250" w:rsidRPr="006A44FC" w:rsidRDefault="00285250" w:rsidP="00285250">
            <w:pPr>
              <w:tabs>
                <w:tab w:val="decimal" w:pos="113"/>
              </w:tabs>
              <w:spacing w:line="140" w:lineRule="exact"/>
              <w:rPr>
                <w:sz w:val="16"/>
                <w:szCs w:val="16"/>
              </w:rPr>
            </w:pPr>
          </w:p>
        </w:tc>
        <w:tc>
          <w:tcPr>
            <w:tcW w:w="113" w:type="dxa"/>
            <w:vAlign w:val="bottom"/>
          </w:tcPr>
          <w:p w14:paraId="3E06696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707515E" w14:textId="77777777" w:rsidR="00285250" w:rsidRPr="006A44FC" w:rsidRDefault="00285250" w:rsidP="00285250">
            <w:pPr>
              <w:tabs>
                <w:tab w:val="decimal" w:pos="113"/>
              </w:tabs>
              <w:spacing w:line="140" w:lineRule="exact"/>
              <w:rPr>
                <w:sz w:val="16"/>
                <w:szCs w:val="16"/>
              </w:rPr>
            </w:pPr>
          </w:p>
        </w:tc>
        <w:tc>
          <w:tcPr>
            <w:tcW w:w="113" w:type="dxa"/>
            <w:vAlign w:val="bottom"/>
          </w:tcPr>
          <w:p w14:paraId="0EC943A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A35934B"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4608979"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686D002"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CE6A98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80280DA"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315F8C0"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CF49127"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D714FD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F11FB86" w14:textId="77777777" w:rsidR="00285250" w:rsidRPr="006A44FC" w:rsidRDefault="00285250" w:rsidP="00285250">
            <w:pPr>
              <w:tabs>
                <w:tab w:val="decimal" w:pos="113"/>
              </w:tabs>
              <w:spacing w:line="140" w:lineRule="exact"/>
              <w:rPr>
                <w:sz w:val="16"/>
                <w:szCs w:val="16"/>
              </w:rPr>
            </w:pPr>
          </w:p>
        </w:tc>
        <w:tc>
          <w:tcPr>
            <w:tcW w:w="144" w:type="dxa"/>
            <w:vAlign w:val="bottom"/>
          </w:tcPr>
          <w:p w14:paraId="5FEB118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80C5DAE" w14:textId="77777777" w:rsidR="00285250" w:rsidRPr="006A44FC" w:rsidRDefault="00285250" w:rsidP="00285250">
            <w:pPr>
              <w:tabs>
                <w:tab w:val="decimal" w:pos="113"/>
              </w:tabs>
              <w:spacing w:line="140" w:lineRule="exact"/>
              <w:rPr>
                <w:sz w:val="16"/>
                <w:szCs w:val="16"/>
              </w:rPr>
            </w:pPr>
          </w:p>
        </w:tc>
        <w:tc>
          <w:tcPr>
            <w:tcW w:w="113" w:type="dxa"/>
            <w:vAlign w:val="bottom"/>
          </w:tcPr>
          <w:p w14:paraId="6D72BCCB"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5C196C1" w14:textId="77777777" w:rsidR="00285250" w:rsidRPr="006A44FC" w:rsidRDefault="00285250" w:rsidP="00285250">
            <w:pPr>
              <w:tabs>
                <w:tab w:val="decimal" w:pos="113"/>
              </w:tabs>
              <w:spacing w:line="140" w:lineRule="exact"/>
              <w:rPr>
                <w:sz w:val="16"/>
                <w:szCs w:val="16"/>
              </w:rPr>
            </w:pPr>
          </w:p>
        </w:tc>
        <w:tc>
          <w:tcPr>
            <w:tcW w:w="113" w:type="dxa"/>
          </w:tcPr>
          <w:p w14:paraId="4EC1503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6930241A" w14:textId="77777777" w:rsidR="00285250" w:rsidRPr="006A44FC" w:rsidRDefault="00285250" w:rsidP="00285250">
            <w:pPr>
              <w:tabs>
                <w:tab w:val="decimal" w:pos="113"/>
              </w:tabs>
              <w:spacing w:line="140" w:lineRule="exact"/>
              <w:rPr>
                <w:sz w:val="16"/>
                <w:szCs w:val="16"/>
              </w:rPr>
            </w:pPr>
          </w:p>
        </w:tc>
      </w:tr>
      <w:tr w:rsidR="00285250" w:rsidRPr="006A44FC" w14:paraId="36FE3FEB" w14:textId="77777777" w:rsidTr="00285250">
        <w:tc>
          <w:tcPr>
            <w:tcW w:w="1009" w:type="dxa"/>
            <w:tcBorders>
              <w:top w:val="single" w:sz="4" w:space="0" w:color="auto"/>
              <w:bottom w:val="single" w:sz="4" w:space="0" w:color="auto"/>
              <w:right w:val="single" w:sz="4" w:space="0" w:color="auto"/>
            </w:tcBorders>
            <w:vAlign w:val="center"/>
          </w:tcPr>
          <w:p w14:paraId="6C09909E" w14:textId="77777777" w:rsidR="00285250" w:rsidRPr="00B21C4E" w:rsidRDefault="00285250" w:rsidP="00285250">
            <w:pPr>
              <w:bidi w:val="0"/>
              <w:spacing w:line="140" w:lineRule="exact"/>
              <w:jc w:val="right"/>
              <w:rPr>
                <w:i/>
                <w:iCs/>
                <w:sz w:val="13"/>
                <w:szCs w:val="13"/>
                <w:rtl/>
              </w:rPr>
            </w:pPr>
            <w:r>
              <w:rPr>
                <w:rFonts w:hint="cs"/>
                <w:i/>
                <w:iCs/>
                <w:sz w:val="13"/>
                <w:szCs w:val="13"/>
              </w:rPr>
              <w:t>IFRS </w:t>
            </w:r>
            <w:r>
              <w:rPr>
                <w:rFonts w:hint="cs"/>
                <w:i/>
                <w:iCs/>
                <w:sz w:val="13"/>
                <w:szCs w:val="13"/>
                <w:rtl/>
              </w:rPr>
              <w:t>2.50</w:t>
            </w:r>
            <w:r>
              <w:rPr>
                <w:i/>
                <w:iCs/>
                <w:sz w:val="13"/>
                <w:szCs w:val="13"/>
              </w:rPr>
              <w:t xml:space="preserve">; </w:t>
            </w:r>
            <w:r>
              <w:rPr>
                <w:rFonts w:hint="cs"/>
                <w:i/>
                <w:iCs/>
                <w:sz w:val="13"/>
                <w:szCs w:val="13"/>
              </w:rPr>
              <w:t>IAS 1.106</w:t>
            </w:r>
            <w:r>
              <w:rPr>
                <w:i/>
                <w:iCs/>
                <w:sz w:val="13"/>
                <w:szCs w:val="13"/>
              </w:rPr>
              <w:t>(d)(iii)</w:t>
            </w:r>
          </w:p>
        </w:tc>
        <w:tc>
          <w:tcPr>
            <w:tcW w:w="2790" w:type="dxa"/>
            <w:tcBorders>
              <w:left w:val="single" w:sz="4" w:space="0" w:color="auto"/>
            </w:tcBorders>
            <w:vAlign w:val="bottom"/>
          </w:tcPr>
          <w:p w14:paraId="45FDED6B"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עלות תשלום מבוסס מניות</w:t>
            </w:r>
          </w:p>
        </w:tc>
        <w:tc>
          <w:tcPr>
            <w:tcW w:w="113" w:type="dxa"/>
            <w:vAlign w:val="bottom"/>
          </w:tcPr>
          <w:p w14:paraId="3989EAA1"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7AFAE446" w14:textId="77777777" w:rsidR="00285250" w:rsidRPr="006A44FC" w:rsidRDefault="00285250" w:rsidP="00285250">
            <w:pPr>
              <w:tabs>
                <w:tab w:val="decimal" w:pos="113"/>
              </w:tabs>
              <w:spacing w:line="140" w:lineRule="exact"/>
              <w:rPr>
                <w:sz w:val="16"/>
                <w:szCs w:val="16"/>
              </w:rPr>
            </w:pPr>
          </w:p>
        </w:tc>
        <w:tc>
          <w:tcPr>
            <w:tcW w:w="113" w:type="dxa"/>
            <w:vAlign w:val="bottom"/>
          </w:tcPr>
          <w:p w14:paraId="06143DB4"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18FE800"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18C4180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5DA77B8" w14:textId="77777777" w:rsidR="00285250" w:rsidRPr="006A44FC" w:rsidRDefault="00285250" w:rsidP="00285250">
            <w:pPr>
              <w:tabs>
                <w:tab w:val="decimal" w:pos="113"/>
              </w:tabs>
              <w:spacing w:line="140" w:lineRule="exact"/>
              <w:rPr>
                <w:sz w:val="16"/>
                <w:szCs w:val="16"/>
              </w:rPr>
            </w:pPr>
          </w:p>
        </w:tc>
        <w:tc>
          <w:tcPr>
            <w:tcW w:w="113" w:type="dxa"/>
          </w:tcPr>
          <w:p w14:paraId="192FAA02"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5499D23C" w14:textId="77777777" w:rsidR="00285250" w:rsidRPr="006A44FC" w:rsidRDefault="00285250" w:rsidP="00285250">
            <w:pPr>
              <w:tabs>
                <w:tab w:val="decimal" w:pos="113"/>
              </w:tabs>
              <w:spacing w:line="140" w:lineRule="exact"/>
              <w:rPr>
                <w:sz w:val="16"/>
                <w:szCs w:val="16"/>
              </w:rPr>
            </w:pPr>
          </w:p>
        </w:tc>
        <w:tc>
          <w:tcPr>
            <w:tcW w:w="113" w:type="dxa"/>
          </w:tcPr>
          <w:p w14:paraId="2C233AE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5E96F04D" w14:textId="77777777" w:rsidR="00285250" w:rsidRPr="006A44FC" w:rsidRDefault="00285250" w:rsidP="00285250">
            <w:pPr>
              <w:tabs>
                <w:tab w:val="decimal" w:pos="113"/>
              </w:tabs>
              <w:spacing w:line="140" w:lineRule="exact"/>
              <w:rPr>
                <w:sz w:val="16"/>
                <w:szCs w:val="16"/>
              </w:rPr>
            </w:pPr>
          </w:p>
        </w:tc>
        <w:tc>
          <w:tcPr>
            <w:tcW w:w="113" w:type="dxa"/>
            <w:vAlign w:val="bottom"/>
          </w:tcPr>
          <w:p w14:paraId="5F8DB202"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9F2D01D" w14:textId="77777777" w:rsidR="00285250" w:rsidRPr="006A44FC" w:rsidRDefault="00285250" w:rsidP="00285250">
            <w:pPr>
              <w:tabs>
                <w:tab w:val="decimal" w:pos="113"/>
              </w:tabs>
              <w:spacing w:line="140" w:lineRule="exact"/>
              <w:rPr>
                <w:sz w:val="16"/>
                <w:szCs w:val="16"/>
              </w:rPr>
            </w:pPr>
          </w:p>
        </w:tc>
        <w:tc>
          <w:tcPr>
            <w:tcW w:w="113" w:type="dxa"/>
            <w:vAlign w:val="bottom"/>
          </w:tcPr>
          <w:p w14:paraId="5326DD1F"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4FDE061" w14:textId="77777777" w:rsidR="00285250" w:rsidRPr="006A44FC" w:rsidRDefault="00285250" w:rsidP="00285250">
            <w:pPr>
              <w:tabs>
                <w:tab w:val="decimal" w:pos="113"/>
              </w:tabs>
              <w:spacing w:line="140" w:lineRule="exact"/>
              <w:rPr>
                <w:sz w:val="16"/>
                <w:szCs w:val="16"/>
              </w:rPr>
            </w:pPr>
          </w:p>
        </w:tc>
        <w:tc>
          <w:tcPr>
            <w:tcW w:w="113" w:type="dxa"/>
            <w:vAlign w:val="bottom"/>
          </w:tcPr>
          <w:p w14:paraId="6A95B53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C55DFDE" w14:textId="77777777" w:rsidR="00285250" w:rsidRPr="006A44FC" w:rsidRDefault="00285250" w:rsidP="00285250">
            <w:pPr>
              <w:tabs>
                <w:tab w:val="decimal" w:pos="113"/>
              </w:tabs>
              <w:spacing w:line="140" w:lineRule="exact"/>
              <w:rPr>
                <w:sz w:val="16"/>
                <w:szCs w:val="16"/>
              </w:rPr>
            </w:pPr>
          </w:p>
        </w:tc>
        <w:tc>
          <w:tcPr>
            <w:tcW w:w="113" w:type="dxa"/>
            <w:vAlign w:val="bottom"/>
          </w:tcPr>
          <w:p w14:paraId="5579F5C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2D7B57B"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859FAC2"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EF5E4D4"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A5878A0"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F186346"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75A5436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017B17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0800F7FB"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8361D6B" w14:textId="77777777" w:rsidR="00285250" w:rsidRPr="006A44FC" w:rsidRDefault="00285250" w:rsidP="00285250">
            <w:pPr>
              <w:tabs>
                <w:tab w:val="decimal" w:pos="113"/>
              </w:tabs>
              <w:spacing w:line="140" w:lineRule="exact"/>
              <w:rPr>
                <w:sz w:val="16"/>
                <w:szCs w:val="16"/>
              </w:rPr>
            </w:pPr>
          </w:p>
        </w:tc>
        <w:tc>
          <w:tcPr>
            <w:tcW w:w="144" w:type="dxa"/>
            <w:vAlign w:val="bottom"/>
          </w:tcPr>
          <w:p w14:paraId="3F13656B"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62681A7" w14:textId="77777777" w:rsidR="00285250" w:rsidRPr="006A44FC" w:rsidRDefault="00285250" w:rsidP="00285250">
            <w:pPr>
              <w:tabs>
                <w:tab w:val="decimal" w:pos="113"/>
              </w:tabs>
              <w:spacing w:line="140" w:lineRule="exact"/>
              <w:rPr>
                <w:sz w:val="16"/>
                <w:szCs w:val="16"/>
              </w:rPr>
            </w:pPr>
          </w:p>
        </w:tc>
        <w:tc>
          <w:tcPr>
            <w:tcW w:w="113" w:type="dxa"/>
            <w:vAlign w:val="bottom"/>
          </w:tcPr>
          <w:p w14:paraId="6E48BDF4"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7AC351F" w14:textId="77777777" w:rsidR="00285250" w:rsidRPr="006A44FC" w:rsidRDefault="00285250" w:rsidP="00285250">
            <w:pPr>
              <w:tabs>
                <w:tab w:val="decimal" w:pos="113"/>
              </w:tabs>
              <w:spacing w:line="140" w:lineRule="exact"/>
              <w:rPr>
                <w:sz w:val="16"/>
                <w:szCs w:val="16"/>
              </w:rPr>
            </w:pPr>
          </w:p>
        </w:tc>
        <w:tc>
          <w:tcPr>
            <w:tcW w:w="113" w:type="dxa"/>
          </w:tcPr>
          <w:p w14:paraId="247ECD4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2F96606F" w14:textId="77777777" w:rsidR="00285250" w:rsidRPr="006A44FC" w:rsidRDefault="00285250" w:rsidP="00285250">
            <w:pPr>
              <w:tabs>
                <w:tab w:val="decimal" w:pos="113"/>
              </w:tabs>
              <w:spacing w:line="140" w:lineRule="exact"/>
              <w:rPr>
                <w:sz w:val="16"/>
                <w:szCs w:val="16"/>
              </w:rPr>
            </w:pPr>
          </w:p>
        </w:tc>
      </w:tr>
      <w:tr w:rsidR="00285250" w:rsidRPr="006A44FC" w14:paraId="0DA2E371" w14:textId="77777777" w:rsidTr="00285250">
        <w:tc>
          <w:tcPr>
            <w:tcW w:w="1009" w:type="dxa"/>
            <w:tcBorders>
              <w:top w:val="single" w:sz="4" w:space="0" w:color="auto"/>
            </w:tcBorders>
            <w:vAlign w:val="center"/>
          </w:tcPr>
          <w:p w14:paraId="52E6D9AF" w14:textId="77777777" w:rsidR="00285250" w:rsidRPr="00B21C4E" w:rsidRDefault="00285250" w:rsidP="00285250">
            <w:pPr>
              <w:bidi w:val="0"/>
              <w:spacing w:line="140" w:lineRule="exact"/>
              <w:jc w:val="right"/>
              <w:rPr>
                <w:i/>
                <w:iCs/>
                <w:sz w:val="13"/>
                <w:szCs w:val="13"/>
                <w:rtl/>
              </w:rPr>
            </w:pPr>
          </w:p>
        </w:tc>
        <w:tc>
          <w:tcPr>
            <w:tcW w:w="2790" w:type="dxa"/>
            <w:vAlign w:val="bottom"/>
          </w:tcPr>
          <w:p w14:paraId="7D39FB11"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השפעת המס בגין עסקאות תשלום מבוסס מניות</w:t>
            </w:r>
          </w:p>
        </w:tc>
        <w:tc>
          <w:tcPr>
            <w:tcW w:w="113" w:type="dxa"/>
            <w:vAlign w:val="bottom"/>
          </w:tcPr>
          <w:p w14:paraId="3461BBFB"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247548F4" w14:textId="77777777" w:rsidR="00285250" w:rsidRPr="006A44FC" w:rsidRDefault="00285250" w:rsidP="00285250">
            <w:pPr>
              <w:tabs>
                <w:tab w:val="decimal" w:pos="113"/>
              </w:tabs>
              <w:spacing w:line="140" w:lineRule="exact"/>
              <w:rPr>
                <w:sz w:val="16"/>
                <w:szCs w:val="16"/>
              </w:rPr>
            </w:pPr>
          </w:p>
        </w:tc>
        <w:tc>
          <w:tcPr>
            <w:tcW w:w="113" w:type="dxa"/>
            <w:vAlign w:val="bottom"/>
          </w:tcPr>
          <w:p w14:paraId="427C780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C159802"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23755B0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832986C" w14:textId="77777777" w:rsidR="00285250" w:rsidRPr="006A44FC" w:rsidRDefault="00285250" w:rsidP="00285250">
            <w:pPr>
              <w:tabs>
                <w:tab w:val="decimal" w:pos="113"/>
              </w:tabs>
              <w:spacing w:line="140" w:lineRule="exact"/>
              <w:rPr>
                <w:sz w:val="16"/>
                <w:szCs w:val="16"/>
              </w:rPr>
            </w:pPr>
          </w:p>
        </w:tc>
        <w:tc>
          <w:tcPr>
            <w:tcW w:w="113" w:type="dxa"/>
          </w:tcPr>
          <w:p w14:paraId="780E68DB"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5BD9A2E7" w14:textId="77777777" w:rsidR="00285250" w:rsidRPr="006A44FC" w:rsidRDefault="00285250" w:rsidP="00285250">
            <w:pPr>
              <w:tabs>
                <w:tab w:val="decimal" w:pos="113"/>
              </w:tabs>
              <w:spacing w:line="140" w:lineRule="exact"/>
              <w:rPr>
                <w:sz w:val="16"/>
                <w:szCs w:val="16"/>
              </w:rPr>
            </w:pPr>
          </w:p>
        </w:tc>
        <w:tc>
          <w:tcPr>
            <w:tcW w:w="113" w:type="dxa"/>
          </w:tcPr>
          <w:p w14:paraId="474B4FCF"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2F419483" w14:textId="77777777" w:rsidR="00285250" w:rsidRPr="006A44FC" w:rsidRDefault="00285250" w:rsidP="00285250">
            <w:pPr>
              <w:tabs>
                <w:tab w:val="decimal" w:pos="113"/>
              </w:tabs>
              <w:spacing w:line="140" w:lineRule="exact"/>
              <w:rPr>
                <w:sz w:val="16"/>
                <w:szCs w:val="16"/>
              </w:rPr>
            </w:pPr>
          </w:p>
        </w:tc>
        <w:tc>
          <w:tcPr>
            <w:tcW w:w="113" w:type="dxa"/>
            <w:vAlign w:val="bottom"/>
          </w:tcPr>
          <w:p w14:paraId="01EB370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7AB3F1E" w14:textId="77777777" w:rsidR="00285250" w:rsidRPr="006A44FC" w:rsidRDefault="00285250" w:rsidP="00285250">
            <w:pPr>
              <w:tabs>
                <w:tab w:val="decimal" w:pos="113"/>
              </w:tabs>
              <w:spacing w:line="140" w:lineRule="exact"/>
              <w:rPr>
                <w:sz w:val="16"/>
                <w:szCs w:val="16"/>
              </w:rPr>
            </w:pPr>
          </w:p>
        </w:tc>
        <w:tc>
          <w:tcPr>
            <w:tcW w:w="113" w:type="dxa"/>
            <w:vAlign w:val="bottom"/>
          </w:tcPr>
          <w:p w14:paraId="3FA13C7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79A690B" w14:textId="77777777" w:rsidR="00285250" w:rsidRPr="006A44FC" w:rsidRDefault="00285250" w:rsidP="00285250">
            <w:pPr>
              <w:tabs>
                <w:tab w:val="decimal" w:pos="113"/>
              </w:tabs>
              <w:spacing w:line="140" w:lineRule="exact"/>
              <w:rPr>
                <w:sz w:val="16"/>
                <w:szCs w:val="16"/>
              </w:rPr>
            </w:pPr>
          </w:p>
        </w:tc>
        <w:tc>
          <w:tcPr>
            <w:tcW w:w="113" w:type="dxa"/>
            <w:vAlign w:val="bottom"/>
          </w:tcPr>
          <w:p w14:paraId="69BC987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3322CC2" w14:textId="77777777" w:rsidR="00285250" w:rsidRPr="006A44FC" w:rsidRDefault="00285250" w:rsidP="00285250">
            <w:pPr>
              <w:tabs>
                <w:tab w:val="decimal" w:pos="113"/>
              </w:tabs>
              <w:spacing w:line="140" w:lineRule="exact"/>
              <w:rPr>
                <w:sz w:val="16"/>
                <w:szCs w:val="16"/>
              </w:rPr>
            </w:pPr>
          </w:p>
        </w:tc>
        <w:tc>
          <w:tcPr>
            <w:tcW w:w="113" w:type="dxa"/>
            <w:vAlign w:val="bottom"/>
          </w:tcPr>
          <w:p w14:paraId="36EBB6F0"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BD5F254"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9BE428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30B0FDC"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A6C241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1B176E7"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02B3FA8"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635CB4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38C52D7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F6D84DE" w14:textId="77777777" w:rsidR="00285250" w:rsidRPr="006A44FC" w:rsidRDefault="00285250" w:rsidP="00285250">
            <w:pPr>
              <w:tabs>
                <w:tab w:val="decimal" w:pos="113"/>
              </w:tabs>
              <w:spacing w:line="140" w:lineRule="exact"/>
              <w:rPr>
                <w:sz w:val="16"/>
                <w:szCs w:val="16"/>
              </w:rPr>
            </w:pPr>
          </w:p>
        </w:tc>
        <w:tc>
          <w:tcPr>
            <w:tcW w:w="144" w:type="dxa"/>
            <w:vAlign w:val="bottom"/>
          </w:tcPr>
          <w:p w14:paraId="278F2EA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AFDE688" w14:textId="77777777" w:rsidR="00285250" w:rsidRPr="006A44FC" w:rsidRDefault="00285250" w:rsidP="00285250">
            <w:pPr>
              <w:tabs>
                <w:tab w:val="decimal" w:pos="113"/>
              </w:tabs>
              <w:spacing w:line="140" w:lineRule="exact"/>
              <w:rPr>
                <w:sz w:val="16"/>
                <w:szCs w:val="16"/>
              </w:rPr>
            </w:pPr>
          </w:p>
        </w:tc>
        <w:tc>
          <w:tcPr>
            <w:tcW w:w="113" w:type="dxa"/>
            <w:vAlign w:val="bottom"/>
          </w:tcPr>
          <w:p w14:paraId="3981C0C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1CD762C" w14:textId="77777777" w:rsidR="00285250" w:rsidRPr="006A44FC" w:rsidRDefault="00285250" w:rsidP="00285250">
            <w:pPr>
              <w:tabs>
                <w:tab w:val="decimal" w:pos="113"/>
              </w:tabs>
              <w:spacing w:line="140" w:lineRule="exact"/>
              <w:rPr>
                <w:sz w:val="16"/>
                <w:szCs w:val="16"/>
              </w:rPr>
            </w:pPr>
          </w:p>
        </w:tc>
        <w:tc>
          <w:tcPr>
            <w:tcW w:w="113" w:type="dxa"/>
          </w:tcPr>
          <w:p w14:paraId="023B54B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392CFAEB" w14:textId="77777777" w:rsidR="00285250" w:rsidRPr="006A44FC" w:rsidRDefault="00285250" w:rsidP="00285250">
            <w:pPr>
              <w:tabs>
                <w:tab w:val="decimal" w:pos="113"/>
              </w:tabs>
              <w:spacing w:line="140" w:lineRule="exact"/>
              <w:rPr>
                <w:sz w:val="16"/>
                <w:szCs w:val="16"/>
              </w:rPr>
            </w:pPr>
          </w:p>
        </w:tc>
      </w:tr>
      <w:tr w:rsidR="00285250" w:rsidRPr="006A44FC" w14:paraId="6F664B49" w14:textId="77777777" w:rsidTr="00285250">
        <w:tc>
          <w:tcPr>
            <w:tcW w:w="1009" w:type="dxa"/>
            <w:tcBorders>
              <w:bottom w:val="single" w:sz="4" w:space="0" w:color="auto"/>
              <w:right w:val="single" w:sz="4" w:space="0" w:color="auto"/>
            </w:tcBorders>
            <w:vAlign w:val="center"/>
          </w:tcPr>
          <w:p w14:paraId="3CFC16E8" w14:textId="77777777" w:rsidR="00285250" w:rsidRPr="00B21C4E" w:rsidRDefault="00285250" w:rsidP="00285250">
            <w:pPr>
              <w:bidi w:val="0"/>
              <w:spacing w:line="140" w:lineRule="exact"/>
              <w:jc w:val="right"/>
              <w:rPr>
                <w:i/>
                <w:iCs/>
                <w:sz w:val="13"/>
                <w:szCs w:val="13"/>
                <w:rtl/>
              </w:rPr>
            </w:pPr>
            <w:r>
              <w:rPr>
                <w:i/>
                <w:iCs/>
                <w:sz w:val="13"/>
                <w:szCs w:val="13"/>
              </w:rPr>
              <w:t>IAS 1.107</w:t>
            </w:r>
          </w:p>
        </w:tc>
        <w:tc>
          <w:tcPr>
            <w:tcW w:w="2790" w:type="dxa"/>
            <w:tcBorders>
              <w:left w:val="single" w:sz="4" w:space="0" w:color="auto"/>
            </w:tcBorders>
            <w:vAlign w:val="bottom"/>
          </w:tcPr>
          <w:p w14:paraId="2E07863E"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 xml:space="preserve">דיבידנד לבעלי מניות החברה </w:t>
            </w:r>
          </w:p>
        </w:tc>
        <w:tc>
          <w:tcPr>
            <w:tcW w:w="113" w:type="dxa"/>
            <w:vAlign w:val="bottom"/>
          </w:tcPr>
          <w:p w14:paraId="71B5C8B2"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65E13C23" w14:textId="77777777" w:rsidR="00285250" w:rsidRPr="006A44FC" w:rsidRDefault="00285250" w:rsidP="00285250">
            <w:pPr>
              <w:tabs>
                <w:tab w:val="decimal" w:pos="113"/>
              </w:tabs>
              <w:spacing w:line="140" w:lineRule="exact"/>
              <w:rPr>
                <w:sz w:val="16"/>
                <w:szCs w:val="16"/>
              </w:rPr>
            </w:pPr>
          </w:p>
        </w:tc>
        <w:tc>
          <w:tcPr>
            <w:tcW w:w="113" w:type="dxa"/>
            <w:vAlign w:val="bottom"/>
          </w:tcPr>
          <w:p w14:paraId="0CCD0514"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0487522"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66C25AE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9269A60" w14:textId="77777777" w:rsidR="00285250" w:rsidRPr="006A44FC" w:rsidRDefault="00285250" w:rsidP="00285250">
            <w:pPr>
              <w:tabs>
                <w:tab w:val="decimal" w:pos="113"/>
              </w:tabs>
              <w:spacing w:line="140" w:lineRule="exact"/>
              <w:rPr>
                <w:sz w:val="16"/>
                <w:szCs w:val="16"/>
              </w:rPr>
            </w:pPr>
          </w:p>
        </w:tc>
        <w:tc>
          <w:tcPr>
            <w:tcW w:w="113" w:type="dxa"/>
          </w:tcPr>
          <w:p w14:paraId="68FD26C5"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52C541DC" w14:textId="77777777" w:rsidR="00285250" w:rsidRPr="006A44FC" w:rsidRDefault="00285250" w:rsidP="00285250">
            <w:pPr>
              <w:tabs>
                <w:tab w:val="decimal" w:pos="113"/>
              </w:tabs>
              <w:spacing w:line="140" w:lineRule="exact"/>
              <w:rPr>
                <w:sz w:val="16"/>
                <w:szCs w:val="16"/>
              </w:rPr>
            </w:pPr>
          </w:p>
        </w:tc>
        <w:tc>
          <w:tcPr>
            <w:tcW w:w="113" w:type="dxa"/>
          </w:tcPr>
          <w:p w14:paraId="747C7D2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66D9E7AE" w14:textId="77777777" w:rsidR="00285250" w:rsidRPr="006A44FC" w:rsidRDefault="00285250" w:rsidP="00285250">
            <w:pPr>
              <w:tabs>
                <w:tab w:val="decimal" w:pos="113"/>
              </w:tabs>
              <w:spacing w:line="140" w:lineRule="exact"/>
              <w:rPr>
                <w:sz w:val="16"/>
                <w:szCs w:val="16"/>
              </w:rPr>
            </w:pPr>
          </w:p>
        </w:tc>
        <w:tc>
          <w:tcPr>
            <w:tcW w:w="113" w:type="dxa"/>
            <w:vAlign w:val="bottom"/>
          </w:tcPr>
          <w:p w14:paraId="5099E62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B1EA415" w14:textId="77777777" w:rsidR="00285250" w:rsidRPr="006A44FC" w:rsidRDefault="00285250" w:rsidP="00285250">
            <w:pPr>
              <w:tabs>
                <w:tab w:val="decimal" w:pos="113"/>
              </w:tabs>
              <w:spacing w:line="140" w:lineRule="exact"/>
              <w:rPr>
                <w:sz w:val="16"/>
                <w:szCs w:val="16"/>
              </w:rPr>
            </w:pPr>
          </w:p>
        </w:tc>
        <w:tc>
          <w:tcPr>
            <w:tcW w:w="113" w:type="dxa"/>
            <w:vAlign w:val="bottom"/>
          </w:tcPr>
          <w:p w14:paraId="21898B8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4BA81FA" w14:textId="77777777" w:rsidR="00285250" w:rsidRPr="006A44FC" w:rsidRDefault="00285250" w:rsidP="00285250">
            <w:pPr>
              <w:tabs>
                <w:tab w:val="decimal" w:pos="113"/>
              </w:tabs>
              <w:spacing w:line="140" w:lineRule="exact"/>
              <w:rPr>
                <w:sz w:val="16"/>
                <w:szCs w:val="16"/>
              </w:rPr>
            </w:pPr>
          </w:p>
        </w:tc>
        <w:tc>
          <w:tcPr>
            <w:tcW w:w="113" w:type="dxa"/>
            <w:vAlign w:val="bottom"/>
          </w:tcPr>
          <w:p w14:paraId="721915A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761A773" w14:textId="77777777" w:rsidR="00285250" w:rsidRPr="006A44FC" w:rsidRDefault="00285250" w:rsidP="00285250">
            <w:pPr>
              <w:tabs>
                <w:tab w:val="decimal" w:pos="113"/>
              </w:tabs>
              <w:spacing w:line="140" w:lineRule="exact"/>
              <w:rPr>
                <w:sz w:val="16"/>
                <w:szCs w:val="16"/>
              </w:rPr>
            </w:pPr>
          </w:p>
        </w:tc>
        <w:tc>
          <w:tcPr>
            <w:tcW w:w="113" w:type="dxa"/>
            <w:vAlign w:val="bottom"/>
          </w:tcPr>
          <w:p w14:paraId="0861CEB5"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B43A6C2"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D61325F"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4D654C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D804B0F"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DCC71C4"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7353495"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F2F23C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E7D49FD"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78C3293" w14:textId="77777777" w:rsidR="00285250" w:rsidRPr="006A44FC" w:rsidRDefault="00285250" w:rsidP="00285250">
            <w:pPr>
              <w:tabs>
                <w:tab w:val="decimal" w:pos="113"/>
              </w:tabs>
              <w:spacing w:line="140" w:lineRule="exact"/>
              <w:rPr>
                <w:sz w:val="16"/>
                <w:szCs w:val="16"/>
              </w:rPr>
            </w:pPr>
          </w:p>
        </w:tc>
        <w:tc>
          <w:tcPr>
            <w:tcW w:w="144" w:type="dxa"/>
            <w:vAlign w:val="bottom"/>
          </w:tcPr>
          <w:p w14:paraId="787CE5B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A84FBFC" w14:textId="77777777" w:rsidR="00285250" w:rsidRPr="006A44FC" w:rsidRDefault="00285250" w:rsidP="00285250">
            <w:pPr>
              <w:tabs>
                <w:tab w:val="decimal" w:pos="113"/>
              </w:tabs>
              <w:spacing w:line="140" w:lineRule="exact"/>
              <w:rPr>
                <w:sz w:val="16"/>
                <w:szCs w:val="16"/>
              </w:rPr>
            </w:pPr>
          </w:p>
        </w:tc>
        <w:tc>
          <w:tcPr>
            <w:tcW w:w="113" w:type="dxa"/>
            <w:vAlign w:val="bottom"/>
          </w:tcPr>
          <w:p w14:paraId="0AC3EB6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92ACE19" w14:textId="77777777" w:rsidR="00285250" w:rsidRPr="006A44FC" w:rsidRDefault="00285250" w:rsidP="00285250">
            <w:pPr>
              <w:tabs>
                <w:tab w:val="decimal" w:pos="113"/>
              </w:tabs>
              <w:spacing w:line="140" w:lineRule="exact"/>
              <w:rPr>
                <w:sz w:val="16"/>
                <w:szCs w:val="16"/>
              </w:rPr>
            </w:pPr>
          </w:p>
        </w:tc>
        <w:tc>
          <w:tcPr>
            <w:tcW w:w="113" w:type="dxa"/>
          </w:tcPr>
          <w:p w14:paraId="1A315C5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72B0457A" w14:textId="77777777" w:rsidR="00285250" w:rsidRPr="006A44FC" w:rsidRDefault="00285250" w:rsidP="00285250">
            <w:pPr>
              <w:tabs>
                <w:tab w:val="decimal" w:pos="113"/>
              </w:tabs>
              <w:spacing w:line="140" w:lineRule="exact"/>
              <w:rPr>
                <w:sz w:val="16"/>
                <w:szCs w:val="16"/>
              </w:rPr>
            </w:pPr>
          </w:p>
        </w:tc>
      </w:tr>
      <w:tr w:rsidR="00285250" w:rsidRPr="006A44FC" w14:paraId="6BF7B882" w14:textId="77777777" w:rsidTr="00285250">
        <w:tc>
          <w:tcPr>
            <w:tcW w:w="1009" w:type="dxa"/>
            <w:tcBorders>
              <w:top w:val="single" w:sz="4" w:space="0" w:color="auto"/>
            </w:tcBorders>
            <w:vAlign w:val="center"/>
          </w:tcPr>
          <w:p w14:paraId="42631400" w14:textId="77777777" w:rsidR="00285250" w:rsidRPr="00B21C4E" w:rsidRDefault="00285250" w:rsidP="00285250">
            <w:pPr>
              <w:bidi w:val="0"/>
              <w:spacing w:line="140" w:lineRule="exact"/>
              <w:jc w:val="right"/>
              <w:rPr>
                <w:i/>
                <w:iCs/>
                <w:sz w:val="13"/>
                <w:szCs w:val="13"/>
                <w:rtl/>
              </w:rPr>
            </w:pPr>
          </w:p>
        </w:tc>
        <w:tc>
          <w:tcPr>
            <w:tcW w:w="2790" w:type="dxa"/>
            <w:vAlign w:val="bottom"/>
          </w:tcPr>
          <w:p w14:paraId="6E030DCD"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הטבה הונית מעסקה עם בעל שליטה</w:t>
            </w:r>
          </w:p>
        </w:tc>
        <w:tc>
          <w:tcPr>
            <w:tcW w:w="113" w:type="dxa"/>
            <w:vAlign w:val="bottom"/>
          </w:tcPr>
          <w:p w14:paraId="06356E75"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4ADB3115" w14:textId="77777777" w:rsidR="00285250" w:rsidRPr="006A44FC" w:rsidRDefault="00285250" w:rsidP="00285250">
            <w:pPr>
              <w:tabs>
                <w:tab w:val="decimal" w:pos="113"/>
              </w:tabs>
              <w:spacing w:line="140" w:lineRule="exact"/>
              <w:rPr>
                <w:sz w:val="16"/>
                <w:szCs w:val="16"/>
              </w:rPr>
            </w:pPr>
          </w:p>
        </w:tc>
        <w:tc>
          <w:tcPr>
            <w:tcW w:w="113" w:type="dxa"/>
            <w:vAlign w:val="bottom"/>
          </w:tcPr>
          <w:p w14:paraId="55F6BD6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5CD2342"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59CE8B1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3BA0130" w14:textId="77777777" w:rsidR="00285250" w:rsidRPr="006A44FC" w:rsidRDefault="00285250" w:rsidP="00285250">
            <w:pPr>
              <w:tabs>
                <w:tab w:val="decimal" w:pos="113"/>
              </w:tabs>
              <w:spacing w:line="140" w:lineRule="exact"/>
              <w:rPr>
                <w:sz w:val="16"/>
                <w:szCs w:val="16"/>
              </w:rPr>
            </w:pPr>
          </w:p>
        </w:tc>
        <w:tc>
          <w:tcPr>
            <w:tcW w:w="113" w:type="dxa"/>
          </w:tcPr>
          <w:p w14:paraId="71CC6B7F"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4A44D7E7" w14:textId="77777777" w:rsidR="00285250" w:rsidRPr="006A44FC" w:rsidRDefault="00285250" w:rsidP="00285250">
            <w:pPr>
              <w:tabs>
                <w:tab w:val="decimal" w:pos="113"/>
              </w:tabs>
              <w:spacing w:line="140" w:lineRule="exact"/>
              <w:rPr>
                <w:sz w:val="16"/>
                <w:szCs w:val="16"/>
              </w:rPr>
            </w:pPr>
          </w:p>
        </w:tc>
        <w:tc>
          <w:tcPr>
            <w:tcW w:w="113" w:type="dxa"/>
          </w:tcPr>
          <w:p w14:paraId="4E1BA0F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14FC1594" w14:textId="77777777" w:rsidR="00285250" w:rsidRPr="006A44FC" w:rsidRDefault="00285250" w:rsidP="00285250">
            <w:pPr>
              <w:tabs>
                <w:tab w:val="decimal" w:pos="113"/>
              </w:tabs>
              <w:spacing w:line="140" w:lineRule="exact"/>
              <w:rPr>
                <w:sz w:val="16"/>
                <w:szCs w:val="16"/>
              </w:rPr>
            </w:pPr>
          </w:p>
        </w:tc>
        <w:tc>
          <w:tcPr>
            <w:tcW w:w="113" w:type="dxa"/>
            <w:vAlign w:val="bottom"/>
          </w:tcPr>
          <w:p w14:paraId="25D4986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7E82FEA" w14:textId="77777777" w:rsidR="00285250" w:rsidRPr="006A44FC" w:rsidRDefault="00285250" w:rsidP="00285250">
            <w:pPr>
              <w:tabs>
                <w:tab w:val="decimal" w:pos="113"/>
              </w:tabs>
              <w:spacing w:line="140" w:lineRule="exact"/>
              <w:rPr>
                <w:sz w:val="16"/>
                <w:szCs w:val="16"/>
              </w:rPr>
            </w:pPr>
          </w:p>
        </w:tc>
        <w:tc>
          <w:tcPr>
            <w:tcW w:w="113" w:type="dxa"/>
            <w:vAlign w:val="bottom"/>
          </w:tcPr>
          <w:p w14:paraId="5183053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A6AF2D5" w14:textId="77777777" w:rsidR="00285250" w:rsidRPr="006A44FC" w:rsidRDefault="00285250" w:rsidP="00285250">
            <w:pPr>
              <w:tabs>
                <w:tab w:val="decimal" w:pos="113"/>
              </w:tabs>
              <w:spacing w:line="140" w:lineRule="exact"/>
              <w:rPr>
                <w:sz w:val="16"/>
                <w:szCs w:val="16"/>
              </w:rPr>
            </w:pPr>
          </w:p>
        </w:tc>
        <w:tc>
          <w:tcPr>
            <w:tcW w:w="113" w:type="dxa"/>
            <w:vAlign w:val="bottom"/>
          </w:tcPr>
          <w:p w14:paraId="63F29A8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D1F6CB5" w14:textId="77777777" w:rsidR="00285250" w:rsidRPr="006A44FC" w:rsidRDefault="00285250" w:rsidP="00285250">
            <w:pPr>
              <w:tabs>
                <w:tab w:val="decimal" w:pos="113"/>
              </w:tabs>
              <w:spacing w:line="140" w:lineRule="exact"/>
              <w:rPr>
                <w:sz w:val="16"/>
                <w:szCs w:val="16"/>
              </w:rPr>
            </w:pPr>
          </w:p>
        </w:tc>
        <w:tc>
          <w:tcPr>
            <w:tcW w:w="113" w:type="dxa"/>
            <w:vAlign w:val="bottom"/>
          </w:tcPr>
          <w:p w14:paraId="699A4E0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FAFEFC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7B8F9171"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DCB9390"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5E8CA5D"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EA81D77"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327F233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277C02A"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713DF6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06E4B95" w14:textId="77777777" w:rsidR="00285250" w:rsidRPr="006A44FC" w:rsidRDefault="00285250" w:rsidP="00285250">
            <w:pPr>
              <w:tabs>
                <w:tab w:val="decimal" w:pos="113"/>
              </w:tabs>
              <w:spacing w:line="140" w:lineRule="exact"/>
              <w:rPr>
                <w:sz w:val="16"/>
                <w:szCs w:val="16"/>
              </w:rPr>
            </w:pPr>
          </w:p>
        </w:tc>
        <w:tc>
          <w:tcPr>
            <w:tcW w:w="144" w:type="dxa"/>
            <w:vAlign w:val="bottom"/>
          </w:tcPr>
          <w:p w14:paraId="125672D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97F6DAE" w14:textId="77777777" w:rsidR="00285250" w:rsidRPr="006A44FC" w:rsidRDefault="00285250" w:rsidP="00285250">
            <w:pPr>
              <w:tabs>
                <w:tab w:val="decimal" w:pos="113"/>
              </w:tabs>
              <w:spacing w:line="140" w:lineRule="exact"/>
              <w:rPr>
                <w:sz w:val="16"/>
                <w:szCs w:val="16"/>
              </w:rPr>
            </w:pPr>
          </w:p>
        </w:tc>
        <w:tc>
          <w:tcPr>
            <w:tcW w:w="113" w:type="dxa"/>
            <w:vAlign w:val="bottom"/>
          </w:tcPr>
          <w:p w14:paraId="489F771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8A78C43" w14:textId="77777777" w:rsidR="00285250" w:rsidRPr="006A44FC" w:rsidRDefault="00285250" w:rsidP="00285250">
            <w:pPr>
              <w:tabs>
                <w:tab w:val="decimal" w:pos="113"/>
              </w:tabs>
              <w:spacing w:line="140" w:lineRule="exact"/>
              <w:rPr>
                <w:sz w:val="16"/>
                <w:szCs w:val="16"/>
              </w:rPr>
            </w:pPr>
          </w:p>
        </w:tc>
        <w:tc>
          <w:tcPr>
            <w:tcW w:w="113" w:type="dxa"/>
          </w:tcPr>
          <w:p w14:paraId="3EBCABF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671D594C" w14:textId="77777777" w:rsidR="00285250" w:rsidRPr="006A44FC" w:rsidRDefault="00285250" w:rsidP="00285250">
            <w:pPr>
              <w:tabs>
                <w:tab w:val="decimal" w:pos="113"/>
              </w:tabs>
              <w:spacing w:line="140" w:lineRule="exact"/>
              <w:rPr>
                <w:sz w:val="16"/>
                <w:szCs w:val="16"/>
              </w:rPr>
            </w:pPr>
          </w:p>
        </w:tc>
      </w:tr>
      <w:tr w:rsidR="00285250" w:rsidRPr="006A44FC" w14:paraId="3E946895" w14:textId="77777777" w:rsidTr="00285250">
        <w:tc>
          <w:tcPr>
            <w:tcW w:w="1009" w:type="dxa"/>
            <w:vMerge w:val="restart"/>
            <w:tcBorders>
              <w:right w:val="single" w:sz="4" w:space="0" w:color="auto"/>
            </w:tcBorders>
            <w:vAlign w:val="center"/>
          </w:tcPr>
          <w:p w14:paraId="196E55C1" w14:textId="77777777" w:rsidR="00285250" w:rsidRPr="00B21C4E" w:rsidRDefault="00285250" w:rsidP="00285250">
            <w:pPr>
              <w:bidi w:val="0"/>
              <w:spacing w:line="140" w:lineRule="exact"/>
              <w:jc w:val="right"/>
              <w:rPr>
                <w:i/>
                <w:iCs/>
                <w:sz w:val="13"/>
                <w:szCs w:val="13"/>
                <w:rtl/>
              </w:rPr>
            </w:pPr>
            <w:r>
              <w:rPr>
                <w:i/>
                <w:iCs/>
                <w:sz w:val="13"/>
                <w:szCs w:val="13"/>
              </w:rPr>
              <w:t>IAS 1.106(d)(iii)</w:t>
            </w:r>
          </w:p>
        </w:tc>
        <w:tc>
          <w:tcPr>
            <w:tcW w:w="2790" w:type="dxa"/>
            <w:tcBorders>
              <w:left w:val="single" w:sz="4" w:space="0" w:color="auto"/>
            </w:tcBorders>
            <w:vAlign w:val="bottom"/>
          </w:tcPr>
          <w:p w14:paraId="38DC90C6"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רכישת זכויות שאינן מקנות שליטה</w:t>
            </w:r>
          </w:p>
        </w:tc>
        <w:tc>
          <w:tcPr>
            <w:tcW w:w="113" w:type="dxa"/>
            <w:vAlign w:val="bottom"/>
          </w:tcPr>
          <w:p w14:paraId="00AAD699"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34F756D1" w14:textId="77777777" w:rsidR="00285250" w:rsidRPr="006A44FC" w:rsidRDefault="00285250" w:rsidP="00285250">
            <w:pPr>
              <w:tabs>
                <w:tab w:val="decimal" w:pos="113"/>
              </w:tabs>
              <w:spacing w:line="140" w:lineRule="exact"/>
              <w:rPr>
                <w:sz w:val="16"/>
                <w:szCs w:val="16"/>
              </w:rPr>
            </w:pPr>
          </w:p>
        </w:tc>
        <w:tc>
          <w:tcPr>
            <w:tcW w:w="113" w:type="dxa"/>
            <w:vAlign w:val="bottom"/>
          </w:tcPr>
          <w:p w14:paraId="0FCA625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22BCE2E"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459194B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D03E688" w14:textId="77777777" w:rsidR="00285250" w:rsidRPr="006A44FC" w:rsidRDefault="00285250" w:rsidP="00285250">
            <w:pPr>
              <w:tabs>
                <w:tab w:val="decimal" w:pos="113"/>
              </w:tabs>
              <w:spacing w:line="140" w:lineRule="exact"/>
              <w:rPr>
                <w:sz w:val="16"/>
                <w:szCs w:val="16"/>
              </w:rPr>
            </w:pPr>
          </w:p>
        </w:tc>
        <w:tc>
          <w:tcPr>
            <w:tcW w:w="113" w:type="dxa"/>
          </w:tcPr>
          <w:p w14:paraId="19AFE160"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0B65DDFE" w14:textId="77777777" w:rsidR="00285250" w:rsidRPr="006A44FC" w:rsidRDefault="00285250" w:rsidP="00285250">
            <w:pPr>
              <w:tabs>
                <w:tab w:val="decimal" w:pos="113"/>
              </w:tabs>
              <w:spacing w:line="140" w:lineRule="exact"/>
              <w:rPr>
                <w:sz w:val="16"/>
                <w:szCs w:val="16"/>
              </w:rPr>
            </w:pPr>
          </w:p>
        </w:tc>
        <w:tc>
          <w:tcPr>
            <w:tcW w:w="113" w:type="dxa"/>
          </w:tcPr>
          <w:p w14:paraId="5E02230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1305AD04" w14:textId="77777777" w:rsidR="00285250" w:rsidRPr="006A44FC" w:rsidRDefault="00285250" w:rsidP="00285250">
            <w:pPr>
              <w:tabs>
                <w:tab w:val="decimal" w:pos="113"/>
              </w:tabs>
              <w:spacing w:line="140" w:lineRule="exact"/>
              <w:rPr>
                <w:sz w:val="16"/>
                <w:szCs w:val="16"/>
              </w:rPr>
            </w:pPr>
          </w:p>
        </w:tc>
        <w:tc>
          <w:tcPr>
            <w:tcW w:w="113" w:type="dxa"/>
            <w:vAlign w:val="bottom"/>
          </w:tcPr>
          <w:p w14:paraId="5BCB2926"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BF68793" w14:textId="77777777" w:rsidR="00285250" w:rsidRPr="006A44FC" w:rsidRDefault="00285250" w:rsidP="00285250">
            <w:pPr>
              <w:tabs>
                <w:tab w:val="decimal" w:pos="113"/>
              </w:tabs>
              <w:spacing w:line="140" w:lineRule="exact"/>
              <w:rPr>
                <w:sz w:val="16"/>
                <w:szCs w:val="16"/>
              </w:rPr>
            </w:pPr>
          </w:p>
        </w:tc>
        <w:tc>
          <w:tcPr>
            <w:tcW w:w="113" w:type="dxa"/>
            <w:vAlign w:val="bottom"/>
          </w:tcPr>
          <w:p w14:paraId="5BBBD40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FC261F8" w14:textId="77777777" w:rsidR="00285250" w:rsidRPr="006A44FC" w:rsidRDefault="00285250" w:rsidP="00285250">
            <w:pPr>
              <w:tabs>
                <w:tab w:val="decimal" w:pos="113"/>
              </w:tabs>
              <w:spacing w:line="140" w:lineRule="exact"/>
              <w:rPr>
                <w:sz w:val="16"/>
                <w:szCs w:val="16"/>
              </w:rPr>
            </w:pPr>
          </w:p>
        </w:tc>
        <w:tc>
          <w:tcPr>
            <w:tcW w:w="113" w:type="dxa"/>
            <w:vAlign w:val="bottom"/>
          </w:tcPr>
          <w:p w14:paraId="6F3534D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73A1751" w14:textId="77777777" w:rsidR="00285250" w:rsidRPr="006A44FC" w:rsidRDefault="00285250" w:rsidP="00285250">
            <w:pPr>
              <w:tabs>
                <w:tab w:val="decimal" w:pos="113"/>
              </w:tabs>
              <w:spacing w:line="140" w:lineRule="exact"/>
              <w:rPr>
                <w:sz w:val="16"/>
                <w:szCs w:val="16"/>
              </w:rPr>
            </w:pPr>
          </w:p>
        </w:tc>
        <w:tc>
          <w:tcPr>
            <w:tcW w:w="113" w:type="dxa"/>
            <w:vAlign w:val="bottom"/>
          </w:tcPr>
          <w:p w14:paraId="3A9D633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2F3A77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86D724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9C6D288"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B878E1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A62C44C"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7A117D6F"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C0605C3"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E17B5D2"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EA72B08" w14:textId="77777777" w:rsidR="00285250" w:rsidRPr="006A44FC" w:rsidRDefault="00285250" w:rsidP="00285250">
            <w:pPr>
              <w:tabs>
                <w:tab w:val="decimal" w:pos="113"/>
              </w:tabs>
              <w:spacing w:line="140" w:lineRule="exact"/>
              <w:rPr>
                <w:sz w:val="16"/>
                <w:szCs w:val="16"/>
              </w:rPr>
            </w:pPr>
          </w:p>
        </w:tc>
        <w:tc>
          <w:tcPr>
            <w:tcW w:w="144" w:type="dxa"/>
            <w:vAlign w:val="bottom"/>
          </w:tcPr>
          <w:p w14:paraId="7E2AA16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47EE1E8" w14:textId="77777777" w:rsidR="00285250" w:rsidRPr="006A44FC" w:rsidRDefault="00285250" w:rsidP="00285250">
            <w:pPr>
              <w:tabs>
                <w:tab w:val="decimal" w:pos="113"/>
              </w:tabs>
              <w:spacing w:line="140" w:lineRule="exact"/>
              <w:rPr>
                <w:sz w:val="16"/>
                <w:szCs w:val="16"/>
              </w:rPr>
            </w:pPr>
          </w:p>
        </w:tc>
        <w:tc>
          <w:tcPr>
            <w:tcW w:w="113" w:type="dxa"/>
            <w:vAlign w:val="bottom"/>
          </w:tcPr>
          <w:p w14:paraId="52AD53E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E799259" w14:textId="77777777" w:rsidR="00285250" w:rsidRPr="006A44FC" w:rsidRDefault="00285250" w:rsidP="00285250">
            <w:pPr>
              <w:tabs>
                <w:tab w:val="decimal" w:pos="113"/>
              </w:tabs>
              <w:spacing w:line="140" w:lineRule="exact"/>
              <w:rPr>
                <w:sz w:val="16"/>
                <w:szCs w:val="16"/>
              </w:rPr>
            </w:pPr>
          </w:p>
        </w:tc>
        <w:tc>
          <w:tcPr>
            <w:tcW w:w="113" w:type="dxa"/>
          </w:tcPr>
          <w:p w14:paraId="78F045B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34AF27BE" w14:textId="77777777" w:rsidR="00285250" w:rsidRPr="006A44FC" w:rsidRDefault="00285250" w:rsidP="00285250">
            <w:pPr>
              <w:tabs>
                <w:tab w:val="decimal" w:pos="113"/>
              </w:tabs>
              <w:spacing w:line="140" w:lineRule="exact"/>
              <w:rPr>
                <w:sz w:val="16"/>
                <w:szCs w:val="16"/>
              </w:rPr>
            </w:pPr>
          </w:p>
        </w:tc>
      </w:tr>
      <w:tr w:rsidR="00285250" w:rsidRPr="006A44FC" w14:paraId="1810FF42" w14:textId="77777777" w:rsidTr="00285250">
        <w:tc>
          <w:tcPr>
            <w:tcW w:w="1009" w:type="dxa"/>
            <w:vMerge/>
            <w:tcBorders>
              <w:right w:val="single" w:sz="4" w:space="0" w:color="auto"/>
            </w:tcBorders>
            <w:vAlign w:val="center"/>
          </w:tcPr>
          <w:p w14:paraId="5E7CFDAF" w14:textId="77777777" w:rsidR="00285250" w:rsidRPr="00B21C4E" w:rsidRDefault="00285250" w:rsidP="00285250">
            <w:pPr>
              <w:bidi w:val="0"/>
              <w:spacing w:line="140" w:lineRule="exact"/>
              <w:jc w:val="right"/>
              <w:rPr>
                <w:i/>
                <w:iCs/>
                <w:sz w:val="13"/>
                <w:szCs w:val="13"/>
                <w:rtl/>
              </w:rPr>
            </w:pPr>
          </w:p>
        </w:tc>
        <w:tc>
          <w:tcPr>
            <w:tcW w:w="2790" w:type="dxa"/>
            <w:tcBorders>
              <w:left w:val="single" w:sz="4" w:space="0" w:color="auto"/>
            </w:tcBorders>
            <w:vAlign w:val="bottom"/>
          </w:tcPr>
          <w:p w14:paraId="7C1D0F71"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זכויות שאינן מקנות שליטה שנוצרו בחברות שאוחדו לראשונה</w:t>
            </w:r>
          </w:p>
        </w:tc>
        <w:tc>
          <w:tcPr>
            <w:tcW w:w="113" w:type="dxa"/>
            <w:vAlign w:val="bottom"/>
          </w:tcPr>
          <w:p w14:paraId="01E65F56"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7DE40E53" w14:textId="77777777" w:rsidR="00285250" w:rsidRPr="006A44FC" w:rsidRDefault="00285250" w:rsidP="00285250">
            <w:pPr>
              <w:tabs>
                <w:tab w:val="decimal" w:pos="113"/>
              </w:tabs>
              <w:spacing w:line="140" w:lineRule="exact"/>
              <w:rPr>
                <w:sz w:val="16"/>
                <w:szCs w:val="16"/>
              </w:rPr>
            </w:pPr>
          </w:p>
        </w:tc>
        <w:tc>
          <w:tcPr>
            <w:tcW w:w="113" w:type="dxa"/>
            <w:vAlign w:val="bottom"/>
          </w:tcPr>
          <w:p w14:paraId="31068D2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362CE0A"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6087358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E1DDC27" w14:textId="77777777" w:rsidR="00285250" w:rsidRPr="006A44FC" w:rsidRDefault="00285250" w:rsidP="00285250">
            <w:pPr>
              <w:tabs>
                <w:tab w:val="decimal" w:pos="113"/>
              </w:tabs>
              <w:spacing w:line="140" w:lineRule="exact"/>
              <w:rPr>
                <w:sz w:val="16"/>
                <w:szCs w:val="16"/>
              </w:rPr>
            </w:pPr>
          </w:p>
        </w:tc>
        <w:tc>
          <w:tcPr>
            <w:tcW w:w="113" w:type="dxa"/>
          </w:tcPr>
          <w:p w14:paraId="1A93A906"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2DC81164" w14:textId="77777777" w:rsidR="00285250" w:rsidRPr="006A44FC" w:rsidRDefault="00285250" w:rsidP="00285250">
            <w:pPr>
              <w:tabs>
                <w:tab w:val="decimal" w:pos="113"/>
              </w:tabs>
              <w:spacing w:line="140" w:lineRule="exact"/>
              <w:rPr>
                <w:sz w:val="16"/>
                <w:szCs w:val="16"/>
              </w:rPr>
            </w:pPr>
          </w:p>
        </w:tc>
        <w:tc>
          <w:tcPr>
            <w:tcW w:w="113" w:type="dxa"/>
          </w:tcPr>
          <w:p w14:paraId="6F4FE45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66F8EF72" w14:textId="77777777" w:rsidR="00285250" w:rsidRPr="006A44FC" w:rsidRDefault="00285250" w:rsidP="00285250">
            <w:pPr>
              <w:tabs>
                <w:tab w:val="decimal" w:pos="113"/>
              </w:tabs>
              <w:spacing w:line="140" w:lineRule="exact"/>
              <w:rPr>
                <w:sz w:val="16"/>
                <w:szCs w:val="16"/>
              </w:rPr>
            </w:pPr>
          </w:p>
        </w:tc>
        <w:tc>
          <w:tcPr>
            <w:tcW w:w="113" w:type="dxa"/>
            <w:vAlign w:val="bottom"/>
          </w:tcPr>
          <w:p w14:paraId="7706C7A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A25FFF9" w14:textId="77777777" w:rsidR="00285250" w:rsidRPr="006A44FC" w:rsidRDefault="00285250" w:rsidP="00285250">
            <w:pPr>
              <w:tabs>
                <w:tab w:val="decimal" w:pos="113"/>
              </w:tabs>
              <w:spacing w:line="140" w:lineRule="exact"/>
              <w:rPr>
                <w:sz w:val="16"/>
                <w:szCs w:val="16"/>
              </w:rPr>
            </w:pPr>
          </w:p>
        </w:tc>
        <w:tc>
          <w:tcPr>
            <w:tcW w:w="113" w:type="dxa"/>
            <w:vAlign w:val="bottom"/>
          </w:tcPr>
          <w:p w14:paraId="7ED9D72F"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6211D37" w14:textId="77777777" w:rsidR="00285250" w:rsidRPr="006A44FC" w:rsidRDefault="00285250" w:rsidP="00285250">
            <w:pPr>
              <w:tabs>
                <w:tab w:val="decimal" w:pos="113"/>
              </w:tabs>
              <w:spacing w:line="140" w:lineRule="exact"/>
              <w:rPr>
                <w:sz w:val="16"/>
                <w:szCs w:val="16"/>
              </w:rPr>
            </w:pPr>
          </w:p>
        </w:tc>
        <w:tc>
          <w:tcPr>
            <w:tcW w:w="113" w:type="dxa"/>
            <w:vAlign w:val="bottom"/>
          </w:tcPr>
          <w:p w14:paraId="3F6A734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1D4B897" w14:textId="77777777" w:rsidR="00285250" w:rsidRPr="006A44FC" w:rsidRDefault="00285250" w:rsidP="00285250">
            <w:pPr>
              <w:tabs>
                <w:tab w:val="decimal" w:pos="113"/>
              </w:tabs>
              <w:spacing w:line="140" w:lineRule="exact"/>
              <w:rPr>
                <w:sz w:val="16"/>
                <w:szCs w:val="16"/>
              </w:rPr>
            </w:pPr>
          </w:p>
        </w:tc>
        <w:tc>
          <w:tcPr>
            <w:tcW w:w="113" w:type="dxa"/>
            <w:vAlign w:val="bottom"/>
          </w:tcPr>
          <w:p w14:paraId="08BA5E3D"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0BDF47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25977A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D509231"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7054F0D"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1B652E8"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0A975611"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ACD7E19"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86B8090"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F2FFB56" w14:textId="77777777" w:rsidR="00285250" w:rsidRPr="006A44FC" w:rsidRDefault="00285250" w:rsidP="00285250">
            <w:pPr>
              <w:tabs>
                <w:tab w:val="decimal" w:pos="113"/>
              </w:tabs>
              <w:spacing w:line="140" w:lineRule="exact"/>
              <w:rPr>
                <w:sz w:val="16"/>
                <w:szCs w:val="16"/>
              </w:rPr>
            </w:pPr>
          </w:p>
        </w:tc>
        <w:tc>
          <w:tcPr>
            <w:tcW w:w="144" w:type="dxa"/>
            <w:vAlign w:val="bottom"/>
          </w:tcPr>
          <w:p w14:paraId="6ECA091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7CB2166" w14:textId="77777777" w:rsidR="00285250" w:rsidRPr="006A44FC" w:rsidRDefault="00285250" w:rsidP="00285250">
            <w:pPr>
              <w:tabs>
                <w:tab w:val="decimal" w:pos="113"/>
              </w:tabs>
              <w:spacing w:line="140" w:lineRule="exact"/>
              <w:rPr>
                <w:sz w:val="16"/>
                <w:szCs w:val="16"/>
              </w:rPr>
            </w:pPr>
          </w:p>
        </w:tc>
        <w:tc>
          <w:tcPr>
            <w:tcW w:w="113" w:type="dxa"/>
            <w:vAlign w:val="bottom"/>
          </w:tcPr>
          <w:p w14:paraId="26CD3DD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ACB3222" w14:textId="77777777" w:rsidR="00285250" w:rsidRPr="006A44FC" w:rsidRDefault="00285250" w:rsidP="00285250">
            <w:pPr>
              <w:tabs>
                <w:tab w:val="decimal" w:pos="113"/>
              </w:tabs>
              <w:spacing w:line="140" w:lineRule="exact"/>
              <w:rPr>
                <w:sz w:val="16"/>
                <w:szCs w:val="16"/>
              </w:rPr>
            </w:pPr>
          </w:p>
        </w:tc>
        <w:tc>
          <w:tcPr>
            <w:tcW w:w="113" w:type="dxa"/>
          </w:tcPr>
          <w:p w14:paraId="504F1CF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0616142F" w14:textId="77777777" w:rsidR="00285250" w:rsidRPr="006A44FC" w:rsidRDefault="00285250" w:rsidP="00285250">
            <w:pPr>
              <w:tabs>
                <w:tab w:val="decimal" w:pos="113"/>
              </w:tabs>
              <w:spacing w:line="140" w:lineRule="exact"/>
              <w:rPr>
                <w:sz w:val="16"/>
                <w:szCs w:val="16"/>
              </w:rPr>
            </w:pPr>
          </w:p>
        </w:tc>
      </w:tr>
      <w:tr w:rsidR="00285250" w:rsidRPr="006A44FC" w14:paraId="295AFA19" w14:textId="77777777" w:rsidTr="00285250">
        <w:tc>
          <w:tcPr>
            <w:tcW w:w="1009" w:type="dxa"/>
            <w:vMerge/>
            <w:tcBorders>
              <w:right w:val="single" w:sz="4" w:space="0" w:color="auto"/>
            </w:tcBorders>
            <w:vAlign w:val="center"/>
          </w:tcPr>
          <w:p w14:paraId="5F1D3295" w14:textId="77777777" w:rsidR="00285250" w:rsidRPr="00B21C4E" w:rsidRDefault="00285250" w:rsidP="00285250">
            <w:pPr>
              <w:bidi w:val="0"/>
              <w:spacing w:line="140" w:lineRule="exact"/>
              <w:jc w:val="right"/>
              <w:rPr>
                <w:i/>
                <w:iCs/>
                <w:sz w:val="13"/>
                <w:szCs w:val="13"/>
                <w:rtl/>
              </w:rPr>
            </w:pPr>
          </w:p>
        </w:tc>
        <w:tc>
          <w:tcPr>
            <w:tcW w:w="2790" w:type="dxa"/>
            <w:tcBorders>
              <w:left w:val="single" w:sz="4" w:space="0" w:color="auto"/>
            </w:tcBorders>
            <w:vAlign w:val="bottom"/>
          </w:tcPr>
          <w:p w14:paraId="7E2A7363"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יציאה מאיחוד של חברה מאוחדת</w:t>
            </w:r>
          </w:p>
        </w:tc>
        <w:tc>
          <w:tcPr>
            <w:tcW w:w="113" w:type="dxa"/>
            <w:vAlign w:val="bottom"/>
          </w:tcPr>
          <w:p w14:paraId="3D99A76F"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4AB91A93" w14:textId="77777777" w:rsidR="00285250" w:rsidRPr="006A44FC" w:rsidRDefault="00285250" w:rsidP="00285250">
            <w:pPr>
              <w:tabs>
                <w:tab w:val="decimal" w:pos="113"/>
              </w:tabs>
              <w:spacing w:line="140" w:lineRule="exact"/>
              <w:rPr>
                <w:sz w:val="16"/>
                <w:szCs w:val="16"/>
              </w:rPr>
            </w:pPr>
          </w:p>
        </w:tc>
        <w:tc>
          <w:tcPr>
            <w:tcW w:w="113" w:type="dxa"/>
            <w:vAlign w:val="bottom"/>
          </w:tcPr>
          <w:p w14:paraId="3A3D5DA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F3ED138"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07ED2D5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0F1D7FF" w14:textId="77777777" w:rsidR="00285250" w:rsidRPr="006A44FC" w:rsidRDefault="00285250" w:rsidP="00285250">
            <w:pPr>
              <w:tabs>
                <w:tab w:val="decimal" w:pos="113"/>
              </w:tabs>
              <w:spacing w:line="140" w:lineRule="exact"/>
              <w:rPr>
                <w:sz w:val="16"/>
                <w:szCs w:val="16"/>
              </w:rPr>
            </w:pPr>
          </w:p>
        </w:tc>
        <w:tc>
          <w:tcPr>
            <w:tcW w:w="113" w:type="dxa"/>
          </w:tcPr>
          <w:p w14:paraId="48F8269B"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72EDE165" w14:textId="77777777" w:rsidR="00285250" w:rsidRPr="006A44FC" w:rsidRDefault="00285250" w:rsidP="00285250">
            <w:pPr>
              <w:tabs>
                <w:tab w:val="decimal" w:pos="113"/>
              </w:tabs>
              <w:spacing w:line="140" w:lineRule="exact"/>
              <w:rPr>
                <w:sz w:val="16"/>
                <w:szCs w:val="16"/>
              </w:rPr>
            </w:pPr>
          </w:p>
        </w:tc>
        <w:tc>
          <w:tcPr>
            <w:tcW w:w="113" w:type="dxa"/>
          </w:tcPr>
          <w:p w14:paraId="2AECDEC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5C2B07CD" w14:textId="77777777" w:rsidR="00285250" w:rsidRPr="006A44FC" w:rsidRDefault="00285250" w:rsidP="00285250">
            <w:pPr>
              <w:tabs>
                <w:tab w:val="decimal" w:pos="113"/>
              </w:tabs>
              <w:spacing w:line="140" w:lineRule="exact"/>
              <w:rPr>
                <w:sz w:val="16"/>
                <w:szCs w:val="16"/>
              </w:rPr>
            </w:pPr>
          </w:p>
        </w:tc>
        <w:tc>
          <w:tcPr>
            <w:tcW w:w="113" w:type="dxa"/>
            <w:vAlign w:val="bottom"/>
          </w:tcPr>
          <w:p w14:paraId="79D7345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FFED008" w14:textId="77777777" w:rsidR="00285250" w:rsidRPr="006A44FC" w:rsidRDefault="00285250" w:rsidP="00285250">
            <w:pPr>
              <w:tabs>
                <w:tab w:val="decimal" w:pos="113"/>
              </w:tabs>
              <w:spacing w:line="140" w:lineRule="exact"/>
              <w:rPr>
                <w:sz w:val="16"/>
                <w:szCs w:val="16"/>
              </w:rPr>
            </w:pPr>
          </w:p>
        </w:tc>
        <w:tc>
          <w:tcPr>
            <w:tcW w:w="113" w:type="dxa"/>
            <w:vAlign w:val="bottom"/>
          </w:tcPr>
          <w:p w14:paraId="7D7F9D3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3BE5C49" w14:textId="77777777" w:rsidR="00285250" w:rsidRPr="006A44FC" w:rsidRDefault="00285250" w:rsidP="00285250">
            <w:pPr>
              <w:tabs>
                <w:tab w:val="decimal" w:pos="113"/>
              </w:tabs>
              <w:spacing w:line="140" w:lineRule="exact"/>
              <w:rPr>
                <w:sz w:val="16"/>
                <w:szCs w:val="16"/>
              </w:rPr>
            </w:pPr>
          </w:p>
        </w:tc>
        <w:tc>
          <w:tcPr>
            <w:tcW w:w="113" w:type="dxa"/>
            <w:vAlign w:val="bottom"/>
          </w:tcPr>
          <w:p w14:paraId="58E71D2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557648C" w14:textId="77777777" w:rsidR="00285250" w:rsidRPr="006A44FC" w:rsidRDefault="00285250" w:rsidP="00285250">
            <w:pPr>
              <w:tabs>
                <w:tab w:val="decimal" w:pos="113"/>
              </w:tabs>
              <w:spacing w:line="140" w:lineRule="exact"/>
              <w:rPr>
                <w:sz w:val="16"/>
                <w:szCs w:val="16"/>
              </w:rPr>
            </w:pPr>
          </w:p>
        </w:tc>
        <w:tc>
          <w:tcPr>
            <w:tcW w:w="113" w:type="dxa"/>
            <w:vAlign w:val="bottom"/>
          </w:tcPr>
          <w:p w14:paraId="74B92BD8"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ED3E744"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25C07D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FA507B0"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3924C33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2617AA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00AC486C"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C62F73A"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BB35B6B"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AC6D3BE" w14:textId="77777777" w:rsidR="00285250" w:rsidRPr="006A44FC" w:rsidRDefault="00285250" w:rsidP="00285250">
            <w:pPr>
              <w:tabs>
                <w:tab w:val="decimal" w:pos="113"/>
              </w:tabs>
              <w:spacing w:line="140" w:lineRule="exact"/>
              <w:rPr>
                <w:sz w:val="16"/>
                <w:szCs w:val="16"/>
              </w:rPr>
            </w:pPr>
          </w:p>
        </w:tc>
        <w:tc>
          <w:tcPr>
            <w:tcW w:w="144" w:type="dxa"/>
            <w:vAlign w:val="bottom"/>
          </w:tcPr>
          <w:p w14:paraId="58B5D88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3403E82" w14:textId="77777777" w:rsidR="00285250" w:rsidRPr="006A44FC" w:rsidRDefault="00285250" w:rsidP="00285250">
            <w:pPr>
              <w:tabs>
                <w:tab w:val="decimal" w:pos="113"/>
              </w:tabs>
              <w:spacing w:line="140" w:lineRule="exact"/>
              <w:rPr>
                <w:sz w:val="16"/>
                <w:szCs w:val="16"/>
              </w:rPr>
            </w:pPr>
          </w:p>
        </w:tc>
        <w:tc>
          <w:tcPr>
            <w:tcW w:w="113" w:type="dxa"/>
            <w:vAlign w:val="bottom"/>
          </w:tcPr>
          <w:p w14:paraId="62AAD30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E6F5AAF" w14:textId="77777777" w:rsidR="00285250" w:rsidRPr="006A44FC" w:rsidRDefault="00285250" w:rsidP="00285250">
            <w:pPr>
              <w:tabs>
                <w:tab w:val="decimal" w:pos="113"/>
              </w:tabs>
              <w:spacing w:line="140" w:lineRule="exact"/>
              <w:rPr>
                <w:sz w:val="16"/>
                <w:szCs w:val="16"/>
              </w:rPr>
            </w:pPr>
          </w:p>
        </w:tc>
        <w:tc>
          <w:tcPr>
            <w:tcW w:w="113" w:type="dxa"/>
          </w:tcPr>
          <w:p w14:paraId="20F6D7E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38C6453D" w14:textId="77777777" w:rsidR="00285250" w:rsidRPr="006A44FC" w:rsidRDefault="00285250" w:rsidP="00285250">
            <w:pPr>
              <w:tabs>
                <w:tab w:val="decimal" w:pos="113"/>
              </w:tabs>
              <w:spacing w:line="140" w:lineRule="exact"/>
              <w:rPr>
                <w:sz w:val="16"/>
                <w:szCs w:val="16"/>
              </w:rPr>
            </w:pPr>
          </w:p>
        </w:tc>
      </w:tr>
      <w:tr w:rsidR="00285250" w:rsidRPr="006A44FC" w14:paraId="091A5DD3" w14:textId="77777777" w:rsidTr="00285250">
        <w:tc>
          <w:tcPr>
            <w:tcW w:w="1009" w:type="dxa"/>
            <w:vMerge/>
            <w:tcBorders>
              <w:bottom w:val="single" w:sz="4" w:space="0" w:color="auto"/>
              <w:right w:val="single" w:sz="4" w:space="0" w:color="auto"/>
            </w:tcBorders>
            <w:vAlign w:val="center"/>
          </w:tcPr>
          <w:p w14:paraId="223948C2" w14:textId="77777777" w:rsidR="00285250" w:rsidRPr="00B21C4E" w:rsidRDefault="00285250" w:rsidP="00285250">
            <w:pPr>
              <w:bidi w:val="0"/>
              <w:spacing w:line="140" w:lineRule="exact"/>
              <w:jc w:val="right"/>
              <w:rPr>
                <w:i/>
                <w:iCs/>
                <w:sz w:val="13"/>
                <w:szCs w:val="13"/>
                <w:rtl/>
              </w:rPr>
            </w:pPr>
          </w:p>
        </w:tc>
        <w:tc>
          <w:tcPr>
            <w:tcW w:w="2790" w:type="dxa"/>
            <w:tcBorders>
              <w:left w:val="single" w:sz="4" w:space="0" w:color="auto"/>
            </w:tcBorders>
            <w:vAlign w:val="bottom"/>
          </w:tcPr>
          <w:p w14:paraId="0AA8EC62"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דיבידנד לבעלי זכויות שאינן מקנות שליטה</w:t>
            </w:r>
          </w:p>
        </w:tc>
        <w:tc>
          <w:tcPr>
            <w:tcW w:w="113" w:type="dxa"/>
            <w:vAlign w:val="bottom"/>
          </w:tcPr>
          <w:p w14:paraId="0D811E08" w14:textId="77777777" w:rsidR="00285250" w:rsidRPr="006A44FC" w:rsidRDefault="00285250" w:rsidP="00285250">
            <w:pPr>
              <w:spacing w:line="140" w:lineRule="exact"/>
              <w:rPr>
                <w:sz w:val="16"/>
                <w:szCs w:val="16"/>
              </w:rPr>
            </w:pPr>
          </w:p>
        </w:tc>
        <w:tc>
          <w:tcPr>
            <w:tcW w:w="624" w:type="dxa"/>
            <w:tcBorders>
              <w:left w:val="nil"/>
              <w:bottom w:val="single" w:sz="6" w:space="0" w:color="auto"/>
              <w:right w:val="nil"/>
            </w:tcBorders>
            <w:shd w:val="clear" w:color="auto" w:fill="auto"/>
            <w:vAlign w:val="bottom"/>
          </w:tcPr>
          <w:p w14:paraId="2D69D5C0" w14:textId="77777777" w:rsidR="00285250" w:rsidRPr="006A44FC" w:rsidRDefault="00285250" w:rsidP="00285250">
            <w:pPr>
              <w:tabs>
                <w:tab w:val="decimal" w:pos="113"/>
              </w:tabs>
              <w:spacing w:line="140" w:lineRule="exact"/>
              <w:rPr>
                <w:sz w:val="16"/>
                <w:szCs w:val="16"/>
              </w:rPr>
            </w:pPr>
          </w:p>
        </w:tc>
        <w:tc>
          <w:tcPr>
            <w:tcW w:w="113" w:type="dxa"/>
            <w:vAlign w:val="bottom"/>
          </w:tcPr>
          <w:p w14:paraId="5039ED1B"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594A1427"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09F3F2DD"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6EB8C1D4" w14:textId="77777777" w:rsidR="00285250" w:rsidRPr="006A44FC" w:rsidRDefault="00285250" w:rsidP="00285250">
            <w:pPr>
              <w:tabs>
                <w:tab w:val="decimal" w:pos="113"/>
              </w:tabs>
              <w:spacing w:line="140" w:lineRule="exact"/>
              <w:rPr>
                <w:sz w:val="16"/>
                <w:szCs w:val="16"/>
              </w:rPr>
            </w:pPr>
          </w:p>
        </w:tc>
        <w:tc>
          <w:tcPr>
            <w:tcW w:w="113" w:type="dxa"/>
          </w:tcPr>
          <w:p w14:paraId="40F0CF09" w14:textId="77777777" w:rsidR="00285250" w:rsidRPr="006A44FC" w:rsidRDefault="00285250" w:rsidP="00285250">
            <w:pPr>
              <w:tabs>
                <w:tab w:val="decimal" w:pos="113"/>
              </w:tabs>
              <w:spacing w:line="140" w:lineRule="exact"/>
              <w:rPr>
                <w:sz w:val="16"/>
                <w:szCs w:val="16"/>
              </w:rPr>
            </w:pPr>
          </w:p>
        </w:tc>
        <w:tc>
          <w:tcPr>
            <w:tcW w:w="680" w:type="dxa"/>
            <w:tcBorders>
              <w:left w:val="nil"/>
              <w:bottom w:val="single" w:sz="6" w:space="0" w:color="auto"/>
              <w:right w:val="nil"/>
            </w:tcBorders>
            <w:shd w:val="clear" w:color="auto" w:fill="auto"/>
          </w:tcPr>
          <w:p w14:paraId="71437132" w14:textId="77777777" w:rsidR="00285250" w:rsidRPr="006A44FC" w:rsidRDefault="00285250" w:rsidP="00285250">
            <w:pPr>
              <w:tabs>
                <w:tab w:val="decimal" w:pos="113"/>
              </w:tabs>
              <w:spacing w:line="140" w:lineRule="exact"/>
              <w:rPr>
                <w:sz w:val="16"/>
                <w:szCs w:val="16"/>
              </w:rPr>
            </w:pPr>
          </w:p>
        </w:tc>
        <w:tc>
          <w:tcPr>
            <w:tcW w:w="113" w:type="dxa"/>
          </w:tcPr>
          <w:p w14:paraId="435A7EB4"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tcPr>
          <w:p w14:paraId="01BB9CD5" w14:textId="77777777" w:rsidR="00285250" w:rsidRPr="006A44FC" w:rsidRDefault="00285250" w:rsidP="00285250">
            <w:pPr>
              <w:tabs>
                <w:tab w:val="decimal" w:pos="113"/>
              </w:tabs>
              <w:spacing w:line="140" w:lineRule="exact"/>
              <w:rPr>
                <w:sz w:val="16"/>
                <w:szCs w:val="16"/>
              </w:rPr>
            </w:pPr>
          </w:p>
        </w:tc>
        <w:tc>
          <w:tcPr>
            <w:tcW w:w="113" w:type="dxa"/>
            <w:vAlign w:val="bottom"/>
          </w:tcPr>
          <w:p w14:paraId="157C37E7"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597945F3" w14:textId="77777777" w:rsidR="00285250" w:rsidRPr="006A44FC" w:rsidRDefault="00285250" w:rsidP="00285250">
            <w:pPr>
              <w:tabs>
                <w:tab w:val="decimal" w:pos="113"/>
              </w:tabs>
              <w:spacing w:line="140" w:lineRule="exact"/>
              <w:rPr>
                <w:sz w:val="16"/>
                <w:szCs w:val="16"/>
              </w:rPr>
            </w:pPr>
          </w:p>
        </w:tc>
        <w:tc>
          <w:tcPr>
            <w:tcW w:w="113" w:type="dxa"/>
            <w:vAlign w:val="bottom"/>
          </w:tcPr>
          <w:p w14:paraId="1C7D727E"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139DFEE1" w14:textId="77777777" w:rsidR="00285250" w:rsidRPr="006A44FC" w:rsidRDefault="00285250" w:rsidP="00285250">
            <w:pPr>
              <w:tabs>
                <w:tab w:val="decimal" w:pos="113"/>
              </w:tabs>
              <w:spacing w:line="140" w:lineRule="exact"/>
              <w:rPr>
                <w:sz w:val="16"/>
                <w:szCs w:val="16"/>
              </w:rPr>
            </w:pPr>
          </w:p>
        </w:tc>
        <w:tc>
          <w:tcPr>
            <w:tcW w:w="113" w:type="dxa"/>
            <w:vAlign w:val="bottom"/>
          </w:tcPr>
          <w:p w14:paraId="2F47AC92"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6BB424AB" w14:textId="77777777" w:rsidR="00285250" w:rsidRPr="006A44FC" w:rsidRDefault="00285250" w:rsidP="00285250">
            <w:pPr>
              <w:tabs>
                <w:tab w:val="decimal" w:pos="113"/>
              </w:tabs>
              <w:spacing w:line="140" w:lineRule="exact"/>
              <w:rPr>
                <w:sz w:val="16"/>
                <w:szCs w:val="16"/>
              </w:rPr>
            </w:pPr>
          </w:p>
        </w:tc>
        <w:tc>
          <w:tcPr>
            <w:tcW w:w="113" w:type="dxa"/>
            <w:vAlign w:val="bottom"/>
          </w:tcPr>
          <w:p w14:paraId="78EFA6D5" w14:textId="77777777" w:rsidR="00285250" w:rsidRPr="006A44FC" w:rsidRDefault="00285250" w:rsidP="00285250">
            <w:pPr>
              <w:tabs>
                <w:tab w:val="decimal" w:pos="113"/>
              </w:tabs>
              <w:spacing w:line="140" w:lineRule="exact"/>
              <w:rPr>
                <w:sz w:val="16"/>
                <w:szCs w:val="16"/>
              </w:rPr>
            </w:pPr>
          </w:p>
        </w:tc>
        <w:tc>
          <w:tcPr>
            <w:tcW w:w="680" w:type="dxa"/>
            <w:tcBorders>
              <w:left w:val="nil"/>
              <w:bottom w:val="single" w:sz="6" w:space="0" w:color="auto"/>
              <w:right w:val="nil"/>
            </w:tcBorders>
            <w:shd w:val="clear" w:color="auto" w:fill="auto"/>
            <w:vAlign w:val="bottom"/>
          </w:tcPr>
          <w:p w14:paraId="1CE03D2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197D4AB" w14:textId="77777777" w:rsidR="00285250" w:rsidRPr="006A44FC" w:rsidRDefault="00285250" w:rsidP="00285250">
            <w:pPr>
              <w:tabs>
                <w:tab w:val="decimal" w:pos="113"/>
              </w:tabs>
              <w:spacing w:line="140" w:lineRule="exact"/>
              <w:rPr>
                <w:sz w:val="16"/>
                <w:szCs w:val="16"/>
              </w:rPr>
            </w:pPr>
          </w:p>
        </w:tc>
        <w:tc>
          <w:tcPr>
            <w:tcW w:w="680" w:type="dxa"/>
            <w:tcBorders>
              <w:left w:val="nil"/>
              <w:bottom w:val="single" w:sz="6" w:space="0" w:color="auto"/>
              <w:right w:val="nil"/>
            </w:tcBorders>
            <w:shd w:val="clear" w:color="auto" w:fill="auto"/>
            <w:vAlign w:val="bottom"/>
          </w:tcPr>
          <w:p w14:paraId="18C67E7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1EF3723" w14:textId="77777777" w:rsidR="00285250" w:rsidRPr="006A44FC" w:rsidRDefault="00285250" w:rsidP="00285250">
            <w:pPr>
              <w:tabs>
                <w:tab w:val="decimal" w:pos="113"/>
              </w:tabs>
              <w:spacing w:line="140" w:lineRule="exact"/>
              <w:rPr>
                <w:sz w:val="16"/>
                <w:szCs w:val="16"/>
              </w:rPr>
            </w:pPr>
          </w:p>
        </w:tc>
        <w:tc>
          <w:tcPr>
            <w:tcW w:w="680" w:type="dxa"/>
            <w:tcBorders>
              <w:left w:val="nil"/>
              <w:bottom w:val="single" w:sz="6" w:space="0" w:color="auto"/>
              <w:right w:val="nil"/>
            </w:tcBorders>
            <w:shd w:val="clear" w:color="auto" w:fill="auto"/>
            <w:vAlign w:val="bottom"/>
          </w:tcPr>
          <w:p w14:paraId="2122F642"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54E12D3" w14:textId="77777777" w:rsidR="00285250" w:rsidRPr="006A44FC" w:rsidRDefault="00285250" w:rsidP="00285250">
            <w:pPr>
              <w:tabs>
                <w:tab w:val="decimal" w:pos="113"/>
              </w:tabs>
              <w:spacing w:line="140" w:lineRule="exact"/>
              <w:rPr>
                <w:sz w:val="16"/>
                <w:szCs w:val="16"/>
              </w:rPr>
            </w:pPr>
          </w:p>
        </w:tc>
        <w:tc>
          <w:tcPr>
            <w:tcW w:w="680" w:type="dxa"/>
            <w:tcBorders>
              <w:left w:val="nil"/>
              <w:bottom w:val="single" w:sz="6" w:space="0" w:color="auto"/>
              <w:right w:val="nil"/>
            </w:tcBorders>
            <w:shd w:val="clear" w:color="auto" w:fill="auto"/>
            <w:vAlign w:val="bottom"/>
          </w:tcPr>
          <w:p w14:paraId="2F35021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F9F0E18" w14:textId="77777777" w:rsidR="00285250" w:rsidRPr="006A44FC" w:rsidRDefault="00285250" w:rsidP="00285250">
            <w:pPr>
              <w:tabs>
                <w:tab w:val="decimal" w:pos="113"/>
              </w:tabs>
              <w:spacing w:line="140" w:lineRule="exact"/>
              <w:rPr>
                <w:sz w:val="16"/>
                <w:szCs w:val="16"/>
              </w:rPr>
            </w:pPr>
          </w:p>
        </w:tc>
        <w:tc>
          <w:tcPr>
            <w:tcW w:w="680" w:type="dxa"/>
            <w:tcBorders>
              <w:left w:val="nil"/>
              <w:bottom w:val="single" w:sz="6" w:space="0" w:color="auto"/>
              <w:right w:val="nil"/>
            </w:tcBorders>
            <w:shd w:val="clear" w:color="auto" w:fill="auto"/>
            <w:vAlign w:val="bottom"/>
          </w:tcPr>
          <w:p w14:paraId="33EC765A" w14:textId="77777777" w:rsidR="00285250" w:rsidRPr="006A44FC" w:rsidRDefault="00285250" w:rsidP="00285250">
            <w:pPr>
              <w:tabs>
                <w:tab w:val="decimal" w:pos="113"/>
              </w:tabs>
              <w:spacing w:line="140" w:lineRule="exact"/>
              <w:rPr>
                <w:sz w:val="16"/>
                <w:szCs w:val="16"/>
              </w:rPr>
            </w:pPr>
          </w:p>
        </w:tc>
        <w:tc>
          <w:tcPr>
            <w:tcW w:w="144" w:type="dxa"/>
            <w:vAlign w:val="bottom"/>
          </w:tcPr>
          <w:p w14:paraId="1185270D"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3C37D4B8" w14:textId="77777777" w:rsidR="00285250" w:rsidRPr="006A44FC" w:rsidRDefault="00285250" w:rsidP="00285250">
            <w:pPr>
              <w:tabs>
                <w:tab w:val="decimal" w:pos="113"/>
              </w:tabs>
              <w:spacing w:line="140" w:lineRule="exact"/>
              <w:rPr>
                <w:sz w:val="16"/>
                <w:szCs w:val="16"/>
              </w:rPr>
            </w:pPr>
          </w:p>
        </w:tc>
        <w:tc>
          <w:tcPr>
            <w:tcW w:w="113" w:type="dxa"/>
            <w:vAlign w:val="bottom"/>
          </w:tcPr>
          <w:p w14:paraId="44E87D1F"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2614E5C8" w14:textId="77777777" w:rsidR="00285250" w:rsidRPr="006A44FC" w:rsidRDefault="00285250" w:rsidP="00285250">
            <w:pPr>
              <w:tabs>
                <w:tab w:val="decimal" w:pos="113"/>
              </w:tabs>
              <w:spacing w:line="140" w:lineRule="exact"/>
              <w:rPr>
                <w:sz w:val="16"/>
                <w:szCs w:val="16"/>
              </w:rPr>
            </w:pPr>
          </w:p>
        </w:tc>
        <w:tc>
          <w:tcPr>
            <w:tcW w:w="113" w:type="dxa"/>
          </w:tcPr>
          <w:p w14:paraId="0ABFE321"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tcPr>
          <w:p w14:paraId="7E7928AD" w14:textId="77777777" w:rsidR="00285250" w:rsidRPr="006A44FC" w:rsidRDefault="00285250" w:rsidP="00285250">
            <w:pPr>
              <w:tabs>
                <w:tab w:val="decimal" w:pos="113"/>
              </w:tabs>
              <w:spacing w:line="140" w:lineRule="exact"/>
              <w:rPr>
                <w:sz w:val="16"/>
                <w:szCs w:val="16"/>
              </w:rPr>
            </w:pPr>
          </w:p>
        </w:tc>
      </w:tr>
      <w:tr w:rsidR="00285250" w:rsidRPr="006A44FC" w14:paraId="370B3D73" w14:textId="77777777" w:rsidTr="00285250">
        <w:tc>
          <w:tcPr>
            <w:tcW w:w="1009" w:type="dxa"/>
            <w:tcBorders>
              <w:top w:val="single" w:sz="4" w:space="0" w:color="auto"/>
            </w:tcBorders>
          </w:tcPr>
          <w:p w14:paraId="538E2D8F" w14:textId="77777777" w:rsidR="00285250" w:rsidRPr="006A44FC" w:rsidRDefault="00285250" w:rsidP="00285250">
            <w:pPr>
              <w:widowControl/>
              <w:spacing w:line="140" w:lineRule="exact"/>
              <w:jc w:val="left"/>
              <w:rPr>
                <w:sz w:val="16"/>
                <w:szCs w:val="16"/>
                <w:rtl/>
              </w:rPr>
            </w:pPr>
          </w:p>
        </w:tc>
        <w:tc>
          <w:tcPr>
            <w:tcW w:w="2790" w:type="dxa"/>
            <w:vAlign w:val="bottom"/>
          </w:tcPr>
          <w:p w14:paraId="1076B2D9" w14:textId="77777777" w:rsidR="00285250" w:rsidRPr="006A44FC" w:rsidRDefault="00285250" w:rsidP="00285250">
            <w:pPr>
              <w:widowControl/>
              <w:spacing w:line="140" w:lineRule="exact"/>
              <w:jc w:val="left"/>
              <w:rPr>
                <w:sz w:val="16"/>
                <w:szCs w:val="16"/>
                <w:rtl/>
              </w:rPr>
            </w:pPr>
          </w:p>
        </w:tc>
        <w:tc>
          <w:tcPr>
            <w:tcW w:w="113" w:type="dxa"/>
            <w:vAlign w:val="bottom"/>
          </w:tcPr>
          <w:p w14:paraId="34B7F7E3" w14:textId="77777777" w:rsidR="00285250" w:rsidRPr="006A44FC" w:rsidRDefault="00285250" w:rsidP="00285250">
            <w:pPr>
              <w:widowControl/>
              <w:spacing w:line="140" w:lineRule="exact"/>
              <w:rPr>
                <w:sz w:val="16"/>
                <w:szCs w:val="16"/>
              </w:rPr>
            </w:pPr>
          </w:p>
        </w:tc>
        <w:tc>
          <w:tcPr>
            <w:tcW w:w="624" w:type="dxa"/>
            <w:tcBorders>
              <w:top w:val="single" w:sz="6" w:space="0" w:color="auto"/>
              <w:left w:val="nil"/>
              <w:right w:val="nil"/>
            </w:tcBorders>
            <w:shd w:val="clear" w:color="auto" w:fill="auto"/>
            <w:vAlign w:val="bottom"/>
          </w:tcPr>
          <w:p w14:paraId="10AD9D21"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6F71B069"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77899989" w14:textId="77777777" w:rsidR="00285250" w:rsidRPr="006A44FC" w:rsidRDefault="00285250" w:rsidP="00285250">
            <w:pPr>
              <w:widowControl/>
              <w:tabs>
                <w:tab w:val="decimal" w:pos="113"/>
              </w:tabs>
              <w:spacing w:line="140" w:lineRule="exact"/>
              <w:rPr>
                <w:sz w:val="16"/>
                <w:szCs w:val="16"/>
              </w:rPr>
            </w:pPr>
          </w:p>
        </w:tc>
        <w:tc>
          <w:tcPr>
            <w:tcW w:w="113" w:type="dxa"/>
            <w:gridSpan w:val="2"/>
            <w:vAlign w:val="bottom"/>
          </w:tcPr>
          <w:p w14:paraId="74D42476"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0987C146" w14:textId="77777777" w:rsidR="00285250" w:rsidRPr="006A44FC" w:rsidRDefault="00285250" w:rsidP="00285250">
            <w:pPr>
              <w:widowControl/>
              <w:tabs>
                <w:tab w:val="decimal" w:pos="113"/>
              </w:tabs>
              <w:spacing w:line="140" w:lineRule="exact"/>
              <w:rPr>
                <w:sz w:val="16"/>
                <w:szCs w:val="16"/>
              </w:rPr>
            </w:pPr>
          </w:p>
        </w:tc>
        <w:tc>
          <w:tcPr>
            <w:tcW w:w="113" w:type="dxa"/>
          </w:tcPr>
          <w:p w14:paraId="380E5E64" w14:textId="77777777" w:rsidR="00285250" w:rsidRPr="006A44FC" w:rsidRDefault="00285250" w:rsidP="00285250">
            <w:pPr>
              <w:widowControl/>
              <w:tabs>
                <w:tab w:val="decimal" w:pos="113"/>
              </w:tabs>
              <w:spacing w:line="140" w:lineRule="exact"/>
              <w:rPr>
                <w:sz w:val="16"/>
                <w:szCs w:val="16"/>
              </w:rPr>
            </w:pPr>
          </w:p>
        </w:tc>
        <w:tc>
          <w:tcPr>
            <w:tcW w:w="680" w:type="dxa"/>
            <w:tcBorders>
              <w:top w:val="single" w:sz="6" w:space="0" w:color="auto"/>
              <w:left w:val="nil"/>
              <w:right w:val="nil"/>
            </w:tcBorders>
            <w:shd w:val="clear" w:color="auto" w:fill="auto"/>
          </w:tcPr>
          <w:p w14:paraId="1A47F281" w14:textId="77777777" w:rsidR="00285250" w:rsidRPr="006A44FC" w:rsidRDefault="00285250" w:rsidP="00285250">
            <w:pPr>
              <w:widowControl/>
              <w:tabs>
                <w:tab w:val="decimal" w:pos="113"/>
              </w:tabs>
              <w:spacing w:line="140" w:lineRule="exact"/>
              <w:rPr>
                <w:sz w:val="16"/>
                <w:szCs w:val="16"/>
              </w:rPr>
            </w:pPr>
          </w:p>
        </w:tc>
        <w:tc>
          <w:tcPr>
            <w:tcW w:w="113" w:type="dxa"/>
          </w:tcPr>
          <w:p w14:paraId="552EFFFA"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tcPr>
          <w:p w14:paraId="071EEDBE"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48935648"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5761F434"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63E245E1"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7A9FC484"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E42FEDA"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4B37D79F"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3857D437" w14:textId="77777777" w:rsidR="00285250" w:rsidRPr="006A44FC" w:rsidRDefault="00285250" w:rsidP="00285250">
            <w:pPr>
              <w:widowControl/>
              <w:tabs>
                <w:tab w:val="decimal" w:pos="113"/>
              </w:tabs>
              <w:spacing w:line="140" w:lineRule="exact"/>
              <w:rPr>
                <w:sz w:val="16"/>
                <w:szCs w:val="16"/>
              </w:rPr>
            </w:pPr>
          </w:p>
        </w:tc>
        <w:tc>
          <w:tcPr>
            <w:tcW w:w="680" w:type="dxa"/>
            <w:tcBorders>
              <w:top w:val="single" w:sz="6" w:space="0" w:color="auto"/>
              <w:left w:val="nil"/>
              <w:right w:val="nil"/>
            </w:tcBorders>
            <w:shd w:val="clear" w:color="auto" w:fill="auto"/>
            <w:vAlign w:val="bottom"/>
          </w:tcPr>
          <w:p w14:paraId="1C751993"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5362DCD7" w14:textId="77777777" w:rsidR="00285250" w:rsidRPr="006A44FC" w:rsidRDefault="00285250" w:rsidP="00285250">
            <w:pPr>
              <w:widowControl/>
              <w:tabs>
                <w:tab w:val="decimal" w:pos="113"/>
              </w:tabs>
              <w:spacing w:line="140" w:lineRule="exact"/>
              <w:rPr>
                <w:sz w:val="16"/>
                <w:szCs w:val="16"/>
              </w:rPr>
            </w:pPr>
          </w:p>
        </w:tc>
        <w:tc>
          <w:tcPr>
            <w:tcW w:w="680" w:type="dxa"/>
            <w:tcBorders>
              <w:top w:val="single" w:sz="6" w:space="0" w:color="auto"/>
              <w:left w:val="nil"/>
              <w:right w:val="nil"/>
            </w:tcBorders>
            <w:shd w:val="clear" w:color="auto" w:fill="auto"/>
            <w:vAlign w:val="bottom"/>
          </w:tcPr>
          <w:p w14:paraId="12BF060A"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4557709E" w14:textId="77777777" w:rsidR="00285250" w:rsidRPr="006A44FC" w:rsidRDefault="00285250" w:rsidP="00285250">
            <w:pPr>
              <w:widowControl/>
              <w:tabs>
                <w:tab w:val="decimal" w:pos="113"/>
              </w:tabs>
              <w:spacing w:line="140" w:lineRule="exact"/>
              <w:rPr>
                <w:sz w:val="16"/>
                <w:szCs w:val="16"/>
              </w:rPr>
            </w:pPr>
          </w:p>
        </w:tc>
        <w:tc>
          <w:tcPr>
            <w:tcW w:w="680" w:type="dxa"/>
            <w:tcBorders>
              <w:top w:val="single" w:sz="6" w:space="0" w:color="auto"/>
              <w:left w:val="nil"/>
              <w:right w:val="nil"/>
            </w:tcBorders>
            <w:shd w:val="clear" w:color="auto" w:fill="auto"/>
            <w:vAlign w:val="bottom"/>
          </w:tcPr>
          <w:p w14:paraId="46884613"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74F51739" w14:textId="77777777" w:rsidR="00285250" w:rsidRPr="006A44FC" w:rsidRDefault="00285250" w:rsidP="00285250">
            <w:pPr>
              <w:widowControl/>
              <w:tabs>
                <w:tab w:val="decimal" w:pos="113"/>
              </w:tabs>
              <w:spacing w:line="140" w:lineRule="exact"/>
              <w:rPr>
                <w:sz w:val="16"/>
                <w:szCs w:val="16"/>
              </w:rPr>
            </w:pPr>
          </w:p>
        </w:tc>
        <w:tc>
          <w:tcPr>
            <w:tcW w:w="680" w:type="dxa"/>
            <w:tcBorders>
              <w:top w:val="single" w:sz="6" w:space="0" w:color="auto"/>
              <w:left w:val="nil"/>
              <w:right w:val="nil"/>
            </w:tcBorders>
            <w:shd w:val="clear" w:color="auto" w:fill="auto"/>
            <w:vAlign w:val="bottom"/>
          </w:tcPr>
          <w:p w14:paraId="7988DB1E"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124B0004" w14:textId="77777777" w:rsidR="00285250" w:rsidRPr="006A44FC" w:rsidRDefault="00285250" w:rsidP="00285250">
            <w:pPr>
              <w:widowControl/>
              <w:tabs>
                <w:tab w:val="decimal" w:pos="113"/>
              </w:tabs>
              <w:spacing w:line="140" w:lineRule="exact"/>
              <w:rPr>
                <w:sz w:val="16"/>
                <w:szCs w:val="16"/>
              </w:rPr>
            </w:pPr>
          </w:p>
        </w:tc>
        <w:tc>
          <w:tcPr>
            <w:tcW w:w="680" w:type="dxa"/>
            <w:tcBorders>
              <w:top w:val="single" w:sz="6" w:space="0" w:color="auto"/>
              <w:left w:val="nil"/>
              <w:right w:val="nil"/>
            </w:tcBorders>
            <w:shd w:val="clear" w:color="auto" w:fill="auto"/>
            <w:vAlign w:val="bottom"/>
          </w:tcPr>
          <w:p w14:paraId="624C6581" w14:textId="77777777" w:rsidR="00285250" w:rsidRPr="006A44FC" w:rsidRDefault="00285250" w:rsidP="00285250">
            <w:pPr>
              <w:widowControl/>
              <w:tabs>
                <w:tab w:val="decimal" w:pos="113"/>
              </w:tabs>
              <w:spacing w:line="140" w:lineRule="exact"/>
              <w:rPr>
                <w:sz w:val="16"/>
                <w:szCs w:val="16"/>
              </w:rPr>
            </w:pPr>
          </w:p>
        </w:tc>
        <w:tc>
          <w:tcPr>
            <w:tcW w:w="144" w:type="dxa"/>
            <w:vAlign w:val="bottom"/>
          </w:tcPr>
          <w:p w14:paraId="27DEEDB7"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2E5255E1"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27B56EC2"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7666D008" w14:textId="77777777" w:rsidR="00285250" w:rsidRPr="006A44FC" w:rsidRDefault="00285250" w:rsidP="00285250">
            <w:pPr>
              <w:widowControl/>
              <w:tabs>
                <w:tab w:val="decimal" w:pos="113"/>
              </w:tabs>
              <w:spacing w:line="140" w:lineRule="exact"/>
              <w:rPr>
                <w:sz w:val="16"/>
                <w:szCs w:val="16"/>
              </w:rPr>
            </w:pPr>
          </w:p>
        </w:tc>
        <w:tc>
          <w:tcPr>
            <w:tcW w:w="113" w:type="dxa"/>
          </w:tcPr>
          <w:p w14:paraId="6147AEA7"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tcPr>
          <w:p w14:paraId="16041E4D" w14:textId="77777777" w:rsidR="00285250" w:rsidRPr="006A44FC" w:rsidRDefault="00285250" w:rsidP="00285250">
            <w:pPr>
              <w:widowControl/>
              <w:tabs>
                <w:tab w:val="decimal" w:pos="113"/>
              </w:tabs>
              <w:spacing w:line="140" w:lineRule="exact"/>
              <w:rPr>
                <w:sz w:val="16"/>
                <w:szCs w:val="16"/>
              </w:rPr>
            </w:pPr>
          </w:p>
        </w:tc>
      </w:tr>
      <w:tr w:rsidR="00285250" w:rsidRPr="006A44FC" w14:paraId="730E88B5" w14:textId="77777777" w:rsidTr="00285250">
        <w:tc>
          <w:tcPr>
            <w:tcW w:w="1009" w:type="dxa"/>
          </w:tcPr>
          <w:p w14:paraId="45413793" w14:textId="77777777" w:rsidR="00285250" w:rsidRPr="006A44FC" w:rsidRDefault="00285250" w:rsidP="00285250">
            <w:pPr>
              <w:pStyle w:val="a3"/>
              <w:spacing w:line="140" w:lineRule="exact"/>
              <w:rPr>
                <w:sz w:val="16"/>
                <w:szCs w:val="16"/>
                <w:u w:val="single"/>
                <w:rtl/>
              </w:rPr>
            </w:pPr>
          </w:p>
        </w:tc>
        <w:tc>
          <w:tcPr>
            <w:tcW w:w="2790" w:type="dxa"/>
            <w:vAlign w:val="bottom"/>
          </w:tcPr>
          <w:p w14:paraId="71FDD139" w14:textId="6281AC8F" w:rsidR="00285250" w:rsidRDefault="00285250" w:rsidP="00285250">
            <w:pPr>
              <w:pStyle w:val="a3"/>
              <w:spacing w:line="140" w:lineRule="exact"/>
              <w:rPr>
                <w:sz w:val="16"/>
                <w:szCs w:val="16"/>
                <w:u w:val="single"/>
              </w:rPr>
            </w:pPr>
            <w:r w:rsidRPr="006A44FC">
              <w:rPr>
                <w:rFonts w:hint="cs"/>
                <w:sz w:val="16"/>
                <w:szCs w:val="16"/>
                <w:u w:val="single"/>
                <w:rtl/>
              </w:rPr>
              <w:t xml:space="preserve">יתרה ליום 31 בדצמבר, </w:t>
            </w:r>
            <w:r>
              <w:rPr>
                <w:rFonts w:hint="cs"/>
                <w:sz w:val="16"/>
                <w:szCs w:val="16"/>
                <w:u w:val="single"/>
                <w:rtl/>
              </w:rPr>
              <w:t>2018</w:t>
            </w:r>
          </w:p>
        </w:tc>
        <w:tc>
          <w:tcPr>
            <w:tcW w:w="113" w:type="dxa"/>
            <w:vAlign w:val="bottom"/>
          </w:tcPr>
          <w:p w14:paraId="31507B35" w14:textId="77777777" w:rsidR="00285250" w:rsidRPr="006A44FC" w:rsidRDefault="00285250" w:rsidP="00285250">
            <w:pPr>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779371B3" w14:textId="77777777" w:rsidR="00285250" w:rsidRPr="006A44FC" w:rsidRDefault="00285250" w:rsidP="00285250">
            <w:pPr>
              <w:tabs>
                <w:tab w:val="decimal" w:pos="113"/>
              </w:tabs>
              <w:spacing w:line="140" w:lineRule="exact"/>
              <w:rPr>
                <w:sz w:val="16"/>
                <w:szCs w:val="16"/>
              </w:rPr>
            </w:pPr>
          </w:p>
        </w:tc>
        <w:tc>
          <w:tcPr>
            <w:tcW w:w="113" w:type="dxa"/>
            <w:vAlign w:val="bottom"/>
          </w:tcPr>
          <w:p w14:paraId="6E7DCADF"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6ADCCE1C"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33DC072D"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1B0C1EB2" w14:textId="77777777" w:rsidR="00285250" w:rsidRPr="006A44FC" w:rsidRDefault="00285250" w:rsidP="00285250">
            <w:pPr>
              <w:tabs>
                <w:tab w:val="decimal" w:pos="113"/>
              </w:tabs>
              <w:spacing w:line="140" w:lineRule="exact"/>
              <w:rPr>
                <w:sz w:val="16"/>
                <w:szCs w:val="16"/>
              </w:rPr>
            </w:pPr>
          </w:p>
        </w:tc>
        <w:tc>
          <w:tcPr>
            <w:tcW w:w="113" w:type="dxa"/>
          </w:tcPr>
          <w:p w14:paraId="3B0241DF" w14:textId="77777777" w:rsidR="00285250" w:rsidRPr="006A44FC" w:rsidRDefault="00285250" w:rsidP="00285250">
            <w:pPr>
              <w:tabs>
                <w:tab w:val="decimal" w:pos="113"/>
              </w:tabs>
              <w:spacing w:line="140" w:lineRule="exact"/>
              <w:rPr>
                <w:sz w:val="16"/>
                <w:szCs w:val="16"/>
              </w:rPr>
            </w:pPr>
          </w:p>
        </w:tc>
        <w:tc>
          <w:tcPr>
            <w:tcW w:w="680" w:type="dxa"/>
            <w:tcBorders>
              <w:top w:val="nil"/>
              <w:left w:val="nil"/>
              <w:bottom w:val="double" w:sz="6" w:space="0" w:color="auto"/>
              <w:right w:val="nil"/>
            </w:tcBorders>
            <w:shd w:val="clear" w:color="auto" w:fill="auto"/>
          </w:tcPr>
          <w:p w14:paraId="60A5CC1F" w14:textId="77777777" w:rsidR="00285250" w:rsidRPr="006A44FC" w:rsidRDefault="00285250" w:rsidP="00285250">
            <w:pPr>
              <w:tabs>
                <w:tab w:val="decimal" w:pos="113"/>
              </w:tabs>
              <w:spacing w:line="140" w:lineRule="exact"/>
              <w:rPr>
                <w:sz w:val="16"/>
                <w:szCs w:val="16"/>
              </w:rPr>
            </w:pPr>
          </w:p>
        </w:tc>
        <w:tc>
          <w:tcPr>
            <w:tcW w:w="113" w:type="dxa"/>
          </w:tcPr>
          <w:p w14:paraId="53949F5F"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tcPr>
          <w:p w14:paraId="07B2DEC0" w14:textId="77777777" w:rsidR="00285250" w:rsidRPr="006A44FC" w:rsidRDefault="00285250" w:rsidP="00285250">
            <w:pPr>
              <w:tabs>
                <w:tab w:val="decimal" w:pos="113"/>
              </w:tabs>
              <w:spacing w:line="140" w:lineRule="exact"/>
              <w:rPr>
                <w:sz w:val="16"/>
                <w:szCs w:val="16"/>
              </w:rPr>
            </w:pPr>
          </w:p>
        </w:tc>
        <w:tc>
          <w:tcPr>
            <w:tcW w:w="113" w:type="dxa"/>
            <w:vAlign w:val="bottom"/>
          </w:tcPr>
          <w:p w14:paraId="74181A0E"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5BAC6EAA" w14:textId="77777777" w:rsidR="00285250" w:rsidRPr="006A44FC" w:rsidRDefault="00285250" w:rsidP="00285250">
            <w:pPr>
              <w:tabs>
                <w:tab w:val="decimal" w:pos="113"/>
              </w:tabs>
              <w:spacing w:line="140" w:lineRule="exact"/>
              <w:rPr>
                <w:sz w:val="16"/>
                <w:szCs w:val="16"/>
              </w:rPr>
            </w:pPr>
          </w:p>
        </w:tc>
        <w:tc>
          <w:tcPr>
            <w:tcW w:w="113" w:type="dxa"/>
            <w:vAlign w:val="bottom"/>
          </w:tcPr>
          <w:p w14:paraId="011E5909"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044A699E" w14:textId="77777777" w:rsidR="00285250" w:rsidRPr="006A44FC" w:rsidRDefault="00285250" w:rsidP="00285250">
            <w:pPr>
              <w:tabs>
                <w:tab w:val="decimal" w:pos="113"/>
              </w:tabs>
              <w:spacing w:line="140" w:lineRule="exact"/>
              <w:rPr>
                <w:sz w:val="16"/>
                <w:szCs w:val="16"/>
              </w:rPr>
            </w:pPr>
          </w:p>
        </w:tc>
        <w:tc>
          <w:tcPr>
            <w:tcW w:w="113" w:type="dxa"/>
            <w:vAlign w:val="bottom"/>
          </w:tcPr>
          <w:p w14:paraId="35C2807B"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01C7C8DC" w14:textId="77777777" w:rsidR="00285250" w:rsidRPr="006A44FC" w:rsidRDefault="00285250" w:rsidP="00285250">
            <w:pPr>
              <w:tabs>
                <w:tab w:val="decimal" w:pos="113"/>
              </w:tabs>
              <w:spacing w:line="140" w:lineRule="exact"/>
              <w:rPr>
                <w:sz w:val="16"/>
                <w:szCs w:val="16"/>
              </w:rPr>
            </w:pPr>
          </w:p>
        </w:tc>
        <w:tc>
          <w:tcPr>
            <w:tcW w:w="113" w:type="dxa"/>
            <w:vAlign w:val="bottom"/>
          </w:tcPr>
          <w:p w14:paraId="68714FCD" w14:textId="77777777" w:rsidR="00285250" w:rsidRPr="006A44FC" w:rsidRDefault="00285250" w:rsidP="00285250">
            <w:pPr>
              <w:tabs>
                <w:tab w:val="decimal" w:pos="113"/>
              </w:tabs>
              <w:spacing w:line="140" w:lineRule="exact"/>
              <w:rPr>
                <w:sz w:val="16"/>
                <w:szCs w:val="16"/>
              </w:rPr>
            </w:pPr>
          </w:p>
        </w:tc>
        <w:tc>
          <w:tcPr>
            <w:tcW w:w="680" w:type="dxa"/>
            <w:tcBorders>
              <w:left w:val="nil"/>
              <w:bottom w:val="double" w:sz="6" w:space="0" w:color="auto"/>
              <w:right w:val="nil"/>
            </w:tcBorders>
            <w:shd w:val="clear" w:color="auto" w:fill="auto"/>
            <w:vAlign w:val="bottom"/>
          </w:tcPr>
          <w:p w14:paraId="5E0F47EF"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0B479237" w14:textId="77777777" w:rsidR="00285250" w:rsidRPr="006A44FC" w:rsidRDefault="00285250" w:rsidP="00285250">
            <w:pPr>
              <w:tabs>
                <w:tab w:val="decimal" w:pos="113"/>
              </w:tabs>
              <w:spacing w:line="140" w:lineRule="exact"/>
              <w:rPr>
                <w:sz w:val="16"/>
                <w:szCs w:val="16"/>
              </w:rPr>
            </w:pPr>
          </w:p>
        </w:tc>
        <w:tc>
          <w:tcPr>
            <w:tcW w:w="680" w:type="dxa"/>
            <w:tcBorders>
              <w:left w:val="nil"/>
              <w:bottom w:val="double" w:sz="6" w:space="0" w:color="auto"/>
              <w:right w:val="nil"/>
            </w:tcBorders>
            <w:shd w:val="clear" w:color="auto" w:fill="auto"/>
            <w:vAlign w:val="bottom"/>
          </w:tcPr>
          <w:p w14:paraId="53C0FB28"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D7009B2" w14:textId="77777777" w:rsidR="00285250" w:rsidRPr="006A44FC" w:rsidRDefault="00285250" w:rsidP="00285250">
            <w:pPr>
              <w:tabs>
                <w:tab w:val="decimal" w:pos="113"/>
              </w:tabs>
              <w:spacing w:line="140" w:lineRule="exact"/>
              <w:rPr>
                <w:sz w:val="16"/>
                <w:szCs w:val="16"/>
              </w:rPr>
            </w:pPr>
          </w:p>
        </w:tc>
        <w:tc>
          <w:tcPr>
            <w:tcW w:w="680" w:type="dxa"/>
            <w:tcBorders>
              <w:left w:val="nil"/>
              <w:bottom w:val="double" w:sz="6" w:space="0" w:color="auto"/>
              <w:right w:val="nil"/>
            </w:tcBorders>
            <w:shd w:val="clear" w:color="auto" w:fill="auto"/>
            <w:vAlign w:val="bottom"/>
          </w:tcPr>
          <w:p w14:paraId="3E30B52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DA34C12" w14:textId="77777777" w:rsidR="00285250" w:rsidRPr="006A44FC" w:rsidRDefault="00285250" w:rsidP="00285250">
            <w:pPr>
              <w:tabs>
                <w:tab w:val="decimal" w:pos="113"/>
              </w:tabs>
              <w:spacing w:line="140" w:lineRule="exact"/>
              <w:rPr>
                <w:sz w:val="16"/>
                <w:szCs w:val="16"/>
              </w:rPr>
            </w:pPr>
          </w:p>
        </w:tc>
        <w:tc>
          <w:tcPr>
            <w:tcW w:w="680" w:type="dxa"/>
            <w:tcBorders>
              <w:left w:val="nil"/>
              <w:bottom w:val="double" w:sz="6" w:space="0" w:color="auto"/>
              <w:right w:val="nil"/>
            </w:tcBorders>
            <w:shd w:val="clear" w:color="auto" w:fill="auto"/>
            <w:vAlign w:val="bottom"/>
          </w:tcPr>
          <w:p w14:paraId="2CAA4EB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C9BA0C6" w14:textId="77777777" w:rsidR="00285250" w:rsidRPr="006A44FC" w:rsidRDefault="00285250" w:rsidP="00285250">
            <w:pPr>
              <w:tabs>
                <w:tab w:val="decimal" w:pos="113"/>
              </w:tabs>
              <w:spacing w:line="140" w:lineRule="exact"/>
              <w:rPr>
                <w:sz w:val="16"/>
                <w:szCs w:val="16"/>
              </w:rPr>
            </w:pPr>
          </w:p>
        </w:tc>
        <w:tc>
          <w:tcPr>
            <w:tcW w:w="680" w:type="dxa"/>
            <w:tcBorders>
              <w:left w:val="nil"/>
              <w:bottom w:val="double" w:sz="6" w:space="0" w:color="auto"/>
              <w:right w:val="nil"/>
            </w:tcBorders>
            <w:shd w:val="clear" w:color="auto" w:fill="auto"/>
            <w:vAlign w:val="bottom"/>
          </w:tcPr>
          <w:p w14:paraId="197385ED" w14:textId="77777777" w:rsidR="00285250" w:rsidRPr="006A44FC" w:rsidRDefault="00285250" w:rsidP="00285250">
            <w:pPr>
              <w:tabs>
                <w:tab w:val="decimal" w:pos="113"/>
              </w:tabs>
              <w:spacing w:line="140" w:lineRule="exact"/>
              <w:rPr>
                <w:sz w:val="16"/>
                <w:szCs w:val="16"/>
              </w:rPr>
            </w:pPr>
          </w:p>
        </w:tc>
        <w:tc>
          <w:tcPr>
            <w:tcW w:w="144" w:type="dxa"/>
            <w:vAlign w:val="bottom"/>
          </w:tcPr>
          <w:p w14:paraId="7FE59F33"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27195A05" w14:textId="77777777" w:rsidR="00285250" w:rsidRPr="006A44FC" w:rsidRDefault="00285250" w:rsidP="00285250">
            <w:pPr>
              <w:tabs>
                <w:tab w:val="decimal" w:pos="113"/>
              </w:tabs>
              <w:spacing w:line="140" w:lineRule="exact"/>
              <w:rPr>
                <w:sz w:val="16"/>
                <w:szCs w:val="16"/>
              </w:rPr>
            </w:pPr>
          </w:p>
        </w:tc>
        <w:tc>
          <w:tcPr>
            <w:tcW w:w="113" w:type="dxa"/>
            <w:vAlign w:val="bottom"/>
          </w:tcPr>
          <w:p w14:paraId="129F3A46"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018B5BB6" w14:textId="77777777" w:rsidR="00285250" w:rsidRPr="006A44FC" w:rsidRDefault="00285250" w:rsidP="00285250">
            <w:pPr>
              <w:tabs>
                <w:tab w:val="decimal" w:pos="113"/>
              </w:tabs>
              <w:spacing w:line="140" w:lineRule="exact"/>
              <w:rPr>
                <w:sz w:val="16"/>
                <w:szCs w:val="16"/>
              </w:rPr>
            </w:pPr>
          </w:p>
        </w:tc>
        <w:tc>
          <w:tcPr>
            <w:tcW w:w="113" w:type="dxa"/>
          </w:tcPr>
          <w:p w14:paraId="5A4A0525"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tcPr>
          <w:p w14:paraId="64B446D7" w14:textId="77777777" w:rsidR="00285250" w:rsidRPr="006A44FC" w:rsidRDefault="00285250" w:rsidP="00285250">
            <w:pPr>
              <w:tabs>
                <w:tab w:val="decimal" w:pos="113"/>
              </w:tabs>
              <w:spacing w:line="140" w:lineRule="exact"/>
              <w:rPr>
                <w:sz w:val="16"/>
                <w:szCs w:val="16"/>
              </w:rPr>
            </w:pPr>
          </w:p>
        </w:tc>
      </w:tr>
    </w:tbl>
    <w:p w14:paraId="7A051047" w14:textId="77777777" w:rsidR="00285250" w:rsidRDefault="00285250" w:rsidP="009F14AD">
      <w:pPr>
        <w:rPr>
          <w:szCs w:val="20"/>
          <w:rtl/>
        </w:rPr>
      </w:pPr>
    </w:p>
    <w:p w14:paraId="76691129" w14:textId="77777777" w:rsidR="00AB7D68" w:rsidRPr="00844A20" w:rsidRDefault="00F2585A" w:rsidP="009F14AD">
      <w:pPr>
        <w:rPr>
          <w:sz w:val="16"/>
          <w:szCs w:val="16"/>
          <w:rtl/>
        </w:rPr>
      </w:pPr>
      <w:r w:rsidRPr="004410F8">
        <w:rPr>
          <w:rFonts w:hint="eastAsia"/>
          <w:rtl/>
        </w:rPr>
        <w:t>הבאורים</w:t>
      </w:r>
      <w:r w:rsidRPr="004410F8">
        <w:rPr>
          <w:rtl/>
        </w:rPr>
        <w:t xml:space="preserve"> המצורפים מהווים חלק בלתי נפרד מהדוחות הכספיים ביניים מאוחדים</w:t>
      </w:r>
      <w:r w:rsidRPr="00F2585A">
        <w:rPr>
          <w:sz w:val="16"/>
          <w:szCs w:val="16"/>
          <w:rtl/>
        </w:rPr>
        <w:t>.</w:t>
      </w:r>
    </w:p>
    <w:p w14:paraId="37C452EC" w14:textId="77777777" w:rsidR="00AB7D68" w:rsidRDefault="00AB7D68">
      <w:pPr>
        <w:overflowPunct/>
        <w:autoSpaceDE/>
        <w:autoSpaceDN/>
        <w:adjustRightInd/>
        <w:jc w:val="left"/>
        <w:rPr>
          <w:sz w:val="18"/>
          <w:szCs w:val="20"/>
          <w:rtl/>
        </w:rPr>
        <w:sectPr w:rsidR="00AB7D68" w:rsidSect="00BA7D9A">
          <w:footnotePr>
            <w:numRestart w:val="eachPage"/>
          </w:footnotePr>
          <w:endnotePr>
            <w:numFmt w:val="lowerLetter"/>
          </w:endnotePr>
          <w:pgSz w:w="16840" w:h="11907" w:orient="landscape" w:code="9"/>
          <w:pgMar w:top="567" w:right="567" w:bottom="567" w:left="567" w:header="567" w:footer="567" w:gutter="0"/>
          <w:cols w:space="720"/>
          <w:bidi/>
          <w:rtlGutter/>
          <w:docGrid w:linePitch="272"/>
        </w:sectPr>
      </w:pPr>
    </w:p>
    <w:p w14:paraId="0A48C40C" w14:textId="67EF6B1E" w:rsidR="00AB7D68" w:rsidRPr="00364535" w:rsidRDefault="00AB7D68" w:rsidP="00364535">
      <w:pPr>
        <w:pBdr>
          <w:bottom w:val="single" w:sz="12" w:space="1" w:color="auto"/>
        </w:pBdr>
        <w:rPr>
          <w:b/>
          <w:bCs/>
          <w:rtl/>
        </w:rPr>
      </w:pPr>
      <w:bookmarkStart w:id="37" w:name="_Toc60984412"/>
      <w:bookmarkStart w:id="38" w:name="_Toc29797700"/>
      <w:bookmarkStart w:id="39" w:name="_Toc29797472"/>
      <w:bookmarkStart w:id="40" w:name="_Toc29796633"/>
      <w:bookmarkStart w:id="41" w:name="_Toc26614785"/>
      <w:bookmarkStart w:id="42" w:name="_Toc26607712"/>
      <w:bookmarkStart w:id="43" w:name="_Toc26607183"/>
      <w:bookmarkStart w:id="44" w:name="_Toc535127677"/>
      <w:bookmarkStart w:id="45" w:name="_Toc532800357"/>
      <w:r w:rsidRPr="00785F4C">
        <w:rPr>
          <w:rFonts w:hint="cs"/>
          <w:b/>
          <w:bCs/>
          <w:rtl/>
        </w:rPr>
        <w:lastRenderedPageBreak/>
        <w:t>דוחות מאוחדים על תזרימי המזומנים</w:t>
      </w:r>
      <w:bookmarkEnd w:id="37"/>
      <w:bookmarkEnd w:id="38"/>
      <w:bookmarkEnd w:id="39"/>
      <w:bookmarkEnd w:id="40"/>
      <w:bookmarkEnd w:id="41"/>
      <w:bookmarkEnd w:id="42"/>
      <w:bookmarkEnd w:id="43"/>
      <w:bookmarkEnd w:id="44"/>
      <w:bookmarkEnd w:id="45"/>
      <w:r w:rsidR="00BE6DE4">
        <w:rPr>
          <w:rStyle w:val="ab"/>
          <w:b/>
          <w:bCs w:val="0"/>
          <w:rtl/>
        </w:rPr>
        <w:footnoteReference w:id="48"/>
      </w:r>
    </w:p>
    <w:tbl>
      <w:tblPr>
        <w:bidiVisual/>
        <w:tblW w:w="9646" w:type="dxa"/>
        <w:tblInd w:w="20" w:type="dxa"/>
        <w:tblLayout w:type="fixed"/>
        <w:tblCellMar>
          <w:left w:w="0" w:type="dxa"/>
          <w:right w:w="0" w:type="dxa"/>
        </w:tblCellMar>
        <w:tblLook w:val="01E0" w:firstRow="1" w:lastRow="1" w:firstColumn="1" w:lastColumn="1" w:noHBand="0" w:noVBand="0"/>
      </w:tblPr>
      <w:tblGrid>
        <w:gridCol w:w="1098"/>
        <w:gridCol w:w="3345"/>
        <w:gridCol w:w="113"/>
        <w:gridCol w:w="907"/>
        <w:gridCol w:w="113"/>
        <w:gridCol w:w="28"/>
        <w:gridCol w:w="879"/>
        <w:gridCol w:w="113"/>
        <w:gridCol w:w="907"/>
        <w:gridCol w:w="113"/>
        <w:gridCol w:w="907"/>
        <w:gridCol w:w="113"/>
        <w:gridCol w:w="1010"/>
      </w:tblGrid>
      <w:tr w:rsidR="001533EC" w:rsidRPr="00C54C0C" w14:paraId="62F4C082" w14:textId="77777777" w:rsidTr="001521F8">
        <w:tc>
          <w:tcPr>
            <w:tcW w:w="1098" w:type="dxa"/>
            <w:tcBorders>
              <w:bottom w:val="single" w:sz="4" w:space="0" w:color="auto"/>
              <w:right w:val="single" w:sz="4" w:space="0" w:color="auto"/>
            </w:tcBorders>
          </w:tcPr>
          <w:p w14:paraId="2495A41B" w14:textId="77777777" w:rsidR="001533EC" w:rsidRPr="000B1730" w:rsidRDefault="00F2585A" w:rsidP="00DB5346">
            <w:pPr>
              <w:tabs>
                <w:tab w:val="left" w:pos="227"/>
                <w:tab w:val="left" w:pos="397"/>
                <w:tab w:val="left" w:pos="567"/>
              </w:tabs>
              <w:bidi w:val="0"/>
              <w:spacing w:line="180" w:lineRule="exact"/>
              <w:ind w:right="28"/>
              <w:jc w:val="right"/>
              <w:rPr>
                <w:rFonts w:cs="Times New Roman"/>
                <w:i/>
                <w:iCs/>
                <w:sz w:val="13"/>
                <w:szCs w:val="13"/>
                <w:rtl/>
              </w:rPr>
            </w:pPr>
            <w:r w:rsidRPr="00F2585A">
              <w:rPr>
                <w:rFonts w:cs="Times New Roman"/>
                <w:i/>
                <w:iCs/>
                <w:sz w:val="13"/>
                <w:szCs w:val="13"/>
              </w:rPr>
              <w:t>IAS 1.51(b), (c); IAS 1.10(d); IAS 34.10</w:t>
            </w:r>
          </w:p>
        </w:tc>
        <w:tc>
          <w:tcPr>
            <w:tcW w:w="3345" w:type="dxa"/>
            <w:tcBorders>
              <w:left w:val="single" w:sz="4" w:space="0" w:color="auto"/>
            </w:tcBorders>
            <w:shd w:val="clear" w:color="auto" w:fill="auto"/>
            <w:vAlign w:val="bottom"/>
          </w:tcPr>
          <w:p w14:paraId="1BC55C92" w14:textId="77777777" w:rsidR="001533EC" w:rsidRPr="00764993" w:rsidRDefault="001533EC" w:rsidP="00DB5346">
            <w:pPr>
              <w:tabs>
                <w:tab w:val="left" w:pos="227"/>
                <w:tab w:val="left" w:pos="397"/>
                <w:tab w:val="left" w:pos="567"/>
              </w:tabs>
              <w:spacing w:line="180" w:lineRule="exact"/>
              <w:ind w:left="227" w:hanging="170"/>
              <w:rPr>
                <w:sz w:val="16"/>
                <w:szCs w:val="16"/>
                <w:rtl/>
              </w:rPr>
            </w:pPr>
          </w:p>
        </w:tc>
        <w:tc>
          <w:tcPr>
            <w:tcW w:w="113" w:type="dxa"/>
            <w:shd w:val="clear" w:color="auto" w:fill="auto"/>
            <w:vAlign w:val="bottom"/>
          </w:tcPr>
          <w:p w14:paraId="7D7CFD2D" w14:textId="77777777" w:rsidR="001533EC" w:rsidRPr="00764993" w:rsidRDefault="001533EC" w:rsidP="00DB5346">
            <w:pPr>
              <w:spacing w:line="180" w:lineRule="exact"/>
              <w:rPr>
                <w:sz w:val="16"/>
                <w:szCs w:val="16"/>
                <w:rtl/>
              </w:rPr>
            </w:pPr>
          </w:p>
        </w:tc>
        <w:tc>
          <w:tcPr>
            <w:tcW w:w="1927" w:type="dxa"/>
            <w:gridSpan w:val="4"/>
            <w:tcBorders>
              <w:bottom w:val="single" w:sz="6" w:space="0" w:color="auto"/>
            </w:tcBorders>
            <w:shd w:val="clear" w:color="auto" w:fill="auto"/>
            <w:vAlign w:val="bottom"/>
          </w:tcPr>
          <w:p w14:paraId="3F09AF61" w14:textId="77777777" w:rsidR="00C27900" w:rsidRDefault="001533EC" w:rsidP="00DB5346">
            <w:pPr>
              <w:spacing w:line="180" w:lineRule="exact"/>
              <w:jc w:val="center"/>
              <w:rPr>
                <w:sz w:val="16"/>
                <w:szCs w:val="16"/>
                <w:rtl/>
              </w:rPr>
            </w:pPr>
            <w:r w:rsidRPr="00764993">
              <w:rPr>
                <w:rFonts w:hint="cs"/>
                <w:sz w:val="16"/>
                <w:szCs w:val="16"/>
                <w:rtl/>
              </w:rPr>
              <w:t xml:space="preserve">ל-9 החודשים שהסתיימו ביום </w:t>
            </w:r>
          </w:p>
          <w:p w14:paraId="719A006A" w14:textId="77777777" w:rsidR="001533EC" w:rsidRPr="00764993" w:rsidRDefault="001533EC" w:rsidP="00DB5346">
            <w:pPr>
              <w:spacing w:line="180" w:lineRule="exact"/>
              <w:jc w:val="center"/>
              <w:rPr>
                <w:sz w:val="16"/>
                <w:szCs w:val="16"/>
                <w:rtl/>
              </w:rPr>
            </w:pPr>
            <w:r w:rsidRPr="00764993">
              <w:rPr>
                <w:rFonts w:hint="cs"/>
                <w:sz w:val="16"/>
                <w:szCs w:val="16"/>
                <w:rtl/>
              </w:rPr>
              <w:t>30 בספטמבר</w:t>
            </w:r>
          </w:p>
        </w:tc>
        <w:tc>
          <w:tcPr>
            <w:tcW w:w="113" w:type="dxa"/>
            <w:shd w:val="clear" w:color="auto" w:fill="auto"/>
            <w:vAlign w:val="bottom"/>
          </w:tcPr>
          <w:p w14:paraId="3C0EDD17" w14:textId="77777777" w:rsidR="001533EC" w:rsidRPr="00764993" w:rsidRDefault="001533EC" w:rsidP="00DB5346">
            <w:pPr>
              <w:spacing w:line="180" w:lineRule="exact"/>
              <w:jc w:val="center"/>
              <w:rPr>
                <w:sz w:val="16"/>
                <w:szCs w:val="16"/>
              </w:rPr>
            </w:pPr>
          </w:p>
        </w:tc>
        <w:tc>
          <w:tcPr>
            <w:tcW w:w="1927" w:type="dxa"/>
            <w:gridSpan w:val="3"/>
            <w:tcBorders>
              <w:bottom w:val="single" w:sz="6" w:space="0" w:color="auto"/>
            </w:tcBorders>
            <w:shd w:val="clear" w:color="auto" w:fill="auto"/>
            <w:vAlign w:val="bottom"/>
          </w:tcPr>
          <w:p w14:paraId="21449B7E" w14:textId="77777777" w:rsidR="00C27900" w:rsidRDefault="001533EC" w:rsidP="00DB5346">
            <w:pPr>
              <w:spacing w:line="180" w:lineRule="exact"/>
              <w:jc w:val="center"/>
              <w:rPr>
                <w:sz w:val="16"/>
                <w:szCs w:val="16"/>
                <w:rtl/>
              </w:rPr>
            </w:pPr>
            <w:r w:rsidRPr="00764993">
              <w:rPr>
                <w:rFonts w:hint="cs"/>
                <w:sz w:val="16"/>
                <w:szCs w:val="16"/>
                <w:rtl/>
              </w:rPr>
              <w:t xml:space="preserve">ל-3 החודשים שהסתיימו ביום </w:t>
            </w:r>
          </w:p>
          <w:p w14:paraId="600DE5F9" w14:textId="77777777" w:rsidR="001533EC" w:rsidRPr="00E75D30" w:rsidRDefault="001533EC" w:rsidP="00DB5346">
            <w:pPr>
              <w:spacing w:line="180" w:lineRule="exact"/>
              <w:jc w:val="center"/>
              <w:rPr>
                <w:sz w:val="16"/>
                <w:szCs w:val="16"/>
                <w:rtl/>
              </w:rPr>
            </w:pPr>
            <w:r w:rsidRPr="00764993">
              <w:rPr>
                <w:rFonts w:hint="cs"/>
                <w:sz w:val="16"/>
                <w:szCs w:val="16"/>
                <w:rtl/>
              </w:rPr>
              <w:t>30 בספטמבר</w:t>
            </w:r>
            <w:r w:rsidR="00E75D30">
              <w:rPr>
                <w:rStyle w:val="ab"/>
                <w:sz w:val="16"/>
                <w:szCs w:val="16"/>
              </w:rPr>
              <w:footnoteReference w:id="49"/>
            </w:r>
          </w:p>
        </w:tc>
        <w:tc>
          <w:tcPr>
            <w:tcW w:w="113" w:type="dxa"/>
            <w:shd w:val="clear" w:color="auto" w:fill="auto"/>
            <w:vAlign w:val="bottom"/>
          </w:tcPr>
          <w:p w14:paraId="103C59F3" w14:textId="77777777" w:rsidR="001533EC" w:rsidRPr="00764993" w:rsidRDefault="001533EC" w:rsidP="00DB5346">
            <w:pPr>
              <w:tabs>
                <w:tab w:val="decimal" w:pos="113"/>
              </w:tabs>
              <w:spacing w:line="180" w:lineRule="exact"/>
              <w:jc w:val="center"/>
              <w:rPr>
                <w:sz w:val="16"/>
                <w:szCs w:val="16"/>
              </w:rPr>
            </w:pPr>
          </w:p>
        </w:tc>
        <w:tc>
          <w:tcPr>
            <w:tcW w:w="1010" w:type="dxa"/>
            <w:shd w:val="clear" w:color="auto" w:fill="auto"/>
            <w:vAlign w:val="bottom"/>
          </w:tcPr>
          <w:p w14:paraId="7653869B" w14:textId="77777777" w:rsidR="001533EC" w:rsidRPr="00764993" w:rsidRDefault="001533EC" w:rsidP="00DB5346">
            <w:pPr>
              <w:spacing w:line="180" w:lineRule="exact"/>
              <w:jc w:val="center"/>
              <w:rPr>
                <w:sz w:val="16"/>
                <w:szCs w:val="16"/>
                <w:rtl/>
              </w:rPr>
            </w:pPr>
            <w:r w:rsidRPr="00764993">
              <w:rPr>
                <w:rFonts w:hint="cs"/>
                <w:sz w:val="16"/>
                <w:szCs w:val="16"/>
                <w:rtl/>
              </w:rPr>
              <w:t>לשנה שהסתיימה ביום</w:t>
            </w:r>
          </w:p>
          <w:p w14:paraId="7D5FE583" w14:textId="77777777" w:rsidR="001533EC" w:rsidRPr="00764993" w:rsidRDefault="001533EC" w:rsidP="00DB5346">
            <w:pPr>
              <w:spacing w:line="180" w:lineRule="exact"/>
              <w:jc w:val="center"/>
              <w:rPr>
                <w:sz w:val="16"/>
                <w:szCs w:val="16"/>
                <w:rtl/>
              </w:rPr>
            </w:pPr>
            <w:r w:rsidRPr="00764993">
              <w:rPr>
                <w:rFonts w:hint="cs"/>
                <w:sz w:val="16"/>
                <w:szCs w:val="16"/>
                <w:rtl/>
              </w:rPr>
              <w:t>31 בדצמבר</w:t>
            </w:r>
          </w:p>
        </w:tc>
      </w:tr>
      <w:tr w:rsidR="00E6640A" w:rsidRPr="00C54C0C" w14:paraId="4291110C" w14:textId="77777777" w:rsidTr="001521F8">
        <w:tc>
          <w:tcPr>
            <w:tcW w:w="1098" w:type="dxa"/>
            <w:tcBorders>
              <w:top w:val="single" w:sz="4" w:space="0" w:color="auto"/>
            </w:tcBorders>
          </w:tcPr>
          <w:p w14:paraId="628A270C" w14:textId="77777777" w:rsidR="00E6640A" w:rsidRPr="000B1730" w:rsidRDefault="00E6640A" w:rsidP="00DB5346">
            <w:pPr>
              <w:tabs>
                <w:tab w:val="left" w:pos="227"/>
                <w:tab w:val="left" w:pos="397"/>
                <w:tab w:val="left" w:pos="567"/>
              </w:tabs>
              <w:bidi w:val="0"/>
              <w:spacing w:line="180" w:lineRule="exact"/>
              <w:ind w:right="28"/>
              <w:jc w:val="right"/>
              <w:rPr>
                <w:rFonts w:cs="Times New Roman"/>
                <w:i/>
                <w:iCs/>
                <w:sz w:val="13"/>
                <w:szCs w:val="13"/>
                <w:rtl/>
              </w:rPr>
            </w:pPr>
          </w:p>
        </w:tc>
        <w:tc>
          <w:tcPr>
            <w:tcW w:w="3345" w:type="dxa"/>
            <w:shd w:val="clear" w:color="auto" w:fill="auto"/>
            <w:vAlign w:val="bottom"/>
          </w:tcPr>
          <w:p w14:paraId="6908DFCF" w14:textId="77777777" w:rsidR="00E6640A" w:rsidRPr="00764993" w:rsidRDefault="00E6640A" w:rsidP="00DB5346">
            <w:pPr>
              <w:tabs>
                <w:tab w:val="left" w:pos="227"/>
                <w:tab w:val="left" w:pos="397"/>
                <w:tab w:val="left" w:pos="567"/>
              </w:tabs>
              <w:spacing w:line="180" w:lineRule="exact"/>
              <w:ind w:left="227" w:hanging="170"/>
              <w:rPr>
                <w:sz w:val="16"/>
                <w:szCs w:val="16"/>
                <w:rtl/>
              </w:rPr>
            </w:pPr>
          </w:p>
        </w:tc>
        <w:tc>
          <w:tcPr>
            <w:tcW w:w="113" w:type="dxa"/>
            <w:shd w:val="clear" w:color="auto" w:fill="auto"/>
            <w:vAlign w:val="bottom"/>
          </w:tcPr>
          <w:p w14:paraId="147EE9FC" w14:textId="77777777" w:rsidR="00E6640A" w:rsidRPr="00764993" w:rsidRDefault="00E6640A" w:rsidP="00DB5346">
            <w:pPr>
              <w:spacing w:line="180" w:lineRule="exact"/>
              <w:rPr>
                <w:sz w:val="16"/>
                <w:szCs w:val="16"/>
                <w:rtl/>
              </w:rPr>
            </w:pPr>
          </w:p>
        </w:tc>
        <w:tc>
          <w:tcPr>
            <w:tcW w:w="907" w:type="dxa"/>
            <w:tcBorders>
              <w:bottom w:val="single" w:sz="6" w:space="0" w:color="auto"/>
            </w:tcBorders>
            <w:shd w:val="clear" w:color="auto" w:fill="auto"/>
            <w:vAlign w:val="bottom"/>
          </w:tcPr>
          <w:p w14:paraId="63E31D98" w14:textId="77777777" w:rsidR="00E6640A" w:rsidRDefault="004A4A6B" w:rsidP="00C613CF">
            <w:pPr>
              <w:spacing w:line="180" w:lineRule="exact"/>
              <w:jc w:val="center"/>
              <w:rPr>
                <w:sz w:val="16"/>
                <w:szCs w:val="16"/>
              </w:rPr>
            </w:pPr>
            <w:r>
              <w:rPr>
                <w:rFonts w:hint="cs"/>
                <w:sz w:val="16"/>
                <w:szCs w:val="16"/>
                <w:rtl/>
              </w:rPr>
              <w:t>201</w:t>
            </w:r>
            <w:r w:rsidR="00C613CF">
              <w:rPr>
                <w:rFonts w:hint="cs"/>
                <w:sz w:val="16"/>
                <w:szCs w:val="16"/>
                <w:rtl/>
              </w:rPr>
              <w:t>8</w:t>
            </w:r>
          </w:p>
        </w:tc>
        <w:tc>
          <w:tcPr>
            <w:tcW w:w="113" w:type="dxa"/>
            <w:vAlign w:val="bottom"/>
          </w:tcPr>
          <w:p w14:paraId="1AF34123" w14:textId="77777777" w:rsidR="00E6640A" w:rsidRPr="00764993" w:rsidRDefault="00E6640A" w:rsidP="00DB5346">
            <w:pPr>
              <w:spacing w:line="180" w:lineRule="exact"/>
              <w:jc w:val="center"/>
              <w:rPr>
                <w:sz w:val="16"/>
                <w:szCs w:val="16"/>
              </w:rPr>
            </w:pPr>
          </w:p>
        </w:tc>
        <w:tc>
          <w:tcPr>
            <w:tcW w:w="907" w:type="dxa"/>
            <w:gridSpan w:val="2"/>
            <w:tcBorders>
              <w:bottom w:val="single" w:sz="6" w:space="0" w:color="auto"/>
            </w:tcBorders>
            <w:shd w:val="clear" w:color="auto" w:fill="auto"/>
            <w:vAlign w:val="bottom"/>
          </w:tcPr>
          <w:p w14:paraId="0116AB4B" w14:textId="77777777" w:rsidR="00E6640A" w:rsidRDefault="004F7D3D" w:rsidP="00C613CF">
            <w:pPr>
              <w:spacing w:line="180" w:lineRule="exact"/>
              <w:jc w:val="center"/>
              <w:rPr>
                <w:sz w:val="16"/>
                <w:szCs w:val="16"/>
              </w:rPr>
            </w:pPr>
            <w:r>
              <w:rPr>
                <w:rFonts w:hint="cs"/>
                <w:sz w:val="16"/>
                <w:szCs w:val="16"/>
                <w:rtl/>
              </w:rPr>
              <w:t>201</w:t>
            </w:r>
            <w:r w:rsidR="00C613CF">
              <w:rPr>
                <w:rFonts w:hint="cs"/>
                <w:sz w:val="16"/>
                <w:szCs w:val="16"/>
                <w:rtl/>
              </w:rPr>
              <w:t>7</w:t>
            </w:r>
          </w:p>
        </w:tc>
        <w:tc>
          <w:tcPr>
            <w:tcW w:w="113" w:type="dxa"/>
            <w:shd w:val="clear" w:color="auto" w:fill="auto"/>
            <w:vAlign w:val="bottom"/>
          </w:tcPr>
          <w:p w14:paraId="5DB60BF9" w14:textId="77777777" w:rsidR="00E6640A" w:rsidRPr="00764993" w:rsidRDefault="00E6640A" w:rsidP="00DB5346">
            <w:pPr>
              <w:spacing w:line="180" w:lineRule="exact"/>
              <w:jc w:val="center"/>
              <w:rPr>
                <w:sz w:val="16"/>
                <w:szCs w:val="16"/>
              </w:rPr>
            </w:pPr>
          </w:p>
        </w:tc>
        <w:tc>
          <w:tcPr>
            <w:tcW w:w="907" w:type="dxa"/>
            <w:tcBorders>
              <w:bottom w:val="single" w:sz="6" w:space="0" w:color="auto"/>
            </w:tcBorders>
            <w:shd w:val="clear" w:color="auto" w:fill="auto"/>
            <w:vAlign w:val="bottom"/>
          </w:tcPr>
          <w:p w14:paraId="2BF64459" w14:textId="210811B4" w:rsidR="00E6640A" w:rsidRDefault="00422D4D" w:rsidP="00422D4D">
            <w:pPr>
              <w:spacing w:line="180" w:lineRule="exact"/>
              <w:jc w:val="center"/>
              <w:rPr>
                <w:sz w:val="16"/>
                <w:szCs w:val="16"/>
              </w:rPr>
            </w:pPr>
            <w:r>
              <w:rPr>
                <w:rFonts w:hint="cs"/>
                <w:sz w:val="16"/>
                <w:szCs w:val="16"/>
                <w:rtl/>
              </w:rPr>
              <w:t>2018</w:t>
            </w:r>
          </w:p>
        </w:tc>
        <w:tc>
          <w:tcPr>
            <w:tcW w:w="113" w:type="dxa"/>
            <w:shd w:val="clear" w:color="auto" w:fill="auto"/>
            <w:vAlign w:val="bottom"/>
          </w:tcPr>
          <w:p w14:paraId="21A8D710" w14:textId="77777777" w:rsidR="00E6640A" w:rsidRPr="00764993" w:rsidRDefault="00E6640A" w:rsidP="00AC2186">
            <w:pPr>
              <w:spacing w:line="180" w:lineRule="exact"/>
              <w:jc w:val="center"/>
              <w:rPr>
                <w:sz w:val="16"/>
                <w:szCs w:val="16"/>
              </w:rPr>
            </w:pPr>
          </w:p>
        </w:tc>
        <w:tc>
          <w:tcPr>
            <w:tcW w:w="907" w:type="dxa"/>
            <w:tcBorders>
              <w:bottom w:val="single" w:sz="6" w:space="0" w:color="auto"/>
            </w:tcBorders>
            <w:shd w:val="clear" w:color="auto" w:fill="auto"/>
            <w:vAlign w:val="bottom"/>
          </w:tcPr>
          <w:p w14:paraId="654F3449" w14:textId="77777777" w:rsidR="00E6640A" w:rsidRDefault="004F7D3D" w:rsidP="00C613CF">
            <w:pPr>
              <w:spacing w:line="180" w:lineRule="exact"/>
              <w:jc w:val="center"/>
              <w:rPr>
                <w:sz w:val="16"/>
                <w:szCs w:val="16"/>
              </w:rPr>
            </w:pPr>
            <w:r>
              <w:rPr>
                <w:rFonts w:hint="cs"/>
                <w:sz w:val="16"/>
                <w:szCs w:val="16"/>
                <w:rtl/>
              </w:rPr>
              <w:t>201</w:t>
            </w:r>
            <w:r w:rsidR="00C613CF">
              <w:rPr>
                <w:rFonts w:hint="cs"/>
                <w:sz w:val="16"/>
                <w:szCs w:val="16"/>
                <w:rtl/>
              </w:rPr>
              <w:t xml:space="preserve">7 </w:t>
            </w:r>
          </w:p>
        </w:tc>
        <w:tc>
          <w:tcPr>
            <w:tcW w:w="113" w:type="dxa"/>
            <w:shd w:val="clear" w:color="auto" w:fill="auto"/>
            <w:vAlign w:val="bottom"/>
          </w:tcPr>
          <w:p w14:paraId="2A95CC8E" w14:textId="77777777" w:rsidR="00E6640A" w:rsidRPr="00764993" w:rsidRDefault="00E6640A" w:rsidP="00DB5346">
            <w:pPr>
              <w:tabs>
                <w:tab w:val="decimal" w:pos="113"/>
              </w:tabs>
              <w:spacing w:line="180" w:lineRule="exact"/>
              <w:jc w:val="center"/>
              <w:rPr>
                <w:sz w:val="16"/>
                <w:szCs w:val="16"/>
              </w:rPr>
            </w:pPr>
          </w:p>
        </w:tc>
        <w:tc>
          <w:tcPr>
            <w:tcW w:w="1010" w:type="dxa"/>
            <w:tcBorders>
              <w:bottom w:val="single" w:sz="6" w:space="0" w:color="auto"/>
            </w:tcBorders>
            <w:shd w:val="clear" w:color="auto" w:fill="auto"/>
            <w:vAlign w:val="bottom"/>
          </w:tcPr>
          <w:p w14:paraId="4FD53CFA" w14:textId="77777777" w:rsidR="00E6640A" w:rsidRDefault="00C613CF" w:rsidP="00C613CF">
            <w:pPr>
              <w:spacing w:line="180" w:lineRule="exact"/>
              <w:jc w:val="center"/>
              <w:rPr>
                <w:sz w:val="16"/>
                <w:szCs w:val="16"/>
              </w:rPr>
            </w:pPr>
            <w:r>
              <w:rPr>
                <w:rFonts w:hint="cs"/>
                <w:sz w:val="16"/>
                <w:szCs w:val="16"/>
                <w:rtl/>
              </w:rPr>
              <w:t xml:space="preserve">2017 </w:t>
            </w:r>
          </w:p>
        </w:tc>
      </w:tr>
      <w:tr w:rsidR="00E6640A" w:rsidRPr="00C54C0C" w14:paraId="0AB1FB31" w14:textId="77777777" w:rsidTr="001521F8">
        <w:tc>
          <w:tcPr>
            <w:tcW w:w="1098" w:type="dxa"/>
          </w:tcPr>
          <w:p w14:paraId="5247C51C" w14:textId="77777777" w:rsidR="00E6640A" w:rsidRPr="000B1730" w:rsidRDefault="00E6640A" w:rsidP="00DB5346">
            <w:pPr>
              <w:tabs>
                <w:tab w:val="left" w:pos="227"/>
                <w:tab w:val="left" w:pos="397"/>
                <w:tab w:val="left" w:pos="567"/>
              </w:tabs>
              <w:bidi w:val="0"/>
              <w:spacing w:line="180" w:lineRule="exact"/>
              <w:ind w:right="28"/>
              <w:jc w:val="right"/>
              <w:rPr>
                <w:rFonts w:cs="Times New Roman"/>
                <w:i/>
                <w:iCs/>
                <w:sz w:val="13"/>
                <w:szCs w:val="13"/>
                <w:rtl/>
              </w:rPr>
            </w:pPr>
          </w:p>
        </w:tc>
        <w:tc>
          <w:tcPr>
            <w:tcW w:w="3345" w:type="dxa"/>
            <w:shd w:val="clear" w:color="auto" w:fill="auto"/>
            <w:vAlign w:val="bottom"/>
          </w:tcPr>
          <w:p w14:paraId="2661B584" w14:textId="77777777" w:rsidR="00E6640A" w:rsidRPr="00764993" w:rsidRDefault="00E6640A" w:rsidP="00DB5346">
            <w:pPr>
              <w:tabs>
                <w:tab w:val="left" w:pos="227"/>
                <w:tab w:val="left" w:pos="397"/>
                <w:tab w:val="left" w:pos="567"/>
              </w:tabs>
              <w:spacing w:line="180" w:lineRule="exact"/>
              <w:ind w:left="227" w:hanging="170"/>
              <w:rPr>
                <w:sz w:val="16"/>
                <w:szCs w:val="16"/>
                <w:rtl/>
              </w:rPr>
            </w:pPr>
          </w:p>
        </w:tc>
        <w:tc>
          <w:tcPr>
            <w:tcW w:w="113" w:type="dxa"/>
            <w:shd w:val="clear" w:color="auto" w:fill="auto"/>
            <w:vAlign w:val="bottom"/>
          </w:tcPr>
          <w:p w14:paraId="0D7D437A" w14:textId="77777777" w:rsidR="00E6640A" w:rsidRPr="00764993" w:rsidRDefault="00E6640A" w:rsidP="00DB5346">
            <w:pPr>
              <w:spacing w:line="180" w:lineRule="exact"/>
              <w:rPr>
                <w:sz w:val="16"/>
                <w:szCs w:val="16"/>
                <w:rtl/>
              </w:rPr>
            </w:pPr>
          </w:p>
        </w:tc>
        <w:tc>
          <w:tcPr>
            <w:tcW w:w="3967" w:type="dxa"/>
            <w:gridSpan w:val="8"/>
            <w:tcBorders>
              <w:bottom w:val="single" w:sz="6" w:space="0" w:color="auto"/>
            </w:tcBorders>
            <w:shd w:val="clear" w:color="auto" w:fill="auto"/>
            <w:vAlign w:val="bottom"/>
          </w:tcPr>
          <w:p w14:paraId="19924D7B" w14:textId="77777777" w:rsidR="00E6640A" w:rsidRPr="00764993" w:rsidRDefault="00E6640A" w:rsidP="00DB5346">
            <w:pPr>
              <w:spacing w:line="180" w:lineRule="exact"/>
              <w:jc w:val="center"/>
              <w:rPr>
                <w:sz w:val="16"/>
                <w:szCs w:val="16"/>
              </w:rPr>
            </w:pPr>
            <w:r w:rsidRPr="00764993">
              <w:rPr>
                <w:rFonts w:hint="cs"/>
                <w:sz w:val="16"/>
                <w:szCs w:val="16"/>
                <w:rtl/>
              </w:rPr>
              <w:t>בלתי מבוקר</w:t>
            </w:r>
          </w:p>
        </w:tc>
        <w:tc>
          <w:tcPr>
            <w:tcW w:w="113" w:type="dxa"/>
            <w:shd w:val="clear" w:color="auto" w:fill="auto"/>
            <w:vAlign w:val="bottom"/>
          </w:tcPr>
          <w:p w14:paraId="1CB316F7" w14:textId="77777777" w:rsidR="00E6640A" w:rsidRPr="00764993" w:rsidRDefault="00E6640A" w:rsidP="00DB5346">
            <w:pPr>
              <w:tabs>
                <w:tab w:val="decimal" w:pos="113"/>
              </w:tabs>
              <w:spacing w:line="180" w:lineRule="exact"/>
              <w:jc w:val="center"/>
              <w:rPr>
                <w:sz w:val="16"/>
                <w:szCs w:val="16"/>
              </w:rPr>
            </w:pPr>
          </w:p>
        </w:tc>
        <w:tc>
          <w:tcPr>
            <w:tcW w:w="1010" w:type="dxa"/>
            <w:tcBorders>
              <w:bottom w:val="single" w:sz="6" w:space="0" w:color="auto"/>
            </w:tcBorders>
            <w:shd w:val="clear" w:color="auto" w:fill="auto"/>
            <w:vAlign w:val="bottom"/>
          </w:tcPr>
          <w:p w14:paraId="1D84CCD0" w14:textId="77777777" w:rsidR="00E6640A" w:rsidRPr="00764993" w:rsidRDefault="00E6640A" w:rsidP="00DB5346">
            <w:pPr>
              <w:spacing w:line="180" w:lineRule="exact"/>
              <w:jc w:val="center"/>
              <w:rPr>
                <w:sz w:val="16"/>
                <w:szCs w:val="16"/>
              </w:rPr>
            </w:pPr>
            <w:r w:rsidRPr="00764993">
              <w:rPr>
                <w:rFonts w:hint="cs"/>
                <w:sz w:val="16"/>
                <w:szCs w:val="16"/>
                <w:rtl/>
              </w:rPr>
              <w:t>מבוקר</w:t>
            </w:r>
          </w:p>
        </w:tc>
      </w:tr>
      <w:tr w:rsidR="00E6640A" w:rsidRPr="00C54C0C" w14:paraId="0A17E030" w14:textId="77777777" w:rsidTr="001521F8">
        <w:tc>
          <w:tcPr>
            <w:tcW w:w="1098" w:type="dxa"/>
          </w:tcPr>
          <w:p w14:paraId="68FE400B"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7CEBDD81" w14:textId="77777777" w:rsidR="00E6640A" w:rsidRPr="00764993" w:rsidRDefault="00E6640A" w:rsidP="00DB5346">
            <w:pPr>
              <w:pStyle w:val="a3"/>
              <w:tabs>
                <w:tab w:val="left" w:pos="227"/>
                <w:tab w:val="left" w:pos="397"/>
                <w:tab w:val="left" w:pos="567"/>
              </w:tabs>
              <w:spacing w:line="180" w:lineRule="exact"/>
              <w:ind w:left="227" w:hanging="170"/>
              <w:rPr>
                <w:sz w:val="16"/>
                <w:szCs w:val="16"/>
                <w:rtl/>
              </w:rPr>
            </w:pPr>
          </w:p>
        </w:tc>
        <w:tc>
          <w:tcPr>
            <w:tcW w:w="113" w:type="dxa"/>
            <w:shd w:val="clear" w:color="auto" w:fill="auto"/>
            <w:vAlign w:val="bottom"/>
          </w:tcPr>
          <w:p w14:paraId="7F9D9333" w14:textId="77777777" w:rsidR="00E6640A" w:rsidRPr="00764993" w:rsidRDefault="00E6640A" w:rsidP="00DB5346">
            <w:pPr>
              <w:tabs>
                <w:tab w:val="decimal" w:pos="113"/>
              </w:tabs>
              <w:spacing w:line="180" w:lineRule="exact"/>
              <w:ind w:left="57"/>
              <w:rPr>
                <w:sz w:val="16"/>
                <w:szCs w:val="16"/>
              </w:rPr>
            </w:pPr>
          </w:p>
        </w:tc>
        <w:tc>
          <w:tcPr>
            <w:tcW w:w="1048" w:type="dxa"/>
            <w:gridSpan w:val="3"/>
            <w:tcBorders>
              <w:bottom w:val="single" w:sz="6" w:space="0" w:color="auto"/>
            </w:tcBorders>
            <w:shd w:val="clear" w:color="auto" w:fill="auto"/>
            <w:vAlign w:val="bottom"/>
          </w:tcPr>
          <w:p w14:paraId="5B24F6C0" w14:textId="77777777" w:rsidR="00E6640A" w:rsidRPr="00707B90" w:rsidRDefault="00E6640A" w:rsidP="00DB5346">
            <w:pPr>
              <w:spacing w:line="180" w:lineRule="exact"/>
              <w:ind w:right="92"/>
              <w:jc w:val="right"/>
              <w:rPr>
                <w:i/>
                <w:iCs/>
                <w:sz w:val="13"/>
                <w:szCs w:val="13"/>
              </w:rPr>
            </w:pPr>
            <w:r>
              <w:rPr>
                <w:rFonts w:hint="cs"/>
                <w:i/>
                <w:iCs/>
                <w:sz w:val="13"/>
                <w:szCs w:val="13"/>
              </w:rPr>
              <w:t>IA</w:t>
            </w:r>
            <w:r>
              <w:rPr>
                <w:i/>
                <w:iCs/>
                <w:sz w:val="13"/>
                <w:szCs w:val="13"/>
              </w:rPr>
              <w:t>S 1.51</w:t>
            </w:r>
            <w:r w:rsidRPr="00707B90">
              <w:rPr>
                <w:i/>
                <w:iCs/>
                <w:sz w:val="13"/>
                <w:szCs w:val="13"/>
              </w:rPr>
              <w:t>(d),</w:t>
            </w:r>
            <w:r>
              <w:rPr>
                <w:i/>
                <w:iCs/>
                <w:sz w:val="13"/>
                <w:szCs w:val="13"/>
              </w:rPr>
              <w:t xml:space="preserve"> </w:t>
            </w:r>
            <w:r w:rsidRPr="00707B90">
              <w:rPr>
                <w:i/>
                <w:iCs/>
                <w:sz w:val="13"/>
                <w:szCs w:val="13"/>
              </w:rPr>
              <w:t>(e)</w:t>
            </w:r>
          </w:p>
        </w:tc>
        <w:tc>
          <w:tcPr>
            <w:tcW w:w="4042" w:type="dxa"/>
            <w:gridSpan w:val="7"/>
            <w:tcBorders>
              <w:bottom w:val="single" w:sz="6" w:space="0" w:color="auto"/>
            </w:tcBorders>
            <w:shd w:val="clear" w:color="auto" w:fill="auto"/>
            <w:vAlign w:val="bottom"/>
          </w:tcPr>
          <w:p w14:paraId="341AFAE5" w14:textId="77777777" w:rsidR="00E6640A" w:rsidRDefault="00E6640A" w:rsidP="00DB5346">
            <w:pPr>
              <w:spacing w:line="180" w:lineRule="exact"/>
              <w:jc w:val="center"/>
              <w:rPr>
                <w:sz w:val="16"/>
                <w:szCs w:val="16"/>
                <w:u w:val="single"/>
              </w:rPr>
            </w:pPr>
            <w:r w:rsidRPr="00764993">
              <w:rPr>
                <w:rFonts w:hint="cs"/>
                <w:sz w:val="16"/>
                <w:szCs w:val="16"/>
                <w:rtl/>
              </w:rPr>
              <w:t>אלפי ש"ח</w:t>
            </w:r>
          </w:p>
        </w:tc>
      </w:tr>
      <w:tr w:rsidR="00E6640A" w:rsidRPr="00C54C0C" w14:paraId="29692F28" w14:textId="77777777" w:rsidTr="001521F8">
        <w:tc>
          <w:tcPr>
            <w:tcW w:w="1098" w:type="dxa"/>
            <w:tcBorders>
              <w:bottom w:val="single" w:sz="4" w:space="0" w:color="auto"/>
              <w:right w:val="single" w:sz="4" w:space="0" w:color="auto"/>
            </w:tcBorders>
          </w:tcPr>
          <w:p w14:paraId="51003F5E"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Pr>
            </w:pPr>
            <w:r w:rsidRPr="00F2585A">
              <w:rPr>
                <w:rFonts w:cs="Times New Roman"/>
                <w:i/>
                <w:iCs/>
                <w:sz w:val="13"/>
                <w:szCs w:val="13"/>
              </w:rPr>
              <w:t>IAS 7.10; IAS 7.18(b)</w:t>
            </w:r>
          </w:p>
        </w:tc>
        <w:tc>
          <w:tcPr>
            <w:tcW w:w="3345" w:type="dxa"/>
            <w:tcBorders>
              <w:left w:val="single" w:sz="4" w:space="0" w:color="auto"/>
            </w:tcBorders>
            <w:shd w:val="clear" w:color="auto" w:fill="auto"/>
            <w:vAlign w:val="bottom"/>
          </w:tcPr>
          <w:p w14:paraId="118BE041" w14:textId="77777777" w:rsidR="00E6640A" w:rsidRPr="00764993" w:rsidRDefault="00E6640A" w:rsidP="00DB5346">
            <w:pPr>
              <w:pStyle w:val="a3"/>
              <w:tabs>
                <w:tab w:val="left" w:pos="227"/>
                <w:tab w:val="left" w:pos="397"/>
                <w:tab w:val="left" w:pos="567"/>
              </w:tabs>
              <w:spacing w:line="180" w:lineRule="exact"/>
              <w:rPr>
                <w:sz w:val="16"/>
                <w:szCs w:val="16"/>
                <w:u w:val="single"/>
              </w:rPr>
            </w:pPr>
            <w:r w:rsidRPr="00764993">
              <w:rPr>
                <w:rFonts w:hint="cs"/>
                <w:sz w:val="16"/>
                <w:szCs w:val="16"/>
                <w:u w:val="single"/>
                <w:rtl/>
              </w:rPr>
              <w:t>תזרימי מזומנים מפעילות שוטפת</w:t>
            </w:r>
          </w:p>
        </w:tc>
        <w:tc>
          <w:tcPr>
            <w:tcW w:w="113" w:type="dxa"/>
            <w:shd w:val="clear" w:color="auto" w:fill="auto"/>
            <w:vAlign w:val="bottom"/>
          </w:tcPr>
          <w:p w14:paraId="3E26CEB1" w14:textId="77777777" w:rsidR="00E6640A" w:rsidRPr="00764993" w:rsidRDefault="00E6640A" w:rsidP="00DB5346">
            <w:pPr>
              <w:spacing w:line="180" w:lineRule="exact"/>
              <w:rPr>
                <w:sz w:val="16"/>
                <w:szCs w:val="16"/>
              </w:rPr>
            </w:pPr>
          </w:p>
        </w:tc>
        <w:tc>
          <w:tcPr>
            <w:tcW w:w="907" w:type="dxa"/>
            <w:vAlign w:val="bottom"/>
          </w:tcPr>
          <w:p w14:paraId="71D4352A"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7508766E"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60B442A2"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E6D379C"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3EFB580E"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4B6DD8A4"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501CF753"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2490CA3"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477688C1" w14:textId="77777777" w:rsidR="00E6640A" w:rsidRPr="00764993" w:rsidRDefault="00E6640A" w:rsidP="00DB5346">
            <w:pPr>
              <w:tabs>
                <w:tab w:val="decimal" w:pos="113"/>
              </w:tabs>
              <w:spacing w:line="180" w:lineRule="exact"/>
              <w:rPr>
                <w:sz w:val="16"/>
                <w:szCs w:val="16"/>
                <w:rtl/>
              </w:rPr>
            </w:pPr>
          </w:p>
        </w:tc>
      </w:tr>
      <w:tr w:rsidR="00E6640A" w:rsidRPr="00C54C0C" w14:paraId="5CB47C64" w14:textId="77777777" w:rsidTr="001521F8">
        <w:tc>
          <w:tcPr>
            <w:tcW w:w="1098" w:type="dxa"/>
          </w:tcPr>
          <w:p w14:paraId="78D7D4FE"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0B1318D3"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רווח נקי (הפסד)</w:t>
            </w:r>
          </w:p>
        </w:tc>
        <w:tc>
          <w:tcPr>
            <w:tcW w:w="113" w:type="dxa"/>
            <w:shd w:val="clear" w:color="auto" w:fill="auto"/>
            <w:vAlign w:val="bottom"/>
          </w:tcPr>
          <w:p w14:paraId="76AC1690" w14:textId="77777777" w:rsidR="00E6640A" w:rsidRPr="00764993" w:rsidRDefault="00E6640A" w:rsidP="00DB5346">
            <w:pPr>
              <w:spacing w:line="180" w:lineRule="exact"/>
              <w:rPr>
                <w:sz w:val="16"/>
                <w:szCs w:val="16"/>
              </w:rPr>
            </w:pPr>
          </w:p>
        </w:tc>
        <w:tc>
          <w:tcPr>
            <w:tcW w:w="907" w:type="dxa"/>
            <w:tcBorders>
              <w:bottom w:val="single" w:sz="6" w:space="0" w:color="auto"/>
            </w:tcBorders>
            <w:shd w:val="clear" w:color="auto" w:fill="auto"/>
            <w:vAlign w:val="bottom"/>
          </w:tcPr>
          <w:p w14:paraId="42EA9031"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BAA87A2" w14:textId="77777777" w:rsidR="00E6640A" w:rsidRPr="00764993" w:rsidRDefault="00E6640A" w:rsidP="00DB5346">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182237E8"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3C781E4" w14:textId="77777777" w:rsidR="00E6640A" w:rsidRPr="00764993" w:rsidRDefault="00E6640A" w:rsidP="00DB5346">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47CEF406"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69746F1B" w14:textId="77777777" w:rsidR="00E6640A" w:rsidRPr="00764993" w:rsidRDefault="00E6640A" w:rsidP="00DB5346">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32D75259"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97EFD9F" w14:textId="77777777" w:rsidR="00E6640A" w:rsidRPr="00764993" w:rsidRDefault="00E6640A" w:rsidP="00DB5346">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67D475B5" w14:textId="77777777" w:rsidR="00E6640A" w:rsidRPr="00764993" w:rsidRDefault="00E6640A" w:rsidP="00DB5346">
            <w:pPr>
              <w:tabs>
                <w:tab w:val="decimal" w:pos="113"/>
              </w:tabs>
              <w:spacing w:line="180" w:lineRule="exact"/>
              <w:rPr>
                <w:sz w:val="16"/>
                <w:szCs w:val="16"/>
                <w:rtl/>
              </w:rPr>
            </w:pPr>
          </w:p>
        </w:tc>
      </w:tr>
      <w:tr w:rsidR="00E6640A" w:rsidRPr="00C54C0C" w14:paraId="31F0A4C7" w14:textId="77777777" w:rsidTr="001521F8">
        <w:tc>
          <w:tcPr>
            <w:tcW w:w="1098" w:type="dxa"/>
          </w:tcPr>
          <w:p w14:paraId="1314E7CA" w14:textId="77777777" w:rsidR="00E6640A" w:rsidRPr="000B1730" w:rsidRDefault="00E6640A" w:rsidP="00DB5346">
            <w:pPr>
              <w:pStyle w:val="a3"/>
              <w:widowControl/>
              <w:tabs>
                <w:tab w:val="left" w:pos="227"/>
                <w:tab w:val="left" w:pos="397"/>
                <w:tab w:val="left" w:pos="567"/>
              </w:tabs>
              <w:spacing w:line="120" w:lineRule="auto"/>
              <w:ind w:left="0"/>
              <w:jc w:val="right"/>
              <w:rPr>
                <w:rFonts w:cs="Times New Roman"/>
                <w:i/>
                <w:iCs/>
                <w:sz w:val="13"/>
                <w:szCs w:val="13"/>
                <w:rtl/>
              </w:rPr>
            </w:pPr>
          </w:p>
        </w:tc>
        <w:tc>
          <w:tcPr>
            <w:tcW w:w="3345" w:type="dxa"/>
            <w:shd w:val="clear" w:color="auto" w:fill="auto"/>
            <w:vAlign w:val="bottom"/>
          </w:tcPr>
          <w:p w14:paraId="240CF398" w14:textId="77777777" w:rsidR="00E6640A" w:rsidRPr="00764993" w:rsidRDefault="00E6640A" w:rsidP="00DB5346">
            <w:pPr>
              <w:pStyle w:val="a3"/>
              <w:widowControl/>
              <w:tabs>
                <w:tab w:val="left" w:pos="227"/>
                <w:tab w:val="left" w:pos="397"/>
                <w:tab w:val="left" w:pos="567"/>
              </w:tabs>
              <w:spacing w:line="120" w:lineRule="auto"/>
              <w:ind w:left="0"/>
              <w:rPr>
                <w:sz w:val="16"/>
                <w:szCs w:val="16"/>
                <w:rtl/>
              </w:rPr>
            </w:pPr>
          </w:p>
        </w:tc>
        <w:tc>
          <w:tcPr>
            <w:tcW w:w="113" w:type="dxa"/>
            <w:shd w:val="clear" w:color="auto" w:fill="auto"/>
            <w:vAlign w:val="bottom"/>
          </w:tcPr>
          <w:p w14:paraId="1FE9E570" w14:textId="77777777" w:rsidR="00E6640A" w:rsidRPr="00764993" w:rsidRDefault="00E6640A" w:rsidP="00DB5346">
            <w:pPr>
              <w:widowControl/>
              <w:spacing w:line="120" w:lineRule="auto"/>
              <w:rPr>
                <w:sz w:val="16"/>
                <w:szCs w:val="16"/>
              </w:rPr>
            </w:pPr>
          </w:p>
        </w:tc>
        <w:tc>
          <w:tcPr>
            <w:tcW w:w="907" w:type="dxa"/>
            <w:tcBorders>
              <w:top w:val="single" w:sz="6" w:space="0" w:color="auto"/>
            </w:tcBorders>
            <w:vAlign w:val="bottom"/>
          </w:tcPr>
          <w:p w14:paraId="6B13BDA5" w14:textId="77777777" w:rsidR="00E6640A" w:rsidRPr="00764993" w:rsidRDefault="00E6640A" w:rsidP="00DB5346">
            <w:pPr>
              <w:widowControl/>
              <w:tabs>
                <w:tab w:val="decimal" w:pos="113"/>
              </w:tabs>
              <w:spacing w:line="120" w:lineRule="auto"/>
              <w:rPr>
                <w:sz w:val="16"/>
                <w:szCs w:val="16"/>
                <w:rtl/>
              </w:rPr>
            </w:pPr>
          </w:p>
        </w:tc>
        <w:tc>
          <w:tcPr>
            <w:tcW w:w="113" w:type="dxa"/>
            <w:vAlign w:val="bottom"/>
          </w:tcPr>
          <w:p w14:paraId="6F5F597A" w14:textId="77777777" w:rsidR="00E6640A" w:rsidRPr="00764993" w:rsidRDefault="00E6640A" w:rsidP="00DB5346">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37F884F2" w14:textId="77777777" w:rsidR="00E6640A" w:rsidRPr="00764993" w:rsidRDefault="00E6640A" w:rsidP="00DB5346">
            <w:pPr>
              <w:widowControl/>
              <w:tabs>
                <w:tab w:val="decimal" w:pos="113"/>
              </w:tabs>
              <w:spacing w:line="120" w:lineRule="auto"/>
              <w:rPr>
                <w:sz w:val="16"/>
                <w:szCs w:val="16"/>
              </w:rPr>
            </w:pPr>
          </w:p>
        </w:tc>
        <w:tc>
          <w:tcPr>
            <w:tcW w:w="113" w:type="dxa"/>
            <w:shd w:val="clear" w:color="auto" w:fill="auto"/>
            <w:vAlign w:val="bottom"/>
          </w:tcPr>
          <w:p w14:paraId="541119D8" w14:textId="77777777" w:rsidR="00E6640A" w:rsidRPr="00764993" w:rsidRDefault="00E6640A" w:rsidP="00DB5346">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2F195CD2" w14:textId="77777777" w:rsidR="00E6640A" w:rsidRPr="00764993" w:rsidRDefault="00E6640A" w:rsidP="00DB5346">
            <w:pPr>
              <w:widowControl/>
              <w:tabs>
                <w:tab w:val="decimal" w:pos="113"/>
              </w:tabs>
              <w:spacing w:line="120" w:lineRule="auto"/>
              <w:rPr>
                <w:sz w:val="16"/>
                <w:szCs w:val="16"/>
                <w:rtl/>
              </w:rPr>
            </w:pPr>
          </w:p>
        </w:tc>
        <w:tc>
          <w:tcPr>
            <w:tcW w:w="113" w:type="dxa"/>
            <w:shd w:val="clear" w:color="auto" w:fill="auto"/>
            <w:vAlign w:val="bottom"/>
          </w:tcPr>
          <w:p w14:paraId="7B0AA699" w14:textId="77777777" w:rsidR="00E6640A" w:rsidRPr="00764993" w:rsidRDefault="00E6640A" w:rsidP="00DB5346">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62A63244" w14:textId="77777777" w:rsidR="00E6640A" w:rsidRPr="00764993" w:rsidRDefault="00E6640A" w:rsidP="00DB5346">
            <w:pPr>
              <w:widowControl/>
              <w:tabs>
                <w:tab w:val="decimal" w:pos="113"/>
              </w:tabs>
              <w:spacing w:line="120" w:lineRule="auto"/>
              <w:rPr>
                <w:sz w:val="16"/>
                <w:szCs w:val="16"/>
              </w:rPr>
            </w:pPr>
          </w:p>
        </w:tc>
        <w:tc>
          <w:tcPr>
            <w:tcW w:w="113" w:type="dxa"/>
            <w:shd w:val="clear" w:color="auto" w:fill="auto"/>
            <w:vAlign w:val="bottom"/>
          </w:tcPr>
          <w:p w14:paraId="1CE3501E" w14:textId="77777777" w:rsidR="00E6640A" w:rsidRPr="00764993" w:rsidRDefault="00E6640A" w:rsidP="00DB5346">
            <w:pPr>
              <w:widowControl/>
              <w:tabs>
                <w:tab w:val="decimal" w:pos="113"/>
              </w:tabs>
              <w:spacing w:line="120" w:lineRule="auto"/>
              <w:rPr>
                <w:sz w:val="16"/>
                <w:szCs w:val="16"/>
              </w:rPr>
            </w:pPr>
          </w:p>
        </w:tc>
        <w:tc>
          <w:tcPr>
            <w:tcW w:w="1010" w:type="dxa"/>
            <w:tcBorders>
              <w:top w:val="single" w:sz="6" w:space="0" w:color="auto"/>
            </w:tcBorders>
            <w:shd w:val="clear" w:color="auto" w:fill="auto"/>
            <w:vAlign w:val="bottom"/>
          </w:tcPr>
          <w:p w14:paraId="57855A93" w14:textId="77777777" w:rsidR="00E6640A" w:rsidRPr="00764993" w:rsidRDefault="00E6640A" w:rsidP="00DB5346">
            <w:pPr>
              <w:widowControl/>
              <w:tabs>
                <w:tab w:val="decimal" w:pos="113"/>
              </w:tabs>
              <w:spacing w:line="120" w:lineRule="auto"/>
              <w:rPr>
                <w:sz w:val="16"/>
                <w:szCs w:val="16"/>
                <w:rtl/>
              </w:rPr>
            </w:pPr>
          </w:p>
        </w:tc>
      </w:tr>
      <w:tr w:rsidR="00E6640A" w:rsidRPr="00C54C0C" w14:paraId="2E6FE339" w14:textId="77777777" w:rsidTr="001521F8">
        <w:tc>
          <w:tcPr>
            <w:tcW w:w="1098" w:type="dxa"/>
          </w:tcPr>
          <w:p w14:paraId="77EE24EE" w14:textId="77777777" w:rsidR="00E6640A" w:rsidRPr="000B1730" w:rsidRDefault="00E6640A" w:rsidP="00DB5346">
            <w:pPr>
              <w:pStyle w:val="a3"/>
              <w:widowControl/>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060BB8F9" w14:textId="77777777" w:rsidR="00E6640A" w:rsidRDefault="00E6640A" w:rsidP="00DB5346">
            <w:pPr>
              <w:pStyle w:val="a3"/>
              <w:widowControl/>
              <w:tabs>
                <w:tab w:val="left" w:pos="227"/>
                <w:tab w:val="left" w:pos="397"/>
                <w:tab w:val="left" w:pos="567"/>
              </w:tabs>
              <w:spacing w:line="180" w:lineRule="exact"/>
              <w:ind w:left="227" w:hanging="170"/>
              <w:rPr>
                <w:sz w:val="16"/>
                <w:szCs w:val="16"/>
              </w:rPr>
            </w:pPr>
            <w:r w:rsidRPr="00764993">
              <w:rPr>
                <w:rFonts w:hint="cs"/>
                <w:sz w:val="16"/>
                <w:szCs w:val="16"/>
                <w:rtl/>
              </w:rPr>
              <w:t>התאמות הדרושות להצגת תזרימי מזומנים מפעילות שוטפת:</w:t>
            </w:r>
          </w:p>
        </w:tc>
        <w:tc>
          <w:tcPr>
            <w:tcW w:w="113" w:type="dxa"/>
            <w:shd w:val="clear" w:color="auto" w:fill="auto"/>
            <w:vAlign w:val="bottom"/>
          </w:tcPr>
          <w:p w14:paraId="0AC3DB56" w14:textId="77777777" w:rsidR="00E6640A" w:rsidRPr="00764993" w:rsidRDefault="00E6640A" w:rsidP="00DB5346">
            <w:pPr>
              <w:spacing w:line="180" w:lineRule="exact"/>
              <w:rPr>
                <w:sz w:val="16"/>
                <w:szCs w:val="16"/>
              </w:rPr>
            </w:pPr>
          </w:p>
        </w:tc>
        <w:tc>
          <w:tcPr>
            <w:tcW w:w="907" w:type="dxa"/>
            <w:vAlign w:val="bottom"/>
          </w:tcPr>
          <w:p w14:paraId="16C23289"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3195F67"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6F6DBDA5"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60114ADE"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1271FE18"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3A2D9139"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0128FB85"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C45DF8E"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3F9E13F1" w14:textId="77777777" w:rsidR="00E6640A" w:rsidRPr="00764993" w:rsidRDefault="00E6640A" w:rsidP="00DB5346">
            <w:pPr>
              <w:tabs>
                <w:tab w:val="decimal" w:pos="113"/>
              </w:tabs>
              <w:spacing w:line="180" w:lineRule="exact"/>
              <w:rPr>
                <w:sz w:val="16"/>
                <w:szCs w:val="16"/>
                <w:rtl/>
              </w:rPr>
            </w:pPr>
          </w:p>
        </w:tc>
      </w:tr>
      <w:tr w:rsidR="00E6640A" w:rsidRPr="00C54C0C" w14:paraId="230E1434" w14:textId="77777777" w:rsidTr="001521F8">
        <w:tc>
          <w:tcPr>
            <w:tcW w:w="1098" w:type="dxa"/>
          </w:tcPr>
          <w:p w14:paraId="156CDBA0"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Pr>
            </w:pPr>
          </w:p>
        </w:tc>
        <w:tc>
          <w:tcPr>
            <w:tcW w:w="3345" w:type="dxa"/>
            <w:shd w:val="clear" w:color="auto" w:fill="auto"/>
            <w:vAlign w:val="bottom"/>
          </w:tcPr>
          <w:p w14:paraId="0C323B68" w14:textId="77777777" w:rsidR="00E6640A" w:rsidRPr="00764993" w:rsidRDefault="00E6640A" w:rsidP="00DB5346">
            <w:pPr>
              <w:pStyle w:val="a3"/>
              <w:tabs>
                <w:tab w:val="left" w:pos="227"/>
                <w:tab w:val="left" w:pos="397"/>
                <w:tab w:val="left" w:pos="567"/>
              </w:tabs>
              <w:spacing w:line="180" w:lineRule="exact"/>
              <w:rPr>
                <w:sz w:val="16"/>
                <w:szCs w:val="16"/>
              </w:rPr>
            </w:pPr>
          </w:p>
        </w:tc>
        <w:tc>
          <w:tcPr>
            <w:tcW w:w="113" w:type="dxa"/>
            <w:shd w:val="clear" w:color="auto" w:fill="auto"/>
            <w:vAlign w:val="bottom"/>
          </w:tcPr>
          <w:p w14:paraId="7E1DB3AF" w14:textId="77777777" w:rsidR="00E6640A" w:rsidRPr="00764993" w:rsidRDefault="00E6640A" w:rsidP="00DB5346">
            <w:pPr>
              <w:spacing w:line="180" w:lineRule="exact"/>
              <w:rPr>
                <w:sz w:val="16"/>
                <w:szCs w:val="16"/>
              </w:rPr>
            </w:pPr>
          </w:p>
        </w:tc>
        <w:tc>
          <w:tcPr>
            <w:tcW w:w="907" w:type="dxa"/>
            <w:vAlign w:val="bottom"/>
          </w:tcPr>
          <w:p w14:paraId="54833589"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48A9B770"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31EF2864"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3EED62F7"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33FA6104"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2768B4A4"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76E6B76A"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C17546C"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760E70E6" w14:textId="77777777" w:rsidR="00E6640A" w:rsidRPr="00764993" w:rsidRDefault="00E6640A" w:rsidP="00DB5346">
            <w:pPr>
              <w:tabs>
                <w:tab w:val="decimal" w:pos="113"/>
              </w:tabs>
              <w:spacing w:line="180" w:lineRule="exact"/>
              <w:rPr>
                <w:sz w:val="16"/>
                <w:szCs w:val="16"/>
                <w:rtl/>
              </w:rPr>
            </w:pPr>
          </w:p>
        </w:tc>
      </w:tr>
      <w:tr w:rsidR="00E6640A" w:rsidRPr="00C54C0C" w14:paraId="019E0BE5" w14:textId="77777777" w:rsidTr="001521F8">
        <w:tc>
          <w:tcPr>
            <w:tcW w:w="1098" w:type="dxa"/>
            <w:tcBorders>
              <w:bottom w:val="single" w:sz="4" w:space="0" w:color="auto"/>
              <w:right w:val="single" w:sz="4" w:space="0" w:color="auto"/>
            </w:tcBorders>
          </w:tcPr>
          <w:p w14:paraId="6E29D10D"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7.20(b)</w:t>
            </w:r>
          </w:p>
        </w:tc>
        <w:tc>
          <w:tcPr>
            <w:tcW w:w="3345" w:type="dxa"/>
            <w:tcBorders>
              <w:left w:val="single" w:sz="4" w:space="0" w:color="auto"/>
            </w:tcBorders>
            <w:shd w:val="clear" w:color="auto" w:fill="auto"/>
            <w:vAlign w:val="bottom"/>
          </w:tcPr>
          <w:p w14:paraId="5545C879" w14:textId="77777777" w:rsidR="00E6640A" w:rsidRPr="00764993" w:rsidRDefault="00E6640A" w:rsidP="00DB5346">
            <w:pPr>
              <w:pStyle w:val="a3"/>
              <w:tabs>
                <w:tab w:val="left" w:pos="227"/>
                <w:tab w:val="left" w:pos="397"/>
                <w:tab w:val="left" w:pos="567"/>
              </w:tabs>
              <w:spacing w:line="180" w:lineRule="exact"/>
              <w:rPr>
                <w:sz w:val="16"/>
                <w:szCs w:val="16"/>
              </w:rPr>
            </w:pPr>
            <w:r w:rsidRPr="00764993">
              <w:rPr>
                <w:rFonts w:hint="cs"/>
                <w:sz w:val="16"/>
                <w:szCs w:val="16"/>
                <w:rtl/>
              </w:rPr>
              <w:t>התאמות לסעיפי רווח או הפסד:</w:t>
            </w:r>
          </w:p>
        </w:tc>
        <w:tc>
          <w:tcPr>
            <w:tcW w:w="113" w:type="dxa"/>
            <w:shd w:val="clear" w:color="auto" w:fill="auto"/>
            <w:vAlign w:val="bottom"/>
          </w:tcPr>
          <w:p w14:paraId="7128A165" w14:textId="77777777" w:rsidR="00E6640A" w:rsidRPr="00764993" w:rsidRDefault="00E6640A" w:rsidP="00DB5346">
            <w:pPr>
              <w:spacing w:line="180" w:lineRule="exact"/>
              <w:rPr>
                <w:sz w:val="16"/>
                <w:szCs w:val="16"/>
              </w:rPr>
            </w:pPr>
          </w:p>
        </w:tc>
        <w:tc>
          <w:tcPr>
            <w:tcW w:w="907" w:type="dxa"/>
            <w:vAlign w:val="bottom"/>
          </w:tcPr>
          <w:p w14:paraId="3EC49EEC"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181187B2"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738F87D6"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645B0437"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12BDAC57"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118950D6"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5BEEE34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692FEB3"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0042114B" w14:textId="77777777" w:rsidR="00E6640A" w:rsidRPr="00764993" w:rsidRDefault="00E6640A" w:rsidP="00DB5346">
            <w:pPr>
              <w:tabs>
                <w:tab w:val="decimal" w:pos="113"/>
              </w:tabs>
              <w:spacing w:line="180" w:lineRule="exact"/>
              <w:rPr>
                <w:sz w:val="16"/>
                <w:szCs w:val="16"/>
                <w:rtl/>
              </w:rPr>
            </w:pPr>
          </w:p>
        </w:tc>
      </w:tr>
      <w:tr w:rsidR="00E6640A" w:rsidRPr="00C54C0C" w14:paraId="409B8D41" w14:textId="77777777" w:rsidTr="001521F8">
        <w:tc>
          <w:tcPr>
            <w:tcW w:w="1098" w:type="dxa"/>
            <w:tcBorders>
              <w:top w:val="single" w:sz="4" w:space="0" w:color="auto"/>
            </w:tcBorders>
          </w:tcPr>
          <w:p w14:paraId="273AF2A9" w14:textId="77777777" w:rsidR="00E6640A" w:rsidRPr="000B1730" w:rsidRDefault="00E6640A" w:rsidP="00DB5346">
            <w:pPr>
              <w:pStyle w:val="a3"/>
              <w:widowControl/>
              <w:tabs>
                <w:tab w:val="left" w:pos="227"/>
                <w:tab w:val="left" w:pos="397"/>
                <w:tab w:val="left" w:pos="567"/>
              </w:tabs>
              <w:spacing w:line="120" w:lineRule="auto"/>
              <w:ind w:left="0"/>
              <w:jc w:val="right"/>
              <w:rPr>
                <w:rFonts w:cs="Times New Roman"/>
                <w:i/>
                <w:iCs/>
                <w:sz w:val="13"/>
                <w:szCs w:val="13"/>
              </w:rPr>
            </w:pPr>
          </w:p>
        </w:tc>
        <w:tc>
          <w:tcPr>
            <w:tcW w:w="3345" w:type="dxa"/>
            <w:shd w:val="clear" w:color="auto" w:fill="auto"/>
            <w:vAlign w:val="bottom"/>
          </w:tcPr>
          <w:p w14:paraId="1B7C1487" w14:textId="77777777" w:rsidR="00E6640A" w:rsidRPr="00764993" w:rsidRDefault="00E6640A" w:rsidP="00DB5346">
            <w:pPr>
              <w:pStyle w:val="a3"/>
              <w:widowControl/>
              <w:tabs>
                <w:tab w:val="left" w:pos="227"/>
                <w:tab w:val="left" w:pos="397"/>
                <w:tab w:val="left" w:pos="567"/>
              </w:tabs>
              <w:spacing w:line="120" w:lineRule="auto"/>
              <w:ind w:left="0"/>
              <w:rPr>
                <w:sz w:val="16"/>
                <w:szCs w:val="16"/>
              </w:rPr>
            </w:pPr>
          </w:p>
        </w:tc>
        <w:tc>
          <w:tcPr>
            <w:tcW w:w="113" w:type="dxa"/>
            <w:shd w:val="clear" w:color="auto" w:fill="auto"/>
            <w:vAlign w:val="bottom"/>
          </w:tcPr>
          <w:p w14:paraId="022C30A6" w14:textId="77777777" w:rsidR="00E6640A" w:rsidRPr="00764993" w:rsidRDefault="00E6640A" w:rsidP="00DB5346">
            <w:pPr>
              <w:widowControl/>
              <w:spacing w:line="120" w:lineRule="auto"/>
              <w:rPr>
                <w:sz w:val="16"/>
                <w:szCs w:val="16"/>
              </w:rPr>
            </w:pPr>
          </w:p>
        </w:tc>
        <w:tc>
          <w:tcPr>
            <w:tcW w:w="907" w:type="dxa"/>
            <w:vAlign w:val="bottom"/>
          </w:tcPr>
          <w:p w14:paraId="74530D38" w14:textId="77777777" w:rsidR="00E6640A" w:rsidRPr="00764993" w:rsidRDefault="00E6640A" w:rsidP="00DB5346">
            <w:pPr>
              <w:widowControl/>
              <w:tabs>
                <w:tab w:val="decimal" w:pos="113"/>
              </w:tabs>
              <w:spacing w:line="120" w:lineRule="auto"/>
              <w:rPr>
                <w:sz w:val="16"/>
                <w:szCs w:val="16"/>
                <w:rtl/>
              </w:rPr>
            </w:pPr>
          </w:p>
        </w:tc>
        <w:tc>
          <w:tcPr>
            <w:tcW w:w="113" w:type="dxa"/>
            <w:vAlign w:val="bottom"/>
          </w:tcPr>
          <w:p w14:paraId="312F1109" w14:textId="77777777" w:rsidR="00E6640A" w:rsidRPr="00764993" w:rsidRDefault="00E6640A" w:rsidP="00DB5346">
            <w:pPr>
              <w:widowControl/>
              <w:tabs>
                <w:tab w:val="decimal" w:pos="113"/>
              </w:tabs>
              <w:spacing w:line="120" w:lineRule="auto"/>
              <w:rPr>
                <w:sz w:val="16"/>
                <w:szCs w:val="16"/>
              </w:rPr>
            </w:pPr>
          </w:p>
        </w:tc>
        <w:tc>
          <w:tcPr>
            <w:tcW w:w="907" w:type="dxa"/>
            <w:gridSpan w:val="2"/>
            <w:shd w:val="clear" w:color="auto" w:fill="auto"/>
            <w:vAlign w:val="bottom"/>
          </w:tcPr>
          <w:p w14:paraId="75AD6234" w14:textId="77777777" w:rsidR="00E6640A" w:rsidRPr="00764993" w:rsidRDefault="00E6640A" w:rsidP="00DB5346">
            <w:pPr>
              <w:widowControl/>
              <w:tabs>
                <w:tab w:val="decimal" w:pos="113"/>
              </w:tabs>
              <w:spacing w:line="120" w:lineRule="auto"/>
              <w:rPr>
                <w:sz w:val="16"/>
                <w:szCs w:val="16"/>
              </w:rPr>
            </w:pPr>
          </w:p>
        </w:tc>
        <w:tc>
          <w:tcPr>
            <w:tcW w:w="113" w:type="dxa"/>
            <w:shd w:val="clear" w:color="auto" w:fill="auto"/>
            <w:vAlign w:val="bottom"/>
          </w:tcPr>
          <w:p w14:paraId="179D603A" w14:textId="77777777" w:rsidR="00E6640A" w:rsidRPr="00764993" w:rsidRDefault="00E6640A" w:rsidP="00DB5346">
            <w:pPr>
              <w:widowControl/>
              <w:tabs>
                <w:tab w:val="decimal" w:pos="113"/>
              </w:tabs>
              <w:spacing w:line="120" w:lineRule="auto"/>
              <w:rPr>
                <w:sz w:val="16"/>
                <w:szCs w:val="16"/>
              </w:rPr>
            </w:pPr>
          </w:p>
        </w:tc>
        <w:tc>
          <w:tcPr>
            <w:tcW w:w="907" w:type="dxa"/>
            <w:shd w:val="clear" w:color="auto" w:fill="auto"/>
            <w:vAlign w:val="bottom"/>
          </w:tcPr>
          <w:p w14:paraId="0B8143F3" w14:textId="77777777" w:rsidR="00E6640A" w:rsidRPr="00764993" w:rsidRDefault="00E6640A" w:rsidP="00DB5346">
            <w:pPr>
              <w:widowControl/>
              <w:tabs>
                <w:tab w:val="decimal" w:pos="113"/>
              </w:tabs>
              <w:spacing w:line="120" w:lineRule="auto"/>
              <w:rPr>
                <w:sz w:val="16"/>
                <w:szCs w:val="16"/>
                <w:rtl/>
              </w:rPr>
            </w:pPr>
          </w:p>
        </w:tc>
        <w:tc>
          <w:tcPr>
            <w:tcW w:w="113" w:type="dxa"/>
            <w:shd w:val="clear" w:color="auto" w:fill="auto"/>
            <w:vAlign w:val="bottom"/>
          </w:tcPr>
          <w:p w14:paraId="79188190" w14:textId="77777777" w:rsidR="00E6640A" w:rsidRPr="00764993" w:rsidRDefault="00E6640A" w:rsidP="00DB5346">
            <w:pPr>
              <w:widowControl/>
              <w:tabs>
                <w:tab w:val="decimal" w:pos="113"/>
              </w:tabs>
              <w:spacing w:line="120" w:lineRule="auto"/>
              <w:rPr>
                <w:sz w:val="16"/>
                <w:szCs w:val="16"/>
              </w:rPr>
            </w:pPr>
          </w:p>
        </w:tc>
        <w:tc>
          <w:tcPr>
            <w:tcW w:w="907" w:type="dxa"/>
            <w:shd w:val="clear" w:color="auto" w:fill="auto"/>
            <w:vAlign w:val="bottom"/>
          </w:tcPr>
          <w:p w14:paraId="3C2F6BAC" w14:textId="77777777" w:rsidR="00E6640A" w:rsidRPr="00764993" w:rsidRDefault="00E6640A" w:rsidP="00DB5346">
            <w:pPr>
              <w:widowControl/>
              <w:tabs>
                <w:tab w:val="decimal" w:pos="113"/>
              </w:tabs>
              <w:spacing w:line="120" w:lineRule="auto"/>
              <w:rPr>
                <w:sz w:val="16"/>
                <w:szCs w:val="16"/>
              </w:rPr>
            </w:pPr>
          </w:p>
        </w:tc>
        <w:tc>
          <w:tcPr>
            <w:tcW w:w="113" w:type="dxa"/>
            <w:shd w:val="clear" w:color="auto" w:fill="auto"/>
            <w:vAlign w:val="bottom"/>
          </w:tcPr>
          <w:p w14:paraId="024270CB" w14:textId="77777777" w:rsidR="00E6640A" w:rsidRPr="00764993" w:rsidRDefault="00E6640A" w:rsidP="00DB5346">
            <w:pPr>
              <w:widowControl/>
              <w:tabs>
                <w:tab w:val="decimal" w:pos="113"/>
              </w:tabs>
              <w:spacing w:line="120" w:lineRule="auto"/>
              <w:rPr>
                <w:sz w:val="16"/>
                <w:szCs w:val="16"/>
              </w:rPr>
            </w:pPr>
          </w:p>
        </w:tc>
        <w:tc>
          <w:tcPr>
            <w:tcW w:w="1010" w:type="dxa"/>
            <w:shd w:val="clear" w:color="auto" w:fill="auto"/>
            <w:vAlign w:val="bottom"/>
          </w:tcPr>
          <w:p w14:paraId="49EDBDEA" w14:textId="77777777" w:rsidR="00E6640A" w:rsidRPr="00764993" w:rsidRDefault="00E6640A" w:rsidP="00DB5346">
            <w:pPr>
              <w:widowControl/>
              <w:tabs>
                <w:tab w:val="decimal" w:pos="113"/>
              </w:tabs>
              <w:spacing w:line="120" w:lineRule="auto"/>
              <w:rPr>
                <w:sz w:val="16"/>
                <w:szCs w:val="16"/>
                <w:rtl/>
              </w:rPr>
            </w:pPr>
          </w:p>
        </w:tc>
      </w:tr>
      <w:tr w:rsidR="00E6640A" w:rsidRPr="00C54C0C" w14:paraId="73A1C7CF" w14:textId="77777777" w:rsidTr="001521F8">
        <w:tc>
          <w:tcPr>
            <w:tcW w:w="1098" w:type="dxa"/>
          </w:tcPr>
          <w:p w14:paraId="2A86DFE4"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347E92D" w14:textId="77777777" w:rsidR="00E6640A" w:rsidRPr="00764993" w:rsidRDefault="00E6640A" w:rsidP="00DB5346">
            <w:pPr>
              <w:pStyle w:val="a3"/>
              <w:tabs>
                <w:tab w:val="left" w:pos="227"/>
                <w:tab w:val="left" w:pos="397"/>
                <w:tab w:val="left" w:pos="567"/>
              </w:tabs>
              <w:spacing w:line="180" w:lineRule="exact"/>
              <w:rPr>
                <w:sz w:val="16"/>
                <w:szCs w:val="16"/>
              </w:rPr>
            </w:pPr>
            <w:r w:rsidRPr="00764993">
              <w:rPr>
                <w:rFonts w:hint="cs"/>
                <w:sz w:val="16"/>
                <w:szCs w:val="16"/>
                <w:rtl/>
              </w:rPr>
              <w:t>פחת והפחתות</w:t>
            </w:r>
          </w:p>
        </w:tc>
        <w:tc>
          <w:tcPr>
            <w:tcW w:w="113" w:type="dxa"/>
            <w:shd w:val="clear" w:color="auto" w:fill="auto"/>
            <w:vAlign w:val="bottom"/>
          </w:tcPr>
          <w:p w14:paraId="48C9116E" w14:textId="77777777" w:rsidR="00E6640A" w:rsidRPr="00764993" w:rsidRDefault="00E6640A" w:rsidP="00DB5346">
            <w:pPr>
              <w:spacing w:line="180" w:lineRule="exact"/>
              <w:rPr>
                <w:sz w:val="16"/>
                <w:szCs w:val="16"/>
              </w:rPr>
            </w:pPr>
          </w:p>
        </w:tc>
        <w:tc>
          <w:tcPr>
            <w:tcW w:w="907" w:type="dxa"/>
            <w:vAlign w:val="bottom"/>
          </w:tcPr>
          <w:p w14:paraId="64AE77A2"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1430776B"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2261F720"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23524365"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5F03915"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0BCAA7BC"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7891873F"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1FE85AF"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1C5B3F8D" w14:textId="77777777" w:rsidR="00E6640A" w:rsidRPr="00764993" w:rsidRDefault="00E6640A" w:rsidP="00DB5346">
            <w:pPr>
              <w:tabs>
                <w:tab w:val="decimal" w:pos="113"/>
              </w:tabs>
              <w:spacing w:line="180" w:lineRule="exact"/>
              <w:rPr>
                <w:sz w:val="16"/>
                <w:szCs w:val="16"/>
                <w:rtl/>
              </w:rPr>
            </w:pPr>
          </w:p>
        </w:tc>
      </w:tr>
      <w:tr w:rsidR="00E6640A" w:rsidRPr="00C54C0C" w14:paraId="7E44781B" w14:textId="77777777" w:rsidTr="001521F8">
        <w:tc>
          <w:tcPr>
            <w:tcW w:w="1098" w:type="dxa"/>
            <w:tcBorders>
              <w:bottom w:val="single" w:sz="4" w:space="0" w:color="auto"/>
              <w:right w:val="single" w:sz="4" w:space="0" w:color="auto"/>
            </w:tcBorders>
          </w:tcPr>
          <w:p w14:paraId="207B3AE6"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7.20(c)</w:t>
            </w:r>
          </w:p>
        </w:tc>
        <w:tc>
          <w:tcPr>
            <w:tcW w:w="3345" w:type="dxa"/>
            <w:tcBorders>
              <w:left w:val="single" w:sz="4" w:space="0" w:color="auto"/>
            </w:tcBorders>
            <w:shd w:val="clear" w:color="auto" w:fill="auto"/>
            <w:vAlign w:val="bottom"/>
          </w:tcPr>
          <w:p w14:paraId="328F5635" w14:textId="77777777" w:rsidR="00E6640A" w:rsidRPr="00764993" w:rsidRDefault="00E6640A" w:rsidP="00DB5346">
            <w:pPr>
              <w:pStyle w:val="a3"/>
              <w:tabs>
                <w:tab w:val="left" w:pos="227"/>
                <w:tab w:val="left" w:pos="397"/>
                <w:tab w:val="left" w:pos="567"/>
              </w:tabs>
              <w:spacing w:line="180" w:lineRule="exact"/>
              <w:rPr>
                <w:sz w:val="16"/>
                <w:szCs w:val="16"/>
                <w:rtl/>
              </w:rPr>
            </w:pPr>
            <w:r w:rsidRPr="00764993">
              <w:rPr>
                <w:rFonts w:hint="cs"/>
                <w:sz w:val="16"/>
                <w:szCs w:val="16"/>
                <w:rtl/>
              </w:rPr>
              <w:t>הוצאות (הכנסות) מימון, נטו</w:t>
            </w:r>
          </w:p>
        </w:tc>
        <w:tc>
          <w:tcPr>
            <w:tcW w:w="113" w:type="dxa"/>
            <w:shd w:val="clear" w:color="auto" w:fill="auto"/>
            <w:vAlign w:val="bottom"/>
          </w:tcPr>
          <w:p w14:paraId="3FEB0220" w14:textId="77777777" w:rsidR="00E6640A" w:rsidRPr="00764993" w:rsidRDefault="00E6640A" w:rsidP="00DB5346">
            <w:pPr>
              <w:spacing w:line="180" w:lineRule="exact"/>
              <w:rPr>
                <w:sz w:val="16"/>
                <w:szCs w:val="16"/>
              </w:rPr>
            </w:pPr>
          </w:p>
        </w:tc>
        <w:tc>
          <w:tcPr>
            <w:tcW w:w="907" w:type="dxa"/>
            <w:vAlign w:val="bottom"/>
          </w:tcPr>
          <w:p w14:paraId="35BD5B6B"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C68F0E3"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20EE0637"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667125F9"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1DCAB1ED"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04189D3B"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3F548287"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28204152"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7876BD2E" w14:textId="77777777" w:rsidR="00E6640A" w:rsidRPr="00764993" w:rsidRDefault="00E6640A" w:rsidP="00DB5346">
            <w:pPr>
              <w:tabs>
                <w:tab w:val="decimal" w:pos="113"/>
              </w:tabs>
              <w:spacing w:line="180" w:lineRule="exact"/>
              <w:rPr>
                <w:sz w:val="16"/>
                <w:szCs w:val="16"/>
                <w:rtl/>
              </w:rPr>
            </w:pPr>
          </w:p>
        </w:tc>
      </w:tr>
      <w:tr w:rsidR="00D83475" w:rsidRPr="00C54C0C" w14:paraId="08225C2F" w14:textId="77777777" w:rsidTr="001521F8">
        <w:tc>
          <w:tcPr>
            <w:tcW w:w="1098" w:type="dxa"/>
          </w:tcPr>
          <w:p w14:paraId="010330BF" w14:textId="77777777" w:rsidR="00D83475" w:rsidRPr="00F2585A" w:rsidRDefault="00D83475" w:rsidP="00DB5346">
            <w:pPr>
              <w:pStyle w:val="a3"/>
              <w:tabs>
                <w:tab w:val="left" w:pos="227"/>
                <w:tab w:val="left" w:pos="397"/>
                <w:tab w:val="left" w:pos="567"/>
              </w:tabs>
              <w:bidi w:val="0"/>
              <w:spacing w:line="180" w:lineRule="exact"/>
              <w:ind w:left="0" w:right="28"/>
              <w:jc w:val="right"/>
              <w:rPr>
                <w:rFonts w:cs="Times New Roman"/>
                <w:i/>
                <w:iCs/>
                <w:sz w:val="13"/>
                <w:szCs w:val="13"/>
              </w:rPr>
            </w:pPr>
          </w:p>
        </w:tc>
        <w:tc>
          <w:tcPr>
            <w:tcW w:w="3345" w:type="dxa"/>
            <w:tcBorders>
              <w:left w:val="nil"/>
            </w:tcBorders>
            <w:shd w:val="clear" w:color="auto" w:fill="auto"/>
            <w:vAlign w:val="bottom"/>
          </w:tcPr>
          <w:p w14:paraId="7271D0CC" w14:textId="228A5DA2" w:rsidR="00D83475" w:rsidRPr="00764993" w:rsidRDefault="00364535" w:rsidP="00DB5346">
            <w:pPr>
              <w:pStyle w:val="a3"/>
              <w:tabs>
                <w:tab w:val="left" w:pos="227"/>
                <w:tab w:val="left" w:pos="397"/>
                <w:tab w:val="left" w:pos="567"/>
              </w:tabs>
              <w:spacing w:line="180" w:lineRule="exact"/>
              <w:rPr>
                <w:sz w:val="16"/>
                <w:szCs w:val="16"/>
                <w:rtl/>
              </w:rPr>
            </w:pPr>
            <w:r w:rsidRPr="00364535">
              <w:rPr>
                <w:rFonts w:hint="cs"/>
                <w:sz w:val="16"/>
                <w:szCs w:val="16"/>
                <w:rtl/>
              </w:rPr>
              <w:t>ירידת ערך (ביטול ירידת ערך) לקוחות, חייבים ויתרות חובה ונכסי חוזה</w:t>
            </w:r>
          </w:p>
        </w:tc>
        <w:tc>
          <w:tcPr>
            <w:tcW w:w="113" w:type="dxa"/>
            <w:shd w:val="clear" w:color="auto" w:fill="auto"/>
            <w:vAlign w:val="bottom"/>
          </w:tcPr>
          <w:p w14:paraId="136411E8" w14:textId="77777777" w:rsidR="00D83475" w:rsidRPr="00764993" w:rsidRDefault="00D83475" w:rsidP="00DB5346">
            <w:pPr>
              <w:spacing w:line="180" w:lineRule="exact"/>
              <w:rPr>
                <w:sz w:val="16"/>
                <w:szCs w:val="16"/>
              </w:rPr>
            </w:pPr>
          </w:p>
        </w:tc>
        <w:tc>
          <w:tcPr>
            <w:tcW w:w="907" w:type="dxa"/>
            <w:vAlign w:val="bottom"/>
          </w:tcPr>
          <w:p w14:paraId="010FB09A" w14:textId="77777777" w:rsidR="00D83475" w:rsidRPr="00764993" w:rsidRDefault="00D83475" w:rsidP="00DB5346">
            <w:pPr>
              <w:tabs>
                <w:tab w:val="decimal" w:pos="113"/>
              </w:tabs>
              <w:spacing w:line="180" w:lineRule="exact"/>
              <w:rPr>
                <w:sz w:val="16"/>
                <w:szCs w:val="16"/>
                <w:rtl/>
              </w:rPr>
            </w:pPr>
          </w:p>
        </w:tc>
        <w:tc>
          <w:tcPr>
            <w:tcW w:w="113" w:type="dxa"/>
            <w:vAlign w:val="bottom"/>
          </w:tcPr>
          <w:p w14:paraId="51F6A3B7" w14:textId="77777777" w:rsidR="00D83475" w:rsidRPr="00764993" w:rsidRDefault="00D83475" w:rsidP="00DB5346">
            <w:pPr>
              <w:tabs>
                <w:tab w:val="decimal" w:pos="113"/>
              </w:tabs>
              <w:spacing w:line="180" w:lineRule="exact"/>
              <w:rPr>
                <w:sz w:val="16"/>
                <w:szCs w:val="16"/>
              </w:rPr>
            </w:pPr>
          </w:p>
        </w:tc>
        <w:tc>
          <w:tcPr>
            <w:tcW w:w="907" w:type="dxa"/>
            <w:gridSpan w:val="2"/>
            <w:shd w:val="clear" w:color="auto" w:fill="auto"/>
            <w:vAlign w:val="bottom"/>
          </w:tcPr>
          <w:p w14:paraId="7DF37DEB" w14:textId="77777777" w:rsidR="00D83475" w:rsidRPr="00764993" w:rsidRDefault="00D83475" w:rsidP="00DB5346">
            <w:pPr>
              <w:tabs>
                <w:tab w:val="decimal" w:pos="113"/>
              </w:tabs>
              <w:spacing w:line="180" w:lineRule="exact"/>
              <w:rPr>
                <w:sz w:val="16"/>
                <w:szCs w:val="16"/>
              </w:rPr>
            </w:pPr>
          </w:p>
        </w:tc>
        <w:tc>
          <w:tcPr>
            <w:tcW w:w="113" w:type="dxa"/>
            <w:shd w:val="clear" w:color="auto" w:fill="auto"/>
            <w:vAlign w:val="bottom"/>
          </w:tcPr>
          <w:p w14:paraId="01328EE5" w14:textId="77777777" w:rsidR="00D83475" w:rsidRPr="00764993" w:rsidRDefault="00D83475" w:rsidP="00DB5346">
            <w:pPr>
              <w:tabs>
                <w:tab w:val="decimal" w:pos="113"/>
              </w:tabs>
              <w:spacing w:line="180" w:lineRule="exact"/>
              <w:rPr>
                <w:sz w:val="16"/>
                <w:szCs w:val="16"/>
              </w:rPr>
            </w:pPr>
          </w:p>
        </w:tc>
        <w:tc>
          <w:tcPr>
            <w:tcW w:w="907" w:type="dxa"/>
            <w:shd w:val="clear" w:color="auto" w:fill="auto"/>
            <w:vAlign w:val="bottom"/>
          </w:tcPr>
          <w:p w14:paraId="0BA097AC" w14:textId="77777777" w:rsidR="00D83475" w:rsidRPr="00764993" w:rsidRDefault="00D83475" w:rsidP="00DB5346">
            <w:pPr>
              <w:tabs>
                <w:tab w:val="decimal" w:pos="113"/>
              </w:tabs>
              <w:spacing w:line="180" w:lineRule="exact"/>
              <w:rPr>
                <w:sz w:val="16"/>
                <w:szCs w:val="16"/>
                <w:rtl/>
              </w:rPr>
            </w:pPr>
          </w:p>
        </w:tc>
        <w:tc>
          <w:tcPr>
            <w:tcW w:w="113" w:type="dxa"/>
            <w:shd w:val="clear" w:color="auto" w:fill="auto"/>
            <w:vAlign w:val="bottom"/>
          </w:tcPr>
          <w:p w14:paraId="2AE768F8" w14:textId="77777777" w:rsidR="00D83475" w:rsidRPr="00764993" w:rsidRDefault="00D83475" w:rsidP="00DB5346">
            <w:pPr>
              <w:tabs>
                <w:tab w:val="decimal" w:pos="113"/>
              </w:tabs>
              <w:spacing w:line="180" w:lineRule="exact"/>
              <w:rPr>
                <w:sz w:val="16"/>
                <w:szCs w:val="16"/>
              </w:rPr>
            </w:pPr>
          </w:p>
        </w:tc>
        <w:tc>
          <w:tcPr>
            <w:tcW w:w="907" w:type="dxa"/>
            <w:shd w:val="clear" w:color="auto" w:fill="auto"/>
            <w:vAlign w:val="bottom"/>
          </w:tcPr>
          <w:p w14:paraId="0AB2BC04" w14:textId="77777777" w:rsidR="00D83475" w:rsidRPr="00764993" w:rsidRDefault="00D83475" w:rsidP="00DB5346">
            <w:pPr>
              <w:tabs>
                <w:tab w:val="decimal" w:pos="113"/>
              </w:tabs>
              <w:spacing w:line="180" w:lineRule="exact"/>
              <w:rPr>
                <w:sz w:val="16"/>
                <w:szCs w:val="16"/>
              </w:rPr>
            </w:pPr>
          </w:p>
        </w:tc>
        <w:tc>
          <w:tcPr>
            <w:tcW w:w="113" w:type="dxa"/>
            <w:shd w:val="clear" w:color="auto" w:fill="auto"/>
            <w:vAlign w:val="bottom"/>
          </w:tcPr>
          <w:p w14:paraId="05E38CFB" w14:textId="77777777" w:rsidR="00D83475" w:rsidRPr="00764993" w:rsidRDefault="00D83475" w:rsidP="00DB5346">
            <w:pPr>
              <w:tabs>
                <w:tab w:val="decimal" w:pos="113"/>
              </w:tabs>
              <w:spacing w:line="180" w:lineRule="exact"/>
              <w:rPr>
                <w:sz w:val="16"/>
                <w:szCs w:val="16"/>
              </w:rPr>
            </w:pPr>
          </w:p>
        </w:tc>
        <w:tc>
          <w:tcPr>
            <w:tcW w:w="1010" w:type="dxa"/>
            <w:shd w:val="clear" w:color="auto" w:fill="auto"/>
            <w:vAlign w:val="bottom"/>
          </w:tcPr>
          <w:p w14:paraId="05A438C4" w14:textId="77777777" w:rsidR="00D83475" w:rsidRPr="00764993" w:rsidRDefault="00D83475" w:rsidP="00DB5346">
            <w:pPr>
              <w:tabs>
                <w:tab w:val="decimal" w:pos="113"/>
              </w:tabs>
              <w:spacing w:line="180" w:lineRule="exact"/>
              <w:rPr>
                <w:sz w:val="16"/>
                <w:szCs w:val="16"/>
                <w:rtl/>
              </w:rPr>
            </w:pPr>
          </w:p>
        </w:tc>
      </w:tr>
      <w:tr w:rsidR="00E6640A" w:rsidRPr="00C54C0C" w14:paraId="29E65159" w14:textId="77777777" w:rsidTr="001521F8">
        <w:tc>
          <w:tcPr>
            <w:tcW w:w="1098" w:type="dxa"/>
          </w:tcPr>
          <w:p w14:paraId="23C0A151"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FF95D7E" w14:textId="77777777" w:rsidR="00E6640A" w:rsidRPr="00764993" w:rsidRDefault="00E6640A" w:rsidP="00DB5346">
            <w:pPr>
              <w:pStyle w:val="a3"/>
              <w:tabs>
                <w:tab w:val="left" w:pos="227"/>
                <w:tab w:val="left" w:pos="397"/>
                <w:tab w:val="left" w:pos="567"/>
              </w:tabs>
              <w:spacing w:line="180" w:lineRule="exact"/>
              <w:rPr>
                <w:sz w:val="16"/>
                <w:szCs w:val="16"/>
              </w:rPr>
            </w:pPr>
            <w:r w:rsidRPr="00764993">
              <w:rPr>
                <w:rFonts w:hint="cs"/>
                <w:sz w:val="16"/>
                <w:szCs w:val="16"/>
                <w:rtl/>
              </w:rPr>
              <w:t>הפסד מירידת ערך רכוש קבוע</w:t>
            </w:r>
          </w:p>
        </w:tc>
        <w:tc>
          <w:tcPr>
            <w:tcW w:w="113" w:type="dxa"/>
            <w:shd w:val="clear" w:color="auto" w:fill="auto"/>
            <w:vAlign w:val="bottom"/>
          </w:tcPr>
          <w:p w14:paraId="0C84860A" w14:textId="77777777" w:rsidR="00E6640A" w:rsidRPr="00764993" w:rsidRDefault="00E6640A" w:rsidP="00DB5346">
            <w:pPr>
              <w:spacing w:line="180" w:lineRule="exact"/>
              <w:rPr>
                <w:sz w:val="16"/>
                <w:szCs w:val="16"/>
              </w:rPr>
            </w:pPr>
          </w:p>
        </w:tc>
        <w:tc>
          <w:tcPr>
            <w:tcW w:w="907" w:type="dxa"/>
            <w:vAlign w:val="bottom"/>
          </w:tcPr>
          <w:p w14:paraId="5316EA40"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1257111"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046F6E86"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41EFB9E2"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4BAFD94"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349ECE83"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4B6556D3"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9C0B153"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405F7A5E" w14:textId="77777777" w:rsidR="00E6640A" w:rsidRPr="00764993" w:rsidRDefault="00E6640A" w:rsidP="00DB5346">
            <w:pPr>
              <w:tabs>
                <w:tab w:val="decimal" w:pos="113"/>
              </w:tabs>
              <w:spacing w:line="180" w:lineRule="exact"/>
              <w:rPr>
                <w:sz w:val="16"/>
                <w:szCs w:val="16"/>
                <w:rtl/>
              </w:rPr>
            </w:pPr>
          </w:p>
        </w:tc>
      </w:tr>
      <w:tr w:rsidR="00E6640A" w:rsidRPr="00C54C0C" w14:paraId="30F757FA" w14:textId="77777777" w:rsidTr="001521F8">
        <w:tc>
          <w:tcPr>
            <w:tcW w:w="1098" w:type="dxa"/>
          </w:tcPr>
          <w:p w14:paraId="03CB9E13"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357BF11B" w14:textId="77777777" w:rsidR="00E6640A" w:rsidRPr="00764993" w:rsidRDefault="00E6640A" w:rsidP="00DB5346">
            <w:pPr>
              <w:pStyle w:val="a3"/>
              <w:tabs>
                <w:tab w:val="left" w:pos="227"/>
                <w:tab w:val="left" w:pos="397"/>
                <w:tab w:val="left" w:pos="567"/>
              </w:tabs>
              <w:spacing w:line="180" w:lineRule="exact"/>
              <w:rPr>
                <w:sz w:val="16"/>
                <w:szCs w:val="16"/>
                <w:rtl/>
              </w:rPr>
            </w:pPr>
            <w:r w:rsidRPr="00764993">
              <w:rPr>
                <w:rFonts w:hint="cs"/>
                <w:sz w:val="16"/>
                <w:szCs w:val="16"/>
                <w:rtl/>
              </w:rPr>
              <w:t>הפסד מירידת ערך נכסים בלתי מוחשיים</w:t>
            </w:r>
          </w:p>
        </w:tc>
        <w:tc>
          <w:tcPr>
            <w:tcW w:w="113" w:type="dxa"/>
            <w:shd w:val="clear" w:color="auto" w:fill="auto"/>
            <w:vAlign w:val="bottom"/>
          </w:tcPr>
          <w:p w14:paraId="6EDD671B" w14:textId="77777777" w:rsidR="00E6640A" w:rsidRPr="00764993" w:rsidRDefault="00E6640A" w:rsidP="00DB5346">
            <w:pPr>
              <w:spacing w:line="180" w:lineRule="exact"/>
              <w:rPr>
                <w:sz w:val="16"/>
                <w:szCs w:val="16"/>
              </w:rPr>
            </w:pPr>
          </w:p>
        </w:tc>
        <w:tc>
          <w:tcPr>
            <w:tcW w:w="907" w:type="dxa"/>
            <w:vAlign w:val="bottom"/>
          </w:tcPr>
          <w:p w14:paraId="3EC96FE5"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50D66C0C"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4CFBE99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73E2365"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5E0C118"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3A5C82AC"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0A0DC8D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4DDFB1F5"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19BADE85" w14:textId="77777777" w:rsidR="00E6640A" w:rsidRPr="00764993" w:rsidRDefault="00E6640A" w:rsidP="00DB5346">
            <w:pPr>
              <w:tabs>
                <w:tab w:val="decimal" w:pos="113"/>
              </w:tabs>
              <w:spacing w:line="180" w:lineRule="exact"/>
              <w:rPr>
                <w:sz w:val="16"/>
                <w:szCs w:val="16"/>
                <w:rtl/>
              </w:rPr>
            </w:pPr>
          </w:p>
        </w:tc>
      </w:tr>
      <w:tr w:rsidR="00E6640A" w:rsidRPr="00C54C0C" w14:paraId="7AF37442" w14:textId="77777777" w:rsidTr="001521F8">
        <w:tc>
          <w:tcPr>
            <w:tcW w:w="1098" w:type="dxa"/>
          </w:tcPr>
          <w:p w14:paraId="1BF6EC7C"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6ADB22A4" w14:textId="77777777" w:rsidR="00E6640A" w:rsidRPr="00764993" w:rsidRDefault="00E6640A" w:rsidP="00DB5346">
            <w:pPr>
              <w:pStyle w:val="a3"/>
              <w:tabs>
                <w:tab w:val="left" w:pos="227"/>
                <w:tab w:val="left" w:pos="397"/>
                <w:tab w:val="left" w:pos="567"/>
              </w:tabs>
              <w:spacing w:line="180" w:lineRule="exact"/>
              <w:rPr>
                <w:sz w:val="16"/>
                <w:szCs w:val="16"/>
                <w:rtl/>
              </w:rPr>
            </w:pPr>
            <w:r w:rsidRPr="00764993">
              <w:rPr>
                <w:rFonts w:hint="cs"/>
                <w:sz w:val="16"/>
                <w:szCs w:val="16"/>
                <w:rtl/>
              </w:rPr>
              <w:t>הפסד מירידת ערך מוניטין</w:t>
            </w:r>
          </w:p>
        </w:tc>
        <w:tc>
          <w:tcPr>
            <w:tcW w:w="113" w:type="dxa"/>
            <w:shd w:val="clear" w:color="auto" w:fill="auto"/>
            <w:vAlign w:val="bottom"/>
          </w:tcPr>
          <w:p w14:paraId="73CCE65C" w14:textId="77777777" w:rsidR="00E6640A" w:rsidRPr="00764993" w:rsidRDefault="00E6640A" w:rsidP="00DB5346">
            <w:pPr>
              <w:spacing w:line="180" w:lineRule="exact"/>
              <w:rPr>
                <w:sz w:val="16"/>
                <w:szCs w:val="16"/>
              </w:rPr>
            </w:pPr>
          </w:p>
        </w:tc>
        <w:tc>
          <w:tcPr>
            <w:tcW w:w="907" w:type="dxa"/>
            <w:vAlign w:val="bottom"/>
          </w:tcPr>
          <w:p w14:paraId="16AE5022"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844F3CE"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4849FC4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59610757"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7A63679F"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528B48DB"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4476CA68"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C3FD140"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574B3314" w14:textId="77777777" w:rsidR="00E6640A" w:rsidRPr="00764993" w:rsidRDefault="00E6640A" w:rsidP="00DB5346">
            <w:pPr>
              <w:tabs>
                <w:tab w:val="decimal" w:pos="113"/>
              </w:tabs>
              <w:spacing w:line="180" w:lineRule="exact"/>
              <w:rPr>
                <w:sz w:val="16"/>
                <w:szCs w:val="16"/>
                <w:rtl/>
              </w:rPr>
            </w:pPr>
          </w:p>
        </w:tc>
      </w:tr>
      <w:tr w:rsidR="00E6640A" w:rsidRPr="00C54C0C" w14:paraId="69D67D99" w14:textId="77777777" w:rsidTr="001521F8">
        <w:tc>
          <w:tcPr>
            <w:tcW w:w="1098" w:type="dxa"/>
          </w:tcPr>
          <w:p w14:paraId="68BFFAB1"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80135BD" w14:textId="77777777" w:rsidR="00E6640A" w:rsidRPr="00764993" w:rsidRDefault="00E6640A" w:rsidP="00DB5346">
            <w:pPr>
              <w:pStyle w:val="a3"/>
              <w:tabs>
                <w:tab w:val="left" w:pos="227"/>
                <w:tab w:val="left" w:pos="397"/>
                <w:tab w:val="left" w:pos="567"/>
              </w:tabs>
              <w:spacing w:line="180" w:lineRule="exact"/>
              <w:rPr>
                <w:sz w:val="16"/>
                <w:szCs w:val="16"/>
              </w:rPr>
            </w:pPr>
            <w:r w:rsidRPr="00764993">
              <w:rPr>
                <w:rFonts w:hint="cs"/>
                <w:sz w:val="16"/>
                <w:szCs w:val="16"/>
                <w:rtl/>
              </w:rPr>
              <w:t>עלות תשלום מבוסס מניות</w:t>
            </w:r>
          </w:p>
        </w:tc>
        <w:tc>
          <w:tcPr>
            <w:tcW w:w="113" w:type="dxa"/>
            <w:shd w:val="clear" w:color="auto" w:fill="auto"/>
            <w:vAlign w:val="bottom"/>
          </w:tcPr>
          <w:p w14:paraId="51775A8B" w14:textId="77777777" w:rsidR="00E6640A" w:rsidRPr="00764993" w:rsidRDefault="00E6640A" w:rsidP="00DB5346">
            <w:pPr>
              <w:spacing w:line="180" w:lineRule="exact"/>
              <w:rPr>
                <w:sz w:val="16"/>
                <w:szCs w:val="16"/>
              </w:rPr>
            </w:pPr>
          </w:p>
        </w:tc>
        <w:tc>
          <w:tcPr>
            <w:tcW w:w="907" w:type="dxa"/>
            <w:vAlign w:val="bottom"/>
          </w:tcPr>
          <w:p w14:paraId="6AD959E4"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2F5A600A"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39231BCD"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2EE5BD8"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5D46352C"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6972D2AA"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7508C35C"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6C3B8712"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42B9B80C" w14:textId="77777777" w:rsidR="00E6640A" w:rsidRPr="00764993" w:rsidRDefault="00E6640A" w:rsidP="00DB5346">
            <w:pPr>
              <w:tabs>
                <w:tab w:val="decimal" w:pos="113"/>
              </w:tabs>
              <w:spacing w:line="180" w:lineRule="exact"/>
              <w:rPr>
                <w:sz w:val="16"/>
                <w:szCs w:val="16"/>
                <w:rtl/>
              </w:rPr>
            </w:pPr>
          </w:p>
        </w:tc>
      </w:tr>
      <w:tr w:rsidR="00E6640A" w:rsidRPr="00C54C0C" w14:paraId="44FF8D3D" w14:textId="77777777" w:rsidTr="001521F8">
        <w:tc>
          <w:tcPr>
            <w:tcW w:w="1098" w:type="dxa"/>
          </w:tcPr>
          <w:p w14:paraId="649D3D3B"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7F42FACA"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ירידה (עלייה) בשווי ההוגן של נדל"ן להשקעה</w:t>
            </w:r>
          </w:p>
        </w:tc>
        <w:tc>
          <w:tcPr>
            <w:tcW w:w="113" w:type="dxa"/>
            <w:shd w:val="clear" w:color="auto" w:fill="auto"/>
            <w:vAlign w:val="bottom"/>
          </w:tcPr>
          <w:p w14:paraId="479C08F9" w14:textId="77777777" w:rsidR="00E6640A" w:rsidRPr="00764993" w:rsidRDefault="00E6640A" w:rsidP="00DB5346">
            <w:pPr>
              <w:spacing w:line="180" w:lineRule="exact"/>
              <w:rPr>
                <w:sz w:val="16"/>
                <w:szCs w:val="16"/>
              </w:rPr>
            </w:pPr>
          </w:p>
        </w:tc>
        <w:tc>
          <w:tcPr>
            <w:tcW w:w="907" w:type="dxa"/>
            <w:vAlign w:val="bottom"/>
          </w:tcPr>
          <w:p w14:paraId="48112062"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541426F8"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2427C9F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257CDD35"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423EFC1E"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055AD7C7"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0914AEB6"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97F1F2E"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1CDC2837" w14:textId="77777777" w:rsidR="00E6640A" w:rsidRPr="00764993" w:rsidRDefault="00E6640A" w:rsidP="00DB5346">
            <w:pPr>
              <w:tabs>
                <w:tab w:val="decimal" w:pos="113"/>
              </w:tabs>
              <w:spacing w:line="180" w:lineRule="exact"/>
              <w:rPr>
                <w:sz w:val="16"/>
                <w:szCs w:val="16"/>
                <w:rtl/>
              </w:rPr>
            </w:pPr>
          </w:p>
        </w:tc>
      </w:tr>
      <w:tr w:rsidR="00E6640A" w:rsidRPr="00C54C0C" w14:paraId="415550DB" w14:textId="77777777" w:rsidTr="001521F8">
        <w:tc>
          <w:tcPr>
            <w:tcW w:w="1098" w:type="dxa"/>
          </w:tcPr>
          <w:p w14:paraId="1ADA2D09"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3EFE7DDF"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הפסד (רווח) ממימוש רכוש קבוע</w:t>
            </w:r>
          </w:p>
        </w:tc>
        <w:tc>
          <w:tcPr>
            <w:tcW w:w="113" w:type="dxa"/>
            <w:shd w:val="clear" w:color="auto" w:fill="auto"/>
            <w:vAlign w:val="bottom"/>
          </w:tcPr>
          <w:p w14:paraId="442FB86A" w14:textId="77777777" w:rsidR="00E6640A" w:rsidRPr="00764993" w:rsidRDefault="00E6640A" w:rsidP="00DB5346">
            <w:pPr>
              <w:spacing w:line="180" w:lineRule="exact"/>
              <w:rPr>
                <w:sz w:val="16"/>
                <w:szCs w:val="16"/>
              </w:rPr>
            </w:pPr>
          </w:p>
        </w:tc>
        <w:tc>
          <w:tcPr>
            <w:tcW w:w="907" w:type="dxa"/>
            <w:vAlign w:val="bottom"/>
          </w:tcPr>
          <w:p w14:paraId="75C2A3A1"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470C519F"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3EA41D99"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39105272"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4237AD6A"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6D0498B7"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6463A32F"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5D7821E8"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64B9A755" w14:textId="77777777" w:rsidR="00E6640A" w:rsidRPr="00764993" w:rsidRDefault="00E6640A" w:rsidP="00DB5346">
            <w:pPr>
              <w:tabs>
                <w:tab w:val="decimal" w:pos="113"/>
              </w:tabs>
              <w:spacing w:line="180" w:lineRule="exact"/>
              <w:rPr>
                <w:sz w:val="16"/>
                <w:szCs w:val="16"/>
                <w:rtl/>
              </w:rPr>
            </w:pPr>
          </w:p>
        </w:tc>
      </w:tr>
      <w:tr w:rsidR="00E6640A" w:rsidRPr="00C54C0C" w14:paraId="6C313742" w14:textId="77777777" w:rsidTr="001521F8">
        <w:tc>
          <w:tcPr>
            <w:tcW w:w="1098" w:type="dxa"/>
          </w:tcPr>
          <w:p w14:paraId="010BA765"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37218C42" w14:textId="77777777" w:rsidR="00E6640A" w:rsidRPr="00764993" w:rsidRDefault="00E6640A" w:rsidP="00DB5346">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הפסד (רווח) ממימוש פעילות שהופסקה</w:t>
            </w:r>
          </w:p>
        </w:tc>
        <w:tc>
          <w:tcPr>
            <w:tcW w:w="113" w:type="dxa"/>
            <w:shd w:val="clear" w:color="auto" w:fill="auto"/>
            <w:vAlign w:val="bottom"/>
          </w:tcPr>
          <w:p w14:paraId="1D0E8D28" w14:textId="77777777" w:rsidR="00E6640A" w:rsidRPr="00764993" w:rsidRDefault="00E6640A" w:rsidP="00DB5346">
            <w:pPr>
              <w:spacing w:line="180" w:lineRule="exact"/>
              <w:rPr>
                <w:sz w:val="16"/>
                <w:szCs w:val="16"/>
              </w:rPr>
            </w:pPr>
          </w:p>
        </w:tc>
        <w:tc>
          <w:tcPr>
            <w:tcW w:w="907" w:type="dxa"/>
            <w:vAlign w:val="bottom"/>
          </w:tcPr>
          <w:p w14:paraId="5249F9EB"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7B0583A9"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1D98DBB0"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C30BAFE"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448263C3"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593A003D"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127FA2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5B57E45"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6EB9E273" w14:textId="77777777" w:rsidR="00E6640A" w:rsidRPr="00764993" w:rsidRDefault="00E6640A" w:rsidP="00DB5346">
            <w:pPr>
              <w:tabs>
                <w:tab w:val="decimal" w:pos="113"/>
              </w:tabs>
              <w:spacing w:line="180" w:lineRule="exact"/>
              <w:rPr>
                <w:sz w:val="16"/>
                <w:szCs w:val="16"/>
                <w:rtl/>
              </w:rPr>
            </w:pPr>
          </w:p>
        </w:tc>
      </w:tr>
      <w:tr w:rsidR="00E6640A" w:rsidRPr="00C54C0C" w14:paraId="30889D07" w14:textId="77777777" w:rsidTr="001521F8">
        <w:tc>
          <w:tcPr>
            <w:tcW w:w="1098" w:type="dxa"/>
          </w:tcPr>
          <w:p w14:paraId="3721C4F4"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58DA6B9"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הפסד (רווח) ממימוש השקעות בחברות כלולות/בשליטה משותפת/מאוחדות</w:t>
            </w:r>
          </w:p>
        </w:tc>
        <w:tc>
          <w:tcPr>
            <w:tcW w:w="113" w:type="dxa"/>
            <w:shd w:val="clear" w:color="auto" w:fill="auto"/>
            <w:vAlign w:val="bottom"/>
          </w:tcPr>
          <w:p w14:paraId="4641D821" w14:textId="77777777" w:rsidR="00E6640A" w:rsidRPr="00764993" w:rsidRDefault="00E6640A" w:rsidP="00DB5346">
            <w:pPr>
              <w:spacing w:line="180" w:lineRule="exact"/>
              <w:rPr>
                <w:sz w:val="16"/>
                <w:szCs w:val="16"/>
              </w:rPr>
            </w:pPr>
          </w:p>
        </w:tc>
        <w:tc>
          <w:tcPr>
            <w:tcW w:w="907" w:type="dxa"/>
            <w:vAlign w:val="bottom"/>
          </w:tcPr>
          <w:p w14:paraId="670D4A6B"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03ECE250"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31B2B8B5"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3064C096"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43D0340"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53B27009"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7F80F58A"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1589B08"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0F404AF7" w14:textId="77777777" w:rsidR="00E6640A" w:rsidRPr="00764993" w:rsidRDefault="00E6640A" w:rsidP="00DB5346">
            <w:pPr>
              <w:tabs>
                <w:tab w:val="decimal" w:pos="113"/>
              </w:tabs>
              <w:spacing w:line="180" w:lineRule="exact"/>
              <w:rPr>
                <w:sz w:val="16"/>
                <w:szCs w:val="16"/>
                <w:rtl/>
              </w:rPr>
            </w:pPr>
          </w:p>
        </w:tc>
      </w:tr>
      <w:tr w:rsidR="00E6640A" w:rsidRPr="00C54C0C" w14:paraId="281349B0" w14:textId="77777777" w:rsidTr="001521F8">
        <w:tc>
          <w:tcPr>
            <w:tcW w:w="1098" w:type="dxa"/>
          </w:tcPr>
          <w:p w14:paraId="03FCF156"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9C310EA" w14:textId="77777777" w:rsidR="00E6640A" w:rsidRPr="00764993" w:rsidRDefault="00E6640A" w:rsidP="00DB5346">
            <w:pPr>
              <w:pStyle w:val="a3"/>
              <w:tabs>
                <w:tab w:val="left" w:pos="227"/>
                <w:tab w:val="left" w:pos="397"/>
                <w:tab w:val="left" w:pos="567"/>
              </w:tabs>
              <w:spacing w:line="180" w:lineRule="exact"/>
              <w:ind w:left="227" w:hanging="170"/>
              <w:rPr>
                <w:sz w:val="16"/>
                <w:szCs w:val="16"/>
                <w:rtl/>
              </w:rPr>
            </w:pPr>
            <w:r w:rsidRPr="00764993">
              <w:rPr>
                <w:rFonts w:hint="cs"/>
                <w:sz w:val="16"/>
                <w:szCs w:val="16"/>
                <w:rtl/>
              </w:rPr>
              <w:t xml:space="preserve">הפסד (רווח) ממדידה מחדש של השקעה בחברה כלולה/בשליטה </w:t>
            </w:r>
            <w:r w:rsidRPr="00764993">
              <w:rPr>
                <w:rFonts w:hint="eastAsia"/>
                <w:sz w:val="16"/>
                <w:szCs w:val="16"/>
                <w:rtl/>
              </w:rPr>
              <w:t>משותפת</w:t>
            </w:r>
            <w:r w:rsidRPr="00764993">
              <w:rPr>
                <w:sz w:val="16"/>
                <w:szCs w:val="16"/>
                <w:rtl/>
              </w:rPr>
              <w:t xml:space="preserve"> </w:t>
            </w:r>
            <w:r w:rsidRPr="00764993">
              <w:rPr>
                <w:rFonts w:hint="eastAsia"/>
                <w:sz w:val="16"/>
                <w:szCs w:val="16"/>
                <w:rtl/>
              </w:rPr>
              <w:t>שאוחדה</w:t>
            </w:r>
            <w:r w:rsidRPr="00764993">
              <w:rPr>
                <w:sz w:val="16"/>
                <w:szCs w:val="16"/>
                <w:rtl/>
              </w:rPr>
              <w:t xml:space="preserve"> </w:t>
            </w:r>
            <w:r w:rsidRPr="00764993">
              <w:rPr>
                <w:rFonts w:hint="eastAsia"/>
                <w:sz w:val="16"/>
                <w:szCs w:val="16"/>
                <w:rtl/>
              </w:rPr>
              <w:t>לראשונה</w:t>
            </w:r>
            <w:r w:rsidRPr="00764993">
              <w:rPr>
                <w:rStyle w:val="ab"/>
                <w:sz w:val="16"/>
                <w:szCs w:val="16"/>
                <w:rtl/>
              </w:rPr>
              <w:footnoteReference w:id="50"/>
            </w:r>
          </w:p>
        </w:tc>
        <w:tc>
          <w:tcPr>
            <w:tcW w:w="113" w:type="dxa"/>
            <w:shd w:val="clear" w:color="auto" w:fill="auto"/>
            <w:vAlign w:val="bottom"/>
          </w:tcPr>
          <w:p w14:paraId="6B6C9BF9" w14:textId="77777777" w:rsidR="00E6640A" w:rsidRPr="00764993" w:rsidRDefault="00E6640A" w:rsidP="00DB5346">
            <w:pPr>
              <w:spacing w:line="180" w:lineRule="exact"/>
              <w:rPr>
                <w:sz w:val="16"/>
                <w:szCs w:val="16"/>
              </w:rPr>
            </w:pPr>
          </w:p>
        </w:tc>
        <w:tc>
          <w:tcPr>
            <w:tcW w:w="907" w:type="dxa"/>
            <w:vAlign w:val="bottom"/>
          </w:tcPr>
          <w:p w14:paraId="40A89DC9"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1FBA0B74"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3F56160A"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6498609C"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44BF3EDA"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77DB0689"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896B1B4"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382C0AA7"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0CA16E5B" w14:textId="77777777" w:rsidR="00E6640A" w:rsidRPr="00764993" w:rsidRDefault="00E6640A" w:rsidP="00DB5346">
            <w:pPr>
              <w:tabs>
                <w:tab w:val="decimal" w:pos="113"/>
              </w:tabs>
              <w:spacing w:line="180" w:lineRule="exact"/>
              <w:rPr>
                <w:sz w:val="16"/>
                <w:szCs w:val="16"/>
                <w:rtl/>
              </w:rPr>
            </w:pPr>
          </w:p>
        </w:tc>
      </w:tr>
      <w:tr w:rsidR="00E6640A" w:rsidRPr="00C54C0C" w14:paraId="08B5B4F8" w14:textId="77777777" w:rsidTr="001521F8">
        <w:tc>
          <w:tcPr>
            <w:tcW w:w="1098" w:type="dxa"/>
          </w:tcPr>
          <w:p w14:paraId="06FEBA5C"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75401198"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 xml:space="preserve">חלק הקבוצה בהפסדי (ברווחי) חברות המטופלות לפי שיטת </w:t>
            </w:r>
            <w:r w:rsidRPr="00764993">
              <w:rPr>
                <w:rFonts w:hint="eastAsia"/>
                <w:sz w:val="16"/>
                <w:szCs w:val="16"/>
                <w:rtl/>
              </w:rPr>
              <w:t>השווי</w:t>
            </w:r>
            <w:r w:rsidRPr="00764993">
              <w:rPr>
                <w:sz w:val="16"/>
                <w:szCs w:val="16"/>
                <w:rtl/>
              </w:rPr>
              <w:t xml:space="preserve"> </w:t>
            </w:r>
            <w:r w:rsidRPr="00764993">
              <w:rPr>
                <w:rFonts w:hint="eastAsia"/>
                <w:sz w:val="16"/>
                <w:szCs w:val="16"/>
                <w:rtl/>
              </w:rPr>
              <w:t>המאזני</w:t>
            </w:r>
            <w:r w:rsidRPr="00764993">
              <w:rPr>
                <w:sz w:val="16"/>
                <w:szCs w:val="16"/>
                <w:rtl/>
              </w:rPr>
              <w:t xml:space="preserve">, </w:t>
            </w:r>
            <w:r w:rsidRPr="00764993">
              <w:rPr>
                <w:rFonts w:hint="eastAsia"/>
                <w:sz w:val="16"/>
                <w:szCs w:val="16"/>
                <w:rtl/>
              </w:rPr>
              <w:t>נטו</w:t>
            </w:r>
          </w:p>
        </w:tc>
        <w:tc>
          <w:tcPr>
            <w:tcW w:w="113" w:type="dxa"/>
            <w:shd w:val="clear" w:color="auto" w:fill="auto"/>
            <w:vAlign w:val="bottom"/>
          </w:tcPr>
          <w:p w14:paraId="35EFDA92" w14:textId="77777777" w:rsidR="00E6640A" w:rsidRPr="00764993" w:rsidRDefault="00E6640A" w:rsidP="00DB5346">
            <w:pPr>
              <w:spacing w:line="180" w:lineRule="exact"/>
              <w:rPr>
                <w:sz w:val="16"/>
                <w:szCs w:val="16"/>
              </w:rPr>
            </w:pPr>
          </w:p>
        </w:tc>
        <w:tc>
          <w:tcPr>
            <w:tcW w:w="907" w:type="dxa"/>
            <w:vAlign w:val="bottom"/>
          </w:tcPr>
          <w:p w14:paraId="4DA0F1AC"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2643D22"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4A8A1F89"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2FE8B0F9"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0CDA1102"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24CB3752"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316041B"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EA845F2"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389008FD" w14:textId="77777777" w:rsidR="00E6640A" w:rsidRPr="00764993" w:rsidRDefault="00E6640A" w:rsidP="00DB5346">
            <w:pPr>
              <w:tabs>
                <w:tab w:val="decimal" w:pos="113"/>
              </w:tabs>
              <w:spacing w:line="180" w:lineRule="exact"/>
              <w:rPr>
                <w:sz w:val="16"/>
                <w:szCs w:val="16"/>
                <w:rtl/>
              </w:rPr>
            </w:pPr>
          </w:p>
        </w:tc>
      </w:tr>
      <w:tr w:rsidR="00E6640A" w:rsidRPr="00C54C0C" w14:paraId="52F8E200" w14:textId="77777777" w:rsidTr="001521F8">
        <w:tc>
          <w:tcPr>
            <w:tcW w:w="1098" w:type="dxa"/>
          </w:tcPr>
          <w:p w14:paraId="3DEC4684"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C5A072D"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מסים על ההכנסה</w:t>
            </w:r>
          </w:p>
        </w:tc>
        <w:tc>
          <w:tcPr>
            <w:tcW w:w="113" w:type="dxa"/>
            <w:shd w:val="clear" w:color="auto" w:fill="auto"/>
            <w:vAlign w:val="bottom"/>
          </w:tcPr>
          <w:p w14:paraId="14D21F4B" w14:textId="77777777" w:rsidR="00E6640A" w:rsidRPr="00764993" w:rsidRDefault="00E6640A" w:rsidP="00DB5346">
            <w:pPr>
              <w:spacing w:line="180" w:lineRule="exact"/>
              <w:rPr>
                <w:sz w:val="16"/>
                <w:szCs w:val="16"/>
              </w:rPr>
            </w:pPr>
          </w:p>
        </w:tc>
        <w:tc>
          <w:tcPr>
            <w:tcW w:w="907" w:type="dxa"/>
            <w:vAlign w:val="bottom"/>
          </w:tcPr>
          <w:p w14:paraId="5C0740D5"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1D4F1B40"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7ED520F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515F99B2"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5B983161"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78AB4FC5"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5F202A3B"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0010866"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72AC31A1" w14:textId="77777777" w:rsidR="00E6640A" w:rsidRPr="00764993" w:rsidRDefault="00E6640A" w:rsidP="00DB5346">
            <w:pPr>
              <w:tabs>
                <w:tab w:val="decimal" w:pos="113"/>
              </w:tabs>
              <w:spacing w:line="180" w:lineRule="exact"/>
              <w:rPr>
                <w:sz w:val="16"/>
                <w:szCs w:val="16"/>
                <w:rtl/>
              </w:rPr>
            </w:pPr>
          </w:p>
        </w:tc>
      </w:tr>
      <w:tr w:rsidR="00364535" w:rsidRPr="00C54C0C" w14:paraId="64D3111B" w14:textId="77777777" w:rsidTr="001521F8">
        <w:tc>
          <w:tcPr>
            <w:tcW w:w="1098" w:type="dxa"/>
          </w:tcPr>
          <w:p w14:paraId="56B9FC02" w14:textId="77777777" w:rsidR="00364535" w:rsidRPr="00364535" w:rsidRDefault="00364535" w:rsidP="00DB5346">
            <w:pPr>
              <w:pStyle w:val="a3"/>
              <w:tabs>
                <w:tab w:val="left" w:pos="227"/>
                <w:tab w:val="left" w:pos="397"/>
                <w:tab w:val="left" w:pos="567"/>
              </w:tabs>
              <w:bidi w:val="0"/>
              <w:spacing w:line="180" w:lineRule="exact"/>
              <w:ind w:left="0" w:right="28"/>
              <w:jc w:val="right"/>
              <w:rPr>
                <w:rFonts w:cs="Times New Roman"/>
                <w:i/>
                <w:iCs/>
                <w:sz w:val="16"/>
                <w:szCs w:val="16"/>
                <w:rtl/>
              </w:rPr>
            </w:pPr>
          </w:p>
        </w:tc>
        <w:tc>
          <w:tcPr>
            <w:tcW w:w="3345" w:type="dxa"/>
            <w:shd w:val="clear" w:color="auto" w:fill="auto"/>
            <w:vAlign w:val="bottom"/>
          </w:tcPr>
          <w:p w14:paraId="3805C0E1" w14:textId="629EC869" w:rsidR="00364535" w:rsidRPr="00364535" w:rsidRDefault="00364535" w:rsidP="00DB5346">
            <w:pPr>
              <w:pStyle w:val="a3"/>
              <w:tabs>
                <w:tab w:val="left" w:pos="227"/>
                <w:tab w:val="left" w:pos="397"/>
                <w:tab w:val="left" w:pos="567"/>
              </w:tabs>
              <w:spacing w:line="180" w:lineRule="exact"/>
              <w:ind w:left="227" w:hanging="170"/>
              <w:rPr>
                <w:sz w:val="16"/>
                <w:szCs w:val="16"/>
                <w:rtl/>
              </w:rPr>
            </w:pPr>
            <w:r w:rsidRPr="00364535">
              <w:rPr>
                <w:rFonts w:hint="cs"/>
                <w:sz w:val="16"/>
                <w:szCs w:val="16"/>
                <w:rtl/>
              </w:rPr>
              <w:t>שינוי בהתחייבות בשל מענקים שהתקבלו מרשות החדשנות</w:t>
            </w:r>
          </w:p>
        </w:tc>
        <w:tc>
          <w:tcPr>
            <w:tcW w:w="113" w:type="dxa"/>
            <w:shd w:val="clear" w:color="auto" w:fill="auto"/>
            <w:vAlign w:val="bottom"/>
          </w:tcPr>
          <w:p w14:paraId="4FC53DA5" w14:textId="77777777" w:rsidR="00364535" w:rsidRPr="00764993" w:rsidRDefault="00364535" w:rsidP="00DB5346">
            <w:pPr>
              <w:spacing w:line="180" w:lineRule="exact"/>
              <w:rPr>
                <w:sz w:val="16"/>
                <w:szCs w:val="16"/>
              </w:rPr>
            </w:pPr>
          </w:p>
        </w:tc>
        <w:tc>
          <w:tcPr>
            <w:tcW w:w="907" w:type="dxa"/>
            <w:vAlign w:val="bottom"/>
          </w:tcPr>
          <w:p w14:paraId="5CDACED6" w14:textId="77777777" w:rsidR="00364535" w:rsidRPr="00764993" w:rsidRDefault="00364535" w:rsidP="00DB5346">
            <w:pPr>
              <w:tabs>
                <w:tab w:val="decimal" w:pos="113"/>
              </w:tabs>
              <w:spacing w:line="180" w:lineRule="exact"/>
              <w:rPr>
                <w:sz w:val="16"/>
                <w:szCs w:val="16"/>
                <w:rtl/>
              </w:rPr>
            </w:pPr>
          </w:p>
        </w:tc>
        <w:tc>
          <w:tcPr>
            <w:tcW w:w="113" w:type="dxa"/>
            <w:vAlign w:val="bottom"/>
          </w:tcPr>
          <w:p w14:paraId="513DD729" w14:textId="77777777" w:rsidR="00364535" w:rsidRPr="00764993" w:rsidRDefault="00364535" w:rsidP="00DB5346">
            <w:pPr>
              <w:tabs>
                <w:tab w:val="decimal" w:pos="113"/>
              </w:tabs>
              <w:spacing w:line="180" w:lineRule="exact"/>
              <w:rPr>
                <w:sz w:val="16"/>
                <w:szCs w:val="16"/>
              </w:rPr>
            </w:pPr>
          </w:p>
        </w:tc>
        <w:tc>
          <w:tcPr>
            <w:tcW w:w="907" w:type="dxa"/>
            <w:gridSpan w:val="2"/>
            <w:shd w:val="clear" w:color="auto" w:fill="auto"/>
            <w:vAlign w:val="bottom"/>
          </w:tcPr>
          <w:p w14:paraId="4C741D8E" w14:textId="77777777" w:rsidR="00364535" w:rsidRPr="00764993" w:rsidRDefault="00364535" w:rsidP="00DB5346">
            <w:pPr>
              <w:tabs>
                <w:tab w:val="decimal" w:pos="113"/>
              </w:tabs>
              <w:spacing w:line="180" w:lineRule="exact"/>
              <w:rPr>
                <w:sz w:val="16"/>
                <w:szCs w:val="16"/>
              </w:rPr>
            </w:pPr>
          </w:p>
        </w:tc>
        <w:tc>
          <w:tcPr>
            <w:tcW w:w="113" w:type="dxa"/>
            <w:shd w:val="clear" w:color="auto" w:fill="auto"/>
            <w:vAlign w:val="bottom"/>
          </w:tcPr>
          <w:p w14:paraId="1D9EAC60" w14:textId="77777777" w:rsidR="00364535" w:rsidRPr="00764993" w:rsidRDefault="00364535" w:rsidP="00DB5346">
            <w:pPr>
              <w:tabs>
                <w:tab w:val="decimal" w:pos="113"/>
              </w:tabs>
              <w:spacing w:line="180" w:lineRule="exact"/>
              <w:rPr>
                <w:sz w:val="16"/>
                <w:szCs w:val="16"/>
              </w:rPr>
            </w:pPr>
          </w:p>
        </w:tc>
        <w:tc>
          <w:tcPr>
            <w:tcW w:w="907" w:type="dxa"/>
            <w:shd w:val="clear" w:color="auto" w:fill="auto"/>
            <w:vAlign w:val="bottom"/>
          </w:tcPr>
          <w:p w14:paraId="6B47A5E8" w14:textId="77777777" w:rsidR="00364535" w:rsidRPr="00764993" w:rsidRDefault="00364535" w:rsidP="00DB5346">
            <w:pPr>
              <w:tabs>
                <w:tab w:val="decimal" w:pos="113"/>
              </w:tabs>
              <w:spacing w:line="180" w:lineRule="exact"/>
              <w:rPr>
                <w:sz w:val="16"/>
                <w:szCs w:val="16"/>
                <w:rtl/>
              </w:rPr>
            </w:pPr>
          </w:p>
        </w:tc>
        <w:tc>
          <w:tcPr>
            <w:tcW w:w="113" w:type="dxa"/>
            <w:shd w:val="clear" w:color="auto" w:fill="auto"/>
            <w:vAlign w:val="bottom"/>
          </w:tcPr>
          <w:p w14:paraId="36B4969D" w14:textId="77777777" w:rsidR="00364535" w:rsidRPr="00764993" w:rsidRDefault="00364535" w:rsidP="00DB5346">
            <w:pPr>
              <w:tabs>
                <w:tab w:val="decimal" w:pos="113"/>
              </w:tabs>
              <w:spacing w:line="180" w:lineRule="exact"/>
              <w:rPr>
                <w:sz w:val="16"/>
                <w:szCs w:val="16"/>
              </w:rPr>
            </w:pPr>
          </w:p>
        </w:tc>
        <w:tc>
          <w:tcPr>
            <w:tcW w:w="907" w:type="dxa"/>
            <w:shd w:val="clear" w:color="auto" w:fill="auto"/>
            <w:vAlign w:val="bottom"/>
          </w:tcPr>
          <w:p w14:paraId="4902DD13" w14:textId="77777777" w:rsidR="00364535" w:rsidRPr="00764993" w:rsidRDefault="00364535" w:rsidP="00DB5346">
            <w:pPr>
              <w:tabs>
                <w:tab w:val="decimal" w:pos="113"/>
              </w:tabs>
              <w:spacing w:line="180" w:lineRule="exact"/>
              <w:rPr>
                <w:sz w:val="16"/>
                <w:szCs w:val="16"/>
              </w:rPr>
            </w:pPr>
          </w:p>
        </w:tc>
        <w:tc>
          <w:tcPr>
            <w:tcW w:w="113" w:type="dxa"/>
            <w:shd w:val="clear" w:color="auto" w:fill="auto"/>
            <w:vAlign w:val="bottom"/>
          </w:tcPr>
          <w:p w14:paraId="0DE80C27" w14:textId="77777777" w:rsidR="00364535" w:rsidRPr="00764993" w:rsidRDefault="00364535" w:rsidP="00DB5346">
            <w:pPr>
              <w:tabs>
                <w:tab w:val="decimal" w:pos="113"/>
              </w:tabs>
              <w:spacing w:line="180" w:lineRule="exact"/>
              <w:rPr>
                <w:sz w:val="16"/>
                <w:szCs w:val="16"/>
              </w:rPr>
            </w:pPr>
          </w:p>
        </w:tc>
        <w:tc>
          <w:tcPr>
            <w:tcW w:w="1010" w:type="dxa"/>
            <w:shd w:val="clear" w:color="auto" w:fill="auto"/>
            <w:vAlign w:val="bottom"/>
          </w:tcPr>
          <w:p w14:paraId="1A26FD60" w14:textId="77777777" w:rsidR="00364535" w:rsidRPr="00764993" w:rsidRDefault="00364535" w:rsidP="00DB5346">
            <w:pPr>
              <w:tabs>
                <w:tab w:val="decimal" w:pos="113"/>
              </w:tabs>
              <w:spacing w:line="180" w:lineRule="exact"/>
              <w:rPr>
                <w:sz w:val="16"/>
                <w:szCs w:val="16"/>
                <w:rtl/>
              </w:rPr>
            </w:pPr>
          </w:p>
        </w:tc>
      </w:tr>
      <w:tr w:rsidR="00E6640A" w:rsidRPr="00C54C0C" w14:paraId="249133D9" w14:textId="77777777" w:rsidTr="001521F8">
        <w:tc>
          <w:tcPr>
            <w:tcW w:w="1098" w:type="dxa"/>
          </w:tcPr>
          <w:p w14:paraId="31030539"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Pr>
            </w:pPr>
          </w:p>
        </w:tc>
        <w:tc>
          <w:tcPr>
            <w:tcW w:w="3345" w:type="dxa"/>
            <w:shd w:val="clear" w:color="auto" w:fill="auto"/>
            <w:vAlign w:val="bottom"/>
          </w:tcPr>
          <w:p w14:paraId="5BEC32C6"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שינוי בהתחייבויות בשל הטבות לעובדים, נטו</w:t>
            </w:r>
          </w:p>
        </w:tc>
        <w:tc>
          <w:tcPr>
            <w:tcW w:w="113" w:type="dxa"/>
            <w:shd w:val="clear" w:color="auto" w:fill="auto"/>
            <w:vAlign w:val="bottom"/>
          </w:tcPr>
          <w:p w14:paraId="0F64B252" w14:textId="77777777" w:rsidR="00E6640A" w:rsidRPr="00764993" w:rsidRDefault="00E6640A" w:rsidP="00DB5346">
            <w:pPr>
              <w:spacing w:line="180" w:lineRule="exact"/>
              <w:rPr>
                <w:sz w:val="16"/>
                <w:szCs w:val="16"/>
              </w:rPr>
            </w:pPr>
          </w:p>
        </w:tc>
        <w:tc>
          <w:tcPr>
            <w:tcW w:w="907" w:type="dxa"/>
            <w:tcBorders>
              <w:bottom w:val="single" w:sz="6" w:space="0" w:color="auto"/>
            </w:tcBorders>
            <w:shd w:val="clear" w:color="auto" w:fill="auto"/>
            <w:vAlign w:val="bottom"/>
          </w:tcPr>
          <w:p w14:paraId="2519A5D8"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63FC0FD5" w14:textId="77777777" w:rsidR="00E6640A" w:rsidRPr="00764993" w:rsidRDefault="00E6640A" w:rsidP="00DB5346">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57F83957"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68BCAC13" w14:textId="77777777" w:rsidR="00E6640A" w:rsidRPr="00764993" w:rsidRDefault="00E6640A" w:rsidP="00DB5346">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29223D34"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2192C7BD" w14:textId="77777777" w:rsidR="00E6640A" w:rsidRPr="00764993" w:rsidRDefault="00E6640A" w:rsidP="00DB5346">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17055AF4"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437F0C72" w14:textId="77777777" w:rsidR="00E6640A" w:rsidRPr="00764993" w:rsidRDefault="00E6640A" w:rsidP="00DB5346">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7C0D4807" w14:textId="77777777" w:rsidR="00E6640A" w:rsidRPr="00764993" w:rsidRDefault="00E6640A" w:rsidP="00DB5346">
            <w:pPr>
              <w:tabs>
                <w:tab w:val="decimal" w:pos="113"/>
              </w:tabs>
              <w:spacing w:line="180" w:lineRule="exact"/>
              <w:rPr>
                <w:sz w:val="16"/>
                <w:szCs w:val="16"/>
                <w:rtl/>
              </w:rPr>
            </w:pPr>
          </w:p>
        </w:tc>
      </w:tr>
      <w:tr w:rsidR="00E6640A" w:rsidRPr="00C54C0C" w14:paraId="2C9B63ED" w14:textId="77777777" w:rsidTr="001521F8">
        <w:tc>
          <w:tcPr>
            <w:tcW w:w="1098" w:type="dxa"/>
          </w:tcPr>
          <w:p w14:paraId="717ED6AF"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9FEE306" w14:textId="77777777" w:rsidR="00E6640A" w:rsidRPr="00764993" w:rsidRDefault="00E6640A" w:rsidP="00DB5346">
            <w:pPr>
              <w:pStyle w:val="a3"/>
              <w:tabs>
                <w:tab w:val="left" w:pos="227"/>
                <w:tab w:val="left" w:pos="397"/>
                <w:tab w:val="left" w:pos="567"/>
              </w:tabs>
              <w:spacing w:line="180" w:lineRule="exact"/>
              <w:rPr>
                <w:sz w:val="16"/>
                <w:szCs w:val="16"/>
              </w:rPr>
            </w:pPr>
          </w:p>
        </w:tc>
        <w:tc>
          <w:tcPr>
            <w:tcW w:w="113" w:type="dxa"/>
            <w:shd w:val="clear" w:color="auto" w:fill="auto"/>
            <w:vAlign w:val="bottom"/>
          </w:tcPr>
          <w:p w14:paraId="325822F0" w14:textId="77777777" w:rsidR="00E6640A" w:rsidRPr="00764993" w:rsidRDefault="00E6640A" w:rsidP="00DB5346">
            <w:pPr>
              <w:spacing w:line="180" w:lineRule="exact"/>
              <w:rPr>
                <w:sz w:val="16"/>
                <w:szCs w:val="16"/>
              </w:rPr>
            </w:pPr>
          </w:p>
        </w:tc>
        <w:tc>
          <w:tcPr>
            <w:tcW w:w="907" w:type="dxa"/>
            <w:tcBorders>
              <w:top w:val="single" w:sz="6" w:space="0" w:color="auto"/>
            </w:tcBorders>
            <w:vAlign w:val="bottom"/>
          </w:tcPr>
          <w:p w14:paraId="7A412F25"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1BA961A" w14:textId="77777777" w:rsidR="00E6640A" w:rsidRPr="00764993" w:rsidRDefault="00E6640A" w:rsidP="00DB5346">
            <w:pPr>
              <w:tabs>
                <w:tab w:val="decimal" w:pos="113"/>
              </w:tabs>
              <w:spacing w:line="180" w:lineRule="exact"/>
              <w:rPr>
                <w:sz w:val="16"/>
                <w:szCs w:val="16"/>
              </w:rPr>
            </w:pPr>
          </w:p>
        </w:tc>
        <w:tc>
          <w:tcPr>
            <w:tcW w:w="907" w:type="dxa"/>
            <w:gridSpan w:val="2"/>
            <w:tcBorders>
              <w:top w:val="single" w:sz="6" w:space="0" w:color="auto"/>
            </w:tcBorders>
            <w:shd w:val="clear" w:color="auto" w:fill="auto"/>
            <w:vAlign w:val="bottom"/>
          </w:tcPr>
          <w:p w14:paraId="5E1D406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233DA5C3" w14:textId="77777777" w:rsidR="00E6640A" w:rsidRPr="00764993" w:rsidRDefault="00E6640A" w:rsidP="00DB5346">
            <w:pPr>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0F0CEF9A"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7E509E8A" w14:textId="77777777" w:rsidR="00E6640A" w:rsidRPr="00764993" w:rsidRDefault="00E6640A" w:rsidP="00DB5346">
            <w:pPr>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75DF0BCA"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8D447BC" w14:textId="77777777" w:rsidR="00E6640A" w:rsidRPr="00764993" w:rsidRDefault="00E6640A" w:rsidP="00DB5346">
            <w:pPr>
              <w:tabs>
                <w:tab w:val="decimal" w:pos="113"/>
              </w:tabs>
              <w:spacing w:line="180" w:lineRule="exact"/>
              <w:rPr>
                <w:sz w:val="16"/>
                <w:szCs w:val="16"/>
              </w:rPr>
            </w:pPr>
          </w:p>
        </w:tc>
        <w:tc>
          <w:tcPr>
            <w:tcW w:w="1010" w:type="dxa"/>
            <w:tcBorders>
              <w:top w:val="single" w:sz="6" w:space="0" w:color="auto"/>
            </w:tcBorders>
            <w:shd w:val="clear" w:color="auto" w:fill="auto"/>
            <w:vAlign w:val="bottom"/>
          </w:tcPr>
          <w:p w14:paraId="52D0BACE" w14:textId="77777777" w:rsidR="00E6640A" w:rsidRPr="00764993" w:rsidRDefault="00E6640A" w:rsidP="00DB5346">
            <w:pPr>
              <w:tabs>
                <w:tab w:val="decimal" w:pos="113"/>
              </w:tabs>
              <w:spacing w:line="180" w:lineRule="exact"/>
              <w:rPr>
                <w:sz w:val="16"/>
                <w:szCs w:val="16"/>
                <w:rtl/>
              </w:rPr>
            </w:pPr>
          </w:p>
        </w:tc>
      </w:tr>
      <w:tr w:rsidR="00E6640A" w:rsidRPr="00C54C0C" w14:paraId="46A1A2FC" w14:textId="77777777" w:rsidTr="001521F8">
        <w:tc>
          <w:tcPr>
            <w:tcW w:w="1098" w:type="dxa"/>
          </w:tcPr>
          <w:p w14:paraId="605554EF" w14:textId="77777777" w:rsidR="00E6640A" w:rsidRPr="000B1730" w:rsidRDefault="00E6640A" w:rsidP="00DB5346">
            <w:pPr>
              <w:pStyle w:val="a3"/>
              <w:widowControl/>
              <w:tabs>
                <w:tab w:val="left" w:pos="227"/>
                <w:tab w:val="left" w:pos="397"/>
                <w:tab w:val="left" w:pos="567"/>
              </w:tabs>
              <w:spacing w:line="180" w:lineRule="exact"/>
              <w:ind w:left="0" w:right="28"/>
              <w:jc w:val="right"/>
              <w:rPr>
                <w:rFonts w:cs="Times New Roman"/>
                <w:i/>
                <w:iCs/>
                <w:sz w:val="13"/>
                <w:szCs w:val="13"/>
                <w:rtl/>
              </w:rPr>
            </w:pPr>
          </w:p>
        </w:tc>
        <w:tc>
          <w:tcPr>
            <w:tcW w:w="3345" w:type="dxa"/>
            <w:shd w:val="clear" w:color="auto" w:fill="auto"/>
            <w:vAlign w:val="bottom"/>
          </w:tcPr>
          <w:p w14:paraId="44A84CDC" w14:textId="77777777" w:rsidR="00E6640A" w:rsidRPr="00764993" w:rsidRDefault="00E6640A" w:rsidP="00DB5346">
            <w:pPr>
              <w:pStyle w:val="a3"/>
              <w:widowControl/>
              <w:tabs>
                <w:tab w:val="left" w:pos="227"/>
                <w:tab w:val="left" w:pos="397"/>
                <w:tab w:val="left" w:pos="567"/>
              </w:tabs>
              <w:spacing w:line="180" w:lineRule="exact"/>
              <w:ind w:left="0"/>
              <w:rPr>
                <w:sz w:val="16"/>
                <w:szCs w:val="16"/>
                <w:rtl/>
              </w:rPr>
            </w:pPr>
          </w:p>
        </w:tc>
        <w:tc>
          <w:tcPr>
            <w:tcW w:w="113" w:type="dxa"/>
            <w:shd w:val="clear" w:color="auto" w:fill="auto"/>
            <w:vAlign w:val="bottom"/>
          </w:tcPr>
          <w:p w14:paraId="07996D51" w14:textId="77777777" w:rsidR="00E6640A" w:rsidRPr="00764993" w:rsidRDefault="00E6640A" w:rsidP="00DB5346">
            <w:pPr>
              <w:widowControl/>
              <w:spacing w:line="180" w:lineRule="exact"/>
              <w:rPr>
                <w:sz w:val="16"/>
                <w:szCs w:val="16"/>
              </w:rPr>
            </w:pPr>
          </w:p>
        </w:tc>
        <w:tc>
          <w:tcPr>
            <w:tcW w:w="907" w:type="dxa"/>
            <w:tcBorders>
              <w:bottom w:val="single" w:sz="6" w:space="0" w:color="auto"/>
            </w:tcBorders>
            <w:shd w:val="clear" w:color="auto" w:fill="auto"/>
            <w:vAlign w:val="bottom"/>
          </w:tcPr>
          <w:p w14:paraId="2403644A" w14:textId="77777777" w:rsidR="00E6640A" w:rsidRPr="00764993" w:rsidRDefault="00E6640A" w:rsidP="00DB5346">
            <w:pPr>
              <w:widowControl/>
              <w:tabs>
                <w:tab w:val="decimal" w:pos="113"/>
              </w:tabs>
              <w:spacing w:line="180" w:lineRule="exact"/>
              <w:rPr>
                <w:sz w:val="16"/>
                <w:szCs w:val="16"/>
                <w:rtl/>
              </w:rPr>
            </w:pPr>
          </w:p>
        </w:tc>
        <w:tc>
          <w:tcPr>
            <w:tcW w:w="113" w:type="dxa"/>
            <w:vAlign w:val="bottom"/>
          </w:tcPr>
          <w:p w14:paraId="312B36A3" w14:textId="77777777" w:rsidR="00E6640A" w:rsidRPr="00764993" w:rsidRDefault="00E6640A" w:rsidP="00DB5346">
            <w:pPr>
              <w:widowControl/>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61DBD731" w14:textId="77777777" w:rsidR="00E6640A" w:rsidRPr="00764993" w:rsidRDefault="00E6640A" w:rsidP="00DB5346">
            <w:pPr>
              <w:widowControl/>
              <w:tabs>
                <w:tab w:val="decimal" w:pos="113"/>
              </w:tabs>
              <w:spacing w:line="180" w:lineRule="exact"/>
              <w:rPr>
                <w:sz w:val="16"/>
                <w:szCs w:val="16"/>
              </w:rPr>
            </w:pPr>
          </w:p>
        </w:tc>
        <w:tc>
          <w:tcPr>
            <w:tcW w:w="113" w:type="dxa"/>
            <w:shd w:val="clear" w:color="auto" w:fill="auto"/>
            <w:vAlign w:val="bottom"/>
          </w:tcPr>
          <w:p w14:paraId="49DB53AF" w14:textId="77777777" w:rsidR="00E6640A" w:rsidRPr="00764993" w:rsidRDefault="00E6640A" w:rsidP="00DB5346">
            <w:pPr>
              <w:widowControl/>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7E263517" w14:textId="77777777" w:rsidR="00E6640A" w:rsidRPr="00764993" w:rsidRDefault="00E6640A" w:rsidP="00DB5346">
            <w:pPr>
              <w:widowControl/>
              <w:tabs>
                <w:tab w:val="decimal" w:pos="113"/>
              </w:tabs>
              <w:spacing w:line="180" w:lineRule="exact"/>
              <w:rPr>
                <w:sz w:val="16"/>
                <w:szCs w:val="16"/>
                <w:rtl/>
              </w:rPr>
            </w:pPr>
          </w:p>
        </w:tc>
        <w:tc>
          <w:tcPr>
            <w:tcW w:w="113" w:type="dxa"/>
            <w:shd w:val="clear" w:color="auto" w:fill="auto"/>
            <w:vAlign w:val="bottom"/>
          </w:tcPr>
          <w:p w14:paraId="1ACFAF5D" w14:textId="77777777" w:rsidR="00E6640A" w:rsidRPr="00764993" w:rsidRDefault="00E6640A" w:rsidP="00DB5346">
            <w:pPr>
              <w:widowControl/>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2C874DF1" w14:textId="77777777" w:rsidR="00E6640A" w:rsidRPr="00764993" w:rsidRDefault="00E6640A" w:rsidP="00DB5346">
            <w:pPr>
              <w:widowControl/>
              <w:tabs>
                <w:tab w:val="decimal" w:pos="113"/>
              </w:tabs>
              <w:spacing w:line="180" w:lineRule="exact"/>
              <w:rPr>
                <w:sz w:val="16"/>
                <w:szCs w:val="16"/>
              </w:rPr>
            </w:pPr>
          </w:p>
        </w:tc>
        <w:tc>
          <w:tcPr>
            <w:tcW w:w="113" w:type="dxa"/>
            <w:shd w:val="clear" w:color="auto" w:fill="auto"/>
            <w:vAlign w:val="bottom"/>
          </w:tcPr>
          <w:p w14:paraId="5DC5D125" w14:textId="77777777" w:rsidR="00E6640A" w:rsidRPr="00764993" w:rsidRDefault="00E6640A" w:rsidP="00DB5346">
            <w:pPr>
              <w:widowControl/>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08F553EF" w14:textId="77777777" w:rsidR="00E6640A" w:rsidRPr="00764993" w:rsidRDefault="00E6640A" w:rsidP="00DB5346">
            <w:pPr>
              <w:widowControl/>
              <w:tabs>
                <w:tab w:val="decimal" w:pos="113"/>
              </w:tabs>
              <w:spacing w:line="180" w:lineRule="exact"/>
              <w:rPr>
                <w:sz w:val="16"/>
                <w:szCs w:val="16"/>
                <w:rtl/>
              </w:rPr>
            </w:pPr>
          </w:p>
        </w:tc>
      </w:tr>
      <w:tr w:rsidR="00E6640A" w:rsidRPr="00C54C0C" w14:paraId="5BA5A225" w14:textId="77777777" w:rsidTr="001521F8">
        <w:tc>
          <w:tcPr>
            <w:tcW w:w="1098" w:type="dxa"/>
            <w:tcBorders>
              <w:bottom w:val="single" w:sz="4" w:space="0" w:color="auto"/>
              <w:right w:val="single" w:sz="4" w:space="0" w:color="auto"/>
            </w:tcBorders>
          </w:tcPr>
          <w:p w14:paraId="41F66900"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7.20(a)</w:t>
            </w:r>
          </w:p>
        </w:tc>
        <w:tc>
          <w:tcPr>
            <w:tcW w:w="3345" w:type="dxa"/>
            <w:tcBorders>
              <w:left w:val="single" w:sz="4" w:space="0" w:color="auto"/>
            </w:tcBorders>
            <w:shd w:val="clear" w:color="auto" w:fill="auto"/>
            <w:vAlign w:val="bottom"/>
          </w:tcPr>
          <w:p w14:paraId="2526FB78" w14:textId="77777777" w:rsidR="00E6640A" w:rsidRPr="00764993" w:rsidRDefault="00E6640A" w:rsidP="00DB5346">
            <w:pPr>
              <w:pStyle w:val="a3"/>
              <w:tabs>
                <w:tab w:val="left" w:pos="227"/>
                <w:tab w:val="left" w:pos="397"/>
                <w:tab w:val="left" w:pos="567"/>
              </w:tabs>
              <w:spacing w:line="180" w:lineRule="exact"/>
              <w:rPr>
                <w:sz w:val="16"/>
                <w:szCs w:val="16"/>
              </w:rPr>
            </w:pPr>
            <w:r w:rsidRPr="00764993">
              <w:rPr>
                <w:rFonts w:hint="cs"/>
                <w:sz w:val="16"/>
                <w:szCs w:val="16"/>
                <w:rtl/>
              </w:rPr>
              <w:t>שינויים בסעיפי נכסים והתחייבויות:</w:t>
            </w:r>
          </w:p>
        </w:tc>
        <w:tc>
          <w:tcPr>
            <w:tcW w:w="113" w:type="dxa"/>
            <w:shd w:val="clear" w:color="auto" w:fill="auto"/>
            <w:vAlign w:val="bottom"/>
          </w:tcPr>
          <w:p w14:paraId="6389F598" w14:textId="77777777" w:rsidR="00E6640A" w:rsidRPr="00764993" w:rsidRDefault="00E6640A" w:rsidP="00DB5346">
            <w:pPr>
              <w:spacing w:line="180" w:lineRule="exact"/>
              <w:rPr>
                <w:sz w:val="16"/>
                <w:szCs w:val="16"/>
              </w:rPr>
            </w:pPr>
          </w:p>
        </w:tc>
        <w:tc>
          <w:tcPr>
            <w:tcW w:w="907" w:type="dxa"/>
            <w:tcBorders>
              <w:top w:val="single" w:sz="6" w:space="0" w:color="auto"/>
            </w:tcBorders>
            <w:vAlign w:val="bottom"/>
          </w:tcPr>
          <w:p w14:paraId="3E9FC19A"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11D314AE" w14:textId="77777777" w:rsidR="00E6640A" w:rsidRPr="00764993" w:rsidRDefault="00E6640A" w:rsidP="00DB5346">
            <w:pPr>
              <w:tabs>
                <w:tab w:val="decimal" w:pos="113"/>
              </w:tabs>
              <w:spacing w:line="180" w:lineRule="exact"/>
              <w:rPr>
                <w:sz w:val="16"/>
                <w:szCs w:val="16"/>
              </w:rPr>
            </w:pPr>
          </w:p>
        </w:tc>
        <w:tc>
          <w:tcPr>
            <w:tcW w:w="907" w:type="dxa"/>
            <w:gridSpan w:val="2"/>
            <w:tcBorders>
              <w:top w:val="single" w:sz="6" w:space="0" w:color="auto"/>
            </w:tcBorders>
            <w:shd w:val="clear" w:color="auto" w:fill="auto"/>
            <w:vAlign w:val="bottom"/>
          </w:tcPr>
          <w:p w14:paraId="69CD019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8C40341" w14:textId="77777777" w:rsidR="00E6640A" w:rsidRPr="00764993" w:rsidRDefault="00E6640A" w:rsidP="00DB5346">
            <w:pPr>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12BDD44B"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17860881" w14:textId="77777777" w:rsidR="00E6640A" w:rsidRPr="00764993" w:rsidRDefault="00E6640A" w:rsidP="00DB5346">
            <w:pPr>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0C010CB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F527A44" w14:textId="77777777" w:rsidR="00E6640A" w:rsidRPr="00764993" w:rsidRDefault="00E6640A" w:rsidP="00DB5346">
            <w:pPr>
              <w:tabs>
                <w:tab w:val="decimal" w:pos="113"/>
              </w:tabs>
              <w:spacing w:line="180" w:lineRule="exact"/>
              <w:rPr>
                <w:sz w:val="16"/>
                <w:szCs w:val="16"/>
              </w:rPr>
            </w:pPr>
          </w:p>
        </w:tc>
        <w:tc>
          <w:tcPr>
            <w:tcW w:w="1010" w:type="dxa"/>
            <w:tcBorders>
              <w:top w:val="single" w:sz="6" w:space="0" w:color="auto"/>
            </w:tcBorders>
            <w:shd w:val="clear" w:color="auto" w:fill="auto"/>
            <w:vAlign w:val="bottom"/>
          </w:tcPr>
          <w:p w14:paraId="3A2940BF" w14:textId="77777777" w:rsidR="00E6640A" w:rsidRPr="00764993" w:rsidRDefault="00E6640A" w:rsidP="00DB5346">
            <w:pPr>
              <w:tabs>
                <w:tab w:val="decimal" w:pos="113"/>
              </w:tabs>
              <w:spacing w:line="180" w:lineRule="exact"/>
              <w:rPr>
                <w:sz w:val="16"/>
                <w:szCs w:val="16"/>
                <w:rtl/>
              </w:rPr>
            </w:pPr>
          </w:p>
        </w:tc>
      </w:tr>
      <w:tr w:rsidR="00E6640A" w:rsidRPr="00C54C0C" w14:paraId="7CDAC94D" w14:textId="77777777" w:rsidTr="001521F8">
        <w:tc>
          <w:tcPr>
            <w:tcW w:w="1098" w:type="dxa"/>
            <w:tcBorders>
              <w:top w:val="single" w:sz="4" w:space="0" w:color="auto"/>
            </w:tcBorders>
          </w:tcPr>
          <w:p w14:paraId="7C4A5F92" w14:textId="77777777" w:rsidR="00E6640A" w:rsidRPr="000B1730" w:rsidRDefault="00E6640A" w:rsidP="00DB5346">
            <w:pPr>
              <w:pStyle w:val="a3"/>
              <w:widowControl/>
              <w:tabs>
                <w:tab w:val="left" w:pos="227"/>
                <w:tab w:val="left" w:pos="397"/>
                <w:tab w:val="left" w:pos="567"/>
              </w:tabs>
              <w:spacing w:line="120" w:lineRule="auto"/>
              <w:ind w:left="0"/>
              <w:jc w:val="right"/>
              <w:rPr>
                <w:rFonts w:cs="Times New Roman"/>
                <w:i/>
                <w:iCs/>
                <w:sz w:val="13"/>
                <w:szCs w:val="13"/>
                <w:rtl/>
              </w:rPr>
            </w:pPr>
          </w:p>
        </w:tc>
        <w:tc>
          <w:tcPr>
            <w:tcW w:w="3345" w:type="dxa"/>
            <w:shd w:val="clear" w:color="auto" w:fill="auto"/>
            <w:vAlign w:val="bottom"/>
          </w:tcPr>
          <w:p w14:paraId="4C416717" w14:textId="77777777" w:rsidR="00E6640A" w:rsidRPr="00764993" w:rsidRDefault="00E6640A" w:rsidP="00DB5346">
            <w:pPr>
              <w:pStyle w:val="a3"/>
              <w:widowControl/>
              <w:tabs>
                <w:tab w:val="left" w:pos="227"/>
                <w:tab w:val="left" w:pos="397"/>
                <w:tab w:val="left" w:pos="567"/>
              </w:tabs>
              <w:spacing w:line="120" w:lineRule="auto"/>
              <w:ind w:left="0"/>
              <w:rPr>
                <w:sz w:val="16"/>
                <w:szCs w:val="16"/>
              </w:rPr>
            </w:pPr>
          </w:p>
        </w:tc>
        <w:tc>
          <w:tcPr>
            <w:tcW w:w="113" w:type="dxa"/>
            <w:shd w:val="clear" w:color="auto" w:fill="auto"/>
            <w:vAlign w:val="bottom"/>
          </w:tcPr>
          <w:p w14:paraId="041CAB5C" w14:textId="77777777" w:rsidR="00E6640A" w:rsidRPr="00764993" w:rsidRDefault="00E6640A" w:rsidP="00DB5346">
            <w:pPr>
              <w:widowControl/>
              <w:spacing w:line="120" w:lineRule="auto"/>
              <w:rPr>
                <w:sz w:val="16"/>
                <w:szCs w:val="16"/>
              </w:rPr>
            </w:pPr>
          </w:p>
        </w:tc>
        <w:tc>
          <w:tcPr>
            <w:tcW w:w="907" w:type="dxa"/>
            <w:vAlign w:val="bottom"/>
          </w:tcPr>
          <w:p w14:paraId="5AE69F45" w14:textId="77777777" w:rsidR="00E6640A" w:rsidRPr="00764993" w:rsidRDefault="00E6640A" w:rsidP="00DB5346">
            <w:pPr>
              <w:widowControl/>
              <w:tabs>
                <w:tab w:val="decimal" w:pos="113"/>
              </w:tabs>
              <w:spacing w:line="120" w:lineRule="auto"/>
              <w:rPr>
                <w:sz w:val="16"/>
                <w:szCs w:val="16"/>
                <w:rtl/>
              </w:rPr>
            </w:pPr>
          </w:p>
        </w:tc>
        <w:tc>
          <w:tcPr>
            <w:tcW w:w="113" w:type="dxa"/>
            <w:vAlign w:val="bottom"/>
          </w:tcPr>
          <w:p w14:paraId="5C78F268" w14:textId="77777777" w:rsidR="00E6640A" w:rsidRPr="00764993" w:rsidRDefault="00E6640A" w:rsidP="00DB5346">
            <w:pPr>
              <w:widowControl/>
              <w:tabs>
                <w:tab w:val="decimal" w:pos="113"/>
              </w:tabs>
              <w:spacing w:line="120" w:lineRule="auto"/>
              <w:rPr>
                <w:sz w:val="16"/>
                <w:szCs w:val="16"/>
              </w:rPr>
            </w:pPr>
          </w:p>
        </w:tc>
        <w:tc>
          <w:tcPr>
            <w:tcW w:w="907" w:type="dxa"/>
            <w:gridSpan w:val="2"/>
            <w:shd w:val="clear" w:color="auto" w:fill="auto"/>
            <w:vAlign w:val="bottom"/>
          </w:tcPr>
          <w:p w14:paraId="26F85F8B" w14:textId="77777777" w:rsidR="00E6640A" w:rsidRPr="00764993" w:rsidRDefault="00E6640A" w:rsidP="00DB5346">
            <w:pPr>
              <w:widowControl/>
              <w:tabs>
                <w:tab w:val="decimal" w:pos="113"/>
              </w:tabs>
              <w:spacing w:line="120" w:lineRule="auto"/>
              <w:rPr>
                <w:sz w:val="16"/>
                <w:szCs w:val="16"/>
              </w:rPr>
            </w:pPr>
          </w:p>
        </w:tc>
        <w:tc>
          <w:tcPr>
            <w:tcW w:w="113" w:type="dxa"/>
            <w:shd w:val="clear" w:color="auto" w:fill="auto"/>
            <w:vAlign w:val="bottom"/>
          </w:tcPr>
          <w:p w14:paraId="21761038" w14:textId="77777777" w:rsidR="00E6640A" w:rsidRPr="00764993" w:rsidRDefault="00E6640A" w:rsidP="00DB5346">
            <w:pPr>
              <w:widowControl/>
              <w:tabs>
                <w:tab w:val="decimal" w:pos="113"/>
              </w:tabs>
              <w:spacing w:line="120" w:lineRule="auto"/>
              <w:rPr>
                <w:sz w:val="16"/>
                <w:szCs w:val="16"/>
              </w:rPr>
            </w:pPr>
          </w:p>
        </w:tc>
        <w:tc>
          <w:tcPr>
            <w:tcW w:w="907" w:type="dxa"/>
            <w:shd w:val="clear" w:color="auto" w:fill="auto"/>
            <w:vAlign w:val="bottom"/>
          </w:tcPr>
          <w:p w14:paraId="4958FB13" w14:textId="77777777" w:rsidR="00E6640A" w:rsidRPr="00764993" w:rsidRDefault="00E6640A" w:rsidP="00DB5346">
            <w:pPr>
              <w:widowControl/>
              <w:tabs>
                <w:tab w:val="decimal" w:pos="113"/>
              </w:tabs>
              <w:spacing w:line="120" w:lineRule="auto"/>
              <w:rPr>
                <w:sz w:val="16"/>
                <w:szCs w:val="16"/>
                <w:rtl/>
              </w:rPr>
            </w:pPr>
          </w:p>
        </w:tc>
        <w:tc>
          <w:tcPr>
            <w:tcW w:w="113" w:type="dxa"/>
            <w:shd w:val="clear" w:color="auto" w:fill="auto"/>
            <w:vAlign w:val="bottom"/>
          </w:tcPr>
          <w:p w14:paraId="75A4F3B9" w14:textId="77777777" w:rsidR="00E6640A" w:rsidRPr="00764993" w:rsidRDefault="00E6640A" w:rsidP="00DB5346">
            <w:pPr>
              <w:widowControl/>
              <w:tabs>
                <w:tab w:val="decimal" w:pos="113"/>
              </w:tabs>
              <w:spacing w:line="120" w:lineRule="auto"/>
              <w:rPr>
                <w:sz w:val="16"/>
                <w:szCs w:val="16"/>
              </w:rPr>
            </w:pPr>
          </w:p>
        </w:tc>
        <w:tc>
          <w:tcPr>
            <w:tcW w:w="907" w:type="dxa"/>
            <w:shd w:val="clear" w:color="auto" w:fill="auto"/>
            <w:vAlign w:val="bottom"/>
          </w:tcPr>
          <w:p w14:paraId="5426E8A8" w14:textId="77777777" w:rsidR="00E6640A" w:rsidRPr="00764993" w:rsidRDefault="00E6640A" w:rsidP="00DB5346">
            <w:pPr>
              <w:widowControl/>
              <w:tabs>
                <w:tab w:val="decimal" w:pos="113"/>
              </w:tabs>
              <w:spacing w:line="120" w:lineRule="auto"/>
              <w:rPr>
                <w:sz w:val="16"/>
                <w:szCs w:val="16"/>
              </w:rPr>
            </w:pPr>
          </w:p>
        </w:tc>
        <w:tc>
          <w:tcPr>
            <w:tcW w:w="113" w:type="dxa"/>
            <w:shd w:val="clear" w:color="auto" w:fill="auto"/>
            <w:vAlign w:val="bottom"/>
          </w:tcPr>
          <w:p w14:paraId="73B856F6" w14:textId="77777777" w:rsidR="00E6640A" w:rsidRPr="00764993" w:rsidRDefault="00E6640A" w:rsidP="00DB5346">
            <w:pPr>
              <w:widowControl/>
              <w:tabs>
                <w:tab w:val="decimal" w:pos="113"/>
              </w:tabs>
              <w:spacing w:line="120" w:lineRule="auto"/>
              <w:rPr>
                <w:sz w:val="16"/>
                <w:szCs w:val="16"/>
              </w:rPr>
            </w:pPr>
          </w:p>
        </w:tc>
        <w:tc>
          <w:tcPr>
            <w:tcW w:w="1010" w:type="dxa"/>
            <w:shd w:val="clear" w:color="auto" w:fill="auto"/>
            <w:vAlign w:val="bottom"/>
          </w:tcPr>
          <w:p w14:paraId="01ED04B8" w14:textId="77777777" w:rsidR="00E6640A" w:rsidRPr="00764993" w:rsidRDefault="00E6640A" w:rsidP="00DB5346">
            <w:pPr>
              <w:widowControl/>
              <w:tabs>
                <w:tab w:val="decimal" w:pos="113"/>
              </w:tabs>
              <w:spacing w:line="120" w:lineRule="auto"/>
              <w:rPr>
                <w:sz w:val="16"/>
                <w:szCs w:val="16"/>
                <w:rtl/>
              </w:rPr>
            </w:pPr>
          </w:p>
        </w:tc>
      </w:tr>
      <w:tr w:rsidR="00E6640A" w:rsidRPr="00C54C0C" w14:paraId="0656FB24" w14:textId="77777777" w:rsidTr="001521F8">
        <w:tc>
          <w:tcPr>
            <w:tcW w:w="1098" w:type="dxa"/>
          </w:tcPr>
          <w:p w14:paraId="70699398"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D503278" w14:textId="77777777" w:rsidR="00E6640A"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ירידה (עלייה) בלקוחות</w:t>
            </w:r>
          </w:p>
        </w:tc>
        <w:tc>
          <w:tcPr>
            <w:tcW w:w="113" w:type="dxa"/>
            <w:shd w:val="clear" w:color="auto" w:fill="auto"/>
            <w:vAlign w:val="bottom"/>
          </w:tcPr>
          <w:p w14:paraId="28ACF000" w14:textId="77777777" w:rsidR="00E6640A" w:rsidRPr="00764993" w:rsidRDefault="00E6640A" w:rsidP="00DB5346">
            <w:pPr>
              <w:spacing w:line="180" w:lineRule="exact"/>
              <w:rPr>
                <w:sz w:val="16"/>
                <w:szCs w:val="16"/>
              </w:rPr>
            </w:pPr>
          </w:p>
        </w:tc>
        <w:tc>
          <w:tcPr>
            <w:tcW w:w="907" w:type="dxa"/>
            <w:vAlign w:val="bottom"/>
          </w:tcPr>
          <w:p w14:paraId="0D7FF1A4"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0065D88E"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5E3166FF"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2849334F"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1B422A6E"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54627170"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5FA6A75C"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76F4DD0"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2408F2CA" w14:textId="77777777" w:rsidR="00E6640A" w:rsidRPr="00764993" w:rsidRDefault="00E6640A" w:rsidP="00DB5346">
            <w:pPr>
              <w:tabs>
                <w:tab w:val="decimal" w:pos="113"/>
              </w:tabs>
              <w:spacing w:line="180" w:lineRule="exact"/>
              <w:rPr>
                <w:sz w:val="16"/>
                <w:szCs w:val="16"/>
                <w:rtl/>
              </w:rPr>
            </w:pPr>
          </w:p>
        </w:tc>
      </w:tr>
      <w:tr w:rsidR="00E6640A" w:rsidRPr="00C54C0C" w14:paraId="0677C062" w14:textId="77777777" w:rsidTr="001521F8">
        <w:tc>
          <w:tcPr>
            <w:tcW w:w="1098" w:type="dxa"/>
          </w:tcPr>
          <w:p w14:paraId="51ED39B1"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4CB1C30" w14:textId="77777777" w:rsidR="00E6640A"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ירידה (עלייה) בחייבים ויתרות חובה</w:t>
            </w:r>
          </w:p>
        </w:tc>
        <w:tc>
          <w:tcPr>
            <w:tcW w:w="113" w:type="dxa"/>
            <w:shd w:val="clear" w:color="auto" w:fill="auto"/>
            <w:vAlign w:val="bottom"/>
          </w:tcPr>
          <w:p w14:paraId="4F050B98" w14:textId="77777777" w:rsidR="00E6640A" w:rsidRPr="00764993" w:rsidRDefault="00E6640A" w:rsidP="00DB5346">
            <w:pPr>
              <w:spacing w:line="180" w:lineRule="exact"/>
              <w:rPr>
                <w:sz w:val="16"/>
                <w:szCs w:val="16"/>
              </w:rPr>
            </w:pPr>
          </w:p>
        </w:tc>
        <w:tc>
          <w:tcPr>
            <w:tcW w:w="907" w:type="dxa"/>
            <w:vAlign w:val="bottom"/>
          </w:tcPr>
          <w:p w14:paraId="0F9A9BDD"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95A385D"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553121C6"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58E98889"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1227E749"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1FE08422"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0339D111"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5C161BF1"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573AD12E" w14:textId="77777777" w:rsidR="00E6640A" w:rsidRPr="00764993" w:rsidRDefault="00E6640A" w:rsidP="00DB5346">
            <w:pPr>
              <w:tabs>
                <w:tab w:val="decimal" w:pos="113"/>
              </w:tabs>
              <w:spacing w:line="180" w:lineRule="exact"/>
              <w:rPr>
                <w:sz w:val="16"/>
                <w:szCs w:val="16"/>
                <w:rtl/>
              </w:rPr>
            </w:pPr>
          </w:p>
        </w:tc>
      </w:tr>
      <w:tr w:rsidR="00364535" w:rsidRPr="00C54C0C" w14:paraId="2A335339" w14:textId="77777777" w:rsidTr="001521F8">
        <w:tc>
          <w:tcPr>
            <w:tcW w:w="1098" w:type="dxa"/>
          </w:tcPr>
          <w:p w14:paraId="35E0F3F0"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1FB06A5" w14:textId="2398BC3F" w:rsidR="00364535" w:rsidRPr="00364535" w:rsidRDefault="00364535" w:rsidP="00364535">
            <w:pPr>
              <w:pStyle w:val="a3"/>
              <w:tabs>
                <w:tab w:val="left" w:pos="227"/>
                <w:tab w:val="left" w:pos="397"/>
                <w:tab w:val="left" w:pos="567"/>
              </w:tabs>
              <w:spacing w:line="180" w:lineRule="exact"/>
              <w:ind w:left="227" w:hanging="170"/>
              <w:rPr>
                <w:sz w:val="16"/>
                <w:szCs w:val="16"/>
                <w:rtl/>
              </w:rPr>
            </w:pPr>
            <w:r w:rsidRPr="00364535">
              <w:rPr>
                <w:rFonts w:hint="cs"/>
                <w:sz w:val="16"/>
                <w:szCs w:val="16"/>
                <w:rtl/>
              </w:rPr>
              <w:t>ירידה (עלייה) בנכסים והתחייבויות, נטו בגין זכות החזרה מלקוחות</w:t>
            </w:r>
          </w:p>
        </w:tc>
        <w:tc>
          <w:tcPr>
            <w:tcW w:w="113" w:type="dxa"/>
            <w:shd w:val="clear" w:color="auto" w:fill="auto"/>
            <w:vAlign w:val="bottom"/>
          </w:tcPr>
          <w:p w14:paraId="663AB437" w14:textId="77777777" w:rsidR="00364535" w:rsidRPr="00764993" w:rsidRDefault="00364535" w:rsidP="00364535">
            <w:pPr>
              <w:spacing w:line="180" w:lineRule="exact"/>
              <w:rPr>
                <w:sz w:val="16"/>
                <w:szCs w:val="16"/>
              </w:rPr>
            </w:pPr>
          </w:p>
        </w:tc>
        <w:tc>
          <w:tcPr>
            <w:tcW w:w="907" w:type="dxa"/>
            <w:vAlign w:val="bottom"/>
          </w:tcPr>
          <w:p w14:paraId="75209EBC"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7F767CB1"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7F9A8FCD"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678BB544"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75B5CD0A"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5A87E295"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2A0C41FA"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334BD11D"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7EA20F56" w14:textId="77777777" w:rsidR="00364535" w:rsidRPr="00764993" w:rsidRDefault="00364535" w:rsidP="00364535">
            <w:pPr>
              <w:tabs>
                <w:tab w:val="decimal" w:pos="113"/>
              </w:tabs>
              <w:spacing w:line="180" w:lineRule="exact"/>
              <w:rPr>
                <w:sz w:val="16"/>
                <w:szCs w:val="16"/>
                <w:rtl/>
              </w:rPr>
            </w:pPr>
          </w:p>
        </w:tc>
      </w:tr>
      <w:tr w:rsidR="00364535" w:rsidRPr="00C54C0C" w14:paraId="7252247D" w14:textId="77777777" w:rsidTr="001521F8">
        <w:tc>
          <w:tcPr>
            <w:tcW w:w="1098" w:type="dxa"/>
          </w:tcPr>
          <w:p w14:paraId="1FAE29A8"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7780D7DD" w14:textId="357A900F" w:rsidR="00364535" w:rsidRPr="00364535" w:rsidRDefault="00364535" w:rsidP="00364535">
            <w:pPr>
              <w:pStyle w:val="a3"/>
              <w:tabs>
                <w:tab w:val="left" w:pos="227"/>
                <w:tab w:val="left" w:pos="397"/>
                <w:tab w:val="left" w:pos="567"/>
              </w:tabs>
              <w:spacing w:line="180" w:lineRule="exact"/>
              <w:ind w:left="227" w:hanging="170"/>
              <w:rPr>
                <w:sz w:val="16"/>
                <w:szCs w:val="16"/>
                <w:rtl/>
              </w:rPr>
            </w:pPr>
            <w:r w:rsidRPr="00364535">
              <w:rPr>
                <w:rFonts w:hint="cs"/>
                <w:sz w:val="16"/>
                <w:szCs w:val="16"/>
                <w:rtl/>
              </w:rPr>
              <w:t>ירידה (עלייה) בנכסי חוזה</w:t>
            </w:r>
          </w:p>
        </w:tc>
        <w:tc>
          <w:tcPr>
            <w:tcW w:w="113" w:type="dxa"/>
            <w:shd w:val="clear" w:color="auto" w:fill="auto"/>
            <w:vAlign w:val="bottom"/>
          </w:tcPr>
          <w:p w14:paraId="24E61E37" w14:textId="77777777" w:rsidR="00364535" w:rsidRPr="00764993" w:rsidRDefault="00364535" w:rsidP="00364535">
            <w:pPr>
              <w:spacing w:line="180" w:lineRule="exact"/>
              <w:rPr>
                <w:sz w:val="16"/>
                <w:szCs w:val="16"/>
              </w:rPr>
            </w:pPr>
          </w:p>
        </w:tc>
        <w:tc>
          <w:tcPr>
            <w:tcW w:w="907" w:type="dxa"/>
            <w:vAlign w:val="bottom"/>
          </w:tcPr>
          <w:p w14:paraId="2B21F13C"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503048B0"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67616320"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E249EA4"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7DE6AF26"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15DA4024"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70DB57F4"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9CA124B"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482C9B64" w14:textId="77777777" w:rsidR="00364535" w:rsidRPr="00764993" w:rsidRDefault="00364535" w:rsidP="00364535">
            <w:pPr>
              <w:tabs>
                <w:tab w:val="decimal" w:pos="113"/>
              </w:tabs>
              <w:spacing w:line="180" w:lineRule="exact"/>
              <w:rPr>
                <w:sz w:val="16"/>
                <w:szCs w:val="16"/>
                <w:rtl/>
              </w:rPr>
            </w:pPr>
          </w:p>
        </w:tc>
      </w:tr>
      <w:tr w:rsidR="00364535" w:rsidRPr="00C54C0C" w14:paraId="794AF21B" w14:textId="77777777" w:rsidTr="001521F8">
        <w:tc>
          <w:tcPr>
            <w:tcW w:w="1098" w:type="dxa"/>
          </w:tcPr>
          <w:p w14:paraId="3B1C2DF1"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431B552F" w14:textId="77777777" w:rsidR="00364535" w:rsidRDefault="00364535" w:rsidP="00364535">
            <w:pPr>
              <w:pStyle w:val="a3"/>
              <w:tabs>
                <w:tab w:val="left" w:pos="227"/>
                <w:tab w:val="left" w:pos="397"/>
                <w:tab w:val="left" w:pos="567"/>
              </w:tabs>
              <w:spacing w:line="180" w:lineRule="exact"/>
              <w:ind w:left="227" w:hanging="170"/>
              <w:rPr>
                <w:sz w:val="16"/>
                <w:szCs w:val="16"/>
                <w:rtl/>
              </w:rPr>
            </w:pPr>
            <w:r w:rsidRPr="00764993">
              <w:rPr>
                <w:rFonts w:hint="eastAsia"/>
                <w:sz w:val="16"/>
                <w:szCs w:val="16"/>
                <w:rtl/>
              </w:rPr>
              <w:t>ירידה</w:t>
            </w:r>
            <w:r w:rsidRPr="00764993">
              <w:rPr>
                <w:sz w:val="16"/>
                <w:szCs w:val="16"/>
                <w:rtl/>
              </w:rPr>
              <w:t xml:space="preserve"> (עלייה) </w:t>
            </w:r>
            <w:r w:rsidRPr="00764993">
              <w:rPr>
                <w:rFonts w:hint="eastAsia"/>
                <w:sz w:val="16"/>
                <w:szCs w:val="16"/>
                <w:rtl/>
              </w:rPr>
              <w:t>בחייבים</w:t>
            </w:r>
            <w:r w:rsidRPr="00764993">
              <w:rPr>
                <w:sz w:val="16"/>
                <w:szCs w:val="16"/>
                <w:rtl/>
              </w:rPr>
              <w:t xml:space="preserve"> </w:t>
            </w:r>
            <w:r w:rsidRPr="00764993">
              <w:rPr>
                <w:rFonts w:hint="eastAsia"/>
                <w:sz w:val="16"/>
                <w:szCs w:val="16"/>
                <w:rtl/>
              </w:rPr>
              <w:t>בגין</w:t>
            </w:r>
            <w:r w:rsidRPr="00764993">
              <w:rPr>
                <w:sz w:val="16"/>
                <w:szCs w:val="16"/>
                <w:rtl/>
              </w:rPr>
              <w:t xml:space="preserve"> </w:t>
            </w:r>
            <w:r w:rsidRPr="00764993">
              <w:rPr>
                <w:rFonts w:hint="eastAsia"/>
                <w:sz w:val="16"/>
                <w:szCs w:val="16"/>
                <w:rtl/>
              </w:rPr>
              <w:t>הסדר</w:t>
            </w:r>
            <w:r w:rsidRPr="00764993">
              <w:rPr>
                <w:sz w:val="16"/>
                <w:szCs w:val="16"/>
                <w:rtl/>
              </w:rPr>
              <w:t xml:space="preserve"> </w:t>
            </w:r>
            <w:r w:rsidRPr="00764993">
              <w:rPr>
                <w:rFonts w:hint="eastAsia"/>
                <w:sz w:val="16"/>
                <w:szCs w:val="16"/>
                <w:rtl/>
              </w:rPr>
              <w:t>זיכיון</w:t>
            </w:r>
            <w:r w:rsidRPr="00764993">
              <w:rPr>
                <w:sz w:val="16"/>
                <w:szCs w:val="16"/>
                <w:rtl/>
              </w:rPr>
              <w:t xml:space="preserve"> </w:t>
            </w:r>
            <w:r w:rsidRPr="00764993">
              <w:rPr>
                <w:rFonts w:hint="eastAsia"/>
                <w:sz w:val="16"/>
                <w:szCs w:val="16"/>
                <w:rtl/>
              </w:rPr>
              <w:t>למתן</w:t>
            </w:r>
            <w:r w:rsidRPr="00764993">
              <w:rPr>
                <w:sz w:val="16"/>
                <w:szCs w:val="16"/>
                <w:rtl/>
              </w:rPr>
              <w:t xml:space="preserve"> </w:t>
            </w:r>
            <w:r w:rsidRPr="00764993">
              <w:rPr>
                <w:rFonts w:hint="eastAsia"/>
                <w:sz w:val="16"/>
                <w:szCs w:val="16"/>
                <w:rtl/>
              </w:rPr>
              <w:t>שירותים</w:t>
            </w:r>
          </w:p>
        </w:tc>
        <w:tc>
          <w:tcPr>
            <w:tcW w:w="113" w:type="dxa"/>
            <w:shd w:val="clear" w:color="auto" w:fill="auto"/>
            <w:vAlign w:val="bottom"/>
          </w:tcPr>
          <w:p w14:paraId="0A9FD5BA" w14:textId="77777777" w:rsidR="00364535" w:rsidRPr="00764993" w:rsidRDefault="00364535" w:rsidP="00364535">
            <w:pPr>
              <w:spacing w:line="180" w:lineRule="exact"/>
              <w:rPr>
                <w:sz w:val="16"/>
                <w:szCs w:val="16"/>
              </w:rPr>
            </w:pPr>
          </w:p>
        </w:tc>
        <w:tc>
          <w:tcPr>
            <w:tcW w:w="907" w:type="dxa"/>
            <w:vAlign w:val="bottom"/>
          </w:tcPr>
          <w:p w14:paraId="30D6F865"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4203FA88"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2DAF03F5"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E378B99"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23F32BE6"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42E7DCB0"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540A2660"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46F13EF"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545C703F" w14:textId="77777777" w:rsidR="00364535" w:rsidRPr="00764993" w:rsidRDefault="00364535" w:rsidP="00364535">
            <w:pPr>
              <w:tabs>
                <w:tab w:val="decimal" w:pos="113"/>
              </w:tabs>
              <w:spacing w:line="180" w:lineRule="exact"/>
              <w:rPr>
                <w:sz w:val="16"/>
                <w:szCs w:val="16"/>
                <w:rtl/>
              </w:rPr>
            </w:pPr>
          </w:p>
        </w:tc>
      </w:tr>
      <w:tr w:rsidR="00364535" w:rsidRPr="00C54C0C" w14:paraId="5806F510" w14:textId="77777777" w:rsidTr="001521F8">
        <w:tc>
          <w:tcPr>
            <w:tcW w:w="1098" w:type="dxa"/>
          </w:tcPr>
          <w:p w14:paraId="4B36F21D"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5F32990" w14:textId="77777777" w:rsidR="00364535" w:rsidRDefault="00364535" w:rsidP="00364535">
            <w:pPr>
              <w:pStyle w:val="a3"/>
              <w:tabs>
                <w:tab w:val="left" w:pos="227"/>
                <w:tab w:val="left" w:pos="397"/>
                <w:tab w:val="left" w:pos="567"/>
              </w:tabs>
              <w:spacing w:line="180" w:lineRule="exact"/>
              <w:ind w:left="227" w:hanging="170"/>
              <w:rPr>
                <w:sz w:val="16"/>
                <w:szCs w:val="16"/>
              </w:rPr>
            </w:pPr>
            <w:r w:rsidRPr="00764993">
              <w:rPr>
                <w:rFonts w:hint="cs"/>
                <w:sz w:val="16"/>
                <w:szCs w:val="16"/>
                <w:rtl/>
              </w:rPr>
              <w:t>ירידה (עלייה) במלאי</w:t>
            </w:r>
          </w:p>
        </w:tc>
        <w:tc>
          <w:tcPr>
            <w:tcW w:w="113" w:type="dxa"/>
            <w:shd w:val="clear" w:color="auto" w:fill="auto"/>
            <w:vAlign w:val="bottom"/>
          </w:tcPr>
          <w:p w14:paraId="2C8E49C9" w14:textId="77777777" w:rsidR="00364535" w:rsidRPr="00764993" w:rsidRDefault="00364535" w:rsidP="00364535">
            <w:pPr>
              <w:spacing w:line="180" w:lineRule="exact"/>
              <w:rPr>
                <w:sz w:val="16"/>
                <w:szCs w:val="16"/>
              </w:rPr>
            </w:pPr>
          </w:p>
        </w:tc>
        <w:tc>
          <w:tcPr>
            <w:tcW w:w="907" w:type="dxa"/>
            <w:vAlign w:val="bottom"/>
          </w:tcPr>
          <w:p w14:paraId="69B18101"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59AEED29"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26CD2A05"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7D1B96A"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33C2E8CE"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576A03BF"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191E9938"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5E8C339"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0D963F4C" w14:textId="77777777" w:rsidR="00364535" w:rsidRPr="00764993" w:rsidRDefault="00364535" w:rsidP="00364535">
            <w:pPr>
              <w:tabs>
                <w:tab w:val="decimal" w:pos="113"/>
              </w:tabs>
              <w:spacing w:line="180" w:lineRule="exact"/>
              <w:rPr>
                <w:sz w:val="16"/>
                <w:szCs w:val="16"/>
                <w:rtl/>
              </w:rPr>
            </w:pPr>
          </w:p>
        </w:tc>
      </w:tr>
      <w:tr w:rsidR="00364535" w:rsidRPr="00C54C0C" w14:paraId="619293A4" w14:textId="77777777" w:rsidTr="001521F8">
        <w:tc>
          <w:tcPr>
            <w:tcW w:w="1098" w:type="dxa"/>
          </w:tcPr>
          <w:p w14:paraId="1DF45855"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41ED6F79" w14:textId="77777777" w:rsidR="00364535"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ירידה (עלייה) במלאי מקרקעין</w:t>
            </w:r>
          </w:p>
        </w:tc>
        <w:tc>
          <w:tcPr>
            <w:tcW w:w="113" w:type="dxa"/>
            <w:shd w:val="clear" w:color="auto" w:fill="auto"/>
            <w:vAlign w:val="bottom"/>
          </w:tcPr>
          <w:p w14:paraId="4CDA5072" w14:textId="77777777" w:rsidR="00364535" w:rsidRPr="00764993" w:rsidRDefault="00364535" w:rsidP="00364535">
            <w:pPr>
              <w:spacing w:line="180" w:lineRule="exact"/>
              <w:rPr>
                <w:sz w:val="16"/>
                <w:szCs w:val="16"/>
              </w:rPr>
            </w:pPr>
          </w:p>
        </w:tc>
        <w:tc>
          <w:tcPr>
            <w:tcW w:w="907" w:type="dxa"/>
            <w:vAlign w:val="bottom"/>
          </w:tcPr>
          <w:p w14:paraId="6E4CF6EF"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19AA20A5"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2EB30A1F"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598193C"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570CE1B2"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243B4DC5"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12234BD2"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6F20752D"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4B3C40E6" w14:textId="77777777" w:rsidR="00364535" w:rsidRPr="00764993" w:rsidRDefault="00364535" w:rsidP="00364535">
            <w:pPr>
              <w:tabs>
                <w:tab w:val="decimal" w:pos="113"/>
              </w:tabs>
              <w:spacing w:line="180" w:lineRule="exact"/>
              <w:rPr>
                <w:sz w:val="16"/>
                <w:szCs w:val="16"/>
                <w:rtl/>
              </w:rPr>
            </w:pPr>
          </w:p>
        </w:tc>
      </w:tr>
      <w:tr w:rsidR="00364535" w:rsidRPr="00C54C0C" w14:paraId="565DF216" w14:textId="77777777" w:rsidTr="001521F8">
        <w:tc>
          <w:tcPr>
            <w:tcW w:w="1098" w:type="dxa"/>
          </w:tcPr>
          <w:p w14:paraId="4F36DD7C"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06DBAEE6" w14:textId="77777777" w:rsidR="00364535" w:rsidRDefault="00364535" w:rsidP="00364535">
            <w:pPr>
              <w:pStyle w:val="a3"/>
              <w:tabs>
                <w:tab w:val="left" w:pos="227"/>
                <w:tab w:val="left" w:pos="397"/>
                <w:tab w:val="left" w:pos="567"/>
              </w:tabs>
              <w:spacing w:line="180" w:lineRule="exact"/>
              <w:ind w:left="227" w:hanging="170"/>
              <w:rPr>
                <w:sz w:val="16"/>
                <w:szCs w:val="16"/>
              </w:rPr>
            </w:pPr>
            <w:r w:rsidRPr="00764993">
              <w:rPr>
                <w:rFonts w:hint="cs"/>
                <w:sz w:val="16"/>
                <w:szCs w:val="16"/>
                <w:rtl/>
              </w:rPr>
              <w:t xml:space="preserve">ירידה (עלייה) במלאי בניינים ודירות למכירה </w:t>
            </w:r>
          </w:p>
        </w:tc>
        <w:tc>
          <w:tcPr>
            <w:tcW w:w="113" w:type="dxa"/>
            <w:shd w:val="clear" w:color="auto" w:fill="auto"/>
            <w:vAlign w:val="bottom"/>
          </w:tcPr>
          <w:p w14:paraId="34D160A8" w14:textId="77777777" w:rsidR="00364535" w:rsidRPr="00764993" w:rsidRDefault="00364535" w:rsidP="00364535">
            <w:pPr>
              <w:spacing w:line="180" w:lineRule="exact"/>
              <w:rPr>
                <w:sz w:val="16"/>
                <w:szCs w:val="16"/>
              </w:rPr>
            </w:pPr>
          </w:p>
        </w:tc>
        <w:tc>
          <w:tcPr>
            <w:tcW w:w="907" w:type="dxa"/>
            <w:vAlign w:val="bottom"/>
          </w:tcPr>
          <w:p w14:paraId="5F75E239"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487492B4"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3B2CCFBE"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12A8962"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17E55AE2"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54DC4141"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20C03A73"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098F0D78"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50047734" w14:textId="77777777" w:rsidR="00364535" w:rsidRPr="00764993" w:rsidRDefault="00364535" w:rsidP="00364535">
            <w:pPr>
              <w:tabs>
                <w:tab w:val="decimal" w:pos="113"/>
              </w:tabs>
              <w:spacing w:line="180" w:lineRule="exact"/>
              <w:rPr>
                <w:sz w:val="16"/>
                <w:szCs w:val="16"/>
                <w:rtl/>
              </w:rPr>
            </w:pPr>
          </w:p>
        </w:tc>
      </w:tr>
      <w:tr w:rsidR="00364535" w:rsidRPr="00C54C0C" w14:paraId="5662BD5C" w14:textId="77777777" w:rsidTr="001521F8">
        <w:tc>
          <w:tcPr>
            <w:tcW w:w="1098" w:type="dxa"/>
          </w:tcPr>
          <w:p w14:paraId="544288CE"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7872B18" w14:textId="77777777" w:rsidR="00364535" w:rsidRDefault="00364535" w:rsidP="00364535">
            <w:pPr>
              <w:pStyle w:val="a3"/>
              <w:tabs>
                <w:tab w:val="left" w:pos="227"/>
                <w:tab w:val="left" w:pos="397"/>
                <w:tab w:val="left" w:pos="567"/>
              </w:tabs>
              <w:spacing w:line="180" w:lineRule="exact"/>
              <w:ind w:left="227" w:hanging="170"/>
              <w:rPr>
                <w:sz w:val="16"/>
                <w:szCs w:val="16"/>
              </w:rPr>
            </w:pPr>
            <w:r w:rsidRPr="00764993">
              <w:rPr>
                <w:rFonts w:hint="cs"/>
                <w:sz w:val="16"/>
                <w:szCs w:val="16"/>
                <w:rtl/>
              </w:rPr>
              <w:t>עלייה (ירידה) בהתחייבויות לספקים ולנותני שירותים</w:t>
            </w:r>
          </w:p>
        </w:tc>
        <w:tc>
          <w:tcPr>
            <w:tcW w:w="113" w:type="dxa"/>
            <w:shd w:val="clear" w:color="auto" w:fill="auto"/>
            <w:vAlign w:val="bottom"/>
          </w:tcPr>
          <w:p w14:paraId="378CEC8B" w14:textId="77777777" w:rsidR="00364535" w:rsidRPr="00764993" w:rsidRDefault="00364535" w:rsidP="00364535">
            <w:pPr>
              <w:spacing w:line="180" w:lineRule="exact"/>
              <w:rPr>
                <w:sz w:val="16"/>
                <w:szCs w:val="16"/>
              </w:rPr>
            </w:pPr>
          </w:p>
        </w:tc>
        <w:tc>
          <w:tcPr>
            <w:tcW w:w="907" w:type="dxa"/>
            <w:vAlign w:val="bottom"/>
          </w:tcPr>
          <w:p w14:paraId="345B6C82"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325E932A"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71408739"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53909529"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6CB71EAF"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482102C7"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35747904"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5053576F"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284E1405" w14:textId="77777777" w:rsidR="00364535" w:rsidRPr="00764993" w:rsidRDefault="00364535" w:rsidP="00364535">
            <w:pPr>
              <w:tabs>
                <w:tab w:val="decimal" w:pos="113"/>
              </w:tabs>
              <w:spacing w:line="180" w:lineRule="exact"/>
              <w:rPr>
                <w:sz w:val="16"/>
                <w:szCs w:val="16"/>
                <w:rtl/>
              </w:rPr>
            </w:pPr>
          </w:p>
        </w:tc>
      </w:tr>
      <w:tr w:rsidR="00364535" w:rsidRPr="00C54C0C" w14:paraId="50BDAE71" w14:textId="77777777" w:rsidTr="001521F8">
        <w:tc>
          <w:tcPr>
            <w:tcW w:w="1098" w:type="dxa"/>
          </w:tcPr>
          <w:p w14:paraId="52957A77"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4B87FCB9" w14:textId="20FA63AB" w:rsidR="00364535" w:rsidRPr="00364535" w:rsidRDefault="00364535" w:rsidP="00364535">
            <w:pPr>
              <w:pStyle w:val="a3"/>
              <w:tabs>
                <w:tab w:val="left" w:pos="227"/>
                <w:tab w:val="left" w:pos="397"/>
                <w:tab w:val="left" w:pos="567"/>
              </w:tabs>
              <w:spacing w:line="180" w:lineRule="exact"/>
              <w:ind w:left="227" w:hanging="170"/>
              <w:rPr>
                <w:sz w:val="16"/>
                <w:szCs w:val="16"/>
                <w:rtl/>
              </w:rPr>
            </w:pPr>
            <w:r w:rsidRPr="00364535">
              <w:rPr>
                <w:rFonts w:hint="cs"/>
                <w:sz w:val="16"/>
                <w:szCs w:val="16"/>
                <w:rtl/>
              </w:rPr>
              <w:t>עלייה (ירידה) בהתחייבויות חוזה</w:t>
            </w:r>
          </w:p>
        </w:tc>
        <w:tc>
          <w:tcPr>
            <w:tcW w:w="113" w:type="dxa"/>
            <w:shd w:val="clear" w:color="auto" w:fill="auto"/>
            <w:vAlign w:val="bottom"/>
          </w:tcPr>
          <w:p w14:paraId="3AF728B6" w14:textId="77777777" w:rsidR="00364535" w:rsidRPr="00764993" w:rsidRDefault="00364535" w:rsidP="00364535">
            <w:pPr>
              <w:spacing w:line="180" w:lineRule="exact"/>
              <w:rPr>
                <w:sz w:val="16"/>
                <w:szCs w:val="16"/>
              </w:rPr>
            </w:pPr>
          </w:p>
        </w:tc>
        <w:tc>
          <w:tcPr>
            <w:tcW w:w="907" w:type="dxa"/>
            <w:vAlign w:val="bottom"/>
          </w:tcPr>
          <w:p w14:paraId="36E1B059"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0B372532"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5D9AA0FD"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01F0219"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10A03A0C"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6DDFA457"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37B09079"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0BA336F8"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0F8086BD" w14:textId="77777777" w:rsidR="00364535" w:rsidRPr="00764993" w:rsidRDefault="00364535" w:rsidP="00364535">
            <w:pPr>
              <w:tabs>
                <w:tab w:val="decimal" w:pos="113"/>
              </w:tabs>
              <w:spacing w:line="180" w:lineRule="exact"/>
              <w:rPr>
                <w:sz w:val="16"/>
                <w:szCs w:val="16"/>
                <w:rtl/>
              </w:rPr>
            </w:pPr>
          </w:p>
        </w:tc>
      </w:tr>
      <w:tr w:rsidR="00364535" w:rsidRPr="00C54C0C" w14:paraId="3E44E8F1" w14:textId="77777777" w:rsidTr="001521F8">
        <w:tc>
          <w:tcPr>
            <w:tcW w:w="1098" w:type="dxa"/>
          </w:tcPr>
          <w:p w14:paraId="25075F72"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6E556E8" w14:textId="77777777" w:rsidR="00364535"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עלייה (ירידה) בהפרשות</w:t>
            </w:r>
          </w:p>
        </w:tc>
        <w:tc>
          <w:tcPr>
            <w:tcW w:w="113" w:type="dxa"/>
            <w:shd w:val="clear" w:color="auto" w:fill="auto"/>
            <w:vAlign w:val="bottom"/>
          </w:tcPr>
          <w:p w14:paraId="4743C87D" w14:textId="77777777" w:rsidR="00364535" w:rsidRPr="00764993" w:rsidRDefault="00364535" w:rsidP="00364535">
            <w:pPr>
              <w:spacing w:line="180" w:lineRule="exact"/>
              <w:rPr>
                <w:sz w:val="16"/>
                <w:szCs w:val="16"/>
              </w:rPr>
            </w:pPr>
          </w:p>
        </w:tc>
        <w:tc>
          <w:tcPr>
            <w:tcW w:w="907" w:type="dxa"/>
            <w:vAlign w:val="bottom"/>
          </w:tcPr>
          <w:p w14:paraId="0E6F44D2"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5DAFE4DC"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3FEBAB15"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F0F1254"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103F0838"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5D2B0ECE"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57E3D318"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5A262CE3"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0594F342" w14:textId="77777777" w:rsidR="00364535" w:rsidRPr="00764993" w:rsidRDefault="00364535" w:rsidP="00364535">
            <w:pPr>
              <w:tabs>
                <w:tab w:val="decimal" w:pos="113"/>
              </w:tabs>
              <w:spacing w:line="180" w:lineRule="exact"/>
              <w:rPr>
                <w:sz w:val="16"/>
                <w:szCs w:val="16"/>
                <w:rtl/>
              </w:rPr>
            </w:pPr>
          </w:p>
        </w:tc>
      </w:tr>
      <w:tr w:rsidR="00364535" w:rsidRPr="00C54C0C" w14:paraId="4437B314" w14:textId="77777777" w:rsidTr="001521F8">
        <w:tc>
          <w:tcPr>
            <w:tcW w:w="1098" w:type="dxa"/>
          </w:tcPr>
          <w:p w14:paraId="74A947B4"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D30C2A6" w14:textId="77777777" w:rsidR="00364535"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עלייה (ירידה) בזכאים ויתרות זכות</w:t>
            </w:r>
          </w:p>
        </w:tc>
        <w:tc>
          <w:tcPr>
            <w:tcW w:w="113" w:type="dxa"/>
            <w:shd w:val="clear" w:color="auto" w:fill="auto"/>
            <w:vAlign w:val="bottom"/>
          </w:tcPr>
          <w:p w14:paraId="72A81053" w14:textId="77777777" w:rsidR="00364535" w:rsidRPr="00764993" w:rsidRDefault="00364535" w:rsidP="00364535">
            <w:pPr>
              <w:spacing w:line="180" w:lineRule="exact"/>
              <w:rPr>
                <w:sz w:val="16"/>
                <w:szCs w:val="16"/>
              </w:rPr>
            </w:pPr>
          </w:p>
        </w:tc>
        <w:tc>
          <w:tcPr>
            <w:tcW w:w="907" w:type="dxa"/>
            <w:vAlign w:val="bottom"/>
          </w:tcPr>
          <w:p w14:paraId="34873EEF"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43861730"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0A346767"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76FA187"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309479FB"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4B186607"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020EFE34"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43AB456"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2B24F780" w14:textId="77777777" w:rsidR="00364535" w:rsidRPr="00764993" w:rsidRDefault="00364535" w:rsidP="00364535">
            <w:pPr>
              <w:tabs>
                <w:tab w:val="decimal" w:pos="113"/>
              </w:tabs>
              <w:spacing w:line="180" w:lineRule="exact"/>
              <w:rPr>
                <w:sz w:val="16"/>
                <w:szCs w:val="16"/>
                <w:rtl/>
              </w:rPr>
            </w:pPr>
          </w:p>
        </w:tc>
      </w:tr>
      <w:tr w:rsidR="00364535" w:rsidRPr="00C54C0C" w14:paraId="6F24F05E" w14:textId="77777777" w:rsidTr="001521F8">
        <w:tc>
          <w:tcPr>
            <w:tcW w:w="1098" w:type="dxa"/>
          </w:tcPr>
          <w:p w14:paraId="27DDEE58"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080D64EA" w14:textId="77777777" w:rsidR="00364535" w:rsidRDefault="00364535" w:rsidP="00364535">
            <w:pPr>
              <w:pStyle w:val="a3"/>
              <w:tabs>
                <w:tab w:val="left" w:pos="227"/>
                <w:tab w:val="left" w:pos="397"/>
                <w:tab w:val="left" w:pos="567"/>
              </w:tabs>
              <w:spacing w:line="180" w:lineRule="exact"/>
              <w:ind w:left="227" w:hanging="170"/>
              <w:rPr>
                <w:sz w:val="16"/>
                <w:szCs w:val="16"/>
              </w:rPr>
            </w:pPr>
            <w:r w:rsidRPr="00764993">
              <w:rPr>
                <w:rFonts w:hint="cs"/>
                <w:sz w:val="16"/>
                <w:szCs w:val="16"/>
                <w:rtl/>
              </w:rPr>
              <w:t>עלייה (ירידה) במקדמות והכנסות מראש</w:t>
            </w:r>
          </w:p>
        </w:tc>
        <w:tc>
          <w:tcPr>
            <w:tcW w:w="113" w:type="dxa"/>
            <w:shd w:val="clear" w:color="auto" w:fill="auto"/>
            <w:vAlign w:val="bottom"/>
          </w:tcPr>
          <w:p w14:paraId="04E5084E" w14:textId="77777777" w:rsidR="00364535" w:rsidRPr="00764993" w:rsidRDefault="00364535" w:rsidP="00364535">
            <w:pPr>
              <w:spacing w:line="180" w:lineRule="exact"/>
              <w:rPr>
                <w:sz w:val="16"/>
                <w:szCs w:val="16"/>
              </w:rPr>
            </w:pPr>
          </w:p>
        </w:tc>
        <w:tc>
          <w:tcPr>
            <w:tcW w:w="907" w:type="dxa"/>
            <w:tcBorders>
              <w:bottom w:val="single" w:sz="6" w:space="0" w:color="auto"/>
            </w:tcBorders>
            <w:shd w:val="clear" w:color="auto" w:fill="auto"/>
            <w:vAlign w:val="bottom"/>
          </w:tcPr>
          <w:p w14:paraId="617C3AA7"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75E2F9D9" w14:textId="77777777" w:rsidR="00364535" w:rsidRPr="00764993" w:rsidRDefault="00364535" w:rsidP="0036453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1F97EA3A"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201783B"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2D6E3C03"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79010AFD"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380F8C30"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781E614" w14:textId="77777777" w:rsidR="00364535" w:rsidRPr="00764993" w:rsidRDefault="00364535" w:rsidP="00364535">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5D646288" w14:textId="77777777" w:rsidR="00364535" w:rsidRPr="00764993" w:rsidRDefault="00364535" w:rsidP="00364535">
            <w:pPr>
              <w:tabs>
                <w:tab w:val="decimal" w:pos="113"/>
              </w:tabs>
              <w:spacing w:line="180" w:lineRule="exact"/>
              <w:rPr>
                <w:sz w:val="16"/>
                <w:szCs w:val="16"/>
                <w:rtl/>
              </w:rPr>
            </w:pPr>
          </w:p>
        </w:tc>
      </w:tr>
      <w:tr w:rsidR="00364535" w:rsidRPr="00C54C0C" w14:paraId="7B6952F3" w14:textId="77777777" w:rsidTr="001521F8">
        <w:tc>
          <w:tcPr>
            <w:tcW w:w="1098" w:type="dxa"/>
          </w:tcPr>
          <w:p w14:paraId="772634BD" w14:textId="77777777" w:rsidR="00364535" w:rsidRPr="000B1730" w:rsidRDefault="00364535" w:rsidP="00364535">
            <w:pPr>
              <w:pStyle w:val="a3"/>
              <w:widowControl/>
              <w:tabs>
                <w:tab w:val="left" w:pos="227"/>
                <w:tab w:val="left" w:pos="397"/>
                <w:tab w:val="left" w:pos="567"/>
              </w:tabs>
              <w:spacing w:line="180" w:lineRule="exact"/>
              <w:ind w:left="0" w:right="28"/>
              <w:jc w:val="right"/>
              <w:rPr>
                <w:rFonts w:cs="Times New Roman"/>
                <w:i/>
                <w:iCs/>
                <w:sz w:val="13"/>
                <w:szCs w:val="13"/>
                <w:rtl/>
              </w:rPr>
            </w:pPr>
          </w:p>
        </w:tc>
        <w:tc>
          <w:tcPr>
            <w:tcW w:w="3345" w:type="dxa"/>
            <w:shd w:val="clear" w:color="auto" w:fill="auto"/>
            <w:vAlign w:val="bottom"/>
          </w:tcPr>
          <w:p w14:paraId="0FC23AC3" w14:textId="77777777" w:rsidR="00364535" w:rsidRPr="00764993" w:rsidRDefault="00364535" w:rsidP="00364535">
            <w:pPr>
              <w:pStyle w:val="a3"/>
              <w:widowControl/>
              <w:tabs>
                <w:tab w:val="left" w:pos="227"/>
                <w:tab w:val="left" w:pos="397"/>
                <w:tab w:val="left" w:pos="567"/>
              </w:tabs>
              <w:spacing w:line="180" w:lineRule="exact"/>
              <w:ind w:left="0"/>
              <w:rPr>
                <w:sz w:val="16"/>
                <w:szCs w:val="16"/>
                <w:rtl/>
              </w:rPr>
            </w:pPr>
          </w:p>
        </w:tc>
        <w:tc>
          <w:tcPr>
            <w:tcW w:w="113" w:type="dxa"/>
            <w:shd w:val="clear" w:color="auto" w:fill="auto"/>
            <w:vAlign w:val="bottom"/>
          </w:tcPr>
          <w:p w14:paraId="2955074F" w14:textId="77777777" w:rsidR="00364535" w:rsidRPr="00764993" w:rsidRDefault="00364535" w:rsidP="00364535">
            <w:pPr>
              <w:widowControl/>
              <w:spacing w:line="180" w:lineRule="exact"/>
              <w:rPr>
                <w:sz w:val="16"/>
                <w:szCs w:val="16"/>
              </w:rPr>
            </w:pPr>
          </w:p>
        </w:tc>
        <w:tc>
          <w:tcPr>
            <w:tcW w:w="907" w:type="dxa"/>
            <w:tcBorders>
              <w:top w:val="single" w:sz="6" w:space="0" w:color="auto"/>
            </w:tcBorders>
            <w:vAlign w:val="bottom"/>
          </w:tcPr>
          <w:p w14:paraId="3E062B94" w14:textId="77777777" w:rsidR="00364535" w:rsidRPr="00764993" w:rsidRDefault="00364535" w:rsidP="00364535">
            <w:pPr>
              <w:widowControl/>
              <w:tabs>
                <w:tab w:val="decimal" w:pos="113"/>
              </w:tabs>
              <w:spacing w:line="180" w:lineRule="exact"/>
              <w:rPr>
                <w:sz w:val="16"/>
                <w:szCs w:val="16"/>
                <w:rtl/>
              </w:rPr>
            </w:pPr>
          </w:p>
        </w:tc>
        <w:tc>
          <w:tcPr>
            <w:tcW w:w="113" w:type="dxa"/>
            <w:vAlign w:val="bottom"/>
          </w:tcPr>
          <w:p w14:paraId="0DC2AA5B" w14:textId="77777777" w:rsidR="00364535" w:rsidRPr="00764993" w:rsidRDefault="00364535" w:rsidP="00364535">
            <w:pPr>
              <w:widowControl/>
              <w:tabs>
                <w:tab w:val="decimal" w:pos="113"/>
              </w:tabs>
              <w:spacing w:line="180" w:lineRule="exact"/>
              <w:rPr>
                <w:sz w:val="16"/>
                <w:szCs w:val="16"/>
              </w:rPr>
            </w:pPr>
          </w:p>
        </w:tc>
        <w:tc>
          <w:tcPr>
            <w:tcW w:w="907" w:type="dxa"/>
            <w:gridSpan w:val="2"/>
            <w:tcBorders>
              <w:top w:val="single" w:sz="6" w:space="0" w:color="auto"/>
            </w:tcBorders>
            <w:shd w:val="clear" w:color="auto" w:fill="auto"/>
            <w:vAlign w:val="bottom"/>
          </w:tcPr>
          <w:p w14:paraId="000E1385" w14:textId="77777777" w:rsidR="00364535" w:rsidRPr="00764993" w:rsidRDefault="00364535" w:rsidP="00364535">
            <w:pPr>
              <w:widowControl/>
              <w:tabs>
                <w:tab w:val="decimal" w:pos="113"/>
              </w:tabs>
              <w:spacing w:line="180" w:lineRule="exact"/>
              <w:rPr>
                <w:sz w:val="16"/>
                <w:szCs w:val="16"/>
              </w:rPr>
            </w:pPr>
          </w:p>
        </w:tc>
        <w:tc>
          <w:tcPr>
            <w:tcW w:w="113" w:type="dxa"/>
            <w:shd w:val="clear" w:color="auto" w:fill="auto"/>
            <w:vAlign w:val="bottom"/>
          </w:tcPr>
          <w:p w14:paraId="370F7A1B" w14:textId="77777777" w:rsidR="00364535" w:rsidRPr="00764993" w:rsidRDefault="00364535" w:rsidP="00364535">
            <w:pPr>
              <w:widowControl/>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67CC3EC4" w14:textId="77777777" w:rsidR="00364535" w:rsidRPr="00764993" w:rsidRDefault="00364535" w:rsidP="00364535">
            <w:pPr>
              <w:widowControl/>
              <w:tabs>
                <w:tab w:val="decimal" w:pos="113"/>
              </w:tabs>
              <w:spacing w:line="180" w:lineRule="exact"/>
              <w:rPr>
                <w:sz w:val="16"/>
                <w:szCs w:val="16"/>
                <w:rtl/>
              </w:rPr>
            </w:pPr>
          </w:p>
        </w:tc>
        <w:tc>
          <w:tcPr>
            <w:tcW w:w="113" w:type="dxa"/>
            <w:shd w:val="clear" w:color="auto" w:fill="auto"/>
            <w:vAlign w:val="bottom"/>
          </w:tcPr>
          <w:p w14:paraId="2190CE54" w14:textId="77777777" w:rsidR="00364535" w:rsidRPr="00764993" w:rsidRDefault="00364535" w:rsidP="00364535">
            <w:pPr>
              <w:widowControl/>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4B484049" w14:textId="77777777" w:rsidR="00364535" w:rsidRPr="00764993" w:rsidRDefault="00364535" w:rsidP="00364535">
            <w:pPr>
              <w:widowControl/>
              <w:tabs>
                <w:tab w:val="decimal" w:pos="113"/>
              </w:tabs>
              <w:spacing w:line="180" w:lineRule="exact"/>
              <w:rPr>
                <w:sz w:val="16"/>
                <w:szCs w:val="16"/>
              </w:rPr>
            </w:pPr>
          </w:p>
        </w:tc>
        <w:tc>
          <w:tcPr>
            <w:tcW w:w="113" w:type="dxa"/>
            <w:shd w:val="clear" w:color="auto" w:fill="auto"/>
            <w:vAlign w:val="bottom"/>
          </w:tcPr>
          <w:p w14:paraId="2DD70D35" w14:textId="77777777" w:rsidR="00364535" w:rsidRPr="00764993" w:rsidRDefault="00364535" w:rsidP="00364535">
            <w:pPr>
              <w:widowControl/>
              <w:tabs>
                <w:tab w:val="decimal" w:pos="113"/>
              </w:tabs>
              <w:spacing w:line="180" w:lineRule="exact"/>
              <w:rPr>
                <w:sz w:val="16"/>
                <w:szCs w:val="16"/>
              </w:rPr>
            </w:pPr>
          </w:p>
        </w:tc>
        <w:tc>
          <w:tcPr>
            <w:tcW w:w="1010" w:type="dxa"/>
            <w:tcBorders>
              <w:top w:val="single" w:sz="6" w:space="0" w:color="auto"/>
            </w:tcBorders>
            <w:shd w:val="clear" w:color="auto" w:fill="auto"/>
            <w:vAlign w:val="bottom"/>
          </w:tcPr>
          <w:p w14:paraId="2E22782E" w14:textId="77777777" w:rsidR="00364535" w:rsidRPr="00764993" w:rsidRDefault="00364535" w:rsidP="00364535">
            <w:pPr>
              <w:widowControl/>
              <w:tabs>
                <w:tab w:val="decimal" w:pos="113"/>
              </w:tabs>
              <w:spacing w:line="180" w:lineRule="exact"/>
              <w:rPr>
                <w:sz w:val="16"/>
                <w:szCs w:val="16"/>
                <w:rtl/>
              </w:rPr>
            </w:pPr>
          </w:p>
        </w:tc>
      </w:tr>
      <w:tr w:rsidR="00364535" w:rsidRPr="00C54C0C" w14:paraId="2D397EC2" w14:textId="77777777" w:rsidTr="001521F8">
        <w:tc>
          <w:tcPr>
            <w:tcW w:w="1098" w:type="dxa"/>
          </w:tcPr>
          <w:p w14:paraId="12A0371B"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76EBFFB" w14:textId="77777777" w:rsidR="00364535" w:rsidRPr="00764993" w:rsidRDefault="00364535" w:rsidP="00364535">
            <w:pPr>
              <w:pStyle w:val="a3"/>
              <w:tabs>
                <w:tab w:val="left" w:pos="227"/>
                <w:tab w:val="left" w:pos="397"/>
                <w:tab w:val="left" w:pos="567"/>
              </w:tabs>
              <w:spacing w:line="180" w:lineRule="exact"/>
              <w:ind w:left="227" w:hanging="170"/>
              <w:rPr>
                <w:sz w:val="16"/>
                <w:szCs w:val="16"/>
                <w:rtl/>
              </w:rPr>
            </w:pPr>
          </w:p>
        </w:tc>
        <w:tc>
          <w:tcPr>
            <w:tcW w:w="113" w:type="dxa"/>
            <w:shd w:val="clear" w:color="auto" w:fill="auto"/>
            <w:vAlign w:val="bottom"/>
          </w:tcPr>
          <w:p w14:paraId="5EC7CA5C" w14:textId="77777777" w:rsidR="00364535" w:rsidRPr="00764993" w:rsidRDefault="00364535" w:rsidP="00364535">
            <w:pPr>
              <w:spacing w:line="180" w:lineRule="exact"/>
              <w:rPr>
                <w:sz w:val="16"/>
                <w:szCs w:val="16"/>
              </w:rPr>
            </w:pPr>
          </w:p>
        </w:tc>
        <w:tc>
          <w:tcPr>
            <w:tcW w:w="907" w:type="dxa"/>
            <w:tcBorders>
              <w:bottom w:val="single" w:sz="6" w:space="0" w:color="auto"/>
            </w:tcBorders>
            <w:shd w:val="clear" w:color="auto" w:fill="auto"/>
            <w:vAlign w:val="bottom"/>
          </w:tcPr>
          <w:p w14:paraId="31AB24E2"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0DB2B671" w14:textId="77777777" w:rsidR="00364535" w:rsidRPr="00764993" w:rsidRDefault="00364535" w:rsidP="0036453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1C0DB357"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54A5E37A"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7B14951C"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5FA9528C"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7DD0BCF7"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BEE5673" w14:textId="77777777" w:rsidR="00364535" w:rsidRPr="00764993" w:rsidRDefault="00364535" w:rsidP="00364535">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11776A66" w14:textId="77777777" w:rsidR="00364535" w:rsidRPr="00764993" w:rsidRDefault="00364535" w:rsidP="00364535">
            <w:pPr>
              <w:tabs>
                <w:tab w:val="decimal" w:pos="113"/>
              </w:tabs>
              <w:spacing w:line="180" w:lineRule="exact"/>
              <w:rPr>
                <w:sz w:val="16"/>
                <w:szCs w:val="16"/>
                <w:rtl/>
              </w:rPr>
            </w:pPr>
          </w:p>
        </w:tc>
      </w:tr>
      <w:tr w:rsidR="00364535" w:rsidRPr="00C54C0C" w14:paraId="71872B73" w14:textId="77777777" w:rsidTr="001521F8">
        <w:tc>
          <w:tcPr>
            <w:tcW w:w="1098" w:type="dxa"/>
          </w:tcPr>
          <w:p w14:paraId="11C098B1" w14:textId="77777777" w:rsidR="00364535" w:rsidRPr="000B1730" w:rsidRDefault="00364535" w:rsidP="00364535">
            <w:pPr>
              <w:pStyle w:val="a3"/>
              <w:widowControl/>
              <w:tabs>
                <w:tab w:val="left" w:pos="227"/>
                <w:tab w:val="left" w:pos="397"/>
                <w:tab w:val="left" w:pos="567"/>
              </w:tabs>
              <w:spacing w:line="120" w:lineRule="auto"/>
              <w:ind w:left="0"/>
              <w:jc w:val="right"/>
              <w:rPr>
                <w:rFonts w:cs="Times New Roman"/>
                <w:i/>
                <w:iCs/>
                <w:sz w:val="13"/>
                <w:szCs w:val="13"/>
                <w:rtl/>
              </w:rPr>
            </w:pPr>
          </w:p>
        </w:tc>
        <w:tc>
          <w:tcPr>
            <w:tcW w:w="3345" w:type="dxa"/>
            <w:shd w:val="clear" w:color="auto" w:fill="auto"/>
            <w:vAlign w:val="bottom"/>
          </w:tcPr>
          <w:p w14:paraId="24AE8B54" w14:textId="77777777" w:rsidR="00364535" w:rsidRPr="00764993" w:rsidRDefault="00364535" w:rsidP="00364535">
            <w:pPr>
              <w:pStyle w:val="a3"/>
              <w:widowControl/>
              <w:tabs>
                <w:tab w:val="left" w:pos="227"/>
                <w:tab w:val="left" w:pos="397"/>
                <w:tab w:val="left" w:pos="567"/>
              </w:tabs>
              <w:spacing w:line="120" w:lineRule="auto"/>
              <w:ind w:left="0"/>
              <w:rPr>
                <w:sz w:val="16"/>
                <w:szCs w:val="16"/>
                <w:rtl/>
              </w:rPr>
            </w:pPr>
          </w:p>
        </w:tc>
        <w:tc>
          <w:tcPr>
            <w:tcW w:w="113" w:type="dxa"/>
            <w:shd w:val="clear" w:color="auto" w:fill="auto"/>
            <w:vAlign w:val="bottom"/>
          </w:tcPr>
          <w:p w14:paraId="5723E4DD" w14:textId="77777777" w:rsidR="00364535" w:rsidRPr="00764993" w:rsidRDefault="00364535" w:rsidP="00364535">
            <w:pPr>
              <w:widowControl/>
              <w:spacing w:line="120" w:lineRule="auto"/>
              <w:rPr>
                <w:sz w:val="16"/>
                <w:szCs w:val="16"/>
              </w:rPr>
            </w:pPr>
          </w:p>
        </w:tc>
        <w:tc>
          <w:tcPr>
            <w:tcW w:w="907" w:type="dxa"/>
            <w:tcBorders>
              <w:top w:val="single" w:sz="6" w:space="0" w:color="auto"/>
            </w:tcBorders>
            <w:vAlign w:val="bottom"/>
          </w:tcPr>
          <w:p w14:paraId="170FD9D7" w14:textId="77777777" w:rsidR="00364535" w:rsidRPr="00764993" w:rsidRDefault="00364535" w:rsidP="00364535">
            <w:pPr>
              <w:widowControl/>
              <w:tabs>
                <w:tab w:val="decimal" w:pos="113"/>
              </w:tabs>
              <w:spacing w:line="120" w:lineRule="auto"/>
              <w:rPr>
                <w:sz w:val="16"/>
                <w:szCs w:val="16"/>
                <w:rtl/>
              </w:rPr>
            </w:pPr>
          </w:p>
        </w:tc>
        <w:tc>
          <w:tcPr>
            <w:tcW w:w="113" w:type="dxa"/>
            <w:vAlign w:val="bottom"/>
          </w:tcPr>
          <w:p w14:paraId="5624C1A1" w14:textId="77777777" w:rsidR="00364535" w:rsidRPr="00764993" w:rsidRDefault="00364535" w:rsidP="00364535">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5B2523FD" w14:textId="77777777" w:rsidR="00364535" w:rsidRPr="00764993" w:rsidRDefault="00364535" w:rsidP="00364535">
            <w:pPr>
              <w:widowControl/>
              <w:tabs>
                <w:tab w:val="decimal" w:pos="113"/>
              </w:tabs>
              <w:spacing w:line="120" w:lineRule="auto"/>
              <w:rPr>
                <w:sz w:val="16"/>
                <w:szCs w:val="16"/>
              </w:rPr>
            </w:pPr>
          </w:p>
        </w:tc>
        <w:tc>
          <w:tcPr>
            <w:tcW w:w="113" w:type="dxa"/>
            <w:shd w:val="clear" w:color="auto" w:fill="auto"/>
            <w:vAlign w:val="bottom"/>
          </w:tcPr>
          <w:p w14:paraId="3AE28D55" w14:textId="77777777" w:rsidR="00364535" w:rsidRPr="00764993" w:rsidRDefault="00364535" w:rsidP="0036453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2054C95A" w14:textId="77777777" w:rsidR="00364535" w:rsidRPr="00764993" w:rsidRDefault="00364535" w:rsidP="00364535">
            <w:pPr>
              <w:widowControl/>
              <w:tabs>
                <w:tab w:val="decimal" w:pos="113"/>
              </w:tabs>
              <w:spacing w:line="120" w:lineRule="auto"/>
              <w:rPr>
                <w:sz w:val="16"/>
                <w:szCs w:val="16"/>
                <w:rtl/>
              </w:rPr>
            </w:pPr>
          </w:p>
        </w:tc>
        <w:tc>
          <w:tcPr>
            <w:tcW w:w="113" w:type="dxa"/>
            <w:shd w:val="clear" w:color="auto" w:fill="auto"/>
            <w:vAlign w:val="bottom"/>
          </w:tcPr>
          <w:p w14:paraId="6FBD4281" w14:textId="77777777" w:rsidR="00364535" w:rsidRPr="00764993" w:rsidRDefault="00364535" w:rsidP="0036453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4AAD53A3" w14:textId="77777777" w:rsidR="00364535" w:rsidRPr="00764993" w:rsidRDefault="00364535" w:rsidP="00364535">
            <w:pPr>
              <w:widowControl/>
              <w:tabs>
                <w:tab w:val="decimal" w:pos="113"/>
              </w:tabs>
              <w:spacing w:line="120" w:lineRule="auto"/>
              <w:rPr>
                <w:sz w:val="16"/>
                <w:szCs w:val="16"/>
              </w:rPr>
            </w:pPr>
          </w:p>
        </w:tc>
        <w:tc>
          <w:tcPr>
            <w:tcW w:w="113" w:type="dxa"/>
            <w:shd w:val="clear" w:color="auto" w:fill="auto"/>
            <w:vAlign w:val="bottom"/>
          </w:tcPr>
          <w:p w14:paraId="766E68F5" w14:textId="77777777" w:rsidR="00364535" w:rsidRPr="00764993" w:rsidRDefault="00364535" w:rsidP="00364535">
            <w:pPr>
              <w:widowControl/>
              <w:tabs>
                <w:tab w:val="decimal" w:pos="113"/>
              </w:tabs>
              <w:spacing w:line="120" w:lineRule="auto"/>
              <w:rPr>
                <w:sz w:val="16"/>
                <w:szCs w:val="16"/>
              </w:rPr>
            </w:pPr>
          </w:p>
        </w:tc>
        <w:tc>
          <w:tcPr>
            <w:tcW w:w="1010" w:type="dxa"/>
            <w:tcBorders>
              <w:top w:val="single" w:sz="6" w:space="0" w:color="auto"/>
            </w:tcBorders>
            <w:shd w:val="clear" w:color="auto" w:fill="auto"/>
            <w:vAlign w:val="bottom"/>
          </w:tcPr>
          <w:p w14:paraId="04BD698E" w14:textId="77777777" w:rsidR="00364535" w:rsidRPr="00764993" w:rsidRDefault="00364535" w:rsidP="00364535">
            <w:pPr>
              <w:widowControl/>
              <w:tabs>
                <w:tab w:val="decimal" w:pos="113"/>
              </w:tabs>
              <w:spacing w:line="120" w:lineRule="auto"/>
              <w:rPr>
                <w:sz w:val="16"/>
                <w:szCs w:val="16"/>
                <w:rtl/>
              </w:rPr>
            </w:pPr>
          </w:p>
        </w:tc>
      </w:tr>
      <w:tr w:rsidR="00364535" w:rsidRPr="00C54C0C" w14:paraId="7EA06361" w14:textId="77777777" w:rsidTr="001521F8">
        <w:tc>
          <w:tcPr>
            <w:tcW w:w="1098" w:type="dxa"/>
          </w:tcPr>
          <w:p w14:paraId="699AC3D3"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715768F7" w14:textId="77777777" w:rsidR="00364535" w:rsidRPr="00764993"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מזומנים ששולמו והתקבלו במהלך התקופה עבור:</w:t>
            </w:r>
          </w:p>
        </w:tc>
        <w:tc>
          <w:tcPr>
            <w:tcW w:w="113" w:type="dxa"/>
            <w:shd w:val="clear" w:color="auto" w:fill="auto"/>
            <w:vAlign w:val="bottom"/>
          </w:tcPr>
          <w:p w14:paraId="4162BA7A" w14:textId="77777777" w:rsidR="00364535" w:rsidRPr="00764993" w:rsidRDefault="00364535" w:rsidP="00364535">
            <w:pPr>
              <w:spacing w:line="180" w:lineRule="exact"/>
              <w:rPr>
                <w:sz w:val="16"/>
                <w:szCs w:val="16"/>
              </w:rPr>
            </w:pPr>
          </w:p>
        </w:tc>
        <w:tc>
          <w:tcPr>
            <w:tcW w:w="907" w:type="dxa"/>
            <w:vAlign w:val="bottom"/>
          </w:tcPr>
          <w:p w14:paraId="03989FC8"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11367DBF"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7282C3CD"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D9E9140"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67370ECD"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463FC469"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175EC63D"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9E7E0B0"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3FA38133" w14:textId="77777777" w:rsidR="00364535" w:rsidRPr="00764993" w:rsidRDefault="00364535" w:rsidP="00364535">
            <w:pPr>
              <w:tabs>
                <w:tab w:val="decimal" w:pos="113"/>
              </w:tabs>
              <w:spacing w:line="180" w:lineRule="exact"/>
              <w:rPr>
                <w:sz w:val="16"/>
                <w:szCs w:val="16"/>
                <w:rtl/>
              </w:rPr>
            </w:pPr>
          </w:p>
        </w:tc>
      </w:tr>
      <w:tr w:rsidR="00364535" w:rsidRPr="00C54C0C" w14:paraId="48FA4FCE" w14:textId="77777777" w:rsidTr="001521F8">
        <w:tc>
          <w:tcPr>
            <w:tcW w:w="1098" w:type="dxa"/>
          </w:tcPr>
          <w:p w14:paraId="6A1188FB" w14:textId="77777777" w:rsidR="00364535" w:rsidRPr="000B1730" w:rsidRDefault="00364535" w:rsidP="00364535">
            <w:pPr>
              <w:pStyle w:val="a3"/>
              <w:widowControl/>
              <w:tabs>
                <w:tab w:val="left" w:pos="227"/>
                <w:tab w:val="left" w:pos="397"/>
                <w:tab w:val="left" w:pos="567"/>
              </w:tabs>
              <w:spacing w:line="120" w:lineRule="auto"/>
              <w:ind w:left="0"/>
              <w:jc w:val="right"/>
              <w:rPr>
                <w:rFonts w:cs="Times New Roman"/>
                <w:i/>
                <w:iCs/>
                <w:sz w:val="13"/>
                <w:szCs w:val="13"/>
                <w:rtl/>
              </w:rPr>
            </w:pPr>
          </w:p>
        </w:tc>
        <w:tc>
          <w:tcPr>
            <w:tcW w:w="3345" w:type="dxa"/>
            <w:shd w:val="clear" w:color="auto" w:fill="auto"/>
            <w:vAlign w:val="bottom"/>
          </w:tcPr>
          <w:p w14:paraId="3DC0F20E" w14:textId="77777777" w:rsidR="00364535" w:rsidRPr="00764993" w:rsidRDefault="00364535" w:rsidP="00364535">
            <w:pPr>
              <w:pStyle w:val="a3"/>
              <w:widowControl/>
              <w:tabs>
                <w:tab w:val="left" w:pos="227"/>
                <w:tab w:val="left" w:pos="397"/>
                <w:tab w:val="left" w:pos="567"/>
              </w:tabs>
              <w:spacing w:line="120" w:lineRule="auto"/>
              <w:ind w:left="0"/>
              <w:rPr>
                <w:sz w:val="16"/>
                <w:szCs w:val="16"/>
                <w:rtl/>
              </w:rPr>
            </w:pPr>
          </w:p>
        </w:tc>
        <w:tc>
          <w:tcPr>
            <w:tcW w:w="113" w:type="dxa"/>
            <w:shd w:val="clear" w:color="auto" w:fill="auto"/>
            <w:vAlign w:val="bottom"/>
          </w:tcPr>
          <w:p w14:paraId="2E12DA01" w14:textId="77777777" w:rsidR="00364535" w:rsidRPr="00764993" w:rsidRDefault="00364535" w:rsidP="00364535">
            <w:pPr>
              <w:widowControl/>
              <w:spacing w:line="120" w:lineRule="auto"/>
              <w:rPr>
                <w:sz w:val="16"/>
                <w:szCs w:val="16"/>
              </w:rPr>
            </w:pPr>
          </w:p>
        </w:tc>
        <w:tc>
          <w:tcPr>
            <w:tcW w:w="907" w:type="dxa"/>
            <w:vAlign w:val="bottom"/>
          </w:tcPr>
          <w:p w14:paraId="244226D1" w14:textId="77777777" w:rsidR="00364535" w:rsidRPr="00764993" w:rsidRDefault="00364535" w:rsidP="00364535">
            <w:pPr>
              <w:widowControl/>
              <w:tabs>
                <w:tab w:val="decimal" w:pos="113"/>
              </w:tabs>
              <w:spacing w:line="120" w:lineRule="auto"/>
              <w:rPr>
                <w:sz w:val="16"/>
                <w:szCs w:val="16"/>
                <w:rtl/>
              </w:rPr>
            </w:pPr>
          </w:p>
        </w:tc>
        <w:tc>
          <w:tcPr>
            <w:tcW w:w="113" w:type="dxa"/>
            <w:vAlign w:val="bottom"/>
          </w:tcPr>
          <w:p w14:paraId="18D7DA39" w14:textId="77777777" w:rsidR="00364535" w:rsidRPr="00764993" w:rsidRDefault="00364535" w:rsidP="00364535">
            <w:pPr>
              <w:widowControl/>
              <w:tabs>
                <w:tab w:val="decimal" w:pos="113"/>
              </w:tabs>
              <w:spacing w:line="120" w:lineRule="auto"/>
              <w:rPr>
                <w:sz w:val="16"/>
                <w:szCs w:val="16"/>
              </w:rPr>
            </w:pPr>
          </w:p>
        </w:tc>
        <w:tc>
          <w:tcPr>
            <w:tcW w:w="907" w:type="dxa"/>
            <w:gridSpan w:val="2"/>
            <w:shd w:val="clear" w:color="auto" w:fill="auto"/>
            <w:vAlign w:val="bottom"/>
          </w:tcPr>
          <w:p w14:paraId="2BDB7C53" w14:textId="77777777" w:rsidR="00364535" w:rsidRPr="00764993" w:rsidRDefault="00364535" w:rsidP="00364535">
            <w:pPr>
              <w:widowControl/>
              <w:tabs>
                <w:tab w:val="decimal" w:pos="113"/>
              </w:tabs>
              <w:spacing w:line="120" w:lineRule="auto"/>
              <w:rPr>
                <w:sz w:val="16"/>
                <w:szCs w:val="16"/>
              </w:rPr>
            </w:pPr>
          </w:p>
        </w:tc>
        <w:tc>
          <w:tcPr>
            <w:tcW w:w="113" w:type="dxa"/>
            <w:shd w:val="clear" w:color="auto" w:fill="auto"/>
            <w:vAlign w:val="bottom"/>
          </w:tcPr>
          <w:p w14:paraId="1E3D37CC" w14:textId="77777777" w:rsidR="00364535" w:rsidRPr="00764993" w:rsidRDefault="00364535" w:rsidP="00364535">
            <w:pPr>
              <w:widowControl/>
              <w:tabs>
                <w:tab w:val="decimal" w:pos="113"/>
              </w:tabs>
              <w:spacing w:line="120" w:lineRule="auto"/>
              <w:rPr>
                <w:sz w:val="16"/>
                <w:szCs w:val="16"/>
              </w:rPr>
            </w:pPr>
          </w:p>
        </w:tc>
        <w:tc>
          <w:tcPr>
            <w:tcW w:w="907" w:type="dxa"/>
            <w:shd w:val="clear" w:color="auto" w:fill="auto"/>
            <w:vAlign w:val="bottom"/>
          </w:tcPr>
          <w:p w14:paraId="2D925711" w14:textId="77777777" w:rsidR="00364535" w:rsidRPr="00764993" w:rsidRDefault="00364535" w:rsidP="00364535">
            <w:pPr>
              <w:widowControl/>
              <w:tabs>
                <w:tab w:val="decimal" w:pos="113"/>
              </w:tabs>
              <w:spacing w:line="120" w:lineRule="auto"/>
              <w:rPr>
                <w:sz w:val="16"/>
                <w:szCs w:val="16"/>
                <w:rtl/>
              </w:rPr>
            </w:pPr>
          </w:p>
        </w:tc>
        <w:tc>
          <w:tcPr>
            <w:tcW w:w="113" w:type="dxa"/>
            <w:shd w:val="clear" w:color="auto" w:fill="auto"/>
            <w:vAlign w:val="bottom"/>
          </w:tcPr>
          <w:p w14:paraId="6222E55D" w14:textId="77777777" w:rsidR="00364535" w:rsidRPr="00764993" w:rsidRDefault="00364535" w:rsidP="00364535">
            <w:pPr>
              <w:widowControl/>
              <w:tabs>
                <w:tab w:val="decimal" w:pos="113"/>
              </w:tabs>
              <w:spacing w:line="120" w:lineRule="auto"/>
              <w:rPr>
                <w:sz w:val="16"/>
                <w:szCs w:val="16"/>
              </w:rPr>
            </w:pPr>
          </w:p>
        </w:tc>
        <w:tc>
          <w:tcPr>
            <w:tcW w:w="907" w:type="dxa"/>
            <w:shd w:val="clear" w:color="auto" w:fill="auto"/>
            <w:vAlign w:val="bottom"/>
          </w:tcPr>
          <w:p w14:paraId="6FC617D8" w14:textId="77777777" w:rsidR="00364535" w:rsidRPr="00764993" w:rsidRDefault="00364535" w:rsidP="00364535">
            <w:pPr>
              <w:widowControl/>
              <w:tabs>
                <w:tab w:val="decimal" w:pos="113"/>
              </w:tabs>
              <w:spacing w:line="120" w:lineRule="auto"/>
              <w:rPr>
                <w:sz w:val="16"/>
                <w:szCs w:val="16"/>
              </w:rPr>
            </w:pPr>
          </w:p>
        </w:tc>
        <w:tc>
          <w:tcPr>
            <w:tcW w:w="113" w:type="dxa"/>
            <w:shd w:val="clear" w:color="auto" w:fill="auto"/>
            <w:vAlign w:val="bottom"/>
          </w:tcPr>
          <w:p w14:paraId="1D8DAB5D" w14:textId="77777777" w:rsidR="00364535" w:rsidRPr="00764993" w:rsidRDefault="00364535" w:rsidP="00364535">
            <w:pPr>
              <w:widowControl/>
              <w:tabs>
                <w:tab w:val="decimal" w:pos="113"/>
              </w:tabs>
              <w:spacing w:line="120" w:lineRule="auto"/>
              <w:rPr>
                <w:sz w:val="16"/>
                <w:szCs w:val="16"/>
              </w:rPr>
            </w:pPr>
          </w:p>
        </w:tc>
        <w:tc>
          <w:tcPr>
            <w:tcW w:w="1010" w:type="dxa"/>
            <w:shd w:val="clear" w:color="auto" w:fill="auto"/>
            <w:vAlign w:val="bottom"/>
          </w:tcPr>
          <w:p w14:paraId="5EF3C5DB" w14:textId="77777777" w:rsidR="00364535" w:rsidRPr="00764993" w:rsidRDefault="00364535" w:rsidP="00364535">
            <w:pPr>
              <w:widowControl/>
              <w:tabs>
                <w:tab w:val="decimal" w:pos="113"/>
              </w:tabs>
              <w:spacing w:line="120" w:lineRule="auto"/>
              <w:rPr>
                <w:sz w:val="16"/>
                <w:szCs w:val="16"/>
                <w:rtl/>
              </w:rPr>
            </w:pPr>
          </w:p>
        </w:tc>
      </w:tr>
      <w:tr w:rsidR="00364535" w:rsidRPr="00C54C0C" w14:paraId="1491C2D3" w14:textId="77777777" w:rsidTr="001521F8">
        <w:tc>
          <w:tcPr>
            <w:tcW w:w="1098" w:type="dxa"/>
            <w:tcBorders>
              <w:bottom w:val="single" w:sz="4" w:space="0" w:color="auto"/>
              <w:right w:val="single" w:sz="4" w:space="0" w:color="auto"/>
            </w:tcBorders>
          </w:tcPr>
          <w:p w14:paraId="45D4653B"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7.31</w:t>
            </w:r>
          </w:p>
        </w:tc>
        <w:tc>
          <w:tcPr>
            <w:tcW w:w="3345" w:type="dxa"/>
            <w:tcBorders>
              <w:left w:val="single" w:sz="4" w:space="0" w:color="auto"/>
            </w:tcBorders>
            <w:shd w:val="clear" w:color="auto" w:fill="auto"/>
            <w:vAlign w:val="bottom"/>
          </w:tcPr>
          <w:p w14:paraId="003C68A5" w14:textId="77777777" w:rsidR="00364535" w:rsidRPr="00764993"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ריבית ששולמה</w:t>
            </w:r>
            <w:r w:rsidRPr="00764993">
              <w:rPr>
                <w:rStyle w:val="ab"/>
                <w:sz w:val="16"/>
                <w:szCs w:val="16"/>
                <w:rtl/>
              </w:rPr>
              <w:footnoteReference w:id="51"/>
            </w:r>
          </w:p>
        </w:tc>
        <w:tc>
          <w:tcPr>
            <w:tcW w:w="113" w:type="dxa"/>
            <w:shd w:val="clear" w:color="auto" w:fill="auto"/>
            <w:vAlign w:val="bottom"/>
          </w:tcPr>
          <w:p w14:paraId="28873E1C" w14:textId="77777777" w:rsidR="00364535" w:rsidRPr="00764993" w:rsidRDefault="00364535" w:rsidP="00364535">
            <w:pPr>
              <w:spacing w:line="180" w:lineRule="exact"/>
              <w:rPr>
                <w:sz w:val="16"/>
                <w:szCs w:val="16"/>
              </w:rPr>
            </w:pPr>
          </w:p>
        </w:tc>
        <w:tc>
          <w:tcPr>
            <w:tcW w:w="907" w:type="dxa"/>
            <w:vAlign w:val="bottom"/>
          </w:tcPr>
          <w:p w14:paraId="67668C8A"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642A8696"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4E7A1D61"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3DC5F9DD"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6F0F7524"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3F0DC876"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0ED01D61"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6103C2CA"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6854B432" w14:textId="77777777" w:rsidR="00364535" w:rsidRPr="00764993" w:rsidRDefault="00364535" w:rsidP="00364535">
            <w:pPr>
              <w:tabs>
                <w:tab w:val="decimal" w:pos="113"/>
              </w:tabs>
              <w:spacing w:line="180" w:lineRule="exact"/>
              <w:rPr>
                <w:sz w:val="16"/>
                <w:szCs w:val="16"/>
                <w:rtl/>
              </w:rPr>
            </w:pPr>
          </w:p>
        </w:tc>
      </w:tr>
      <w:tr w:rsidR="00364535" w:rsidRPr="00C54C0C" w14:paraId="3698A171" w14:textId="77777777" w:rsidTr="001521F8">
        <w:tc>
          <w:tcPr>
            <w:tcW w:w="1098" w:type="dxa"/>
            <w:tcBorders>
              <w:top w:val="single" w:sz="4" w:space="0" w:color="auto"/>
              <w:bottom w:val="single" w:sz="4" w:space="0" w:color="auto"/>
              <w:right w:val="single" w:sz="4" w:space="0" w:color="auto"/>
            </w:tcBorders>
          </w:tcPr>
          <w:p w14:paraId="36EBD844"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7.31</w:t>
            </w:r>
          </w:p>
        </w:tc>
        <w:tc>
          <w:tcPr>
            <w:tcW w:w="3345" w:type="dxa"/>
            <w:tcBorders>
              <w:left w:val="single" w:sz="4" w:space="0" w:color="auto"/>
            </w:tcBorders>
            <w:shd w:val="clear" w:color="auto" w:fill="auto"/>
            <w:vAlign w:val="bottom"/>
          </w:tcPr>
          <w:p w14:paraId="10D48AB6" w14:textId="77777777" w:rsidR="00364535"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ריבית שהתקבלה</w:t>
            </w:r>
            <w:r>
              <w:rPr>
                <w:rStyle w:val="ab"/>
                <w:sz w:val="16"/>
                <w:szCs w:val="16"/>
                <w:rtl/>
              </w:rPr>
              <w:footnoteReference w:id="52"/>
            </w:r>
          </w:p>
        </w:tc>
        <w:tc>
          <w:tcPr>
            <w:tcW w:w="113" w:type="dxa"/>
            <w:shd w:val="clear" w:color="auto" w:fill="auto"/>
            <w:vAlign w:val="bottom"/>
          </w:tcPr>
          <w:p w14:paraId="44DA3212" w14:textId="77777777" w:rsidR="00364535" w:rsidRPr="00764993" w:rsidRDefault="00364535" w:rsidP="00364535">
            <w:pPr>
              <w:spacing w:line="180" w:lineRule="exact"/>
              <w:rPr>
                <w:sz w:val="16"/>
                <w:szCs w:val="16"/>
              </w:rPr>
            </w:pPr>
          </w:p>
        </w:tc>
        <w:tc>
          <w:tcPr>
            <w:tcW w:w="907" w:type="dxa"/>
            <w:vAlign w:val="bottom"/>
          </w:tcPr>
          <w:p w14:paraId="01BFC119"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345F866B"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4FB48267"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5AFB777E"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7C2400F3"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0C4564DD"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5D3B2C0E"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215F0A6"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5EBDE8CB" w14:textId="77777777" w:rsidR="00364535" w:rsidRPr="00764993" w:rsidRDefault="00364535" w:rsidP="00364535">
            <w:pPr>
              <w:tabs>
                <w:tab w:val="decimal" w:pos="113"/>
              </w:tabs>
              <w:spacing w:line="180" w:lineRule="exact"/>
              <w:rPr>
                <w:sz w:val="16"/>
                <w:szCs w:val="16"/>
                <w:rtl/>
              </w:rPr>
            </w:pPr>
          </w:p>
        </w:tc>
      </w:tr>
      <w:tr w:rsidR="00364535" w:rsidRPr="00C54C0C" w14:paraId="7EC53CE1" w14:textId="77777777" w:rsidTr="001521F8">
        <w:tc>
          <w:tcPr>
            <w:tcW w:w="1098" w:type="dxa"/>
            <w:tcBorders>
              <w:top w:val="single" w:sz="4" w:space="0" w:color="auto"/>
              <w:bottom w:val="single" w:sz="4" w:space="0" w:color="auto"/>
              <w:right w:val="single" w:sz="4" w:space="0" w:color="auto"/>
            </w:tcBorders>
          </w:tcPr>
          <w:p w14:paraId="187642E5"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7.35</w:t>
            </w:r>
          </w:p>
        </w:tc>
        <w:tc>
          <w:tcPr>
            <w:tcW w:w="3345" w:type="dxa"/>
            <w:tcBorders>
              <w:left w:val="single" w:sz="4" w:space="0" w:color="auto"/>
            </w:tcBorders>
            <w:shd w:val="clear" w:color="auto" w:fill="auto"/>
            <w:vAlign w:val="bottom"/>
          </w:tcPr>
          <w:p w14:paraId="0BF112AD" w14:textId="20BC03ED" w:rsidR="00364535" w:rsidRPr="00764993"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 xml:space="preserve">מסים </w:t>
            </w:r>
            <w:r>
              <w:rPr>
                <w:rFonts w:hint="cs"/>
                <w:sz w:val="16"/>
                <w:szCs w:val="16"/>
                <w:rtl/>
              </w:rPr>
              <w:t>(</w:t>
            </w:r>
            <w:r w:rsidRPr="00764993">
              <w:rPr>
                <w:rFonts w:hint="cs"/>
                <w:sz w:val="16"/>
                <w:szCs w:val="16"/>
                <w:rtl/>
              </w:rPr>
              <w:t>ששולמו</w:t>
            </w:r>
            <w:r>
              <w:rPr>
                <w:rFonts w:hint="cs"/>
                <w:sz w:val="16"/>
                <w:szCs w:val="16"/>
                <w:rtl/>
              </w:rPr>
              <w:t>) שהתקבלו, נטו</w:t>
            </w:r>
            <w:r w:rsidRPr="00764993">
              <w:rPr>
                <w:rStyle w:val="ab"/>
                <w:sz w:val="16"/>
                <w:szCs w:val="16"/>
                <w:rtl/>
              </w:rPr>
              <w:footnoteReference w:id="53"/>
            </w:r>
          </w:p>
        </w:tc>
        <w:tc>
          <w:tcPr>
            <w:tcW w:w="113" w:type="dxa"/>
            <w:shd w:val="clear" w:color="auto" w:fill="auto"/>
            <w:vAlign w:val="bottom"/>
          </w:tcPr>
          <w:p w14:paraId="3A663543" w14:textId="77777777" w:rsidR="00364535" w:rsidRPr="00764993" w:rsidRDefault="00364535" w:rsidP="00364535">
            <w:pPr>
              <w:spacing w:line="180" w:lineRule="exact"/>
              <w:rPr>
                <w:sz w:val="16"/>
                <w:szCs w:val="16"/>
              </w:rPr>
            </w:pPr>
          </w:p>
        </w:tc>
        <w:tc>
          <w:tcPr>
            <w:tcW w:w="907" w:type="dxa"/>
            <w:vAlign w:val="bottom"/>
          </w:tcPr>
          <w:p w14:paraId="7E1630F0"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34607314"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732BA4E6"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6C61F534"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0508AA3B"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387740EC"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52026D02"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21CC64F"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64F0A3B5" w14:textId="77777777" w:rsidR="00364535" w:rsidRPr="00764993" w:rsidRDefault="00364535" w:rsidP="00364535">
            <w:pPr>
              <w:tabs>
                <w:tab w:val="decimal" w:pos="113"/>
              </w:tabs>
              <w:spacing w:line="180" w:lineRule="exact"/>
              <w:rPr>
                <w:sz w:val="16"/>
                <w:szCs w:val="16"/>
                <w:rtl/>
              </w:rPr>
            </w:pPr>
          </w:p>
        </w:tc>
      </w:tr>
      <w:tr w:rsidR="00364535" w:rsidRPr="00C54C0C" w14:paraId="0BE96E99" w14:textId="77777777" w:rsidTr="001521F8">
        <w:tc>
          <w:tcPr>
            <w:tcW w:w="1098" w:type="dxa"/>
            <w:tcBorders>
              <w:top w:val="single" w:sz="4" w:space="0" w:color="auto"/>
              <w:bottom w:val="single" w:sz="4" w:space="0" w:color="auto"/>
              <w:right w:val="single" w:sz="4" w:space="0" w:color="auto"/>
            </w:tcBorders>
          </w:tcPr>
          <w:p w14:paraId="276C6B1B"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7.31</w:t>
            </w:r>
          </w:p>
        </w:tc>
        <w:tc>
          <w:tcPr>
            <w:tcW w:w="3345" w:type="dxa"/>
            <w:tcBorders>
              <w:left w:val="single" w:sz="4" w:space="0" w:color="auto"/>
            </w:tcBorders>
            <w:shd w:val="clear" w:color="auto" w:fill="auto"/>
            <w:vAlign w:val="bottom"/>
          </w:tcPr>
          <w:p w14:paraId="0555C134" w14:textId="77777777" w:rsidR="00364535"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דיבידנד שהתקבל</w:t>
            </w:r>
            <w:r>
              <w:rPr>
                <w:rFonts w:hint="cs"/>
                <w:sz w:val="16"/>
                <w:szCs w:val="16"/>
                <w:vertAlign w:val="superscript"/>
                <w:rtl/>
              </w:rPr>
              <w:t>6</w:t>
            </w:r>
          </w:p>
        </w:tc>
        <w:tc>
          <w:tcPr>
            <w:tcW w:w="113" w:type="dxa"/>
            <w:shd w:val="clear" w:color="auto" w:fill="auto"/>
            <w:vAlign w:val="bottom"/>
          </w:tcPr>
          <w:p w14:paraId="45E1ABED" w14:textId="77777777" w:rsidR="00364535" w:rsidRPr="00764993" w:rsidRDefault="00364535" w:rsidP="00364535">
            <w:pPr>
              <w:spacing w:line="180" w:lineRule="exact"/>
              <w:rPr>
                <w:sz w:val="16"/>
                <w:szCs w:val="16"/>
              </w:rPr>
            </w:pPr>
          </w:p>
        </w:tc>
        <w:tc>
          <w:tcPr>
            <w:tcW w:w="907" w:type="dxa"/>
            <w:tcBorders>
              <w:bottom w:val="single" w:sz="6" w:space="0" w:color="auto"/>
            </w:tcBorders>
            <w:shd w:val="clear" w:color="auto" w:fill="auto"/>
            <w:vAlign w:val="bottom"/>
          </w:tcPr>
          <w:p w14:paraId="7D8D7A3C"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37975984" w14:textId="77777777" w:rsidR="00364535" w:rsidRPr="00764993" w:rsidRDefault="00364535" w:rsidP="0036453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4451F166"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6A6A4BB"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120A6923"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347016F8"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4B2DE4DC"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3AB1B1AD" w14:textId="77777777" w:rsidR="00364535" w:rsidRPr="00764993" w:rsidRDefault="00364535" w:rsidP="00364535">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4DFA06F3" w14:textId="77777777" w:rsidR="00364535" w:rsidRPr="00764993" w:rsidRDefault="00364535" w:rsidP="00364535">
            <w:pPr>
              <w:tabs>
                <w:tab w:val="decimal" w:pos="113"/>
              </w:tabs>
              <w:spacing w:line="180" w:lineRule="exact"/>
              <w:rPr>
                <w:sz w:val="16"/>
                <w:szCs w:val="16"/>
                <w:rtl/>
              </w:rPr>
            </w:pPr>
          </w:p>
        </w:tc>
      </w:tr>
      <w:tr w:rsidR="00364535" w:rsidRPr="00C54C0C" w14:paraId="7DD392B9" w14:textId="77777777" w:rsidTr="001521F8">
        <w:tc>
          <w:tcPr>
            <w:tcW w:w="1098" w:type="dxa"/>
            <w:tcBorders>
              <w:top w:val="single" w:sz="4" w:space="0" w:color="auto"/>
            </w:tcBorders>
          </w:tcPr>
          <w:p w14:paraId="1544A0A7" w14:textId="77777777" w:rsidR="00364535" w:rsidRPr="000B1730" w:rsidRDefault="00364535" w:rsidP="00364535">
            <w:pPr>
              <w:pStyle w:val="a3"/>
              <w:widowControl/>
              <w:tabs>
                <w:tab w:val="left" w:pos="227"/>
                <w:tab w:val="left" w:pos="397"/>
                <w:tab w:val="left" w:pos="567"/>
              </w:tabs>
              <w:spacing w:line="120" w:lineRule="auto"/>
              <w:ind w:left="0"/>
              <w:jc w:val="right"/>
              <w:rPr>
                <w:rFonts w:cs="Times New Roman"/>
                <w:i/>
                <w:iCs/>
                <w:sz w:val="13"/>
                <w:szCs w:val="13"/>
                <w:rtl/>
              </w:rPr>
            </w:pPr>
          </w:p>
        </w:tc>
        <w:tc>
          <w:tcPr>
            <w:tcW w:w="3345" w:type="dxa"/>
            <w:shd w:val="clear" w:color="auto" w:fill="auto"/>
            <w:vAlign w:val="bottom"/>
          </w:tcPr>
          <w:p w14:paraId="04D3DB92" w14:textId="77777777" w:rsidR="00364535" w:rsidRPr="00764993" w:rsidRDefault="00364535" w:rsidP="00364535">
            <w:pPr>
              <w:pStyle w:val="a3"/>
              <w:widowControl/>
              <w:tabs>
                <w:tab w:val="left" w:pos="227"/>
                <w:tab w:val="left" w:pos="397"/>
                <w:tab w:val="left" w:pos="567"/>
              </w:tabs>
              <w:spacing w:line="120" w:lineRule="auto"/>
              <w:ind w:left="0"/>
              <w:rPr>
                <w:sz w:val="16"/>
                <w:szCs w:val="16"/>
              </w:rPr>
            </w:pPr>
          </w:p>
        </w:tc>
        <w:tc>
          <w:tcPr>
            <w:tcW w:w="113" w:type="dxa"/>
            <w:shd w:val="clear" w:color="auto" w:fill="auto"/>
            <w:vAlign w:val="bottom"/>
          </w:tcPr>
          <w:p w14:paraId="4E9B2CA8" w14:textId="77777777" w:rsidR="00364535" w:rsidRPr="00764993" w:rsidRDefault="00364535" w:rsidP="00364535">
            <w:pPr>
              <w:widowControl/>
              <w:spacing w:line="120" w:lineRule="auto"/>
              <w:rPr>
                <w:sz w:val="16"/>
                <w:szCs w:val="16"/>
              </w:rPr>
            </w:pPr>
          </w:p>
        </w:tc>
        <w:tc>
          <w:tcPr>
            <w:tcW w:w="907" w:type="dxa"/>
            <w:tcBorders>
              <w:top w:val="single" w:sz="6" w:space="0" w:color="auto"/>
            </w:tcBorders>
            <w:vAlign w:val="bottom"/>
          </w:tcPr>
          <w:p w14:paraId="320D00D9" w14:textId="77777777" w:rsidR="00364535" w:rsidRPr="00764993" w:rsidRDefault="00364535" w:rsidP="00364535">
            <w:pPr>
              <w:widowControl/>
              <w:tabs>
                <w:tab w:val="decimal" w:pos="113"/>
              </w:tabs>
              <w:spacing w:line="120" w:lineRule="auto"/>
              <w:rPr>
                <w:sz w:val="16"/>
                <w:szCs w:val="16"/>
                <w:rtl/>
              </w:rPr>
            </w:pPr>
          </w:p>
        </w:tc>
        <w:tc>
          <w:tcPr>
            <w:tcW w:w="113" w:type="dxa"/>
            <w:vAlign w:val="bottom"/>
          </w:tcPr>
          <w:p w14:paraId="37E65A2D" w14:textId="77777777" w:rsidR="00364535" w:rsidRPr="00764993" w:rsidRDefault="00364535" w:rsidP="00364535">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1B1E45EB" w14:textId="77777777" w:rsidR="00364535" w:rsidRPr="00764993" w:rsidRDefault="00364535" w:rsidP="00364535">
            <w:pPr>
              <w:widowControl/>
              <w:tabs>
                <w:tab w:val="decimal" w:pos="113"/>
              </w:tabs>
              <w:spacing w:line="120" w:lineRule="auto"/>
              <w:rPr>
                <w:sz w:val="16"/>
                <w:szCs w:val="16"/>
              </w:rPr>
            </w:pPr>
          </w:p>
        </w:tc>
        <w:tc>
          <w:tcPr>
            <w:tcW w:w="113" w:type="dxa"/>
            <w:shd w:val="clear" w:color="auto" w:fill="auto"/>
            <w:vAlign w:val="bottom"/>
          </w:tcPr>
          <w:p w14:paraId="736D0C7A" w14:textId="77777777" w:rsidR="00364535" w:rsidRPr="00764993" w:rsidRDefault="00364535" w:rsidP="0036453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3984A8CB" w14:textId="77777777" w:rsidR="00364535" w:rsidRPr="00764993" w:rsidRDefault="00364535" w:rsidP="00364535">
            <w:pPr>
              <w:widowControl/>
              <w:tabs>
                <w:tab w:val="decimal" w:pos="113"/>
              </w:tabs>
              <w:spacing w:line="120" w:lineRule="auto"/>
              <w:rPr>
                <w:sz w:val="16"/>
                <w:szCs w:val="16"/>
                <w:rtl/>
              </w:rPr>
            </w:pPr>
          </w:p>
        </w:tc>
        <w:tc>
          <w:tcPr>
            <w:tcW w:w="113" w:type="dxa"/>
            <w:shd w:val="clear" w:color="auto" w:fill="auto"/>
            <w:vAlign w:val="bottom"/>
          </w:tcPr>
          <w:p w14:paraId="314C52FB" w14:textId="77777777" w:rsidR="00364535" w:rsidRPr="00764993" w:rsidRDefault="00364535" w:rsidP="0036453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58183BDA" w14:textId="77777777" w:rsidR="00364535" w:rsidRPr="00764993" w:rsidRDefault="00364535" w:rsidP="00364535">
            <w:pPr>
              <w:widowControl/>
              <w:tabs>
                <w:tab w:val="decimal" w:pos="113"/>
              </w:tabs>
              <w:spacing w:line="120" w:lineRule="auto"/>
              <w:rPr>
                <w:sz w:val="16"/>
                <w:szCs w:val="16"/>
              </w:rPr>
            </w:pPr>
          </w:p>
        </w:tc>
        <w:tc>
          <w:tcPr>
            <w:tcW w:w="113" w:type="dxa"/>
            <w:shd w:val="clear" w:color="auto" w:fill="auto"/>
            <w:vAlign w:val="bottom"/>
          </w:tcPr>
          <w:p w14:paraId="34BCFDC7" w14:textId="77777777" w:rsidR="00364535" w:rsidRPr="00764993" w:rsidRDefault="00364535" w:rsidP="00364535">
            <w:pPr>
              <w:widowControl/>
              <w:tabs>
                <w:tab w:val="decimal" w:pos="113"/>
              </w:tabs>
              <w:spacing w:line="120" w:lineRule="auto"/>
              <w:rPr>
                <w:sz w:val="16"/>
                <w:szCs w:val="16"/>
              </w:rPr>
            </w:pPr>
          </w:p>
        </w:tc>
        <w:tc>
          <w:tcPr>
            <w:tcW w:w="1010" w:type="dxa"/>
            <w:tcBorders>
              <w:top w:val="single" w:sz="6" w:space="0" w:color="auto"/>
            </w:tcBorders>
            <w:shd w:val="clear" w:color="auto" w:fill="auto"/>
            <w:vAlign w:val="bottom"/>
          </w:tcPr>
          <w:p w14:paraId="51607E21" w14:textId="77777777" w:rsidR="00364535" w:rsidRPr="00764993" w:rsidRDefault="00364535" w:rsidP="00364535">
            <w:pPr>
              <w:widowControl/>
              <w:tabs>
                <w:tab w:val="decimal" w:pos="113"/>
              </w:tabs>
              <w:spacing w:line="120" w:lineRule="auto"/>
              <w:rPr>
                <w:sz w:val="16"/>
                <w:szCs w:val="16"/>
                <w:rtl/>
              </w:rPr>
            </w:pPr>
          </w:p>
        </w:tc>
      </w:tr>
      <w:tr w:rsidR="00364535" w:rsidRPr="00C54C0C" w14:paraId="15B4B3D8" w14:textId="77777777" w:rsidTr="001521F8">
        <w:tc>
          <w:tcPr>
            <w:tcW w:w="1098" w:type="dxa"/>
          </w:tcPr>
          <w:p w14:paraId="38B0C223" w14:textId="77777777" w:rsidR="00364535" w:rsidRPr="000B1730" w:rsidRDefault="00364535" w:rsidP="00364535">
            <w:pPr>
              <w:pStyle w:val="a3"/>
              <w:tabs>
                <w:tab w:val="left" w:pos="227"/>
                <w:tab w:val="left" w:pos="397"/>
                <w:tab w:val="left" w:pos="567"/>
              </w:tabs>
              <w:spacing w:line="180" w:lineRule="exact"/>
              <w:ind w:left="0" w:right="28"/>
              <w:rPr>
                <w:sz w:val="13"/>
                <w:szCs w:val="13"/>
              </w:rPr>
            </w:pPr>
          </w:p>
        </w:tc>
        <w:tc>
          <w:tcPr>
            <w:tcW w:w="3345" w:type="dxa"/>
            <w:shd w:val="clear" w:color="auto" w:fill="auto"/>
            <w:vAlign w:val="bottom"/>
          </w:tcPr>
          <w:p w14:paraId="7014872A" w14:textId="77777777" w:rsidR="00364535" w:rsidRPr="00764993" w:rsidRDefault="00364535" w:rsidP="00364535">
            <w:pPr>
              <w:pStyle w:val="a3"/>
              <w:tabs>
                <w:tab w:val="left" w:pos="227"/>
                <w:tab w:val="left" w:pos="397"/>
                <w:tab w:val="left" w:pos="567"/>
              </w:tabs>
              <w:spacing w:line="180" w:lineRule="exact"/>
              <w:ind w:left="227"/>
              <w:rPr>
                <w:sz w:val="16"/>
                <w:szCs w:val="16"/>
              </w:rPr>
            </w:pPr>
          </w:p>
        </w:tc>
        <w:tc>
          <w:tcPr>
            <w:tcW w:w="113" w:type="dxa"/>
            <w:shd w:val="clear" w:color="auto" w:fill="auto"/>
            <w:vAlign w:val="bottom"/>
          </w:tcPr>
          <w:p w14:paraId="5E9236EA" w14:textId="77777777" w:rsidR="00364535" w:rsidRPr="00764993" w:rsidRDefault="00364535" w:rsidP="00364535">
            <w:pPr>
              <w:spacing w:line="180" w:lineRule="exact"/>
              <w:rPr>
                <w:sz w:val="16"/>
                <w:szCs w:val="16"/>
              </w:rPr>
            </w:pPr>
          </w:p>
        </w:tc>
        <w:tc>
          <w:tcPr>
            <w:tcW w:w="907" w:type="dxa"/>
            <w:tcBorders>
              <w:bottom w:val="single" w:sz="6" w:space="0" w:color="auto"/>
            </w:tcBorders>
            <w:shd w:val="clear" w:color="auto" w:fill="auto"/>
            <w:vAlign w:val="bottom"/>
          </w:tcPr>
          <w:p w14:paraId="2A519523"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16D3294C" w14:textId="77777777" w:rsidR="00364535" w:rsidRPr="00764993" w:rsidRDefault="00364535" w:rsidP="0036453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3DE40A52"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706CD117"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199E4F60"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6957DEA1"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6B04AEA3"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DAC8F7D" w14:textId="77777777" w:rsidR="00364535" w:rsidRPr="00764993" w:rsidRDefault="00364535" w:rsidP="00364535">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50097405" w14:textId="77777777" w:rsidR="00364535" w:rsidRPr="00764993" w:rsidRDefault="00364535" w:rsidP="00364535">
            <w:pPr>
              <w:tabs>
                <w:tab w:val="decimal" w:pos="113"/>
              </w:tabs>
              <w:spacing w:line="180" w:lineRule="exact"/>
              <w:rPr>
                <w:sz w:val="16"/>
                <w:szCs w:val="16"/>
                <w:rtl/>
              </w:rPr>
            </w:pPr>
          </w:p>
        </w:tc>
      </w:tr>
      <w:tr w:rsidR="00364535" w:rsidRPr="00C54C0C" w14:paraId="5AFD24C1" w14:textId="77777777" w:rsidTr="001521F8">
        <w:tc>
          <w:tcPr>
            <w:tcW w:w="1098" w:type="dxa"/>
          </w:tcPr>
          <w:p w14:paraId="506418A5" w14:textId="77777777" w:rsidR="00364535" w:rsidRPr="000B1730" w:rsidRDefault="00364535" w:rsidP="00364535">
            <w:pPr>
              <w:pStyle w:val="a3"/>
              <w:widowControl/>
              <w:tabs>
                <w:tab w:val="left" w:pos="227"/>
                <w:tab w:val="left" w:pos="397"/>
                <w:tab w:val="left" w:pos="567"/>
              </w:tabs>
              <w:spacing w:line="180" w:lineRule="exact"/>
              <w:ind w:left="0" w:right="28"/>
              <w:rPr>
                <w:sz w:val="13"/>
                <w:szCs w:val="13"/>
                <w:rtl/>
              </w:rPr>
            </w:pPr>
          </w:p>
        </w:tc>
        <w:tc>
          <w:tcPr>
            <w:tcW w:w="3345" w:type="dxa"/>
            <w:shd w:val="clear" w:color="auto" w:fill="auto"/>
            <w:vAlign w:val="bottom"/>
          </w:tcPr>
          <w:p w14:paraId="2B124E1B" w14:textId="77777777" w:rsidR="00364535" w:rsidRPr="00764993" w:rsidRDefault="00364535" w:rsidP="00364535">
            <w:pPr>
              <w:pStyle w:val="a3"/>
              <w:widowControl/>
              <w:tabs>
                <w:tab w:val="left" w:pos="227"/>
                <w:tab w:val="left" w:pos="397"/>
                <w:tab w:val="left" w:pos="567"/>
              </w:tabs>
              <w:spacing w:line="180" w:lineRule="exact"/>
              <w:ind w:left="0"/>
              <w:rPr>
                <w:sz w:val="16"/>
                <w:szCs w:val="16"/>
                <w:rtl/>
              </w:rPr>
            </w:pPr>
          </w:p>
        </w:tc>
        <w:tc>
          <w:tcPr>
            <w:tcW w:w="113" w:type="dxa"/>
            <w:shd w:val="clear" w:color="auto" w:fill="auto"/>
            <w:vAlign w:val="bottom"/>
          </w:tcPr>
          <w:p w14:paraId="784B2551" w14:textId="77777777" w:rsidR="00364535" w:rsidRPr="00764993" w:rsidRDefault="00364535" w:rsidP="00364535">
            <w:pPr>
              <w:widowControl/>
              <w:spacing w:line="180" w:lineRule="exact"/>
              <w:rPr>
                <w:sz w:val="16"/>
                <w:szCs w:val="16"/>
              </w:rPr>
            </w:pPr>
          </w:p>
        </w:tc>
        <w:tc>
          <w:tcPr>
            <w:tcW w:w="907" w:type="dxa"/>
            <w:tcBorders>
              <w:top w:val="single" w:sz="6" w:space="0" w:color="auto"/>
            </w:tcBorders>
            <w:vAlign w:val="bottom"/>
          </w:tcPr>
          <w:p w14:paraId="75E38783" w14:textId="77777777" w:rsidR="00364535" w:rsidRPr="00764993" w:rsidRDefault="00364535" w:rsidP="00364535">
            <w:pPr>
              <w:widowControl/>
              <w:tabs>
                <w:tab w:val="decimal" w:pos="113"/>
              </w:tabs>
              <w:spacing w:line="180" w:lineRule="exact"/>
              <w:rPr>
                <w:sz w:val="16"/>
                <w:szCs w:val="16"/>
                <w:rtl/>
              </w:rPr>
            </w:pPr>
          </w:p>
        </w:tc>
        <w:tc>
          <w:tcPr>
            <w:tcW w:w="113" w:type="dxa"/>
            <w:vAlign w:val="bottom"/>
          </w:tcPr>
          <w:p w14:paraId="34D2ACCB" w14:textId="77777777" w:rsidR="00364535" w:rsidRPr="00764993" w:rsidRDefault="00364535" w:rsidP="00364535">
            <w:pPr>
              <w:widowControl/>
              <w:tabs>
                <w:tab w:val="decimal" w:pos="113"/>
              </w:tabs>
              <w:spacing w:line="180" w:lineRule="exact"/>
              <w:rPr>
                <w:sz w:val="16"/>
                <w:szCs w:val="16"/>
              </w:rPr>
            </w:pPr>
          </w:p>
        </w:tc>
        <w:tc>
          <w:tcPr>
            <w:tcW w:w="907" w:type="dxa"/>
            <w:gridSpan w:val="2"/>
            <w:tcBorders>
              <w:top w:val="single" w:sz="6" w:space="0" w:color="auto"/>
            </w:tcBorders>
            <w:shd w:val="clear" w:color="auto" w:fill="auto"/>
            <w:vAlign w:val="bottom"/>
          </w:tcPr>
          <w:p w14:paraId="113BB97F" w14:textId="77777777" w:rsidR="00364535" w:rsidRPr="00764993" w:rsidRDefault="00364535" w:rsidP="00364535">
            <w:pPr>
              <w:widowControl/>
              <w:tabs>
                <w:tab w:val="decimal" w:pos="113"/>
              </w:tabs>
              <w:spacing w:line="180" w:lineRule="exact"/>
              <w:rPr>
                <w:sz w:val="16"/>
                <w:szCs w:val="16"/>
              </w:rPr>
            </w:pPr>
          </w:p>
        </w:tc>
        <w:tc>
          <w:tcPr>
            <w:tcW w:w="113" w:type="dxa"/>
            <w:shd w:val="clear" w:color="auto" w:fill="auto"/>
            <w:vAlign w:val="bottom"/>
          </w:tcPr>
          <w:p w14:paraId="3B47F722" w14:textId="77777777" w:rsidR="00364535" w:rsidRPr="00764993" w:rsidRDefault="00364535" w:rsidP="00364535">
            <w:pPr>
              <w:widowControl/>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52E09D74" w14:textId="77777777" w:rsidR="00364535" w:rsidRPr="00764993" w:rsidRDefault="00364535" w:rsidP="00364535">
            <w:pPr>
              <w:widowControl/>
              <w:tabs>
                <w:tab w:val="decimal" w:pos="113"/>
              </w:tabs>
              <w:spacing w:line="180" w:lineRule="exact"/>
              <w:rPr>
                <w:sz w:val="16"/>
                <w:szCs w:val="16"/>
                <w:rtl/>
              </w:rPr>
            </w:pPr>
          </w:p>
        </w:tc>
        <w:tc>
          <w:tcPr>
            <w:tcW w:w="113" w:type="dxa"/>
            <w:shd w:val="clear" w:color="auto" w:fill="auto"/>
            <w:vAlign w:val="bottom"/>
          </w:tcPr>
          <w:p w14:paraId="0E055DA2" w14:textId="77777777" w:rsidR="00364535" w:rsidRPr="00764993" w:rsidRDefault="00364535" w:rsidP="00364535">
            <w:pPr>
              <w:widowControl/>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7EE5D84E" w14:textId="77777777" w:rsidR="00364535" w:rsidRPr="00764993" w:rsidRDefault="00364535" w:rsidP="00364535">
            <w:pPr>
              <w:widowControl/>
              <w:tabs>
                <w:tab w:val="decimal" w:pos="113"/>
              </w:tabs>
              <w:spacing w:line="180" w:lineRule="exact"/>
              <w:rPr>
                <w:sz w:val="16"/>
                <w:szCs w:val="16"/>
              </w:rPr>
            </w:pPr>
          </w:p>
        </w:tc>
        <w:tc>
          <w:tcPr>
            <w:tcW w:w="113" w:type="dxa"/>
            <w:shd w:val="clear" w:color="auto" w:fill="auto"/>
            <w:vAlign w:val="bottom"/>
          </w:tcPr>
          <w:p w14:paraId="52A81AFA" w14:textId="77777777" w:rsidR="00364535" w:rsidRPr="00764993" w:rsidRDefault="00364535" w:rsidP="00364535">
            <w:pPr>
              <w:widowControl/>
              <w:tabs>
                <w:tab w:val="decimal" w:pos="113"/>
              </w:tabs>
              <w:spacing w:line="180" w:lineRule="exact"/>
              <w:rPr>
                <w:sz w:val="16"/>
                <w:szCs w:val="16"/>
              </w:rPr>
            </w:pPr>
          </w:p>
        </w:tc>
        <w:tc>
          <w:tcPr>
            <w:tcW w:w="1010" w:type="dxa"/>
            <w:tcBorders>
              <w:top w:val="single" w:sz="6" w:space="0" w:color="auto"/>
            </w:tcBorders>
            <w:shd w:val="clear" w:color="auto" w:fill="auto"/>
            <w:vAlign w:val="bottom"/>
          </w:tcPr>
          <w:p w14:paraId="161FBF5E" w14:textId="77777777" w:rsidR="00364535" w:rsidRPr="00764993" w:rsidRDefault="00364535" w:rsidP="00364535">
            <w:pPr>
              <w:widowControl/>
              <w:tabs>
                <w:tab w:val="decimal" w:pos="113"/>
              </w:tabs>
              <w:spacing w:line="180" w:lineRule="exact"/>
              <w:rPr>
                <w:sz w:val="16"/>
                <w:szCs w:val="16"/>
                <w:rtl/>
              </w:rPr>
            </w:pPr>
          </w:p>
        </w:tc>
      </w:tr>
      <w:tr w:rsidR="00364535" w:rsidRPr="00C54C0C" w14:paraId="7EFE552F" w14:textId="77777777" w:rsidTr="001521F8">
        <w:tc>
          <w:tcPr>
            <w:tcW w:w="1098" w:type="dxa"/>
          </w:tcPr>
          <w:p w14:paraId="3C77F560" w14:textId="77777777" w:rsidR="00364535" w:rsidRPr="000B1730" w:rsidRDefault="00364535" w:rsidP="00364535">
            <w:pPr>
              <w:pStyle w:val="a3"/>
              <w:tabs>
                <w:tab w:val="left" w:pos="227"/>
                <w:tab w:val="left" w:pos="397"/>
                <w:tab w:val="left" w:pos="567"/>
              </w:tabs>
              <w:spacing w:line="180" w:lineRule="exact"/>
              <w:ind w:left="0" w:right="28" w:hanging="170"/>
              <w:rPr>
                <w:sz w:val="13"/>
                <w:szCs w:val="13"/>
                <w:rtl/>
              </w:rPr>
            </w:pPr>
          </w:p>
        </w:tc>
        <w:tc>
          <w:tcPr>
            <w:tcW w:w="3345" w:type="dxa"/>
            <w:shd w:val="clear" w:color="auto" w:fill="auto"/>
            <w:vAlign w:val="bottom"/>
          </w:tcPr>
          <w:p w14:paraId="610D47FA" w14:textId="77777777" w:rsidR="00364535" w:rsidRPr="00764993" w:rsidRDefault="00364535" w:rsidP="00364535">
            <w:pPr>
              <w:pStyle w:val="a3"/>
              <w:tabs>
                <w:tab w:val="left" w:pos="227"/>
                <w:tab w:val="left" w:pos="397"/>
                <w:tab w:val="left" w:pos="567"/>
              </w:tabs>
              <w:spacing w:line="180" w:lineRule="exact"/>
              <w:ind w:left="227" w:hanging="170"/>
              <w:rPr>
                <w:sz w:val="16"/>
                <w:szCs w:val="16"/>
              </w:rPr>
            </w:pPr>
            <w:r w:rsidRPr="00764993">
              <w:rPr>
                <w:rFonts w:hint="cs"/>
                <w:sz w:val="16"/>
                <w:szCs w:val="16"/>
                <w:rtl/>
              </w:rPr>
              <w:t>מזומנים נטו שנבעו מפעילות (ששימשו לפעילות) שוטפת</w:t>
            </w:r>
          </w:p>
        </w:tc>
        <w:tc>
          <w:tcPr>
            <w:tcW w:w="113" w:type="dxa"/>
            <w:shd w:val="clear" w:color="auto" w:fill="auto"/>
            <w:vAlign w:val="bottom"/>
          </w:tcPr>
          <w:p w14:paraId="558F356F" w14:textId="77777777" w:rsidR="00364535" w:rsidRPr="00764993" w:rsidRDefault="00364535" w:rsidP="00364535">
            <w:pPr>
              <w:spacing w:line="180" w:lineRule="exact"/>
              <w:rPr>
                <w:sz w:val="16"/>
                <w:szCs w:val="16"/>
              </w:rPr>
            </w:pPr>
          </w:p>
        </w:tc>
        <w:tc>
          <w:tcPr>
            <w:tcW w:w="907" w:type="dxa"/>
            <w:tcBorders>
              <w:bottom w:val="single" w:sz="6" w:space="0" w:color="auto"/>
            </w:tcBorders>
            <w:shd w:val="clear" w:color="auto" w:fill="auto"/>
            <w:vAlign w:val="bottom"/>
          </w:tcPr>
          <w:p w14:paraId="7201C793"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495253F4" w14:textId="77777777" w:rsidR="00364535" w:rsidRPr="00764993" w:rsidRDefault="00364535" w:rsidP="0036453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766B93B9"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80F297A"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18B6FE2C"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3F419116"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5167CE2F"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65DCF12" w14:textId="77777777" w:rsidR="00364535" w:rsidRPr="00764993" w:rsidRDefault="00364535" w:rsidP="00364535">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27DDB1E5" w14:textId="77777777" w:rsidR="00364535" w:rsidRPr="00764993" w:rsidRDefault="00364535" w:rsidP="00364535">
            <w:pPr>
              <w:tabs>
                <w:tab w:val="decimal" w:pos="113"/>
              </w:tabs>
              <w:spacing w:line="180" w:lineRule="exact"/>
              <w:rPr>
                <w:sz w:val="16"/>
                <w:szCs w:val="16"/>
                <w:rtl/>
              </w:rPr>
            </w:pPr>
          </w:p>
        </w:tc>
      </w:tr>
    </w:tbl>
    <w:p w14:paraId="7E16F8B6" w14:textId="77777777" w:rsidR="00AB7D68" w:rsidRPr="00EC0FA2" w:rsidRDefault="00AB7D68" w:rsidP="0098556D">
      <w:pPr>
        <w:pStyle w:val="33"/>
        <w:bidi/>
        <w:spacing w:line="120" w:lineRule="auto"/>
        <w:rPr>
          <w:sz w:val="24"/>
          <w:szCs w:val="24"/>
          <w:rtl/>
        </w:rPr>
      </w:pPr>
    </w:p>
    <w:p w14:paraId="52505C12" w14:textId="77777777" w:rsidR="00FF4D41" w:rsidRDefault="00F2585A" w:rsidP="00FF4D41">
      <w:pPr>
        <w:rPr>
          <w:sz w:val="16"/>
          <w:szCs w:val="16"/>
          <w:rtl/>
        </w:rPr>
      </w:pPr>
      <w:r w:rsidRPr="00F2585A">
        <w:rPr>
          <w:sz w:val="16"/>
          <w:szCs w:val="16"/>
          <w:rtl/>
        </w:rPr>
        <w:t>*)</w:t>
      </w:r>
      <w:r w:rsidRPr="00F2585A">
        <w:rPr>
          <w:sz w:val="16"/>
          <w:szCs w:val="16"/>
          <w:rtl/>
        </w:rPr>
        <w:tab/>
      </w:r>
      <w:r w:rsidRPr="00F2585A">
        <w:rPr>
          <w:rFonts w:hint="eastAsia"/>
          <w:sz w:val="16"/>
          <w:szCs w:val="16"/>
          <w:rtl/>
        </w:rPr>
        <w:t>הוצג</w:t>
      </w:r>
      <w:r w:rsidRPr="00F2585A">
        <w:rPr>
          <w:sz w:val="16"/>
          <w:szCs w:val="16"/>
          <w:rtl/>
        </w:rPr>
        <w:t xml:space="preserve"> מחדש, ראה באור </w:t>
      </w:r>
      <w:r w:rsidRPr="00F2585A">
        <w:rPr>
          <w:sz w:val="16"/>
          <w:szCs w:val="16"/>
          <w:shd w:val="clear" w:color="auto" w:fill="D9D9D9" w:themeFill="background1" w:themeFillShade="D9"/>
          <w:rtl/>
        </w:rPr>
        <w:t>____</w:t>
      </w:r>
      <w:r w:rsidRPr="00F2585A">
        <w:rPr>
          <w:sz w:val="16"/>
          <w:szCs w:val="16"/>
          <w:rtl/>
        </w:rPr>
        <w:t>.</w:t>
      </w:r>
    </w:p>
    <w:p w14:paraId="6FE9056A" w14:textId="77777777" w:rsidR="00E53258" w:rsidRPr="00376906" w:rsidRDefault="00E53258" w:rsidP="00E53258">
      <w:pPr>
        <w:ind w:left="567" w:hanging="567"/>
        <w:rPr>
          <w:sz w:val="16"/>
          <w:szCs w:val="16"/>
          <w:rtl/>
        </w:rPr>
      </w:pPr>
      <w:r w:rsidRPr="00376906">
        <w:rPr>
          <w:rFonts w:hint="cs"/>
          <w:sz w:val="16"/>
          <w:szCs w:val="16"/>
          <w:rtl/>
        </w:rPr>
        <w:t>**)</w:t>
      </w:r>
      <w:r w:rsidRPr="00376906">
        <w:rPr>
          <w:sz w:val="16"/>
          <w:szCs w:val="16"/>
          <w:rtl/>
        </w:rPr>
        <w:tab/>
      </w:r>
      <w:r w:rsidRPr="00376906">
        <w:rPr>
          <w:rFonts w:hint="cs"/>
          <w:sz w:val="16"/>
          <w:szCs w:val="16"/>
          <w:rtl/>
        </w:rPr>
        <w:t xml:space="preserve">יושם למפרע, ראה באור </w:t>
      </w:r>
      <w:r w:rsidRPr="00376906">
        <w:rPr>
          <w:rFonts w:hint="cs"/>
          <w:sz w:val="12"/>
          <w:szCs w:val="16"/>
          <w:shd w:val="clear" w:color="auto" w:fill="D9D9D9" w:themeFill="background1" w:themeFillShade="D9"/>
          <w:rtl/>
        </w:rPr>
        <w:t>__</w:t>
      </w:r>
      <w:r w:rsidR="00376906">
        <w:rPr>
          <w:rFonts w:hint="cs"/>
          <w:sz w:val="12"/>
          <w:szCs w:val="16"/>
          <w:shd w:val="clear" w:color="auto" w:fill="D9D9D9" w:themeFill="background1" w:themeFillShade="D9"/>
          <w:rtl/>
        </w:rPr>
        <w:t>_</w:t>
      </w:r>
      <w:r w:rsidRPr="00376906">
        <w:rPr>
          <w:rFonts w:hint="cs"/>
          <w:sz w:val="12"/>
          <w:szCs w:val="16"/>
          <w:shd w:val="clear" w:color="auto" w:fill="D9D9D9" w:themeFill="background1" w:themeFillShade="D9"/>
          <w:rtl/>
        </w:rPr>
        <w:t>_</w:t>
      </w:r>
      <w:r w:rsidRPr="00376906">
        <w:rPr>
          <w:rFonts w:hint="cs"/>
          <w:sz w:val="12"/>
          <w:szCs w:val="16"/>
          <w:rtl/>
        </w:rPr>
        <w:t>.</w:t>
      </w:r>
    </w:p>
    <w:p w14:paraId="59819C68" w14:textId="77777777" w:rsidR="00DB5346" w:rsidRDefault="00DB5346" w:rsidP="00DB5346">
      <w:pPr>
        <w:pStyle w:val="33"/>
        <w:bidi/>
        <w:spacing w:line="120" w:lineRule="auto"/>
        <w:rPr>
          <w:sz w:val="16"/>
          <w:szCs w:val="16"/>
          <w:rtl/>
        </w:rPr>
      </w:pPr>
    </w:p>
    <w:p w14:paraId="5C5A2702" w14:textId="77777777" w:rsidR="00AB7D68" w:rsidRPr="00364535" w:rsidRDefault="00F2585A" w:rsidP="009F14AD">
      <w:pPr>
        <w:rPr>
          <w:sz w:val="16"/>
          <w:szCs w:val="20"/>
          <w:rtl/>
        </w:rPr>
      </w:pPr>
      <w:r w:rsidRPr="00364535">
        <w:rPr>
          <w:rFonts w:hint="eastAsia"/>
          <w:sz w:val="16"/>
          <w:szCs w:val="20"/>
          <w:rtl/>
        </w:rPr>
        <w:t>הבאורים</w:t>
      </w:r>
      <w:r w:rsidRPr="00364535">
        <w:rPr>
          <w:sz w:val="16"/>
          <w:szCs w:val="20"/>
          <w:rtl/>
        </w:rPr>
        <w:t xml:space="preserve"> המצורפים מהווים חלק בלתי נפרד מהדוחות הכספיים ביניים מאוחדים.</w:t>
      </w:r>
    </w:p>
    <w:p w14:paraId="099760C8" w14:textId="77777777" w:rsidR="00AB7D68" w:rsidRPr="002432A3" w:rsidRDefault="00AB7D68" w:rsidP="002432A3">
      <w:pPr>
        <w:pBdr>
          <w:bottom w:val="single" w:sz="12" w:space="1" w:color="auto"/>
        </w:pBdr>
        <w:rPr>
          <w:b/>
          <w:bCs/>
          <w:rtl/>
        </w:rPr>
      </w:pPr>
      <w:r>
        <w:rPr>
          <w:rtl/>
        </w:rPr>
        <w:br w:type="page"/>
      </w:r>
      <w:r w:rsidRPr="002432A3">
        <w:rPr>
          <w:rFonts w:hint="cs"/>
          <w:b/>
          <w:bCs/>
          <w:rtl/>
        </w:rPr>
        <w:lastRenderedPageBreak/>
        <w:t>דוחות מאוחדים על תזרימי המזומנים</w:t>
      </w:r>
    </w:p>
    <w:tbl>
      <w:tblPr>
        <w:bidiVisual/>
        <w:tblW w:w="9639" w:type="dxa"/>
        <w:tblInd w:w="85" w:type="dxa"/>
        <w:tblLayout w:type="fixed"/>
        <w:tblCellMar>
          <w:left w:w="0" w:type="dxa"/>
          <w:right w:w="0" w:type="dxa"/>
        </w:tblCellMar>
        <w:tblLook w:val="01E0" w:firstRow="1" w:lastRow="1" w:firstColumn="1" w:lastColumn="1" w:noHBand="0" w:noVBand="0"/>
      </w:tblPr>
      <w:tblGrid>
        <w:gridCol w:w="1133"/>
        <w:gridCol w:w="3232"/>
        <w:gridCol w:w="113"/>
        <w:gridCol w:w="907"/>
        <w:gridCol w:w="113"/>
        <w:gridCol w:w="537"/>
        <w:gridCol w:w="370"/>
        <w:gridCol w:w="113"/>
        <w:gridCol w:w="907"/>
        <w:gridCol w:w="113"/>
        <w:gridCol w:w="907"/>
        <w:gridCol w:w="113"/>
        <w:gridCol w:w="1081"/>
      </w:tblGrid>
      <w:tr w:rsidR="00242E69" w:rsidRPr="00C54C0C" w14:paraId="439CE886" w14:textId="77777777" w:rsidTr="00364535">
        <w:tc>
          <w:tcPr>
            <w:tcW w:w="1133" w:type="dxa"/>
            <w:tcBorders>
              <w:bottom w:val="single" w:sz="4" w:space="0" w:color="auto"/>
              <w:right w:val="single" w:sz="4" w:space="0" w:color="auto"/>
            </w:tcBorders>
          </w:tcPr>
          <w:p w14:paraId="36E09C87" w14:textId="726114E5" w:rsidR="00242E69" w:rsidRPr="000B1730" w:rsidRDefault="00F2585A" w:rsidP="00280C26">
            <w:pPr>
              <w:tabs>
                <w:tab w:val="left" w:pos="227"/>
                <w:tab w:val="left" w:pos="397"/>
                <w:tab w:val="left" w:pos="567"/>
              </w:tabs>
              <w:bidi w:val="0"/>
              <w:spacing w:line="160" w:lineRule="exact"/>
              <w:ind w:left="227" w:right="57"/>
              <w:jc w:val="right"/>
              <w:rPr>
                <w:i/>
                <w:iCs/>
                <w:sz w:val="13"/>
                <w:szCs w:val="13"/>
              </w:rPr>
            </w:pPr>
            <w:r w:rsidRPr="00F2585A">
              <w:rPr>
                <w:rFonts w:cs="Times New Roman"/>
                <w:i/>
                <w:iCs/>
                <w:sz w:val="13"/>
                <w:szCs w:val="13"/>
              </w:rPr>
              <w:t>IAS 1.51(b),(c); IAS 1.10(d); IAS 34.10</w:t>
            </w:r>
          </w:p>
        </w:tc>
        <w:tc>
          <w:tcPr>
            <w:tcW w:w="3232" w:type="dxa"/>
            <w:tcBorders>
              <w:left w:val="single" w:sz="4" w:space="0" w:color="auto"/>
            </w:tcBorders>
            <w:shd w:val="clear" w:color="auto" w:fill="auto"/>
            <w:vAlign w:val="bottom"/>
          </w:tcPr>
          <w:p w14:paraId="61E1B498" w14:textId="77777777" w:rsidR="00242E69" w:rsidRPr="00242E69" w:rsidRDefault="00242E69" w:rsidP="00242E69">
            <w:pPr>
              <w:tabs>
                <w:tab w:val="left" w:pos="227"/>
                <w:tab w:val="left" w:pos="397"/>
                <w:tab w:val="left" w:pos="567"/>
              </w:tabs>
              <w:spacing w:line="160" w:lineRule="exact"/>
              <w:ind w:left="227" w:hanging="170"/>
              <w:rPr>
                <w:sz w:val="15"/>
                <w:szCs w:val="15"/>
                <w:rtl/>
              </w:rPr>
            </w:pPr>
          </w:p>
        </w:tc>
        <w:tc>
          <w:tcPr>
            <w:tcW w:w="113" w:type="dxa"/>
            <w:shd w:val="clear" w:color="auto" w:fill="auto"/>
            <w:vAlign w:val="bottom"/>
          </w:tcPr>
          <w:p w14:paraId="2ADA04FC" w14:textId="77777777" w:rsidR="00242E69" w:rsidRPr="00242E69" w:rsidRDefault="00242E69" w:rsidP="00242E69">
            <w:pPr>
              <w:spacing w:line="160" w:lineRule="exact"/>
              <w:rPr>
                <w:sz w:val="15"/>
                <w:szCs w:val="15"/>
                <w:rtl/>
              </w:rPr>
            </w:pPr>
          </w:p>
        </w:tc>
        <w:tc>
          <w:tcPr>
            <w:tcW w:w="1927" w:type="dxa"/>
            <w:gridSpan w:val="4"/>
            <w:tcBorders>
              <w:bottom w:val="single" w:sz="6" w:space="0" w:color="auto"/>
            </w:tcBorders>
            <w:shd w:val="clear" w:color="auto" w:fill="auto"/>
            <w:vAlign w:val="bottom"/>
          </w:tcPr>
          <w:p w14:paraId="08FE0241" w14:textId="77777777" w:rsidR="00463922" w:rsidRDefault="00242E69" w:rsidP="00242E69">
            <w:pPr>
              <w:spacing w:line="160" w:lineRule="exact"/>
              <w:jc w:val="center"/>
              <w:rPr>
                <w:sz w:val="15"/>
                <w:szCs w:val="15"/>
              </w:rPr>
            </w:pPr>
            <w:r w:rsidRPr="00242E69">
              <w:rPr>
                <w:rFonts w:hint="cs"/>
                <w:sz w:val="15"/>
                <w:szCs w:val="15"/>
                <w:rtl/>
              </w:rPr>
              <w:t>ל-9 החודשים שהסתיימו ביום</w:t>
            </w:r>
          </w:p>
          <w:p w14:paraId="13A92EC3" w14:textId="77777777" w:rsidR="00242E69" w:rsidRPr="00242E69" w:rsidRDefault="00242E69" w:rsidP="00242E69">
            <w:pPr>
              <w:spacing w:line="160" w:lineRule="exact"/>
              <w:jc w:val="center"/>
              <w:rPr>
                <w:sz w:val="15"/>
                <w:szCs w:val="15"/>
                <w:rtl/>
              </w:rPr>
            </w:pPr>
            <w:r w:rsidRPr="00242E69">
              <w:rPr>
                <w:rFonts w:hint="cs"/>
                <w:sz w:val="15"/>
                <w:szCs w:val="15"/>
                <w:rtl/>
              </w:rPr>
              <w:t xml:space="preserve"> 30 בספטמבר</w:t>
            </w:r>
          </w:p>
        </w:tc>
        <w:tc>
          <w:tcPr>
            <w:tcW w:w="113" w:type="dxa"/>
            <w:shd w:val="clear" w:color="auto" w:fill="auto"/>
            <w:vAlign w:val="bottom"/>
          </w:tcPr>
          <w:p w14:paraId="5C73BCB0" w14:textId="77777777" w:rsidR="00242E69" w:rsidRPr="00242E69" w:rsidRDefault="00242E69" w:rsidP="00242E69">
            <w:pPr>
              <w:spacing w:line="160" w:lineRule="exact"/>
              <w:jc w:val="center"/>
              <w:rPr>
                <w:sz w:val="15"/>
                <w:szCs w:val="15"/>
              </w:rPr>
            </w:pPr>
          </w:p>
        </w:tc>
        <w:tc>
          <w:tcPr>
            <w:tcW w:w="1927" w:type="dxa"/>
            <w:gridSpan w:val="3"/>
            <w:tcBorders>
              <w:bottom w:val="single" w:sz="6" w:space="0" w:color="auto"/>
            </w:tcBorders>
            <w:shd w:val="clear" w:color="auto" w:fill="auto"/>
            <w:vAlign w:val="bottom"/>
          </w:tcPr>
          <w:p w14:paraId="5F1AA193" w14:textId="77777777" w:rsidR="00463922" w:rsidRDefault="00242E69" w:rsidP="00242E69">
            <w:pPr>
              <w:spacing w:line="160" w:lineRule="exact"/>
              <w:jc w:val="center"/>
              <w:rPr>
                <w:sz w:val="15"/>
                <w:szCs w:val="15"/>
              </w:rPr>
            </w:pPr>
            <w:r w:rsidRPr="00242E69">
              <w:rPr>
                <w:rFonts w:hint="cs"/>
                <w:sz w:val="15"/>
                <w:szCs w:val="15"/>
                <w:rtl/>
              </w:rPr>
              <w:t>ל-3 החודשים שהסתיימו ביום</w:t>
            </w:r>
          </w:p>
          <w:p w14:paraId="1BB564FD" w14:textId="77777777" w:rsidR="00242E69" w:rsidRPr="00242E69" w:rsidRDefault="00242E69" w:rsidP="00242E69">
            <w:pPr>
              <w:spacing w:line="160" w:lineRule="exact"/>
              <w:jc w:val="center"/>
              <w:rPr>
                <w:sz w:val="15"/>
                <w:szCs w:val="15"/>
                <w:rtl/>
              </w:rPr>
            </w:pPr>
            <w:r w:rsidRPr="00242E69">
              <w:rPr>
                <w:rFonts w:hint="cs"/>
                <w:sz w:val="15"/>
                <w:szCs w:val="15"/>
                <w:rtl/>
              </w:rPr>
              <w:t xml:space="preserve"> 30 בספטמבר</w:t>
            </w:r>
            <w:r w:rsidR="00AB072A">
              <w:rPr>
                <w:rStyle w:val="ab"/>
                <w:sz w:val="15"/>
                <w:szCs w:val="15"/>
              </w:rPr>
              <w:footnoteReference w:id="54"/>
            </w:r>
          </w:p>
        </w:tc>
        <w:tc>
          <w:tcPr>
            <w:tcW w:w="113" w:type="dxa"/>
            <w:shd w:val="clear" w:color="auto" w:fill="auto"/>
            <w:vAlign w:val="bottom"/>
          </w:tcPr>
          <w:p w14:paraId="18EFF68F" w14:textId="77777777" w:rsidR="00242E69" w:rsidRPr="00242E69" w:rsidRDefault="00242E69" w:rsidP="00242E69">
            <w:pPr>
              <w:tabs>
                <w:tab w:val="decimal" w:pos="113"/>
              </w:tabs>
              <w:spacing w:line="160" w:lineRule="exact"/>
              <w:jc w:val="center"/>
              <w:rPr>
                <w:sz w:val="15"/>
                <w:szCs w:val="15"/>
              </w:rPr>
            </w:pPr>
          </w:p>
        </w:tc>
        <w:tc>
          <w:tcPr>
            <w:tcW w:w="1081" w:type="dxa"/>
            <w:shd w:val="clear" w:color="auto" w:fill="auto"/>
            <w:vAlign w:val="bottom"/>
          </w:tcPr>
          <w:p w14:paraId="48D28BB7" w14:textId="77777777" w:rsidR="00242E69" w:rsidRPr="00242E69" w:rsidRDefault="00242E69" w:rsidP="00242E69">
            <w:pPr>
              <w:spacing w:line="160" w:lineRule="exact"/>
              <w:jc w:val="center"/>
              <w:rPr>
                <w:sz w:val="15"/>
                <w:szCs w:val="15"/>
                <w:rtl/>
              </w:rPr>
            </w:pPr>
            <w:r w:rsidRPr="00242E69">
              <w:rPr>
                <w:rFonts w:hint="cs"/>
                <w:sz w:val="15"/>
                <w:szCs w:val="15"/>
                <w:rtl/>
              </w:rPr>
              <w:t>לשנה שהסתיימה ביום</w:t>
            </w:r>
          </w:p>
          <w:p w14:paraId="5046B50F" w14:textId="77777777" w:rsidR="00242E69" w:rsidRPr="00242E69" w:rsidRDefault="00242E69" w:rsidP="00242E69">
            <w:pPr>
              <w:spacing w:line="160" w:lineRule="exact"/>
              <w:jc w:val="center"/>
              <w:rPr>
                <w:sz w:val="15"/>
                <w:szCs w:val="15"/>
                <w:rtl/>
              </w:rPr>
            </w:pPr>
            <w:r w:rsidRPr="00242E69">
              <w:rPr>
                <w:rFonts w:hint="cs"/>
                <w:sz w:val="15"/>
                <w:szCs w:val="15"/>
                <w:rtl/>
              </w:rPr>
              <w:t>31 בדצמבר</w:t>
            </w:r>
          </w:p>
        </w:tc>
      </w:tr>
      <w:tr w:rsidR="00C613CF" w:rsidRPr="00C54C0C" w14:paraId="2BD1687A" w14:textId="77777777" w:rsidTr="00364535">
        <w:tc>
          <w:tcPr>
            <w:tcW w:w="1133" w:type="dxa"/>
            <w:tcBorders>
              <w:top w:val="single" w:sz="4" w:space="0" w:color="auto"/>
            </w:tcBorders>
          </w:tcPr>
          <w:p w14:paraId="759141FB" w14:textId="77777777" w:rsidR="00C613CF" w:rsidRPr="000B1730" w:rsidRDefault="00C613CF" w:rsidP="00C613CF">
            <w:pPr>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609D2A33" w14:textId="77777777" w:rsidR="00C613CF" w:rsidRPr="00242E69" w:rsidRDefault="00C613CF" w:rsidP="00C613CF">
            <w:pPr>
              <w:tabs>
                <w:tab w:val="left" w:pos="227"/>
                <w:tab w:val="left" w:pos="397"/>
                <w:tab w:val="left" w:pos="567"/>
              </w:tabs>
              <w:spacing w:line="160" w:lineRule="exact"/>
              <w:ind w:left="227" w:hanging="170"/>
              <w:rPr>
                <w:sz w:val="15"/>
                <w:szCs w:val="15"/>
                <w:rtl/>
              </w:rPr>
            </w:pPr>
          </w:p>
        </w:tc>
        <w:tc>
          <w:tcPr>
            <w:tcW w:w="113" w:type="dxa"/>
            <w:shd w:val="clear" w:color="auto" w:fill="auto"/>
            <w:vAlign w:val="bottom"/>
          </w:tcPr>
          <w:p w14:paraId="0868D5A6" w14:textId="77777777" w:rsidR="00C613CF" w:rsidRPr="00242E69" w:rsidRDefault="00C613CF" w:rsidP="00C613CF">
            <w:pPr>
              <w:spacing w:line="160" w:lineRule="exact"/>
              <w:rPr>
                <w:sz w:val="15"/>
                <w:szCs w:val="15"/>
                <w:rtl/>
              </w:rPr>
            </w:pPr>
          </w:p>
        </w:tc>
        <w:tc>
          <w:tcPr>
            <w:tcW w:w="907" w:type="dxa"/>
            <w:tcBorders>
              <w:bottom w:val="single" w:sz="6" w:space="0" w:color="auto"/>
            </w:tcBorders>
            <w:shd w:val="clear" w:color="auto" w:fill="auto"/>
            <w:vAlign w:val="bottom"/>
          </w:tcPr>
          <w:p w14:paraId="38D90318" w14:textId="77777777" w:rsidR="00C613CF" w:rsidRDefault="00C613CF" w:rsidP="00C613CF">
            <w:pPr>
              <w:spacing w:line="180" w:lineRule="exact"/>
              <w:jc w:val="center"/>
              <w:rPr>
                <w:sz w:val="16"/>
                <w:szCs w:val="16"/>
              </w:rPr>
            </w:pPr>
            <w:r>
              <w:rPr>
                <w:rFonts w:hint="cs"/>
                <w:sz w:val="16"/>
                <w:szCs w:val="16"/>
                <w:rtl/>
              </w:rPr>
              <w:t>2018</w:t>
            </w:r>
          </w:p>
        </w:tc>
        <w:tc>
          <w:tcPr>
            <w:tcW w:w="113" w:type="dxa"/>
            <w:vAlign w:val="bottom"/>
          </w:tcPr>
          <w:p w14:paraId="785875A0" w14:textId="77777777" w:rsidR="00C613CF" w:rsidRPr="00764993" w:rsidRDefault="00C613CF" w:rsidP="00C613CF">
            <w:pPr>
              <w:spacing w:line="180" w:lineRule="exact"/>
              <w:jc w:val="center"/>
              <w:rPr>
                <w:sz w:val="16"/>
                <w:szCs w:val="16"/>
              </w:rPr>
            </w:pPr>
          </w:p>
        </w:tc>
        <w:tc>
          <w:tcPr>
            <w:tcW w:w="907" w:type="dxa"/>
            <w:gridSpan w:val="2"/>
            <w:tcBorders>
              <w:bottom w:val="single" w:sz="6" w:space="0" w:color="auto"/>
            </w:tcBorders>
            <w:shd w:val="clear" w:color="auto" w:fill="auto"/>
            <w:vAlign w:val="bottom"/>
          </w:tcPr>
          <w:p w14:paraId="74A56705" w14:textId="77777777" w:rsidR="00C613CF" w:rsidRDefault="00C613CF" w:rsidP="00C613CF">
            <w:pPr>
              <w:spacing w:line="180" w:lineRule="exact"/>
              <w:jc w:val="center"/>
              <w:rPr>
                <w:sz w:val="16"/>
                <w:szCs w:val="16"/>
              </w:rPr>
            </w:pPr>
            <w:r>
              <w:rPr>
                <w:rFonts w:hint="cs"/>
                <w:sz w:val="16"/>
                <w:szCs w:val="16"/>
                <w:rtl/>
              </w:rPr>
              <w:t>2017</w:t>
            </w:r>
          </w:p>
        </w:tc>
        <w:tc>
          <w:tcPr>
            <w:tcW w:w="113" w:type="dxa"/>
            <w:shd w:val="clear" w:color="auto" w:fill="auto"/>
            <w:vAlign w:val="bottom"/>
          </w:tcPr>
          <w:p w14:paraId="086E1A3D" w14:textId="77777777" w:rsidR="00C613CF" w:rsidRPr="00764993" w:rsidRDefault="00C613CF" w:rsidP="00C613CF">
            <w:pPr>
              <w:spacing w:line="180" w:lineRule="exact"/>
              <w:jc w:val="center"/>
              <w:rPr>
                <w:sz w:val="16"/>
                <w:szCs w:val="16"/>
              </w:rPr>
            </w:pPr>
          </w:p>
        </w:tc>
        <w:tc>
          <w:tcPr>
            <w:tcW w:w="907" w:type="dxa"/>
            <w:tcBorders>
              <w:bottom w:val="single" w:sz="6" w:space="0" w:color="auto"/>
            </w:tcBorders>
            <w:shd w:val="clear" w:color="auto" w:fill="auto"/>
            <w:vAlign w:val="bottom"/>
          </w:tcPr>
          <w:p w14:paraId="02F14D89" w14:textId="77777777" w:rsidR="00C613CF" w:rsidRDefault="00C613CF" w:rsidP="00C613CF">
            <w:pPr>
              <w:spacing w:line="180" w:lineRule="exact"/>
              <w:jc w:val="center"/>
              <w:rPr>
                <w:sz w:val="16"/>
                <w:szCs w:val="16"/>
              </w:rPr>
            </w:pPr>
            <w:r>
              <w:rPr>
                <w:rFonts w:hint="cs"/>
                <w:sz w:val="16"/>
                <w:szCs w:val="16"/>
                <w:rtl/>
              </w:rPr>
              <w:t>2016</w:t>
            </w:r>
          </w:p>
        </w:tc>
        <w:tc>
          <w:tcPr>
            <w:tcW w:w="113" w:type="dxa"/>
            <w:shd w:val="clear" w:color="auto" w:fill="auto"/>
            <w:vAlign w:val="bottom"/>
          </w:tcPr>
          <w:p w14:paraId="7E383D29" w14:textId="77777777" w:rsidR="00C613CF" w:rsidRPr="00764993" w:rsidRDefault="00C613CF" w:rsidP="00C613CF">
            <w:pPr>
              <w:spacing w:line="180" w:lineRule="exact"/>
              <w:jc w:val="center"/>
              <w:rPr>
                <w:sz w:val="16"/>
                <w:szCs w:val="16"/>
              </w:rPr>
            </w:pPr>
          </w:p>
        </w:tc>
        <w:tc>
          <w:tcPr>
            <w:tcW w:w="907" w:type="dxa"/>
            <w:tcBorders>
              <w:bottom w:val="single" w:sz="6" w:space="0" w:color="auto"/>
            </w:tcBorders>
            <w:shd w:val="clear" w:color="auto" w:fill="auto"/>
            <w:vAlign w:val="bottom"/>
          </w:tcPr>
          <w:p w14:paraId="4E8F372C" w14:textId="77777777" w:rsidR="00C613CF" w:rsidRDefault="00C613CF" w:rsidP="00C613CF">
            <w:pPr>
              <w:spacing w:line="180" w:lineRule="exact"/>
              <w:jc w:val="center"/>
              <w:rPr>
                <w:sz w:val="16"/>
                <w:szCs w:val="16"/>
              </w:rPr>
            </w:pPr>
            <w:r>
              <w:rPr>
                <w:rFonts w:hint="cs"/>
                <w:sz w:val="16"/>
                <w:szCs w:val="16"/>
                <w:rtl/>
              </w:rPr>
              <w:t xml:space="preserve">2017 </w:t>
            </w:r>
          </w:p>
        </w:tc>
        <w:tc>
          <w:tcPr>
            <w:tcW w:w="113" w:type="dxa"/>
            <w:shd w:val="clear" w:color="auto" w:fill="auto"/>
            <w:vAlign w:val="bottom"/>
          </w:tcPr>
          <w:p w14:paraId="67446554" w14:textId="77777777" w:rsidR="00C613CF" w:rsidRPr="00764993" w:rsidRDefault="00C613CF" w:rsidP="00C613CF">
            <w:pPr>
              <w:tabs>
                <w:tab w:val="decimal" w:pos="113"/>
              </w:tabs>
              <w:spacing w:line="180" w:lineRule="exact"/>
              <w:jc w:val="center"/>
              <w:rPr>
                <w:sz w:val="16"/>
                <w:szCs w:val="16"/>
              </w:rPr>
            </w:pPr>
          </w:p>
        </w:tc>
        <w:tc>
          <w:tcPr>
            <w:tcW w:w="1081" w:type="dxa"/>
            <w:tcBorders>
              <w:bottom w:val="single" w:sz="6" w:space="0" w:color="auto"/>
            </w:tcBorders>
            <w:shd w:val="clear" w:color="auto" w:fill="auto"/>
            <w:vAlign w:val="bottom"/>
          </w:tcPr>
          <w:p w14:paraId="45F03942" w14:textId="77777777" w:rsidR="00C613CF" w:rsidRDefault="00C613CF" w:rsidP="00C613CF">
            <w:pPr>
              <w:spacing w:line="180" w:lineRule="exact"/>
              <w:jc w:val="center"/>
              <w:rPr>
                <w:sz w:val="16"/>
                <w:szCs w:val="16"/>
              </w:rPr>
            </w:pPr>
            <w:r>
              <w:rPr>
                <w:rFonts w:hint="cs"/>
                <w:sz w:val="16"/>
                <w:szCs w:val="16"/>
                <w:rtl/>
              </w:rPr>
              <w:t xml:space="preserve">2017 </w:t>
            </w:r>
          </w:p>
        </w:tc>
      </w:tr>
      <w:tr w:rsidR="00C613CF" w:rsidRPr="00C54C0C" w14:paraId="6DE329EC" w14:textId="77777777" w:rsidTr="00364535">
        <w:tc>
          <w:tcPr>
            <w:tcW w:w="1133" w:type="dxa"/>
          </w:tcPr>
          <w:p w14:paraId="1BA1DF72" w14:textId="77777777" w:rsidR="00C613CF" w:rsidRPr="000B1730" w:rsidRDefault="00C613CF" w:rsidP="00C613CF">
            <w:pPr>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2C05EB10" w14:textId="77777777" w:rsidR="00C613CF" w:rsidRPr="00242E69" w:rsidRDefault="00C613CF" w:rsidP="00C613CF">
            <w:pPr>
              <w:tabs>
                <w:tab w:val="left" w:pos="227"/>
                <w:tab w:val="left" w:pos="397"/>
                <w:tab w:val="left" w:pos="567"/>
              </w:tabs>
              <w:spacing w:line="160" w:lineRule="exact"/>
              <w:ind w:left="227" w:hanging="170"/>
              <w:rPr>
                <w:sz w:val="15"/>
                <w:szCs w:val="15"/>
                <w:rtl/>
              </w:rPr>
            </w:pPr>
          </w:p>
        </w:tc>
        <w:tc>
          <w:tcPr>
            <w:tcW w:w="113" w:type="dxa"/>
            <w:shd w:val="clear" w:color="auto" w:fill="auto"/>
            <w:vAlign w:val="bottom"/>
          </w:tcPr>
          <w:p w14:paraId="7A1785B2" w14:textId="77777777" w:rsidR="00C613CF" w:rsidRPr="00242E69" w:rsidRDefault="00C613CF" w:rsidP="00C613CF">
            <w:pPr>
              <w:spacing w:line="160" w:lineRule="exact"/>
              <w:rPr>
                <w:sz w:val="15"/>
                <w:szCs w:val="15"/>
                <w:rtl/>
              </w:rPr>
            </w:pPr>
          </w:p>
        </w:tc>
        <w:tc>
          <w:tcPr>
            <w:tcW w:w="3967" w:type="dxa"/>
            <w:gridSpan w:val="8"/>
            <w:tcBorders>
              <w:bottom w:val="single" w:sz="6" w:space="0" w:color="auto"/>
            </w:tcBorders>
            <w:shd w:val="clear" w:color="auto" w:fill="auto"/>
            <w:vAlign w:val="bottom"/>
          </w:tcPr>
          <w:p w14:paraId="73710967" w14:textId="77777777" w:rsidR="00C613CF" w:rsidRPr="00242E69" w:rsidRDefault="00C613CF" w:rsidP="00C613CF">
            <w:pPr>
              <w:spacing w:line="160" w:lineRule="exact"/>
              <w:jc w:val="center"/>
              <w:rPr>
                <w:sz w:val="15"/>
                <w:szCs w:val="15"/>
              </w:rPr>
            </w:pPr>
            <w:r w:rsidRPr="00242E69">
              <w:rPr>
                <w:rFonts w:hint="cs"/>
                <w:sz w:val="15"/>
                <w:szCs w:val="15"/>
                <w:rtl/>
              </w:rPr>
              <w:t>בלתי מבוקר</w:t>
            </w:r>
          </w:p>
        </w:tc>
        <w:tc>
          <w:tcPr>
            <w:tcW w:w="113" w:type="dxa"/>
            <w:shd w:val="clear" w:color="auto" w:fill="auto"/>
            <w:vAlign w:val="bottom"/>
          </w:tcPr>
          <w:p w14:paraId="5282AB7A" w14:textId="77777777" w:rsidR="00C613CF" w:rsidRPr="00242E69" w:rsidRDefault="00C613CF" w:rsidP="00C613CF">
            <w:pPr>
              <w:tabs>
                <w:tab w:val="decimal" w:pos="113"/>
              </w:tabs>
              <w:spacing w:line="160" w:lineRule="exact"/>
              <w:jc w:val="center"/>
              <w:rPr>
                <w:sz w:val="15"/>
                <w:szCs w:val="15"/>
              </w:rPr>
            </w:pPr>
          </w:p>
        </w:tc>
        <w:tc>
          <w:tcPr>
            <w:tcW w:w="1081" w:type="dxa"/>
            <w:tcBorders>
              <w:bottom w:val="single" w:sz="6" w:space="0" w:color="auto"/>
            </w:tcBorders>
            <w:shd w:val="clear" w:color="auto" w:fill="auto"/>
            <w:vAlign w:val="bottom"/>
          </w:tcPr>
          <w:p w14:paraId="79F95948" w14:textId="77777777" w:rsidR="00C613CF" w:rsidRPr="00242E69" w:rsidRDefault="00C613CF" w:rsidP="00C613CF">
            <w:pPr>
              <w:spacing w:line="160" w:lineRule="exact"/>
              <w:jc w:val="center"/>
              <w:rPr>
                <w:sz w:val="15"/>
                <w:szCs w:val="15"/>
              </w:rPr>
            </w:pPr>
            <w:r w:rsidRPr="00242E69">
              <w:rPr>
                <w:rFonts w:hint="cs"/>
                <w:sz w:val="15"/>
                <w:szCs w:val="15"/>
                <w:rtl/>
              </w:rPr>
              <w:t>מבוקר</w:t>
            </w:r>
          </w:p>
        </w:tc>
      </w:tr>
      <w:tr w:rsidR="00C613CF" w:rsidRPr="00C54C0C" w14:paraId="5C568560" w14:textId="77777777" w:rsidTr="00364535">
        <w:tc>
          <w:tcPr>
            <w:tcW w:w="1133" w:type="dxa"/>
          </w:tcPr>
          <w:p w14:paraId="3ECC2BDC" w14:textId="77777777" w:rsidR="00C613CF" w:rsidRPr="000B1730" w:rsidRDefault="00C613CF" w:rsidP="00C613CF">
            <w:pPr>
              <w:pStyle w:val="a3"/>
              <w:tabs>
                <w:tab w:val="left" w:pos="227"/>
                <w:tab w:val="left" w:pos="397"/>
                <w:tab w:val="left" w:pos="567"/>
              </w:tabs>
              <w:bidi w:val="0"/>
              <w:spacing w:line="160" w:lineRule="exact"/>
              <w:ind w:left="227" w:right="57"/>
              <w:jc w:val="right"/>
              <w:rPr>
                <w:rFonts w:cs="Times New Roman"/>
                <w:i/>
                <w:iCs/>
                <w:sz w:val="13"/>
                <w:szCs w:val="13"/>
                <w:rtl/>
              </w:rPr>
            </w:pPr>
          </w:p>
        </w:tc>
        <w:tc>
          <w:tcPr>
            <w:tcW w:w="3232" w:type="dxa"/>
            <w:shd w:val="clear" w:color="auto" w:fill="auto"/>
            <w:vAlign w:val="bottom"/>
          </w:tcPr>
          <w:p w14:paraId="39BB6AC4" w14:textId="77777777" w:rsidR="00C613CF" w:rsidRPr="00242E69" w:rsidRDefault="00C613CF" w:rsidP="00C613CF">
            <w:pPr>
              <w:pStyle w:val="a3"/>
              <w:tabs>
                <w:tab w:val="left" w:pos="227"/>
                <w:tab w:val="left" w:pos="397"/>
                <w:tab w:val="left" w:pos="567"/>
              </w:tabs>
              <w:spacing w:line="160" w:lineRule="exact"/>
              <w:ind w:left="227" w:hanging="170"/>
              <w:rPr>
                <w:sz w:val="15"/>
                <w:szCs w:val="15"/>
                <w:rtl/>
              </w:rPr>
            </w:pPr>
          </w:p>
        </w:tc>
        <w:tc>
          <w:tcPr>
            <w:tcW w:w="113" w:type="dxa"/>
            <w:shd w:val="clear" w:color="auto" w:fill="auto"/>
            <w:vAlign w:val="bottom"/>
          </w:tcPr>
          <w:p w14:paraId="65FBC4DB" w14:textId="77777777" w:rsidR="00C613CF" w:rsidRPr="00242E69" w:rsidRDefault="00C613CF" w:rsidP="00C613CF">
            <w:pPr>
              <w:tabs>
                <w:tab w:val="decimal" w:pos="113"/>
              </w:tabs>
              <w:spacing w:line="160" w:lineRule="exact"/>
              <w:ind w:left="57"/>
              <w:rPr>
                <w:sz w:val="15"/>
                <w:szCs w:val="15"/>
              </w:rPr>
            </w:pPr>
          </w:p>
        </w:tc>
        <w:tc>
          <w:tcPr>
            <w:tcW w:w="1557" w:type="dxa"/>
            <w:gridSpan w:val="3"/>
            <w:tcBorders>
              <w:bottom w:val="single" w:sz="6" w:space="0" w:color="auto"/>
            </w:tcBorders>
            <w:shd w:val="clear" w:color="auto" w:fill="auto"/>
            <w:vAlign w:val="bottom"/>
          </w:tcPr>
          <w:p w14:paraId="06BBF5BB" w14:textId="77777777" w:rsidR="00C613CF" w:rsidRPr="00707B90" w:rsidRDefault="00C613CF" w:rsidP="00C613CF">
            <w:pPr>
              <w:spacing w:line="200" w:lineRule="exact"/>
              <w:ind w:right="92"/>
              <w:jc w:val="right"/>
              <w:rPr>
                <w:i/>
                <w:iCs/>
                <w:sz w:val="13"/>
                <w:szCs w:val="13"/>
              </w:rPr>
            </w:pPr>
            <w:r>
              <w:rPr>
                <w:rFonts w:hint="cs"/>
                <w:i/>
                <w:iCs/>
                <w:sz w:val="13"/>
                <w:szCs w:val="13"/>
              </w:rPr>
              <w:t>IA</w:t>
            </w:r>
            <w:r>
              <w:rPr>
                <w:i/>
                <w:iCs/>
                <w:sz w:val="13"/>
                <w:szCs w:val="13"/>
              </w:rPr>
              <w:t>S 1.51</w:t>
            </w:r>
            <w:r w:rsidRPr="00707B90">
              <w:rPr>
                <w:i/>
                <w:iCs/>
                <w:sz w:val="13"/>
                <w:szCs w:val="13"/>
              </w:rPr>
              <w:t>(d),</w:t>
            </w:r>
            <w:r>
              <w:rPr>
                <w:i/>
                <w:iCs/>
                <w:sz w:val="13"/>
                <w:szCs w:val="13"/>
              </w:rPr>
              <w:t xml:space="preserve"> </w:t>
            </w:r>
            <w:r w:rsidRPr="00707B90">
              <w:rPr>
                <w:i/>
                <w:iCs/>
                <w:sz w:val="13"/>
                <w:szCs w:val="13"/>
              </w:rPr>
              <w:t>(e)</w:t>
            </w:r>
          </w:p>
        </w:tc>
        <w:tc>
          <w:tcPr>
            <w:tcW w:w="3604" w:type="dxa"/>
            <w:gridSpan w:val="7"/>
            <w:tcBorders>
              <w:bottom w:val="single" w:sz="6" w:space="0" w:color="auto"/>
            </w:tcBorders>
            <w:shd w:val="clear" w:color="auto" w:fill="auto"/>
            <w:vAlign w:val="bottom"/>
          </w:tcPr>
          <w:p w14:paraId="73CEB72F" w14:textId="77777777" w:rsidR="00C613CF" w:rsidRPr="00242E69" w:rsidRDefault="00C613CF" w:rsidP="00C613CF">
            <w:pPr>
              <w:spacing w:line="160" w:lineRule="exact"/>
              <w:ind w:left="137"/>
              <w:jc w:val="left"/>
              <w:rPr>
                <w:sz w:val="15"/>
                <w:szCs w:val="15"/>
                <w:u w:val="single"/>
              </w:rPr>
            </w:pPr>
            <w:r w:rsidRPr="00242E69">
              <w:rPr>
                <w:rFonts w:hint="cs"/>
                <w:sz w:val="15"/>
                <w:szCs w:val="15"/>
                <w:rtl/>
              </w:rPr>
              <w:t>אלפי ש"ח</w:t>
            </w:r>
          </w:p>
        </w:tc>
      </w:tr>
      <w:tr w:rsidR="00C613CF" w:rsidRPr="00C54C0C" w14:paraId="7468A26B" w14:textId="77777777" w:rsidTr="00364535">
        <w:tc>
          <w:tcPr>
            <w:tcW w:w="1133" w:type="dxa"/>
          </w:tcPr>
          <w:p w14:paraId="7E47A517" w14:textId="77777777" w:rsidR="00C613CF" w:rsidRPr="000B1730" w:rsidRDefault="00C613CF" w:rsidP="00C613CF">
            <w:pPr>
              <w:widowControl/>
              <w:tabs>
                <w:tab w:val="left" w:pos="227"/>
                <w:tab w:val="left" w:pos="397"/>
                <w:tab w:val="left" w:pos="567"/>
              </w:tabs>
              <w:spacing w:line="120" w:lineRule="auto"/>
              <w:jc w:val="right"/>
              <w:rPr>
                <w:i/>
                <w:iCs/>
                <w:sz w:val="13"/>
                <w:szCs w:val="13"/>
                <w:rtl/>
              </w:rPr>
            </w:pPr>
          </w:p>
        </w:tc>
        <w:tc>
          <w:tcPr>
            <w:tcW w:w="3232" w:type="dxa"/>
            <w:shd w:val="clear" w:color="auto" w:fill="auto"/>
            <w:vAlign w:val="bottom"/>
          </w:tcPr>
          <w:p w14:paraId="1D954ECE" w14:textId="77777777" w:rsidR="00C613CF" w:rsidRPr="00242E69" w:rsidRDefault="00C613CF" w:rsidP="00C613CF">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03FCFA99" w14:textId="77777777" w:rsidR="00C613CF" w:rsidRPr="00242E69" w:rsidRDefault="00C613CF" w:rsidP="00C613CF">
            <w:pPr>
              <w:widowControl/>
              <w:spacing w:line="120" w:lineRule="auto"/>
              <w:rPr>
                <w:sz w:val="15"/>
                <w:szCs w:val="15"/>
              </w:rPr>
            </w:pPr>
          </w:p>
        </w:tc>
        <w:tc>
          <w:tcPr>
            <w:tcW w:w="907" w:type="dxa"/>
            <w:tcBorders>
              <w:top w:val="single" w:sz="6" w:space="0" w:color="auto"/>
            </w:tcBorders>
            <w:vAlign w:val="bottom"/>
          </w:tcPr>
          <w:p w14:paraId="1B26772E" w14:textId="77777777" w:rsidR="00C613CF" w:rsidRPr="00242E69" w:rsidRDefault="00C613CF" w:rsidP="00C613CF">
            <w:pPr>
              <w:widowControl/>
              <w:tabs>
                <w:tab w:val="decimal" w:pos="113"/>
              </w:tabs>
              <w:spacing w:line="120" w:lineRule="auto"/>
              <w:rPr>
                <w:sz w:val="15"/>
                <w:szCs w:val="15"/>
                <w:rtl/>
              </w:rPr>
            </w:pPr>
          </w:p>
        </w:tc>
        <w:tc>
          <w:tcPr>
            <w:tcW w:w="113" w:type="dxa"/>
            <w:tcBorders>
              <w:top w:val="single" w:sz="6" w:space="0" w:color="auto"/>
            </w:tcBorders>
            <w:vAlign w:val="bottom"/>
          </w:tcPr>
          <w:p w14:paraId="2DB6F102" w14:textId="77777777" w:rsidR="00C613CF" w:rsidRPr="00242E69" w:rsidRDefault="00C613CF" w:rsidP="00C613CF">
            <w:pPr>
              <w:widowControl/>
              <w:tabs>
                <w:tab w:val="decimal" w:pos="113"/>
              </w:tabs>
              <w:spacing w:line="120" w:lineRule="auto"/>
              <w:rPr>
                <w:sz w:val="15"/>
                <w:szCs w:val="15"/>
              </w:rPr>
            </w:pPr>
          </w:p>
        </w:tc>
        <w:tc>
          <w:tcPr>
            <w:tcW w:w="907" w:type="dxa"/>
            <w:gridSpan w:val="2"/>
            <w:tcBorders>
              <w:top w:val="single" w:sz="6" w:space="0" w:color="auto"/>
            </w:tcBorders>
            <w:shd w:val="clear" w:color="auto" w:fill="auto"/>
            <w:vAlign w:val="bottom"/>
          </w:tcPr>
          <w:p w14:paraId="5E48B6A3" w14:textId="77777777" w:rsidR="00C613CF" w:rsidRPr="00242E69" w:rsidRDefault="00C613CF" w:rsidP="00C613CF">
            <w:pPr>
              <w:widowControl/>
              <w:tabs>
                <w:tab w:val="decimal" w:pos="113"/>
              </w:tabs>
              <w:spacing w:line="120" w:lineRule="auto"/>
              <w:rPr>
                <w:sz w:val="15"/>
                <w:szCs w:val="15"/>
              </w:rPr>
            </w:pPr>
          </w:p>
        </w:tc>
        <w:tc>
          <w:tcPr>
            <w:tcW w:w="113" w:type="dxa"/>
            <w:tcBorders>
              <w:top w:val="single" w:sz="6" w:space="0" w:color="auto"/>
            </w:tcBorders>
            <w:shd w:val="clear" w:color="auto" w:fill="auto"/>
            <w:vAlign w:val="bottom"/>
          </w:tcPr>
          <w:p w14:paraId="26936E0C" w14:textId="77777777" w:rsidR="00C613CF" w:rsidRPr="00242E69" w:rsidRDefault="00C613CF" w:rsidP="00C613CF">
            <w:pPr>
              <w:widowControl/>
              <w:tabs>
                <w:tab w:val="decimal" w:pos="113"/>
              </w:tabs>
              <w:spacing w:line="120" w:lineRule="auto"/>
              <w:rPr>
                <w:sz w:val="15"/>
                <w:szCs w:val="15"/>
              </w:rPr>
            </w:pPr>
          </w:p>
        </w:tc>
        <w:tc>
          <w:tcPr>
            <w:tcW w:w="907" w:type="dxa"/>
            <w:tcBorders>
              <w:top w:val="single" w:sz="6" w:space="0" w:color="auto"/>
            </w:tcBorders>
            <w:shd w:val="clear" w:color="auto" w:fill="auto"/>
            <w:vAlign w:val="bottom"/>
          </w:tcPr>
          <w:p w14:paraId="00F18C3E" w14:textId="77777777" w:rsidR="00C613CF" w:rsidRPr="00242E69" w:rsidRDefault="00C613CF" w:rsidP="00C613CF">
            <w:pPr>
              <w:widowControl/>
              <w:tabs>
                <w:tab w:val="decimal" w:pos="113"/>
              </w:tabs>
              <w:spacing w:line="120" w:lineRule="auto"/>
              <w:rPr>
                <w:sz w:val="15"/>
                <w:szCs w:val="15"/>
                <w:rtl/>
              </w:rPr>
            </w:pPr>
          </w:p>
        </w:tc>
        <w:tc>
          <w:tcPr>
            <w:tcW w:w="113" w:type="dxa"/>
            <w:tcBorders>
              <w:top w:val="single" w:sz="6" w:space="0" w:color="auto"/>
            </w:tcBorders>
            <w:shd w:val="clear" w:color="auto" w:fill="auto"/>
            <w:vAlign w:val="bottom"/>
          </w:tcPr>
          <w:p w14:paraId="4D9DDDBF" w14:textId="77777777" w:rsidR="00C613CF" w:rsidRPr="00242E69" w:rsidRDefault="00C613CF" w:rsidP="00C613CF">
            <w:pPr>
              <w:widowControl/>
              <w:tabs>
                <w:tab w:val="decimal" w:pos="113"/>
              </w:tabs>
              <w:spacing w:line="120" w:lineRule="auto"/>
              <w:rPr>
                <w:sz w:val="15"/>
                <w:szCs w:val="15"/>
              </w:rPr>
            </w:pPr>
          </w:p>
        </w:tc>
        <w:tc>
          <w:tcPr>
            <w:tcW w:w="907" w:type="dxa"/>
            <w:tcBorders>
              <w:top w:val="single" w:sz="6" w:space="0" w:color="auto"/>
            </w:tcBorders>
            <w:shd w:val="clear" w:color="auto" w:fill="auto"/>
            <w:vAlign w:val="bottom"/>
          </w:tcPr>
          <w:p w14:paraId="3C50BD35" w14:textId="77777777" w:rsidR="00C613CF" w:rsidRPr="00242E69" w:rsidRDefault="00C613CF" w:rsidP="00C613CF">
            <w:pPr>
              <w:widowControl/>
              <w:tabs>
                <w:tab w:val="decimal" w:pos="113"/>
              </w:tabs>
              <w:spacing w:line="120" w:lineRule="auto"/>
              <w:rPr>
                <w:sz w:val="15"/>
                <w:szCs w:val="15"/>
              </w:rPr>
            </w:pPr>
          </w:p>
        </w:tc>
        <w:tc>
          <w:tcPr>
            <w:tcW w:w="113" w:type="dxa"/>
            <w:tcBorders>
              <w:top w:val="single" w:sz="6" w:space="0" w:color="auto"/>
            </w:tcBorders>
            <w:shd w:val="clear" w:color="auto" w:fill="auto"/>
            <w:vAlign w:val="bottom"/>
          </w:tcPr>
          <w:p w14:paraId="007770E0" w14:textId="77777777" w:rsidR="00C613CF" w:rsidRPr="00242E69" w:rsidRDefault="00C613CF" w:rsidP="00C613CF">
            <w:pPr>
              <w:widowControl/>
              <w:tabs>
                <w:tab w:val="decimal" w:pos="113"/>
              </w:tabs>
              <w:spacing w:line="120" w:lineRule="auto"/>
              <w:rPr>
                <w:sz w:val="15"/>
                <w:szCs w:val="15"/>
              </w:rPr>
            </w:pPr>
          </w:p>
        </w:tc>
        <w:tc>
          <w:tcPr>
            <w:tcW w:w="1081" w:type="dxa"/>
            <w:tcBorders>
              <w:top w:val="single" w:sz="6" w:space="0" w:color="auto"/>
            </w:tcBorders>
            <w:shd w:val="clear" w:color="auto" w:fill="auto"/>
            <w:vAlign w:val="bottom"/>
          </w:tcPr>
          <w:p w14:paraId="0131F3F5" w14:textId="77777777" w:rsidR="00C613CF" w:rsidRPr="00242E69" w:rsidRDefault="00C613CF" w:rsidP="00C613CF">
            <w:pPr>
              <w:widowControl/>
              <w:tabs>
                <w:tab w:val="decimal" w:pos="113"/>
              </w:tabs>
              <w:spacing w:line="120" w:lineRule="auto"/>
              <w:rPr>
                <w:sz w:val="15"/>
                <w:szCs w:val="15"/>
                <w:rtl/>
              </w:rPr>
            </w:pPr>
          </w:p>
        </w:tc>
      </w:tr>
      <w:tr w:rsidR="00C613CF" w:rsidRPr="00C54C0C" w14:paraId="4028263A" w14:textId="77777777" w:rsidTr="00364535">
        <w:tc>
          <w:tcPr>
            <w:tcW w:w="1133" w:type="dxa"/>
            <w:tcBorders>
              <w:bottom w:val="single" w:sz="4" w:space="0" w:color="auto"/>
              <w:right w:val="single" w:sz="4" w:space="0" w:color="auto"/>
            </w:tcBorders>
          </w:tcPr>
          <w:p w14:paraId="6D2BD2D9"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7.10; IAS 7.21</w:t>
            </w:r>
          </w:p>
        </w:tc>
        <w:tc>
          <w:tcPr>
            <w:tcW w:w="3232" w:type="dxa"/>
            <w:tcBorders>
              <w:left w:val="single" w:sz="4" w:space="0" w:color="auto"/>
            </w:tcBorders>
            <w:shd w:val="clear" w:color="auto" w:fill="auto"/>
            <w:vAlign w:val="bottom"/>
          </w:tcPr>
          <w:p w14:paraId="4544B69C" w14:textId="77777777" w:rsidR="00C613CF" w:rsidRPr="00A227B8" w:rsidRDefault="00C613CF" w:rsidP="00C613CF">
            <w:pPr>
              <w:pStyle w:val="a3"/>
              <w:tabs>
                <w:tab w:val="left" w:pos="227"/>
                <w:tab w:val="left" w:pos="397"/>
                <w:tab w:val="left" w:pos="567"/>
              </w:tabs>
              <w:spacing w:line="160" w:lineRule="exact"/>
              <w:ind w:left="227" w:hanging="170"/>
              <w:rPr>
                <w:sz w:val="16"/>
                <w:szCs w:val="16"/>
                <w:u w:val="single"/>
              </w:rPr>
            </w:pPr>
            <w:r w:rsidRPr="00A227B8">
              <w:rPr>
                <w:rFonts w:hint="cs"/>
                <w:sz w:val="16"/>
                <w:szCs w:val="16"/>
                <w:u w:val="single"/>
                <w:rtl/>
              </w:rPr>
              <w:t>תזרימי מזומנים מפעילות השקעה</w:t>
            </w:r>
          </w:p>
        </w:tc>
        <w:tc>
          <w:tcPr>
            <w:tcW w:w="113" w:type="dxa"/>
            <w:shd w:val="clear" w:color="auto" w:fill="auto"/>
            <w:vAlign w:val="bottom"/>
          </w:tcPr>
          <w:p w14:paraId="781E482C" w14:textId="77777777" w:rsidR="00C613CF" w:rsidRPr="00242E69" w:rsidRDefault="00C613CF" w:rsidP="00C613CF">
            <w:pPr>
              <w:spacing w:line="160" w:lineRule="exact"/>
              <w:rPr>
                <w:sz w:val="15"/>
                <w:szCs w:val="15"/>
              </w:rPr>
            </w:pPr>
          </w:p>
        </w:tc>
        <w:tc>
          <w:tcPr>
            <w:tcW w:w="907" w:type="dxa"/>
            <w:vAlign w:val="bottom"/>
          </w:tcPr>
          <w:p w14:paraId="3CC3C775"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3DC79691"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2CE801F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B9FE034"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F6920AE"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F177B5F"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2E49BEA"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773E46E2"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B323501" w14:textId="77777777" w:rsidR="00C613CF" w:rsidRPr="00242E69" w:rsidRDefault="00C613CF" w:rsidP="00C613CF">
            <w:pPr>
              <w:tabs>
                <w:tab w:val="decimal" w:pos="113"/>
              </w:tabs>
              <w:spacing w:line="160" w:lineRule="exact"/>
              <w:rPr>
                <w:sz w:val="15"/>
                <w:szCs w:val="15"/>
                <w:rtl/>
              </w:rPr>
            </w:pPr>
          </w:p>
        </w:tc>
      </w:tr>
      <w:tr w:rsidR="00C613CF" w:rsidRPr="00C54C0C" w14:paraId="1DC3DB4F" w14:textId="77777777" w:rsidTr="00364535">
        <w:tc>
          <w:tcPr>
            <w:tcW w:w="1133" w:type="dxa"/>
            <w:tcBorders>
              <w:top w:val="single" w:sz="4" w:space="0" w:color="auto"/>
            </w:tcBorders>
          </w:tcPr>
          <w:p w14:paraId="5F4F681E" w14:textId="77777777" w:rsidR="00C613CF" w:rsidRPr="000B1730" w:rsidRDefault="00C613CF" w:rsidP="00C613CF">
            <w:pPr>
              <w:widowControl/>
              <w:tabs>
                <w:tab w:val="left" w:pos="227"/>
                <w:tab w:val="left" w:pos="397"/>
                <w:tab w:val="left" w:pos="567"/>
              </w:tabs>
              <w:spacing w:line="120" w:lineRule="auto"/>
              <w:jc w:val="right"/>
              <w:rPr>
                <w:i/>
                <w:iCs/>
                <w:sz w:val="13"/>
                <w:szCs w:val="13"/>
                <w:rtl/>
              </w:rPr>
            </w:pPr>
          </w:p>
        </w:tc>
        <w:tc>
          <w:tcPr>
            <w:tcW w:w="3232" w:type="dxa"/>
            <w:shd w:val="clear" w:color="auto" w:fill="auto"/>
            <w:vAlign w:val="bottom"/>
          </w:tcPr>
          <w:p w14:paraId="045A3A11" w14:textId="77777777" w:rsidR="00C613CF" w:rsidRPr="00A227B8" w:rsidRDefault="00C613CF" w:rsidP="00C613CF">
            <w:pPr>
              <w:widowControl/>
              <w:tabs>
                <w:tab w:val="left" w:pos="227"/>
                <w:tab w:val="left" w:pos="397"/>
                <w:tab w:val="left" w:pos="567"/>
              </w:tabs>
              <w:spacing w:line="120" w:lineRule="auto"/>
              <w:rPr>
                <w:sz w:val="16"/>
                <w:szCs w:val="16"/>
                <w:rtl/>
              </w:rPr>
            </w:pPr>
          </w:p>
        </w:tc>
        <w:tc>
          <w:tcPr>
            <w:tcW w:w="113" w:type="dxa"/>
            <w:shd w:val="clear" w:color="auto" w:fill="auto"/>
            <w:vAlign w:val="bottom"/>
          </w:tcPr>
          <w:p w14:paraId="1472589F"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vAlign w:val="bottom"/>
          </w:tcPr>
          <w:p w14:paraId="01BE9951" w14:textId="77777777" w:rsidR="00C613CF" w:rsidRPr="00242E69" w:rsidRDefault="00C613CF" w:rsidP="00C613CF">
            <w:pPr>
              <w:widowControl/>
              <w:tabs>
                <w:tab w:val="left" w:pos="227"/>
                <w:tab w:val="left" w:pos="397"/>
                <w:tab w:val="left" w:pos="567"/>
              </w:tabs>
              <w:spacing w:line="120" w:lineRule="auto"/>
              <w:rPr>
                <w:sz w:val="15"/>
                <w:szCs w:val="15"/>
                <w:rtl/>
              </w:rPr>
            </w:pPr>
          </w:p>
        </w:tc>
        <w:tc>
          <w:tcPr>
            <w:tcW w:w="113" w:type="dxa"/>
            <w:vAlign w:val="bottom"/>
          </w:tcPr>
          <w:p w14:paraId="080C6BD5"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gridSpan w:val="2"/>
            <w:shd w:val="clear" w:color="auto" w:fill="auto"/>
            <w:vAlign w:val="bottom"/>
          </w:tcPr>
          <w:p w14:paraId="5F916EB8"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113" w:type="dxa"/>
            <w:shd w:val="clear" w:color="auto" w:fill="auto"/>
            <w:vAlign w:val="bottom"/>
          </w:tcPr>
          <w:p w14:paraId="69517D58"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shd w:val="clear" w:color="auto" w:fill="auto"/>
            <w:vAlign w:val="bottom"/>
          </w:tcPr>
          <w:p w14:paraId="76429B31" w14:textId="77777777" w:rsidR="00C613CF" w:rsidRPr="00242E69" w:rsidRDefault="00C613CF" w:rsidP="00C613CF">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74489B29"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shd w:val="clear" w:color="auto" w:fill="auto"/>
            <w:vAlign w:val="bottom"/>
          </w:tcPr>
          <w:p w14:paraId="2075778C"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113" w:type="dxa"/>
            <w:shd w:val="clear" w:color="auto" w:fill="auto"/>
            <w:vAlign w:val="bottom"/>
          </w:tcPr>
          <w:p w14:paraId="5577EEE1"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1081" w:type="dxa"/>
            <w:shd w:val="clear" w:color="auto" w:fill="auto"/>
            <w:vAlign w:val="bottom"/>
          </w:tcPr>
          <w:p w14:paraId="75141057" w14:textId="77777777" w:rsidR="00C613CF" w:rsidRPr="00242E69" w:rsidRDefault="00C613CF" w:rsidP="00C613CF">
            <w:pPr>
              <w:widowControl/>
              <w:tabs>
                <w:tab w:val="left" w:pos="227"/>
                <w:tab w:val="left" w:pos="397"/>
                <w:tab w:val="left" w:pos="567"/>
              </w:tabs>
              <w:spacing w:line="120" w:lineRule="auto"/>
              <w:rPr>
                <w:sz w:val="15"/>
                <w:szCs w:val="15"/>
                <w:rtl/>
              </w:rPr>
            </w:pPr>
          </w:p>
        </w:tc>
      </w:tr>
      <w:tr w:rsidR="00C613CF" w:rsidRPr="00C54C0C" w14:paraId="05B01550" w14:textId="77777777" w:rsidTr="00364535">
        <w:tc>
          <w:tcPr>
            <w:tcW w:w="1133" w:type="dxa"/>
            <w:vMerge w:val="restart"/>
            <w:tcBorders>
              <w:bottom w:val="single" w:sz="4" w:space="0" w:color="auto"/>
              <w:right w:val="single" w:sz="4" w:space="0" w:color="auto"/>
            </w:tcBorders>
            <w:vAlign w:val="center"/>
          </w:tcPr>
          <w:p w14:paraId="7DC1295B"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7.16(a)</w:t>
            </w:r>
          </w:p>
        </w:tc>
        <w:tc>
          <w:tcPr>
            <w:tcW w:w="3232" w:type="dxa"/>
            <w:tcBorders>
              <w:left w:val="single" w:sz="4" w:space="0" w:color="auto"/>
            </w:tcBorders>
            <w:shd w:val="clear" w:color="auto" w:fill="auto"/>
            <w:vAlign w:val="bottom"/>
          </w:tcPr>
          <w:p w14:paraId="765C8915"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רכישת רכוש קבוע</w:t>
            </w:r>
          </w:p>
        </w:tc>
        <w:tc>
          <w:tcPr>
            <w:tcW w:w="113" w:type="dxa"/>
            <w:shd w:val="clear" w:color="auto" w:fill="auto"/>
            <w:vAlign w:val="bottom"/>
          </w:tcPr>
          <w:p w14:paraId="5703E2BD" w14:textId="77777777" w:rsidR="00C613CF" w:rsidRPr="00242E69" w:rsidRDefault="00C613CF" w:rsidP="00C613CF">
            <w:pPr>
              <w:spacing w:line="160" w:lineRule="exact"/>
              <w:rPr>
                <w:sz w:val="15"/>
                <w:szCs w:val="15"/>
              </w:rPr>
            </w:pPr>
          </w:p>
        </w:tc>
        <w:tc>
          <w:tcPr>
            <w:tcW w:w="907" w:type="dxa"/>
            <w:vAlign w:val="bottom"/>
          </w:tcPr>
          <w:p w14:paraId="4B1E4D18"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648062CA"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2C5ACDC1"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2942DF2"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9B365AB"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250394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AB1F87E"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896A6F4"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768FCCC8" w14:textId="77777777" w:rsidR="00C613CF" w:rsidRPr="00242E69" w:rsidRDefault="00C613CF" w:rsidP="00C613CF">
            <w:pPr>
              <w:tabs>
                <w:tab w:val="decimal" w:pos="113"/>
              </w:tabs>
              <w:spacing w:line="160" w:lineRule="exact"/>
              <w:rPr>
                <w:sz w:val="15"/>
                <w:szCs w:val="15"/>
                <w:rtl/>
              </w:rPr>
            </w:pPr>
          </w:p>
        </w:tc>
      </w:tr>
      <w:tr w:rsidR="00C613CF" w:rsidRPr="00C54C0C" w14:paraId="00E9D63B" w14:textId="77777777" w:rsidTr="00364535">
        <w:tc>
          <w:tcPr>
            <w:tcW w:w="1133" w:type="dxa"/>
            <w:vMerge/>
            <w:tcBorders>
              <w:bottom w:val="single" w:sz="4" w:space="0" w:color="auto"/>
              <w:right w:val="single" w:sz="4" w:space="0" w:color="auto"/>
            </w:tcBorders>
          </w:tcPr>
          <w:p w14:paraId="4F2E4CE4"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tcBorders>
              <w:left w:val="single" w:sz="4" w:space="0" w:color="auto"/>
            </w:tcBorders>
            <w:shd w:val="clear" w:color="auto" w:fill="auto"/>
            <w:vAlign w:val="bottom"/>
          </w:tcPr>
          <w:p w14:paraId="3E48B4D3"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רכישת נדל"ן להשקעה</w:t>
            </w:r>
          </w:p>
        </w:tc>
        <w:tc>
          <w:tcPr>
            <w:tcW w:w="113" w:type="dxa"/>
            <w:shd w:val="clear" w:color="auto" w:fill="auto"/>
            <w:vAlign w:val="bottom"/>
          </w:tcPr>
          <w:p w14:paraId="064DCF02" w14:textId="77777777" w:rsidR="00C613CF" w:rsidRPr="00242E69" w:rsidRDefault="00C613CF" w:rsidP="00C613CF">
            <w:pPr>
              <w:spacing w:line="160" w:lineRule="exact"/>
              <w:rPr>
                <w:sz w:val="15"/>
                <w:szCs w:val="15"/>
              </w:rPr>
            </w:pPr>
          </w:p>
        </w:tc>
        <w:tc>
          <w:tcPr>
            <w:tcW w:w="907" w:type="dxa"/>
            <w:vAlign w:val="bottom"/>
          </w:tcPr>
          <w:p w14:paraId="720B36B9"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333F3D7C"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1C2695A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F47750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360FC62"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ABF24F3"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1F966F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7EF6F0A"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783A8A7" w14:textId="77777777" w:rsidR="00C613CF" w:rsidRPr="00242E69" w:rsidRDefault="00C613CF" w:rsidP="00C613CF">
            <w:pPr>
              <w:tabs>
                <w:tab w:val="decimal" w:pos="113"/>
              </w:tabs>
              <w:spacing w:line="160" w:lineRule="exact"/>
              <w:rPr>
                <w:sz w:val="15"/>
                <w:szCs w:val="15"/>
                <w:rtl/>
              </w:rPr>
            </w:pPr>
          </w:p>
        </w:tc>
      </w:tr>
      <w:tr w:rsidR="00C613CF" w:rsidRPr="00C54C0C" w14:paraId="7319C76A" w14:textId="77777777" w:rsidTr="00364535">
        <w:tc>
          <w:tcPr>
            <w:tcW w:w="1133" w:type="dxa"/>
            <w:tcBorders>
              <w:top w:val="single" w:sz="4" w:space="0" w:color="auto"/>
            </w:tcBorders>
          </w:tcPr>
          <w:p w14:paraId="25CC3475"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260527A0"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מענקי השקעה שהתקבלו</w:t>
            </w:r>
            <w:r w:rsidRPr="00A227B8">
              <w:rPr>
                <w:rStyle w:val="ab"/>
                <w:sz w:val="16"/>
                <w:szCs w:val="16"/>
              </w:rPr>
              <w:footnoteReference w:id="55"/>
            </w:r>
          </w:p>
        </w:tc>
        <w:tc>
          <w:tcPr>
            <w:tcW w:w="113" w:type="dxa"/>
            <w:shd w:val="clear" w:color="auto" w:fill="auto"/>
            <w:vAlign w:val="bottom"/>
          </w:tcPr>
          <w:p w14:paraId="2ECDF02B" w14:textId="77777777" w:rsidR="00C613CF" w:rsidRPr="00242E69" w:rsidRDefault="00C613CF" w:rsidP="00C613CF">
            <w:pPr>
              <w:spacing w:line="160" w:lineRule="exact"/>
              <w:rPr>
                <w:sz w:val="15"/>
                <w:szCs w:val="15"/>
              </w:rPr>
            </w:pPr>
          </w:p>
        </w:tc>
        <w:tc>
          <w:tcPr>
            <w:tcW w:w="907" w:type="dxa"/>
            <w:vAlign w:val="bottom"/>
          </w:tcPr>
          <w:p w14:paraId="2D8364F2"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24C46667"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1D994E61"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D60AFFA"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14BC5A7"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2EA5FDC"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46C685B"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DEC3CCE"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AE58B32" w14:textId="77777777" w:rsidR="00C613CF" w:rsidRPr="00242E69" w:rsidRDefault="00C613CF" w:rsidP="00C613CF">
            <w:pPr>
              <w:tabs>
                <w:tab w:val="decimal" w:pos="113"/>
              </w:tabs>
              <w:spacing w:line="160" w:lineRule="exact"/>
              <w:rPr>
                <w:sz w:val="15"/>
                <w:szCs w:val="15"/>
                <w:rtl/>
              </w:rPr>
            </w:pPr>
          </w:p>
        </w:tc>
      </w:tr>
      <w:tr w:rsidR="00C613CF" w:rsidRPr="00C54C0C" w14:paraId="71E62CCC" w14:textId="77777777" w:rsidTr="00364535">
        <w:tc>
          <w:tcPr>
            <w:tcW w:w="1133" w:type="dxa"/>
            <w:tcBorders>
              <w:bottom w:val="single" w:sz="4" w:space="0" w:color="auto"/>
              <w:right w:val="single" w:sz="4" w:space="0" w:color="auto"/>
            </w:tcBorders>
          </w:tcPr>
          <w:p w14:paraId="3F042DEF"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7.39</w:t>
            </w:r>
          </w:p>
        </w:tc>
        <w:tc>
          <w:tcPr>
            <w:tcW w:w="3232" w:type="dxa"/>
            <w:tcBorders>
              <w:left w:val="single" w:sz="4" w:space="0" w:color="auto"/>
            </w:tcBorders>
            <w:shd w:val="clear" w:color="auto" w:fill="auto"/>
            <w:vAlign w:val="bottom"/>
          </w:tcPr>
          <w:p w14:paraId="1E63108E"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רכישת חברות מאוחדות שאוחדו לראשונה (ב)</w:t>
            </w:r>
          </w:p>
        </w:tc>
        <w:tc>
          <w:tcPr>
            <w:tcW w:w="113" w:type="dxa"/>
            <w:shd w:val="clear" w:color="auto" w:fill="auto"/>
            <w:vAlign w:val="bottom"/>
          </w:tcPr>
          <w:p w14:paraId="597ECC2F" w14:textId="77777777" w:rsidR="00C613CF" w:rsidRPr="00242E69" w:rsidRDefault="00C613CF" w:rsidP="00C613CF">
            <w:pPr>
              <w:spacing w:line="160" w:lineRule="exact"/>
              <w:rPr>
                <w:sz w:val="15"/>
                <w:szCs w:val="15"/>
              </w:rPr>
            </w:pPr>
          </w:p>
        </w:tc>
        <w:tc>
          <w:tcPr>
            <w:tcW w:w="907" w:type="dxa"/>
            <w:vAlign w:val="bottom"/>
          </w:tcPr>
          <w:p w14:paraId="706C148B"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D5D00CB"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73F465F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1F82560"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7BE7E5C"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520268E3"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17EB8A9"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57F1053"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66A20D54" w14:textId="77777777" w:rsidR="00C613CF" w:rsidRPr="00242E69" w:rsidRDefault="00C613CF" w:rsidP="00C613CF">
            <w:pPr>
              <w:tabs>
                <w:tab w:val="decimal" w:pos="113"/>
              </w:tabs>
              <w:spacing w:line="160" w:lineRule="exact"/>
              <w:rPr>
                <w:sz w:val="15"/>
                <w:szCs w:val="15"/>
                <w:rtl/>
              </w:rPr>
            </w:pPr>
          </w:p>
        </w:tc>
      </w:tr>
      <w:tr w:rsidR="00C613CF" w:rsidRPr="00C54C0C" w14:paraId="1B387049" w14:textId="77777777" w:rsidTr="00364535">
        <w:tc>
          <w:tcPr>
            <w:tcW w:w="1133" w:type="dxa"/>
            <w:tcBorders>
              <w:top w:val="single" w:sz="4" w:space="0" w:color="auto"/>
            </w:tcBorders>
          </w:tcPr>
          <w:p w14:paraId="265193C9"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229F3B4C"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רכישת חברות המטופלות לפי שיטת השווי המאזני</w:t>
            </w:r>
          </w:p>
        </w:tc>
        <w:tc>
          <w:tcPr>
            <w:tcW w:w="113" w:type="dxa"/>
            <w:shd w:val="clear" w:color="auto" w:fill="auto"/>
            <w:vAlign w:val="bottom"/>
          </w:tcPr>
          <w:p w14:paraId="51B28BB4" w14:textId="77777777" w:rsidR="00C613CF" w:rsidRPr="00242E69" w:rsidRDefault="00C613CF" w:rsidP="00C613CF">
            <w:pPr>
              <w:spacing w:line="160" w:lineRule="exact"/>
              <w:rPr>
                <w:sz w:val="15"/>
                <w:szCs w:val="15"/>
              </w:rPr>
            </w:pPr>
          </w:p>
        </w:tc>
        <w:tc>
          <w:tcPr>
            <w:tcW w:w="907" w:type="dxa"/>
            <w:vAlign w:val="bottom"/>
          </w:tcPr>
          <w:p w14:paraId="49A661F7"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0F0917F3"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AE8893C"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75E5B95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903D982"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3BC0BC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01D5419"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030058B"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5D5183C1" w14:textId="77777777" w:rsidR="00C613CF" w:rsidRPr="00242E69" w:rsidRDefault="00C613CF" w:rsidP="00C613CF">
            <w:pPr>
              <w:tabs>
                <w:tab w:val="decimal" w:pos="113"/>
              </w:tabs>
              <w:spacing w:line="160" w:lineRule="exact"/>
              <w:rPr>
                <w:sz w:val="15"/>
                <w:szCs w:val="15"/>
                <w:rtl/>
              </w:rPr>
            </w:pPr>
          </w:p>
        </w:tc>
      </w:tr>
      <w:tr w:rsidR="00C613CF" w:rsidRPr="00C54C0C" w14:paraId="748A87A9" w14:textId="77777777" w:rsidTr="00364535">
        <w:tc>
          <w:tcPr>
            <w:tcW w:w="1133" w:type="dxa"/>
            <w:tcBorders>
              <w:bottom w:val="single" w:sz="4" w:space="0" w:color="auto"/>
              <w:right w:val="single" w:sz="4" w:space="0" w:color="auto"/>
            </w:tcBorders>
          </w:tcPr>
          <w:p w14:paraId="5F386CF2"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7.16(a)</w:t>
            </w:r>
          </w:p>
        </w:tc>
        <w:tc>
          <w:tcPr>
            <w:tcW w:w="3232" w:type="dxa"/>
            <w:tcBorders>
              <w:left w:val="single" w:sz="4" w:space="0" w:color="auto"/>
            </w:tcBorders>
            <w:shd w:val="clear" w:color="auto" w:fill="auto"/>
            <w:vAlign w:val="bottom"/>
          </w:tcPr>
          <w:p w14:paraId="12B8643F"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רכישת נכסים בלתי מוחשיים</w:t>
            </w:r>
          </w:p>
        </w:tc>
        <w:tc>
          <w:tcPr>
            <w:tcW w:w="113" w:type="dxa"/>
            <w:shd w:val="clear" w:color="auto" w:fill="auto"/>
            <w:vAlign w:val="bottom"/>
          </w:tcPr>
          <w:p w14:paraId="46EA80AE" w14:textId="77777777" w:rsidR="00C613CF" w:rsidRPr="00242E69" w:rsidRDefault="00C613CF" w:rsidP="00C613CF">
            <w:pPr>
              <w:spacing w:line="160" w:lineRule="exact"/>
              <w:rPr>
                <w:sz w:val="15"/>
                <w:szCs w:val="15"/>
              </w:rPr>
            </w:pPr>
          </w:p>
        </w:tc>
        <w:tc>
          <w:tcPr>
            <w:tcW w:w="907" w:type="dxa"/>
            <w:vAlign w:val="bottom"/>
          </w:tcPr>
          <w:p w14:paraId="2D576B1A"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0DB4A0C3"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58803EC"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E0B5F9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55EB1B9"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CD4AA7A"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59CBA8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8AB927A"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391EFADB" w14:textId="77777777" w:rsidR="00C613CF" w:rsidRPr="00242E69" w:rsidRDefault="00C613CF" w:rsidP="00C613CF">
            <w:pPr>
              <w:tabs>
                <w:tab w:val="decimal" w:pos="113"/>
              </w:tabs>
              <w:spacing w:line="160" w:lineRule="exact"/>
              <w:rPr>
                <w:sz w:val="15"/>
                <w:szCs w:val="15"/>
                <w:rtl/>
              </w:rPr>
            </w:pPr>
          </w:p>
        </w:tc>
      </w:tr>
      <w:tr w:rsidR="00C613CF" w:rsidRPr="00C54C0C" w14:paraId="65275D19" w14:textId="77777777" w:rsidTr="00364535">
        <w:tc>
          <w:tcPr>
            <w:tcW w:w="1133" w:type="dxa"/>
            <w:tcBorders>
              <w:top w:val="single" w:sz="4" w:space="0" w:color="auto"/>
              <w:bottom w:val="single" w:sz="4" w:space="0" w:color="auto"/>
              <w:right w:val="single" w:sz="4" w:space="0" w:color="auto"/>
            </w:tcBorders>
          </w:tcPr>
          <w:p w14:paraId="01835203"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7.16(c)</w:t>
            </w:r>
          </w:p>
        </w:tc>
        <w:tc>
          <w:tcPr>
            <w:tcW w:w="3232" w:type="dxa"/>
            <w:tcBorders>
              <w:left w:val="single" w:sz="4" w:space="0" w:color="auto"/>
            </w:tcBorders>
            <w:shd w:val="clear" w:color="auto" w:fill="auto"/>
            <w:vAlign w:val="bottom"/>
          </w:tcPr>
          <w:p w14:paraId="25EDFB0F" w14:textId="3AA47060" w:rsidR="00C613CF" w:rsidRPr="00A227B8" w:rsidRDefault="00C613CF" w:rsidP="00ED7BA1">
            <w:pPr>
              <w:pStyle w:val="a3"/>
              <w:tabs>
                <w:tab w:val="left" w:pos="227"/>
                <w:tab w:val="left" w:pos="397"/>
                <w:tab w:val="left" w:pos="567"/>
              </w:tabs>
              <w:spacing w:line="160" w:lineRule="exact"/>
              <w:ind w:left="227" w:hanging="170"/>
              <w:rPr>
                <w:sz w:val="16"/>
                <w:szCs w:val="16"/>
                <w:rtl/>
              </w:rPr>
            </w:pPr>
            <w:r w:rsidRPr="00A227B8">
              <w:rPr>
                <w:rFonts w:hint="cs"/>
                <w:sz w:val="16"/>
                <w:szCs w:val="16"/>
                <w:rtl/>
              </w:rPr>
              <w:t xml:space="preserve">רכישת נכסים פיננסיים </w:t>
            </w:r>
            <w:r w:rsidR="00ED7BA1" w:rsidRPr="00A227B8">
              <w:rPr>
                <w:rFonts w:hint="cs"/>
                <w:sz w:val="16"/>
                <w:szCs w:val="16"/>
                <w:rtl/>
              </w:rPr>
              <w:t>הנמדדים בשווי הוגן דרך רווח כולל אחר</w:t>
            </w:r>
          </w:p>
        </w:tc>
        <w:tc>
          <w:tcPr>
            <w:tcW w:w="113" w:type="dxa"/>
            <w:shd w:val="clear" w:color="auto" w:fill="auto"/>
            <w:vAlign w:val="bottom"/>
          </w:tcPr>
          <w:p w14:paraId="35C52A3E" w14:textId="77777777" w:rsidR="00C613CF" w:rsidRPr="00242E69" w:rsidRDefault="00C613CF" w:rsidP="00C613CF">
            <w:pPr>
              <w:spacing w:line="160" w:lineRule="exact"/>
              <w:rPr>
                <w:sz w:val="15"/>
                <w:szCs w:val="15"/>
              </w:rPr>
            </w:pPr>
          </w:p>
        </w:tc>
        <w:tc>
          <w:tcPr>
            <w:tcW w:w="907" w:type="dxa"/>
            <w:vAlign w:val="bottom"/>
          </w:tcPr>
          <w:p w14:paraId="67F26FEA"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5ABC4F01"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052FC1E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42E0A38"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54AB746"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5E65C35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1046C7A"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1C245CF"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34FCE699" w14:textId="77777777" w:rsidR="00C613CF" w:rsidRPr="00242E69" w:rsidRDefault="00C613CF" w:rsidP="00C613CF">
            <w:pPr>
              <w:tabs>
                <w:tab w:val="decimal" w:pos="113"/>
              </w:tabs>
              <w:spacing w:line="160" w:lineRule="exact"/>
              <w:rPr>
                <w:sz w:val="15"/>
                <w:szCs w:val="15"/>
                <w:rtl/>
              </w:rPr>
            </w:pPr>
          </w:p>
        </w:tc>
      </w:tr>
      <w:tr w:rsidR="00C613CF" w:rsidRPr="00C54C0C" w14:paraId="7148CDC1" w14:textId="77777777" w:rsidTr="00364535">
        <w:tc>
          <w:tcPr>
            <w:tcW w:w="1133" w:type="dxa"/>
            <w:tcBorders>
              <w:top w:val="single" w:sz="4" w:space="0" w:color="auto"/>
            </w:tcBorders>
          </w:tcPr>
          <w:p w14:paraId="322B84A7"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4A8CC080"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רכישת נכסים פיננסיים הנמדדים בשווי הוגן דרך רווח או הפסד</w:t>
            </w:r>
            <w:r w:rsidRPr="00364535">
              <w:rPr>
                <w:rStyle w:val="ab"/>
                <w:rFonts w:hint="cs"/>
                <w:sz w:val="12"/>
                <w:szCs w:val="16"/>
                <w:rtl/>
              </w:rPr>
              <w:t>3</w:t>
            </w:r>
          </w:p>
        </w:tc>
        <w:tc>
          <w:tcPr>
            <w:tcW w:w="113" w:type="dxa"/>
            <w:shd w:val="clear" w:color="auto" w:fill="auto"/>
            <w:vAlign w:val="bottom"/>
          </w:tcPr>
          <w:p w14:paraId="14C1D36E" w14:textId="77777777" w:rsidR="00C613CF" w:rsidRPr="00242E69" w:rsidRDefault="00C613CF" w:rsidP="00C613CF">
            <w:pPr>
              <w:spacing w:line="160" w:lineRule="exact"/>
              <w:rPr>
                <w:sz w:val="15"/>
                <w:szCs w:val="15"/>
              </w:rPr>
            </w:pPr>
          </w:p>
        </w:tc>
        <w:tc>
          <w:tcPr>
            <w:tcW w:w="907" w:type="dxa"/>
            <w:vAlign w:val="bottom"/>
          </w:tcPr>
          <w:p w14:paraId="6AD8F023"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1F814C01"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3E4D7B62"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D83413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F696997"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3A04AFCE"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0D945AE"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A5307DF"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E619974" w14:textId="77777777" w:rsidR="00C613CF" w:rsidRPr="00242E69" w:rsidRDefault="00C613CF" w:rsidP="00C613CF">
            <w:pPr>
              <w:tabs>
                <w:tab w:val="decimal" w:pos="113"/>
              </w:tabs>
              <w:spacing w:line="160" w:lineRule="exact"/>
              <w:rPr>
                <w:sz w:val="15"/>
                <w:szCs w:val="15"/>
                <w:rtl/>
              </w:rPr>
            </w:pPr>
          </w:p>
        </w:tc>
      </w:tr>
      <w:tr w:rsidR="00C613CF" w:rsidRPr="00C54C0C" w14:paraId="42440D72" w14:textId="77777777" w:rsidTr="00364535">
        <w:tc>
          <w:tcPr>
            <w:tcW w:w="1133" w:type="dxa"/>
            <w:vMerge w:val="restart"/>
            <w:tcBorders>
              <w:bottom w:val="single" w:sz="4" w:space="0" w:color="auto"/>
              <w:right w:val="single" w:sz="4" w:space="0" w:color="auto"/>
            </w:tcBorders>
          </w:tcPr>
          <w:p w14:paraId="110A646B"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7.16(b)</w:t>
            </w:r>
          </w:p>
        </w:tc>
        <w:tc>
          <w:tcPr>
            <w:tcW w:w="3232" w:type="dxa"/>
            <w:tcBorders>
              <w:left w:val="single" w:sz="4" w:space="0" w:color="auto"/>
            </w:tcBorders>
            <w:shd w:val="clear" w:color="auto" w:fill="auto"/>
            <w:vAlign w:val="bottom"/>
          </w:tcPr>
          <w:p w14:paraId="56BB27B9"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תמורה ממימוש רכוש קבוע</w:t>
            </w:r>
          </w:p>
        </w:tc>
        <w:tc>
          <w:tcPr>
            <w:tcW w:w="113" w:type="dxa"/>
            <w:shd w:val="clear" w:color="auto" w:fill="auto"/>
            <w:vAlign w:val="bottom"/>
          </w:tcPr>
          <w:p w14:paraId="64EFCFA7" w14:textId="77777777" w:rsidR="00C613CF" w:rsidRPr="00242E69" w:rsidRDefault="00C613CF" w:rsidP="00C613CF">
            <w:pPr>
              <w:spacing w:line="160" w:lineRule="exact"/>
              <w:rPr>
                <w:sz w:val="15"/>
                <w:szCs w:val="15"/>
              </w:rPr>
            </w:pPr>
          </w:p>
        </w:tc>
        <w:tc>
          <w:tcPr>
            <w:tcW w:w="907" w:type="dxa"/>
            <w:vAlign w:val="bottom"/>
          </w:tcPr>
          <w:p w14:paraId="5EFE25A3"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56F6D49A"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5646F17C"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7AAAFE3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CE72122"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9EEBBC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6A7153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2E4C65B"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D9A4489" w14:textId="77777777" w:rsidR="00C613CF" w:rsidRPr="00242E69" w:rsidRDefault="00C613CF" w:rsidP="00C613CF">
            <w:pPr>
              <w:tabs>
                <w:tab w:val="decimal" w:pos="113"/>
              </w:tabs>
              <w:spacing w:line="160" w:lineRule="exact"/>
              <w:rPr>
                <w:sz w:val="15"/>
                <w:szCs w:val="15"/>
                <w:rtl/>
              </w:rPr>
            </w:pPr>
          </w:p>
        </w:tc>
      </w:tr>
      <w:tr w:rsidR="00C613CF" w:rsidRPr="00C54C0C" w14:paraId="3DB11CFE" w14:textId="77777777" w:rsidTr="00364535">
        <w:tc>
          <w:tcPr>
            <w:tcW w:w="1133" w:type="dxa"/>
            <w:vMerge/>
            <w:tcBorders>
              <w:bottom w:val="single" w:sz="4" w:space="0" w:color="auto"/>
              <w:right w:val="single" w:sz="4" w:space="0" w:color="auto"/>
            </w:tcBorders>
          </w:tcPr>
          <w:p w14:paraId="47C49871"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tcBorders>
              <w:left w:val="single" w:sz="4" w:space="0" w:color="auto"/>
            </w:tcBorders>
            <w:shd w:val="clear" w:color="auto" w:fill="auto"/>
            <w:vAlign w:val="bottom"/>
          </w:tcPr>
          <w:p w14:paraId="5C191292"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תמורה ממימוש נדל"ן להשקעה</w:t>
            </w:r>
          </w:p>
        </w:tc>
        <w:tc>
          <w:tcPr>
            <w:tcW w:w="113" w:type="dxa"/>
            <w:shd w:val="clear" w:color="auto" w:fill="auto"/>
            <w:vAlign w:val="bottom"/>
          </w:tcPr>
          <w:p w14:paraId="48EA5DFB" w14:textId="77777777" w:rsidR="00C613CF" w:rsidRPr="00242E69" w:rsidRDefault="00C613CF" w:rsidP="00C613CF">
            <w:pPr>
              <w:spacing w:line="160" w:lineRule="exact"/>
              <w:rPr>
                <w:sz w:val="15"/>
                <w:szCs w:val="15"/>
              </w:rPr>
            </w:pPr>
          </w:p>
        </w:tc>
        <w:tc>
          <w:tcPr>
            <w:tcW w:w="907" w:type="dxa"/>
            <w:vAlign w:val="bottom"/>
          </w:tcPr>
          <w:p w14:paraId="62243216"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21A24FE9"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AE04FEB"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A66E601"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892831E"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47BCC5B4"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FF95FE3"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CE0449C"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2B4D08B" w14:textId="77777777" w:rsidR="00C613CF" w:rsidRPr="00242E69" w:rsidRDefault="00C613CF" w:rsidP="00C613CF">
            <w:pPr>
              <w:tabs>
                <w:tab w:val="decimal" w:pos="113"/>
              </w:tabs>
              <w:spacing w:line="160" w:lineRule="exact"/>
              <w:rPr>
                <w:sz w:val="15"/>
                <w:szCs w:val="15"/>
                <w:rtl/>
              </w:rPr>
            </w:pPr>
          </w:p>
        </w:tc>
      </w:tr>
      <w:tr w:rsidR="00C613CF" w:rsidRPr="00C54C0C" w14:paraId="72226E00" w14:textId="77777777" w:rsidTr="00364535">
        <w:tc>
          <w:tcPr>
            <w:tcW w:w="1133" w:type="dxa"/>
            <w:tcBorders>
              <w:top w:val="single" w:sz="4" w:space="0" w:color="auto"/>
              <w:bottom w:val="single" w:sz="4" w:space="0" w:color="auto"/>
              <w:right w:val="single" w:sz="4" w:space="0" w:color="auto"/>
            </w:tcBorders>
            <w:vAlign w:val="center"/>
          </w:tcPr>
          <w:p w14:paraId="4EB21477"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7.39</w:t>
            </w:r>
          </w:p>
        </w:tc>
        <w:tc>
          <w:tcPr>
            <w:tcW w:w="3232" w:type="dxa"/>
            <w:tcBorders>
              <w:left w:val="single" w:sz="4" w:space="0" w:color="auto"/>
            </w:tcBorders>
            <w:shd w:val="clear" w:color="auto" w:fill="auto"/>
            <w:vAlign w:val="bottom"/>
          </w:tcPr>
          <w:p w14:paraId="20C7EB0E"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תמורה ממימוש השקעות בחברות מאוחדות שאוחדו בעבר (א)</w:t>
            </w:r>
          </w:p>
        </w:tc>
        <w:tc>
          <w:tcPr>
            <w:tcW w:w="113" w:type="dxa"/>
            <w:shd w:val="clear" w:color="auto" w:fill="auto"/>
            <w:vAlign w:val="bottom"/>
          </w:tcPr>
          <w:p w14:paraId="3091390D" w14:textId="77777777" w:rsidR="00C613CF" w:rsidRPr="00242E69" w:rsidRDefault="00C613CF" w:rsidP="00C613CF">
            <w:pPr>
              <w:spacing w:line="160" w:lineRule="exact"/>
              <w:rPr>
                <w:sz w:val="15"/>
                <w:szCs w:val="15"/>
              </w:rPr>
            </w:pPr>
          </w:p>
        </w:tc>
        <w:tc>
          <w:tcPr>
            <w:tcW w:w="907" w:type="dxa"/>
            <w:vAlign w:val="bottom"/>
          </w:tcPr>
          <w:p w14:paraId="4E466DB5"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EEB8541"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2C63F9EA"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2773DAF"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386147B"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49CC651C"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14FC661"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C7A3D99"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6899DF8F" w14:textId="77777777" w:rsidR="00C613CF" w:rsidRPr="00242E69" w:rsidRDefault="00C613CF" w:rsidP="00C613CF">
            <w:pPr>
              <w:tabs>
                <w:tab w:val="decimal" w:pos="113"/>
              </w:tabs>
              <w:spacing w:line="160" w:lineRule="exact"/>
              <w:rPr>
                <w:sz w:val="15"/>
                <w:szCs w:val="15"/>
                <w:rtl/>
              </w:rPr>
            </w:pPr>
          </w:p>
        </w:tc>
      </w:tr>
      <w:tr w:rsidR="00C613CF" w:rsidRPr="00C54C0C" w14:paraId="270F9DC9" w14:textId="77777777" w:rsidTr="00364535">
        <w:tc>
          <w:tcPr>
            <w:tcW w:w="1133" w:type="dxa"/>
            <w:tcBorders>
              <w:top w:val="single" w:sz="4" w:space="0" w:color="auto"/>
            </w:tcBorders>
          </w:tcPr>
          <w:p w14:paraId="2DE2FC46"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77F4D015"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תמורה ממימוש השקעות בחברות המטופלות לפי שיטת השווי המאזני</w:t>
            </w:r>
          </w:p>
        </w:tc>
        <w:tc>
          <w:tcPr>
            <w:tcW w:w="113" w:type="dxa"/>
            <w:shd w:val="clear" w:color="auto" w:fill="auto"/>
            <w:vAlign w:val="bottom"/>
          </w:tcPr>
          <w:p w14:paraId="05DFC0D9" w14:textId="77777777" w:rsidR="00C613CF" w:rsidRPr="00242E69" w:rsidRDefault="00C613CF" w:rsidP="00C613CF">
            <w:pPr>
              <w:spacing w:line="160" w:lineRule="exact"/>
              <w:rPr>
                <w:sz w:val="15"/>
                <w:szCs w:val="15"/>
              </w:rPr>
            </w:pPr>
          </w:p>
        </w:tc>
        <w:tc>
          <w:tcPr>
            <w:tcW w:w="907" w:type="dxa"/>
            <w:vAlign w:val="bottom"/>
          </w:tcPr>
          <w:p w14:paraId="73F60B30"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41181FC8"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5588127F"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03A7FF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3F4CA4F6"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A6156F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3524DA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778AB66"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3B542B58" w14:textId="77777777" w:rsidR="00C613CF" w:rsidRPr="00242E69" w:rsidRDefault="00C613CF" w:rsidP="00C613CF">
            <w:pPr>
              <w:tabs>
                <w:tab w:val="decimal" w:pos="113"/>
              </w:tabs>
              <w:spacing w:line="160" w:lineRule="exact"/>
              <w:rPr>
                <w:sz w:val="15"/>
                <w:szCs w:val="15"/>
                <w:rtl/>
              </w:rPr>
            </w:pPr>
          </w:p>
        </w:tc>
      </w:tr>
      <w:tr w:rsidR="00C613CF" w:rsidRPr="00C54C0C" w14:paraId="5B4C7F0A" w14:textId="77777777" w:rsidTr="00364535">
        <w:tc>
          <w:tcPr>
            <w:tcW w:w="1133" w:type="dxa"/>
            <w:tcBorders>
              <w:bottom w:val="single" w:sz="4" w:space="0" w:color="auto"/>
              <w:right w:val="single" w:sz="4" w:space="0" w:color="auto"/>
            </w:tcBorders>
          </w:tcPr>
          <w:p w14:paraId="1D24F5DF"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7.16(d)</w:t>
            </w:r>
          </w:p>
        </w:tc>
        <w:tc>
          <w:tcPr>
            <w:tcW w:w="3232" w:type="dxa"/>
            <w:tcBorders>
              <w:left w:val="single" w:sz="4" w:space="0" w:color="auto"/>
            </w:tcBorders>
            <w:shd w:val="clear" w:color="auto" w:fill="auto"/>
            <w:vAlign w:val="bottom"/>
          </w:tcPr>
          <w:p w14:paraId="2DF93B4A" w14:textId="5177E4FF" w:rsidR="00C613CF" w:rsidRPr="00A227B8" w:rsidRDefault="00C613CF" w:rsidP="00ED7BA1">
            <w:pPr>
              <w:pStyle w:val="a3"/>
              <w:tabs>
                <w:tab w:val="left" w:pos="227"/>
                <w:tab w:val="left" w:pos="397"/>
                <w:tab w:val="left" w:pos="567"/>
              </w:tabs>
              <w:spacing w:line="160" w:lineRule="exact"/>
              <w:ind w:left="227" w:hanging="170"/>
              <w:rPr>
                <w:sz w:val="16"/>
                <w:szCs w:val="16"/>
              </w:rPr>
            </w:pPr>
            <w:r w:rsidRPr="00A227B8">
              <w:rPr>
                <w:rFonts w:hint="cs"/>
                <w:sz w:val="16"/>
                <w:szCs w:val="16"/>
                <w:rtl/>
              </w:rPr>
              <w:t xml:space="preserve">תמורה ממימוש נכסים פיננסיים </w:t>
            </w:r>
            <w:r w:rsidR="00ED7BA1" w:rsidRPr="00A227B8">
              <w:rPr>
                <w:rFonts w:hint="cs"/>
                <w:sz w:val="16"/>
                <w:szCs w:val="16"/>
                <w:rtl/>
              </w:rPr>
              <w:t>הנמדדים בשווי הוגן דרך רווח כולל אחר</w:t>
            </w:r>
          </w:p>
        </w:tc>
        <w:tc>
          <w:tcPr>
            <w:tcW w:w="113" w:type="dxa"/>
            <w:shd w:val="clear" w:color="auto" w:fill="auto"/>
            <w:vAlign w:val="bottom"/>
          </w:tcPr>
          <w:p w14:paraId="4D64401A" w14:textId="77777777" w:rsidR="00C613CF" w:rsidRPr="00242E69" w:rsidRDefault="00C613CF" w:rsidP="00C613CF">
            <w:pPr>
              <w:spacing w:line="160" w:lineRule="exact"/>
              <w:rPr>
                <w:sz w:val="15"/>
                <w:szCs w:val="15"/>
              </w:rPr>
            </w:pPr>
          </w:p>
        </w:tc>
        <w:tc>
          <w:tcPr>
            <w:tcW w:w="907" w:type="dxa"/>
            <w:vAlign w:val="bottom"/>
          </w:tcPr>
          <w:p w14:paraId="19FC0475"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443BC44"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59A6CA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7046DE2A"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9C5E47F"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67DBC40F"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4FD712D"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9EBC39C"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4BBFFAE" w14:textId="77777777" w:rsidR="00C613CF" w:rsidRPr="00242E69" w:rsidRDefault="00C613CF" w:rsidP="00C613CF">
            <w:pPr>
              <w:tabs>
                <w:tab w:val="decimal" w:pos="113"/>
              </w:tabs>
              <w:spacing w:line="160" w:lineRule="exact"/>
              <w:rPr>
                <w:sz w:val="15"/>
                <w:szCs w:val="15"/>
                <w:rtl/>
              </w:rPr>
            </w:pPr>
          </w:p>
        </w:tc>
      </w:tr>
      <w:tr w:rsidR="00C613CF" w:rsidRPr="00C54C0C" w14:paraId="281AE240" w14:textId="77777777" w:rsidTr="00364535">
        <w:tc>
          <w:tcPr>
            <w:tcW w:w="1133" w:type="dxa"/>
            <w:tcBorders>
              <w:top w:val="single" w:sz="4" w:space="0" w:color="auto"/>
            </w:tcBorders>
          </w:tcPr>
          <w:p w14:paraId="20B291C1"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7D8E5AE6"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תמורה ממימוש נכסים פיננסיים הנמדדים בשווי הוגן דרך רווח או הפסד</w:t>
            </w:r>
            <w:r w:rsidRPr="00A227B8">
              <w:rPr>
                <w:rStyle w:val="ab"/>
                <w:sz w:val="16"/>
                <w:szCs w:val="16"/>
                <w:rtl/>
              </w:rPr>
              <w:footnoteReference w:id="56"/>
            </w:r>
            <w:r w:rsidRPr="00A227B8">
              <w:rPr>
                <w:rFonts w:hint="cs"/>
                <w:sz w:val="16"/>
                <w:szCs w:val="16"/>
                <w:rtl/>
              </w:rPr>
              <w:t xml:space="preserve"> </w:t>
            </w:r>
          </w:p>
        </w:tc>
        <w:tc>
          <w:tcPr>
            <w:tcW w:w="113" w:type="dxa"/>
            <w:shd w:val="clear" w:color="auto" w:fill="auto"/>
            <w:vAlign w:val="bottom"/>
          </w:tcPr>
          <w:p w14:paraId="594215D3" w14:textId="77777777" w:rsidR="00C613CF" w:rsidRPr="00242E69" w:rsidRDefault="00C613CF" w:rsidP="00C613CF">
            <w:pPr>
              <w:spacing w:line="160" w:lineRule="exact"/>
              <w:rPr>
                <w:sz w:val="15"/>
                <w:szCs w:val="15"/>
              </w:rPr>
            </w:pPr>
          </w:p>
        </w:tc>
        <w:tc>
          <w:tcPr>
            <w:tcW w:w="907" w:type="dxa"/>
            <w:vAlign w:val="bottom"/>
          </w:tcPr>
          <w:p w14:paraId="574C2B9F"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20326927"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48F8B058"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791FC22"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68267DE"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53D75603"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70B8AEF"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0DD9E22"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310857BE" w14:textId="77777777" w:rsidR="00C613CF" w:rsidRPr="00242E69" w:rsidRDefault="00C613CF" w:rsidP="00C613CF">
            <w:pPr>
              <w:tabs>
                <w:tab w:val="decimal" w:pos="113"/>
              </w:tabs>
              <w:spacing w:line="160" w:lineRule="exact"/>
              <w:rPr>
                <w:sz w:val="15"/>
                <w:szCs w:val="15"/>
                <w:rtl/>
              </w:rPr>
            </w:pPr>
          </w:p>
        </w:tc>
      </w:tr>
      <w:tr w:rsidR="00C613CF" w:rsidRPr="00C54C0C" w14:paraId="7BBDA02B" w14:textId="77777777" w:rsidTr="00364535">
        <w:tc>
          <w:tcPr>
            <w:tcW w:w="1133" w:type="dxa"/>
          </w:tcPr>
          <w:p w14:paraId="2A667D01"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38D65B57"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מתן הלוואות ואשראי אחר לזמן ארוך</w:t>
            </w:r>
          </w:p>
        </w:tc>
        <w:tc>
          <w:tcPr>
            <w:tcW w:w="113" w:type="dxa"/>
            <w:shd w:val="clear" w:color="auto" w:fill="auto"/>
            <w:vAlign w:val="bottom"/>
          </w:tcPr>
          <w:p w14:paraId="127AF97E" w14:textId="77777777" w:rsidR="00C613CF" w:rsidRPr="00242E69" w:rsidRDefault="00C613CF" w:rsidP="00C613CF">
            <w:pPr>
              <w:spacing w:line="160" w:lineRule="exact"/>
              <w:rPr>
                <w:sz w:val="15"/>
                <w:szCs w:val="15"/>
              </w:rPr>
            </w:pPr>
          </w:p>
        </w:tc>
        <w:tc>
          <w:tcPr>
            <w:tcW w:w="907" w:type="dxa"/>
            <w:vAlign w:val="bottom"/>
          </w:tcPr>
          <w:p w14:paraId="12C204EF"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3843F41B"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21F87AE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48F3074"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442B1C1"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5DA9E3E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998BD87"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3ABCF1D"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01357B08" w14:textId="77777777" w:rsidR="00C613CF" w:rsidRPr="00242E69" w:rsidRDefault="00C613CF" w:rsidP="00C613CF">
            <w:pPr>
              <w:tabs>
                <w:tab w:val="decimal" w:pos="113"/>
              </w:tabs>
              <w:spacing w:line="160" w:lineRule="exact"/>
              <w:rPr>
                <w:sz w:val="15"/>
                <w:szCs w:val="15"/>
                <w:rtl/>
              </w:rPr>
            </w:pPr>
          </w:p>
        </w:tc>
      </w:tr>
      <w:tr w:rsidR="00C613CF" w:rsidRPr="00C54C0C" w14:paraId="45C997C0" w14:textId="77777777" w:rsidTr="00364535">
        <w:tc>
          <w:tcPr>
            <w:tcW w:w="1133" w:type="dxa"/>
          </w:tcPr>
          <w:p w14:paraId="34B68FA7"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5AB1CC9D"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גביית הלוואות ואשראי אחר לזמן ארוך</w:t>
            </w:r>
          </w:p>
        </w:tc>
        <w:tc>
          <w:tcPr>
            <w:tcW w:w="113" w:type="dxa"/>
            <w:shd w:val="clear" w:color="auto" w:fill="auto"/>
            <w:vAlign w:val="bottom"/>
          </w:tcPr>
          <w:p w14:paraId="72037FCB" w14:textId="77777777" w:rsidR="00C613CF" w:rsidRPr="00242E69" w:rsidRDefault="00C613CF" w:rsidP="00C613CF">
            <w:pPr>
              <w:spacing w:line="160" w:lineRule="exact"/>
              <w:rPr>
                <w:sz w:val="15"/>
                <w:szCs w:val="15"/>
              </w:rPr>
            </w:pPr>
          </w:p>
        </w:tc>
        <w:tc>
          <w:tcPr>
            <w:tcW w:w="907" w:type="dxa"/>
            <w:vAlign w:val="bottom"/>
          </w:tcPr>
          <w:p w14:paraId="0B4A8A02"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459D1A8F"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3710C3C1"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9329AD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56B91EF"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4ACA5783"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F8C26B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EB50F92"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3232185" w14:textId="77777777" w:rsidR="00C613CF" w:rsidRPr="00242E69" w:rsidRDefault="00C613CF" w:rsidP="00C613CF">
            <w:pPr>
              <w:tabs>
                <w:tab w:val="decimal" w:pos="113"/>
              </w:tabs>
              <w:spacing w:line="160" w:lineRule="exact"/>
              <w:rPr>
                <w:sz w:val="15"/>
                <w:szCs w:val="15"/>
                <w:rtl/>
              </w:rPr>
            </w:pPr>
          </w:p>
        </w:tc>
      </w:tr>
      <w:tr w:rsidR="00C613CF" w:rsidRPr="00C54C0C" w14:paraId="0CF46D61" w14:textId="77777777" w:rsidTr="00364535">
        <w:tc>
          <w:tcPr>
            <w:tcW w:w="1133" w:type="dxa"/>
          </w:tcPr>
          <w:p w14:paraId="61CF6F93"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6DF83789"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מתן הלוואות לזמן קצר</w:t>
            </w:r>
            <w:r w:rsidRPr="00A227B8">
              <w:rPr>
                <w:rFonts w:hint="cs"/>
                <w:sz w:val="16"/>
                <w:szCs w:val="16"/>
                <w:vertAlign w:val="superscript"/>
                <w:rtl/>
              </w:rPr>
              <w:t>3</w:t>
            </w:r>
          </w:p>
        </w:tc>
        <w:tc>
          <w:tcPr>
            <w:tcW w:w="113" w:type="dxa"/>
            <w:shd w:val="clear" w:color="auto" w:fill="auto"/>
            <w:vAlign w:val="bottom"/>
          </w:tcPr>
          <w:p w14:paraId="66777A81" w14:textId="77777777" w:rsidR="00C613CF" w:rsidRPr="00242E69" w:rsidRDefault="00C613CF" w:rsidP="00C613CF">
            <w:pPr>
              <w:spacing w:line="160" w:lineRule="exact"/>
              <w:rPr>
                <w:sz w:val="15"/>
                <w:szCs w:val="15"/>
              </w:rPr>
            </w:pPr>
          </w:p>
        </w:tc>
        <w:tc>
          <w:tcPr>
            <w:tcW w:w="907" w:type="dxa"/>
            <w:vAlign w:val="bottom"/>
          </w:tcPr>
          <w:p w14:paraId="10A38AE5"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6D143979"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3BEDBF5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AD1FAC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48E17B4"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6A3040CF"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8333F08"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105FD15"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DCAED0A" w14:textId="77777777" w:rsidR="00C613CF" w:rsidRPr="00242E69" w:rsidRDefault="00C613CF" w:rsidP="00C613CF">
            <w:pPr>
              <w:tabs>
                <w:tab w:val="decimal" w:pos="113"/>
              </w:tabs>
              <w:spacing w:line="160" w:lineRule="exact"/>
              <w:rPr>
                <w:sz w:val="15"/>
                <w:szCs w:val="15"/>
                <w:rtl/>
              </w:rPr>
            </w:pPr>
          </w:p>
        </w:tc>
      </w:tr>
      <w:tr w:rsidR="00C613CF" w:rsidRPr="00C54C0C" w14:paraId="739707AF" w14:textId="77777777" w:rsidTr="00364535">
        <w:tc>
          <w:tcPr>
            <w:tcW w:w="1133" w:type="dxa"/>
          </w:tcPr>
          <w:p w14:paraId="1814E66D"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74D8A24F"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גביית הלוואות לזמן קצר</w:t>
            </w:r>
            <w:r w:rsidRPr="00A227B8">
              <w:rPr>
                <w:rFonts w:hint="cs"/>
                <w:sz w:val="16"/>
                <w:szCs w:val="16"/>
                <w:vertAlign w:val="superscript"/>
                <w:rtl/>
              </w:rPr>
              <w:t>3</w:t>
            </w:r>
          </w:p>
        </w:tc>
        <w:tc>
          <w:tcPr>
            <w:tcW w:w="113" w:type="dxa"/>
            <w:shd w:val="clear" w:color="auto" w:fill="auto"/>
            <w:vAlign w:val="bottom"/>
          </w:tcPr>
          <w:p w14:paraId="35D7B22D" w14:textId="77777777" w:rsidR="00C613CF" w:rsidRPr="00242E69" w:rsidRDefault="00C613CF" w:rsidP="00C613CF">
            <w:pPr>
              <w:spacing w:line="160" w:lineRule="exact"/>
              <w:rPr>
                <w:sz w:val="15"/>
                <w:szCs w:val="15"/>
              </w:rPr>
            </w:pPr>
          </w:p>
        </w:tc>
        <w:tc>
          <w:tcPr>
            <w:tcW w:w="907" w:type="dxa"/>
            <w:shd w:val="clear" w:color="auto" w:fill="auto"/>
            <w:vAlign w:val="bottom"/>
          </w:tcPr>
          <w:p w14:paraId="2EDB3D65"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2BCF0563"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400E7B8F"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6A6F990"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EC0D045"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5602C16E"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2C3750C"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F6E3043"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13E718E" w14:textId="77777777" w:rsidR="00C613CF" w:rsidRPr="00242E69" w:rsidRDefault="00C613CF" w:rsidP="00C613CF">
            <w:pPr>
              <w:tabs>
                <w:tab w:val="decimal" w:pos="113"/>
              </w:tabs>
              <w:spacing w:line="160" w:lineRule="exact"/>
              <w:rPr>
                <w:sz w:val="15"/>
                <w:szCs w:val="15"/>
                <w:rtl/>
              </w:rPr>
            </w:pPr>
          </w:p>
        </w:tc>
      </w:tr>
      <w:tr w:rsidR="00C613CF" w:rsidRPr="00C54C0C" w14:paraId="70140EA1" w14:textId="77777777" w:rsidTr="00364535">
        <w:tc>
          <w:tcPr>
            <w:tcW w:w="1133" w:type="dxa"/>
          </w:tcPr>
          <w:p w14:paraId="040EC023" w14:textId="77777777" w:rsidR="00C613CF" w:rsidRPr="000B1730" w:rsidRDefault="00C613CF" w:rsidP="00C613CF">
            <w:pPr>
              <w:widowControl/>
              <w:tabs>
                <w:tab w:val="left" w:pos="227"/>
                <w:tab w:val="left" w:pos="397"/>
                <w:tab w:val="left" w:pos="567"/>
              </w:tabs>
              <w:bidi w:val="0"/>
              <w:spacing w:line="160" w:lineRule="exact"/>
              <w:ind w:right="57"/>
              <w:jc w:val="right"/>
              <w:rPr>
                <w:i/>
                <w:iCs/>
                <w:sz w:val="13"/>
                <w:szCs w:val="13"/>
              </w:rPr>
            </w:pPr>
          </w:p>
        </w:tc>
        <w:tc>
          <w:tcPr>
            <w:tcW w:w="3232" w:type="dxa"/>
            <w:shd w:val="clear" w:color="auto" w:fill="auto"/>
            <w:vAlign w:val="bottom"/>
          </w:tcPr>
          <w:p w14:paraId="44EDA00F"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הפקדת פקדונות בתאגידים בנקאיים</w:t>
            </w:r>
            <w:r w:rsidRPr="00A227B8">
              <w:rPr>
                <w:rFonts w:hint="cs"/>
                <w:sz w:val="16"/>
                <w:szCs w:val="16"/>
                <w:vertAlign w:val="superscript"/>
                <w:rtl/>
              </w:rPr>
              <w:t>3</w:t>
            </w:r>
          </w:p>
        </w:tc>
        <w:tc>
          <w:tcPr>
            <w:tcW w:w="113" w:type="dxa"/>
            <w:shd w:val="clear" w:color="auto" w:fill="auto"/>
            <w:vAlign w:val="bottom"/>
          </w:tcPr>
          <w:p w14:paraId="6B2232C4" w14:textId="77777777" w:rsidR="00C613CF" w:rsidRPr="00242E69" w:rsidRDefault="00C613CF" w:rsidP="00C613CF">
            <w:pPr>
              <w:spacing w:line="160" w:lineRule="exact"/>
              <w:rPr>
                <w:sz w:val="15"/>
                <w:szCs w:val="15"/>
              </w:rPr>
            </w:pPr>
          </w:p>
        </w:tc>
        <w:tc>
          <w:tcPr>
            <w:tcW w:w="907" w:type="dxa"/>
            <w:shd w:val="clear" w:color="auto" w:fill="auto"/>
            <w:vAlign w:val="bottom"/>
          </w:tcPr>
          <w:p w14:paraId="1A0288CF"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6E472D8F"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3BABC847"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82F130D"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0FAA998"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3B491E2F"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F17D579"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0659272"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63AFF342" w14:textId="77777777" w:rsidR="00C613CF" w:rsidRPr="00242E69" w:rsidRDefault="00C613CF" w:rsidP="00C613CF">
            <w:pPr>
              <w:tabs>
                <w:tab w:val="decimal" w:pos="113"/>
              </w:tabs>
              <w:spacing w:line="160" w:lineRule="exact"/>
              <w:rPr>
                <w:sz w:val="15"/>
                <w:szCs w:val="15"/>
                <w:rtl/>
              </w:rPr>
            </w:pPr>
          </w:p>
        </w:tc>
      </w:tr>
      <w:tr w:rsidR="00C613CF" w:rsidRPr="00C54C0C" w14:paraId="70415D41" w14:textId="77777777" w:rsidTr="00364535">
        <w:tc>
          <w:tcPr>
            <w:tcW w:w="1133" w:type="dxa"/>
          </w:tcPr>
          <w:p w14:paraId="4C8226A8"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3811D1B9"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גביית פקדונות בתאגידים בנקאיים</w:t>
            </w:r>
            <w:r w:rsidRPr="00A227B8">
              <w:rPr>
                <w:rFonts w:hint="cs"/>
                <w:sz w:val="16"/>
                <w:szCs w:val="16"/>
                <w:vertAlign w:val="superscript"/>
                <w:rtl/>
              </w:rPr>
              <w:t>3</w:t>
            </w:r>
          </w:p>
        </w:tc>
        <w:tc>
          <w:tcPr>
            <w:tcW w:w="113" w:type="dxa"/>
            <w:shd w:val="clear" w:color="auto" w:fill="auto"/>
            <w:vAlign w:val="bottom"/>
          </w:tcPr>
          <w:p w14:paraId="1EA7861E" w14:textId="77777777" w:rsidR="00C613CF" w:rsidRPr="00242E69" w:rsidRDefault="00C613CF" w:rsidP="00C613CF">
            <w:pPr>
              <w:spacing w:line="160" w:lineRule="exact"/>
              <w:rPr>
                <w:sz w:val="15"/>
                <w:szCs w:val="15"/>
              </w:rPr>
            </w:pPr>
          </w:p>
        </w:tc>
        <w:tc>
          <w:tcPr>
            <w:tcW w:w="907" w:type="dxa"/>
            <w:tcBorders>
              <w:bottom w:val="single" w:sz="6" w:space="0" w:color="auto"/>
            </w:tcBorders>
            <w:shd w:val="clear" w:color="auto" w:fill="auto"/>
            <w:vAlign w:val="bottom"/>
          </w:tcPr>
          <w:p w14:paraId="1BD0F38F"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3A1C7371" w14:textId="77777777" w:rsidR="00C613CF" w:rsidRPr="00242E69" w:rsidRDefault="00C613CF" w:rsidP="00C613CF">
            <w:pPr>
              <w:tabs>
                <w:tab w:val="decimal" w:pos="113"/>
              </w:tabs>
              <w:spacing w:line="160" w:lineRule="exact"/>
              <w:rPr>
                <w:sz w:val="15"/>
                <w:szCs w:val="15"/>
              </w:rPr>
            </w:pPr>
          </w:p>
        </w:tc>
        <w:tc>
          <w:tcPr>
            <w:tcW w:w="907" w:type="dxa"/>
            <w:gridSpan w:val="2"/>
            <w:tcBorders>
              <w:bottom w:val="single" w:sz="6" w:space="0" w:color="auto"/>
            </w:tcBorders>
            <w:shd w:val="clear" w:color="auto" w:fill="auto"/>
            <w:vAlign w:val="bottom"/>
          </w:tcPr>
          <w:p w14:paraId="70857C42"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BFCD162" w14:textId="77777777" w:rsidR="00C613CF" w:rsidRPr="00242E69" w:rsidRDefault="00C613CF" w:rsidP="00C613CF">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3CF97B89"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4A0515EE" w14:textId="77777777" w:rsidR="00C613CF" w:rsidRPr="00242E69" w:rsidRDefault="00C613CF" w:rsidP="00C613CF">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40271929"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6FD2199" w14:textId="77777777" w:rsidR="00C613CF" w:rsidRPr="00242E69" w:rsidRDefault="00C613CF" w:rsidP="00C613CF">
            <w:pPr>
              <w:tabs>
                <w:tab w:val="decimal" w:pos="113"/>
              </w:tabs>
              <w:spacing w:line="160" w:lineRule="exact"/>
              <w:rPr>
                <w:sz w:val="15"/>
                <w:szCs w:val="15"/>
              </w:rPr>
            </w:pPr>
          </w:p>
        </w:tc>
        <w:tc>
          <w:tcPr>
            <w:tcW w:w="1081" w:type="dxa"/>
            <w:tcBorders>
              <w:bottom w:val="single" w:sz="6" w:space="0" w:color="auto"/>
            </w:tcBorders>
            <w:shd w:val="clear" w:color="auto" w:fill="auto"/>
            <w:vAlign w:val="bottom"/>
          </w:tcPr>
          <w:p w14:paraId="27FEAD0C" w14:textId="77777777" w:rsidR="00C613CF" w:rsidRPr="00242E69" w:rsidRDefault="00C613CF" w:rsidP="00C613CF">
            <w:pPr>
              <w:tabs>
                <w:tab w:val="decimal" w:pos="113"/>
              </w:tabs>
              <w:spacing w:line="160" w:lineRule="exact"/>
              <w:rPr>
                <w:sz w:val="15"/>
                <w:szCs w:val="15"/>
                <w:rtl/>
              </w:rPr>
            </w:pPr>
          </w:p>
        </w:tc>
      </w:tr>
      <w:tr w:rsidR="00C613CF" w:rsidRPr="00C54C0C" w14:paraId="229DC2FA" w14:textId="77777777" w:rsidTr="00364535">
        <w:tc>
          <w:tcPr>
            <w:tcW w:w="1133" w:type="dxa"/>
          </w:tcPr>
          <w:p w14:paraId="16A373C9" w14:textId="77777777" w:rsidR="00C613CF" w:rsidRPr="000B1730" w:rsidRDefault="00C613CF" w:rsidP="00C613CF">
            <w:pPr>
              <w:widowControl/>
              <w:tabs>
                <w:tab w:val="left" w:pos="227"/>
                <w:tab w:val="left" w:pos="397"/>
                <w:tab w:val="left" w:pos="567"/>
              </w:tabs>
              <w:bidi w:val="0"/>
              <w:spacing w:line="160" w:lineRule="exact"/>
              <w:ind w:right="57"/>
              <w:jc w:val="right"/>
              <w:rPr>
                <w:i/>
                <w:iCs/>
                <w:sz w:val="13"/>
                <w:szCs w:val="13"/>
              </w:rPr>
            </w:pPr>
          </w:p>
        </w:tc>
        <w:tc>
          <w:tcPr>
            <w:tcW w:w="3232" w:type="dxa"/>
            <w:shd w:val="clear" w:color="auto" w:fill="auto"/>
            <w:vAlign w:val="bottom"/>
          </w:tcPr>
          <w:p w14:paraId="179DB286" w14:textId="77777777" w:rsidR="00C613CF" w:rsidRPr="00A227B8" w:rsidRDefault="00C613CF" w:rsidP="00C613CF">
            <w:pPr>
              <w:widowControl/>
              <w:tabs>
                <w:tab w:val="left" w:pos="227"/>
                <w:tab w:val="left" w:pos="397"/>
                <w:tab w:val="left" w:pos="567"/>
              </w:tabs>
              <w:spacing w:line="160" w:lineRule="exact"/>
              <w:rPr>
                <w:sz w:val="16"/>
                <w:szCs w:val="16"/>
              </w:rPr>
            </w:pPr>
          </w:p>
        </w:tc>
        <w:tc>
          <w:tcPr>
            <w:tcW w:w="113" w:type="dxa"/>
            <w:shd w:val="clear" w:color="auto" w:fill="auto"/>
            <w:vAlign w:val="bottom"/>
          </w:tcPr>
          <w:p w14:paraId="17D6839E"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tcBorders>
              <w:top w:val="single" w:sz="6" w:space="0" w:color="auto"/>
            </w:tcBorders>
            <w:vAlign w:val="bottom"/>
          </w:tcPr>
          <w:p w14:paraId="1B83FC13" w14:textId="77777777" w:rsidR="00C613CF" w:rsidRPr="00242E69" w:rsidRDefault="00C613CF" w:rsidP="00C613CF">
            <w:pPr>
              <w:widowControl/>
              <w:tabs>
                <w:tab w:val="left" w:pos="227"/>
                <w:tab w:val="left" w:pos="397"/>
                <w:tab w:val="left" w:pos="567"/>
              </w:tabs>
              <w:spacing w:line="160" w:lineRule="exact"/>
              <w:rPr>
                <w:sz w:val="15"/>
                <w:szCs w:val="15"/>
                <w:rtl/>
              </w:rPr>
            </w:pPr>
          </w:p>
        </w:tc>
        <w:tc>
          <w:tcPr>
            <w:tcW w:w="113" w:type="dxa"/>
            <w:vAlign w:val="bottom"/>
          </w:tcPr>
          <w:p w14:paraId="316A16CE"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gridSpan w:val="2"/>
            <w:tcBorders>
              <w:top w:val="single" w:sz="6" w:space="0" w:color="auto"/>
            </w:tcBorders>
            <w:shd w:val="clear" w:color="auto" w:fill="auto"/>
            <w:vAlign w:val="bottom"/>
          </w:tcPr>
          <w:p w14:paraId="4DF9B5A0"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113" w:type="dxa"/>
            <w:shd w:val="clear" w:color="auto" w:fill="auto"/>
            <w:vAlign w:val="bottom"/>
          </w:tcPr>
          <w:p w14:paraId="7FB99E54"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tcBorders>
              <w:top w:val="single" w:sz="6" w:space="0" w:color="auto"/>
            </w:tcBorders>
            <w:shd w:val="clear" w:color="auto" w:fill="auto"/>
            <w:vAlign w:val="bottom"/>
          </w:tcPr>
          <w:p w14:paraId="0EFBE93D" w14:textId="77777777" w:rsidR="00C613CF" w:rsidRPr="00242E69" w:rsidRDefault="00C613CF" w:rsidP="00C613CF">
            <w:pPr>
              <w:widowControl/>
              <w:tabs>
                <w:tab w:val="left" w:pos="227"/>
                <w:tab w:val="left" w:pos="397"/>
                <w:tab w:val="left" w:pos="567"/>
              </w:tabs>
              <w:spacing w:line="160" w:lineRule="exact"/>
              <w:rPr>
                <w:sz w:val="15"/>
                <w:szCs w:val="15"/>
                <w:rtl/>
              </w:rPr>
            </w:pPr>
          </w:p>
        </w:tc>
        <w:tc>
          <w:tcPr>
            <w:tcW w:w="113" w:type="dxa"/>
            <w:shd w:val="clear" w:color="auto" w:fill="auto"/>
            <w:vAlign w:val="bottom"/>
          </w:tcPr>
          <w:p w14:paraId="712F9236"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tcBorders>
              <w:top w:val="single" w:sz="6" w:space="0" w:color="auto"/>
            </w:tcBorders>
            <w:shd w:val="clear" w:color="auto" w:fill="auto"/>
            <w:vAlign w:val="bottom"/>
          </w:tcPr>
          <w:p w14:paraId="490925A4"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113" w:type="dxa"/>
            <w:shd w:val="clear" w:color="auto" w:fill="auto"/>
            <w:vAlign w:val="bottom"/>
          </w:tcPr>
          <w:p w14:paraId="7EF5E083"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1081" w:type="dxa"/>
            <w:tcBorders>
              <w:top w:val="single" w:sz="6" w:space="0" w:color="auto"/>
            </w:tcBorders>
            <w:shd w:val="clear" w:color="auto" w:fill="auto"/>
            <w:vAlign w:val="bottom"/>
          </w:tcPr>
          <w:p w14:paraId="39B2FCEC" w14:textId="77777777" w:rsidR="00C613CF" w:rsidRPr="00242E69" w:rsidRDefault="00C613CF" w:rsidP="00C613CF">
            <w:pPr>
              <w:widowControl/>
              <w:tabs>
                <w:tab w:val="left" w:pos="227"/>
                <w:tab w:val="left" w:pos="397"/>
                <w:tab w:val="left" w:pos="567"/>
              </w:tabs>
              <w:spacing w:line="160" w:lineRule="exact"/>
              <w:rPr>
                <w:sz w:val="15"/>
                <w:szCs w:val="15"/>
                <w:rtl/>
              </w:rPr>
            </w:pPr>
          </w:p>
        </w:tc>
      </w:tr>
      <w:tr w:rsidR="00C613CF" w:rsidRPr="00C54C0C" w14:paraId="223CDCEE" w14:textId="77777777" w:rsidTr="00364535">
        <w:tc>
          <w:tcPr>
            <w:tcW w:w="1133" w:type="dxa"/>
          </w:tcPr>
          <w:p w14:paraId="194DB11D"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5490532A"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מזומנים נטו שנבעו מפעילות (ששימשו לפעילות) השקעה</w:t>
            </w:r>
          </w:p>
        </w:tc>
        <w:tc>
          <w:tcPr>
            <w:tcW w:w="113" w:type="dxa"/>
            <w:shd w:val="clear" w:color="auto" w:fill="auto"/>
            <w:vAlign w:val="bottom"/>
          </w:tcPr>
          <w:p w14:paraId="3FD363D9" w14:textId="77777777" w:rsidR="00C613CF" w:rsidRPr="00242E69" w:rsidRDefault="00C613CF" w:rsidP="00C613CF">
            <w:pPr>
              <w:spacing w:line="160" w:lineRule="exact"/>
              <w:rPr>
                <w:sz w:val="15"/>
                <w:szCs w:val="15"/>
              </w:rPr>
            </w:pPr>
          </w:p>
        </w:tc>
        <w:tc>
          <w:tcPr>
            <w:tcW w:w="907" w:type="dxa"/>
            <w:tcBorders>
              <w:bottom w:val="single" w:sz="6" w:space="0" w:color="auto"/>
            </w:tcBorders>
            <w:shd w:val="clear" w:color="auto" w:fill="auto"/>
            <w:vAlign w:val="bottom"/>
          </w:tcPr>
          <w:p w14:paraId="2BAA63C2"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42C1E0D8" w14:textId="77777777" w:rsidR="00C613CF" w:rsidRPr="00242E69" w:rsidRDefault="00C613CF" w:rsidP="00C613CF">
            <w:pPr>
              <w:tabs>
                <w:tab w:val="decimal" w:pos="113"/>
              </w:tabs>
              <w:spacing w:line="160" w:lineRule="exact"/>
              <w:rPr>
                <w:sz w:val="15"/>
                <w:szCs w:val="15"/>
              </w:rPr>
            </w:pPr>
          </w:p>
        </w:tc>
        <w:tc>
          <w:tcPr>
            <w:tcW w:w="907" w:type="dxa"/>
            <w:gridSpan w:val="2"/>
            <w:tcBorders>
              <w:bottom w:val="single" w:sz="6" w:space="0" w:color="auto"/>
            </w:tcBorders>
            <w:shd w:val="clear" w:color="auto" w:fill="auto"/>
            <w:vAlign w:val="bottom"/>
          </w:tcPr>
          <w:p w14:paraId="22DB905E"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C3E2E14" w14:textId="77777777" w:rsidR="00C613CF" w:rsidRPr="00242E69" w:rsidRDefault="00C613CF" w:rsidP="00C613CF">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587A9D7D"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2F8B7A6" w14:textId="77777777" w:rsidR="00C613CF" w:rsidRPr="00242E69" w:rsidRDefault="00C613CF" w:rsidP="00C613CF">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4AAA431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0DC4623" w14:textId="77777777" w:rsidR="00C613CF" w:rsidRPr="00242E69" w:rsidRDefault="00C613CF" w:rsidP="00C613CF">
            <w:pPr>
              <w:tabs>
                <w:tab w:val="decimal" w:pos="113"/>
              </w:tabs>
              <w:spacing w:line="160" w:lineRule="exact"/>
              <w:rPr>
                <w:sz w:val="15"/>
                <w:szCs w:val="15"/>
              </w:rPr>
            </w:pPr>
          </w:p>
        </w:tc>
        <w:tc>
          <w:tcPr>
            <w:tcW w:w="1081" w:type="dxa"/>
            <w:tcBorders>
              <w:bottom w:val="single" w:sz="6" w:space="0" w:color="auto"/>
            </w:tcBorders>
            <w:shd w:val="clear" w:color="auto" w:fill="auto"/>
            <w:vAlign w:val="bottom"/>
          </w:tcPr>
          <w:p w14:paraId="1D7B6776" w14:textId="77777777" w:rsidR="00C613CF" w:rsidRPr="00242E69" w:rsidRDefault="00C613CF" w:rsidP="00C613CF">
            <w:pPr>
              <w:tabs>
                <w:tab w:val="decimal" w:pos="113"/>
              </w:tabs>
              <w:spacing w:line="160" w:lineRule="exact"/>
              <w:rPr>
                <w:sz w:val="15"/>
                <w:szCs w:val="15"/>
                <w:rtl/>
              </w:rPr>
            </w:pPr>
          </w:p>
        </w:tc>
      </w:tr>
      <w:tr w:rsidR="00C613CF" w:rsidRPr="00C54C0C" w14:paraId="00C768DB" w14:textId="77777777" w:rsidTr="00364535">
        <w:tc>
          <w:tcPr>
            <w:tcW w:w="1133" w:type="dxa"/>
          </w:tcPr>
          <w:p w14:paraId="13F46B3F" w14:textId="77777777" w:rsidR="00C613CF" w:rsidRPr="000B1730" w:rsidRDefault="00C613CF" w:rsidP="00C613CF">
            <w:pPr>
              <w:widowControl/>
              <w:tabs>
                <w:tab w:val="left" w:pos="227"/>
                <w:tab w:val="left" w:pos="397"/>
                <w:tab w:val="left" w:pos="567"/>
              </w:tabs>
              <w:spacing w:line="120" w:lineRule="auto"/>
              <w:jc w:val="right"/>
              <w:rPr>
                <w:i/>
                <w:iCs/>
                <w:sz w:val="13"/>
                <w:szCs w:val="13"/>
              </w:rPr>
            </w:pPr>
          </w:p>
        </w:tc>
        <w:tc>
          <w:tcPr>
            <w:tcW w:w="3232" w:type="dxa"/>
            <w:shd w:val="clear" w:color="auto" w:fill="auto"/>
            <w:vAlign w:val="bottom"/>
          </w:tcPr>
          <w:p w14:paraId="22C30460" w14:textId="77777777" w:rsidR="00C613CF" w:rsidRPr="00A227B8" w:rsidRDefault="00C613CF" w:rsidP="00C613CF">
            <w:pPr>
              <w:widowControl/>
              <w:tabs>
                <w:tab w:val="left" w:pos="227"/>
                <w:tab w:val="left" w:pos="397"/>
                <w:tab w:val="left" w:pos="567"/>
              </w:tabs>
              <w:spacing w:line="120" w:lineRule="auto"/>
              <w:rPr>
                <w:sz w:val="16"/>
                <w:szCs w:val="16"/>
              </w:rPr>
            </w:pPr>
          </w:p>
        </w:tc>
        <w:tc>
          <w:tcPr>
            <w:tcW w:w="113" w:type="dxa"/>
            <w:shd w:val="clear" w:color="auto" w:fill="auto"/>
            <w:vAlign w:val="bottom"/>
          </w:tcPr>
          <w:p w14:paraId="2E8BA6B6"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tcBorders>
              <w:top w:val="single" w:sz="6" w:space="0" w:color="auto"/>
            </w:tcBorders>
            <w:vAlign w:val="bottom"/>
          </w:tcPr>
          <w:p w14:paraId="3E876F6B" w14:textId="77777777" w:rsidR="00C613CF" w:rsidRPr="00242E69" w:rsidRDefault="00C613CF" w:rsidP="00C613CF">
            <w:pPr>
              <w:widowControl/>
              <w:tabs>
                <w:tab w:val="left" w:pos="227"/>
                <w:tab w:val="left" w:pos="397"/>
                <w:tab w:val="left" w:pos="567"/>
              </w:tabs>
              <w:spacing w:line="120" w:lineRule="auto"/>
              <w:rPr>
                <w:sz w:val="15"/>
                <w:szCs w:val="15"/>
                <w:rtl/>
              </w:rPr>
            </w:pPr>
          </w:p>
        </w:tc>
        <w:tc>
          <w:tcPr>
            <w:tcW w:w="113" w:type="dxa"/>
            <w:vAlign w:val="bottom"/>
          </w:tcPr>
          <w:p w14:paraId="6CCA2F27"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gridSpan w:val="2"/>
            <w:tcBorders>
              <w:top w:val="single" w:sz="6" w:space="0" w:color="auto"/>
            </w:tcBorders>
            <w:shd w:val="clear" w:color="auto" w:fill="auto"/>
            <w:vAlign w:val="bottom"/>
          </w:tcPr>
          <w:p w14:paraId="237FD412"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113" w:type="dxa"/>
            <w:shd w:val="clear" w:color="auto" w:fill="auto"/>
            <w:vAlign w:val="bottom"/>
          </w:tcPr>
          <w:p w14:paraId="79F77567"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255FD978" w14:textId="77777777" w:rsidR="00C613CF" w:rsidRPr="00242E69" w:rsidRDefault="00C613CF" w:rsidP="00C613CF">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69269D8B"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0976CC3E"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113" w:type="dxa"/>
            <w:shd w:val="clear" w:color="auto" w:fill="auto"/>
            <w:vAlign w:val="bottom"/>
          </w:tcPr>
          <w:p w14:paraId="2D862BD5"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1081" w:type="dxa"/>
            <w:tcBorders>
              <w:top w:val="single" w:sz="6" w:space="0" w:color="auto"/>
            </w:tcBorders>
            <w:shd w:val="clear" w:color="auto" w:fill="auto"/>
            <w:vAlign w:val="bottom"/>
          </w:tcPr>
          <w:p w14:paraId="0F4C64E5" w14:textId="77777777" w:rsidR="00C613CF" w:rsidRPr="00242E69" w:rsidRDefault="00C613CF" w:rsidP="00C613CF">
            <w:pPr>
              <w:widowControl/>
              <w:tabs>
                <w:tab w:val="left" w:pos="227"/>
                <w:tab w:val="left" w:pos="397"/>
                <w:tab w:val="left" w:pos="567"/>
              </w:tabs>
              <w:spacing w:line="120" w:lineRule="auto"/>
              <w:rPr>
                <w:sz w:val="15"/>
                <w:szCs w:val="15"/>
                <w:rtl/>
              </w:rPr>
            </w:pPr>
          </w:p>
        </w:tc>
      </w:tr>
      <w:tr w:rsidR="00C613CF" w:rsidRPr="00C54C0C" w14:paraId="01CBA930" w14:textId="77777777" w:rsidTr="00364535">
        <w:tc>
          <w:tcPr>
            <w:tcW w:w="1133" w:type="dxa"/>
            <w:tcBorders>
              <w:bottom w:val="single" w:sz="4" w:space="0" w:color="auto"/>
              <w:right w:val="single" w:sz="4" w:space="0" w:color="auto"/>
            </w:tcBorders>
          </w:tcPr>
          <w:p w14:paraId="7D0E4DDB"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7.10; IAS 7.21</w:t>
            </w:r>
          </w:p>
        </w:tc>
        <w:tc>
          <w:tcPr>
            <w:tcW w:w="3232" w:type="dxa"/>
            <w:tcBorders>
              <w:left w:val="single" w:sz="4" w:space="0" w:color="auto"/>
            </w:tcBorders>
            <w:shd w:val="clear" w:color="auto" w:fill="auto"/>
            <w:vAlign w:val="bottom"/>
          </w:tcPr>
          <w:p w14:paraId="28CDC286" w14:textId="77777777" w:rsidR="00C613CF" w:rsidRPr="00A227B8" w:rsidRDefault="00C613CF" w:rsidP="00C613CF">
            <w:pPr>
              <w:pStyle w:val="a3"/>
              <w:tabs>
                <w:tab w:val="left" w:pos="227"/>
                <w:tab w:val="left" w:pos="397"/>
                <w:tab w:val="left" w:pos="567"/>
              </w:tabs>
              <w:spacing w:line="160" w:lineRule="exact"/>
              <w:ind w:left="227" w:hanging="170"/>
              <w:rPr>
                <w:sz w:val="16"/>
                <w:szCs w:val="16"/>
                <w:u w:val="single"/>
              </w:rPr>
            </w:pPr>
            <w:r w:rsidRPr="00A227B8">
              <w:rPr>
                <w:rFonts w:hint="cs"/>
                <w:sz w:val="16"/>
                <w:szCs w:val="16"/>
                <w:u w:val="single"/>
                <w:rtl/>
              </w:rPr>
              <w:t>תזרימי מזומנים מפעילות מימון</w:t>
            </w:r>
          </w:p>
        </w:tc>
        <w:tc>
          <w:tcPr>
            <w:tcW w:w="113" w:type="dxa"/>
            <w:shd w:val="clear" w:color="auto" w:fill="auto"/>
            <w:vAlign w:val="bottom"/>
          </w:tcPr>
          <w:p w14:paraId="78AC4659" w14:textId="77777777" w:rsidR="00C613CF" w:rsidRPr="00242E69" w:rsidRDefault="00C613CF" w:rsidP="00C613CF">
            <w:pPr>
              <w:spacing w:line="160" w:lineRule="exact"/>
              <w:rPr>
                <w:sz w:val="15"/>
                <w:szCs w:val="15"/>
              </w:rPr>
            </w:pPr>
          </w:p>
        </w:tc>
        <w:tc>
          <w:tcPr>
            <w:tcW w:w="907" w:type="dxa"/>
            <w:vAlign w:val="bottom"/>
          </w:tcPr>
          <w:p w14:paraId="0413C2F7"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052B3050"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4E9117A"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C5059CC"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191D735"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22F9B58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0B64C31"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C95E491"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D6E76AD" w14:textId="77777777" w:rsidR="00C613CF" w:rsidRPr="00242E69" w:rsidRDefault="00C613CF" w:rsidP="00C613CF">
            <w:pPr>
              <w:tabs>
                <w:tab w:val="decimal" w:pos="113"/>
              </w:tabs>
              <w:spacing w:line="160" w:lineRule="exact"/>
              <w:rPr>
                <w:sz w:val="15"/>
                <w:szCs w:val="15"/>
                <w:rtl/>
              </w:rPr>
            </w:pPr>
          </w:p>
        </w:tc>
      </w:tr>
      <w:tr w:rsidR="00C613CF" w:rsidRPr="00C54C0C" w14:paraId="0566E19D" w14:textId="77777777" w:rsidTr="00364535">
        <w:tc>
          <w:tcPr>
            <w:tcW w:w="1133" w:type="dxa"/>
            <w:tcBorders>
              <w:top w:val="single" w:sz="4" w:space="0" w:color="auto"/>
            </w:tcBorders>
          </w:tcPr>
          <w:p w14:paraId="7D263DD9" w14:textId="77777777" w:rsidR="00C613CF" w:rsidRPr="000B1730" w:rsidRDefault="00C613CF" w:rsidP="00C613CF">
            <w:pPr>
              <w:widowControl/>
              <w:tabs>
                <w:tab w:val="left" w:pos="227"/>
                <w:tab w:val="left" w:pos="397"/>
                <w:tab w:val="left" w:pos="567"/>
              </w:tabs>
              <w:bidi w:val="0"/>
              <w:spacing w:line="160" w:lineRule="exact"/>
              <w:ind w:right="57"/>
              <w:jc w:val="right"/>
              <w:rPr>
                <w:i/>
                <w:iCs/>
                <w:sz w:val="13"/>
                <w:szCs w:val="13"/>
              </w:rPr>
            </w:pPr>
          </w:p>
        </w:tc>
        <w:tc>
          <w:tcPr>
            <w:tcW w:w="3232" w:type="dxa"/>
            <w:shd w:val="clear" w:color="auto" w:fill="auto"/>
            <w:vAlign w:val="bottom"/>
          </w:tcPr>
          <w:p w14:paraId="3F1F9C81" w14:textId="77777777" w:rsidR="00C613CF" w:rsidRPr="00A227B8" w:rsidRDefault="00C613CF" w:rsidP="00C613CF">
            <w:pPr>
              <w:widowControl/>
              <w:tabs>
                <w:tab w:val="left" w:pos="227"/>
                <w:tab w:val="left" w:pos="397"/>
                <w:tab w:val="left" w:pos="567"/>
              </w:tabs>
              <w:spacing w:line="160" w:lineRule="exact"/>
              <w:rPr>
                <w:sz w:val="16"/>
                <w:szCs w:val="16"/>
              </w:rPr>
            </w:pPr>
          </w:p>
        </w:tc>
        <w:tc>
          <w:tcPr>
            <w:tcW w:w="113" w:type="dxa"/>
            <w:shd w:val="clear" w:color="auto" w:fill="auto"/>
            <w:vAlign w:val="bottom"/>
          </w:tcPr>
          <w:p w14:paraId="3AC3D635"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vAlign w:val="bottom"/>
          </w:tcPr>
          <w:p w14:paraId="05FD84D3" w14:textId="77777777" w:rsidR="00C613CF" w:rsidRPr="00242E69" w:rsidRDefault="00C613CF" w:rsidP="00C613CF">
            <w:pPr>
              <w:widowControl/>
              <w:tabs>
                <w:tab w:val="left" w:pos="227"/>
                <w:tab w:val="left" w:pos="397"/>
                <w:tab w:val="left" w:pos="567"/>
              </w:tabs>
              <w:spacing w:line="160" w:lineRule="exact"/>
              <w:rPr>
                <w:sz w:val="15"/>
                <w:szCs w:val="15"/>
                <w:rtl/>
              </w:rPr>
            </w:pPr>
          </w:p>
        </w:tc>
        <w:tc>
          <w:tcPr>
            <w:tcW w:w="113" w:type="dxa"/>
            <w:vAlign w:val="bottom"/>
          </w:tcPr>
          <w:p w14:paraId="69DD56C3"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gridSpan w:val="2"/>
            <w:shd w:val="clear" w:color="auto" w:fill="auto"/>
            <w:vAlign w:val="bottom"/>
          </w:tcPr>
          <w:p w14:paraId="6B5654F3"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113" w:type="dxa"/>
            <w:shd w:val="clear" w:color="auto" w:fill="auto"/>
            <w:vAlign w:val="bottom"/>
          </w:tcPr>
          <w:p w14:paraId="6A05CD82"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shd w:val="clear" w:color="auto" w:fill="auto"/>
            <w:vAlign w:val="bottom"/>
          </w:tcPr>
          <w:p w14:paraId="7BA9EF55" w14:textId="77777777" w:rsidR="00C613CF" w:rsidRPr="00242E69" w:rsidRDefault="00C613CF" w:rsidP="00C613CF">
            <w:pPr>
              <w:widowControl/>
              <w:tabs>
                <w:tab w:val="left" w:pos="227"/>
                <w:tab w:val="left" w:pos="397"/>
                <w:tab w:val="left" w:pos="567"/>
              </w:tabs>
              <w:spacing w:line="160" w:lineRule="exact"/>
              <w:rPr>
                <w:sz w:val="15"/>
                <w:szCs w:val="15"/>
                <w:rtl/>
              </w:rPr>
            </w:pPr>
          </w:p>
        </w:tc>
        <w:tc>
          <w:tcPr>
            <w:tcW w:w="113" w:type="dxa"/>
            <w:shd w:val="clear" w:color="auto" w:fill="auto"/>
            <w:vAlign w:val="bottom"/>
          </w:tcPr>
          <w:p w14:paraId="414F7A6D"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shd w:val="clear" w:color="auto" w:fill="auto"/>
            <w:vAlign w:val="bottom"/>
          </w:tcPr>
          <w:p w14:paraId="21188CD4"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113" w:type="dxa"/>
            <w:shd w:val="clear" w:color="auto" w:fill="auto"/>
            <w:vAlign w:val="bottom"/>
          </w:tcPr>
          <w:p w14:paraId="45DF63B4"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1081" w:type="dxa"/>
            <w:shd w:val="clear" w:color="auto" w:fill="auto"/>
            <w:vAlign w:val="bottom"/>
          </w:tcPr>
          <w:p w14:paraId="2600BD32" w14:textId="77777777" w:rsidR="00C613CF" w:rsidRPr="00242E69" w:rsidRDefault="00C613CF" w:rsidP="00C613CF">
            <w:pPr>
              <w:widowControl/>
              <w:tabs>
                <w:tab w:val="left" w:pos="227"/>
                <w:tab w:val="left" w:pos="397"/>
                <w:tab w:val="left" w:pos="567"/>
              </w:tabs>
              <w:spacing w:line="160" w:lineRule="exact"/>
              <w:rPr>
                <w:sz w:val="15"/>
                <w:szCs w:val="15"/>
                <w:rtl/>
              </w:rPr>
            </w:pPr>
          </w:p>
        </w:tc>
      </w:tr>
      <w:tr w:rsidR="00C613CF" w:rsidRPr="00C54C0C" w14:paraId="0E5AA994" w14:textId="77777777" w:rsidTr="00364535">
        <w:tc>
          <w:tcPr>
            <w:tcW w:w="1133" w:type="dxa"/>
            <w:tcBorders>
              <w:bottom w:val="single" w:sz="4" w:space="0" w:color="auto"/>
              <w:right w:val="single" w:sz="4" w:space="0" w:color="auto"/>
            </w:tcBorders>
          </w:tcPr>
          <w:p w14:paraId="56E9EB39"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7.17(a)</w:t>
            </w:r>
          </w:p>
        </w:tc>
        <w:tc>
          <w:tcPr>
            <w:tcW w:w="3232" w:type="dxa"/>
            <w:tcBorders>
              <w:left w:val="single" w:sz="4" w:space="0" w:color="auto"/>
            </w:tcBorders>
            <w:shd w:val="clear" w:color="auto" w:fill="auto"/>
            <w:vAlign w:val="bottom"/>
          </w:tcPr>
          <w:p w14:paraId="66F1C378"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 xml:space="preserve">הנפקת הון מניות </w:t>
            </w:r>
            <w:r w:rsidRPr="00A227B8">
              <w:rPr>
                <w:sz w:val="16"/>
                <w:szCs w:val="16"/>
                <w:rtl/>
              </w:rPr>
              <w:t xml:space="preserve">(לאחר </w:t>
            </w:r>
            <w:r w:rsidRPr="00A227B8">
              <w:rPr>
                <w:rFonts w:hint="eastAsia"/>
                <w:sz w:val="16"/>
                <w:szCs w:val="16"/>
                <w:rtl/>
              </w:rPr>
              <w:t>ניכוי</w:t>
            </w:r>
            <w:r w:rsidRPr="00A227B8">
              <w:rPr>
                <w:sz w:val="16"/>
                <w:szCs w:val="16"/>
                <w:rtl/>
              </w:rPr>
              <w:t xml:space="preserve"> </w:t>
            </w:r>
            <w:r w:rsidRPr="00A227B8">
              <w:rPr>
                <w:rFonts w:hint="eastAsia"/>
                <w:sz w:val="16"/>
                <w:szCs w:val="16"/>
                <w:rtl/>
              </w:rPr>
              <w:t>הוצאות</w:t>
            </w:r>
            <w:r w:rsidRPr="00A227B8">
              <w:rPr>
                <w:sz w:val="16"/>
                <w:szCs w:val="16"/>
                <w:rtl/>
              </w:rPr>
              <w:t xml:space="preserve"> </w:t>
            </w:r>
            <w:r w:rsidRPr="00A227B8">
              <w:rPr>
                <w:rFonts w:hint="eastAsia"/>
                <w:sz w:val="16"/>
                <w:szCs w:val="16"/>
                <w:rtl/>
              </w:rPr>
              <w:t>הנפקה</w:t>
            </w:r>
            <w:r w:rsidRPr="00A227B8">
              <w:rPr>
                <w:sz w:val="16"/>
                <w:szCs w:val="16"/>
                <w:rtl/>
              </w:rPr>
              <w:t>)</w:t>
            </w:r>
          </w:p>
        </w:tc>
        <w:tc>
          <w:tcPr>
            <w:tcW w:w="113" w:type="dxa"/>
            <w:shd w:val="clear" w:color="auto" w:fill="auto"/>
            <w:vAlign w:val="bottom"/>
          </w:tcPr>
          <w:p w14:paraId="63E4C3A9" w14:textId="77777777" w:rsidR="00C613CF" w:rsidRPr="00242E69" w:rsidRDefault="00C613CF" w:rsidP="00C613CF">
            <w:pPr>
              <w:spacing w:line="160" w:lineRule="exact"/>
              <w:rPr>
                <w:sz w:val="15"/>
                <w:szCs w:val="15"/>
              </w:rPr>
            </w:pPr>
          </w:p>
        </w:tc>
        <w:tc>
          <w:tcPr>
            <w:tcW w:w="907" w:type="dxa"/>
            <w:vAlign w:val="bottom"/>
          </w:tcPr>
          <w:p w14:paraId="5A3307E7"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2C31D21"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424170A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38A8AD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4FDE081"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2A9A92C0"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6FC9A1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3AFD24D"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B239011" w14:textId="77777777" w:rsidR="00C613CF" w:rsidRPr="00242E69" w:rsidRDefault="00C613CF" w:rsidP="00C613CF">
            <w:pPr>
              <w:tabs>
                <w:tab w:val="decimal" w:pos="113"/>
              </w:tabs>
              <w:spacing w:line="160" w:lineRule="exact"/>
              <w:rPr>
                <w:sz w:val="15"/>
                <w:szCs w:val="15"/>
                <w:rtl/>
              </w:rPr>
            </w:pPr>
          </w:p>
        </w:tc>
      </w:tr>
      <w:tr w:rsidR="00C613CF" w:rsidRPr="00C54C0C" w14:paraId="63C821B6" w14:textId="77777777" w:rsidTr="00364535">
        <w:tc>
          <w:tcPr>
            <w:tcW w:w="1133" w:type="dxa"/>
            <w:tcBorders>
              <w:top w:val="single" w:sz="4" w:space="0" w:color="auto"/>
            </w:tcBorders>
          </w:tcPr>
          <w:p w14:paraId="47285E98"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72C1C029"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מכירה מחדש של מניות החברה המוחזקות על ידי חברות מאוחדות/החברה</w:t>
            </w:r>
          </w:p>
        </w:tc>
        <w:tc>
          <w:tcPr>
            <w:tcW w:w="113" w:type="dxa"/>
            <w:shd w:val="clear" w:color="auto" w:fill="auto"/>
            <w:vAlign w:val="bottom"/>
          </w:tcPr>
          <w:p w14:paraId="0DF5E806" w14:textId="77777777" w:rsidR="00C613CF" w:rsidRPr="00242E69" w:rsidRDefault="00C613CF" w:rsidP="00C613CF">
            <w:pPr>
              <w:spacing w:line="160" w:lineRule="exact"/>
              <w:rPr>
                <w:sz w:val="15"/>
                <w:szCs w:val="15"/>
              </w:rPr>
            </w:pPr>
          </w:p>
        </w:tc>
        <w:tc>
          <w:tcPr>
            <w:tcW w:w="907" w:type="dxa"/>
            <w:vAlign w:val="bottom"/>
          </w:tcPr>
          <w:p w14:paraId="2DD2DCDD"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0D6FC3FC"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13BE48C8"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5FAD6E9"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313493E"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5ED838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3DB87C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7F4641D"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65B17451" w14:textId="77777777" w:rsidR="00C613CF" w:rsidRPr="00242E69" w:rsidRDefault="00C613CF" w:rsidP="00C613CF">
            <w:pPr>
              <w:tabs>
                <w:tab w:val="decimal" w:pos="113"/>
              </w:tabs>
              <w:spacing w:line="160" w:lineRule="exact"/>
              <w:rPr>
                <w:sz w:val="15"/>
                <w:szCs w:val="15"/>
                <w:rtl/>
              </w:rPr>
            </w:pPr>
          </w:p>
        </w:tc>
      </w:tr>
      <w:tr w:rsidR="00C613CF" w:rsidRPr="00C54C0C" w14:paraId="7C622FCC" w14:textId="77777777" w:rsidTr="00364535">
        <w:tc>
          <w:tcPr>
            <w:tcW w:w="1133" w:type="dxa"/>
            <w:tcBorders>
              <w:bottom w:val="single" w:sz="4" w:space="0" w:color="auto"/>
              <w:right w:val="single" w:sz="4" w:space="0" w:color="auto"/>
            </w:tcBorders>
          </w:tcPr>
          <w:p w14:paraId="0FC23E9A"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7.17(a)</w:t>
            </w:r>
          </w:p>
        </w:tc>
        <w:tc>
          <w:tcPr>
            <w:tcW w:w="3232" w:type="dxa"/>
            <w:tcBorders>
              <w:left w:val="single" w:sz="4" w:space="0" w:color="auto"/>
            </w:tcBorders>
            <w:shd w:val="clear" w:color="auto" w:fill="auto"/>
            <w:vAlign w:val="bottom"/>
          </w:tcPr>
          <w:p w14:paraId="29E85A9C"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מימוש כתבי אופציה</w:t>
            </w:r>
          </w:p>
        </w:tc>
        <w:tc>
          <w:tcPr>
            <w:tcW w:w="113" w:type="dxa"/>
            <w:shd w:val="clear" w:color="auto" w:fill="auto"/>
            <w:vAlign w:val="bottom"/>
          </w:tcPr>
          <w:p w14:paraId="51E8E325" w14:textId="77777777" w:rsidR="00C613CF" w:rsidRPr="00242E69" w:rsidRDefault="00C613CF" w:rsidP="00C613CF">
            <w:pPr>
              <w:spacing w:line="160" w:lineRule="exact"/>
              <w:rPr>
                <w:sz w:val="15"/>
                <w:szCs w:val="15"/>
              </w:rPr>
            </w:pPr>
          </w:p>
        </w:tc>
        <w:tc>
          <w:tcPr>
            <w:tcW w:w="907" w:type="dxa"/>
            <w:vAlign w:val="bottom"/>
          </w:tcPr>
          <w:p w14:paraId="6E5EDF6D"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48AE4265"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03608D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3FCF18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9CA72FA"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6A9BDBC"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8E091C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A44D616"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DD5C137" w14:textId="77777777" w:rsidR="00C613CF" w:rsidRPr="00242E69" w:rsidRDefault="00C613CF" w:rsidP="00C613CF">
            <w:pPr>
              <w:tabs>
                <w:tab w:val="decimal" w:pos="113"/>
              </w:tabs>
              <w:spacing w:line="160" w:lineRule="exact"/>
              <w:rPr>
                <w:sz w:val="15"/>
                <w:szCs w:val="15"/>
                <w:rtl/>
              </w:rPr>
            </w:pPr>
          </w:p>
        </w:tc>
      </w:tr>
      <w:tr w:rsidR="00C613CF" w:rsidRPr="00C54C0C" w14:paraId="47A15F70" w14:textId="77777777" w:rsidTr="00364535">
        <w:tc>
          <w:tcPr>
            <w:tcW w:w="1133" w:type="dxa"/>
            <w:tcBorders>
              <w:top w:val="single" w:sz="4" w:space="0" w:color="auto"/>
            </w:tcBorders>
          </w:tcPr>
          <w:p w14:paraId="5DD096A0"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262F5929"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הנפקת הון/מכירת מניות לבעלי זכויות שאינן מקנות שליטה</w:t>
            </w:r>
          </w:p>
        </w:tc>
        <w:tc>
          <w:tcPr>
            <w:tcW w:w="113" w:type="dxa"/>
            <w:shd w:val="clear" w:color="auto" w:fill="auto"/>
            <w:vAlign w:val="bottom"/>
          </w:tcPr>
          <w:p w14:paraId="017C35FE" w14:textId="77777777" w:rsidR="00C613CF" w:rsidRPr="00242E69" w:rsidRDefault="00C613CF" w:rsidP="00C613CF">
            <w:pPr>
              <w:spacing w:line="160" w:lineRule="exact"/>
              <w:rPr>
                <w:sz w:val="15"/>
                <w:szCs w:val="15"/>
              </w:rPr>
            </w:pPr>
          </w:p>
        </w:tc>
        <w:tc>
          <w:tcPr>
            <w:tcW w:w="907" w:type="dxa"/>
            <w:vAlign w:val="bottom"/>
          </w:tcPr>
          <w:p w14:paraId="152FF850"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6C55E0E4"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35A16947"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C508DF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9629639"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2629AE3F"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80E80CD"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F70111D"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94D5ACE" w14:textId="77777777" w:rsidR="00C613CF" w:rsidRPr="00242E69" w:rsidRDefault="00C613CF" w:rsidP="00C613CF">
            <w:pPr>
              <w:tabs>
                <w:tab w:val="decimal" w:pos="113"/>
              </w:tabs>
              <w:spacing w:line="160" w:lineRule="exact"/>
              <w:rPr>
                <w:sz w:val="15"/>
                <w:szCs w:val="15"/>
                <w:rtl/>
              </w:rPr>
            </w:pPr>
          </w:p>
        </w:tc>
      </w:tr>
      <w:tr w:rsidR="00C613CF" w:rsidRPr="00C54C0C" w14:paraId="107FA2D7" w14:textId="77777777" w:rsidTr="00364535">
        <w:tc>
          <w:tcPr>
            <w:tcW w:w="1133" w:type="dxa"/>
          </w:tcPr>
          <w:p w14:paraId="14D713EC"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1A23FC1C"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רכישה עצמית של מניות החברה על ידי חברות מאוחדות/החברה</w:t>
            </w:r>
          </w:p>
        </w:tc>
        <w:tc>
          <w:tcPr>
            <w:tcW w:w="113" w:type="dxa"/>
            <w:shd w:val="clear" w:color="auto" w:fill="auto"/>
            <w:vAlign w:val="bottom"/>
          </w:tcPr>
          <w:p w14:paraId="718B7A90" w14:textId="77777777" w:rsidR="00C613CF" w:rsidRPr="00242E69" w:rsidRDefault="00C613CF" w:rsidP="00C613CF">
            <w:pPr>
              <w:spacing w:line="160" w:lineRule="exact"/>
              <w:rPr>
                <w:sz w:val="15"/>
                <w:szCs w:val="15"/>
              </w:rPr>
            </w:pPr>
          </w:p>
        </w:tc>
        <w:tc>
          <w:tcPr>
            <w:tcW w:w="907" w:type="dxa"/>
            <w:vAlign w:val="bottom"/>
          </w:tcPr>
          <w:p w14:paraId="0EE9CF97"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3ACD8F46"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7AFE4BD7"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8B0680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2937DD3"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F4F0B14"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3668C8D2"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CECEFDC"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58BAC760" w14:textId="77777777" w:rsidR="00C613CF" w:rsidRPr="00242E69" w:rsidRDefault="00C613CF" w:rsidP="00C613CF">
            <w:pPr>
              <w:tabs>
                <w:tab w:val="decimal" w:pos="113"/>
              </w:tabs>
              <w:spacing w:line="160" w:lineRule="exact"/>
              <w:rPr>
                <w:sz w:val="15"/>
                <w:szCs w:val="15"/>
                <w:rtl/>
              </w:rPr>
            </w:pPr>
          </w:p>
        </w:tc>
      </w:tr>
      <w:tr w:rsidR="00C613CF" w:rsidRPr="00C54C0C" w14:paraId="72903BE2" w14:textId="77777777" w:rsidTr="00364535">
        <w:tc>
          <w:tcPr>
            <w:tcW w:w="1133" w:type="dxa"/>
            <w:tcBorders>
              <w:bottom w:val="single" w:sz="4" w:space="0" w:color="auto"/>
              <w:right w:val="single" w:sz="4" w:space="0" w:color="auto"/>
            </w:tcBorders>
            <w:vAlign w:val="center"/>
          </w:tcPr>
          <w:p w14:paraId="0B96DA57"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7.42(A)</w:t>
            </w:r>
          </w:p>
        </w:tc>
        <w:tc>
          <w:tcPr>
            <w:tcW w:w="3232" w:type="dxa"/>
            <w:tcBorders>
              <w:left w:val="single" w:sz="4" w:space="0" w:color="auto"/>
            </w:tcBorders>
            <w:shd w:val="clear" w:color="auto" w:fill="auto"/>
            <w:vAlign w:val="bottom"/>
          </w:tcPr>
          <w:p w14:paraId="3542F2FA"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 xml:space="preserve">רכישת מניות מבעלי זכויות שאינן מקנות שליטה על ידי חברות מאוחדות/החברה </w:t>
            </w:r>
          </w:p>
        </w:tc>
        <w:tc>
          <w:tcPr>
            <w:tcW w:w="113" w:type="dxa"/>
            <w:shd w:val="clear" w:color="auto" w:fill="auto"/>
            <w:vAlign w:val="bottom"/>
          </w:tcPr>
          <w:p w14:paraId="64704393" w14:textId="77777777" w:rsidR="00C613CF" w:rsidRPr="00242E69" w:rsidRDefault="00C613CF" w:rsidP="00C613CF">
            <w:pPr>
              <w:spacing w:line="160" w:lineRule="exact"/>
              <w:rPr>
                <w:sz w:val="15"/>
                <w:szCs w:val="15"/>
              </w:rPr>
            </w:pPr>
          </w:p>
        </w:tc>
        <w:tc>
          <w:tcPr>
            <w:tcW w:w="907" w:type="dxa"/>
            <w:vAlign w:val="bottom"/>
          </w:tcPr>
          <w:p w14:paraId="41DD47AD"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6113998D"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47F6B108"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DF24E94"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33BD7954"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06E46522"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308861F"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790E12A6"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BEE5DC6" w14:textId="77777777" w:rsidR="00C613CF" w:rsidRPr="00242E69" w:rsidRDefault="00C613CF" w:rsidP="00C613CF">
            <w:pPr>
              <w:tabs>
                <w:tab w:val="decimal" w:pos="113"/>
              </w:tabs>
              <w:spacing w:line="160" w:lineRule="exact"/>
              <w:rPr>
                <w:sz w:val="15"/>
                <w:szCs w:val="15"/>
                <w:rtl/>
              </w:rPr>
            </w:pPr>
          </w:p>
        </w:tc>
      </w:tr>
      <w:tr w:rsidR="00C613CF" w:rsidRPr="00C54C0C" w14:paraId="43948128" w14:textId="77777777" w:rsidTr="00364535">
        <w:tc>
          <w:tcPr>
            <w:tcW w:w="1133" w:type="dxa"/>
            <w:tcBorders>
              <w:top w:val="single" w:sz="4" w:space="0" w:color="auto"/>
              <w:bottom w:val="single" w:sz="4" w:space="0" w:color="auto"/>
              <w:right w:val="single" w:sz="4" w:space="0" w:color="auto"/>
            </w:tcBorders>
            <w:vAlign w:val="center"/>
          </w:tcPr>
          <w:p w14:paraId="22564DD5"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7.31</w:t>
            </w:r>
          </w:p>
        </w:tc>
        <w:tc>
          <w:tcPr>
            <w:tcW w:w="3232" w:type="dxa"/>
            <w:tcBorders>
              <w:left w:val="single" w:sz="4" w:space="0" w:color="auto"/>
            </w:tcBorders>
            <w:shd w:val="clear" w:color="auto" w:fill="auto"/>
            <w:vAlign w:val="bottom"/>
          </w:tcPr>
          <w:p w14:paraId="63F49A40"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 xml:space="preserve">דיבידנד ששולם לבעלי מניות החברה </w:t>
            </w:r>
          </w:p>
        </w:tc>
        <w:tc>
          <w:tcPr>
            <w:tcW w:w="113" w:type="dxa"/>
            <w:shd w:val="clear" w:color="auto" w:fill="auto"/>
            <w:vAlign w:val="bottom"/>
          </w:tcPr>
          <w:p w14:paraId="39CE7A18" w14:textId="77777777" w:rsidR="00C613CF" w:rsidRPr="00242E69" w:rsidRDefault="00C613CF" w:rsidP="00C613CF">
            <w:pPr>
              <w:spacing w:line="160" w:lineRule="exact"/>
              <w:rPr>
                <w:sz w:val="15"/>
                <w:szCs w:val="15"/>
              </w:rPr>
            </w:pPr>
          </w:p>
        </w:tc>
        <w:tc>
          <w:tcPr>
            <w:tcW w:w="907" w:type="dxa"/>
            <w:vAlign w:val="bottom"/>
          </w:tcPr>
          <w:p w14:paraId="412EB353"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37A2515E"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918514C"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4F3BBC1"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576D192"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6A52D4E8"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6BEC6B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FD911D2"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58D94DC" w14:textId="77777777" w:rsidR="00C613CF" w:rsidRPr="00242E69" w:rsidRDefault="00C613CF" w:rsidP="00C613CF">
            <w:pPr>
              <w:tabs>
                <w:tab w:val="decimal" w:pos="113"/>
              </w:tabs>
              <w:spacing w:line="160" w:lineRule="exact"/>
              <w:rPr>
                <w:sz w:val="15"/>
                <w:szCs w:val="15"/>
                <w:rtl/>
              </w:rPr>
            </w:pPr>
          </w:p>
        </w:tc>
      </w:tr>
      <w:tr w:rsidR="00C613CF" w:rsidRPr="00C54C0C" w14:paraId="23ED39B3" w14:textId="77777777" w:rsidTr="00364535">
        <w:tc>
          <w:tcPr>
            <w:tcW w:w="1133" w:type="dxa"/>
            <w:tcBorders>
              <w:top w:val="single" w:sz="4" w:space="0" w:color="auto"/>
              <w:bottom w:val="single" w:sz="4" w:space="0" w:color="auto"/>
              <w:right w:val="single" w:sz="4" w:space="0" w:color="auto"/>
            </w:tcBorders>
          </w:tcPr>
          <w:p w14:paraId="332BAF14"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7.31</w:t>
            </w:r>
          </w:p>
        </w:tc>
        <w:tc>
          <w:tcPr>
            <w:tcW w:w="3232" w:type="dxa"/>
            <w:tcBorders>
              <w:left w:val="single" w:sz="4" w:space="0" w:color="auto"/>
            </w:tcBorders>
            <w:shd w:val="clear" w:color="auto" w:fill="auto"/>
            <w:vAlign w:val="bottom"/>
          </w:tcPr>
          <w:p w14:paraId="2DE85A0C"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דיבידנד ששולם לבעלי זכויות שאינן מקנות שליטה</w:t>
            </w:r>
          </w:p>
        </w:tc>
        <w:tc>
          <w:tcPr>
            <w:tcW w:w="113" w:type="dxa"/>
            <w:shd w:val="clear" w:color="auto" w:fill="auto"/>
            <w:vAlign w:val="bottom"/>
          </w:tcPr>
          <w:p w14:paraId="45D358A6" w14:textId="77777777" w:rsidR="00C613CF" w:rsidRPr="00242E69" w:rsidRDefault="00C613CF" w:rsidP="00C613CF">
            <w:pPr>
              <w:spacing w:line="160" w:lineRule="exact"/>
              <w:rPr>
                <w:sz w:val="15"/>
                <w:szCs w:val="15"/>
              </w:rPr>
            </w:pPr>
          </w:p>
        </w:tc>
        <w:tc>
          <w:tcPr>
            <w:tcW w:w="907" w:type="dxa"/>
            <w:vAlign w:val="bottom"/>
          </w:tcPr>
          <w:p w14:paraId="57FCAD6C"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1395EF44"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7A08ADCF"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A00E18D"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ED9A1BC"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0E1E760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1A29E0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694F77E"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6BE74FCC" w14:textId="77777777" w:rsidR="00C613CF" w:rsidRPr="00242E69" w:rsidRDefault="00C613CF" w:rsidP="00C613CF">
            <w:pPr>
              <w:tabs>
                <w:tab w:val="decimal" w:pos="113"/>
              </w:tabs>
              <w:spacing w:line="160" w:lineRule="exact"/>
              <w:rPr>
                <w:sz w:val="15"/>
                <w:szCs w:val="15"/>
                <w:rtl/>
              </w:rPr>
            </w:pPr>
          </w:p>
        </w:tc>
      </w:tr>
      <w:tr w:rsidR="00C613CF" w:rsidRPr="00C54C0C" w14:paraId="45C4BC31" w14:textId="77777777" w:rsidTr="00364535">
        <w:tc>
          <w:tcPr>
            <w:tcW w:w="1133" w:type="dxa"/>
            <w:tcBorders>
              <w:top w:val="single" w:sz="4" w:space="0" w:color="auto"/>
              <w:bottom w:val="single" w:sz="4" w:space="0" w:color="auto"/>
              <w:right w:val="single" w:sz="4" w:space="0" w:color="auto"/>
            </w:tcBorders>
          </w:tcPr>
          <w:p w14:paraId="5ECB53C7"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7.17(c)</w:t>
            </w:r>
          </w:p>
        </w:tc>
        <w:tc>
          <w:tcPr>
            <w:tcW w:w="3232" w:type="dxa"/>
            <w:tcBorders>
              <w:left w:val="single" w:sz="4" w:space="0" w:color="auto"/>
            </w:tcBorders>
            <w:shd w:val="clear" w:color="auto" w:fill="auto"/>
            <w:vAlign w:val="bottom"/>
          </w:tcPr>
          <w:p w14:paraId="3959EBA2"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 xml:space="preserve">הנפקת אגרות חוב/אגרות חוב ניתנות להמרה </w:t>
            </w:r>
            <w:r w:rsidRPr="00A227B8">
              <w:rPr>
                <w:sz w:val="16"/>
                <w:szCs w:val="16"/>
                <w:rtl/>
              </w:rPr>
              <w:t xml:space="preserve">(לאחר </w:t>
            </w:r>
            <w:r w:rsidRPr="00A227B8">
              <w:rPr>
                <w:rFonts w:hint="eastAsia"/>
                <w:sz w:val="16"/>
                <w:szCs w:val="16"/>
                <w:rtl/>
              </w:rPr>
              <w:t>ניכוי</w:t>
            </w:r>
            <w:r w:rsidRPr="00A227B8">
              <w:rPr>
                <w:sz w:val="16"/>
                <w:szCs w:val="16"/>
                <w:rtl/>
              </w:rPr>
              <w:t xml:space="preserve"> </w:t>
            </w:r>
            <w:r w:rsidRPr="00A227B8">
              <w:rPr>
                <w:rFonts w:hint="eastAsia"/>
                <w:sz w:val="16"/>
                <w:szCs w:val="16"/>
                <w:rtl/>
              </w:rPr>
              <w:t>הוצאות</w:t>
            </w:r>
            <w:r w:rsidRPr="00A227B8">
              <w:rPr>
                <w:sz w:val="16"/>
                <w:szCs w:val="16"/>
                <w:rtl/>
              </w:rPr>
              <w:t xml:space="preserve"> </w:t>
            </w:r>
            <w:r w:rsidRPr="00A227B8">
              <w:rPr>
                <w:rFonts w:hint="eastAsia"/>
                <w:sz w:val="16"/>
                <w:szCs w:val="16"/>
                <w:rtl/>
              </w:rPr>
              <w:t>הנפקה</w:t>
            </w:r>
            <w:r w:rsidRPr="00A227B8">
              <w:rPr>
                <w:sz w:val="16"/>
                <w:szCs w:val="16"/>
                <w:rtl/>
              </w:rPr>
              <w:t>)</w:t>
            </w:r>
          </w:p>
        </w:tc>
        <w:tc>
          <w:tcPr>
            <w:tcW w:w="113" w:type="dxa"/>
            <w:shd w:val="clear" w:color="auto" w:fill="auto"/>
            <w:vAlign w:val="bottom"/>
          </w:tcPr>
          <w:p w14:paraId="49B186BC" w14:textId="77777777" w:rsidR="00C613CF" w:rsidRPr="00242E69" w:rsidRDefault="00C613CF" w:rsidP="00C613CF">
            <w:pPr>
              <w:spacing w:line="160" w:lineRule="exact"/>
              <w:rPr>
                <w:sz w:val="15"/>
                <w:szCs w:val="15"/>
              </w:rPr>
            </w:pPr>
          </w:p>
        </w:tc>
        <w:tc>
          <w:tcPr>
            <w:tcW w:w="907" w:type="dxa"/>
            <w:vAlign w:val="bottom"/>
          </w:tcPr>
          <w:p w14:paraId="3A8AAED1"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5615D91"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334F751E"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A4CDA0A"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15578D1"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0708B2D6"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3C1651A"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D507A79"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737760AD" w14:textId="77777777" w:rsidR="00C613CF" w:rsidRPr="00242E69" w:rsidRDefault="00C613CF" w:rsidP="00C613CF">
            <w:pPr>
              <w:tabs>
                <w:tab w:val="decimal" w:pos="113"/>
              </w:tabs>
              <w:spacing w:line="160" w:lineRule="exact"/>
              <w:rPr>
                <w:sz w:val="15"/>
                <w:szCs w:val="15"/>
                <w:rtl/>
              </w:rPr>
            </w:pPr>
          </w:p>
        </w:tc>
      </w:tr>
      <w:tr w:rsidR="00C613CF" w:rsidRPr="00C54C0C" w14:paraId="41464E87" w14:textId="77777777" w:rsidTr="00364535">
        <w:tc>
          <w:tcPr>
            <w:tcW w:w="1133" w:type="dxa"/>
            <w:tcBorders>
              <w:top w:val="single" w:sz="4" w:space="0" w:color="auto"/>
              <w:bottom w:val="single" w:sz="4" w:space="0" w:color="auto"/>
              <w:right w:val="single" w:sz="4" w:space="0" w:color="auto"/>
            </w:tcBorders>
          </w:tcPr>
          <w:p w14:paraId="27747AA5"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7.17(d)</w:t>
            </w:r>
          </w:p>
        </w:tc>
        <w:tc>
          <w:tcPr>
            <w:tcW w:w="3232" w:type="dxa"/>
            <w:tcBorders>
              <w:left w:val="single" w:sz="4" w:space="0" w:color="auto"/>
            </w:tcBorders>
            <w:shd w:val="clear" w:color="auto" w:fill="auto"/>
            <w:vAlign w:val="bottom"/>
          </w:tcPr>
          <w:p w14:paraId="3A91D36C"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פרעון אגרות חוב</w:t>
            </w:r>
          </w:p>
        </w:tc>
        <w:tc>
          <w:tcPr>
            <w:tcW w:w="113" w:type="dxa"/>
            <w:shd w:val="clear" w:color="auto" w:fill="auto"/>
            <w:vAlign w:val="bottom"/>
          </w:tcPr>
          <w:p w14:paraId="0768BB04" w14:textId="77777777" w:rsidR="00C613CF" w:rsidRPr="00242E69" w:rsidRDefault="00C613CF" w:rsidP="00C613CF">
            <w:pPr>
              <w:spacing w:line="160" w:lineRule="exact"/>
              <w:rPr>
                <w:sz w:val="15"/>
                <w:szCs w:val="15"/>
              </w:rPr>
            </w:pPr>
          </w:p>
        </w:tc>
        <w:tc>
          <w:tcPr>
            <w:tcW w:w="907" w:type="dxa"/>
            <w:vAlign w:val="bottom"/>
          </w:tcPr>
          <w:p w14:paraId="57DB47B1"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125A36D5"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29F6419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73E871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4D112EF"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43D040A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74D1ABD"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40796DB"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4233335D" w14:textId="77777777" w:rsidR="00C613CF" w:rsidRPr="00242E69" w:rsidRDefault="00C613CF" w:rsidP="00C613CF">
            <w:pPr>
              <w:tabs>
                <w:tab w:val="decimal" w:pos="113"/>
              </w:tabs>
              <w:spacing w:line="160" w:lineRule="exact"/>
              <w:rPr>
                <w:sz w:val="15"/>
                <w:szCs w:val="15"/>
                <w:rtl/>
              </w:rPr>
            </w:pPr>
          </w:p>
        </w:tc>
      </w:tr>
      <w:tr w:rsidR="00C613CF" w:rsidRPr="00C54C0C" w14:paraId="2E4C462D" w14:textId="77777777" w:rsidTr="00364535">
        <w:tc>
          <w:tcPr>
            <w:tcW w:w="1133" w:type="dxa"/>
            <w:tcBorders>
              <w:top w:val="single" w:sz="4" w:space="0" w:color="auto"/>
            </w:tcBorders>
          </w:tcPr>
          <w:p w14:paraId="413F5F6B"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373C6590"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תקבולים בגין הנפקת כתבי אופציה בחברה מאוחדת</w:t>
            </w:r>
          </w:p>
        </w:tc>
        <w:tc>
          <w:tcPr>
            <w:tcW w:w="113" w:type="dxa"/>
            <w:shd w:val="clear" w:color="auto" w:fill="auto"/>
            <w:vAlign w:val="bottom"/>
          </w:tcPr>
          <w:p w14:paraId="2311090D" w14:textId="77777777" w:rsidR="00C613CF" w:rsidRPr="00242E69" w:rsidRDefault="00C613CF" w:rsidP="00C613CF">
            <w:pPr>
              <w:spacing w:line="160" w:lineRule="exact"/>
              <w:rPr>
                <w:sz w:val="15"/>
                <w:szCs w:val="15"/>
              </w:rPr>
            </w:pPr>
          </w:p>
        </w:tc>
        <w:tc>
          <w:tcPr>
            <w:tcW w:w="907" w:type="dxa"/>
            <w:vAlign w:val="bottom"/>
          </w:tcPr>
          <w:p w14:paraId="5F94F2FD"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03AC7BF"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1A0DE38C"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1DF40C3"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CC43696"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5E6EBF61"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9B0D07E"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F3B4CF5"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51045561" w14:textId="77777777" w:rsidR="00C613CF" w:rsidRPr="00242E69" w:rsidRDefault="00C613CF" w:rsidP="00C613CF">
            <w:pPr>
              <w:tabs>
                <w:tab w:val="decimal" w:pos="113"/>
              </w:tabs>
              <w:spacing w:line="160" w:lineRule="exact"/>
              <w:rPr>
                <w:sz w:val="15"/>
                <w:szCs w:val="15"/>
                <w:rtl/>
              </w:rPr>
            </w:pPr>
          </w:p>
        </w:tc>
      </w:tr>
      <w:tr w:rsidR="00C613CF" w:rsidRPr="00C54C0C" w14:paraId="40F9A77D" w14:textId="77777777" w:rsidTr="00364535">
        <w:tc>
          <w:tcPr>
            <w:tcW w:w="1133" w:type="dxa"/>
          </w:tcPr>
          <w:p w14:paraId="3F2D0151"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3C985984"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תקבולים בגין הנפקת אגרות חוב ניתנות להמרה בחברות מאוחדות</w:t>
            </w:r>
          </w:p>
        </w:tc>
        <w:tc>
          <w:tcPr>
            <w:tcW w:w="113" w:type="dxa"/>
            <w:shd w:val="clear" w:color="auto" w:fill="auto"/>
            <w:vAlign w:val="bottom"/>
          </w:tcPr>
          <w:p w14:paraId="3BAEF5AB" w14:textId="77777777" w:rsidR="00C613CF" w:rsidRPr="00242E69" w:rsidRDefault="00C613CF" w:rsidP="00C613CF">
            <w:pPr>
              <w:spacing w:line="160" w:lineRule="exact"/>
              <w:rPr>
                <w:sz w:val="15"/>
                <w:szCs w:val="15"/>
              </w:rPr>
            </w:pPr>
          </w:p>
        </w:tc>
        <w:tc>
          <w:tcPr>
            <w:tcW w:w="907" w:type="dxa"/>
            <w:vAlign w:val="bottom"/>
          </w:tcPr>
          <w:p w14:paraId="42137D5C"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00BCFCE8"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D3EF28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2EAD8E6"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68FA2E2"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6F687BD6"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663A26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7590A6E"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7DF1D15C" w14:textId="77777777" w:rsidR="00C613CF" w:rsidRPr="00242E69" w:rsidRDefault="00C613CF" w:rsidP="00C613CF">
            <w:pPr>
              <w:tabs>
                <w:tab w:val="decimal" w:pos="113"/>
              </w:tabs>
              <w:spacing w:line="160" w:lineRule="exact"/>
              <w:rPr>
                <w:sz w:val="15"/>
                <w:szCs w:val="15"/>
                <w:rtl/>
              </w:rPr>
            </w:pPr>
          </w:p>
        </w:tc>
      </w:tr>
      <w:tr w:rsidR="00C613CF" w:rsidRPr="00C54C0C" w14:paraId="0B2C57F3" w14:textId="77777777" w:rsidTr="00364535">
        <w:tc>
          <w:tcPr>
            <w:tcW w:w="1133" w:type="dxa"/>
            <w:tcBorders>
              <w:bottom w:val="single" w:sz="4" w:space="0" w:color="auto"/>
              <w:right w:val="single" w:sz="4" w:space="0" w:color="auto"/>
            </w:tcBorders>
          </w:tcPr>
          <w:p w14:paraId="449B43FF"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7.17(e)</w:t>
            </w:r>
          </w:p>
        </w:tc>
        <w:tc>
          <w:tcPr>
            <w:tcW w:w="3232" w:type="dxa"/>
            <w:tcBorders>
              <w:left w:val="single" w:sz="4" w:space="0" w:color="auto"/>
            </w:tcBorders>
            <w:shd w:val="clear" w:color="auto" w:fill="auto"/>
            <w:vAlign w:val="bottom"/>
          </w:tcPr>
          <w:p w14:paraId="138C6275" w14:textId="71D90406" w:rsidR="00C613CF" w:rsidRPr="00A227B8" w:rsidRDefault="00C613CF" w:rsidP="00D83475">
            <w:pPr>
              <w:pStyle w:val="a3"/>
              <w:tabs>
                <w:tab w:val="left" w:pos="227"/>
                <w:tab w:val="left" w:pos="397"/>
                <w:tab w:val="left" w:pos="567"/>
              </w:tabs>
              <w:spacing w:line="160" w:lineRule="exact"/>
              <w:ind w:left="227" w:hanging="170"/>
              <w:rPr>
                <w:sz w:val="16"/>
                <w:szCs w:val="16"/>
              </w:rPr>
            </w:pPr>
            <w:r w:rsidRPr="00A227B8">
              <w:rPr>
                <w:rFonts w:hint="cs"/>
                <w:sz w:val="16"/>
                <w:szCs w:val="16"/>
                <w:rtl/>
              </w:rPr>
              <w:t xml:space="preserve">פרעון </w:t>
            </w:r>
            <w:r w:rsidR="00D83475">
              <w:rPr>
                <w:rFonts w:hint="cs"/>
                <w:sz w:val="16"/>
                <w:szCs w:val="16"/>
                <w:rtl/>
              </w:rPr>
              <w:t>התחייבות בגין חכירה</w:t>
            </w:r>
          </w:p>
        </w:tc>
        <w:tc>
          <w:tcPr>
            <w:tcW w:w="113" w:type="dxa"/>
            <w:shd w:val="clear" w:color="auto" w:fill="auto"/>
            <w:vAlign w:val="bottom"/>
          </w:tcPr>
          <w:p w14:paraId="0BA9EDA9" w14:textId="77777777" w:rsidR="00C613CF" w:rsidRPr="00242E69" w:rsidRDefault="00C613CF" w:rsidP="00C613CF">
            <w:pPr>
              <w:spacing w:line="160" w:lineRule="exact"/>
              <w:rPr>
                <w:sz w:val="15"/>
                <w:szCs w:val="15"/>
              </w:rPr>
            </w:pPr>
          </w:p>
        </w:tc>
        <w:tc>
          <w:tcPr>
            <w:tcW w:w="907" w:type="dxa"/>
            <w:vAlign w:val="bottom"/>
          </w:tcPr>
          <w:p w14:paraId="110F26FE"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0D579367"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73BE8193"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E7DD63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C8FF8E2"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6A4BEE82"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E09ED87"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DEA615B"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03A5D015" w14:textId="77777777" w:rsidR="00C613CF" w:rsidRPr="00242E69" w:rsidRDefault="00C613CF" w:rsidP="00C613CF">
            <w:pPr>
              <w:tabs>
                <w:tab w:val="decimal" w:pos="113"/>
              </w:tabs>
              <w:spacing w:line="160" w:lineRule="exact"/>
              <w:rPr>
                <w:sz w:val="15"/>
                <w:szCs w:val="15"/>
                <w:rtl/>
              </w:rPr>
            </w:pPr>
          </w:p>
        </w:tc>
      </w:tr>
      <w:tr w:rsidR="00C613CF" w:rsidRPr="00C54C0C" w14:paraId="7C1BFBB7" w14:textId="77777777" w:rsidTr="00364535">
        <w:tc>
          <w:tcPr>
            <w:tcW w:w="1133" w:type="dxa"/>
            <w:tcBorders>
              <w:top w:val="single" w:sz="4" w:space="0" w:color="auto"/>
              <w:bottom w:val="single" w:sz="4" w:space="0" w:color="auto"/>
              <w:right w:val="single" w:sz="4" w:space="0" w:color="auto"/>
            </w:tcBorders>
          </w:tcPr>
          <w:p w14:paraId="3F36C019"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7.17(c)</w:t>
            </w:r>
          </w:p>
        </w:tc>
        <w:tc>
          <w:tcPr>
            <w:tcW w:w="3232" w:type="dxa"/>
            <w:tcBorders>
              <w:left w:val="single" w:sz="4" w:space="0" w:color="auto"/>
            </w:tcBorders>
            <w:shd w:val="clear" w:color="auto" w:fill="auto"/>
            <w:vAlign w:val="bottom"/>
          </w:tcPr>
          <w:p w14:paraId="3274491D"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קבלת הלוואות והתחייבויות אחרות לזמן ארוך</w:t>
            </w:r>
          </w:p>
        </w:tc>
        <w:tc>
          <w:tcPr>
            <w:tcW w:w="113" w:type="dxa"/>
            <w:shd w:val="clear" w:color="auto" w:fill="auto"/>
            <w:vAlign w:val="bottom"/>
          </w:tcPr>
          <w:p w14:paraId="3225A2B2" w14:textId="77777777" w:rsidR="00C613CF" w:rsidRPr="00242E69" w:rsidRDefault="00C613CF" w:rsidP="00C613CF">
            <w:pPr>
              <w:spacing w:line="160" w:lineRule="exact"/>
              <w:rPr>
                <w:sz w:val="15"/>
                <w:szCs w:val="15"/>
              </w:rPr>
            </w:pPr>
          </w:p>
        </w:tc>
        <w:tc>
          <w:tcPr>
            <w:tcW w:w="907" w:type="dxa"/>
            <w:vAlign w:val="bottom"/>
          </w:tcPr>
          <w:p w14:paraId="68DF533D"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5A893D6D"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5E065883"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47E723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1F116B3"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4900C5FD"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3DB8699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6B73778"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DD7D53B" w14:textId="77777777" w:rsidR="00C613CF" w:rsidRPr="00242E69" w:rsidRDefault="00C613CF" w:rsidP="00C613CF">
            <w:pPr>
              <w:tabs>
                <w:tab w:val="decimal" w:pos="113"/>
              </w:tabs>
              <w:spacing w:line="160" w:lineRule="exact"/>
              <w:rPr>
                <w:sz w:val="15"/>
                <w:szCs w:val="15"/>
                <w:rtl/>
              </w:rPr>
            </w:pPr>
          </w:p>
        </w:tc>
      </w:tr>
      <w:tr w:rsidR="00C613CF" w:rsidRPr="00C54C0C" w14:paraId="67EFE055" w14:textId="77777777" w:rsidTr="00364535">
        <w:tc>
          <w:tcPr>
            <w:tcW w:w="1133" w:type="dxa"/>
            <w:tcBorders>
              <w:top w:val="single" w:sz="4" w:space="0" w:color="auto"/>
              <w:bottom w:val="single" w:sz="4" w:space="0" w:color="auto"/>
              <w:right w:val="single" w:sz="4" w:space="0" w:color="auto"/>
            </w:tcBorders>
          </w:tcPr>
          <w:p w14:paraId="5894A007"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7.17(d)</w:t>
            </w:r>
          </w:p>
        </w:tc>
        <w:tc>
          <w:tcPr>
            <w:tcW w:w="3232" w:type="dxa"/>
            <w:tcBorders>
              <w:left w:val="single" w:sz="4" w:space="0" w:color="auto"/>
            </w:tcBorders>
            <w:shd w:val="clear" w:color="auto" w:fill="auto"/>
            <w:vAlign w:val="bottom"/>
          </w:tcPr>
          <w:p w14:paraId="58CC12D2"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פרעון הלוואות והתחייבויות אחרות לזמן ארוך</w:t>
            </w:r>
          </w:p>
        </w:tc>
        <w:tc>
          <w:tcPr>
            <w:tcW w:w="113" w:type="dxa"/>
            <w:shd w:val="clear" w:color="auto" w:fill="auto"/>
            <w:vAlign w:val="bottom"/>
          </w:tcPr>
          <w:p w14:paraId="27FAD9CF" w14:textId="77777777" w:rsidR="00C613CF" w:rsidRPr="00242E69" w:rsidRDefault="00C613CF" w:rsidP="00C613CF">
            <w:pPr>
              <w:spacing w:line="160" w:lineRule="exact"/>
              <w:rPr>
                <w:sz w:val="15"/>
                <w:szCs w:val="15"/>
              </w:rPr>
            </w:pPr>
          </w:p>
        </w:tc>
        <w:tc>
          <w:tcPr>
            <w:tcW w:w="907" w:type="dxa"/>
            <w:vAlign w:val="bottom"/>
          </w:tcPr>
          <w:p w14:paraId="5D8293AB"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567ED2C"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2F0299F6"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1D9384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550C153"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6157C93"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158CAB3"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66510D0"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7E42E8F4" w14:textId="77777777" w:rsidR="00C613CF" w:rsidRPr="00242E69" w:rsidRDefault="00C613CF" w:rsidP="00C613CF">
            <w:pPr>
              <w:tabs>
                <w:tab w:val="decimal" w:pos="113"/>
              </w:tabs>
              <w:spacing w:line="160" w:lineRule="exact"/>
              <w:rPr>
                <w:sz w:val="15"/>
                <w:szCs w:val="15"/>
                <w:rtl/>
              </w:rPr>
            </w:pPr>
          </w:p>
        </w:tc>
      </w:tr>
      <w:tr w:rsidR="00C613CF" w:rsidRPr="00C54C0C" w14:paraId="24D171B4" w14:textId="77777777" w:rsidTr="00364535">
        <w:tc>
          <w:tcPr>
            <w:tcW w:w="1133" w:type="dxa"/>
            <w:tcBorders>
              <w:top w:val="single" w:sz="4" w:space="0" w:color="auto"/>
            </w:tcBorders>
          </w:tcPr>
          <w:p w14:paraId="787E1B48" w14:textId="77777777" w:rsidR="00C613CF" w:rsidRPr="000B1730" w:rsidRDefault="00C613CF" w:rsidP="00C613CF">
            <w:pPr>
              <w:widowControl/>
              <w:tabs>
                <w:tab w:val="left" w:pos="227"/>
                <w:tab w:val="left" w:pos="397"/>
                <w:tab w:val="left" w:pos="567"/>
              </w:tabs>
              <w:bidi w:val="0"/>
              <w:spacing w:line="160" w:lineRule="exact"/>
              <w:ind w:right="57"/>
              <w:jc w:val="right"/>
              <w:rPr>
                <w:i/>
                <w:iCs/>
                <w:sz w:val="13"/>
                <w:szCs w:val="13"/>
              </w:rPr>
            </w:pPr>
          </w:p>
        </w:tc>
        <w:tc>
          <w:tcPr>
            <w:tcW w:w="3232" w:type="dxa"/>
            <w:shd w:val="clear" w:color="auto" w:fill="auto"/>
            <w:vAlign w:val="bottom"/>
          </w:tcPr>
          <w:p w14:paraId="18E98368" w14:textId="77777777" w:rsidR="00C613CF" w:rsidRPr="00A227B8" w:rsidRDefault="00C613CF" w:rsidP="00C613CF">
            <w:pPr>
              <w:pStyle w:val="a3"/>
              <w:widowControl/>
              <w:tabs>
                <w:tab w:val="left" w:pos="227"/>
                <w:tab w:val="left" w:pos="397"/>
                <w:tab w:val="left" w:pos="567"/>
              </w:tabs>
              <w:spacing w:line="160" w:lineRule="exact"/>
              <w:rPr>
                <w:sz w:val="16"/>
                <w:szCs w:val="16"/>
                <w:rtl/>
              </w:rPr>
            </w:pPr>
            <w:r w:rsidRPr="00A227B8">
              <w:rPr>
                <w:rFonts w:hint="cs"/>
                <w:sz w:val="16"/>
                <w:szCs w:val="16"/>
                <w:rtl/>
              </w:rPr>
              <w:t>קבלת אשראי לזמן קצר מתאגידים בנקאיים ואחרים</w:t>
            </w:r>
            <w:r w:rsidRPr="00A227B8">
              <w:rPr>
                <w:rFonts w:hint="cs"/>
                <w:sz w:val="16"/>
                <w:szCs w:val="16"/>
                <w:vertAlign w:val="superscript"/>
                <w:rtl/>
              </w:rPr>
              <w:t>3</w:t>
            </w:r>
          </w:p>
        </w:tc>
        <w:tc>
          <w:tcPr>
            <w:tcW w:w="113" w:type="dxa"/>
            <w:shd w:val="clear" w:color="auto" w:fill="auto"/>
            <w:vAlign w:val="bottom"/>
          </w:tcPr>
          <w:p w14:paraId="5162F623" w14:textId="77777777" w:rsidR="00C613CF" w:rsidRPr="00242E69" w:rsidRDefault="00C613CF" w:rsidP="00C613CF">
            <w:pPr>
              <w:spacing w:line="160" w:lineRule="exact"/>
              <w:rPr>
                <w:sz w:val="15"/>
                <w:szCs w:val="15"/>
              </w:rPr>
            </w:pPr>
          </w:p>
        </w:tc>
        <w:tc>
          <w:tcPr>
            <w:tcW w:w="907" w:type="dxa"/>
            <w:shd w:val="clear" w:color="auto" w:fill="auto"/>
            <w:vAlign w:val="bottom"/>
          </w:tcPr>
          <w:p w14:paraId="5C896FE2"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1F9622C5"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5DC0A818"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2FD9A54"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6165ACA"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2A5BBCA"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B222E5D"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9599AE6"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0D983FBA" w14:textId="77777777" w:rsidR="00C613CF" w:rsidRPr="00242E69" w:rsidRDefault="00C613CF" w:rsidP="00C613CF">
            <w:pPr>
              <w:tabs>
                <w:tab w:val="decimal" w:pos="113"/>
              </w:tabs>
              <w:spacing w:line="160" w:lineRule="exact"/>
              <w:rPr>
                <w:sz w:val="15"/>
                <w:szCs w:val="15"/>
                <w:rtl/>
              </w:rPr>
            </w:pPr>
          </w:p>
        </w:tc>
      </w:tr>
      <w:tr w:rsidR="00C613CF" w:rsidRPr="00C54C0C" w14:paraId="0E37040C" w14:textId="77777777" w:rsidTr="00364535">
        <w:tc>
          <w:tcPr>
            <w:tcW w:w="1133" w:type="dxa"/>
          </w:tcPr>
          <w:p w14:paraId="1203C389"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35711AA3" w14:textId="77777777" w:rsidR="00C613CF" w:rsidRPr="00A227B8" w:rsidRDefault="00C613CF" w:rsidP="00C613CF">
            <w:pPr>
              <w:pStyle w:val="a3"/>
              <w:widowControl/>
              <w:tabs>
                <w:tab w:val="left" w:pos="227"/>
                <w:tab w:val="left" w:pos="397"/>
                <w:tab w:val="left" w:pos="567"/>
              </w:tabs>
              <w:spacing w:line="160" w:lineRule="exact"/>
              <w:rPr>
                <w:sz w:val="16"/>
                <w:szCs w:val="16"/>
              </w:rPr>
            </w:pPr>
            <w:r w:rsidRPr="00A227B8">
              <w:rPr>
                <w:rFonts w:hint="cs"/>
                <w:sz w:val="16"/>
                <w:szCs w:val="16"/>
                <w:rtl/>
              </w:rPr>
              <w:t>פרעון אשראי לזמן קצר מתאגידים בנקאיים ואחרים</w:t>
            </w:r>
            <w:r w:rsidRPr="00A227B8">
              <w:rPr>
                <w:rFonts w:hint="cs"/>
                <w:sz w:val="16"/>
                <w:szCs w:val="16"/>
                <w:vertAlign w:val="superscript"/>
                <w:rtl/>
              </w:rPr>
              <w:t>3</w:t>
            </w:r>
          </w:p>
        </w:tc>
        <w:tc>
          <w:tcPr>
            <w:tcW w:w="113" w:type="dxa"/>
            <w:shd w:val="clear" w:color="auto" w:fill="auto"/>
            <w:vAlign w:val="bottom"/>
          </w:tcPr>
          <w:p w14:paraId="4F17BE13" w14:textId="77777777" w:rsidR="00C613CF" w:rsidRPr="00242E69" w:rsidRDefault="00C613CF" w:rsidP="00C613CF">
            <w:pPr>
              <w:spacing w:line="160" w:lineRule="exact"/>
              <w:rPr>
                <w:sz w:val="15"/>
                <w:szCs w:val="15"/>
              </w:rPr>
            </w:pPr>
          </w:p>
        </w:tc>
        <w:tc>
          <w:tcPr>
            <w:tcW w:w="907" w:type="dxa"/>
            <w:shd w:val="clear" w:color="auto" w:fill="auto"/>
            <w:vAlign w:val="bottom"/>
          </w:tcPr>
          <w:p w14:paraId="5CE3B717"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26F3E58B"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75B9C67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72FF62D9"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A8011D9"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2E3984C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FA7A30D"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D2724FC"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31C28362" w14:textId="77777777" w:rsidR="00C613CF" w:rsidRPr="00242E69" w:rsidRDefault="00C613CF" w:rsidP="00C613CF">
            <w:pPr>
              <w:tabs>
                <w:tab w:val="decimal" w:pos="113"/>
              </w:tabs>
              <w:spacing w:line="160" w:lineRule="exact"/>
              <w:rPr>
                <w:sz w:val="15"/>
                <w:szCs w:val="15"/>
                <w:rtl/>
              </w:rPr>
            </w:pPr>
          </w:p>
        </w:tc>
      </w:tr>
      <w:tr w:rsidR="00364535" w:rsidRPr="00C54C0C" w14:paraId="706507B7" w14:textId="77777777" w:rsidTr="00364535">
        <w:tc>
          <w:tcPr>
            <w:tcW w:w="1133" w:type="dxa"/>
          </w:tcPr>
          <w:p w14:paraId="170A8FEE" w14:textId="77777777" w:rsidR="00364535" w:rsidRPr="000B1730" w:rsidRDefault="00364535"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0B406253" w14:textId="221E98C2" w:rsidR="00364535" w:rsidRPr="00364535" w:rsidRDefault="00364535" w:rsidP="00364535">
            <w:pPr>
              <w:pStyle w:val="a3"/>
              <w:widowControl/>
              <w:tabs>
                <w:tab w:val="left" w:pos="227"/>
                <w:tab w:val="left" w:pos="397"/>
                <w:tab w:val="left" w:pos="567"/>
              </w:tabs>
              <w:spacing w:line="160" w:lineRule="exact"/>
              <w:rPr>
                <w:sz w:val="16"/>
                <w:szCs w:val="16"/>
                <w:rtl/>
              </w:rPr>
            </w:pPr>
            <w:r w:rsidRPr="00364535">
              <w:rPr>
                <w:rFonts w:hint="cs"/>
                <w:sz w:val="16"/>
                <w:szCs w:val="16"/>
                <w:rtl/>
              </w:rPr>
              <w:t>קבלת מענקים מרשות החדשנות</w:t>
            </w:r>
            <w:r w:rsidRPr="00364535">
              <w:rPr>
                <w:rStyle w:val="ab"/>
                <w:rFonts w:hint="cs"/>
                <w:sz w:val="16"/>
                <w:szCs w:val="16"/>
                <w:rtl/>
              </w:rPr>
              <w:t xml:space="preserve"> </w:t>
            </w:r>
          </w:p>
        </w:tc>
        <w:tc>
          <w:tcPr>
            <w:tcW w:w="113" w:type="dxa"/>
            <w:shd w:val="clear" w:color="auto" w:fill="auto"/>
            <w:vAlign w:val="bottom"/>
          </w:tcPr>
          <w:p w14:paraId="4008BADB" w14:textId="77777777" w:rsidR="00364535" w:rsidRPr="00242E69" w:rsidRDefault="00364535" w:rsidP="00C613CF">
            <w:pPr>
              <w:spacing w:line="160" w:lineRule="exact"/>
              <w:rPr>
                <w:sz w:val="15"/>
                <w:szCs w:val="15"/>
              </w:rPr>
            </w:pPr>
          </w:p>
        </w:tc>
        <w:tc>
          <w:tcPr>
            <w:tcW w:w="907" w:type="dxa"/>
            <w:shd w:val="clear" w:color="auto" w:fill="auto"/>
            <w:vAlign w:val="bottom"/>
          </w:tcPr>
          <w:p w14:paraId="29F53FF2" w14:textId="77777777" w:rsidR="00364535" w:rsidRPr="00242E69" w:rsidRDefault="00364535" w:rsidP="00C613CF">
            <w:pPr>
              <w:tabs>
                <w:tab w:val="decimal" w:pos="113"/>
              </w:tabs>
              <w:spacing w:line="160" w:lineRule="exact"/>
              <w:rPr>
                <w:sz w:val="15"/>
                <w:szCs w:val="15"/>
                <w:rtl/>
              </w:rPr>
            </w:pPr>
          </w:p>
        </w:tc>
        <w:tc>
          <w:tcPr>
            <w:tcW w:w="113" w:type="dxa"/>
            <w:vAlign w:val="bottom"/>
          </w:tcPr>
          <w:p w14:paraId="40A2FF54" w14:textId="77777777" w:rsidR="00364535" w:rsidRPr="00242E69" w:rsidRDefault="00364535" w:rsidP="00C613CF">
            <w:pPr>
              <w:tabs>
                <w:tab w:val="decimal" w:pos="113"/>
              </w:tabs>
              <w:spacing w:line="160" w:lineRule="exact"/>
              <w:rPr>
                <w:sz w:val="15"/>
                <w:szCs w:val="15"/>
              </w:rPr>
            </w:pPr>
          </w:p>
        </w:tc>
        <w:tc>
          <w:tcPr>
            <w:tcW w:w="907" w:type="dxa"/>
            <w:gridSpan w:val="2"/>
            <w:shd w:val="clear" w:color="auto" w:fill="auto"/>
            <w:vAlign w:val="bottom"/>
          </w:tcPr>
          <w:p w14:paraId="482A203E" w14:textId="77777777" w:rsidR="00364535" w:rsidRPr="00242E69" w:rsidRDefault="00364535" w:rsidP="00C613CF">
            <w:pPr>
              <w:tabs>
                <w:tab w:val="decimal" w:pos="113"/>
              </w:tabs>
              <w:spacing w:line="160" w:lineRule="exact"/>
              <w:rPr>
                <w:sz w:val="15"/>
                <w:szCs w:val="15"/>
              </w:rPr>
            </w:pPr>
          </w:p>
        </w:tc>
        <w:tc>
          <w:tcPr>
            <w:tcW w:w="113" w:type="dxa"/>
            <w:shd w:val="clear" w:color="auto" w:fill="auto"/>
            <w:vAlign w:val="bottom"/>
          </w:tcPr>
          <w:p w14:paraId="1323C57D" w14:textId="77777777" w:rsidR="00364535" w:rsidRPr="00242E69" w:rsidRDefault="00364535" w:rsidP="00C613CF">
            <w:pPr>
              <w:tabs>
                <w:tab w:val="decimal" w:pos="113"/>
              </w:tabs>
              <w:spacing w:line="160" w:lineRule="exact"/>
              <w:rPr>
                <w:sz w:val="15"/>
                <w:szCs w:val="15"/>
              </w:rPr>
            </w:pPr>
          </w:p>
        </w:tc>
        <w:tc>
          <w:tcPr>
            <w:tcW w:w="907" w:type="dxa"/>
            <w:shd w:val="clear" w:color="auto" w:fill="auto"/>
            <w:vAlign w:val="bottom"/>
          </w:tcPr>
          <w:p w14:paraId="5E5C1384" w14:textId="77777777" w:rsidR="00364535" w:rsidRPr="00242E69" w:rsidRDefault="00364535" w:rsidP="00C613CF">
            <w:pPr>
              <w:tabs>
                <w:tab w:val="decimal" w:pos="113"/>
              </w:tabs>
              <w:spacing w:line="160" w:lineRule="exact"/>
              <w:rPr>
                <w:sz w:val="15"/>
                <w:szCs w:val="15"/>
                <w:rtl/>
              </w:rPr>
            </w:pPr>
          </w:p>
        </w:tc>
        <w:tc>
          <w:tcPr>
            <w:tcW w:w="113" w:type="dxa"/>
            <w:shd w:val="clear" w:color="auto" w:fill="auto"/>
            <w:vAlign w:val="bottom"/>
          </w:tcPr>
          <w:p w14:paraId="0D659742" w14:textId="77777777" w:rsidR="00364535" w:rsidRPr="00242E69" w:rsidRDefault="00364535" w:rsidP="00C613CF">
            <w:pPr>
              <w:tabs>
                <w:tab w:val="decimal" w:pos="113"/>
              </w:tabs>
              <w:spacing w:line="160" w:lineRule="exact"/>
              <w:rPr>
                <w:sz w:val="15"/>
                <w:szCs w:val="15"/>
              </w:rPr>
            </w:pPr>
          </w:p>
        </w:tc>
        <w:tc>
          <w:tcPr>
            <w:tcW w:w="907" w:type="dxa"/>
            <w:shd w:val="clear" w:color="auto" w:fill="auto"/>
            <w:vAlign w:val="bottom"/>
          </w:tcPr>
          <w:p w14:paraId="0D686C76" w14:textId="77777777" w:rsidR="00364535" w:rsidRPr="00242E69" w:rsidRDefault="00364535" w:rsidP="00C613CF">
            <w:pPr>
              <w:tabs>
                <w:tab w:val="decimal" w:pos="113"/>
              </w:tabs>
              <w:spacing w:line="160" w:lineRule="exact"/>
              <w:rPr>
                <w:sz w:val="15"/>
                <w:szCs w:val="15"/>
              </w:rPr>
            </w:pPr>
          </w:p>
        </w:tc>
        <w:tc>
          <w:tcPr>
            <w:tcW w:w="113" w:type="dxa"/>
            <w:shd w:val="clear" w:color="auto" w:fill="auto"/>
            <w:vAlign w:val="bottom"/>
          </w:tcPr>
          <w:p w14:paraId="7A15A828" w14:textId="77777777" w:rsidR="00364535" w:rsidRPr="00242E69" w:rsidRDefault="00364535" w:rsidP="00C613CF">
            <w:pPr>
              <w:tabs>
                <w:tab w:val="decimal" w:pos="113"/>
              </w:tabs>
              <w:spacing w:line="160" w:lineRule="exact"/>
              <w:rPr>
                <w:sz w:val="15"/>
                <w:szCs w:val="15"/>
              </w:rPr>
            </w:pPr>
          </w:p>
        </w:tc>
        <w:tc>
          <w:tcPr>
            <w:tcW w:w="1081" w:type="dxa"/>
            <w:shd w:val="clear" w:color="auto" w:fill="auto"/>
            <w:vAlign w:val="bottom"/>
          </w:tcPr>
          <w:p w14:paraId="2BE0F6B3" w14:textId="77777777" w:rsidR="00364535" w:rsidRPr="00242E69" w:rsidRDefault="00364535" w:rsidP="00C613CF">
            <w:pPr>
              <w:tabs>
                <w:tab w:val="decimal" w:pos="113"/>
              </w:tabs>
              <w:spacing w:line="160" w:lineRule="exact"/>
              <w:rPr>
                <w:sz w:val="15"/>
                <w:szCs w:val="15"/>
                <w:rtl/>
              </w:rPr>
            </w:pPr>
          </w:p>
        </w:tc>
      </w:tr>
      <w:tr w:rsidR="00364535" w:rsidRPr="00C54C0C" w14:paraId="473CE8B6" w14:textId="77777777" w:rsidTr="00364535">
        <w:tc>
          <w:tcPr>
            <w:tcW w:w="1133" w:type="dxa"/>
          </w:tcPr>
          <w:p w14:paraId="15A4581E" w14:textId="77777777" w:rsidR="00364535" w:rsidRPr="000B1730" w:rsidRDefault="00364535" w:rsidP="00364535">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5CD545A6" w14:textId="076C3342" w:rsidR="00364535" w:rsidRPr="00364535" w:rsidRDefault="00364535" w:rsidP="00364535">
            <w:pPr>
              <w:pStyle w:val="a3"/>
              <w:widowControl/>
              <w:tabs>
                <w:tab w:val="left" w:pos="227"/>
                <w:tab w:val="left" w:pos="397"/>
                <w:tab w:val="left" w:pos="567"/>
              </w:tabs>
              <w:spacing w:line="160" w:lineRule="exact"/>
              <w:rPr>
                <w:sz w:val="16"/>
                <w:szCs w:val="16"/>
                <w:rtl/>
              </w:rPr>
            </w:pPr>
            <w:r w:rsidRPr="00364535">
              <w:rPr>
                <w:rFonts w:hint="cs"/>
                <w:sz w:val="16"/>
                <w:szCs w:val="16"/>
                <w:rtl/>
              </w:rPr>
              <w:t>החזרת מענקים שהתקבלו מרשות החדשנות</w:t>
            </w:r>
            <w:r w:rsidRPr="00364535">
              <w:rPr>
                <w:rStyle w:val="ab"/>
                <w:sz w:val="16"/>
                <w:szCs w:val="16"/>
                <w:rtl/>
              </w:rPr>
              <w:t xml:space="preserve"> </w:t>
            </w:r>
            <w:r w:rsidRPr="00364535">
              <w:rPr>
                <w:rStyle w:val="ab"/>
                <w:sz w:val="16"/>
                <w:szCs w:val="16"/>
                <w:rtl/>
              </w:rPr>
              <w:footnoteReference w:id="57"/>
            </w:r>
          </w:p>
        </w:tc>
        <w:tc>
          <w:tcPr>
            <w:tcW w:w="113" w:type="dxa"/>
            <w:shd w:val="clear" w:color="auto" w:fill="auto"/>
            <w:vAlign w:val="bottom"/>
          </w:tcPr>
          <w:p w14:paraId="7CDDC778" w14:textId="77777777" w:rsidR="00364535" w:rsidRPr="00242E69" w:rsidRDefault="00364535" w:rsidP="00364535">
            <w:pPr>
              <w:spacing w:line="160" w:lineRule="exact"/>
              <w:rPr>
                <w:sz w:val="15"/>
                <w:szCs w:val="15"/>
              </w:rPr>
            </w:pPr>
          </w:p>
        </w:tc>
        <w:tc>
          <w:tcPr>
            <w:tcW w:w="907" w:type="dxa"/>
            <w:tcBorders>
              <w:bottom w:val="single" w:sz="6" w:space="0" w:color="auto"/>
            </w:tcBorders>
            <w:shd w:val="clear" w:color="auto" w:fill="auto"/>
            <w:vAlign w:val="bottom"/>
          </w:tcPr>
          <w:p w14:paraId="633A4273" w14:textId="77777777" w:rsidR="00364535" w:rsidRPr="00242E69" w:rsidRDefault="00364535" w:rsidP="00364535">
            <w:pPr>
              <w:tabs>
                <w:tab w:val="decimal" w:pos="113"/>
              </w:tabs>
              <w:spacing w:line="160" w:lineRule="exact"/>
              <w:rPr>
                <w:sz w:val="15"/>
                <w:szCs w:val="15"/>
                <w:rtl/>
              </w:rPr>
            </w:pPr>
          </w:p>
        </w:tc>
        <w:tc>
          <w:tcPr>
            <w:tcW w:w="113" w:type="dxa"/>
            <w:vAlign w:val="bottom"/>
          </w:tcPr>
          <w:p w14:paraId="4D14195B" w14:textId="77777777" w:rsidR="00364535" w:rsidRPr="00242E69" w:rsidRDefault="00364535" w:rsidP="00364535">
            <w:pPr>
              <w:tabs>
                <w:tab w:val="decimal" w:pos="113"/>
              </w:tabs>
              <w:spacing w:line="160" w:lineRule="exact"/>
              <w:rPr>
                <w:sz w:val="15"/>
                <w:szCs w:val="15"/>
              </w:rPr>
            </w:pPr>
          </w:p>
        </w:tc>
        <w:tc>
          <w:tcPr>
            <w:tcW w:w="907" w:type="dxa"/>
            <w:gridSpan w:val="2"/>
            <w:tcBorders>
              <w:bottom w:val="single" w:sz="6" w:space="0" w:color="auto"/>
            </w:tcBorders>
            <w:shd w:val="clear" w:color="auto" w:fill="auto"/>
            <w:vAlign w:val="bottom"/>
          </w:tcPr>
          <w:p w14:paraId="171DA143"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66C03BB6"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77BFB40B" w14:textId="77777777" w:rsidR="00364535" w:rsidRPr="00242E69" w:rsidRDefault="00364535" w:rsidP="00364535">
            <w:pPr>
              <w:tabs>
                <w:tab w:val="decimal" w:pos="113"/>
              </w:tabs>
              <w:spacing w:line="160" w:lineRule="exact"/>
              <w:rPr>
                <w:sz w:val="15"/>
                <w:szCs w:val="15"/>
                <w:rtl/>
              </w:rPr>
            </w:pPr>
          </w:p>
        </w:tc>
        <w:tc>
          <w:tcPr>
            <w:tcW w:w="113" w:type="dxa"/>
            <w:shd w:val="clear" w:color="auto" w:fill="auto"/>
            <w:vAlign w:val="bottom"/>
          </w:tcPr>
          <w:p w14:paraId="106AFEAA"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73B86C30"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051B62A1" w14:textId="77777777" w:rsidR="00364535" w:rsidRPr="00242E69" w:rsidRDefault="00364535" w:rsidP="00364535">
            <w:pPr>
              <w:tabs>
                <w:tab w:val="decimal" w:pos="113"/>
              </w:tabs>
              <w:spacing w:line="160" w:lineRule="exact"/>
              <w:rPr>
                <w:sz w:val="15"/>
                <w:szCs w:val="15"/>
              </w:rPr>
            </w:pPr>
          </w:p>
        </w:tc>
        <w:tc>
          <w:tcPr>
            <w:tcW w:w="1081" w:type="dxa"/>
            <w:tcBorders>
              <w:bottom w:val="single" w:sz="6" w:space="0" w:color="auto"/>
            </w:tcBorders>
            <w:shd w:val="clear" w:color="auto" w:fill="auto"/>
            <w:vAlign w:val="bottom"/>
          </w:tcPr>
          <w:p w14:paraId="06A37144" w14:textId="77777777" w:rsidR="00364535" w:rsidRPr="00242E69" w:rsidRDefault="00364535" w:rsidP="00364535">
            <w:pPr>
              <w:tabs>
                <w:tab w:val="decimal" w:pos="113"/>
              </w:tabs>
              <w:spacing w:line="160" w:lineRule="exact"/>
              <w:rPr>
                <w:sz w:val="15"/>
                <w:szCs w:val="15"/>
                <w:rtl/>
              </w:rPr>
            </w:pPr>
          </w:p>
        </w:tc>
      </w:tr>
      <w:tr w:rsidR="00364535" w:rsidRPr="00C54C0C" w14:paraId="52816866" w14:textId="77777777" w:rsidTr="00364535">
        <w:tc>
          <w:tcPr>
            <w:tcW w:w="1133" w:type="dxa"/>
          </w:tcPr>
          <w:p w14:paraId="6FA2F1BC" w14:textId="77777777" w:rsidR="00364535" w:rsidRPr="000B1730" w:rsidRDefault="00364535" w:rsidP="00364535">
            <w:pPr>
              <w:widowControl/>
              <w:tabs>
                <w:tab w:val="left" w:pos="227"/>
                <w:tab w:val="left" w:pos="397"/>
                <w:tab w:val="left" w:pos="567"/>
              </w:tabs>
              <w:spacing w:line="120" w:lineRule="auto"/>
              <w:jc w:val="right"/>
              <w:rPr>
                <w:i/>
                <w:iCs/>
                <w:sz w:val="13"/>
                <w:szCs w:val="13"/>
              </w:rPr>
            </w:pPr>
          </w:p>
        </w:tc>
        <w:tc>
          <w:tcPr>
            <w:tcW w:w="3232" w:type="dxa"/>
            <w:shd w:val="clear" w:color="auto" w:fill="auto"/>
            <w:vAlign w:val="bottom"/>
          </w:tcPr>
          <w:p w14:paraId="5920AE09" w14:textId="77777777" w:rsidR="00364535" w:rsidRPr="00A227B8" w:rsidRDefault="00364535" w:rsidP="00364535">
            <w:pPr>
              <w:widowControl/>
              <w:tabs>
                <w:tab w:val="left" w:pos="227"/>
                <w:tab w:val="left" w:pos="397"/>
                <w:tab w:val="left" w:pos="567"/>
              </w:tabs>
              <w:spacing w:line="120" w:lineRule="auto"/>
              <w:rPr>
                <w:sz w:val="16"/>
                <w:szCs w:val="16"/>
              </w:rPr>
            </w:pPr>
          </w:p>
        </w:tc>
        <w:tc>
          <w:tcPr>
            <w:tcW w:w="113" w:type="dxa"/>
            <w:shd w:val="clear" w:color="auto" w:fill="auto"/>
            <w:vAlign w:val="bottom"/>
          </w:tcPr>
          <w:p w14:paraId="55C1691C"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vAlign w:val="bottom"/>
          </w:tcPr>
          <w:p w14:paraId="77EA28D7"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vAlign w:val="bottom"/>
          </w:tcPr>
          <w:p w14:paraId="6D2DBFDB"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gridSpan w:val="2"/>
            <w:tcBorders>
              <w:top w:val="single" w:sz="6" w:space="0" w:color="auto"/>
            </w:tcBorders>
            <w:shd w:val="clear" w:color="auto" w:fill="auto"/>
            <w:vAlign w:val="bottom"/>
          </w:tcPr>
          <w:p w14:paraId="0F26293A"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46084281"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45EC1DB0"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0E3BC614"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262A9847"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4B20994F"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081" w:type="dxa"/>
            <w:tcBorders>
              <w:top w:val="single" w:sz="6" w:space="0" w:color="auto"/>
            </w:tcBorders>
            <w:shd w:val="clear" w:color="auto" w:fill="auto"/>
            <w:vAlign w:val="bottom"/>
          </w:tcPr>
          <w:p w14:paraId="3CA64A69" w14:textId="77777777" w:rsidR="00364535" w:rsidRPr="00242E69" w:rsidRDefault="00364535" w:rsidP="00364535">
            <w:pPr>
              <w:widowControl/>
              <w:tabs>
                <w:tab w:val="left" w:pos="227"/>
                <w:tab w:val="left" w:pos="397"/>
                <w:tab w:val="left" w:pos="567"/>
              </w:tabs>
              <w:spacing w:line="120" w:lineRule="auto"/>
              <w:rPr>
                <w:sz w:val="15"/>
                <w:szCs w:val="15"/>
                <w:rtl/>
              </w:rPr>
            </w:pPr>
          </w:p>
        </w:tc>
      </w:tr>
      <w:tr w:rsidR="00364535" w:rsidRPr="00C54C0C" w14:paraId="6092AA10" w14:textId="77777777" w:rsidTr="00364535">
        <w:tc>
          <w:tcPr>
            <w:tcW w:w="1133" w:type="dxa"/>
          </w:tcPr>
          <w:p w14:paraId="498EEB1E" w14:textId="77777777" w:rsidR="00364535" w:rsidRPr="000B1730" w:rsidRDefault="00364535" w:rsidP="00364535">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0ADEC47B" w14:textId="77777777" w:rsidR="00364535" w:rsidRPr="00A227B8" w:rsidRDefault="00364535" w:rsidP="00364535">
            <w:pPr>
              <w:pStyle w:val="a3"/>
              <w:tabs>
                <w:tab w:val="left" w:pos="227"/>
                <w:tab w:val="left" w:pos="397"/>
                <w:tab w:val="left" w:pos="567"/>
              </w:tabs>
              <w:spacing w:line="160" w:lineRule="exact"/>
              <w:ind w:left="227" w:hanging="170"/>
              <w:rPr>
                <w:sz w:val="16"/>
                <w:szCs w:val="16"/>
              </w:rPr>
            </w:pPr>
            <w:r w:rsidRPr="00A227B8">
              <w:rPr>
                <w:rFonts w:hint="cs"/>
                <w:sz w:val="16"/>
                <w:szCs w:val="16"/>
                <w:rtl/>
              </w:rPr>
              <w:t>מזומנים נטו שנבעו מפעילות (ששימשו לפעילות) מימון</w:t>
            </w:r>
          </w:p>
        </w:tc>
        <w:tc>
          <w:tcPr>
            <w:tcW w:w="113" w:type="dxa"/>
            <w:shd w:val="clear" w:color="auto" w:fill="auto"/>
            <w:vAlign w:val="bottom"/>
          </w:tcPr>
          <w:p w14:paraId="1F244959" w14:textId="77777777" w:rsidR="00364535" w:rsidRPr="00242E69" w:rsidRDefault="00364535" w:rsidP="00364535">
            <w:pPr>
              <w:spacing w:line="160" w:lineRule="exact"/>
              <w:rPr>
                <w:sz w:val="15"/>
                <w:szCs w:val="15"/>
              </w:rPr>
            </w:pPr>
          </w:p>
        </w:tc>
        <w:tc>
          <w:tcPr>
            <w:tcW w:w="907" w:type="dxa"/>
            <w:tcBorders>
              <w:bottom w:val="single" w:sz="6" w:space="0" w:color="auto"/>
            </w:tcBorders>
            <w:shd w:val="clear" w:color="auto" w:fill="auto"/>
            <w:vAlign w:val="bottom"/>
          </w:tcPr>
          <w:p w14:paraId="4E1EAAAE" w14:textId="77777777" w:rsidR="00364535" w:rsidRPr="00242E69" w:rsidRDefault="00364535" w:rsidP="00364535">
            <w:pPr>
              <w:tabs>
                <w:tab w:val="decimal" w:pos="113"/>
              </w:tabs>
              <w:spacing w:line="160" w:lineRule="exact"/>
              <w:rPr>
                <w:sz w:val="15"/>
                <w:szCs w:val="15"/>
                <w:rtl/>
              </w:rPr>
            </w:pPr>
          </w:p>
        </w:tc>
        <w:tc>
          <w:tcPr>
            <w:tcW w:w="113" w:type="dxa"/>
            <w:vAlign w:val="bottom"/>
          </w:tcPr>
          <w:p w14:paraId="0986BCC4" w14:textId="77777777" w:rsidR="00364535" w:rsidRPr="00242E69" w:rsidRDefault="00364535" w:rsidP="00364535">
            <w:pPr>
              <w:tabs>
                <w:tab w:val="decimal" w:pos="113"/>
              </w:tabs>
              <w:spacing w:line="160" w:lineRule="exact"/>
              <w:rPr>
                <w:sz w:val="15"/>
                <w:szCs w:val="15"/>
              </w:rPr>
            </w:pPr>
          </w:p>
        </w:tc>
        <w:tc>
          <w:tcPr>
            <w:tcW w:w="907" w:type="dxa"/>
            <w:gridSpan w:val="2"/>
            <w:tcBorders>
              <w:bottom w:val="single" w:sz="6" w:space="0" w:color="auto"/>
            </w:tcBorders>
            <w:shd w:val="clear" w:color="auto" w:fill="auto"/>
            <w:vAlign w:val="bottom"/>
          </w:tcPr>
          <w:p w14:paraId="11045FBB"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6FD94912"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7DD523F5" w14:textId="77777777" w:rsidR="00364535" w:rsidRPr="00242E69" w:rsidRDefault="00364535" w:rsidP="00364535">
            <w:pPr>
              <w:tabs>
                <w:tab w:val="decimal" w:pos="113"/>
              </w:tabs>
              <w:spacing w:line="160" w:lineRule="exact"/>
              <w:rPr>
                <w:sz w:val="15"/>
                <w:szCs w:val="15"/>
                <w:rtl/>
              </w:rPr>
            </w:pPr>
          </w:p>
        </w:tc>
        <w:tc>
          <w:tcPr>
            <w:tcW w:w="113" w:type="dxa"/>
            <w:shd w:val="clear" w:color="auto" w:fill="auto"/>
            <w:vAlign w:val="bottom"/>
          </w:tcPr>
          <w:p w14:paraId="74D167E9"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208C43DE"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4014569E" w14:textId="77777777" w:rsidR="00364535" w:rsidRPr="00242E69" w:rsidRDefault="00364535" w:rsidP="00364535">
            <w:pPr>
              <w:tabs>
                <w:tab w:val="decimal" w:pos="113"/>
              </w:tabs>
              <w:spacing w:line="160" w:lineRule="exact"/>
              <w:rPr>
                <w:sz w:val="15"/>
                <w:szCs w:val="15"/>
              </w:rPr>
            </w:pPr>
          </w:p>
        </w:tc>
        <w:tc>
          <w:tcPr>
            <w:tcW w:w="1081" w:type="dxa"/>
            <w:tcBorders>
              <w:bottom w:val="single" w:sz="6" w:space="0" w:color="auto"/>
            </w:tcBorders>
            <w:shd w:val="clear" w:color="auto" w:fill="auto"/>
            <w:vAlign w:val="bottom"/>
          </w:tcPr>
          <w:p w14:paraId="674BC35D" w14:textId="77777777" w:rsidR="00364535" w:rsidRPr="00242E69" w:rsidRDefault="00364535" w:rsidP="00364535">
            <w:pPr>
              <w:tabs>
                <w:tab w:val="decimal" w:pos="113"/>
              </w:tabs>
              <w:spacing w:line="160" w:lineRule="exact"/>
              <w:rPr>
                <w:sz w:val="15"/>
                <w:szCs w:val="15"/>
                <w:rtl/>
              </w:rPr>
            </w:pPr>
          </w:p>
        </w:tc>
      </w:tr>
      <w:tr w:rsidR="00364535" w:rsidRPr="00C54C0C" w14:paraId="31FB9126" w14:textId="77777777" w:rsidTr="00364535">
        <w:tc>
          <w:tcPr>
            <w:tcW w:w="1133" w:type="dxa"/>
          </w:tcPr>
          <w:p w14:paraId="75931B80" w14:textId="77777777" w:rsidR="00364535" w:rsidRPr="000B1730" w:rsidRDefault="00364535" w:rsidP="00364535">
            <w:pPr>
              <w:widowControl/>
              <w:tabs>
                <w:tab w:val="left" w:pos="227"/>
                <w:tab w:val="left" w:pos="397"/>
                <w:tab w:val="left" w:pos="567"/>
              </w:tabs>
              <w:bidi w:val="0"/>
              <w:spacing w:line="160" w:lineRule="exact"/>
              <w:ind w:right="57"/>
              <w:jc w:val="right"/>
              <w:rPr>
                <w:i/>
                <w:iCs/>
                <w:sz w:val="13"/>
                <w:szCs w:val="13"/>
              </w:rPr>
            </w:pPr>
          </w:p>
        </w:tc>
        <w:tc>
          <w:tcPr>
            <w:tcW w:w="3232" w:type="dxa"/>
            <w:shd w:val="clear" w:color="auto" w:fill="auto"/>
            <w:vAlign w:val="bottom"/>
          </w:tcPr>
          <w:p w14:paraId="2792E8B9" w14:textId="77777777" w:rsidR="00364535" w:rsidRPr="00A227B8" w:rsidRDefault="00364535" w:rsidP="00364535">
            <w:pPr>
              <w:widowControl/>
              <w:tabs>
                <w:tab w:val="left" w:pos="227"/>
                <w:tab w:val="left" w:pos="397"/>
                <w:tab w:val="left" w:pos="567"/>
              </w:tabs>
              <w:spacing w:line="160" w:lineRule="exact"/>
              <w:rPr>
                <w:sz w:val="16"/>
                <w:szCs w:val="16"/>
              </w:rPr>
            </w:pPr>
          </w:p>
        </w:tc>
        <w:tc>
          <w:tcPr>
            <w:tcW w:w="113" w:type="dxa"/>
            <w:shd w:val="clear" w:color="auto" w:fill="auto"/>
            <w:vAlign w:val="bottom"/>
          </w:tcPr>
          <w:p w14:paraId="49F6D859"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907" w:type="dxa"/>
            <w:tcBorders>
              <w:top w:val="single" w:sz="6" w:space="0" w:color="auto"/>
            </w:tcBorders>
            <w:vAlign w:val="bottom"/>
          </w:tcPr>
          <w:p w14:paraId="1DD6B1B0" w14:textId="77777777" w:rsidR="00364535" w:rsidRPr="00242E69" w:rsidRDefault="00364535" w:rsidP="00364535">
            <w:pPr>
              <w:widowControl/>
              <w:tabs>
                <w:tab w:val="left" w:pos="227"/>
                <w:tab w:val="left" w:pos="397"/>
                <w:tab w:val="left" w:pos="567"/>
              </w:tabs>
              <w:spacing w:line="160" w:lineRule="exact"/>
              <w:rPr>
                <w:sz w:val="15"/>
                <w:szCs w:val="15"/>
                <w:rtl/>
              </w:rPr>
            </w:pPr>
          </w:p>
        </w:tc>
        <w:tc>
          <w:tcPr>
            <w:tcW w:w="113" w:type="dxa"/>
            <w:vAlign w:val="bottom"/>
          </w:tcPr>
          <w:p w14:paraId="506B813B"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907" w:type="dxa"/>
            <w:gridSpan w:val="2"/>
            <w:tcBorders>
              <w:top w:val="single" w:sz="6" w:space="0" w:color="auto"/>
            </w:tcBorders>
            <w:shd w:val="clear" w:color="auto" w:fill="auto"/>
            <w:vAlign w:val="bottom"/>
          </w:tcPr>
          <w:p w14:paraId="47499B89"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113" w:type="dxa"/>
            <w:shd w:val="clear" w:color="auto" w:fill="auto"/>
            <w:vAlign w:val="bottom"/>
          </w:tcPr>
          <w:p w14:paraId="6DE0AE35"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907" w:type="dxa"/>
            <w:tcBorders>
              <w:top w:val="single" w:sz="6" w:space="0" w:color="auto"/>
            </w:tcBorders>
            <w:shd w:val="clear" w:color="auto" w:fill="auto"/>
            <w:vAlign w:val="bottom"/>
          </w:tcPr>
          <w:p w14:paraId="5F88267B" w14:textId="77777777" w:rsidR="00364535" w:rsidRPr="00242E69" w:rsidRDefault="00364535" w:rsidP="00364535">
            <w:pPr>
              <w:widowControl/>
              <w:tabs>
                <w:tab w:val="left" w:pos="227"/>
                <w:tab w:val="left" w:pos="397"/>
                <w:tab w:val="left" w:pos="567"/>
              </w:tabs>
              <w:spacing w:line="160" w:lineRule="exact"/>
              <w:rPr>
                <w:sz w:val="15"/>
                <w:szCs w:val="15"/>
                <w:rtl/>
              </w:rPr>
            </w:pPr>
          </w:p>
        </w:tc>
        <w:tc>
          <w:tcPr>
            <w:tcW w:w="113" w:type="dxa"/>
            <w:shd w:val="clear" w:color="auto" w:fill="auto"/>
            <w:vAlign w:val="bottom"/>
          </w:tcPr>
          <w:p w14:paraId="05392703"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907" w:type="dxa"/>
            <w:tcBorders>
              <w:top w:val="single" w:sz="6" w:space="0" w:color="auto"/>
            </w:tcBorders>
            <w:shd w:val="clear" w:color="auto" w:fill="auto"/>
            <w:vAlign w:val="bottom"/>
          </w:tcPr>
          <w:p w14:paraId="7C9A47E5"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113" w:type="dxa"/>
            <w:shd w:val="clear" w:color="auto" w:fill="auto"/>
            <w:vAlign w:val="bottom"/>
          </w:tcPr>
          <w:p w14:paraId="45C52A08"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1081" w:type="dxa"/>
            <w:tcBorders>
              <w:top w:val="single" w:sz="6" w:space="0" w:color="auto"/>
            </w:tcBorders>
            <w:shd w:val="clear" w:color="auto" w:fill="auto"/>
            <w:vAlign w:val="bottom"/>
          </w:tcPr>
          <w:p w14:paraId="37EA48E7" w14:textId="77777777" w:rsidR="00364535" w:rsidRPr="00242E69" w:rsidRDefault="00364535" w:rsidP="00364535">
            <w:pPr>
              <w:widowControl/>
              <w:tabs>
                <w:tab w:val="left" w:pos="227"/>
                <w:tab w:val="left" w:pos="397"/>
                <w:tab w:val="left" w:pos="567"/>
              </w:tabs>
              <w:spacing w:line="160" w:lineRule="exact"/>
              <w:rPr>
                <w:sz w:val="15"/>
                <w:szCs w:val="15"/>
                <w:rtl/>
              </w:rPr>
            </w:pPr>
          </w:p>
        </w:tc>
      </w:tr>
      <w:tr w:rsidR="00364535" w:rsidRPr="00C54C0C" w14:paraId="2413DE73" w14:textId="77777777" w:rsidTr="00364535">
        <w:tc>
          <w:tcPr>
            <w:tcW w:w="1133" w:type="dxa"/>
            <w:tcBorders>
              <w:bottom w:val="single" w:sz="4" w:space="0" w:color="auto"/>
              <w:right w:val="single" w:sz="4" w:space="0" w:color="auto"/>
            </w:tcBorders>
          </w:tcPr>
          <w:p w14:paraId="1AFC205F" w14:textId="77777777" w:rsidR="00364535" w:rsidRPr="000B1730" w:rsidRDefault="00364535" w:rsidP="00364535">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7.28</w:t>
            </w:r>
          </w:p>
        </w:tc>
        <w:tc>
          <w:tcPr>
            <w:tcW w:w="3232" w:type="dxa"/>
            <w:tcBorders>
              <w:left w:val="single" w:sz="4" w:space="0" w:color="auto"/>
            </w:tcBorders>
            <w:shd w:val="clear" w:color="auto" w:fill="auto"/>
            <w:vAlign w:val="bottom"/>
          </w:tcPr>
          <w:p w14:paraId="55728D84" w14:textId="77777777" w:rsidR="00364535" w:rsidRPr="00A227B8" w:rsidRDefault="00364535" w:rsidP="00364535">
            <w:pPr>
              <w:pStyle w:val="a3"/>
              <w:tabs>
                <w:tab w:val="left" w:pos="227"/>
                <w:tab w:val="left" w:pos="397"/>
                <w:tab w:val="left" w:pos="567"/>
              </w:tabs>
              <w:spacing w:line="160" w:lineRule="exact"/>
              <w:ind w:left="227" w:hanging="170"/>
              <w:rPr>
                <w:sz w:val="16"/>
                <w:szCs w:val="16"/>
                <w:u w:val="single"/>
              </w:rPr>
            </w:pPr>
            <w:r w:rsidRPr="00A227B8">
              <w:rPr>
                <w:rFonts w:hint="cs"/>
                <w:sz w:val="16"/>
                <w:szCs w:val="16"/>
                <w:u w:val="single"/>
                <w:rtl/>
              </w:rPr>
              <w:t>הפרשי שער בגין יתרות מזומנים ושווי מזומנים</w:t>
            </w:r>
            <w:r w:rsidRPr="00A227B8">
              <w:rPr>
                <w:rStyle w:val="ab"/>
                <w:sz w:val="16"/>
                <w:szCs w:val="16"/>
                <w:u w:val="single"/>
              </w:rPr>
              <w:footnoteReference w:id="58"/>
            </w:r>
          </w:p>
        </w:tc>
        <w:tc>
          <w:tcPr>
            <w:tcW w:w="113" w:type="dxa"/>
            <w:shd w:val="clear" w:color="auto" w:fill="auto"/>
            <w:vAlign w:val="bottom"/>
          </w:tcPr>
          <w:p w14:paraId="26ABD2DA" w14:textId="77777777" w:rsidR="00364535" w:rsidRPr="00242E69" w:rsidRDefault="00364535" w:rsidP="00364535">
            <w:pPr>
              <w:spacing w:line="160" w:lineRule="exact"/>
              <w:rPr>
                <w:sz w:val="15"/>
                <w:szCs w:val="15"/>
              </w:rPr>
            </w:pPr>
          </w:p>
        </w:tc>
        <w:tc>
          <w:tcPr>
            <w:tcW w:w="907" w:type="dxa"/>
            <w:tcBorders>
              <w:bottom w:val="single" w:sz="6" w:space="0" w:color="auto"/>
            </w:tcBorders>
            <w:shd w:val="clear" w:color="auto" w:fill="auto"/>
            <w:vAlign w:val="bottom"/>
          </w:tcPr>
          <w:p w14:paraId="28C4BD21" w14:textId="77777777" w:rsidR="00364535" w:rsidRPr="00242E69" w:rsidRDefault="00364535" w:rsidP="00364535">
            <w:pPr>
              <w:tabs>
                <w:tab w:val="decimal" w:pos="113"/>
              </w:tabs>
              <w:spacing w:line="160" w:lineRule="exact"/>
              <w:rPr>
                <w:sz w:val="15"/>
                <w:szCs w:val="15"/>
                <w:rtl/>
              </w:rPr>
            </w:pPr>
          </w:p>
        </w:tc>
        <w:tc>
          <w:tcPr>
            <w:tcW w:w="113" w:type="dxa"/>
            <w:vAlign w:val="bottom"/>
          </w:tcPr>
          <w:p w14:paraId="1E985CDA" w14:textId="77777777" w:rsidR="00364535" w:rsidRPr="00242E69" w:rsidRDefault="00364535" w:rsidP="00364535">
            <w:pPr>
              <w:tabs>
                <w:tab w:val="decimal" w:pos="113"/>
              </w:tabs>
              <w:spacing w:line="160" w:lineRule="exact"/>
              <w:rPr>
                <w:sz w:val="15"/>
                <w:szCs w:val="15"/>
              </w:rPr>
            </w:pPr>
          </w:p>
        </w:tc>
        <w:tc>
          <w:tcPr>
            <w:tcW w:w="907" w:type="dxa"/>
            <w:gridSpan w:val="2"/>
            <w:tcBorders>
              <w:bottom w:val="single" w:sz="6" w:space="0" w:color="auto"/>
            </w:tcBorders>
            <w:shd w:val="clear" w:color="auto" w:fill="auto"/>
            <w:vAlign w:val="bottom"/>
          </w:tcPr>
          <w:p w14:paraId="562EE412"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5FF06E50"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25C4E2DC" w14:textId="77777777" w:rsidR="00364535" w:rsidRPr="00242E69" w:rsidRDefault="00364535" w:rsidP="00364535">
            <w:pPr>
              <w:tabs>
                <w:tab w:val="decimal" w:pos="113"/>
              </w:tabs>
              <w:spacing w:line="160" w:lineRule="exact"/>
              <w:rPr>
                <w:sz w:val="15"/>
                <w:szCs w:val="15"/>
                <w:rtl/>
              </w:rPr>
            </w:pPr>
          </w:p>
        </w:tc>
        <w:tc>
          <w:tcPr>
            <w:tcW w:w="113" w:type="dxa"/>
            <w:shd w:val="clear" w:color="auto" w:fill="auto"/>
            <w:vAlign w:val="bottom"/>
          </w:tcPr>
          <w:p w14:paraId="0D3FC5B3"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62902B35"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4FD67F86" w14:textId="77777777" w:rsidR="00364535" w:rsidRPr="00242E69" w:rsidRDefault="00364535" w:rsidP="00364535">
            <w:pPr>
              <w:tabs>
                <w:tab w:val="decimal" w:pos="113"/>
              </w:tabs>
              <w:spacing w:line="160" w:lineRule="exact"/>
              <w:rPr>
                <w:sz w:val="15"/>
                <w:szCs w:val="15"/>
              </w:rPr>
            </w:pPr>
          </w:p>
        </w:tc>
        <w:tc>
          <w:tcPr>
            <w:tcW w:w="1081" w:type="dxa"/>
            <w:tcBorders>
              <w:bottom w:val="single" w:sz="6" w:space="0" w:color="auto"/>
            </w:tcBorders>
            <w:shd w:val="clear" w:color="auto" w:fill="auto"/>
            <w:vAlign w:val="bottom"/>
          </w:tcPr>
          <w:p w14:paraId="72E70767" w14:textId="77777777" w:rsidR="00364535" w:rsidRPr="00242E69" w:rsidRDefault="00364535" w:rsidP="00364535">
            <w:pPr>
              <w:tabs>
                <w:tab w:val="decimal" w:pos="113"/>
              </w:tabs>
              <w:spacing w:line="160" w:lineRule="exact"/>
              <w:rPr>
                <w:sz w:val="15"/>
                <w:szCs w:val="15"/>
                <w:rtl/>
              </w:rPr>
            </w:pPr>
          </w:p>
        </w:tc>
      </w:tr>
      <w:tr w:rsidR="00364535" w:rsidRPr="00C54C0C" w14:paraId="1EE4FDC8" w14:textId="77777777" w:rsidTr="00364535">
        <w:tc>
          <w:tcPr>
            <w:tcW w:w="1133" w:type="dxa"/>
            <w:tcBorders>
              <w:top w:val="single" w:sz="4" w:space="0" w:color="auto"/>
            </w:tcBorders>
          </w:tcPr>
          <w:p w14:paraId="2949A823" w14:textId="77777777" w:rsidR="00364535" w:rsidRPr="000B1730" w:rsidRDefault="00364535" w:rsidP="00364535">
            <w:pPr>
              <w:widowControl/>
              <w:tabs>
                <w:tab w:val="left" w:pos="227"/>
                <w:tab w:val="left" w:pos="397"/>
                <w:tab w:val="left" w:pos="567"/>
              </w:tabs>
              <w:spacing w:line="120" w:lineRule="auto"/>
              <w:jc w:val="right"/>
              <w:rPr>
                <w:i/>
                <w:iCs/>
                <w:sz w:val="13"/>
                <w:szCs w:val="13"/>
              </w:rPr>
            </w:pPr>
          </w:p>
        </w:tc>
        <w:tc>
          <w:tcPr>
            <w:tcW w:w="3232" w:type="dxa"/>
            <w:shd w:val="clear" w:color="auto" w:fill="auto"/>
            <w:vAlign w:val="bottom"/>
          </w:tcPr>
          <w:p w14:paraId="09C40FB3" w14:textId="77777777" w:rsidR="00364535" w:rsidRPr="00A227B8" w:rsidRDefault="00364535" w:rsidP="00364535">
            <w:pPr>
              <w:widowControl/>
              <w:tabs>
                <w:tab w:val="left" w:pos="227"/>
                <w:tab w:val="left" w:pos="397"/>
                <w:tab w:val="left" w:pos="567"/>
              </w:tabs>
              <w:spacing w:line="120" w:lineRule="auto"/>
              <w:rPr>
                <w:sz w:val="16"/>
                <w:szCs w:val="16"/>
              </w:rPr>
            </w:pPr>
          </w:p>
        </w:tc>
        <w:tc>
          <w:tcPr>
            <w:tcW w:w="113" w:type="dxa"/>
            <w:shd w:val="clear" w:color="auto" w:fill="auto"/>
            <w:vAlign w:val="bottom"/>
          </w:tcPr>
          <w:p w14:paraId="419AF65B"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vAlign w:val="bottom"/>
          </w:tcPr>
          <w:p w14:paraId="70E9E0F7"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vAlign w:val="bottom"/>
          </w:tcPr>
          <w:p w14:paraId="576850C0"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gridSpan w:val="2"/>
            <w:tcBorders>
              <w:top w:val="single" w:sz="6" w:space="0" w:color="auto"/>
            </w:tcBorders>
            <w:shd w:val="clear" w:color="auto" w:fill="auto"/>
            <w:vAlign w:val="bottom"/>
          </w:tcPr>
          <w:p w14:paraId="57EEBAAD"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7C7C7262"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4D3D1D40"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3C97FFA2"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2E36CC75"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074E7FD8"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081" w:type="dxa"/>
            <w:tcBorders>
              <w:top w:val="single" w:sz="6" w:space="0" w:color="auto"/>
            </w:tcBorders>
            <w:shd w:val="clear" w:color="auto" w:fill="auto"/>
            <w:vAlign w:val="bottom"/>
          </w:tcPr>
          <w:p w14:paraId="698B450D" w14:textId="77777777" w:rsidR="00364535" w:rsidRPr="00242E69" w:rsidRDefault="00364535" w:rsidP="00364535">
            <w:pPr>
              <w:widowControl/>
              <w:tabs>
                <w:tab w:val="left" w:pos="227"/>
                <w:tab w:val="left" w:pos="397"/>
                <w:tab w:val="left" w:pos="567"/>
              </w:tabs>
              <w:spacing w:line="120" w:lineRule="auto"/>
              <w:rPr>
                <w:sz w:val="15"/>
                <w:szCs w:val="15"/>
                <w:rtl/>
              </w:rPr>
            </w:pPr>
          </w:p>
        </w:tc>
      </w:tr>
      <w:tr w:rsidR="00364535" w:rsidRPr="00C54C0C" w14:paraId="63835452" w14:textId="77777777" w:rsidTr="00364535">
        <w:tc>
          <w:tcPr>
            <w:tcW w:w="1133" w:type="dxa"/>
          </w:tcPr>
          <w:p w14:paraId="51E8B760" w14:textId="77777777" w:rsidR="00364535" w:rsidRPr="000B1730" w:rsidRDefault="00364535" w:rsidP="00364535">
            <w:pPr>
              <w:pStyle w:val="a3"/>
              <w:tabs>
                <w:tab w:val="left" w:pos="227"/>
                <w:tab w:val="left" w:pos="397"/>
                <w:tab w:val="left" w:pos="567"/>
              </w:tabs>
              <w:bidi w:val="0"/>
              <w:spacing w:line="160" w:lineRule="exact"/>
              <w:ind w:right="57"/>
              <w:jc w:val="right"/>
              <w:rPr>
                <w:i/>
                <w:iCs/>
                <w:sz w:val="13"/>
                <w:szCs w:val="13"/>
                <w:rtl/>
              </w:rPr>
            </w:pPr>
          </w:p>
        </w:tc>
        <w:tc>
          <w:tcPr>
            <w:tcW w:w="3232" w:type="dxa"/>
            <w:shd w:val="clear" w:color="auto" w:fill="auto"/>
            <w:vAlign w:val="bottom"/>
          </w:tcPr>
          <w:p w14:paraId="67CFAFEB" w14:textId="77777777" w:rsidR="00364535" w:rsidRPr="00A227B8" w:rsidRDefault="00364535" w:rsidP="00364535">
            <w:pPr>
              <w:pStyle w:val="a3"/>
              <w:tabs>
                <w:tab w:val="left" w:pos="227"/>
                <w:tab w:val="left" w:pos="397"/>
                <w:tab w:val="left" w:pos="567"/>
              </w:tabs>
              <w:spacing w:line="160" w:lineRule="exact"/>
              <w:ind w:left="227" w:hanging="170"/>
              <w:rPr>
                <w:sz w:val="16"/>
                <w:szCs w:val="16"/>
                <w:u w:val="single"/>
              </w:rPr>
            </w:pPr>
            <w:r w:rsidRPr="00A227B8">
              <w:rPr>
                <w:rFonts w:hint="cs"/>
                <w:sz w:val="16"/>
                <w:szCs w:val="16"/>
                <w:u w:val="single"/>
                <w:rtl/>
              </w:rPr>
              <w:t>עלייה (ירידה) במזומנים ושווי מזומנים</w:t>
            </w:r>
          </w:p>
        </w:tc>
        <w:tc>
          <w:tcPr>
            <w:tcW w:w="113" w:type="dxa"/>
            <w:shd w:val="clear" w:color="auto" w:fill="auto"/>
            <w:vAlign w:val="bottom"/>
          </w:tcPr>
          <w:p w14:paraId="259CC69B" w14:textId="77777777" w:rsidR="00364535" w:rsidRPr="00242E69" w:rsidRDefault="00364535" w:rsidP="00364535">
            <w:pPr>
              <w:spacing w:line="160" w:lineRule="exact"/>
              <w:rPr>
                <w:sz w:val="15"/>
                <w:szCs w:val="15"/>
              </w:rPr>
            </w:pPr>
          </w:p>
        </w:tc>
        <w:tc>
          <w:tcPr>
            <w:tcW w:w="907" w:type="dxa"/>
            <w:vAlign w:val="bottom"/>
          </w:tcPr>
          <w:p w14:paraId="0A7BE1EF" w14:textId="77777777" w:rsidR="00364535" w:rsidRPr="00242E69" w:rsidRDefault="00364535" w:rsidP="00364535">
            <w:pPr>
              <w:tabs>
                <w:tab w:val="decimal" w:pos="113"/>
              </w:tabs>
              <w:spacing w:line="160" w:lineRule="exact"/>
              <w:rPr>
                <w:sz w:val="15"/>
                <w:szCs w:val="15"/>
                <w:rtl/>
              </w:rPr>
            </w:pPr>
          </w:p>
        </w:tc>
        <w:tc>
          <w:tcPr>
            <w:tcW w:w="113" w:type="dxa"/>
            <w:vAlign w:val="bottom"/>
          </w:tcPr>
          <w:p w14:paraId="4D973516" w14:textId="77777777" w:rsidR="00364535" w:rsidRPr="00242E69" w:rsidRDefault="00364535" w:rsidP="00364535">
            <w:pPr>
              <w:tabs>
                <w:tab w:val="decimal" w:pos="113"/>
              </w:tabs>
              <w:spacing w:line="160" w:lineRule="exact"/>
              <w:rPr>
                <w:sz w:val="15"/>
                <w:szCs w:val="15"/>
              </w:rPr>
            </w:pPr>
          </w:p>
        </w:tc>
        <w:tc>
          <w:tcPr>
            <w:tcW w:w="907" w:type="dxa"/>
            <w:gridSpan w:val="2"/>
            <w:shd w:val="clear" w:color="auto" w:fill="auto"/>
            <w:vAlign w:val="bottom"/>
          </w:tcPr>
          <w:p w14:paraId="3CDC6DBA"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6F6A3F26" w14:textId="77777777" w:rsidR="00364535" w:rsidRPr="00242E69" w:rsidRDefault="00364535" w:rsidP="00364535">
            <w:pPr>
              <w:tabs>
                <w:tab w:val="decimal" w:pos="113"/>
              </w:tabs>
              <w:spacing w:line="160" w:lineRule="exact"/>
              <w:rPr>
                <w:sz w:val="15"/>
                <w:szCs w:val="15"/>
              </w:rPr>
            </w:pPr>
          </w:p>
        </w:tc>
        <w:tc>
          <w:tcPr>
            <w:tcW w:w="907" w:type="dxa"/>
            <w:shd w:val="clear" w:color="auto" w:fill="auto"/>
            <w:vAlign w:val="bottom"/>
          </w:tcPr>
          <w:p w14:paraId="5A05990D" w14:textId="77777777" w:rsidR="00364535" w:rsidRPr="00242E69" w:rsidRDefault="00364535" w:rsidP="00364535">
            <w:pPr>
              <w:tabs>
                <w:tab w:val="decimal" w:pos="113"/>
              </w:tabs>
              <w:spacing w:line="160" w:lineRule="exact"/>
              <w:rPr>
                <w:sz w:val="15"/>
                <w:szCs w:val="15"/>
                <w:rtl/>
              </w:rPr>
            </w:pPr>
          </w:p>
        </w:tc>
        <w:tc>
          <w:tcPr>
            <w:tcW w:w="113" w:type="dxa"/>
            <w:shd w:val="clear" w:color="auto" w:fill="auto"/>
            <w:vAlign w:val="bottom"/>
          </w:tcPr>
          <w:p w14:paraId="23CD787E" w14:textId="77777777" w:rsidR="00364535" w:rsidRPr="00242E69" w:rsidRDefault="00364535" w:rsidP="00364535">
            <w:pPr>
              <w:tabs>
                <w:tab w:val="decimal" w:pos="113"/>
              </w:tabs>
              <w:spacing w:line="160" w:lineRule="exact"/>
              <w:rPr>
                <w:sz w:val="15"/>
                <w:szCs w:val="15"/>
              </w:rPr>
            </w:pPr>
          </w:p>
        </w:tc>
        <w:tc>
          <w:tcPr>
            <w:tcW w:w="907" w:type="dxa"/>
            <w:shd w:val="clear" w:color="auto" w:fill="auto"/>
            <w:vAlign w:val="bottom"/>
          </w:tcPr>
          <w:p w14:paraId="1C943B6A"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7DB8097A" w14:textId="77777777" w:rsidR="00364535" w:rsidRPr="00242E69" w:rsidRDefault="00364535" w:rsidP="00364535">
            <w:pPr>
              <w:tabs>
                <w:tab w:val="decimal" w:pos="113"/>
              </w:tabs>
              <w:spacing w:line="160" w:lineRule="exact"/>
              <w:rPr>
                <w:sz w:val="15"/>
                <w:szCs w:val="15"/>
              </w:rPr>
            </w:pPr>
          </w:p>
        </w:tc>
        <w:tc>
          <w:tcPr>
            <w:tcW w:w="1081" w:type="dxa"/>
            <w:shd w:val="clear" w:color="auto" w:fill="auto"/>
            <w:vAlign w:val="bottom"/>
          </w:tcPr>
          <w:p w14:paraId="18508176" w14:textId="77777777" w:rsidR="00364535" w:rsidRPr="00242E69" w:rsidRDefault="00364535" w:rsidP="00364535">
            <w:pPr>
              <w:tabs>
                <w:tab w:val="decimal" w:pos="113"/>
              </w:tabs>
              <w:spacing w:line="160" w:lineRule="exact"/>
              <w:rPr>
                <w:sz w:val="15"/>
                <w:szCs w:val="15"/>
                <w:rtl/>
              </w:rPr>
            </w:pPr>
          </w:p>
        </w:tc>
      </w:tr>
      <w:tr w:rsidR="00364535" w:rsidRPr="00C54C0C" w14:paraId="0943048B" w14:textId="77777777" w:rsidTr="00364535">
        <w:tc>
          <w:tcPr>
            <w:tcW w:w="1133" w:type="dxa"/>
          </w:tcPr>
          <w:p w14:paraId="4046C06E" w14:textId="77777777" w:rsidR="00364535" w:rsidRPr="000B1730" w:rsidRDefault="00364535" w:rsidP="00364535">
            <w:pPr>
              <w:widowControl/>
              <w:tabs>
                <w:tab w:val="left" w:pos="227"/>
                <w:tab w:val="left" w:pos="397"/>
                <w:tab w:val="left" w:pos="567"/>
              </w:tabs>
              <w:spacing w:line="120" w:lineRule="auto"/>
              <w:rPr>
                <w:sz w:val="13"/>
                <w:szCs w:val="13"/>
              </w:rPr>
            </w:pPr>
          </w:p>
        </w:tc>
        <w:tc>
          <w:tcPr>
            <w:tcW w:w="3232" w:type="dxa"/>
            <w:shd w:val="clear" w:color="auto" w:fill="auto"/>
            <w:vAlign w:val="bottom"/>
          </w:tcPr>
          <w:p w14:paraId="7551125A" w14:textId="77777777" w:rsidR="00364535" w:rsidRPr="00A227B8" w:rsidRDefault="00364535" w:rsidP="00364535">
            <w:pPr>
              <w:widowControl/>
              <w:tabs>
                <w:tab w:val="left" w:pos="227"/>
                <w:tab w:val="left" w:pos="397"/>
                <w:tab w:val="left" w:pos="567"/>
              </w:tabs>
              <w:spacing w:line="120" w:lineRule="auto"/>
              <w:rPr>
                <w:sz w:val="16"/>
                <w:szCs w:val="16"/>
              </w:rPr>
            </w:pPr>
          </w:p>
        </w:tc>
        <w:tc>
          <w:tcPr>
            <w:tcW w:w="113" w:type="dxa"/>
            <w:shd w:val="clear" w:color="auto" w:fill="auto"/>
            <w:vAlign w:val="bottom"/>
          </w:tcPr>
          <w:p w14:paraId="4239F118"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vAlign w:val="bottom"/>
          </w:tcPr>
          <w:p w14:paraId="43E2FCDC"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vAlign w:val="bottom"/>
          </w:tcPr>
          <w:p w14:paraId="760B6746"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gridSpan w:val="2"/>
            <w:shd w:val="clear" w:color="auto" w:fill="auto"/>
            <w:vAlign w:val="bottom"/>
          </w:tcPr>
          <w:p w14:paraId="2E85E317"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6165AA2B"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shd w:val="clear" w:color="auto" w:fill="auto"/>
            <w:vAlign w:val="bottom"/>
          </w:tcPr>
          <w:p w14:paraId="143E1209"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2C4691A7"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shd w:val="clear" w:color="auto" w:fill="auto"/>
            <w:vAlign w:val="bottom"/>
          </w:tcPr>
          <w:p w14:paraId="2A4E77DB"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1F58CB47"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081" w:type="dxa"/>
            <w:shd w:val="clear" w:color="auto" w:fill="auto"/>
            <w:vAlign w:val="bottom"/>
          </w:tcPr>
          <w:p w14:paraId="2C7B178B" w14:textId="77777777" w:rsidR="00364535" w:rsidRPr="00242E69" w:rsidRDefault="00364535" w:rsidP="00364535">
            <w:pPr>
              <w:widowControl/>
              <w:tabs>
                <w:tab w:val="left" w:pos="227"/>
                <w:tab w:val="left" w:pos="397"/>
                <w:tab w:val="left" w:pos="567"/>
              </w:tabs>
              <w:spacing w:line="120" w:lineRule="auto"/>
              <w:rPr>
                <w:sz w:val="15"/>
                <w:szCs w:val="15"/>
                <w:rtl/>
              </w:rPr>
            </w:pPr>
          </w:p>
        </w:tc>
      </w:tr>
      <w:tr w:rsidR="00364535" w:rsidRPr="00C54C0C" w14:paraId="09186FC2" w14:textId="77777777" w:rsidTr="00364535">
        <w:tc>
          <w:tcPr>
            <w:tcW w:w="1133" w:type="dxa"/>
          </w:tcPr>
          <w:p w14:paraId="6B120230" w14:textId="77777777" w:rsidR="00364535" w:rsidRPr="000B1730" w:rsidRDefault="00364535" w:rsidP="00364535">
            <w:pPr>
              <w:pStyle w:val="a3"/>
              <w:tabs>
                <w:tab w:val="left" w:pos="227"/>
                <w:tab w:val="left" w:pos="397"/>
                <w:tab w:val="left" w:pos="567"/>
              </w:tabs>
              <w:spacing w:line="160" w:lineRule="exact"/>
              <w:ind w:left="227" w:hanging="170"/>
              <w:rPr>
                <w:sz w:val="13"/>
                <w:szCs w:val="13"/>
                <w:u w:val="single"/>
                <w:rtl/>
              </w:rPr>
            </w:pPr>
          </w:p>
        </w:tc>
        <w:tc>
          <w:tcPr>
            <w:tcW w:w="3232" w:type="dxa"/>
            <w:shd w:val="clear" w:color="auto" w:fill="auto"/>
            <w:vAlign w:val="bottom"/>
          </w:tcPr>
          <w:p w14:paraId="2CEAE665" w14:textId="77777777" w:rsidR="00364535" w:rsidRPr="00A227B8" w:rsidRDefault="00364535" w:rsidP="00364535">
            <w:pPr>
              <w:pStyle w:val="a3"/>
              <w:tabs>
                <w:tab w:val="left" w:pos="227"/>
                <w:tab w:val="left" w:pos="397"/>
                <w:tab w:val="left" w:pos="567"/>
              </w:tabs>
              <w:spacing w:line="160" w:lineRule="exact"/>
              <w:ind w:left="227" w:hanging="170"/>
              <w:rPr>
                <w:sz w:val="16"/>
                <w:szCs w:val="16"/>
                <w:u w:val="single"/>
              </w:rPr>
            </w:pPr>
            <w:r w:rsidRPr="00A227B8">
              <w:rPr>
                <w:rFonts w:hint="cs"/>
                <w:sz w:val="16"/>
                <w:szCs w:val="16"/>
                <w:u w:val="single"/>
                <w:rtl/>
              </w:rPr>
              <w:t>יתרת מזומנים ושווי מזומנים לתחילת התקופה</w:t>
            </w:r>
          </w:p>
        </w:tc>
        <w:tc>
          <w:tcPr>
            <w:tcW w:w="113" w:type="dxa"/>
            <w:shd w:val="clear" w:color="auto" w:fill="auto"/>
            <w:vAlign w:val="bottom"/>
          </w:tcPr>
          <w:p w14:paraId="4A958D61" w14:textId="77777777" w:rsidR="00364535" w:rsidRPr="00242E69" w:rsidRDefault="00364535" w:rsidP="00364535">
            <w:pPr>
              <w:spacing w:line="160" w:lineRule="exact"/>
              <w:rPr>
                <w:sz w:val="15"/>
                <w:szCs w:val="15"/>
              </w:rPr>
            </w:pPr>
          </w:p>
        </w:tc>
        <w:tc>
          <w:tcPr>
            <w:tcW w:w="907" w:type="dxa"/>
            <w:tcBorders>
              <w:bottom w:val="single" w:sz="6" w:space="0" w:color="auto"/>
            </w:tcBorders>
            <w:shd w:val="clear" w:color="auto" w:fill="auto"/>
            <w:vAlign w:val="bottom"/>
          </w:tcPr>
          <w:p w14:paraId="665D9029" w14:textId="77777777" w:rsidR="00364535" w:rsidRPr="00242E69" w:rsidRDefault="00364535" w:rsidP="00364535">
            <w:pPr>
              <w:tabs>
                <w:tab w:val="decimal" w:pos="113"/>
              </w:tabs>
              <w:spacing w:line="160" w:lineRule="exact"/>
              <w:rPr>
                <w:sz w:val="15"/>
                <w:szCs w:val="15"/>
                <w:rtl/>
              </w:rPr>
            </w:pPr>
          </w:p>
        </w:tc>
        <w:tc>
          <w:tcPr>
            <w:tcW w:w="113" w:type="dxa"/>
            <w:vAlign w:val="bottom"/>
          </w:tcPr>
          <w:p w14:paraId="2E707180" w14:textId="77777777" w:rsidR="00364535" w:rsidRPr="00242E69" w:rsidRDefault="00364535" w:rsidP="00364535">
            <w:pPr>
              <w:tabs>
                <w:tab w:val="decimal" w:pos="113"/>
              </w:tabs>
              <w:spacing w:line="160" w:lineRule="exact"/>
              <w:rPr>
                <w:sz w:val="15"/>
                <w:szCs w:val="15"/>
              </w:rPr>
            </w:pPr>
          </w:p>
        </w:tc>
        <w:tc>
          <w:tcPr>
            <w:tcW w:w="907" w:type="dxa"/>
            <w:gridSpan w:val="2"/>
            <w:tcBorders>
              <w:bottom w:val="single" w:sz="6" w:space="0" w:color="auto"/>
            </w:tcBorders>
            <w:shd w:val="clear" w:color="auto" w:fill="auto"/>
            <w:vAlign w:val="bottom"/>
          </w:tcPr>
          <w:p w14:paraId="2ABF17F7"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000717C1"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2B27035B" w14:textId="77777777" w:rsidR="00364535" w:rsidRPr="00242E69" w:rsidRDefault="00364535" w:rsidP="00364535">
            <w:pPr>
              <w:tabs>
                <w:tab w:val="decimal" w:pos="113"/>
              </w:tabs>
              <w:spacing w:line="160" w:lineRule="exact"/>
              <w:rPr>
                <w:sz w:val="15"/>
                <w:szCs w:val="15"/>
                <w:rtl/>
              </w:rPr>
            </w:pPr>
          </w:p>
        </w:tc>
        <w:tc>
          <w:tcPr>
            <w:tcW w:w="113" w:type="dxa"/>
            <w:shd w:val="clear" w:color="auto" w:fill="auto"/>
            <w:vAlign w:val="bottom"/>
          </w:tcPr>
          <w:p w14:paraId="12B89567"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4E483B47"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4416E8BC" w14:textId="77777777" w:rsidR="00364535" w:rsidRPr="00242E69" w:rsidRDefault="00364535" w:rsidP="00364535">
            <w:pPr>
              <w:tabs>
                <w:tab w:val="decimal" w:pos="113"/>
              </w:tabs>
              <w:spacing w:line="160" w:lineRule="exact"/>
              <w:rPr>
                <w:sz w:val="15"/>
                <w:szCs w:val="15"/>
              </w:rPr>
            </w:pPr>
          </w:p>
        </w:tc>
        <w:tc>
          <w:tcPr>
            <w:tcW w:w="1081" w:type="dxa"/>
            <w:tcBorders>
              <w:bottom w:val="single" w:sz="6" w:space="0" w:color="auto"/>
            </w:tcBorders>
            <w:shd w:val="clear" w:color="auto" w:fill="auto"/>
            <w:vAlign w:val="bottom"/>
          </w:tcPr>
          <w:p w14:paraId="3DEB5B40" w14:textId="77777777" w:rsidR="00364535" w:rsidRPr="00242E69" w:rsidRDefault="00364535" w:rsidP="00364535">
            <w:pPr>
              <w:tabs>
                <w:tab w:val="decimal" w:pos="113"/>
              </w:tabs>
              <w:spacing w:line="160" w:lineRule="exact"/>
              <w:rPr>
                <w:sz w:val="15"/>
                <w:szCs w:val="15"/>
                <w:rtl/>
              </w:rPr>
            </w:pPr>
          </w:p>
        </w:tc>
      </w:tr>
      <w:tr w:rsidR="00364535" w:rsidRPr="00C54C0C" w14:paraId="06FA21DD" w14:textId="77777777" w:rsidTr="00364535">
        <w:tc>
          <w:tcPr>
            <w:tcW w:w="1133" w:type="dxa"/>
          </w:tcPr>
          <w:p w14:paraId="09842039" w14:textId="77777777" w:rsidR="00364535" w:rsidRPr="000B1730" w:rsidRDefault="00364535" w:rsidP="00364535">
            <w:pPr>
              <w:widowControl/>
              <w:tabs>
                <w:tab w:val="left" w:pos="227"/>
                <w:tab w:val="left" w:pos="397"/>
                <w:tab w:val="left" w:pos="567"/>
              </w:tabs>
              <w:spacing w:line="120" w:lineRule="auto"/>
              <w:rPr>
                <w:sz w:val="13"/>
                <w:szCs w:val="13"/>
              </w:rPr>
            </w:pPr>
          </w:p>
        </w:tc>
        <w:tc>
          <w:tcPr>
            <w:tcW w:w="3232" w:type="dxa"/>
            <w:shd w:val="clear" w:color="auto" w:fill="auto"/>
            <w:vAlign w:val="bottom"/>
          </w:tcPr>
          <w:p w14:paraId="2CD4EDC5" w14:textId="77777777" w:rsidR="00364535" w:rsidRPr="00A227B8" w:rsidRDefault="00364535" w:rsidP="00364535">
            <w:pPr>
              <w:widowControl/>
              <w:tabs>
                <w:tab w:val="left" w:pos="227"/>
                <w:tab w:val="left" w:pos="397"/>
                <w:tab w:val="left" w:pos="567"/>
              </w:tabs>
              <w:spacing w:line="120" w:lineRule="auto"/>
              <w:rPr>
                <w:sz w:val="16"/>
                <w:szCs w:val="16"/>
              </w:rPr>
            </w:pPr>
          </w:p>
        </w:tc>
        <w:tc>
          <w:tcPr>
            <w:tcW w:w="113" w:type="dxa"/>
            <w:shd w:val="clear" w:color="auto" w:fill="auto"/>
            <w:vAlign w:val="bottom"/>
          </w:tcPr>
          <w:p w14:paraId="7FB267D8"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vAlign w:val="bottom"/>
          </w:tcPr>
          <w:p w14:paraId="7A46BC08"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vAlign w:val="bottom"/>
          </w:tcPr>
          <w:p w14:paraId="06A874C6"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gridSpan w:val="2"/>
            <w:tcBorders>
              <w:top w:val="single" w:sz="6" w:space="0" w:color="auto"/>
            </w:tcBorders>
            <w:shd w:val="clear" w:color="auto" w:fill="auto"/>
            <w:vAlign w:val="bottom"/>
          </w:tcPr>
          <w:p w14:paraId="079478C5"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65E9D0D1"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55FCC50E"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5D208FD6"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453AF835"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0250DF93"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081" w:type="dxa"/>
            <w:tcBorders>
              <w:top w:val="single" w:sz="6" w:space="0" w:color="auto"/>
            </w:tcBorders>
            <w:shd w:val="clear" w:color="auto" w:fill="auto"/>
            <w:vAlign w:val="bottom"/>
          </w:tcPr>
          <w:p w14:paraId="739DC777" w14:textId="77777777" w:rsidR="00364535" w:rsidRPr="00242E69" w:rsidRDefault="00364535" w:rsidP="00364535">
            <w:pPr>
              <w:widowControl/>
              <w:tabs>
                <w:tab w:val="left" w:pos="227"/>
                <w:tab w:val="left" w:pos="397"/>
                <w:tab w:val="left" w:pos="567"/>
              </w:tabs>
              <w:spacing w:line="120" w:lineRule="auto"/>
              <w:rPr>
                <w:sz w:val="15"/>
                <w:szCs w:val="15"/>
                <w:rtl/>
              </w:rPr>
            </w:pPr>
          </w:p>
        </w:tc>
      </w:tr>
      <w:tr w:rsidR="00364535" w:rsidRPr="00C54C0C" w14:paraId="3D28F1EE" w14:textId="77777777" w:rsidTr="00364535">
        <w:tc>
          <w:tcPr>
            <w:tcW w:w="1133" w:type="dxa"/>
          </w:tcPr>
          <w:p w14:paraId="44F1C89E" w14:textId="77777777" w:rsidR="00364535" w:rsidRPr="000B1730" w:rsidRDefault="00364535" w:rsidP="00364535">
            <w:pPr>
              <w:pStyle w:val="a3"/>
              <w:tabs>
                <w:tab w:val="left" w:pos="227"/>
                <w:tab w:val="left" w:pos="397"/>
                <w:tab w:val="left" w:pos="567"/>
              </w:tabs>
              <w:spacing w:line="160" w:lineRule="exact"/>
              <w:rPr>
                <w:sz w:val="13"/>
                <w:szCs w:val="13"/>
                <w:u w:val="single"/>
                <w:rtl/>
              </w:rPr>
            </w:pPr>
          </w:p>
        </w:tc>
        <w:tc>
          <w:tcPr>
            <w:tcW w:w="3232" w:type="dxa"/>
            <w:shd w:val="clear" w:color="auto" w:fill="auto"/>
            <w:vAlign w:val="bottom"/>
          </w:tcPr>
          <w:p w14:paraId="0AAA2B1F" w14:textId="77777777" w:rsidR="00364535" w:rsidRPr="00A227B8" w:rsidRDefault="00364535" w:rsidP="00364535">
            <w:pPr>
              <w:pStyle w:val="a3"/>
              <w:tabs>
                <w:tab w:val="left" w:pos="227"/>
                <w:tab w:val="left" w:pos="397"/>
                <w:tab w:val="left" w:pos="567"/>
              </w:tabs>
              <w:spacing w:line="160" w:lineRule="exact"/>
              <w:rPr>
                <w:sz w:val="16"/>
                <w:szCs w:val="16"/>
                <w:u w:val="single"/>
              </w:rPr>
            </w:pPr>
            <w:r w:rsidRPr="00A227B8">
              <w:rPr>
                <w:rFonts w:hint="eastAsia"/>
                <w:sz w:val="16"/>
                <w:szCs w:val="16"/>
                <w:u w:val="single"/>
                <w:rtl/>
              </w:rPr>
              <w:t>יתרת</w:t>
            </w:r>
            <w:r w:rsidRPr="00A227B8">
              <w:rPr>
                <w:sz w:val="16"/>
                <w:szCs w:val="16"/>
                <w:u w:val="single"/>
                <w:rtl/>
              </w:rPr>
              <w:t xml:space="preserve"> </w:t>
            </w:r>
            <w:r w:rsidRPr="00A227B8">
              <w:rPr>
                <w:rFonts w:hint="eastAsia"/>
                <w:sz w:val="16"/>
                <w:szCs w:val="16"/>
                <w:u w:val="single"/>
                <w:rtl/>
              </w:rPr>
              <w:t>מזומנים</w:t>
            </w:r>
            <w:r w:rsidRPr="00A227B8">
              <w:rPr>
                <w:sz w:val="16"/>
                <w:szCs w:val="16"/>
                <w:u w:val="single"/>
                <w:rtl/>
              </w:rPr>
              <w:t xml:space="preserve"> </w:t>
            </w:r>
            <w:r w:rsidRPr="00A227B8">
              <w:rPr>
                <w:rFonts w:hint="eastAsia"/>
                <w:sz w:val="16"/>
                <w:szCs w:val="16"/>
                <w:u w:val="single"/>
                <w:rtl/>
              </w:rPr>
              <w:t>ושווי</w:t>
            </w:r>
            <w:r w:rsidRPr="00A227B8">
              <w:rPr>
                <w:sz w:val="16"/>
                <w:szCs w:val="16"/>
                <w:u w:val="single"/>
                <w:rtl/>
              </w:rPr>
              <w:t xml:space="preserve"> </w:t>
            </w:r>
            <w:r w:rsidRPr="00A227B8">
              <w:rPr>
                <w:rFonts w:hint="eastAsia"/>
                <w:sz w:val="16"/>
                <w:szCs w:val="16"/>
                <w:u w:val="single"/>
                <w:rtl/>
              </w:rPr>
              <w:t>מזומנים</w:t>
            </w:r>
            <w:r w:rsidRPr="00A227B8">
              <w:rPr>
                <w:sz w:val="16"/>
                <w:szCs w:val="16"/>
                <w:u w:val="single"/>
                <w:rtl/>
              </w:rPr>
              <w:t xml:space="preserve"> </w:t>
            </w:r>
            <w:r w:rsidRPr="00A227B8">
              <w:rPr>
                <w:rFonts w:hint="eastAsia"/>
                <w:sz w:val="16"/>
                <w:szCs w:val="16"/>
                <w:u w:val="single"/>
                <w:rtl/>
              </w:rPr>
              <w:t>לסוף</w:t>
            </w:r>
            <w:r w:rsidRPr="00A227B8">
              <w:rPr>
                <w:sz w:val="16"/>
                <w:szCs w:val="16"/>
                <w:u w:val="single"/>
                <w:rtl/>
              </w:rPr>
              <w:t xml:space="preserve"> </w:t>
            </w:r>
            <w:r w:rsidRPr="00A227B8">
              <w:rPr>
                <w:rFonts w:hint="eastAsia"/>
                <w:sz w:val="16"/>
                <w:szCs w:val="16"/>
                <w:u w:val="single"/>
                <w:rtl/>
              </w:rPr>
              <w:t>התקופה</w:t>
            </w:r>
          </w:p>
        </w:tc>
        <w:tc>
          <w:tcPr>
            <w:tcW w:w="113" w:type="dxa"/>
            <w:shd w:val="clear" w:color="auto" w:fill="auto"/>
            <w:vAlign w:val="bottom"/>
          </w:tcPr>
          <w:p w14:paraId="3D44EFF2" w14:textId="77777777" w:rsidR="00364535" w:rsidRPr="00242E69" w:rsidRDefault="00364535" w:rsidP="00364535">
            <w:pPr>
              <w:spacing w:line="160" w:lineRule="exact"/>
              <w:rPr>
                <w:sz w:val="15"/>
                <w:szCs w:val="15"/>
              </w:rPr>
            </w:pPr>
          </w:p>
        </w:tc>
        <w:tc>
          <w:tcPr>
            <w:tcW w:w="907" w:type="dxa"/>
            <w:tcBorders>
              <w:bottom w:val="double" w:sz="6" w:space="0" w:color="auto"/>
            </w:tcBorders>
            <w:shd w:val="clear" w:color="auto" w:fill="auto"/>
            <w:vAlign w:val="bottom"/>
          </w:tcPr>
          <w:p w14:paraId="18B5ECC9" w14:textId="77777777" w:rsidR="00364535" w:rsidRPr="00242E69" w:rsidRDefault="00364535" w:rsidP="00364535">
            <w:pPr>
              <w:tabs>
                <w:tab w:val="decimal" w:pos="113"/>
              </w:tabs>
              <w:spacing w:line="160" w:lineRule="exact"/>
              <w:rPr>
                <w:sz w:val="15"/>
                <w:szCs w:val="15"/>
                <w:rtl/>
              </w:rPr>
            </w:pPr>
          </w:p>
        </w:tc>
        <w:tc>
          <w:tcPr>
            <w:tcW w:w="113" w:type="dxa"/>
            <w:vAlign w:val="bottom"/>
          </w:tcPr>
          <w:p w14:paraId="164994A4" w14:textId="77777777" w:rsidR="00364535" w:rsidRPr="00242E69" w:rsidRDefault="00364535" w:rsidP="00364535">
            <w:pPr>
              <w:tabs>
                <w:tab w:val="decimal" w:pos="113"/>
              </w:tabs>
              <w:spacing w:line="160" w:lineRule="exact"/>
              <w:rPr>
                <w:sz w:val="15"/>
                <w:szCs w:val="15"/>
              </w:rPr>
            </w:pPr>
          </w:p>
        </w:tc>
        <w:tc>
          <w:tcPr>
            <w:tcW w:w="907" w:type="dxa"/>
            <w:gridSpan w:val="2"/>
            <w:tcBorders>
              <w:bottom w:val="double" w:sz="6" w:space="0" w:color="auto"/>
            </w:tcBorders>
            <w:shd w:val="clear" w:color="auto" w:fill="auto"/>
            <w:vAlign w:val="bottom"/>
          </w:tcPr>
          <w:p w14:paraId="1FD82535"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42181CA0" w14:textId="77777777" w:rsidR="00364535" w:rsidRPr="00242E69" w:rsidRDefault="00364535" w:rsidP="00364535">
            <w:pPr>
              <w:tabs>
                <w:tab w:val="decimal" w:pos="113"/>
              </w:tabs>
              <w:spacing w:line="160" w:lineRule="exact"/>
              <w:rPr>
                <w:sz w:val="15"/>
                <w:szCs w:val="15"/>
              </w:rPr>
            </w:pPr>
          </w:p>
        </w:tc>
        <w:tc>
          <w:tcPr>
            <w:tcW w:w="907" w:type="dxa"/>
            <w:tcBorders>
              <w:bottom w:val="double" w:sz="6" w:space="0" w:color="auto"/>
            </w:tcBorders>
            <w:shd w:val="clear" w:color="auto" w:fill="auto"/>
            <w:vAlign w:val="bottom"/>
          </w:tcPr>
          <w:p w14:paraId="320EECB5" w14:textId="77777777" w:rsidR="00364535" w:rsidRPr="00242E69" w:rsidRDefault="00364535" w:rsidP="00364535">
            <w:pPr>
              <w:tabs>
                <w:tab w:val="decimal" w:pos="113"/>
              </w:tabs>
              <w:spacing w:line="160" w:lineRule="exact"/>
              <w:rPr>
                <w:sz w:val="15"/>
                <w:szCs w:val="15"/>
                <w:rtl/>
              </w:rPr>
            </w:pPr>
          </w:p>
        </w:tc>
        <w:tc>
          <w:tcPr>
            <w:tcW w:w="113" w:type="dxa"/>
            <w:shd w:val="clear" w:color="auto" w:fill="auto"/>
            <w:vAlign w:val="bottom"/>
          </w:tcPr>
          <w:p w14:paraId="019BB9A5" w14:textId="77777777" w:rsidR="00364535" w:rsidRPr="00242E69" w:rsidRDefault="00364535" w:rsidP="00364535">
            <w:pPr>
              <w:tabs>
                <w:tab w:val="decimal" w:pos="113"/>
              </w:tabs>
              <w:spacing w:line="160" w:lineRule="exact"/>
              <w:rPr>
                <w:sz w:val="15"/>
                <w:szCs w:val="15"/>
              </w:rPr>
            </w:pPr>
          </w:p>
        </w:tc>
        <w:tc>
          <w:tcPr>
            <w:tcW w:w="907" w:type="dxa"/>
            <w:tcBorders>
              <w:bottom w:val="double" w:sz="6" w:space="0" w:color="auto"/>
            </w:tcBorders>
            <w:shd w:val="clear" w:color="auto" w:fill="auto"/>
            <w:vAlign w:val="bottom"/>
          </w:tcPr>
          <w:p w14:paraId="4E2D92E8"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4569AF51" w14:textId="77777777" w:rsidR="00364535" w:rsidRPr="00242E69" w:rsidRDefault="00364535" w:rsidP="00364535">
            <w:pPr>
              <w:tabs>
                <w:tab w:val="decimal" w:pos="113"/>
              </w:tabs>
              <w:spacing w:line="160" w:lineRule="exact"/>
              <w:rPr>
                <w:sz w:val="15"/>
                <w:szCs w:val="15"/>
              </w:rPr>
            </w:pPr>
          </w:p>
        </w:tc>
        <w:tc>
          <w:tcPr>
            <w:tcW w:w="1081" w:type="dxa"/>
            <w:tcBorders>
              <w:bottom w:val="double" w:sz="6" w:space="0" w:color="auto"/>
            </w:tcBorders>
            <w:shd w:val="clear" w:color="auto" w:fill="auto"/>
            <w:vAlign w:val="bottom"/>
          </w:tcPr>
          <w:p w14:paraId="02777DFD" w14:textId="77777777" w:rsidR="00364535" w:rsidRPr="00242E69" w:rsidRDefault="00364535" w:rsidP="00364535">
            <w:pPr>
              <w:tabs>
                <w:tab w:val="decimal" w:pos="113"/>
              </w:tabs>
              <w:spacing w:line="160" w:lineRule="exact"/>
              <w:rPr>
                <w:sz w:val="15"/>
                <w:szCs w:val="15"/>
                <w:rtl/>
              </w:rPr>
            </w:pPr>
          </w:p>
        </w:tc>
      </w:tr>
    </w:tbl>
    <w:p w14:paraId="66D618F1" w14:textId="77777777" w:rsidR="00FF4D41" w:rsidRPr="00A227B8" w:rsidRDefault="00F2585A" w:rsidP="00FF4D41">
      <w:pPr>
        <w:rPr>
          <w:sz w:val="16"/>
          <w:szCs w:val="16"/>
          <w:rtl/>
        </w:rPr>
      </w:pPr>
      <w:r w:rsidRPr="00A227B8">
        <w:rPr>
          <w:sz w:val="16"/>
          <w:szCs w:val="16"/>
          <w:rtl/>
        </w:rPr>
        <w:t>*)</w:t>
      </w:r>
      <w:r w:rsidRPr="00A227B8">
        <w:rPr>
          <w:sz w:val="16"/>
          <w:szCs w:val="16"/>
          <w:rtl/>
        </w:rPr>
        <w:tab/>
      </w:r>
      <w:r w:rsidRPr="00A227B8">
        <w:rPr>
          <w:rFonts w:hint="eastAsia"/>
          <w:sz w:val="16"/>
          <w:szCs w:val="16"/>
          <w:rtl/>
        </w:rPr>
        <w:t>הוצג</w:t>
      </w:r>
      <w:r w:rsidRPr="00A227B8">
        <w:rPr>
          <w:sz w:val="16"/>
          <w:szCs w:val="16"/>
          <w:rtl/>
        </w:rPr>
        <w:t xml:space="preserve"> מחדש, ראה באור </w:t>
      </w:r>
      <w:r w:rsidRPr="00A227B8">
        <w:rPr>
          <w:sz w:val="16"/>
          <w:szCs w:val="16"/>
          <w:shd w:val="clear" w:color="auto" w:fill="D9D9D9" w:themeFill="background1" w:themeFillShade="D9"/>
          <w:rtl/>
        </w:rPr>
        <w:t>____</w:t>
      </w:r>
      <w:r w:rsidRPr="00A227B8">
        <w:rPr>
          <w:sz w:val="16"/>
          <w:szCs w:val="16"/>
          <w:rtl/>
        </w:rPr>
        <w:t>.</w:t>
      </w:r>
    </w:p>
    <w:p w14:paraId="7BA1A479" w14:textId="10E7A7D7" w:rsidR="00DB5346" w:rsidRPr="00A227B8" w:rsidRDefault="00E53258" w:rsidP="00364535">
      <w:pPr>
        <w:ind w:left="567" w:hanging="567"/>
        <w:rPr>
          <w:rtl/>
        </w:rPr>
      </w:pPr>
      <w:r w:rsidRPr="00A227B8">
        <w:rPr>
          <w:rFonts w:hint="cs"/>
          <w:sz w:val="16"/>
          <w:szCs w:val="16"/>
          <w:rtl/>
        </w:rPr>
        <w:t>**)</w:t>
      </w:r>
      <w:r w:rsidRPr="00A227B8">
        <w:rPr>
          <w:sz w:val="16"/>
          <w:szCs w:val="16"/>
          <w:rtl/>
        </w:rPr>
        <w:tab/>
      </w:r>
      <w:r w:rsidRPr="00A227B8">
        <w:rPr>
          <w:rFonts w:hint="cs"/>
          <w:sz w:val="16"/>
          <w:szCs w:val="16"/>
          <w:rtl/>
        </w:rPr>
        <w:t xml:space="preserve">יושם למפרע, ראה באור </w:t>
      </w:r>
      <w:r w:rsidRPr="00A227B8">
        <w:rPr>
          <w:rFonts w:hint="cs"/>
          <w:sz w:val="16"/>
          <w:szCs w:val="16"/>
          <w:shd w:val="clear" w:color="auto" w:fill="D9D9D9" w:themeFill="background1" w:themeFillShade="D9"/>
          <w:rtl/>
        </w:rPr>
        <w:t>____</w:t>
      </w:r>
      <w:r w:rsidRPr="00A227B8">
        <w:rPr>
          <w:rFonts w:hint="cs"/>
          <w:sz w:val="16"/>
          <w:szCs w:val="16"/>
          <w:rtl/>
        </w:rPr>
        <w:t>.</w:t>
      </w:r>
    </w:p>
    <w:p w14:paraId="032FAB39" w14:textId="77777777" w:rsidR="00AB7D68" w:rsidRPr="00364535" w:rsidRDefault="00F2585A" w:rsidP="00280C26">
      <w:pPr>
        <w:rPr>
          <w:sz w:val="16"/>
          <w:szCs w:val="20"/>
          <w:rtl/>
        </w:rPr>
      </w:pPr>
      <w:r w:rsidRPr="00364535">
        <w:rPr>
          <w:rFonts w:hint="eastAsia"/>
          <w:sz w:val="16"/>
          <w:szCs w:val="20"/>
          <w:rtl/>
        </w:rPr>
        <w:t>הבאורים</w:t>
      </w:r>
      <w:r w:rsidRPr="00364535">
        <w:rPr>
          <w:sz w:val="16"/>
          <w:szCs w:val="20"/>
          <w:rtl/>
        </w:rPr>
        <w:t xml:space="preserve"> המצורפים מהווים חלק בלתי נפרד מהדוחות הכספיים ביניים מאוחדים.</w:t>
      </w:r>
    </w:p>
    <w:p w14:paraId="56C86786" w14:textId="77777777" w:rsidR="00AB7D68" w:rsidRDefault="00AB7D68">
      <w:pPr>
        <w:pStyle w:val="1"/>
        <w:rPr>
          <w:rtl/>
        </w:rPr>
      </w:pPr>
      <w:r w:rsidRPr="00A227B8">
        <w:rPr>
          <w:rFonts w:hint="cs"/>
          <w:sz w:val="16"/>
          <w:szCs w:val="16"/>
          <w:rtl/>
        </w:rPr>
        <w:br w:type="page"/>
      </w:r>
      <w:r>
        <w:rPr>
          <w:rFonts w:hint="cs"/>
          <w:rtl/>
        </w:rPr>
        <w:lastRenderedPageBreak/>
        <w:t>דוחות מאוחדים על תזרימי המזומנים</w:t>
      </w:r>
    </w:p>
    <w:p w14:paraId="613853E6" w14:textId="77777777" w:rsidR="00AB7D68" w:rsidRDefault="00AB7D68">
      <w:pPr>
        <w:rPr>
          <w:rtl/>
        </w:rPr>
      </w:pPr>
    </w:p>
    <w:tbl>
      <w:tblPr>
        <w:bidiVisual/>
        <w:tblW w:w="9700" w:type="dxa"/>
        <w:tblInd w:w="-38" w:type="dxa"/>
        <w:tblLayout w:type="fixed"/>
        <w:tblCellMar>
          <w:left w:w="0" w:type="dxa"/>
          <w:right w:w="0" w:type="dxa"/>
        </w:tblCellMar>
        <w:tblLook w:val="01E0" w:firstRow="1" w:lastRow="1" w:firstColumn="1" w:lastColumn="1" w:noHBand="0" w:noVBand="0"/>
      </w:tblPr>
      <w:tblGrid>
        <w:gridCol w:w="623"/>
        <w:gridCol w:w="567"/>
        <w:gridCol w:w="3125"/>
        <w:gridCol w:w="113"/>
        <w:gridCol w:w="907"/>
        <w:gridCol w:w="113"/>
        <w:gridCol w:w="268"/>
        <w:gridCol w:w="639"/>
        <w:gridCol w:w="113"/>
        <w:gridCol w:w="907"/>
        <w:gridCol w:w="113"/>
        <w:gridCol w:w="907"/>
        <w:gridCol w:w="113"/>
        <w:gridCol w:w="1192"/>
      </w:tblGrid>
      <w:tr w:rsidR="00242E69" w:rsidRPr="00C27900" w14:paraId="783C63E0" w14:textId="77777777" w:rsidTr="00280C26">
        <w:tc>
          <w:tcPr>
            <w:tcW w:w="1190" w:type="dxa"/>
            <w:gridSpan w:val="2"/>
            <w:tcBorders>
              <w:bottom w:val="single" w:sz="4" w:space="0" w:color="auto"/>
              <w:right w:val="single" w:sz="4" w:space="0" w:color="auto"/>
            </w:tcBorders>
            <w:shd w:val="clear" w:color="auto" w:fill="auto"/>
          </w:tcPr>
          <w:p w14:paraId="48F795B1" w14:textId="77777777" w:rsidR="00242E69" w:rsidRPr="000B1730" w:rsidRDefault="00F2585A" w:rsidP="00C27900">
            <w:pPr>
              <w:tabs>
                <w:tab w:val="left" w:pos="227"/>
                <w:tab w:val="left" w:pos="397"/>
                <w:tab w:val="left" w:pos="567"/>
              </w:tabs>
              <w:bidi w:val="0"/>
              <w:spacing w:line="200" w:lineRule="exact"/>
              <w:ind w:left="227" w:right="57"/>
              <w:jc w:val="right"/>
              <w:rPr>
                <w:i/>
                <w:iCs/>
                <w:sz w:val="13"/>
                <w:szCs w:val="13"/>
              </w:rPr>
            </w:pPr>
            <w:r w:rsidRPr="00F2585A">
              <w:rPr>
                <w:rFonts w:cs="Times New Roman"/>
                <w:i/>
                <w:iCs/>
                <w:sz w:val="13"/>
                <w:szCs w:val="13"/>
              </w:rPr>
              <w:t>IAS 1.51(b), (c); IAS 1.10(d); IAS 34.10</w:t>
            </w:r>
          </w:p>
        </w:tc>
        <w:tc>
          <w:tcPr>
            <w:tcW w:w="3125" w:type="dxa"/>
            <w:tcBorders>
              <w:left w:val="single" w:sz="4" w:space="0" w:color="auto"/>
            </w:tcBorders>
            <w:shd w:val="clear" w:color="auto" w:fill="auto"/>
            <w:vAlign w:val="bottom"/>
          </w:tcPr>
          <w:p w14:paraId="5D3679CC" w14:textId="77777777" w:rsidR="00242E69" w:rsidRPr="00C27900" w:rsidRDefault="00242E69" w:rsidP="00C27900">
            <w:pPr>
              <w:tabs>
                <w:tab w:val="left" w:pos="227"/>
                <w:tab w:val="left" w:pos="397"/>
                <w:tab w:val="left" w:pos="567"/>
              </w:tabs>
              <w:spacing w:line="200" w:lineRule="exact"/>
              <w:ind w:left="397" w:hanging="340"/>
              <w:jc w:val="left"/>
              <w:rPr>
                <w:sz w:val="18"/>
                <w:szCs w:val="20"/>
                <w:rtl/>
              </w:rPr>
            </w:pPr>
          </w:p>
        </w:tc>
        <w:tc>
          <w:tcPr>
            <w:tcW w:w="113" w:type="dxa"/>
            <w:shd w:val="clear" w:color="auto" w:fill="auto"/>
            <w:vAlign w:val="bottom"/>
          </w:tcPr>
          <w:p w14:paraId="0DEB606D" w14:textId="77777777" w:rsidR="00242E69" w:rsidRPr="00C27900" w:rsidRDefault="00242E69" w:rsidP="00C27900">
            <w:pPr>
              <w:spacing w:line="200" w:lineRule="exact"/>
              <w:rPr>
                <w:sz w:val="18"/>
                <w:szCs w:val="20"/>
                <w:rtl/>
              </w:rPr>
            </w:pPr>
          </w:p>
        </w:tc>
        <w:tc>
          <w:tcPr>
            <w:tcW w:w="1927" w:type="dxa"/>
            <w:gridSpan w:val="4"/>
            <w:tcBorders>
              <w:bottom w:val="single" w:sz="6" w:space="0" w:color="auto"/>
            </w:tcBorders>
            <w:shd w:val="clear" w:color="auto" w:fill="auto"/>
            <w:vAlign w:val="bottom"/>
          </w:tcPr>
          <w:p w14:paraId="19DEFCDB" w14:textId="77777777" w:rsidR="00242E69" w:rsidRPr="00C27900" w:rsidRDefault="00242E69" w:rsidP="00C27900">
            <w:pPr>
              <w:spacing w:line="200" w:lineRule="exact"/>
              <w:jc w:val="center"/>
              <w:rPr>
                <w:sz w:val="18"/>
                <w:szCs w:val="20"/>
                <w:rtl/>
              </w:rPr>
            </w:pPr>
            <w:r w:rsidRPr="00C27900">
              <w:rPr>
                <w:rFonts w:hint="cs"/>
                <w:sz w:val="18"/>
                <w:szCs w:val="20"/>
                <w:rtl/>
              </w:rPr>
              <w:t>ל-9 החודשים שהסתיימו ביום 30 בספטמבר</w:t>
            </w:r>
          </w:p>
        </w:tc>
        <w:tc>
          <w:tcPr>
            <w:tcW w:w="113" w:type="dxa"/>
            <w:shd w:val="clear" w:color="auto" w:fill="auto"/>
            <w:vAlign w:val="bottom"/>
          </w:tcPr>
          <w:p w14:paraId="1A972D6F" w14:textId="77777777" w:rsidR="00242E69" w:rsidRPr="00C27900" w:rsidRDefault="00242E69" w:rsidP="00C27900">
            <w:pPr>
              <w:spacing w:line="200" w:lineRule="exact"/>
              <w:jc w:val="center"/>
              <w:rPr>
                <w:sz w:val="18"/>
                <w:szCs w:val="20"/>
              </w:rPr>
            </w:pPr>
          </w:p>
        </w:tc>
        <w:tc>
          <w:tcPr>
            <w:tcW w:w="1927" w:type="dxa"/>
            <w:gridSpan w:val="3"/>
            <w:tcBorders>
              <w:bottom w:val="single" w:sz="6" w:space="0" w:color="auto"/>
            </w:tcBorders>
            <w:shd w:val="clear" w:color="auto" w:fill="auto"/>
            <w:vAlign w:val="bottom"/>
          </w:tcPr>
          <w:p w14:paraId="34B6C6EE" w14:textId="77777777" w:rsidR="00242E69" w:rsidRPr="00C27900" w:rsidRDefault="00242E69" w:rsidP="00C27900">
            <w:pPr>
              <w:spacing w:line="200" w:lineRule="exact"/>
              <w:jc w:val="center"/>
              <w:rPr>
                <w:sz w:val="18"/>
                <w:szCs w:val="20"/>
                <w:rtl/>
              </w:rPr>
            </w:pPr>
            <w:r w:rsidRPr="00C27900">
              <w:rPr>
                <w:rFonts w:hint="cs"/>
                <w:sz w:val="18"/>
                <w:szCs w:val="20"/>
                <w:rtl/>
              </w:rPr>
              <w:t>ל-3 החודשים שהסתיימו ביום 30 בספטמבר</w:t>
            </w:r>
            <w:r w:rsidR="00BA425D" w:rsidRPr="00C27900">
              <w:rPr>
                <w:rStyle w:val="ab"/>
                <w:sz w:val="18"/>
                <w:szCs w:val="20"/>
                <w:rtl/>
              </w:rPr>
              <w:footnoteReference w:id="59"/>
            </w:r>
          </w:p>
        </w:tc>
        <w:tc>
          <w:tcPr>
            <w:tcW w:w="113" w:type="dxa"/>
            <w:shd w:val="clear" w:color="auto" w:fill="auto"/>
            <w:vAlign w:val="bottom"/>
          </w:tcPr>
          <w:p w14:paraId="62FA5680" w14:textId="77777777" w:rsidR="00242E69" w:rsidRPr="00C27900" w:rsidRDefault="00242E69" w:rsidP="00C27900">
            <w:pPr>
              <w:tabs>
                <w:tab w:val="decimal" w:pos="113"/>
              </w:tabs>
              <w:spacing w:line="200" w:lineRule="exact"/>
              <w:jc w:val="center"/>
              <w:rPr>
                <w:sz w:val="18"/>
                <w:szCs w:val="20"/>
              </w:rPr>
            </w:pPr>
          </w:p>
        </w:tc>
        <w:tc>
          <w:tcPr>
            <w:tcW w:w="1192" w:type="dxa"/>
            <w:shd w:val="clear" w:color="auto" w:fill="auto"/>
            <w:vAlign w:val="bottom"/>
          </w:tcPr>
          <w:p w14:paraId="38D555A0" w14:textId="77777777" w:rsidR="00242E69" w:rsidRPr="00C27900" w:rsidRDefault="00242E69" w:rsidP="00C27900">
            <w:pPr>
              <w:spacing w:line="200" w:lineRule="exact"/>
              <w:jc w:val="center"/>
              <w:rPr>
                <w:sz w:val="18"/>
                <w:szCs w:val="20"/>
                <w:rtl/>
              </w:rPr>
            </w:pPr>
            <w:r w:rsidRPr="00C27900">
              <w:rPr>
                <w:rFonts w:hint="cs"/>
                <w:sz w:val="18"/>
                <w:szCs w:val="20"/>
                <w:rtl/>
              </w:rPr>
              <w:t>לשנה שהסתיימה ביום</w:t>
            </w:r>
          </w:p>
          <w:p w14:paraId="6B42AEE4" w14:textId="77777777" w:rsidR="00242E69" w:rsidRPr="00C27900" w:rsidRDefault="00242E69" w:rsidP="00C27900">
            <w:pPr>
              <w:spacing w:line="200" w:lineRule="exact"/>
              <w:jc w:val="center"/>
              <w:rPr>
                <w:sz w:val="18"/>
                <w:szCs w:val="20"/>
                <w:rtl/>
              </w:rPr>
            </w:pPr>
            <w:r w:rsidRPr="00C27900">
              <w:rPr>
                <w:rFonts w:hint="cs"/>
                <w:sz w:val="18"/>
                <w:szCs w:val="20"/>
                <w:rtl/>
              </w:rPr>
              <w:t>31 בדצמבר</w:t>
            </w:r>
          </w:p>
        </w:tc>
      </w:tr>
      <w:tr w:rsidR="00E6640A" w:rsidRPr="00C27900" w14:paraId="1A429A73" w14:textId="77777777" w:rsidTr="00280C26">
        <w:tc>
          <w:tcPr>
            <w:tcW w:w="623" w:type="dxa"/>
            <w:shd w:val="clear" w:color="auto" w:fill="auto"/>
            <w:vAlign w:val="bottom"/>
          </w:tcPr>
          <w:p w14:paraId="3FD07CBD" w14:textId="77777777" w:rsidR="00E6640A" w:rsidRPr="00C27900" w:rsidRDefault="00E6640A" w:rsidP="00C27900">
            <w:pPr>
              <w:tabs>
                <w:tab w:val="left" w:pos="227"/>
                <w:tab w:val="left" w:pos="397"/>
                <w:tab w:val="left" w:pos="567"/>
              </w:tabs>
              <w:spacing w:line="200" w:lineRule="exact"/>
              <w:ind w:left="227" w:hanging="170"/>
              <w:rPr>
                <w:sz w:val="18"/>
                <w:szCs w:val="20"/>
                <w:rtl/>
              </w:rPr>
            </w:pPr>
          </w:p>
        </w:tc>
        <w:tc>
          <w:tcPr>
            <w:tcW w:w="3692" w:type="dxa"/>
            <w:gridSpan w:val="2"/>
            <w:shd w:val="clear" w:color="auto" w:fill="auto"/>
            <w:vAlign w:val="bottom"/>
          </w:tcPr>
          <w:p w14:paraId="3C4E3BF2" w14:textId="77777777" w:rsidR="00E6640A" w:rsidRPr="00C27900" w:rsidRDefault="00E6640A" w:rsidP="00C27900">
            <w:pPr>
              <w:tabs>
                <w:tab w:val="left" w:pos="227"/>
                <w:tab w:val="left" w:pos="397"/>
                <w:tab w:val="left" w:pos="567"/>
              </w:tabs>
              <w:spacing w:line="200" w:lineRule="exact"/>
              <w:ind w:left="397" w:hanging="340"/>
              <w:jc w:val="left"/>
              <w:rPr>
                <w:sz w:val="18"/>
                <w:szCs w:val="20"/>
                <w:rtl/>
              </w:rPr>
            </w:pPr>
          </w:p>
        </w:tc>
        <w:tc>
          <w:tcPr>
            <w:tcW w:w="113" w:type="dxa"/>
            <w:shd w:val="clear" w:color="auto" w:fill="auto"/>
            <w:vAlign w:val="bottom"/>
          </w:tcPr>
          <w:p w14:paraId="205E923A" w14:textId="77777777" w:rsidR="00E6640A" w:rsidRPr="00C27900" w:rsidRDefault="00E6640A" w:rsidP="00C27900">
            <w:pPr>
              <w:spacing w:line="200" w:lineRule="exact"/>
              <w:rPr>
                <w:sz w:val="18"/>
                <w:szCs w:val="20"/>
                <w:rtl/>
              </w:rPr>
            </w:pPr>
          </w:p>
        </w:tc>
        <w:tc>
          <w:tcPr>
            <w:tcW w:w="907" w:type="dxa"/>
            <w:tcBorders>
              <w:bottom w:val="single" w:sz="6" w:space="0" w:color="auto"/>
            </w:tcBorders>
            <w:shd w:val="clear" w:color="auto" w:fill="auto"/>
            <w:vAlign w:val="bottom"/>
          </w:tcPr>
          <w:p w14:paraId="671C7058" w14:textId="77777777" w:rsidR="00E6640A" w:rsidRPr="00E6640A" w:rsidRDefault="004A4A6B" w:rsidP="00C613CF">
            <w:pPr>
              <w:spacing w:line="180" w:lineRule="exact"/>
              <w:jc w:val="center"/>
              <w:rPr>
                <w:szCs w:val="20"/>
              </w:rPr>
            </w:pPr>
            <w:r>
              <w:rPr>
                <w:rFonts w:hint="cs"/>
                <w:szCs w:val="20"/>
                <w:rtl/>
              </w:rPr>
              <w:t>20</w:t>
            </w:r>
            <w:r w:rsidR="00C613CF">
              <w:rPr>
                <w:rFonts w:hint="cs"/>
                <w:szCs w:val="20"/>
                <w:rtl/>
              </w:rPr>
              <w:t>18</w:t>
            </w:r>
          </w:p>
        </w:tc>
        <w:tc>
          <w:tcPr>
            <w:tcW w:w="113" w:type="dxa"/>
            <w:vAlign w:val="bottom"/>
          </w:tcPr>
          <w:p w14:paraId="490EBF6D" w14:textId="77777777" w:rsidR="00E6640A" w:rsidRPr="00E6640A" w:rsidRDefault="00E6640A" w:rsidP="00AC2186">
            <w:pPr>
              <w:spacing w:line="180" w:lineRule="exact"/>
              <w:jc w:val="center"/>
              <w:rPr>
                <w:szCs w:val="20"/>
              </w:rPr>
            </w:pPr>
          </w:p>
        </w:tc>
        <w:tc>
          <w:tcPr>
            <w:tcW w:w="907" w:type="dxa"/>
            <w:gridSpan w:val="2"/>
            <w:tcBorders>
              <w:bottom w:val="single" w:sz="6" w:space="0" w:color="auto"/>
            </w:tcBorders>
            <w:shd w:val="clear" w:color="auto" w:fill="auto"/>
            <w:vAlign w:val="bottom"/>
          </w:tcPr>
          <w:p w14:paraId="55D2A22C" w14:textId="77777777" w:rsidR="00E6640A" w:rsidRPr="00E6640A" w:rsidRDefault="00C613CF" w:rsidP="00AC2186">
            <w:pPr>
              <w:spacing w:line="180" w:lineRule="exact"/>
              <w:jc w:val="center"/>
              <w:rPr>
                <w:szCs w:val="20"/>
              </w:rPr>
            </w:pPr>
            <w:r>
              <w:rPr>
                <w:rFonts w:hint="cs"/>
                <w:szCs w:val="20"/>
                <w:rtl/>
              </w:rPr>
              <w:t>2017</w:t>
            </w:r>
          </w:p>
        </w:tc>
        <w:tc>
          <w:tcPr>
            <w:tcW w:w="113" w:type="dxa"/>
            <w:shd w:val="clear" w:color="auto" w:fill="auto"/>
            <w:vAlign w:val="bottom"/>
          </w:tcPr>
          <w:p w14:paraId="0CA44934" w14:textId="77777777" w:rsidR="00E6640A" w:rsidRPr="00E6640A" w:rsidRDefault="00E6640A" w:rsidP="00C27900">
            <w:pPr>
              <w:spacing w:line="200" w:lineRule="exact"/>
              <w:jc w:val="center"/>
              <w:rPr>
                <w:szCs w:val="20"/>
              </w:rPr>
            </w:pPr>
          </w:p>
        </w:tc>
        <w:tc>
          <w:tcPr>
            <w:tcW w:w="907" w:type="dxa"/>
            <w:tcBorders>
              <w:bottom w:val="single" w:sz="6" w:space="0" w:color="auto"/>
            </w:tcBorders>
            <w:shd w:val="clear" w:color="auto" w:fill="auto"/>
            <w:vAlign w:val="bottom"/>
          </w:tcPr>
          <w:p w14:paraId="159913DA" w14:textId="77777777" w:rsidR="00E6640A" w:rsidRPr="00E6640A" w:rsidRDefault="00C613CF" w:rsidP="00AC2186">
            <w:pPr>
              <w:spacing w:line="180" w:lineRule="exact"/>
              <w:jc w:val="center"/>
              <w:rPr>
                <w:szCs w:val="20"/>
              </w:rPr>
            </w:pPr>
            <w:r>
              <w:rPr>
                <w:rFonts w:hint="cs"/>
                <w:szCs w:val="20"/>
                <w:rtl/>
              </w:rPr>
              <w:t>2018</w:t>
            </w:r>
          </w:p>
        </w:tc>
        <w:tc>
          <w:tcPr>
            <w:tcW w:w="113" w:type="dxa"/>
            <w:shd w:val="clear" w:color="auto" w:fill="auto"/>
            <w:vAlign w:val="bottom"/>
          </w:tcPr>
          <w:p w14:paraId="2C9B625F" w14:textId="77777777" w:rsidR="00E6640A" w:rsidRPr="00E6640A" w:rsidRDefault="00E6640A" w:rsidP="00AC2186">
            <w:pPr>
              <w:spacing w:line="180" w:lineRule="exact"/>
              <w:jc w:val="center"/>
              <w:rPr>
                <w:szCs w:val="20"/>
              </w:rPr>
            </w:pPr>
          </w:p>
        </w:tc>
        <w:tc>
          <w:tcPr>
            <w:tcW w:w="907" w:type="dxa"/>
            <w:tcBorders>
              <w:bottom w:val="single" w:sz="6" w:space="0" w:color="auto"/>
            </w:tcBorders>
            <w:shd w:val="clear" w:color="auto" w:fill="auto"/>
            <w:vAlign w:val="bottom"/>
          </w:tcPr>
          <w:p w14:paraId="6019979F" w14:textId="77777777" w:rsidR="00E6640A" w:rsidRPr="00E6640A" w:rsidRDefault="00C613CF" w:rsidP="00AC2186">
            <w:pPr>
              <w:spacing w:line="180" w:lineRule="exact"/>
              <w:jc w:val="center"/>
              <w:rPr>
                <w:szCs w:val="20"/>
              </w:rPr>
            </w:pPr>
            <w:r>
              <w:rPr>
                <w:rFonts w:hint="cs"/>
                <w:szCs w:val="20"/>
                <w:rtl/>
              </w:rPr>
              <w:t>2017</w:t>
            </w:r>
          </w:p>
        </w:tc>
        <w:tc>
          <w:tcPr>
            <w:tcW w:w="113" w:type="dxa"/>
            <w:shd w:val="clear" w:color="auto" w:fill="auto"/>
            <w:vAlign w:val="bottom"/>
          </w:tcPr>
          <w:p w14:paraId="50DAA90B" w14:textId="77777777" w:rsidR="00E6640A" w:rsidRPr="00C27900" w:rsidRDefault="00E6640A" w:rsidP="00C27900">
            <w:pPr>
              <w:tabs>
                <w:tab w:val="decimal" w:pos="113"/>
              </w:tabs>
              <w:spacing w:line="200" w:lineRule="exact"/>
              <w:jc w:val="center"/>
              <w:rPr>
                <w:sz w:val="18"/>
                <w:szCs w:val="20"/>
              </w:rPr>
            </w:pPr>
          </w:p>
        </w:tc>
        <w:tc>
          <w:tcPr>
            <w:tcW w:w="1192" w:type="dxa"/>
            <w:tcBorders>
              <w:bottom w:val="single" w:sz="6" w:space="0" w:color="auto"/>
            </w:tcBorders>
            <w:shd w:val="clear" w:color="auto" w:fill="auto"/>
            <w:vAlign w:val="bottom"/>
          </w:tcPr>
          <w:p w14:paraId="6F93F59E" w14:textId="6067EF4C" w:rsidR="00E6640A" w:rsidRPr="00A227B8" w:rsidRDefault="00A227B8" w:rsidP="00A227B8">
            <w:pPr>
              <w:spacing w:line="180" w:lineRule="exact"/>
              <w:jc w:val="center"/>
              <w:rPr>
                <w:szCs w:val="20"/>
              </w:rPr>
            </w:pPr>
            <w:r w:rsidRPr="00A227B8">
              <w:rPr>
                <w:rFonts w:hint="cs"/>
                <w:szCs w:val="20"/>
                <w:rtl/>
              </w:rPr>
              <w:t>2017</w:t>
            </w:r>
          </w:p>
        </w:tc>
      </w:tr>
      <w:tr w:rsidR="00E6640A" w:rsidRPr="00C27900" w14:paraId="22FAD209" w14:textId="77777777" w:rsidTr="00280C26">
        <w:tc>
          <w:tcPr>
            <w:tcW w:w="623" w:type="dxa"/>
            <w:shd w:val="clear" w:color="auto" w:fill="auto"/>
            <w:vAlign w:val="bottom"/>
          </w:tcPr>
          <w:p w14:paraId="082BDE8F" w14:textId="77777777" w:rsidR="00E6640A" w:rsidRPr="00C27900" w:rsidRDefault="00E6640A" w:rsidP="00C27900">
            <w:pPr>
              <w:tabs>
                <w:tab w:val="left" w:pos="227"/>
                <w:tab w:val="left" w:pos="397"/>
                <w:tab w:val="left" w:pos="567"/>
              </w:tabs>
              <w:spacing w:line="200" w:lineRule="exact"/>
              <w:ind w:left="227" w:hanging="170"/>
              <w:rPr>
                <w:sz w:val="18"/>
                <w:szCs w:val="20"/>
                <w:rtl/>
              </w:rPr>
            </w:pPr>
          </w:p>
        </w:tc>
        <w:tc>
          <w:tcPr>
            <w:tcW w:w="3692" w:type="dxa"/>
            <w:gridSpan w:val="2"/>
            <w:shd w:val="clear" w:color="auto" w:fill="auto"/>
            <w:vAlign w:val="bottom"/>
          </w:tcPr>
          <w:p w14:paraId="1605D0F2" w14:textId="77777777" w:rsidR="00E6640A" w:rsidRPr="00C27900" w:rsidRDefault="00E6640A" w:rsidP="00C27900">
            <w:pPr>
              <w:tabs>
                <w:tab w:val="left" w:pos="227"/>
                <w:tab w:val="left" w:pos="397"/>
                <w:tab w:val="left" w:pos="567"/>
              </w:tabs>
              <w:spacing w:line="200" w:lineRule="exact"/>
              <w:ind w:left="397" w:hanging="340"/>
              <w:jc w:val="left"/>
              <w:rPr>
                <w:sz w:val="18"/>
                <w:szCs w:val="20"/>
                <w:rtl/>
              </w:rPr>
            </w:pPr>
          </w:p>
        </w:tc>
        <w:tc>
          <w:tcPr>
            <w:tcW w:w="113" w:type="dxa"/>
            <w:shd w:val="clear" w:color="auto" w:fill="auto"/>
            <w:vAlign w:val="bottom"/>
          </w:tcPr>
          <w:p w14:paraId="782D81D8" w14:textId="77777777" w:rsidR="00E6640A" w:rsidRPr="00C27900" w:rsidRDefault="00E6640A" w:rsidP="00C27900">
            <w:pPr>
              <w:spacing w:line="200" w:lineRule="exact"/>
              <w:rPr>
                <w:sz w:val="18"/>
                <w:szCs w:val="20"/>
                <w:rtl/>
              </w:rPr>
            </w:pPr>
          </w:p>
        </w:tc>
        <w:tc>
          <w:tcPr>
            <w:tcW w:w="3967" w:type="dxa"/>
            <w:gridSpan w:val="8"/>
            <w:tcBorders>
              <w:bottom w:val="single" w:sz="6" w:space="0" w:color="auto"/>
            </w:tcBorders>
            <w:shd w:val="clear" w:color="auto" w:fill="auto"/>
            <w:vAlign w:val="bottom"/>
          </w:tcPr>
          <w:p w14:paraId="04DB2293" w14:textId="77777777" w:rsidR="00E6640A" w:rsidRPr="00C27900" w:rsidRDefault="00E6640A" w:rsidP="00C27900">
            <w:pPr>
              <w:spacing w:line="200" w:lineRule="exact"/>
              <w:jc w:val="center"/>
              <w:rPr>
                <w:sz w:val="18"/>
                <w:szCs w:val="20"/>
              </w:rPr>
            </w:pPr>
            <w:r w:rsidRPr="00C27900">
              <w:rPr>
                <w:rFonts w:hint="cs"/>
                <w:sz w:val="18"/>
                <w:szCs w:val="20"/>
                <w:rtl/>
              </w:rPr>
              <w:t>בלתי מבוקר</w:t>
            </w:r>
          </w:p>
        </w:tc>
        <w:tc>
          <w:tcPr>
            <w:tcW w:w="113" w:type="dxa"/>
            <w:shd w:val="clear" w:color="auto" w:fill="auto"/>
            <w:vAlign w:val="bottom"/>
          </w:tcPr>
          <w:p w14:paraId="65CA127A" w14:textId="77777777" w:rsidR="00E6640A" w:rsidRPr="00C27900" w:rsidRDefault="00E6640A" w:rsidP="00C27900">
            <w:pPr>
              <w:tabs>
                <w:tab w:val="decimal" w:pos="113"/>
              </w:tabs>
              <w:spacing w:line="200" w:lineRule="exact"/>
              <w:jc w:val="center"/>
              <w:rPr>
                <w:sz w:val="18"/>
                <w:szCs w:val="20"/>
              </w:rPr>
            </w:pPr>
          </w:p>
        </w:tc>
        <w:tc>
          <w:tcPr>
            <w:tcW w:w="1192" w:type="dxa"/>
            <w:tcBorders>
              <w:bottom w:val="single" w:sz="6" w:space="0" w:color="auto"/>
            </w:tcBorders>
            <w:shd w:val="clear" w:color="auto" w:fill="auto"/>
            <w:vAlign w:val="bottom"/>
          </w:tcPr>
          <w:p w14:paraId="1433D18D" w14:textId="77777777" w:rsidR="00E6640A" w:rsidRPr="00C27900" w:rsidRDefault="00E6640A" w:rsidP="00C27900">
            <w:pPr>
              <w:spacing w:line="200" w:lineRule="exact"/>
              <w:jc w:val="center"/>
              <w:rPr>
                <w:sz w:val="18"/>
                <w:szCs w:val="20"/>
              </w:rPr>
            </w:pPr>
            <w:r w:rsidRPr="00C27900">
              <w:rPr>
                <w:rFonts w:hint="cs"/>
                <w:sz w:val="18"/>
                <w:szCs w:val="20"/>
                <w:rtl/>
              </w:rPr>
              <w:t>מבוקר</w:t>
            </w:r>
          </w:p>
        </w:tc>
      </w:tr>
      <w:tr w:rsidR="00E6640A" w:rsidRPr="00C27900" w14:paraId="695C0465" w14:textId="77777777" w:rsidTr="00280C26">
        <w:tc>
          <w:tcPr>
            <w:tcW w:w="623" w:type="dxa"/>
            <w:shd w:val="clear" w:color="auto" w:fill="auto"/>
            <w:vAlign w:val="bottom"/>
          </w:tcPr>
          <w:p w14:paraId="0B586582" w14:textId="77777777" w:rsidR="00E6640A" w:rsidRPr="00C27900" w:rsidRDefault="00E6640A" w:rsidP="00C27900">
            <w:pPr>
              <w:pStyle w:val="a3"/>
              <w:tabs>
                <w:tab w:val="left" w:pos="227"/>
                <w:tab w:val="left" w:pos="397"/>
                <w:tab w:val="left" w:pos="567"/>
              </w:tabs>
              <w:spacing w:line="200" w:lineRule="exact"/>
              <w:ind w:left="227" w:hanging="170"/>
              <w:rPr>
                <w:sz w:val="18"/>
                <w:szCs w:val="20"/>
                <w:rtl/>
              </w:rPr>
            </w:pPr>
          </w:p>
        </w:tc>
        <w:tc>
          <w:tcPr>
            <w:tcW w:w="3692" w:type="dxa"/>
            <w:gridSpan w:val="2"/>
            <w:shd w:val="clear" w:color="auto" w:fill="auto"/>
            <w:vAlign w:val="bottom"/>
          </w:tcPr>
          <w:p w14:paraId="593AF595" w14:textId="77777777" w:rsidR="00E6640A" w:rsidRPr="00C27900" w:rsidRDefault="00E6640A" w:rsidP="00C27900">
            <w:pPr>
              <w:pStyle w:val="a3"/>
              <w:tabs>
                <w:tab w:val="left" w:pos="227"/>
                <w:tab w:val="left" w:pos="397"/>
                <w:tab w:val="left" w:pos="567"/>
              </w:tabs>
              <w:spacing w:line="200" w:lineRule="exact"/>
              <w:ind w:left="397" w:hanging="340"/>
              <w:rPr>
                <w:sz w:val="18"/>
                <w:szCs w:val="20"/>
                <w:rtl/>
              </w:rPr>
            </w:pPr>
          </w:p>
        </w:tc>
        <w:tc>
          <w:tcPr>
            <w:tcW w:w="113" w:type="dxa"/>
            <w:shd w:val="clear" w:color="auto" w:fill="auto"/>
            <w:vAlign w:val="bottom"/>
          </w:tcPr>
          <w:p w14:paraId="45EC284D" w14:textId="77777777" w:rsidR="00E6640A" w:rsidRPr="00C27900" w:rsidRDefault="00E6640A" w:rsidP="00C27900">
            <w:pPr>
              <w:pStyle w:val="a3"/>
              <w:spacing w:line="200" w:lineRule="exact"/>
              <w:rPr>
                <w:sz w:val="18"/>
                <w:szCs w:val="20"/>
              </w:rPr>
            </w:pPr>
          </w:p>
        </w:tc>
        <w:tc>
          <w:tcPr>
            <w:tcW w:w="1288" w:type="dxa"/>
            <w:gridSpan w:val="3"/>
            <w:tcBorders>
              <w:bottom w:val="single" w:sz="6" w:space="0" w:color="auto"/>
            </w:tcBorders>
            <w:shd w:val="clear" w:color="auto" w:fill="auto"/>
            <w:vAlign w:val="bottom"/>
          </w:tcPr>
          <w:p w14:paraId="0FD2DD47" w14:textId="77777777" w:rsidR="00E6640A" w:rsidRPr="009E4AC6" w:rsidRDefault="00E6640A" w:rsidP="00C27900">
            <w:pPr>
              <w:tabs>
                <w:tab w:val="decimal" w:pos="113"/>
              </w:tabs>
              <w:bidi w:val="0"/>
              <w:spacing w:line="200" w:lineRule="exact"/>
              <w:jc w:val="left"/>
              <w:rPr>
                <w:i/>
                <w:iCs/>
                <w:sz w:val="14"/>
                <w:szCs w:val="16"/>
              </w:rPr>
            </w:pPr>
            <w:r w:rsidRPr="009E4AC6">
              <w:rPr>
                <w:rFonts w:hint="cs"/>
                <w:i/>
                <w:iCs/>
                <w:sz w:val="14"/>
                <w:szCs w:val="16"/>
              </w:rPr>
              <w:t>IAS</w:t>
            </w:r>
            <w:r w:rsidRPr="009E4AC6">
              <w:rPr>
                <w:i/>
                <w:iCs/>
                <w:sz w:val="14"/>
                <w:szCs w:val="16"/>
              </w:rPr>
              <w:t> 1.51(d), (e)</w:t>
            </w:r>
          </w:p>
        </w:tc>
        <w:tc>
          <w:tcPr>
            <w:tcW w:w="3984" w:type="dxa"/>
            <w:gridSpan w:val="7"/>
            <w:tcBorders>
              <w:bottom w:val="single" w:sz="6" w:space="0" w:color="auto"/>
            </w:tcBorders>
            <w:shd w:val="clear" w:color="auto" w:fill="auto"/>
            <w:vAlign w:val="bottom"/>
          </w:tcPr>
          <w:p w14:paraId="277FB553" w14:textId="77777777" w:rsidR="00E6640A" w:rsidRPr="00C27900" w:rsidRDefault="00E6640A" w:rsidP="00C27900">
            <w:pPr>
              <w:spacing w:line="200" w:lineRule="exact"/>
              <w:ind w:left="710"/>
              <w:jc w:val="left"/>
              <w:rPr>
                <w:sz w:val="18"/>
                <w:szCs w:val="20"/>
                <w:u w:val="single"/>
              </w:rPr>
            </w:pPr>
            <w:r w:rsidRPr="00C27900">
              <w:rPr>
                <w:rFonts w:hint="cs"/>
                <w:sz w:val="18"/>
                <w:szCs w:val="20"/>
                <w:rtl/>
              </w:rPr>
              <w:t xml:space="preserve">אלפי ש"ח </w:t>
            </w:r>
          </w:p>
        </w:tc>
      </w:tr>
      <w:tr w:rsidR="00E6640A" w:rsidRPr="00C27900" w14:paraId="0B84E7C5" w14:textId="77777777" w:rsidTr="00280C26">
        <w:tc>
          <w:tcPr>
            <w:tcW w:w="623" w:type="dxa"/>
            <w:shd w:val="clear" w:color="auto" w:fill="auto"/>
          </w:tcPr>
          <w:p w14:paraId="0A218F54"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(א)</w:t>
            </w:r>
          </w:p>
        </w:tc>
        <w:tc>
          <w:tcPr>
            <w:tcW w:w="3692" w:type="dxa"/>
            <w:gridSpan w:val="2"/>
            <w:shd w:val="clear" w:color="auto" w:fill="auto"/>
            <w:vAlign w:val="bottom"/>
          </w:tcPr>
          <w:p w14:paraId="44844DED" w14:textId="77777777" w:rsidR="00E6640A" w:rsidRPr="00C27900" w:rsidRDefault="00E6640A" w:rsidP="00C27900">
            <w:pPr>
              <w:pStyle w:val="a3"/>
              <w:tabs>
                <w:tab w:val="left" w:pos="227"/>
                <w:tab w:val="left" w:pos="397"/>
                <w:tab w:val="left" w:pos="567"/>
              </w:tabs>
              <w:spacing w:line="200" w:lineRule="exact"/>
              <w:ind w:left="397" w:hanging="340"/>
              <w:rPr>
                <w:sz w:val="18"/>
                <w:szCs w:val="20"/>
              </w:rPr>
            </w:pPr>
            <w:r w:rsidRPr="00C27900">
              <w:rPr>
                <w:rFonts w:hint="cs"/>
                <w:sz w:val="18"/>
                <w:szCs w:val="20"/>
                <w:u w:val="single"/>
                <w:rtl/>
              </w:rPr>
              <w:t>תמורה ממימוש השקעות בחברות מאוחדות שאוחדו בעבר</w:t>
            </w:r>
          </w:p>
        </w:tc>
        <w:tc>
          <w:tcPr>
            <w:tcW w:w="113" w:type="dxa"/>
            <w:shd w:val="clear" w:color="auto" w:fill="auto"/>
            <w:vAlign w:val="bottom"/>
          </w:tcPr>
          <w:p w14:paraId="22AE50B8" w14:textId="77777777" w:rsidR="00E6640A" w:rsidRPr="00C27900" w:rsidRDefault="00E6640A" w:rsidP="00C27900">
            <w:pPr>
              <w:spacing w:line="200" w:lineRule="exact"/>
              <w:rPr>
                <w:sz w:val="18"/>
                <w:szCs w:val="20"/>
              </w:rPr>
            </w:pPr>
          </w:p>
        </w:tc>
        <w:tc>
          <w:tcPr>
            <w:tcW w:w="907" w:type="dxa"/>
            <w:vAlign w:val="bottom"/>
          </w:tcPr>
          <w:p w14:paraId="145B7199"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321AA64"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D926D76"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457E050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E92FFF6"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87238DD"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0FC4E7B"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A5B7025"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0E9FC67" w14:textId="77777777" w:rsidR="00E6640A" w:rsidRPr="00C27900" w:rsidRDefault="00E6640A" w:rsidP="00C27900">
            <w:pPr>
              <w:tabs>
                <w:tab w:val="decimal" w:pos="113"/>
              </w:tabs>
              <w:spacing w:line="200" w:lineRule="exact"/>
              <w:rPr>
                <w:sz w:val="18"/>
                <w:szCs w:val="20"/>
                <w:rtl/>
              </w:rPr>
            </w:pPr>
          </w:p>
        </w:tc>
      </w:tr>
      <w:tr w:rsidR="00E6640A" w:rsidRPr="00C27900" w14:paraId="535704CD" w14:textId="77777777" w:rsidTr="00280C26">
        <w:tc>
          <w:tcPr>
            <w:tcW w:w="623" w:type="dxa"/>
            <w:shd w:val="clear" w:color="auto" w:fill="auto"/>
            <w:vAlign w:val="bottom"/>
          </w:tcPr>
          <w:p w14:paraId="04BC16B5"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3EBFE2B0"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626857F9" w14:textId="77777777" w:rsidR="00E6640A" w:rsidRPr="00C27900" w:rsidRDefault="00E6640A" w:rsidP="00C27900">
            <w:pPr>
              <w:spacing w:line="200" w:lineRule="exact"/>
              <w:rPr>
                <w:sz w:val="18"/>
                <w:szCs w:val="20"/>
              </w:rPr>
            </w:pPr>
          </w:p>
        </w:tc>
        <w:tc>
          <w:tcPr>
            <w:tcW w:w="907" w:type="dxa"/>
            <w:vAlign w:val="bottom"/>
          </w:tcPr>
          <w:p w14:paraId="5803C3B9"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3786900"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D60E1D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68C4E1D3"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4184AFE"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1301EF55"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C47496C"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65D8A141"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2AF1F78" w14:textId="77777777" w:rsidR="00E6640A" w:rsidRPr="00C27900" w:rsidRDefault="00E6640A" w:rsidP="00C27900">
            <w:pPr>
              <w:tabs>
                <w:tab w:val="decimal" w:pos="113"/>
              </w:tabs>
              <w:spacing w:line="200" w:lineRule="exact"/>
              <w:rPr>
                <w:sz w:val="18"/>
                <w:szCs w:val="20"/>
                <w:rtl/>
              </w:rPr>
            </w:pPr>
          </w:p>
        </w:tc>
      </w:tr>
      <w:tr w:rsidR="00E6640A" w:rsidRPr="00C27900" w14:paraId="2761A254" w14:textId="77777777" w:rsidTr="00280C26">
        <w:tc>
          <w:tcPr>
            <w:tcW w:w="623" w:type="dxa"/>
            <w:shd w:val="clear" w:color="auto" w:fill="auto"/>
            <w:vAlign w:val="bottom"/>
          </w:tcPr>
          <w:p w14:paraId="4C600DE1"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3692" w:type="dxa"/>
            <w:gridSpan w:val="2"/>
            <w:shd w:val="clear" w:color="auto" w:fill="auto"/>
            <w:vAlign w:val="bottom"/>
          </w:tcPr>
          <w:p w14:paraId="1C014FAD" w14:textId="77777777" w:rsidR="00E6640A" w:rsidRPr="00C27900" w:rsidRDefault="00E6640A" w:rsidP="00C27900">
            <w:pPr>
              <w:pStyle w:val="a3"/>
              <w:tabs>
                <w:tab w:val="left" w:pos="227"/>
                <w:tab w:val="left" w:pos="397"/>
                <w:tab w:val="left" w:pos="567"/>
              </w:tabs>
              <w:spacing w:line="200" w:lineRule="exact"/>
              <w:ind w:left="397" w:hanging="340"/>
              <w:rPr>
                <w:sz w:val="18"/>
                <w:szCs w:val="20"/>
              </w:rPr>
            </w:pPr>
            <w:r w:rsidRPr="00C27900">
              <w:rPr>
                <w:rFonts w:hint="cs"/>
                <w:sz w:val="18"/>
                <w:szCs w:val="20"/>
                <w:rtl/>
              </w:rPr>
              <w:t>נכסים והתחייבויות של החברות המאוחדות ליום המכירה:</w:t>
            </w:r>
          </w:p>
        </w:tc>
        <w:tc>
          <w:tcPr>
            <w:tcW w:w="113" w:type="dxa"/>
            <w:shd w:val="clear" w:color="auto" w:fill="auto"/>
            <w:vAlign w:val="bottom"/>
          </w:tcPr>
          <w:p w14:paraId="795A58A4" w14:textId="77777777" w:rsidR="00E6640A" w:rsidRPr="00C27900" w:rsidRDefault="00E6640A" w:rsidP="00C27900">
            <w:pPr>
              <w:spacing w:line="200" w:lineRule="exact"/>
              <w:rPr>
                <w:sz w:val="18"/>
                <w:szCs w:val="20"/>
              </w:rPr>
            </w:pPr>
          </w:p>
        </w:tc>
        <w:tc>
          <w:tcPr>
            <w:tcW w:w="907" w:type="dxa"/>
            <w:vAlign w:val="bottom"/>
          </w:tcPr>
          <w:p w14:paraId="1A077FA5"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CB89E5B"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419FD27D"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B5ADF8D"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83EEB67"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00D9BDB1"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C4ED8A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7DAAF6D"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B88BA58" w14:textId="77777777" w:rsidR="00E6640A" w:rsidRPr="00C27900" w:rsidRDefault="00E6640A" w:rsidP="00C27900">
            <w:pPr>
              <w:tabs>
                <w:tab w:val="decimal" w:pos="113"/>
              </w:tabs>
              <w:spacing w:line="200" w:lineRule="exact"/>
              <w:rPr>
                <w:sz w:val="18"/>
                <w:szCs w:val="20"/>
                <w:rtl/>
              </w:rPr>
            </w:pPr>
          </w:p>
        </w:tc>
      </w:tr>
      <w:tr w:rsidR="00E6640A" w:rsidRPr="00C27900" w14:paraId="779F516A" w14:textId="77777777" w:rsidTr="00280C26">
        <w:tc>
          <w:tcPr>
            <w:tcW w:w="623" w:type="dxa"/>
            <w:shd w:val="clear" w:color="auto" w:fill="auto"/>
            <w:vAlign w:val="bottom"/>
          </w:tcPr>
          <w:p w14:paraId="679D3A9E"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15DEB1E4"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1B5B4049" w14:textId="77777777" w:rsidR="00E6640A" w:rsidRPr="00C27900" w:rsidRDefault="00E6640A" w:rsidP="00C27900">
            <w:pPr>
              <w:spacing w:line="200" w:lineRule="exact"/>
              <w:rPr>
                <w:sz w:val="18"/>
                <w:szCs w:val="20"/>
              </w:rPr>
            </w:pPr>
          </w:p>
        </w:tc>
        <w:tc>
          <w:tcPr>
            <w:tcW w:w="907" w:type="dxa"/>
            <w:vAlign w:val="bottom"/>
          </w:tcPr>
          <w:p w14:paraId="16BDFCCD"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197F481"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D8BBCE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44DA9AB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16D8206"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121CE1D"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8ECEF45"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4A427DF"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189A6EF4" w14:textId="77777777" w:rsidR="00E6640A" w:rsidRPr="00C27900" w:rsidRDefault="00E6640A" w:rsidP="00C27900">
            <w:pPr>
              <w:tabs>
                <w:tab w:val="decimal" w:pos="113"/>
              </w:tabs>
              <w:spacing w:line="200" w:lineRule="exact"/>
              <w:rPr>
                <w:sz w:val="18"/>
                <w:szCs w:val="20"/>
                <w:rtl/>
              </w:rPr>
            </w:pPr>
          </w:p>
        </w:tc>
      </w:tr>
      <w:tr w:rsidR="00E6640A" w:rsidRPr="00C27900" w14:paraId="59E58A1A" w14:textId="77777777" w:rsidTr="00280C26">
        <w:tc>
          <w:tcPr>
            <w:tcW w:w="623" w:type="dxa"/>
            <w:shd w:val="clear" w:color="auto" w:fill="auto"/>
            <w:vAlign w:val="bottom"/>
          </w:tcPr>
          <w:p w14:paraId="36035A5A"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39ADF880"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הון חוזר (למעט מזומנים ושווי מזומנים)</w:t>
            </w:r>
          </w:p>
        </w:tc>
        <w:tc>
          <w:tcPr>
            <w:tcW w:w="113" w:type="dxa"/>
            <w:shd w:val="clear" w:color="auto" w:fill="auto"/>
            <w:vAlign w:val="bottom"/>
          </w:tcPr>
          <w:p w14:paraId="62231D1E" w14:textId="77777777" w:rsidR="00E6640A" w:rsidRPr="00C27900" w:rsidRDefault="00E6640A" w:rsidP="00C27900">
            <w:pPr>
              <w:spacing w:line="200" w:lineRule="exact"/>
              <w:rPr>
                <w:sz w:val="18"/>
                <w:szCs w:val="20"/>
              </w:rPr>
            </w:pPr>
          </w:p>
        </w:tc>
        <w:tc>
          <w:tcPr>
            <w:tcW w:w="907" w:type="dxa"/>
            <w:vAlign w:val="bottom"/>
          </w:tcPr>
          <w:p w14:paraId="7820E0D6"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05E62E3"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60045CBB"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266499A"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922605A"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46D73A81"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9EC5096"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9DC6FA6"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8B3EF05" w14:textId="77777777" w:rsidR="00E6640A" w:rsidRPr="00C27900" w:rsidRDefault="00E6640A" w:rsidP="00C27900">
            <w:pPr>
              <w:tabs>
                <w:tab w:val="decimal" w:pos="113"/>
              </w:tabs>
              <w:spacing w:line="200" w:lineRule="exact"/>
              <w:rPr>
                <w:sz w:val="18"/>
                <w:szCs w:val="20"/>
                <w:rtl/>
              </w:rPr>
            </w:pPr>
          </w:p>
        </w:tc>
      </w:tr>
      <w:tr w:rsidR="00E6640A" w:rsidRPr="00C27900" w14:paraId="03BE9A4A" w14:textId="77777777" w:rsidTr="00280C26">
        <w:tc>
          <w:tcPr>
            <w:tcW w:w="623" w:type="dxa"/>
            <w:shd w:val="clear" w:color="auto" w:fill="auto"/>
            <w:vAlign w:val="bottom"/>
          </w:tcPr>
          <w:p w14:paraId="55EFE7E1"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6F9F73CF"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רכוש קבוע</w:t>
            </w:r>
          </w:p>
        </w:tc>
        <w:tc>
          <w:tcPr>
            <w:tcW w:w="113" w:type="dxa"/>
            <w:shd w:val="clear" w:color="auto" w:fill="auto"/>
            <w:vAlign w:val="bottom"/>
          </w:tcPr>
          <w:p w14:paraId="532ABA91" w14:textId="77777777" w:rsidR="00E6640A" w:rsidRPr="00C27900" w:rsidRDefault="00E6640A" w:rsidP="00C27900">
            <w:pPr>
              <w:spacing w:line="200" w:lineRule="exact"/>
              <w:rPr>
                <w:sz w:val="18"/>
                <w:szCs w:val="20"/>
              </w:rPr>
            </w:pPr>
          </w:p>
        </w:tc>
        <w:tc>
          <w:tcPr>
            <w:tcW w:w="907" w:type="dxa"/>
            <w:vAlign w:val="bottom"/>
          </w:tcPr>
          <w:p w14:paraId="29443BF2"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39BC82A3"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FEC8B3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0A6B62C"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6A77800"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1B34C7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688C2D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7A67E65"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194B95CD" w14:textId="77777777" w:rsidR="00E6640A" w:rsidRPr="00C27900" w:rsidRDefault="00E6640A" w:rsidP="00C27900">
            <w:pPr>
              <w:tabs>
                <w:tab w:val="decimal" w:pos="113"/>
              </w:tabs>
              <w:spacing w:line="200" w:lineRule="exact"/>
              <w:rPr>
                <w:sz w:val="18"/>
                <w:szCs w:val="20"/>
                <w:rtl/>
              </w:rPr>
            </w:pPr>
          </w:p>
        </w:tc>
      </w:tr>
      <w:tr w:rsidR="005B6A6B" w:rsidRPr="00C27900" w14:paraId="552AB19B" w14:textId="77777777" w:rsidTr="00280C26">
        <w:tc>
          <w:tcPr>
            <w:tcW w:w="623" w:type="dxa"/>
            <w:shd w:val="clear" w:color="auto" w:fill="auto"/>
            <w:vAlign w:val="bottom"/>
          </w:tcPr>
          <w:p w14:paraId="417E608D" w14:textId="77777777" w:rsidR="005B6A6B" w:rsidRPr="00C27900" w:rsidRDefault="005B6A6B"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284AE5B4" w14:textId="450CD854" w:rsidR="005B6A6B" w:rsidRPr="00C27900" w:rsidRDefault="005B6A6B" w:rsidP="00C27900">
            <w:pPr>
              <w:pStyle w:val="a3"/>
              <w:tabs>
                <w:tab w:val="left" w:pos="227"/>
                <w:tab w:val="left" w:pos="397"/>
                <w:tab w:val="left" w:pos="567"/>
              </w:tabs>
              <w:spacing w:line="200" w:lineRule="exact"/>
              <w:ind w:left="227" w:hanging="170"/>
              <w:rPr>
                <w:sz w:val="18"/>
                <w:szCs w:val="20"/>
                <w:rtl/>
              </w:rPr>
            </w:pPr>
            <w:r>
              <w:rPr>
                <w:rFonts w:hint="cs"/>
                <w:sz w:val="18"/>
                <w:szCs w:val="20"/>
                <w:rtl/>
              </w:rPr>
              <w:t>נכסי זכות שימוש</w:t>
            </w:r>
          </w:p>
        </w:tc>
        <w:tc>
          <w:tcPr>
            <w:tcW w:w="113" w:type="dxa"/>
            <w:shd w:val="clear" w:color="auto" w:fill="auto"/>
            <w:vAlign w:val="bottom"/>
          </w:tcPr>
          <w:p w14:paraId="5C5AF41E" w14:textId="77777777" w:rsidR="005B6A6B" w:rsidRPr="00C27900" w:rsidRDefault="005B6A6B" w:rsidP="00C27900">
            <w:pPr>
              <w:spacing w:line="200" w:lineRule="exact"/>
              <w:rPr>
                <w:sz w:val="18"/>
                <w:szCs w:val="20"/>
              </w:rPr>
            </w:pPr>
          </w:p>
        </w:tc>
        <w:tc>
          <w:tcPr>
            <w:tcW w:w="907" w:type="dxa"/>
            <w:vAlign w:val="bottom"/>
          </w:tcPr>
          <w:p w14:paraId="285418EA" w14:textId="77777777" w:rsidR="005B6A6B" w:rsidRPr="00C27900" w:rsidRDefault="005B6A6B" w:rsidP="00C27900">
            <w:pPr>
              <w:tabs>
                <w:tab w:val="decimal" w:pos="113"/>
              </w:tabs>
              <w:spacing w:line="200" w:lineRule="exact"/>
              <w:rPr>
                <w:sz w:val="18"/>
                <w:szCs w:val="20"/>
                <w:rtl/>
              </w:rPr>
            </w:pPr>
          </w:p>
        </w:tc>
        <w:tc>
          <w:tcPr>
            <w:tcW w:w="113" w:type="dxa"/>
            <w:vAlign w:val="bottom"/>
          </w:tcPr>
          <w:p w14:paraId="3D4C7FB5" w14:textId="77777777" w:rsidR="005B6A6B" w:rsidRPr="00C27900" w:rsidRDefault="005B6A6B" w:rsidP="00C27900">
            <w:pPr>
              <w:tabs>
                <w:tab w:val="decimal" w:pos="113"/>
              </w:tabs>
              <w:spacing w:line="200" w:lineRule="exact"/>
              <w:rPr>
                <w:sz w:val="18"/>
                <w:szCs w:val="20"/>
              </w:rPr>
            </w:pPr>
          </w:p>
        </w:tc>
        <w:tc>
          <w:tcPr>
            <w:tcW w:w="907" w:type="dxa"/>
            <w:gridSpan w:val="2"/>
            <w:shd w:val="clear" w:color="auto" w:fill="auto"/>
            <w:vAlign w:val="bottom"/>
          </w:tcPr>
          <w:p w14:paraId="3ACC0D29" w14:textId="77777777" w:rsidR="005B6A6B" w:rsidRPr="00C27900" w:rsidRDefault="005B6A6B" w:rsidP="00C27900">
            <w:pPr>
              <w:tabs>
                <w:tab w:val="decimal" w:pos="113"/>
              </w:tabs>
              <w:spacing w:line="200" w:lineRule="exact"/>
              <w:rPr>
                <w:sz w:val="18"/>
                <w:szCs w:val="20"/>
              </w:rPr>
            </w:pPr>
          </w:p>
        </w:tc>
        <w:tc>
          <w:tcPr>
            <w:tcW w:w="113" w:type="dxa"/>
            <w:shd w:val="clear" w:color="auto" w:fill="auto"/>
            <w:vAlign w:val="bottom"/>
          </w:tcPr>
          <w:p w14:paraId="41219F88" w14:textId="77777777" w:rsidR="005B6A6B" w:rsidRPr="00C27900" w:rsidRDefault="005B6A6B" w:rsidP="00C27900">
            <w:pPr>
              <w:tabs>
                <w:tab w:val="decimal" w:pos="113"/>
              </w:tabs>
              <w:spacing w:line="200" w:lineRule="exact"/>
              <w:rPr>
                <w:sz w:val="18"/>
                <w:szCs w:val="20"/>
              </w:rPr>
            </w:pPr>
          </w:p>
        </w:tc>
        <w:tc>
          <w:tcPr>
            <w:tcW w:w="907" w:type="dxa"/>
            <w:shd w:val="clear" w:color="auto" w:fill="auto"/>
            <w:vAlign w:val="bottom"/>
          </w:tcPr>
          <w:p w14:paraId="41F202BE" w14:textId="77777777" w:rsidR="005B6A6B" w:rsidRPr="00C27900" w:rsidRDefault="005B6A6B" w:rsidP="00C27900">
            <w:pPr>
              <w:tabs>
                <w:tab w:val="decimal" w:pos="113"/>
              </w:tabs>
              <w:spacing w:line="200" w:lineRule="exact"/>
              <w:rPr>
                <w:sz w:val="18"/>
                <w:szCs w:val="20"/>
                <w:rtl/>
              </w:rPr>
            </w:pPr>
          </w:p>
        </w:tc>
        <w:tc>
          <w:tcPr>
            <w:tcW w:w="113" w:type="dxa"/>
            <w:shd w:val="clear" w:color="auto" w:fill="auto"/>
            <w:vAlign w:val="bottom"/>
          </w:tcPr>
          <w:p w14:paraId="7C6000CC" w14:textId="77777777" w:rsidR="005B6A6B" w:rsidRPr="00C27900" w:rsidRDefault="005B6A6B" w:rsidP="00C27900">
            <w:pPr>
              <w:tabs>
                <w:tab w:val="decimal" w:pos="113"/>
              </w:tabs>
              <w:spacing w:line="200" w:lineRule="exact"/>
              <w:rPr>
                <w:sz w:val="18"/>
                <w:szCs w:val="20"/>
              </w:rPr>
            </w:pPr>
          </w:p>
        </w:tc>
        <w:tc>
          <w:tcPr>
            <w:tcW w:w="907" w:type="dxa"/>
            <w:shd w:val="clear" w:color="auto" w:fill="auto"/>
            <w:vAlign w:val="bottom"/>
          </w:tcPr>
          <w:p w14:paraId="0A0B80C8" w14:textId="77777777" w:rsidR="005B6A6B" w:rsidRPr="00C27900" w:rsidRDefault="005B6A6B" w:rsidP="00C27900">
            <w:pPr>
              <w:tabs>
                <w:tab w:val="decimal" w:pos="113"/>
              </w:tabs>
              <w:spacing w:line="200" w:lineRule="exact"/>
              <w:rPr>
                <w:sz w:val="18"/>
                <w:szCs w:val="20"/>
              </w:rPr>
            </w:pPr>
          </w:p>
        </w:tc>
        <w:tc>
          <w:tcPr>
            <w:tcW w:w="113" w:type="dxa"/>
            <w:shd w:val="clear" w:color="auto" w:fill="auto"/>
            <w:vAlign w:val="bottom"/>
          </w:tcPr>
          <w:p w14:paraId="76583712" w14:textId="77777777" w:rsidR="005B6A6B" w:rsidRPr="00C27900" w:rsidRDefault="005B6A6B" w:rsidP="00C27900">
            <w:pPr>
              <w:tabs>
                <w:tab w:val="decimal" w:pos="113"/>
              </w:tabs>
              <w:spacing w:line="200" w:lineRule="exact"/>
              <w:rPr>
                <w:sz w:val="18"/>
                <w:szCs w:val="20"/>
              </w:rPr>
            </w:pPr>
          </w:p>
        </w:tc>
        <w:tc>
          <w:tcPr>
            <w:tcW w:w="1192" w:type="dxa"/>
            <w:shd w:val="clear" w:color="auto" w:fill="auto"/>
            <w:vAlign w:val="bottom"/>
          </w:tcPr>
          <w:p w14:paraId="31459325" w14:textId="77777777" w:rsidR="005B6A6B" w:rsidRPr="00C27900" w:rsidRDefault="005B6A6B" w:rsidP="00C27900">
            <w:pPr>
              <w:tabs>
                <w:tab w:val="decimal" w:pos="113"/>
              </w:tabs>
              <w:spacing w:line="200" w:lineRule="exact"/>
              <w:rPr>
                <w:sz w:val="18"/>
                <w:szCs w:val="20"/>
                <w:rtl/>
              </w:rPr>
            </w:pPr>
          </w:p>
        </w:tc>
      </w:tr>
      <w:tr w:rsidR="00E6640A" w:rsidRPr="00C27900" w14:paraId="217949AB" w14:textId="77777777" w:rsidTr="00280C26">
        <w:tc>
          <w:tcPr>
            <w:tcW w:w="623" w:type="dxa"/>
            <w:shd w:val="clear" w:color="auto" w:fill="auto"/>
            <w:vAlign w:val="bottom"/>
          </w:tcPr>
          <w:p w14:paraId="4231C0EE"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09C33F35"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נכסים בלתי מוחשיים</w:t>
            </w:r>
          </w:p>
        </w:tc>
        <w:tc>
          <w:tcPr>
            <w:tcW w:w="113" w:type="dxa"/>
            <w:shd w:val="clear" w:color="auto" w:fill="auto"/>
            <w:vAlign w:val="bottom"/>
          </w:tcPr>
          <w:p w14:paraId="225C9871" w14:textId="77777777" w:rsidR="00E6640A" w:rsidRPr="00C27900" w:rsidRDefault="00E6640A" w:rsidP="00C27900">
            <w:pPr>
              <w:spacing w:line="200" w:lineRule="exact"/>
              <w:rPr>
                <w:sz w:val="18"/>
                <w:szCs w:val="20"/>
              </w:rPr>
            </w:pPr>
          </w:p>
        </w:tc>
        <w:tc>
          <w:tcPr>
            <w:tcW w:w="907" w:type="dxa"/>
            <w:vAlign w:val="bottom"/>
          </w:tcPr>
          <w:p w14:paraId="5550E5C4"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B8B6B52"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4EA0D778"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B76F6A8"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DE13942"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745E9BF3"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C91A698"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AB11606"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6A6A0F2" w14:textId="77777777" w:rsidR="00E6640A" w:rsidRPr="00C27900" w:rsidRDefault="00E6640A" w:rsidP="00C27900">
            <w:pPr>
              <w:tabs>
                <w:tab w:val="decimal" w:pos="113"/>
              </w:tabs>
              <w:spacing w:line="200" w:lineRule="exact"/>
              <w:rPr>
                <w:sz w:val="18"/>
                <w:szCs w:val="20"/>
                <w:rtl/>
              </w:rPr>
            </w:pPr>
          </w:p>
        </w:tc>
      </w:tr>
      <w:tr w:rsidR="00E6640A" w:rsidRPr="00C27900" w14:paraId="29C33FE4" w14:textId="77777777" w:rsidTr="00280C26">
        <w:tc>
          <w:tcPr>
            <w:tcW w:w="623" w:type="dxa"/>
            <w:shd w:val="clear" w:color="auto" w:fill="auto"/>
            <w:vAlign w:val="bottom"/>
          </w:tcPr>
          <w:p w14:paraId="450BF239"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76584B05"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מוניטין</w:t>
            </w:r>
          </w:p>
        </w:tc>
        <w:tc>
          <w:tcPr>
            <w:tcW w:w="113" w:type="dxa"/>
            <w:shd w:val="clear" w:color="auto" w:fill="auto"/>
            <w:vAlign w:val="bottom"/>
          </w:tcPr>
          <w:p w14:paraId="3443089C" w14:textId="77777777" w:rsidR="00E6640A" w:rsidRPr="00C27900" w:rsidRDefault="00E6640A" w:rsidP="00C27900">
            <w:pPr>
              <w:spacing w:line="200" w:lineRule="exact"/>
              <w:rPr>
                <w:sz w:val="18"/>
                <w:szCs w:val="20"/>
              </w:rPr>
            </w:pPr>
          </w:p>
        </w:tc>
        <w:tc>
          <w:tcPr>
            <w:tcW w:w="907" w:type="dxa"/>
            <w:vAlign w:val="bottom"/>
          </w:tcPr>
          <w:p w14:paraId="0AAE2403"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55A84AAD"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3445A28B"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6E798436"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6D20407"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01F1567D"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228FBA0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EDF5B81"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9C65BF9" w14:textId="77777777" w:rsidR="00E6640A" w:rsidRPr="00C27900" w:rsidRDefault="00E6640A" w:rsidP="00C27900">
            <w:pPr>
              <w:tabs>
                <w:tab w:val="decimal" w:pos="113"/>
              </w:tabs>
              <w:spacing w:line="200" w:lineRule="exact"/>
              <w:rPr>
                <w:sz w:val="18"/>
                <w:szCs w:val="20"/>
                <w:rtl/>
              </w:rPr>
            </w:pPr>
          </w:p>
        </w:tc>
      </w:tr>
      <w:tr w:rsidR="00E6640A" w:rsidRPr="00C27900" w14:paraId="4A9AED02" w14:textId="77777777" w:rsidTr="00280C26">
        <w:tc>
          <w:tcPr>
            <w:tcW w:w="623" w:type="dxa"/>
            <w:shd w:val="clear" w:color="auto" w:fill="auto"/>
            <w:vAlign w:val="bottom"/>
          </w:tcPr>
          <w:p w14:paraId="4276DEE7" w14:textId="77777777" w:rsidR="00E6640A" w:rsidRPr="00C27900" w:rsidRDefault="00E6640A" w:rsidP="00C27900">
            <w:pPr>
              <w:pStyle w:val="a3"/>
              <w:tabs>
                <w:tab w:val="left" w:pos="227"/>
                <w:tab w:val="left" w:pos="397"/>
                <w:tab w:val="left" w:pos="567"/>
              </w:tabs>
              <w:spacing w:line="200" w:lineRule="exact"/>
              <w:jc w:val="both"/>
              <w:rPr>
                <w:sz w:val="18"/>
                <w:szCs w:val="20"/>
                <w:rtl/>
              </w:rPr>
            </w:pPr>
          </w:p>
        </w:tc>
        <w:tc>
          <w:tcPr>
            <w:tcW w:w="3692" w:type="dxa"/>
            <w:gridSpan w:val="2"/>
            <w:shd w:val="clear" w:color="auto" w:fill="auto"/>
            <w:vAlign w:val="bottom"/>
          </w:tcPr>
          <w:p w14:paraId="65520BEC" w14:textId="77777777" w:rsidR="00E6640A" w:rsidRPr="00C27900" w:rsidRDefault="00E6640A" w:rsidP="00C27900">
            <w:pPr>
              <w:pStyle w:val="a3"/>
              <w:tabs>
                <w:tab w:val="left" w:pos="227"/>
                <w:tab w:val="left" w:pos="397"/>
                <w:tab w:val="left" w:pos="567"/>
              </w:tabs>
              <w:spacing w:line="200" w:lineRule="exact"/>
              <w:ind w:left="227" w:hanging="170"/>
              <w:rPr>
                <w:sz w:val="18"/>
                <w:szCs w:val="20"/>
                <w:rtl/>
              </w:rPr>
            </w:pPr>
            <w:r w:rsidRPr="00C27900">
              <w:rPr>
                <w:rFonts w:hint="cs"/>
                <w:sz w:val="18"/>
                <w:szCs w:val="20"/>
                <w:rtl/>
              </w:rPr>
              <w:t>מסים נדחים</w:t>
            </w:r>
          </w:p>
        </w:tc>
        <w:tc>
          <w:tcPr>
            <w:tcW w:w="113" w:type="dxa"/>
            <w:shd w:val="clear" w:color="auto" w:fill="auto"/>
            <w:vAlign w:val="bottom"/>
          </w:tcPr>
          <w:p w14:paraId="17A04BEE" w14:textId="77777777" w:rsidR="00E6640A" w:rsidRPr="00C27900" w:rsidRDefault="00E6640A" w:rsidP="00C27900">
            <w:pPr>
              <w:spacing w:line="200" w:lineRule="exact"/>
              <w:rPr>
                <w:sz w:val="18"/>
                <w:szCs w:val="20"/>
              </w:rPr>
            </w:pPr>
          </w:p>
        </w:tc>
        <w:tc>
          <w:tcPr>
            <w:tcW w:w="907" w:type="dxa"/>
            <w:vAlign w:val="bottom"/>
          </w:tcPr>
          <w:p w14:paraId="7B8DB237"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05FAD022"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20F6E6A"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50B859E"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611BF37"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1E17008"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093AE96"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C9D7581"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2FB19481" w14:textId="77777777" w:rsidR="00E6640A" w:rsidRPr="00C27900" w:rsidRDefault="00E6640A" w:rsidP="00C27900">
            <w:pPr>
              <w:tabs>
                <w:tab w:val="decimal" w:pos="113"/>
              </w:tabs>
              <w:spacing w:line="200" w:lineRule="exact"/>
              <w:rPr>
                <w:sz w:val="18"/>
                <w:szCs w:val="20"/>
                <w:rtl/>
              </w:rPr>
            </w:pPr>
          </w:p>
        </w:tc>
      </w:tr>
      <w:tr w:rsidR="005B6A6B" w:rsidRPr="00C27900" w14:paraId="1EF154B0" w14:textId="77777777" w:rsidTr="00280C26">
        <w:tc>
          <w:tcPr>
            <w:tcW w:w="623" w:type="dxa"/>
            <w:shd w:val="clear" w:color="auto" w:fill="auto"/>
            <w:vAlign w:val="bottom"/>
          </w:tcPr>
          <w:p w14:paraId="47F88F2C" w14:textId="77777777" w:rsidR="005B6A6B" w:rsidRPr="00C27900" w:rsidRDefault="005B6A6B" w:rsidP="00C27900">
            <w:pPr>
              <w:pStyle w:val="a3"/>
              <w:tabs>
                <w:tab w:val="left" w:pos="227"/>
                <w:tab w:val="left" w:pos="397"/>
                <w:tab w:val="left" w:pos="567"/>
              </w:tabs>
              <w:spacing w:line="200" w:lineRule="exact"/>
              <w:jc w:val="both"/>
              <w:rPr>
                <w:sz w:val="18"/>
                <w:szCs w:val="20"/>
                <w:rtl/>
              </w:rPr>
            </w:pPr>
          </w:p>
        </w:tc>
        <w:tc>
          <w:tcPr>
            <w:tcW w:w="3692" w:type="dxa"/>
            <w:gridSpan w:val="2"/>
            <w:shd w:val="clear" w:color="auto" w:fill="auto"/>
            <w:vAlign w:val="bottom"/>
          </w:tcPr>
          <w:p w14:paraId="25996CEB" w14:textId="6782D079" w:rsidR="005B6A6B" w:rsidRPr="00C27900" w:rsidRDefault="005B6A6B" w:rsidP="00C27900">
            <w:pPr>
              <w:pStyle w:val="a3"/>
              <w:tabs>
                <w:tab w:val="left" w:pos="227"/>
                <w:tab w:val="left" w:pos="397"/>
                <w:tab w:val="left" w:pos="567"/>
              </w:tabs>
              <w:spacing w:line="200" w:lineRule="exact"/>
              <w:ind w:left="227" w:hanging="170"/>
              <w:rPr>
                <w:sz w:val="18"/>
                <w:szCs w:val="20"/>
                <w:rtl/>
              </w:rPr>
            </w:pPr>
            <w:r>
              <w:rPr>
                <w:rFonts w:hint="cs"/>
                <w:sz w:val="18"/>
                <w:szCs w:val="20"/>
                <w:rtl/>
              </w:rPr>
              <w:t>התחייבויות בגין חכירה</w:t>
            </w:r>
          </w:p>
        </w:tc>
        <w:tc>
          <w:tcPr>
            <w:tcW w:w="113" w:type="dxa"/>
            <w:shd w:val="clear" w:color="auto" w:fill="auto"/>
            <w:vAlign w:val="bottom"/>
          </w:tcPr>
          <w:p w14:paraId="09F4365C" w14:textId="77777777" w:rsidR="005B6A6B" w:rsidRPr="00C27900" w:rsidRDefault="005B6A6B" w:rsidP="00C27900">
            <w:pPr>
              <w:spacing w:line="200" w:lineRule="exact"/>
              <w:rPr>
                <w:sz w:val="18"/>
                <w:szCs w:val="20"/>
              </w:rPr>
            </w:pPr>
          </w:p>
        </w:tc>
        <w:tc>
          <w:tcPr>
            <w:tcW w:w="907" w:type="dxa"/>
            <w:vAlign w:val="bottom"/>
          </w:tcPr>
          <w:p w14:paraId="78D629BB" w14:textId="77777777" w:rsidR="005B6A6B" w:rsidRPr="00C27900" w:rsidRDefault="005B6A6B" w:rsidP="00C27900">
            <w:pPr>
              <w:tabs>
                <w:tab w:val="decimal" w:pos="113"/>
              </w:tabs>
              <w:spacing w:line="200" w:lineRule="exact"/>
              <w:rPr>
                <w:sz w:val="18"/>
                <w:szCs w:val="20"/>
                <w:rtl/>
              </w:rPr>
            </w:pPr>
          </w:p>
        </w:tc>
        <w:tc>
          <w:tcPr>
            <w:tcW w:w="113" w:type="dxa"/>
            <w:vAlign w:val="bottom"/>
          </w:tcPr>
          <w:p w14:paraId="4B0BE19F" w14:textId="77777777" w:rsidR="005B6A6B" w:rsidRPr="00C27900" w:rsidRDefault="005B6A6B" w:rsidP="00C27900">
            <w:pPr>
              <w:tabs>
                <w:tab w:val="decimal" w:pos="113"/>
              </w:tabs>
              <w:spacing w:line="200" w:lineRule="exact"/>
              <w:rPr>
                <w:sz w:val="18"/>
                <w:szCs w:val="20"/>
              </w:rPr>
            </w:pPr>
          </w:p>
        </w:tc>
        <w:tc>
          <w:tcPr>
            <w:tcW w:w="907" w:type="dxa"/>
            <w:gridSpan w:val="2"/>
            <w:shd w:val="clear" w:color="auto" w:fill="auto"/>
            <w:vAlign w:val="bottom"/>
          </w:tcPr>
          <w:p w14:paraId="21DB5FD0" w14:textId="77777777" w:rsidR="005B6A6B" w:rsidRPr="00C27900" w:rsidRDefault="005B6A6B" w:rsidP="00C27900">
            <w:pPr>
              <w:tabs>
                <w:tab w:val="decimal" w:pos="113"/>
              </w:tabs>
              <w:spacing w:line="200" w:lineRule="exact"/>
              <w:rPr>
                <w:sz w:val="18"/>
                <w:szCs w:val="20"/>
              </w:rPr>
            </w:pPr>
          </w:p>
        </w:tc>
        <w:tc>
          <w:tcPr>
            <w:tcW w:w="113" w:type="dxa"/>
            <w:shd w:val="clear" w:color="auto" w:fill="auto"/>
            <w:vAlign w:val="bottom"/>
          </w:tcPr>
          <w:p w14:paraId="77F77A3D" w14:textId="77777777" w:rsidR="005B6A6B" w:rsidRPr="00C27900" w:rsidRDefault="005B6A6B" w:rsidP="00C27900">
            <w:pPr>
              <w:tabs>
                <w:tab w:val="decimal" w:pos="113"/>
              </w:tabs>
              <w:spacing w:line="200" w:lineRule="exact"/>
              <w:rPr>
                <w:sz w:val="18"/>
                <w:szCs w:val="20"/>
              </w:rPr>
            </w:pPr>
          </w:p>
        </w:tc>
        <w:tc>
          <w:tcPr>
            <w:tcW w:w="907" w:type="dxa"/>
            <w:shd w:val="clear" w:color="auto" w:fill="auto"/>
            <w:vAlign w:val="bottom"/>
          </w:tcPr>
          <w:p w14:paraId="6C196188" w14:textId="77777777" w:rsidR="005B6A6B" w:rsidRPr="00C27900" w:rsidRDefault="005B6A6B" w:rsidP="00C27900">
            <w:pPr>
              <w:tabs>
                <w:tab w:val="decimal" w:pos="113"/>
              </w:tabs>
              <w:spacing w:line="200" w:lineRule="exact"/>
              <w:rPr>
                <w:sz w:val="18"/>
                <w:szCs w:val="20"/>
                <w:rtl/>
              </w:rPr>
            </w:pPr>
          </w:p>
        </w:tc>
        <w:tc>
          <w:tcPr>
            <w:tcW w:w="113" w:type="dxa"/>
            <w:shd w:val="clear" w:color="auto" w:fill="auto"/>
            <w:vAlign w:val="bottom"/>
          </w:tcPr>
          <w:p w14:paraId="24BF837D" w14:textId="77777777" w:rsidR="005B6A6B" w:rsidRPr="00C27900" w:rsidRDefault="005B6A6B" w:rsidP="00C27900">
            <w:pPr>
              <w:tabs>
                <w:tab w:val="decimal" w:pos="113"/>
              </w:tabs>
              <w:spacing w:line="200" w:lineRule="exact"/>
              <w:rPr>
                <w:sz w:val="18"/>
                <w:szCs w:val="20"/>
              </w:rPr>
            </w:pPr>
          </w:p>
        </w:tc>
        <w:tc>
          <w:tcPr>
            <w:tcW w:w="907" w:type="dxa"/>
            <w:shd w:val="clear" w:color="auto" w:fill="auto"/>
            <w:vAlign w:val="bottom"/>
          </w:tcPr>
          <w:p w14:paraId="6224073C" w14:textId="77777777" w:rsidR="005B6A6B" w:rsidRPr="00C27900" w:rsidRDefault="005B6A6B" w:rsidP="00C27900">
            <w:pPr>
              <w:tabs>
                <w:tab w:val="decimal" w:pos="113"/>
              </w:tabs>
              <w:spacing w:line="200" w:lineRule="exact"/>
              <w:rPr>
                <w:sz w:val="18"/>
                <w:szCs w:val="20"/>
              </w:rPr>
            </w:pPr>
          </w:p>
        </w:tc>
        <w:tc>
          <w:tcPr>
            <w:tcW w:w="113" w:type="dxa"/>
            <w:shd w:val="clear" w:color="auto" w:fill="auto"/>
            <w:vAlign w:val="bottom"/>
          </w:tcPr>
          <w:p w14:paraId="1B3664D0" w14:textId="77777777" w:rsidR="005B6A6B" w:rsidRPr="00C27900" w:rsidRDefault="005B6A6B" w:rsidP="00C27900">
            <w:pPr>
              <w:tabs>
                <w:tab w:val="decimal" w:pos="113"/>
              </w:tabs>
              <w:spacing w:line="200" w:lineRule="exact"/>
              <w:rPr>
                <w:sz w:val="18"/>
                <w:szCs w:val="20"/>
              </w:rPr>
            </w:pPr>
          </w:p>
        </w:tc>
        <w:tc>
          <w:tcPr>
            <w:tcW w:w="1192" w:type="dxa"/>
            <w:shd w:val="clear" w:color="auto" w:fill="auto"/>
            <w:vAlign w:val="bottom"/>
          </w:tcPr>
          <w:p w14:paraId="10C63524" w14:textId="77777777" w:rsidR="005B6A6B" w:rsidRPr="00C27900" w:rsidRDefault="005B6A6B" w:rsidP="00C27900">
            <w:pPr>
              <w:tabs>
                <w:tab w:val="decimal" w:pos="113"/>
              </w:tabs>
              <w:spacing w:line="200" w:lineRule="exact"/>
              <w:rPr>
                <w:sz w:val="18"/>
                <w:szCs w:val="20"/>
                <w:rtl/>
              </w:rPr>
            </w:pPr>
          </w:p>
        </w:tc>
      </w:tr>
      <w:tr w:rsidR="00E6640A" w:rsidRPr="00C27900" w14:paraId="34067FA9" w14:textId="77777777" w:rsidTr="00280C26">
        <w:tc>
          <w:tcPr>
            <w:tcW w:w="623" w:type="dxa"/>
            <w:shd w:val="clear" w:color="auto" w:fill="auto"/>
            <w:vAlign w:val="bottom"/>
          </w:tcPr>
          <w:p w14:paraId="34833EE4"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2A109083" w14:textId="54D047A0"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התחייבויות לא שוטפות</w:t>
            </w:r>
            <w:r w:rsidR="005B6A6B">
              <w:rPr>
                <w:rFonts w:hint="cs"/>
                <w:sz w:val="18"/>
                <w:szCs w:val="20"/>
                <w:rtl/>
              </w:rPr>
              <w:t xml:space="preserve"> אחרות</w:t>
            </w:r>
          </w:p>
        </w:tc>
        <w:tc>
          <w:tcPr>
            <w:tcW w:w="113" w:type="dxa"/>
            <w:shd w:val="clear" w:color="auto" w:fill="auto"/>
            <w:vAlign w:val="bottom"/>
          </w:tcPr>
          <w:p w14:paraId="5884C9B4" w14:textId="77777777" w:rsidR="00E6640A" w:rsidRPr="00C27900" w:rsidRDefault="00E6640A" w:rsidP="00C27900">
            <w:pPr>
              <w:spacing w:line="200" w:lineRule="exact"/>
              <w:rPr>
                <w:sz w:val="18"/>
                <w:szCs w:val="20"/>
              </w:rPr>
            </w:pPr>
          </w:p>
        </w:tc>
        <w:tc>
          <w:tcPr>
            <w:tcW w:w="907" w:type="dxa"/>
            <w:vAlign w:val="bottom"/>
          </w:tcPr>
          <w:p w14:paraId="793AEF9B"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6506F8C1"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781F03C"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EEA0BC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3D1E2C6"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05F5A2D8"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B74F4F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0E56512"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B631AC3" w14:textId="77777777" w:rsidR="00E6640A" w:rsidRPr="00C27900" w:rsidRDefault="00E6640A" w:rsidP="00C27900">
            <w:pPr>
              <w:tabs>
                <w:tab w:val="decimal" w:pos="113"/>
              </w:tabs>
              <w:spacing w:line="200" w:lineRule="exact"/>
              <w:rPr>
                <w:sz w:val="18"/>
                <w:szCs w:val="20"/>
                <w:rtl/>
              </w:rPr>
            </w:pPr>
          </w:p>
        </w:tc>
      </w:tr>
      <w:tr w:rsidR="00E6640A" w:rsidRPr="00C27900" w14:paraId="2679A72C" w14:textId="77777777" w:rsidTr="00280C26">
        <w:tc>
          <w:tcPr>
            <w:tcW w:w="623" w:type="dxa"/>
            <w:shd w:val="clear" w:color="auto" w:fill="auto"/>
            <w:vAlign w:val="bottom"/>
          </w:tcPr>
          <w:p w14:paraId="785C418B"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064B78D2"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זכויות שאינן מקנות שליטה</w:t>
            </w:r>
          </w:p>
        </w:tc>
        <w:tc>
          <w:tcPr>
            <w:tcW w:w="113" w:type="dxa"/>
            <w:shd w:val="clear" w:color="auto" w:fill="auto"/>
            <w:vAlign w:val="bottom"/>
          </w:tcPr>
          <w:p w14:paraId="1866C591" w14:textId="77777777" w:rsidR="00E6640A" w:rsidRPr="00C27900" w:rsidRDefault="00E6640A" w:rsidP="00C27900">
            <w:pPr>
              <w:spacing w:line="200" w:lineRule="exact"/>
              <w:rPr>
                <w:sz w:val="18"/>
                <w:szCs w:val="20"/>
              </w:rPr>
            </w:pPr>
          </w:p>
        </w:tc>
        <w:tc>
          <w:tcPr>
            <w:tcW w:w="907" w:type="dxa"/>
            <w:vAlign w:val="bottom"/>
          </w:tcPr>
          <w:p w14:paraId="39B604C6"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6E1E325"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72D3B34B"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E922E9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911674A"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7BB449F6"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E86588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2FF1E1E"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0332E07" w14:textId="77777777" w:rsidR="00E6640A" w:rsidRPr="00C27900" w:rsidRDefault="00E6640A" w:rsidP="00C27900">
            <w:pPr>
              <w:tabs>
                <w:tab w:val="decimal" w:pos="113"/>
              </w:tabs>
              <w:spacing w:line="200" w:lineRule="exact"/>
              <w:rPr>
                <w:sz w:val="18"/>
                <w:szCs w:val="20"/>
                <w:rtl/>
              </w:rPr>
            </w:pPr>
          </w:p>
        </w:tc>
      </w:tr>
      <w:tr w:rsidR="00E6640A" w:rsidRPr="00C27900" w14:paraId="0C8B87E5" w14:textId="77777777" w:rsidTr="00280C26">
        <w:tc>
          <w:tcPr>
            <w:tcW w:w="623" w:type="dxa"/>
            <w:shd w:val="clear" w:color="auto" w:fill="auto"/>
            <w:vAlign w:val="bottom"/>
          </w:tcPr>
          <w:p w14:paraId="240F1AA7"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727E4012"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 xml:space="preserve">רווח (הפסד) בגין מכירת חברות מאוחדות </w:t>
            </w:r>
          </w:p>
        </w:tc>
        <w:tc>
          <w:tcPr>
            <w:tcW w:w="113" w:type="dxa"/>
            <w:shd w:val="clear" w:color="auto" w:fill="auto"/>
            <w:vAlign w:val="bottom"/>
          </w:tcPr>
          <w:p w14:paraId="706CF6B6" w14:textId="77777777" w:rsidR="00E6640A" w:rsidRPr="00C27900" w:rsidRDefault="00E6640A" w:rsidP="00C27900">
            <w:pPr>
              <w:spacing w:line="200" w:lineRule="exact"/>
              <w:rPr>
                <w:sz w:val="18"/>
                <w:szCs w:val="20"/>
              </w:rPr>
            </w:pPr>
          </w:p>
        </w:tc>
        <w:tc>
          <w:tcPr>
            <w:tcW w:w="907" w:type="dxa"/>
            <w:vAlign w:val="bottom"/>
          </w:tcPr>
          <w:p w14:paraId="1F418DD8"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30EB5656"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4F5BE3EE"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343EE4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0186126"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253BC5B"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16DC8D2"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BBE115A"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5ACAD92" w14:textId="77777777" w:rsidR="00E6640A" w:rsidRPr="00C27900" w:rsidRDefault="00E6640A" w:rsidP="00C27900">
            <w:pPr>
              <w:tabs>
                <w:tab w:val="decimal" w:pos="113"/>
              </w:tabs>
              <w:spacing w:line="200" w:lineRule="exact"/>
              <w:rPr>
                <w:sz w:val="18"/>
                <w:szCs w:val="20"/>
                <w:rtl/>
              </w:rPr>
            </w:pPr>
          </w:p>
        </w:tc>
      </w:tr>
      <w:tr w:rsidR="00E6640A" w:rsidRPr="00C27900" w14:paraId="61F1F3F3" w14:textId="77777777" w:rsidTr="00280C26">
        <w:tc>
          <w:tcPr>
            <w:tcW w:w="623" w:type="dxa"/>
            <w:shd w:val="clear" w:color="auto" w:fill="auto"/>
            <w:vAlign w:val="bottom"/>
          </w:tcPr>
          <w:p w14:paraId="5FE9051A"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09759708"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חייבים בגין מימוש השקעות בחברות מאוחדות</w:t>
            </w:r>
          </w:p>
        </w:tc>
        <w:tc>
          <w:tcPr>
            <w:tcW w:w="113" w:type="dxa"/>
            <w:shd w:val="clear" w:color="auto" w:fill="auto"/>
            <w:vAlign w:val="bottom"/>
          </w:tcPr>
          <w:p w14:paraId="7F2FC68C" w14:textId="77777777" w:rsidR="00E6640A" w:rsidRPr="00C27900" w:rsidRDefault="00E6640A" w:rsidP="00C27900">
            <w:pPr>
              <w:spacing w:line="200" w:lineRule="exact"/>
              <w:rPr>
                <w:sz w:val="18"/>
                <w:szCs w:val="20"/>
              </w:rPr>
            </w:pPr>
          </w:p>
        </w:tc>
        <w:tc>
          <w:tcPr>
            <w:tcW w:w="907" w:type="dxa"/>
            <w:vAlign w:val="bottom"/>
          </w:tcPr>
          <w:p w14:paraId="66E0F559"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5F314759"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08B106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200140E"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80E4D7C"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7BF386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DE2D32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1CA766D"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3F2DFA8E" w14:textId="77777777" w:rsidR="00E6640A" w:rsidRPr="00C27900" w:rsidRDefault="00E6640A" w:rsidP="00C27900">
            <w:pPr>
              <w:tabs>
                <w:tab w:val="decimal" w:pos="113"/>
              </w:tabs>
              <w:spacing w:line="200" w:lineRule="exact"/>
              <w:rPr>
                <w:sz w:val="18"/>
                <w:szCs w:val="20"/>
                <w:rtl/>
              </w:rPr>
            </w:pPr>
          </w:p>
        </w:tc>
      </w:tr>
      <w:tr w:rsidR="00E6640A" w:rsidRPr="00C27900" w14:paraId="3926DAAE" w14:textId="77777777" w:rsidTr="00280C26">
        <w:tc>
          <w:tcPr>
            <w:tcW w:w="623" w:type="dxa"/>
            <w:shd w:val="clear" w:color="auto" w:fill="auto"/>
            <w:vAlign w:val="bottom"/>
          </w:tcPr>
          <w:p w14:paraId="1A288D5E"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20C40BB1"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השקעה בחברה המטופלת לפי שיטת השווי המאזני</w:t>
            </w:r>
          </w:p>
        </w:tc>
        <w:tc>
          <w:tcPr>
            <w:tcW w:w="113" w:type="dxa"/>
            <w:shd w:val="clear" w:color="auto" w:fill="auto"/>
            <w:vAlign w:val="bottom"/>
          </w:tcPr>
          <w:p w14:paraId="1C015627" w14:textId="77777777" w:rsidR="00E6640A" w:rsidRPr="00C27900" w:rsidRDefault="00E6640A" w:rsidP="00C27900">
            <w:pPr>
              <w:spacing w:line="200" w:lineRule="exact"/>
              <w:rPr>
                <w:sz w:val="18"/>
                <w:szCs w:val="20"/>
              </w:rPr>
            </w:pPr>
          </w:p>
        </w:tc>
        <w:tc>
          <w:tcPr>
            <w:tcW w:w="907" w:type="dxa"/>
            <w:tcBorders>
              <w:bottom w:val="single" w:sz="6" w:space="0" w:color="auto"/>
            </w:tcBorders>
            <w:shd w:val="clear" w:color="auto" w:fill="auto"/>
            <w:vAlign w:val="bottom"/>
          </w:tcPr>
          <w:p w14:paraId="7A52C944"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55003142" w14:textId="77777777" w:rsidR="00E6640A" w:rsidRPr="00C27900" w:rsidRDefault="00E6640A" w:rsidP="00C27900">
            <w:pPr>
              <w:tabs>
                <w:tab w:val="decimal" w:pos="113"/>
              </w:tabs>
              <w:spacing w:line="200" w:lineRule="exact"/>
              <w:rPr>
                <w:sz w:val="18"/>
                <w:szCs w:val="20"/>
              </w:rPr>
            </w:pPr>
          </w:p>
        </w:tc>
        <w:tc>
          <w:tcPr>
            <w:tcW w:w="907" w:type="dxa"/>
            <w:gridSpan w:val="2"/>
            <w:tcBorders>
              <w:bottom w:val="single" w:sz="6" w:space="0" w:color="auto"/>
            </w:tcBorders>
            <w:shd w:val="clear" w:color="auto" w:fill="auto"/>
            <w:vAlign w:val="bottom"/>
          </w:tcPr>
          <w:p w14:paraId="036E9F0D"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45D862AE" w14:textId="77777777" w:rsidR="00E6640A" w:rsidRPr="00C27900" w:rsidRDefault="00E6640A" w:rsidP="00C27900">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194E8674"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7488D06D" w14:textId="77777777" w:rsidR="00E6640A" w:rsidRPr="00C27900" w:rsidRDefault="00E6640A" w:rsidP="00C27900">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3FB0DFF5"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F8C854E" w14:textId="77777777" w:rsidR="00E6640A" w:rsidRPr="00C27900" w:rsidRDefault="00E6640A" w:rsidP="00C27900">
            <w:pPr>
              <w:tabs>
                <w:tab w:val="decimal" w:pos="113"/>
              </w:tabs>
              <w:spacing w:line="200" w:lineRule="exact"/>
              <w:rPr>
                <w:sz w:val="18"/>
                <w:szCs w:val="20"/>
              </w:rPr>
            </w:pPr>
          </w:p>
        </w:tc>
        <w:tc>
          <w:tcPr>
            <w:tcW w:w="1192" w:type="dxa"/>
            <w:tcBorders>
              <w:bottom w:val="single" w:sz="6" w:space="0" w:color="auto"/>
            </w:tcBorders>
            <w:shd w:val="clear" w:color="auto" w:fill="auto"/>
            <w:vAlign w:val="bottom"/>
          </w:tcPr>
          <w:p w14:paraId="4CE2F03B" w14:textId="77777777" w:rsidR="00E6640A" w:rsidRPr="00C27900" w:rsidRDefault="00E6640A" w:rsidP="00C27900">
            <w:pPr>
              <w:tabs>
                <w:tab w:val="decimal" w:pos="113"/>
              </w:tabs>
              <w:spacing w:line="200" w:lineRule="exact"/>
              <w:rPr>
                <w:sz w:val="18"/>
                <w:szCs w:val="20"/>
                <w:rtl/>
              </w:rPr>
            </w:pPr>
          </w:p>
        </w:tc>
      </w:tr>
      <w:tr w:rsidR="00E6640A" w:rsidRPr="00C27900" w14:paraId="54BDA0B5" w14:textId="77777777" w:rsidTr="00280C26">
        <w:tc>
          <w:tcPr>
            <w:tcW w:w="623" w:type="dxa"/>
            <w:shd w:val="clear" w:color="auto" w:fill="auto"/>
            <w:vAlign w:val="bottom"/>
          </w:tcPr>
          <w:p w14:paraId="22A0177C"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72B1B474"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2664C020" w14:textId="77777777" w:rsidR="00E6640A" w:rsidRPr="00C27900" w:rsidRDefault="00E6640A" w:rsidP="00C27900">
            <w:pPr>
              <w:spacing w:line="200" w:lineRule="exact"/>
              <w:rPr>
                <w:sz w:val="18"/>
                <w:szCs w:val="20"/>
              </w:rPr>
            </w:pPr>
          </w:p>
        </w:tc>
        <w:tc>
          <w:tcPr>
            <w:tcW w:w="907" w:type="dxa"/>
            <w:tcBorders>
              <w:top w:val="single" w:sz="6" w:space="0" w:color="auto"/>
            </w:tcBorders>
            <w:vAlign w:val="bottom"/>
          </w:tcPr>
          <w:p w14:paraId="022B5A61"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5436EB0B" w14:textId="77777777" w:rsidR="00E6640A" w:rsidRPr="00C27900" w:rsidRDefault="00E6640A" w:rsidP="00C27900">
            <w:pPr>
              <w:tabs>
                <w:tab w:val="decimal" w:pos="113"/>
              </w:tabs>
              <w:spacing w:line="200" w:lineRule="exact"/>
              <w:rPr>
                <w:sz w:val="18"/>
                <w:szCs w:val="20"/>
              </w:rPr>
            </w:pPr>
          </w:p>
        </w:tc>
        <w:tc>
          <w:tcPr>
            <w:tcW w:w="907" w:type="dxa"/>
            <w:gridSpan w:val="2"/>
            <w:tcBorders>
              <w:top w:val="single" w:sz="6" w:space="0" w:color="auto"/>
            </w:tcBorders>
            <w:shd w:val="clear" w:color="auto" w:fill="auto"/>
            <w:vAlign w:val="bottom"/>
          </w:tcPr>
          <w:p w14:paraId="59E3DA7E"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541E7EC" w14:textId="77777777" w:rsidR="00E6640A" w:rsidRPr="00C27900" w:rsidRDefault="00E6640A" w:rsidP="00C27900">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1C6AFB8A"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4F409674" w14:textId="77777777" w:rsidR="00E6640A" w:rsidRPr="00C27900" w:rsidRDefault="00E6640A" w:rsidP="00C27900">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7BD8B84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442186D4" w14:textId="77777777" w:rsidR="00E6640A" w:rsidRPr="00C27900" w:rsidRDefault="00E6640A" w:rsidP="00C27900">
            <w:pPr>
              <w:tabs>
                <w:tab w:val="decimal" w:pos="113"/>
              </w:tabs>
              <w:spacing w:line="200" w:lineRule="exact"/>
              <w:rPr>
                <w:sz w:val="18"/>
                <w:szCs w:val="20"/>
              </w:rPr>
            </w:pPr>
          </w:p>
        </w:tc>
        <w:tc>
          <w:tcPr>
            <w:tcW w:w="1192" w:type="dxa"/>
            <w:tcBorders>
              <w:top w:val="single" w:sz="6" w:space="0" w:color="auto"/>
            </w:tcBorders>
            <w:shd w:val="clear" w:color="auto" w:fill="auto"/>
            <w:vAlign w:val="bottom"/>
          </w:tcPr>
          <w:p w14:paraId="553E5E89" w14:textId="77777777" w:rsidR="00E6640A" w:rsidRPr="00C27900" w:rsidRDefault="00E6640A" w:rsidP="00C27900">
            <w:pPr>
              <w:tabs>
                <w:tab w:val="decimal" w:pos="113"/>
              </w:tabs>
              <w:spacing w:line="200" w:lineRule="exact"/>
              <w:rPr>
                <w:sz w:val="18"/>
                <w:szCs w:val="20"/>
                <w:rtl/>
              </w:rPr>
            </w:pPr>
          </w:p>
        </w:tc>
      </w:tr>
      <w:tr w:rsidR="00E6640A" w:rsidRPr="00C27900" w14:paraId="71FE4F6A" w14:textId="77777777" w:rsidTr="00280C26">
        <w:tc>
          <w:tcPr>
            <w:tcW w:w="623" w:type="dxa"/>
            <w:shd w:val="clear" w:color="auto" w:fill="auto"/>
            <w:vAlign w:val="bottom"/>
          </w:tcPr>
          <w:p w14:paraId="09CB3206"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34AC3BB"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7643B592" w14:textId="77777777" w:rsidR="00E6640A" w:rsidRPr="00C27900" w:rsidRDefault="00E6640A" w:rsidP="00C27900">
            <w:pPr>
              <w:spacing w:line="200" w:lineRule="exact"/>
              <w:rPr>
                <w:sz w:val="18"/>
                <w:szCs w:val="20"/>
              </w:rPr>
            </w:pPr>
          </w:p>
        </w:tc>
        <w:tc>
          <w:tcPr>
            <w:tcW w:w="907" w:type="dxa"/>
            <w:tcBorders>
              <w:bottom w:val="double" w:sz="6" w:space="0" w:color="auto"/>
            </w:tcBorders>
            <w:shd w:val="clear" w:color="auto" w:fill="auto"/>
            <w:vAlign w:val="bottom"/>
          </w:tcPr>
          <w:p w14:paraId="1E999DAC"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06429E3D" w14:textId="77777777" w:rsidR="00E6640A" w:rsidRPr="00C27900" w:rsidRDefault="00E6640A" w:rsidP="00C27900">
            <w:pPr>
              <w:tabs>
                <w:tab w:val="decimal" w:pos="113"/>
              </w:tabs>
              <w:spacing w:line="200" w:lineRule="exact"/>
              <w:rPr>
                <w:sz w:val="18"/>
                <w:szCs w:val="20"/>
              </w:rPr>
            </w:pPr>
          </w:p>
        </w:tc>
        <w:tc>
          <w:tcPr>
            <w:tcW w:w="907" w:type="dxa"/>
            <w:gridSpan w:val="2"/>
            <w:tcBorders>
              <w:bottom w:val="double" w:sz="6" w:space="0" w:color="auto"/>
            </w:tcBorders>
            <w:shd w:val="clear" w:color="auto" w:fill="auto"/>
            <w:vAlign w:val="bottom"/>
          </w:tcPr>
          <w:p w14:paraId="44BD39F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A658E3A" w14:textId="77777777" w:rsidR="00E6640A" w:rsidRPr="00C27900" w:rsidRDefault="00E6640A" w:rsidP="00C27900">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14:paraId="150E0437"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5C46DD9" w14:textId="77777777" w:rsidR="00E6640A" w:rsidRPr="00C27900" w:rsidRDefault="00E6640A" w:rsidP="00C27900">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14:paraId="6BB6FCB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6608EA7D" w14:textId="77777777" w:rsidR="00E6640A" w:rsidRPr="00C27900" w:rsidRDefault="00E6640A" w:rsidP="00C27900">
            <w:pPr>
              <w:tabs>
                <w:tab w:val="decimal" w:pos="113"/>
              </w:tabs>
              <w:spacing w:line="200" w:lineRule="exact"/>
              <w:rPr>
                <w:sz w:val="18"/>
                <w:szCs w:val="20"/>
              </w:rPr>
            </w:pPr>
          </w:p>
        </w:tc>
        <w:tc>
          <w:tcPr>
            <w:tcW w:w="1192" w:type="dxa"/>
            <w:tcBorders>
              <w:bottom w:val="double" w:sz="6" w:space="0" w:color="auto"/>
            </w:tcBorders>
            <w:shd w:val="clear" w:color="auto" w:fill="auto"/>
            <w:vAlign w:val="bottom"/>
          </w:tcPr>
          <w:p w14:paraId="7F18B5AB" w14:textId="77777777" w:rsidR="00E6640A" w:rsidRPr="00C27900" w:rsidRDefault="00E6640A" w:rsidP="00C27900">
            <w:pPr>
              <w:tabs>
                <w:tab w:val="decimal" w:pos="113"/>
              </w:tabs>
              <w:spacing w:line="200" w:lineRule="exact"/>
              <w:rPr>
                <w:sz w:val="18"/>
                <w:szCs w:val="20"/>
                <w:rtl/>
              </w:rPr>
            </w:pPr>
          </w:p>
        </w:tc>
      </w:tr>
      <w:tr w:rsidR="00E6640A" w:rsidRPr="00C27900" w14:paraId="492D9A69" w14:textId="77777777" w:rsidTr="00280C26">
        <w:tc>
          <w:tcPr>
            <w:tcW w:w="623" w:type="dxa"/>
            <w:shd w:val="clear" w:color="auto" w:fill="auto"/>
          </w:tcPr>
          <w:p w14:paraId="52C1D080" w14:textId="77777777" w:rsidR="00E6640A" w:rsidRPr="00C27900" w:rsidRDefault="00E6640A" w:rsidP="00C27900">
            <w:pPr>
              <w:pStyle w:val="a3"/>
              <w:tabs>
                <w:tab w:val="left" w:pos="227"/>
                <w:tab w:val="left" w:pos="397"/>
                <w:tab w:val="left" w:pos="567"/>
              </w:tabs>
              <w:spacing w:line="200" w:lineRule="exact"/>
              <w:ind w:left="227" w:hanging="170"/>
              <w:rPr>
                <w:sz w:val="18"/>
                <w:szCs w:val="20"/>
                <w:rtl/>
              </w:rPr>
            </w:pPr>
            <w:r w:rsidRPr="00C27900">
              <w:rPr>
                <w:rFonts w:hint="cs"/>
                <w:sz w:val="18"/>
                <w:szCs w:val="20"/>
                <w:rtl/>
              </w:rPr>
              <w:t>(ב)</w:t>
            </w:r>
          </w:p>
        </w:tc>
        <w:tc>
          <w:tcPr>
            <w:tcW w:w="3692" w:type="dxa"/>
            <w:gridSpan w:val="2"/>
            <w:shd w:val="clear" w:color="auto" w:fill="auto"/>
            <w:vAlign w:val="bottom"/>
          </w:tcPr>
          <w:p w14:paraId="7068A872" w14:textId="77777777" w:rsidR="00E6640A" w:rsidRPr="00C27900" w:rsidRDefault="00E6640A" w:rsidP="00C27900">
            <w:pPr>
              <w:pStyle w:val="a3"/>
              <w:tabs>
                <w:tab w:val="left" w:pos="227"/>
                <w:tab w:val="left" w:pos="397"/>
                <w:tab w:val="left" w:pos="567"/>
              </w:tabs>
              <w:spacing w:line="200" w:lineRule="exact"/>
              <w:ind w:left="397" w:hanging="340"/>
              <w:rPr>
                <w:sz w:val="18"/>
                <w:szCs w:val="20"/>
              </w:rPr>
            </w:pPr>
            <w:r w:rsidRPr="00C27900">
              <w:rPr>
                <w:rFonts w:hint="cs"/>
                <w:sz w:val="18"/>
                <w:szCs w:val="20"/>
                <w:u w:val="single"/>
                <w:rtl/>
              </w:rPr>
              <w:t>רכישת חברות מאוחדות שאוחדו לראשונה</w:t>
            </w:r>
          </w:p>
        </w:tc>
        <w:tc>
          <w:tcPr>
            <w:tcW w:w="113" w:type="dxa"/>
            <w:shd w:val="clear" w:color="auto" w:fill="auto"/>
            <w:vAlign w:val="bottom"/>
          </w:tcPr>
          <w:p w14:paraId="7A131778" w14:textId="77777777" w:rsidR="00E6640A" w:rsidRPr="00C27900" w:rsidRDefault="00E6640A" w:rsidP="00C27900">
            <w:pPr>
              <w:spacing w:line="200" w:lineRule="exact"/>
              <w:rPr>
                <w:sz w:val="18"/>
                <w:szCs w:val="20"/>
              </w:rPr>
            </w:pPr>
          </w:p>
        </w:tc>
        <w:tc>
          <w:tcPr>
            <w:tcW w:w="907" w:type="dxa"/>
            <w:vAlign w:val="bottom"/>
          </w:tcPr>
          <w:p w14:paraId="497852C0"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80B68D7"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8C1D8D2"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FA7CC87"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35E2187"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4D38DA49"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91AFCBC"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B5E8673"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3458AE90" w14:textId="77777777" w:rsidR="00E6640A" w:rsidRPr="00C27900" w:rsidRDefault="00E6640A" w:rsidP="00C27900">
            <w:pPr>
              <w:tabs>
                <w:tab w:val="decimal" w:pos="113"/>
              </w:tabs>
              <w:spacing w:line="200" w:lineRule="exact"/>
              <w:rPr>
                <w:sz w:val="18"/>
                <w:szCs w:val="20"/>
                <w:rtl/>
              </w:rPr>
            </w:pPr>
          </w:p>
        </w:tc>
      </w:tr>
      <w:tr w:rsidR="00E6640A" w:rsidRPr="00C27900" w14:paraId="7FFE1366" w14:textId="77777777" w:rsidTr="00280C26">
        <w:tc>
          <w:tcPr>
            <w:tcW w:w="623" w:type="dxa"/>
            <w:shd w:val="clear" w:color="auto" w:fill="auto"/>
            <w:vAlign w:val="bottom"/>
          </w:tcPr>
          <w:p w14:paraId="75898EA6" w14:textId="77777777" w:rsidR="00E6640A" w:rsidRPr="00C27900" w:rsidRDefault="00E6640A" w:rsidP="00C27900">
            <w:pPr>
              <w:pStyle w:val="a3"/>
              <w:widowControl/>
              <w:tabs>
                <w:tab w:val="left" w:pos="227"/>
                <w:tab w:val="left" w:pos="397"/>
                <w:tab w:val="left" w:pos="567"/>
              </w:tabs>
              <w:spacing w:line="200" w:lineRule="exact"/>
              <w:ind w:left="0"/>
              <w:jc w:val="both"/>
              <w:rPr>
                <w:sz w:val="18"/>
                <w:szCs w:val="20"/>
              </w:rPr>
            </w:pPr>
          </w:p>
        </w:tc>
        <w:tc>
          <w:tcPr>
            <w:tcW w:w="3692" w:type="dxa"/>
            <w:gridSpan w:val="2"/>
            <w:shd w:val="clear" w:color="auto" w:fill="auto"/>
            <w:vAlign w:val="bottom"/>
          </w:tcPr>
          <w:p w14:paraId="393274B6" w14:textId="77777777" w:rsidR="00E6640A" w:rsidRPr="00C27900" w:rsidRDefault="00E6640A" w:rsidP="00C27900">
            <w:pPr>
              <w:pStyle w:val="a3"/>
              <w:widowControl/>
              <w:tabs>
                <w:tab w:val="left" w:pos="227"/>
                <w:tab w:val="left" w:pos="397"/>
                <w:tab w:val="left" w:pos="567"/>
              </w:tabs>
              <w:spacing w:line="200" w:lineRule="exact"/>
              <w:ind w:left="0"/>
              <w:rPr>
                <w:sz w:val="18"/>
                <w:szCs w:val="20"/>
              </w:rPr>
            </w:pPr>
          </w:p>
        </w:tc>
        <w:tc>
          <w:tcPr>
            <w:tcW w:w="113" w:type="dxa"/>
            <w:shd w:val="clear" w:color="auto" w:fill="auto"/>
            <w:vAlign w:val="bottom"/>
          </w:tcPr>
          <w:p w14:paraId="5FB42E13" w14:textId="77777777" w:rsidR="00E6640A" w:rsidRPr="00C27900" w:rsidRDefault="00E6640A" w:rsidP="00C27900">
            <w:pPr>
              <w:widowControl/>
              <w:spacing w:line="200" w:lineRule="exact"/>
              <w:rPr>
                <w:sz w:val="18"/>
                <w:szCs w:val="20"/>
              </w:rPr>
            </w:pPr>
          </w:p>
        </w:tc>
        <w:tc>
          <w:tcPr>
            <w:tcW w:w="907" w:type="dxa"/>
            <w:vAlign w:val="bottom"/>
          </w:tcPr>
          <w:p w14:paraId="1E588571" w14:textId="77777777" w:rsidR="00E6640A" w:rsidRPr="00C27900" w:rsidRDefault="00E6640A" w:rsidP="00C27900">
            <w:pPr>
              <w:widowControl/>
              <w:tabs>
                <w:tab w:val="decimal" w:pos="113"/>
              </w:tabs>
              <w:spacing w:line="200" w:lineRule="exact"/>
              <w:rPr>
                <w:sz w:val="18"/>
                <w:szCs w:val="20"/>
                <w:rtl/>
              </w:rPr>
            </w:pPr>
          </w:p>
        </w:tc>
        <w:tc>
          <w:tcPr>
            <w:tcW w:w="113" w:type="dxa"/>
            <w:vAlign w:val="bottom"/>
          </w:tcPr>
          <w:p w14:paraId="4504012A" w14:textId="77777777" w:rsidR="00E6640A" w:rsidRPr="00C27900" w:rsidRDefault="00E6640A" w:rsidP="00C27900">
            <w:pPr>
              <w:widowControl/>
              <w:tabs>
                <w:tab w:val="decimal" w:pos="113"/>
              </w:tabs>
              <w:spacing w:line="200" w:lineRule="exact"/>
              <w:rPr>
                <w:sz w:val="18"/>
                <w:szCs w:val="20"/>
              </w:rPr>
            </w:pPr>
          </w:p>
        </w:tc>
        <w:tc>
          <w:tcPr>
            <w:tcW w:w="907" w:type="dxa"/>
            <w:gridSpan w:val="2"/>
            <w:shd w:val="clear" w:color="auto" w:fill="auto"/>
            <w:vAlign w:val="bottom"/>
          </w:tcPr>
          <w:p w14:paraId="45AD7C2D" w14:textId="77777777" w:rsidR="00E6640A" w:rsidRPr="00C27900" w:rsidRDefault="00E6640A" w:rsidP="00C27900">
            <w:pPr>
              <w:widowControl/>
              <w:tabs>
                <w:tab w:val="decimal" w:pos="113"/>
              </w:tabs>
              <w:spacing w:line="200" w:lineRule="exact"/>
              <w:rPr>
                <w:sz w:val="18"/>
                <w:szCs w:val="20"/>
              </w:rPr>
            </w:pPr>
          </w:p>
        </w:tc>
        <w:tc>
          <w:tcPr>
            <w:tcW w:w="113" w:type="dxa"/>
            <w:shd w:val="clear" w:color="auto" w:fill="auto"/>
            <w:vAlign w:val="bottom"/>
          </w:tcPr>
          <w:p w14:paraId="2B81B4F9" w14:textId="77777777" w:rsidR="00E6640A" w:rsidRPr="00C27900" w:rsidRDefault="00E6640A" w:rsidP="00C27900">
            <w:pPr>
              <w:widowControl/>
              <w:tabs>
                <w:tab w:val="decimal" w:pos="113"/>
              </w:tabs>
              <w:spacing w:line="200" w:lineRule="exact"/>
              <w:rPr>
                <w:sz w:val="18"/>
                <w:szCs w:val="20"/>
              </w:rPr>
            </w:pPr>
          </w:p>
        </w:tc>
        <w:tc>
          <w:tcPr>
            <w:tcW w:w="907" w:type="dxa"/>
            <w:shd w:val="clear" w:color="auto" w:fill="auto"/>
            <w:vAlign w:val="bottom"/>
          </w:tcPr>
          <w:p w14:paraId="2A087A24" w14:textId="77777777" w:rsidR="00E6640A" w:rsidRPr="00C27900" w:rsidRDefault="00E6640A" w:rsidP="00C27900">
            <w:pPr>
              <w:widowControl/>
              <w:tabs>
                <w:tab w:val="decimal" w:pos="113"/>
              </w:tabs>
              <w:spacing w:line="200" w:lineRule="exact"/>
              <w:rPr>
                <w:sz w:val="18"/>
                <w:szCs w:val="20"/>
                <w:rtl/>
              </w:rPr>
            </w:pPr>
          </w:p>
        </w:tc>
        <w:tc>
          <w:tcPr>
            <w:tcW w:w="113" w:type="dxa"/>
            <w:shd w:val="clear" w:color="auto" w:fill="auto"/>
            <w:vAlign w:val="bottom"/>
          </w:tcPr>
          <w:p w14:paraId="22428E12" w14:textId="77777777" w:rsidR="00E6640A" w:rsidRPr="00C27900" w:rsidRDefault="00E6640A" w:rsidP="00C27900">
            <w:pPr>
              <w:widowControl/>
              <w:tabs>
                <w:tab w:val="decimal" w:pos="113"/>
              </w:tabs>
              <w:spacing w:line="200" w:lineRule="exact"/>
              <w:rPr>
                <w:sz w:val="18"/>
                <w:szCs w:val="20"/>
              </w:rPr>
            </w:pPr>
          </w:p>
        </w:tc>
        <w:tc>
          <w:tcPr>
            <w:tcW w:w="907" w:type="dxa"/>
            <w:shd w:val="clear" w:color="auto" w:fill="auto"/>
            <w:vAlign w:val="bottom"/>
          </w:tcPr>
          <w:p w14:paraId="6E511DF4" w14:textId="77777777" w:rsidR="00E6640A" w:rsidRPr="00C27900" w:rsidRDefault="00E6640A" w:rsidP="00C27900">
            <w:pPr>
              <w:widowControl/>
              <w:tabs>
                <w:tab w:val="decimal" w:pos="113"/>
              </w:tabs>
              <w:spacing w:line="200" w:lineRule="exact"/>
              <w:rPr>
                <w:sz w:val="18"/>
                <w:szCs w:val="20"/>
              </w:rPr>
            </w:pPr>
          </w:p>
        </w:tc>
        <w:tc>
          <w:tcPr>
            <w:tcW w:w="113" w:type="dxa"/>
            <w:shd w:val="clear" w:color="auto" w:fill="auto"/>
            <w:vAlign w:val="bottom"/>
          </w:tcPr>
          <w:p w14:paraId="38F71C8B" w14:textId="77777777" w:rsidR="00E6640A" w:rsidRPr="00C27900" w:rsidRDefault="00E6640A" w:rsidP="00C27900">
            <w:pPr>
              <w:widowControl/>
              <w:tabs>
                <w:tab w:val="decimal" w:pos="113"/>
              </w:tabs>
              <w:spacing w:line="200" w:lineRule="exact"/>
              <w:rPr>
                <w:sz w:val="18"/>
                <w:szCs w:val="20"/>
              </w:rPr>
            </w:pPr>
          </w:p>
        </w:tc>
        <w:tc>
          <w:tcPr>
            <w:tcW w:w="1192" w:type="dxa"/>
            <w:shd w:val="clear" w:color="auto" w:fill="auto"/>
            <w:vAlign w:val="bottom"/>
          </w:tcPr>
          <w:p w14:paraId="7B0EC08E" w14:textId="77777777" w:rsidR="00E6640A" w:rsidRPr="00C27900" w:rsidRDefault="00E6640A" w:rsidP="00C27900">
            <w:pPr>
              <w:widowControl/>
              <w:tabs>
                <w:tab w:val="decimal" w:pos="113"/>
              </w:tabs>
              <w:spacing w:line="200" w:lineRule="exact"/>
              <w:rPr>
                <w:sz w:val="18"/>
                <w:szCs w:val="20"/>
                <w:rtl/>
              </w:rPr>
            </w:pPr>
          </w:p>
        </w:tc>
      </w:tr>
      <w:tr w:rsidR="00E6640A" w:rsidRPr="00C27900" w14:paraId="6F9ADE4C" w14:textId="77777777" w:rsidTr="00280C26">
        <w:tc>
          <w:tcPr>
            <w:tcW w:w="623" w:type="dxa"/>
            <w:shd w:val="clear" w:color="auto" w:fill="auto"/>
            <w:vAlign w:val="bottom"/>
          </w:tcPr>
          <w:p w14:paraId="513B2E29"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3692" w:type="dxa"/>
            <w:gridSpan w:val="2"/>
            <w:shd w:val="clear" w:color="auto" w:fill="auto"/>
            <w:vAlign w:val="bottom"/>
          </w:tcPr>
          <w:p w14:paraId="6666A958" w14:textId="77777777" w:rsidR="00E6640A" w:rsidRPr="00C27900" w:rsidRDefault="00E6640A" w:rsidP="00C27900">
            <w:pPr>
              <w:pStyle w:val="a3"/>
              <w:tabs>
                <w:tab w:val="left" w:pos="227"/>
                <w:tab w:val="left" w:pos="397"/>
                <w:tab w:val="left" w:pos="567"/>
              </w:tabs>
              <w:spacing w:line="200" w:lineRule="exact"/>
              <w:ind w:left="397" w:hanging="340"/>
              <w:rPr>
                <w:sz w:val="18"/>
                <w:szCs w:val="20"/>
              </w:rPr>
            </w:pPr>
            <w:r w:rsidRPr="00C27900">
              <w:rPr>
                <w:rFonts w:hint="cs"/>
                <w:sz w:val="18"/>
                <w:szCs w:val="20"/>
                <w:rtl/>
              </w:rPr>
              <w:t>נכסים והתחייבויות של החברות המאוחדות ליום הרכישה:</w:t>
            </w:r>
          </w:p>
        </w:tc>
        <w:tc>
          <w:tcPr>
            <w:tcW w:w="113" w:type="dxa"/>
            <w:shd w:val="clear" w:color="auto" w:fill="auto"/>
            <w:vAlign w:val="bottom"/>
          </w:tcPr>
          <w:p w14:paraId="0B7B75A1" w14:textId="77777777" w:rsidR="00E6640A" w:rsidRPr="00C27900" w:rsidRDefault="00E6640A" w:rsidP="00C27900">
            <w:pPr>
              <w:spacing w:line="200" w:lineRule="exact"/>
              <w:rPr>
                <w:sz w:val="18"/>
                <w:szCs w:val="20"/>
              </w:rPr>
            </w:pPr>
          </w:p>
        </w:tc>
        <w:tc>
          <w:tcPr>
            <w:tcW w:w="907" w:type="dxa"/>
            <w:vAlign w:val="bottom"/>
          </w:tcPr>
          <w:p w14:paraId="1A5C611B"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65060473"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32E5A01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E3B9D46"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00D5721"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AD4588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F549D64"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C26CC37"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7750703" w14:textId="77777777" w:rsidR="00E6640A" w:rsidRPr="00C27900" w:rsidRDefault="00E6640A" w:rsidP="00C27900">
            <w:pPr>
              <w:tabs>
                <w:tab w:val="decimal" w:pos="113"/>
              </w:tabs>
              <w:spacing w:line="200" w:lineRule="exact"/>
              <w:rPr>
                <w:sz w:val="18"/>
                <w:szCs w:val="20"/>
                <w:rtl/>
              </w:rPr>
            </w:pPr>
          </w:p>
        </w:tc>
      </w:tr>
      <w:tr w:rsidR="00E6640A" w:rsidRPr="00C27900" w14:paraId="421DF979" w14:textId="77777777" w:rsidTr="00280C26">
        <w:tc>
          <w:tcPr>
            <w:tcW w:w="623" w:type="dxa"/>
            <w:shd w:val="clear" w:color="auto" w:fill="auto"/>
            <w:vAlign w:val="bottom"/>
          </w:tcPr>
          <w:p w14:paraId="234EEC24" w14:textId="77777777" w:rsidR="00E6640A" w:rsidRPr="00C27900" w:rsidRDefault="00E6640A" w:rsidP="00C27900">
            <w:pPr>
              <w:pStyle w:val="a3"/>
              <w:widowControl/>
              <w:tabs>
                <w:tab w:val="left" w:pos="227"/>
                <w:tab w:val="left" w:pos="397"/>
                <w:tab w:val="left" w:pos="567"/>
              </w:tabs>
              <w:spacing w:line="200" w:lineRule="exact"/>
              <w:ind w:left="0"/>
              <w:jc w:val="both"/>
              <w:rPr>
                <w:sz w:val="18"/>
                <w:szCs w:val="20"/>
              </w:rPr>
            </w:pPr>
          </w:p>
        </w:tc>
        <w:tc>
          <w:tcPr>
            <w:tcW w:w="3692" w:type="dxa"/>
            <w:gridSpan w:val="2"/>
            <w:shd w:val="clear" w:color="auto" w:fill="auto"/>
            <w:vAlign w:val="bottom"/>
          </w:tcPr>
          <w:p w14:paraId="25C5F586" w14:textId="77777777" w:rsidR="00E6640A" w:rsidRPr="00C27900" w:rsidRDefault="00E6640A" w:rsidP="00C27900">
            <w:pPr>
              <w:pStyle w:val="a3"/>
              <w:widowControl/>
              <w:tabs>
                <w:tab w:val="left" w:pos="227"/>
                <w:tab w:val="left" w:pos="397"/>
                <w:tab w:val="left" w:pos="567"/>
              </w:tabs>
              <w:spacing w:line="200" w:lineRule="exact"/>
              <w:ind w:left="0"/>
              <w:rPr>
                <w:sz w:val="18"/>
                <w:szCs w:val="20"/>
              </w:rPr>
            </w:pPr>
          </w:p>
        </w:tc>
        <w:tc>
          <w:tcPr>
            <w:tcW w:w="113" w:type="dxa"/>
            <w:shd w:val="clear" w:color="auto" w:fill="auto"/>
            <w:vAlign w:val="bottom"/>
          </w:tcPr>
          <w:p w14:paraId="3668E45B" w14:textId="77777777" w:rsidR="00E6640A" w:rsidRPr="00C27900" w:rsidRDefault="00E6640A" w:rsidP="00C27900">
            <w:pPr>
              <w:widowControl/>
              <w:spacing w:line="200" w:lineRule="exact"/>
              <w:rPr>
                <w:sz w:val="18"/>
                <w:szCs w:val="20"/>
              </w:rPr>
            </w:pPr>
          </w:p>
        </w:tc>
        <w:tc>
          <w:tcPr>
            <w:tcW w:w="907" w:type="dxa"/>
            <w:vAlign w:val="bottom"/>
          </w:tcPr>
          <w:p w14:paraId="710D4641" w14:textId="77777777" w:rsidR="00E6640A" w:rsidRPr="00C27900" w:rsidRDefault="00E6640A" w:rsidP="00C27900">
            <w:pPr>
              <w:widowControl/>
              <w:tabs>
                <w:tab w:val="decimal" w:pos="113"/>
              </w:tabs>
              <w:spacing w:line="200" w:lineRule="exact"/>
              <w:rPr>
                <w:sz w:val="18"/>
                <w:szCs w:val="20"/>
                <w:rtl/>
              </w:rPr>
            </w:pPr>
          </w:p>
        </w:tc>
        <w:tc>
          <w:tcPr>
            <w:tcW w:w="113" w:type="dxa"/>
            <w:vAlign w:val="bottom"/>
          </w:tcPr>
          <w:p w14:paraId="254D2B98" w14:textId="77777777" w:rsidR="00E6640A" w:rsidRPr="00C27900" w:rsidRDefault="00E6640A" w:rsidP="00C27900">
            <w:pPr>
              <w:widowControl/>
              <w:tabs>
                <w:tab w:val="decimal" w:pos="113"/>
              </w:tabs>
              <w:spacing w:line="200" w:lineRule="exact"/>
              <w:rPr>
                <w:sz w:val="18"/>
                <w:szCs w:val="20"/>
              </w:rPr>
            </w:pPr>
          </w:p>
        </w:tc>
        <w:tc>
          <w:tcPr>
            <w:tcW w:w="907" w:type="dxa"/>
            <w:gridSpan w:val="2"/>
            <w:shd w:val="clear" w:color="auto" w:fill="auto"/>
            <w:vAlign w:val="bottom"/>
          </w:tcPr>
          <w:p w14:paraId="1C8E22FD" w14:textId="77777777" w:rsidR="00E6640A" w:rsidRPr="00C27900" w:rsidRDefault="00E6640A" w:rsidP="00C27900">
            <w:pPr>
              <w:widowControl/>
              <w:tabs>
                <w:tab w:val="decimal" w:pos="113"/>
              </w:tabs>
              <w:spacing w:line="200" w:lineRule="exact"/>
              <w:rPr>
                <w:sz w:val="18"/>
                <w:szCs w:val="20"/>
              </w:rPr>
            </w:pPr>
          </w:p>
        </w:tc>
        <w:tc>
          <w:tcPr>
            <w:tcW w:w="113" w:type="dxa"/>
            <w:shd w:val="clear" w:color="auto" w:fill="auto"/>
            <w:vAlign w:val="bottom"/>
          </w:tcPr>
          <w:p w14:paraId="13E1034D" w14:textId="77777777" w:rsidR="00E6640A" w:rsidRPr="00C27900" w:rsidRDefault="00E6640A" w:rsidP="00C27900">
            <w:pPr>
              <w:widowControl/>
              <w:tabs>
                <w:tab w:val="decimal" w:pos="113"/>
              </w:tabs>
              <w:spacing w:line="200" w:lineRule="exact"/>
              <w:rPr>
                <w:sz w:val="18"/>
                <w:szCs w:val="20"/>
              </w:rPr>
            </w:pPr>
          </w:p>
        </w:tc>
        <w:tc>
          <w:tcPr>
            <w:tcW w:w="907" w:type="dxa"/>
            <w:shd w:val="clear" w:color="auto" w:fill="auto"/>
            <w:vAlign w:val="bottom"/>
          </w:tcPr>
          <w:p w14:paraId="3A486E13" w14:textId="77777777" w:rsidR="00E6640A" w:rsidRPr="00C27900" w:rsidRDefault="00E6640A" w:rsidP="00C27900">
            <w:pPr>
              <w:widowControl/>
              <w:tabs>
                <w:tab w:val="decimal" w:pos="113"/>
              </w:tabs>
              <w:spacing w:line="200" w:lineRule="exact"/>
              <w:rPr>
                <w:sz w:val="18"/>
                <w:szCs w:val="20"/>
                <w:rtl/>
              </w:rPr>
            </w:pPr>
          </w:p>
        </w:tc>
        <w:tc>
          <w:tcPr>
            <w:tcW w:w="113" w:type="dxa"/>
            <w:shd w:val="clear" w:color="auto" w:fill="auto"/>
            <w:vAlign w:val="bottom"/>
          </w:tcPr>
          <w:p w14:paraId="07B3A539" w14:textId="77777777" w:rsidR="00E6640A" w:rsidRPr="00C27900" w:rsidRDefault="00E6640A" w:rsidP="00C27900">
            <w:pPr>
              <w:widowControl/>
              <w:tabs>
                <w:tab w:val="decimal" w:pos="113"/>
              </w:tabs>
              <w:spacing w:line="200" w:lineRule="exact"/>
              <w:rPr>
                <w:sz w:val="18"/>
                <w:szCs w:val="20"/>
              </w:rPr>
            </w:pPr>
          </w:p>
        </w:tc>
        <w:tc>
          <w:tcPr>
            <w:tcW w:w="907" w:type="dxa"/>
            <w:shd w:val="clear" w:color="auto" w:fill="auto"/>
            <w:vAlign w:val="bottom"/>
          </w:tcPr>
          <w:p w14:paraId="11D638C7" w14:textId="77777777" w:rsidR="00E6640A" w:rsidRPr="00C27900" w:rsidRDefault="00E6640A" w:rsidP="00C27900">
            <w:pPr>
              <w:widowControl/>
              <w:tabs>
                <w:tab w:val="decimal" w:pos="113"/>
              </w:tabs>
              <w:spacing w:line="200" w:lineRule="exact"/>
              <w:rPr>
                <w:sz w:val="18"/>
                <w:szCs w:val="20"/>
              </w:rPr>
            </w:pPr>
          </w:p>
        </w:tc>
        <w:tc>
          <w:tcPr>
            <w:tcW w:w="113" w:type="dxa"/>
            <w:shd w:val="clear" w:color="auto" w:fill="auto"/>
            <w:vAlign w:val="bottom"/>
          </w:tcPr>
          <w:p w14:paraId="624CDF31" w14:textId="77777777" w:rsidR="00E6640A" w:rsidRPr="00C27900" w:rsidRDefault="00E6640A" w:rsidP="00C27900">
            <w:pPr>
              <w:widowControl/>
              <w:tabs>
                <w:tab w:val="decimal" w:pos="113"/>
              </w:tabs>
              <w:spacing w:line="200" w:lineRule="exact"/>
              <w:rPr>
                <w:sz w:val="18"/>
                <w:szCs w:val="20"/>
              </w:rPr>
            </w:pPr>
          </w:p>
        </w:tc>
        <w:tc>
          <w:tcPr>
            <w:tcW w:w="1192" w:type="dxa"/>
            <w:shd w:val="clear" w:color="auto" w:fill="auto"/>
            <w:vAlign w:val="bottom"/>
          </w:tcPr>
          <w:p w14:paraId="3A1B3DC8" w14:textId="77777777" w:rsidR="00E6640A" w:rsidRPr="00C27900" w:rsidRDefault="00E6640A" w:rsidP="00C27900">
            <w:pPr>
              <w:widowControl/>
              <w:tabs>
                <w:tab w:val="decimal" w:pos="113"/>
              </w:tabs>
              <w:spacing w:line="200" w:lineRule="exact"/>
              <w:rPr>
                <w:sz w:val="18"/>
                <w:szCs w:val="20"/>
                <w:rtl/>
              </w:rPr>
            </w:pPr>
          </w:p>
        </w:tc>
      </w:tr>
      <w:tr w:rsidR="00E6640A" w:rsidRPr="00C27900" w14:paraId="38770154" w14:textId="77777777" w:rsidTr="00280C26">
        <w:tc>
          <w:tcPr>
            <w:tcW w:w="623" w:type="dxa"/>
            <w:shd w:val="clear" w:color="auto" w:fill="auto"/>
            <w:vAlign w:val="bottom"/>
          </w:tcPr>
          <w:p w14:paraId="12F86C4E"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F5F9B8A"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הון חוזר (למעט מזומנים ושווי מזומנים)</w:t>
            </w:r>
          </w:p>
        </w:tc>
        <w:tc>
          <w:tcPr>
            <w:tcW w:w="113" w:type="dxa"/>
            <w:shd w:val="clear" w:color="auto" w:fill="auto"/>
            <w:vAlign w:val="bottom"/>
          </w:tcPr>
          <w:p w14:paraId="71DEE79A" w14:textId="77777777" w:rsidR="00E6640A" w:rsidRPr="00C27900" w:rsidRDefault="00E6640A" w:rsidP="00C27900">
            <w:pPr>
              <w:spacing w:line="200" w:lineRule="exact"/>
              <w:rPr>
                <w:sz w:val="18"/>
                <w:szCs w:val="20"/>
              </w:rPr>
            </w:pPr>
          </w:p>
        </w:tc>
        <w:tc>
          <w:tcPr>
            <w:tcW w:w="907" w:type="dxa"/>
            <w:vAlign w:val="bottom"/>
          </w:tcPr>
          <w:p w14:paraId="0F68036C"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457FF1B"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EE2837A"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2DAC2E7"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D73DAC2"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09BF8DA"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AA69BC2"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4B25625"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189F75CD" w14:textId="77777777" w:rsidR="00E6640A" w:rsidRPr="00C27900" w:rsidRDefault="00E6640A" w:rsidP="00C27900">
            <w:pPr>
              <w:tabs>
                <w:tab w:val="decimal" w:pos="113"/>
              </w:tabs>
              <w:spacing w:line="200" w:lineRule="exact"/>
              <w:rPr>
                <w:sz w:val="18"/>
                <w:szCs w:val="20"/>
                <w:rtl/>
              </w:rPr>
            </w:pPr>
          </w:p>
        </w:tc>
      </w:tr>
      <w:tr w:rsidR="00E6640A" w:rsidRPr="00C27900" w14:paraId="03CFDF97" w14:textId="77777777" w:rsidTr="00280C26">
        <w:tc>
          <w:tcPr>
            <w:tcW w:w="623" w:type="dxa"/>
            <w:shd w:val="clear" w:color="auto" w:fill="auto"/>
            <w:vAlign w:val="bottom"/>
          </w:tcPr>
          <w:p w14:paraId="487AD4C6"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2B4180EE"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רכוש קבוע</w:t>
            </w:r>
          </w:p>
        </w:tc>
        <w:tc>
          <w:tcPr>
            <w:tcW w:w="113" w:type="dxa"/>
            <w:shd w:val="clear" w:color="auto" w:fill="auto"/>
            <w:vAlign w:val="bottom"/>
          </w:tcPr>
          <w:p w14:paraId="0AFBEB81" w14:textId="77777777" w:rsidR="00E6640A" w:rsidRPr="00C27900" w:rsidRDefault="00E6640A" w:rsidP="00C27900">
            <w:pPr>
              <w:spacing w:line="200" w:lineRule="exact"/>
              <w:rPr>
                <w:sz w:val="18"/>
                <w:szCs w:val="20"/>
              </w:rPr>
            </w:pPr>
          </w:p>
        </w:tc>
        <w:tc>
          <w:tcPr>
            <w:tcW w:w="907" w:type="dxa"/>
            <w:vAlign w:val="bottom"/>
          </w:tcPr>
          <w:p w14:paraId="7D865A73"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648DC86"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440C623"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3FE152A"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57ECE0A"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7CB3310B"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16D63EB"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C9ED7A8"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4C42518" w14:textId="77777777" w:rsidR="00E6640A" w:rsidRPr="00C27900" w:rsidRDefault="00E6640A" w:rsidP="00C27900">
            <w:pPr>
              <w:tabs>
                <w:tab w:val="decimal" w:pos="113"/>
              </w:tabs>
              <w:spacing w:line="200" w:lineRule="exact"/>
              <w:rPr>
                <w:sz w:val="18"/>
                <w:szCs w:val="20"/>
                <w:rtl/>
              </w:rPr>
            </w:pPr>
          </w:p>
        </w:tc>
      </w:tr>
      <w:tr w:rsidR="005B6A6B" w:rsidRPr="00C27900" w14:paraId="7D9F5273" w14:textId="77777777" w:rsidTr="00280C26">
        <w:tc>
          <w:tcPr>
            <w:tcW w:w="623" w:type="dxa"/>
            <w:shd w:val="clear" w:color="auto" w:fill="auto"/>
            <w:vAlign w:val="bottom"/>
          </w:tcPr>
          <w:p w14:paraId="417F5DB2" w14:textId="77777777" w:rsidR="005B6A6B" w:rsidRPr="00C27900" w:rsidRDefault="005B6A6B"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4E3A56B2" w14:textId="6157C284" w:rsidR="005B6A6B" w:rsidRPr="00C27900" w:rsidRDefault="005B6A6B" w:rsidP="00C27900">
            <w:pPr>
              <w:pStyle w:val="a3"/>
              <w:tabs>
                <w:tab w:val="left" w:pos="227"/>
                <w:tab w:val="left" w:pos="397"/>
                <w:tab w:val="left" w:pos="567"/>
              </w:tabs>
              <w:spacing w:line="200" w:lineRule="exact"/>
              <w:ind w:left="227" w:hanging="170"/>
              <w:rPr>
                <w:sz w:val="18"/>
                <w:szCs w:val="20"/>
                <w:rtl/>
              </w:rPr>
            </w:pPr>
            <w:r>
              <w:rPr>
                <w:rFonts w:hint="cs"/>
                <w:sz w:val="18"/>
                <w:szCs w:val="20"/>
                <w:rtl/>
              </w:rPr>
              <w:t>נכסי זכות שימוש</w:t>
            </w:r>
          </w:p>
        </w:tc>
        <w:tc>
          <w:tcPr>
            <w:tcW w:w="113" w:type="dxa"/>
            <w:shd w:val="clear" w:color="auto" w:fill="auto"/>
            <w:vAlign w:val="bottom"/>
          </w:tcPr>
          <w:p w14:paraId="2F1CCD1F" w14:textId="77777777" w:rsidR="005B6A6B" w:rsidRPr="00C27900" w:rsidRDefault="005B6A6B" w:rsidP="00C27900">
            <w:pPr>
              <w:spacing w:line="200" w:lineRule="exact"/>
              <w:rPr>
                <w:sz w:val="18"/>
                <w:szCs w:val="20"/>
              </w:rPr>
            </w:pPr>
          </w:p>
        </w:tc>
        <w:tc>
          <w:tcPr>
            <w:tcW w:w="907" w:type="dxa"/>
            <w:vAlign w:val="bottom"/>
          </w:tcPr>
          <w:p w14:paraId="7EF5EBA9" w14:textId="77777777" w:rsidR="005B6A6B" w:rsidRPr="00C27900" w:rsidRDefault="005B6A6B" w:rsidP="00C27900">
            <w:pPr>
              <w:tabs>
                <w:tab w:val="decimal" w:pos="113"/>
              </w:tabs>
              <w:spacing w:line="200" w:lineRule="exact"/>
              <w:rPr>
                <w:sz w:val="18"/>
                <w:szCs w:val="20"/>
                <w:rtl/>
              </w:rPr>
            </w:pPr>
          </w:p>
        </w:tc>
        <w:tc>
          <w:tcPr>
            <w:tcW w:w="113" w:type="dxa"/>
            <w:vAlign w:val="bottom"/>
          </w:tcPr>
          <w:p w14:paraId="3B5EA496" w14:textId="77777777" w:rsidR="005B6A6B" w:rsidRPr="00C27900" w:rsidRDefault="005B6A6B" w:rsidP="00C27900">
            <w:pPr>
              <w:tabs>
                <w:tab w:val="decimal" w:pos="113"/>
              </w:tabs>
              <w:spacing w:line="200" w:lineRule="exact"/>
              <w:rPr>
                <w:sz w:val="18"/>
                <w:szCs w:val="20"/>
              </w:rPr>
            </w:pPr>
          </w:p>
        </w:tc>
        <w:tc>
          <w:tcPr>
            <w:tcW w:w="907" w:type="dxa"/>
            <w:gridSpan w:val="2"/>
            <w:shd w:val="clear" w:color="auto" w:fill="auto"/>
            <w:vAlign w:val="bottom"/>
          </w:tcPr>
          <w:p w14:paraId="38DCE170" w14:textId="77777777" w:rsidR="005B6A6B" w:rsidRPr="00C27900" w:rsidRDefault="005B6A6B" w:rsidP="00C27900">
            <w:pPr>
              <w:tabs>
                <w:tab w:val="decimal" w:pos="113"/>
              </w:tabs>
              <w:spacing w:line="200" w:lineRule="exact"/>
              <w:rPr>
                <w:sz w:val="18"/>
                <w:szCs w:val="20"/>
              </w:rPr>
            </w:pPr>
          </w:p>
        </w:tc>
        <w:tc>
          <w:tcPr>
            <w:tcW w:w="113" w:type="dxa"/>
            <w:shd w:val="clear" w:color="auto" w:fill="auto"/>
            <w:vAlign w:val="bottom"/>
          </w:tcPr>
          <w:p w14:paraId="0CC16274" w14:textId="77777777" w:rsidR="005B6A6B" w:rsidRPr="00C27900" w:rsidRDefault="005B6A6B" w:rsidP="00C27900">
            <w:pPr>
              <w:tabs>
                <w:tab w:val="decimal" w:pos="113"/>
              </w:tabs>
              <w:spacing w:line="200" w:lineRule="exact"/>
              <w:rPr>
                <w:sz w:val="18"/>
                <w:szCs w:val="20"/>
              </w:rPr>
            </w:pPr>
          </w:p>
        </w:tc>
        <w:tc>
          <w:tcPr>
            <w:tcW w:w="907" w:type="dxa"/>
            <w:shd w:val="clear" w:color="auto" w:fill="auto"/>
            <w:vAlign w:val="bottom"/>
          </w:tcPr>
          <w:p w14:paraId="71EAAAAB" w14:textId="77777777" w:rsidR="005B6A6B" w:rsidRPr="00C27900" w:rsidRDefault="005B6A6B" w:rsidP="00C27900">
            <w:pPr>
              <w:tabs>
                <w:tab w:val="decimal" w:pos="113"/>
              </w:tabs>
              <w:spacing w:line="200" w:lineRule="exact"/>
              <w:rPr>
                <w:sz w:val="18"/>
                <w:szCs w:val="20"/>
                <w:rtl/>
              </w:rPr>
            </w:pPr>
          </w:p>
        </w:tc>
        <w:tc>
          <w:tcPr>
            <w:tcW w:w="113" w:type="dxa"/>
            <w:shd w:val="clear" w:color="auto" w:fill="auto"/>
            <w:vAlign w:val="bottom"/>
          </w:tcPr>
          <w:p w14:paraId="52A25A9B" w14:textId="77777777" w:rsidR="005B6A6B" w:rsidRPr="00C27900" w:rsidRDefault="005B6A6B" w:rsidP="00C27900">
            <w:pPr>
              <w:tabs>
                <w:tab w:val="decimal" w:pos="113"/>
              </w:tabs>
              <w:spacing w:line="200" w:lineRule="exact"/>
              <w:rPr>
                <w:sz w:val="18"/>
                <w:szCs w:val="20"/>
              </w:rPr>
            </w:pPr>
          </w:p>
        </w:tc>
        <w:tc>
          <w:tcPr>
            <w:tcW w:w="907" w:type="dxa"/>
            <w:shd w:val="clear" w:color="auto" w:fill="auto"/>
            <w:vAlign w:val="bottom"/>
          </w:tcPr>
          <w:p w14:paraId="397AC925" w14:textId="77777777" w:rsidR="005B6A6B" w:rsidRPr="00C27900" w:rsidRDefault="005B6A6B" w:rsidP="00C27900">
            <w:pPr>
              <w:tabs>
                <w:tab w:val="decimal" w:pos="113"/>
              </w:tabs>
              <w:spacing w:line="200" w:lineRule="exact"/>
              <w:rPr>
                <w:sz w:val="18"/>
                <w:szCs w:val="20"/>
              </w:rPr>
            </w:pPr>
          </w:p>
        </w:tc>
        <w:tc>
          <w:tcPr>
            <w:tcW w:w="113" w:type="dxa"/>
            <w:shd w:val="clear" w:color="auto" w:fill="auto"/>
            <w:vAlign w:val="bottom"/>
          </w:tcPr>
          <w:p w14:paraId="36836C4E" w14:textId="77777777" w:rsidR="005B6A6B" w:rsidRPr="00C27900" w:rsidRDefault="005B6A6B" w:rsidP="00C27900">
            <w:pPr>
              <w:tabs>
                <w:tab w:val="decimal" w:pos="113"/>
              </w:tabs>
              <w:spacing w:line="200" w:lineRule="exact"/>
              <w:rPr>
                <w:sz w:val="18"/>
                <w:szCs w:val="20"/>
              </w:rPr>
            </w:pPr>
          </w:p>
        </w:tc>
        <w:tc>
          <w:tcPr>
            <w:tcW w:w="1192" w:type="dxa"/>
            <w:shd w:val="clear" w:color="auto" w:fill="auto"/>
            <w:vAlign w:val="bottom"/>
          </w:tcPr>
          <w:p w14:paraId="6ADEBA56" w14:textId="77777777" w:rsidR="005B6A6B" w:rsidRPr="00C27900" w:rsidRDefault="005B6A6B" w:rsidP="00C27900">
            <w:pPr>
              <w:tabs>
                <w:tab w:val="decimal" w:pos="113"/>
              </w:tabs>
              <w:spacing w:line="200" w:lineRule="exact"/>
              <w:rPr>
                <w:sz w:val="18"/>
                <w:szCs w:val="20"/>
                <w:rtl/>
              </w:rPr>
            </w:pPr>
          </w:p>
        </w:tc>
      </w:tr>
      <w:tr w:rsidR="00E6640A" w:rsidRPr="00C27900" w14:paraId="2F48532C" w14:textId="77777777" w:rsidTr="00280C26">
        <w:tc>
          <w:tcPr>
            <w:tcW w:w="623" w:type="dxa"/>
            <w:shd w:val="clear" w:color="auto" w:fill="auto"/>
            <w:vAlign w:val="bottom"/>
          </w:tcPr>
          <w:p w14:paraId="58C15D79"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0D2BDEF3"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נכסים בלתי מוחשיים</w:t>
            </w:r>
          </w:p>
        </w:tc>
        <w:tc>
          <w:tcPr>
            <w:tcW w:w="113" w:type="dxa"/>
            <w:shd w:val="clear" w:color="auto" w:fill="auto"/>
            <w:vAlign w:val="bottom"/>
          </w:tcPr>
          <w:p w14:paraId="6714CAA5" w14:textId="77777777" w:rsidR="00E6640A" w:rsidRPr="00C27900" w:rsidRDefault="00E6640A" w:rsidP="00C27900">
            <w:pPr>
              <w:spacing w:line="200" w:lineRule="exact"/>
              <w:rPr>
                <w:sz w:val="18"/>
                <w:szCs w:val="20"/>
              </w:rPr>
            </w:pPr>
          </w:p>
        </w:tc>
        <w:tc>
          <w:tcPr>
            <w:tcW w:w="907" w:type="dxa"/>
            <w:vAlign w:val="bottom"/>
          </w:tcPr>
          <w:p w14:paraId="23AF08E4"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0CF4CA5A"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2603A90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5782C35"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E44F613"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6A1047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A34AFE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24D21FC"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741D9E21" w14:textId="77777777" w:rsidR="00E6640A" w:rsidRPr="00C27900" w:rsidRDefault="00E6640A" w:rsidP="00C27900">
            <w:pPr>
              <w:tabs>
                <w:tab w:val="decimal" w:pos="113"/>
              </w:tabs>
              <w:spacing w:line="200" w:lineRule="exact"/>
              <w:rPr>
                <w:sz w:val="18"/>
                <w:szCs w:val="20"/>
                <w:rtl/>
              </w:rPr>
            </w:pPr>
          </w:p>
        </w:tc>
      </w:tr>
      <w:tr w:rsidR="00E6640A" w:rsidRPr="00C27900" w14:paraId="30AF3138" w14:textId="77777777" w:rsidTr="00280C26">
        <w:tc>
          <w:tcPr>
            <w:tcW w:w="623" w:type="dxa"/>
            <w:shd w:val="clear" w:color="auto" w:fill="auto"/>
            <w:vAlign w:val="bottom"/>
          </w:tcPr>
          <w:p w14:paraId="04AB8A24"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43DF41AC"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מוניטין</w:t>
            </w:r>
          </w:p>
        </w:tc>
        <w:tc>
          <w:tcPr>
            <w:tcW w:w="113" w:type="dxa"/>
            <w:shd w:val="clear" w:color="auto" w:fill="auto"/>
            <w:vAlign w:val="bottom"/>
          </w:tcPr>
          <w:p w14:paraId="66E73EF8" w14:textId="77777777" w:rsidR="00E6640A" w:rsidRPr="00C27900" w:rsidRDefault="00E6640A" w:rsidP="00C27900">
            <w:pPr>
              <w:spacing w:line="200" w:lineRule="exact"/>
              <w:rPr>
                <w:sz w:val="18"/>
                <w:szCs w:val="20"/>
              </w:rPr>
            </w:pPr>
          </w:p>
        </w:tc>
        <w:tc>
          <w:tcPr>
            <w:tcW w:w="907" w:type="dxa"/>
            <w:vAlign w:val="bottom"/>
          </w:tcPr>
          <w:p w14:paraId="5067A7FA"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33A413A3"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38922AA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A7C4693"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CAC6EC9"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E22F8C0"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EADAE9A"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80FFD0C"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86B8A8D" w14:textId="77777777" w:rsidR="00E6640A" w:rsidRPr="00C27900" w:rsidRDefault="00E6640A" w:rsidP="00C27900">
            <w:pPr>
              <w:tabs>
                <w:tab w:val="decimal" w:pos="113"/>
              </w:tabs>
              <w:spacing w:line="200" w:lineRule="exact"/>
              <w:rPr>
                <w:sz w:val="18"/>
                <w:szCs w:val="20"/>
                <w:rtl/>
              </w:rPr>
            </w:pPr>
          </w:p>
        </w:tc>
      </w:tr>
      <w:tr w:rsidR="00E6640A" w:rsidRPr="00C27900" w14:paraId="45646EDB" w14:textId="77777777" w:rsidTr="00280C26">
        <w:tc>
          <w:tcPr>
            <w:tcW w:w="623" w:type="dxa"/>
            <w:shd w:val="clear" w:color="auto" w:fill="auto"/>
            <w:vAlign w:val="bottom"/>
          </w:tcPr>
          <w:p w14:paraId="4BFFFDB2" w14:textId="77777777" w:rsidR="00E6640A" w:rsidRPr="00C27900" w:rsidRDefault="00E6640A" w:rsidP="00C27900">
            <w:pPr>
              <w:pStyle w:val="a3"/>
              <w:tabs>
                <w:tab w:val="left" w:pos="227"/>
                <w:tab w:val="left" w:pos="397"/>
                <w:tab w:val="left" w:pos="567"/>
              </w:tabs>
              <w:spacing w:line="200" w:lineRule="exact"/>
              <w:jc w:val="both"/>
              <w:rPr>
                <w:sz w:val="18"/>
                <w:szCs w:val="20"/>
                <w:rtl/>
              </w:rPr>
            </w:pPr>
          </w:p>
        </w:tc>
        <w:tc>
          <w:tcPr>
            <w:tcW w:w="3692" w:type="dxa"/>
            <w:gridSpan w:val="2"/>
            <w:shd w:val="clear" w:color="auto" w:fill="auto"/>
            <w:vAlign w:val="bottom"/>
          </w:tcPr>
          <w:p w14:paraId="36B47307" w14:textId="77777777" w:rsidR="00E6640A" w:rsidRPr="00C27900" w:rsidRDefault="00E6640A" w:rsidP="00C27900">
            <w:pPr>
              <w:pStyle w:val="a3"/>
              <w:tabs>
                <w:tab w:val="left" w:pos="227"/>
                <w:tab w:val="left" w:pos="397"/>
                <w:tab w:val="left" w:pos="567"/>
              </w:tabs>
              <w:spacing w:line="200" w:lineRule="exact"/>
              <w:ind w:left="227" w:hanging="170"/>
              <w:rPr>
                <w:sz w:val="18"/>
                <w:szCs w:val="20"/>
                <w:rtl/>
              </w:rPr>
            </w:pPr>
            <w:r w:rsidRPr="00C27900">
              <w:rPr>
                <w:rFonts w:hint="cs"/>
                <w:sz w:val="18"/>
                <w:szCs w:val="20"/>
                <w:rtl/>
              </w:rPr>
              <w:t>מסים נדחים</w:t>
            </w:r>
          </w:p>
        </w:tc>
        <w:tc>
          <w:tcPr>
            <w:tcW w:w="113" w:type="dxa"/>
            <w:shd w:val="clear" w:color="auto" w:fill="auto"/>
            <w:vAlign w:val="bottom"/>
          </w:tcPr>
          <w:p w14:paraId="43AD9375" w14:textId="77777777" w:rsidR="00E6640A" w:rsidRPr="00C27900" w:rsidRDefault="00E6640A" w:rsidP="00C27900">
            <w:pPr>
              <w:spacing w:line="200" w:lineRule="exact"/>
              <w:rPr>
                <w:sz w:val="18"/>
                <w:szCs w:val="20"/>
              </w:rPr>
            </w:pPr>
          </w:p>
        </w:tc>
        <w:tc>
          <w:tcPr>
            <w:tcW w:w="907" w:type="dxa"/>
            <w:vAlign w:val="bottom"/>
          </w:tcPr>
          <w:p w14:paraId="74FEC704"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6D25EAA6"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62A7C86E"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9C113FA"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F284CDD"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8199B78"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96E149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F1A034A"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73FCD42B" w14:textId="77777777" w:rsidR="00E6640A" w:rsidRPr="00C27900" w:rsidRDefault="00E6640A" w:rsidP="00C27900">
            <w:pPr>
              <w:tabs>
                <w:tab w:val="decimal" w:pos="113"/>
              </w:tabs>
              <w:spacing w:line="200" w:lineRule="exact"/>
              <w:rPr>
                <w:sz w:val="18"/>
                <w:szCs w:val="20"/>
                <w:rtl/>
              </w:rPr>
            </w:pPr>
          </w:p>
        </w:tc>
      </w:tr>
      <w:tr w:rsidR="00E6640A" w:rsidRPr="00C27900" w14:paraId="66F5343C" w14:textId="77777777" w:rsidTr="00280C26">
        <w:tc>
          <w:tcPr>
            <w:tcW w:w="623" w:type="dxa"/>
            <w:shd w:val="clear" w:color="auto" w:fill="auto"/>
            <w:vAlign w:val="bottom"/>
          </w:tcPr>
          <w:p w14:paraId="38FD9D81" w14:textId="77777777" w:rsidR="00E6640A" w:rsidRPr="00C27900" w:rsidRDefault="00E6640A" w:rsidP="00C27900">
            <w:pPr>
              <w:pStyle w:val="a3"/>
              <w:tabs>
                <w:tab w:val="left" w:pos="227"/>
                <w:tab w:val="left" w:pos="397"/>
                <w:tab w:val="left" w:pos="567"/>
              </w:tabs>
              <w:spacing w:line="200" w:lineRule="exact"/>
              <w:jc w:val="both"/>
              <w:rPr>
                <w:sz w:val="18"/>
                <w:szCs w:val="20"/>
                <w:rtl/>
              </w:rPr>
            </w:pPr>
          </w:p>
        </w:tc>
        <w:tc>
          <w:tcPr>
            <w:tcW w:w="3692" w:type="dxa"/>
            <w:gridSpan w:val="2"/>
            <w:shd w:val="clear" w:color="auto" w:fill="auto"/>
            <w:vAlign w:val="bottom"/>
          </w:tcPr>
          <w:p w14:paraId="74901E73" w14:textId="77777777" w:rsidR="00E6640A" w:rsidRPr="00C27900" w:rsidRDefault="00E6640A" w:rsidP="00C27900">
            <w:pPr>
              <w:pStyle w:val="a3"/>
              <w:tabs>
                <w:tab w:val="left" w:pos="227"/>
                <w:tab w:val="left" w:pos="397"/>
                <w:tab w:val="left" w:pos="567"/>
              </w:tabs>
              <w:spacing w:line="200" w:lineRule="exact"/>
              <w:ind w:left="227" w:hanging="170"/>
              <w:rPr>
                <w:sz w:val="18"/>
                <w:szCs w:val="20"/>
                <w:rtl/>
              </w:rPr>
            </w:pPr>
            <w:r w:rsidRPr="00C27900">
              <w:rPr>
                <w:rFonts w:hint="cs"/>
                <w:sz w:val="18"/>
                <w:szCs w:val="20"/>
                <w:rtl/>
              </w:rPr>
              <w:t>זכאים בגין רכישת השקעות בחברות מאוחדות</w:t>
            </w:r>
          </w:p>
        </w:tc>
        <w:tc>
          <w:tcPr>
            <w:tcW w:w="113" w:type="dxa"/>
            <w:shd w:val="clear" w:color="auto" w:fill="auto"/>
            <w:vAlign w:val="bottom"/>
          </w:tcPr>
          <w:p w14:paraId="57ED11A5" w14:textId="77777777" w:rsidR="00E6640A" w:rsidRPr="00C27900" w:rsidRDefault="00E6640A" w:rsidP="00C27900">
            <w:pPr>
              <w:spacing w:line="200" w:lineRule="exact"/>
              <w:rPr>
                <w:sz w:val="18"/>
                <w:szCs w:val="20"/>
              </w:rPr>
            </w:pPr>
          </w:p>
        </w:tc>
        <w:tc>
          <w:tcPr>
            <w:tcW w:w="907" w:type="dxa"/>
            <w:vAlign w:val="bottom"/>
          </w:tcPr>
          <w:p w14:paraId="3CCAC820"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4A6C3DA7"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35861B3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4CDF360"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BFE9C25"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11B8EB1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E1ECAC8"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E56522A"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09B0AAB" w14:textId="77777777" w:rsidR="00E6640A" w:rsidRPr="00C27900" w:rsidRDefault="00E6640A" w:rsidP="00C27900">
            <w:pPr>
              <w:tabs>
                <w:tab w:val="decimal" w:pos="113"/>
              </w:tabs>
              <w:spacing w:line="200" w:lineRule="exact"/>
              <w:rPr>
                <w:sz w:val="18"/>
                <w:szCs w:val="20"/>
                <w:rtl/>
              </w:rPr>
            </w:pPr>
          </w:p>
        </w:tc>
      </w:tr>
      <w:tr w:rsidR="005B6A6B" w:rsidRPr="00C27900" w14:paraId="011F8A87" w14:textId="77777777" w:rsidTr="00280C26">
        <w:tc>
          <w:tcPr>
            <w:tcW w:w="623" w:type="dxa"/>
            <w:shd w:val="clear" w:color="auto" w:fill="auto"/>
            <w:vAlign w:val="bottom"/>
          </w:tcPr>
          <w:p w14:paraId="730FB16E" w14:textId="77777777" w:rsidR="005B6A6B" w:rsidRPr="00C27900" w:rsidRDefault="005B6A6B" w:rsidP="00C27900">
            <w:pPr>
              <w:pStyle w:val="a3"/>
              <w:tabs>
                <w:tab w:val="left" w:pos="227"/>
                <w:tab w:val="left" w:pos="397"/>
                <w:tab w:val="left" w:pos="567"/>
              </w:tabs>
              <w:spacing w:line="200" w:lineRule="exact"/>
              <w:jc w:val="both"/>
              <w:rPr>
                <w:sz w:val="18"/>
                <w:szCs w:val="20"/>
                <w:rtl/>
              </w:rPr>
            </w:pPr>
          </w:p>
        </w:tc>
        <w:tc>
          <w:tcPr>
            <w:tcW w:w="3692" w:type="dxa"/>
            <w:gridSpan w:val="2"/>
            <w:shd w:val="clear" w:color="auto" w:fill="auto"/>
            <w:vAlign w:val="bottom"/>
          </w:tcPr>
          <w:p w14:paraId="3C16CBB6" w14:textId="79ABF483" w:rsidR="005B6A6B" w:rsidRPr="00C27900" w:rsidRDefault="005B6A6B" w:rsidP="00C27900">
            <w:pPr>
              <w:pStyle w:val="a3"/>
              <w:tabs>
                <w:tab w:val="left" w:pos="227"/>
                <w:tab w:val="left" w:pos="397"/>
                <w:tab w:val="left" w:pos="567"/>
              </w:tabs>
              <w:spacing w:line="200" w:lineRule="exact"/>
              <w:ind w:left="227" w:hanging="170"/>
              <w:rPr>
                <w:sz w:val="18"/>
                <w:szCs w:val="20"/>
                <w:rtl/>
              </w:rPr>
            </w:pPr>
            <w:r>
              <w:rPr>
                <w:rFonts w:hint="cs"/>
                <w:sz w:val="18"/>
                <w:szCs w:val="20"/>
                <w:rtl/>
              </w:rPr>
              <w:t>התחייבויות בגין חכירה</w:t>
            </w:r>
          </w:p>
        </w:tc>
        <w:tc>
          <w:tcPr>
            <w:tcW w:w="113" w:type="dxa"/>
            <w:shd w:val="clear" w:color="auto" w:fill="auto"/>
            <w:vAlign w:val="bottom"/>
          </w:tcPr>
          <w:p w14:paraId="5191DD9B" w14:textId="77777777" w:rsidR="005B6A6B" w:rsidRPr="00C27900" w:rsidRDefault="005B6A6B" w:rsidP="00C27900">
            <w:pPr>
              <w:spacing w:line="200" w:lineRule="exact"/>
              <w:rPr>
                <w:sz w:val="18"/>
                <w:szCs w:val="20"/>
              </w:rPr>
            </w:pPr>
          </w:p>
        </w:tc>
        <w:tc>
          <w:tcPr>
            <w:tcW w:w="907" w:type="dxa"/>
            <w:vAlign w:val="bottom"/>
          </w:tcPr>
          <w:p w14:paraId="63EF7100" w14:textId="77777777" w:rsidR="005B6A6B" w:rsidRPr="00C27900" w:rsidRDefault="005B6A6B" w:rsidP="00C27900">
            <w:pPr>
              <w:tabs>
                <w:tab w:val="decimal" w:pos="113"/>
              </w:tabs>
              <w:spacing w:line="200" w:lineRule="exact"/>
              <w:rPr>
                <w:sz w:val="18"/>
                <w:szCs w:val="20"/>
                <w:rtl/>
              </w:rPr>
            </w:pPr>
          </w:p>
        </w:tc>
        <w:tc>
          <w:tcPr>
            <w:tcW w:w="113" w:type="dxa"/>
            <w:vAlign w:val="bottom"/>
          </w:tcPr>
          <w:p w14:paraId="73CF0A34" w14:textId="77777777" w:rsidR="005B6A6B" w:rsidRPr="00C27900" w:rsidRDefault="005B6A6B" w:rsidP="00C27900">
            <w:pPr>
              <w:tabs>
                <w:tab w:val="decimal" w:pos="113"/>
              </w:tabs>
              <w:spacing w:line="200" w:lineRule="exact"/>
              <w:rPr>
                <w:sz w:val="18"/>
                <w:szCs w:val="20"/>
              </w:rPr>
            </w:pPr>
          </w:p>
        </w:tc>
        <w:tc>
          <w:tcPr>
            <w:tcW w:w="907" w:type="dxa"/>
            <w:gridSpan w:val="2"/>
            <w:shd w:val="clear" w:color="auto" w:fill="auto"/>
            <w:vAlign w:val="bottom"/>
          </w:tcPr>
          <w:p w14:paraId="68C75ABC" w14:textId="77777777" w:rsidR="005B6A6B" w:rsidRPr="00C27900" w:rsidRDefault="005B6A6B" w:rsidP="00C27900">
            <w:pPr>
              <w:tabs>
                <w:tab w:val="decimal" w:pos="113"/>
              </w:tabs>
              <w:spacing w:line="200" w:lineRule="exact"/>
              <w:rPr>
                <w:sz w:val="18"/>
                <w:szCs w:val="20"/>
              </w:rPr>
            </w:pPr>
          </w:p>
        </w:tc>
        <w:tc>
          <w:tcPr>
            <w:tcW w:w="113" w:type="dxa"/>
            <w:shd w:val="clear" w:color="auto" w:fill="auto"/>
            <w:vAlign w:val="bottom"/>
          </w:tcPr>
          <w:p w14:paraId="42F0C33A" w14:textId="77777777" w:rsidR="005B6A6B" w:rsidRPr="00C27900" w:rsidRDefault="005B6A6B" w:rsidP="00C27900">
            <w:pPr>
              <w:tabs>
                <w:tab w:val="decimal" w:pos="113"/>
              </w:tabs>
              <w:spacing w:line="200" w:lineRule="exact"/>
              <w:rPr>
                <w:sz w:val="18"/>
                <w:szCs w:val="20"/>
              </w:rPr>
            </w:pPr>
          </w:p>
        </w:tc>
        <w:tc>
          <w:tcPr>
            <w:tcW w:w="907" w:type="dxa"/>
            <w:shd w:val="clear" w:color="auto" w:fill="auto"/>
            <w:vAlign w:val="bottom"/>
          </w:tcPr>
          <w:p w14:paraId="297E5540" w14:textId="77777777" w:rsidR="005B6A6B" w:rsidRPr="00C27900" w:rsidRDefault="005B6A6B" w:rsidP="00C27900">
            <w:pPr>
              <w:tabs>
                <w:tab w:val="decimal" w:pos="113"/>
              </w:tabs>
              <w:spacing w:line="200" w:lineRule="exact"/>
              <w:rPr>
                <w:sz w:val="18"/>
                <w:szCs w:val="20"/>
                <w:rtl/>
              </w:rPr>
            </w:pPr>
          </w:p>
        </w:tc>
        <w:tc>
          <w:tcPr>
            <w:tcW w:w="113" w:type="dxa"/>
            <w:shd w:val="clear" w:color="auto" w:fill="auto"/>
            <w:vAlign w:val="bottom"/>
          </w:tcPr>
          <w:p w14:paraId="6E992F2C" w14:textId="77777777" w:rsidR="005B6A6B" w:rsidRPr="00C27900" w:rsidRDefault="005B6A6B" w:rsidP="00C27900">
            <w:pPr>
              <w:tabs>
                <w:tab w:val="decimal" w:pos="113"/>
              </w:tabs>
              <w:spacing w:line="200" w:lineRule="exact"/>
              <w:rPr>
                <w:sz w:val="18"/>
                <w:szCs w:val="20"/>
              </w:rPr>
            </w:pPr>
          </w:p>
        </w:tc>
        <w:tc>
          <w:tcPr>
            <w:tcW w:w="907" w:type="dxa"/>
            <w:shd w:val="clear" w:color="auto" w:fill="auto"/>
            <w:vAlign w:val="bottom"/>
          </w:tcPr>
          <w:p w14:paraId="05B38A4C" w14:textId="77777777" w:rsidR="005B6A6B" w:rsidRPr="00C27900" w:rsidRDefault="005B6A6B" w:rsidP="00C27900">
            <w:pPr>
              <w:tabs>
                <w:tab w:val="decimal" w:pos="113"/>
              </w:tabs>
              <w:spacing w:line="200" w:lineRule="exact"/>
              <w:rPr>
                <w:sz w:val="18"/>
                <w:szCs w:val="20"/>
              </w:rPr>
            </w:pPr>
          </w:p>
        </w:tc>
        <w:tc>
          <w:tcPr>
            <w:tcW w:w="113" w:type="dxa"/>
            <w:shd w:val="clear" w:color="auto" w:fill="auto"/>
            <w:vAlign w:val="bottom"/>
          </w:tcPr>
          <w:p w14:paraId="53CD3AE2" w14:textId="77777777" w:rsidR="005B6A6B" w:rsidRPr="00C27900" w:rsidRDefault="005B6A6B" w:rsidP="00C27900">
            <w:pPr>
              <w:tabs>
                <w:tab w:val="decimal" w:pos="113"/>
              </w:tabs>
              <w:spacing w:line="200" w:lineRule="exact"/>
              <w:rPr>
                <w:sz w:val="18"/>
                <w:szCs w:val="20"/>
              </w:rPr>
            </w:pPr>
          </w:p>
        </w:tc>
        <w:tc>
          <w:tcPr>
            <w:tcW w:w="1192" w:type="dxa"/>
            <w:shd w:val="clear" w:color="auto" w:fill="auto"/>
            <w:vAlign w:val="bottom"/>
          </w:tcPr>
          <w:p w14:paraId="0358CF90" w14:textId="77777777" w:rsidR="005B6A6B" w:rsidRPr="00C27900" w:rsidRDefault="005B6A6B" w:rsidP="00C27900">
            <w:pPr>
              <w:tabs>
                <w:tab w:val="decimal" w:pos="113"/>
              </w:tabs>
              <w:spacing w:line="200" w:lineRule="exact"/>
              <w:rPr>
                <w:sz w:val="18"/>
                <w:szCs w:val="20"/>
                <w:rtl/>
              </w:rPr>
            </w:pPr>
          </w:p>
        </w:tc>
      </w:tr>
      <w:tr w:rsidR="00E6640A" w:rsidRPr="00C27900" w14:paraId="4A4FF9B2" w14:textId="77777777" w:rsidTr="00280C26">
        <w:tc>
          <w:tcPr>
            <w:tcW w:w="623" w:type="dxa"/>
            <w:shd w:val="clear" w:color="auto" w:fill="auto"/>
            <w:vAlign w:val="bottom"/>
          </w:tcPr>
          <w:p w14:paraId="67E1D423"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D942398" w14:textId="7ECE2800"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התחייבויות לא שוטפות</w:t>
            </w:r>
            <w:r w:rsidR="005B6A6B">
              <w:rPr>
                <w:rFonts w:hint="cs"/>
                <w:sz w:val="18"/>
                <w:szCs w:val="20"/>
                <w:rtl/>
              </w:rPr>
              <w:t xml:space="preserve"> אחרות</w:t>
            </w:r>
          </w:p>
        </w:tc>
        <w:tc>
          <w:tcPr>
            <w:tcW w:w="113" w:type="dxa"/>
            <w:shd w:val="clear" w:color="auto" w:fill="auto"/>
            <w:vAlign w:val="bottom"/>
          </w:tcPr>
          <w:p w14:paraId="1726791B" w14:textId="77777777" w:rsidR="00E6640A" w:rsidRPr="00C27900" w:rsidRDefault="00E6640A" w:rsidP="00C27900">
            <w:pPr>
              <w:spacing w:line="200" w:lineRule="exact"/>
              <w:rPr>
                <w:sz w:val="18"/>
                <w:szCs w:val="20"/>
              </w:rPr>
            </w:pPr>
          </w:p>
        </w:tc>
        <w:tc>
          <w:tcPr>
            <w:tcW w:w="907" w:type="dxa"/>
            <w:vAlign w:val="bottom"/>
          </w:tcPr>
          <w:p w14:paraId="3A00B017"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47702D6F"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358BD55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0833DAC"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5E1C0A1"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0A7D5D3"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1C2EAB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DB3AAB3"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30A879A8" w14:textId="77777777" w:rsidR="00E6640A" w:rsidRPr="00C27900" w:rsidRDefault="00E6640A" w:rsidP="00C27900">
            <w:pPr>
              <w:tabs>
                <w:tab w:val="decimal" w:pos="113"/>
              </w:tabs>
              <w:spacing w:line="200" w:lineRule="exact"/>
              <w:rPr>
                <w:sz w:val="18"/>
                <w:szCs w:val="20"/>
                <w:rtl/>
              </w:rPr>
            </w:pPr>
          </w:p>
        </w:tc>
      </w:tr>
      <w:tr w:rsidR="00E6640A" w:rsidRPr="00C27900" w14:paraId="7BCB1408" w14:textId="77777777" w:rsidTr="00280C26">
        <w:tc>
          <w:tcPr>
            <w:tcW w:w="623" w:type="dxa"/>
            <w:shd w:val="clear" w:color="auto" w:fill="auto"/>
            <w:vAlign w:val="bottom"/>
          </w:tcPr>
          <w:p w14:paraId="792B0F6E"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03FBF323"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זכויות שאינן מקנות שליטה</w:t>
            </w:r>
          </w:p>
        </w:tc>
        <w:tc>
          <w:tcPr>
            <w:tcW w:w="113" w:type="dxa"/>
            <w:shd w:val="clear" w:color="auto" w:fill="auto"/>
            <w:vAlign w:val="bottom"/>
          </w:tcPr>
          <w:p w14:paraId="73AB4913" w14:textId="77777777" w:rsidR="00E6640A" w:rsidRPr="00C27900" w:rsidRDefault="00E6640A" w:rsidP="00C27900">
            <w:pPr>
              <w:spacing w:line="200" w:lineRule="exact"/>
              <w:rPr>
                <w:sz w:val="18"/>
                <w:szCs w:val="20"/>
              </w:rPr>
            </w:pPr>
          </w:p>
        </w:tc>
        <w:tc>
          <w:tcPr>
            <w:tcW w:w="907" w:type="dxa"/>
            <w:vAlign w:val="bottom"/>
          </w:tcPr>
          <w:p w14:paraId="0D1F430F"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035C5252"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7CECC4A"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37FE4B6"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C75EBEF"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2E93D83"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8E9B703"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91EC190"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BF47220" w14:textId="77777777" w:rsidR="00E6640A" w:rsidRPr="00C27900" w:rsidRDefault="00E6640A" w:rsidP="00C27900">
            <w:pPr>
              <w:tabs>
                <w:tab w:val="decimal" w:pos="113"/>
              </w:tabs>
              <w:spacing w:line="200" w:lineRule="exact"/>
              <w:rPr>
                <w:sz w:val="18"/>
                <w:szCs w:val="20"/>
                <w:rtl/>
              </w:rPr>
            </w:pPr>
          </w:p>
        </w:tc>
      </w:tr>
      <w:tr w:rsidR="00E6640A" w:rsidRPr="00C27900" w14:paraId="5ECFD108" w14:textId="77777777" w:rsidTr="00280C26">
        <w:tc>
          <w:tcPr>
            <w:tcW w:w="623" w:type="dxa"/>
            <w:shd w:val="clear" w:color="auto" w:fill="auto"/>
            <w:vAlign w:val="bottom"/>
          </w:tcPr>
          <w:p w14:paraId="38CC7204"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163EC7B7"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 xml:space="preserve">רווח (הפסד) בגין מדידה מחדש של השקעה בחברה המטופלת לפי שיטת השווי המאזני </w:t>
            </w:r>
          </w:p>
        </w:tc>
        <w:tc>
          <w:tcPr>
            <w:tcW w:w="113" w:type="dxa"/>
            <w:shd w:val="clear" w:color="auto" w:fill="auto"/>
            <w:vAlign w:val="bottom"/>
          </w:tcPr>
          <w:p w14:paraId="01807D2B" w14:textId="77777777" w:rsidR="00E6640A" w:rsidRPr="00C27900" w:rsidRDefault="00E6640A" w:rsidP="00C27900">
            <w:pPr>
              <w:spacing w:line="200" w:lineRule="exact"/>
              <w:rPr>
                <w:sz w:val="18"/>
                <w:szCs w:val="20"/>
              </w:rPr>
            </w:pPr>
          </w:p>
        </w:tc>
        <w:tc>
          <w:tcPr>
            <w:tcW w:w="907" w:type="dxa"/>
            <w:vAlign w:val="bottom"/>
          </w:tcPr>
          <w:p w14:paraId="394E8B40"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540EBAC"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769DE71E"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2B86E99"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877B16F"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42DEBE99"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642D42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CD22E43"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2645CCD5" w14:textId="77777777" w:rsidR="00E6640A" w:rsidRPr="00C27900" w:rsidRDefault="00E6640A" w:rsidP="00C27900">
            <w:pPr>
              <w:tabs>
                <w:tab w:val="decimal" w:pos="113"/>
              </w:tabs>
              <w:spacing w:line="200" w:lineRule="exact"/>
              <w:rPr>
                <w:sz w:val="18"/>
                <w:szCs w:val="20"/>
                <w:rtl/>
              </w:rPr>
            </w:pPr>
          </w:p>
        </w:tc>
      </w:tr>
      <w:tr w:rsidR="00E6640A" w:rsidRPr="00C27900" w14:paraId="75C76142" w14:textId="77777777" w:rsidTr="00280C26">
        <w:tc>
          <w:tcPr>
            <w:tcW w:w="623" w:type="dxa"/>
            <w:shd w:val="clear" w:color="auto" w:fill="auto"/>
            <w:vAlign w:val="bottom"/>
          </w:tcPr>
          <w:p w14:paraId="65930EF3"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5B16175"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השקעה בחברה המטופלת לפי שיטת השווי המאזני</w:t>
            </w:r>
          </w:p>
        </w:tc>
        <w:tc>
          <w:tcPr>
            <w:tcW w:w="113" w:type="dxa"/>
            <w:shd w:val="clear" w:color="auto" w:fill="auto"/>
            <w:vAlign w:val="bottom"/>
          </w:tcPr>
          <w:p w14:paraId="10F4B5E6" w14:textId="77777777" w:rsidR="00E6640A" w:rsidRPr="00C27900" w:rsidRDefault="00E6640A" w:rsidP="00C27900">
            <w:pPr>
              <w:spacing w:line="200" w:lineRule="exact"/>
              <w:rPr>
                <w:sz w:val="18"/>
                <w:szCs w:val="20"/>
              </w:rPr>
            </w:pPr>
          </w:p>
        </w:tc>
        <w:tc>
          <w:tcPr>
            <w:tcW w:w="907" w:type="dxa"/>
            <w:tcBorders>
              <w:bottom w:val="single" w:sz="6" w:space="0" w:color="auto"/>
            </w:tcBorders>
            <w:shd w:val="clear" w:color="auto" w:fill="auto"/>
            <w:vAlign w:val="bottom"/>
          </w:tcPr>
          <w:p w14:paraId="16F2FDB7"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02FC2210" w14:textId="77777777" w:rsidR="00E6640A" w:rsidRPr="00C27900" w:rsidRDefault="00E6640A" w:rsidP="00C27900">
            <w:pPr>
              <w:tabs>
                <w:tab w:val="decimal" w:pos="113"/>
              </w:tabs>
              <w:spacing w:line="200" w:lineRule="exact"/>
              <w:rPr>
                <w:sz w:val="18"/>
                <w:szCs w:val="20"/>
              </w:rPr>
            </w:pPr>
          </w:p>
        </w:tc>
        <w:tc>
          <w:tcPr>
            <w:tcW w:w="907" w:type="dxa"/>
            <w:gridSpan w:val="2"/>
            <w:tcBorders>
              <w:bottom w:val="single" w:sz="6" w:space="0" w:color="auto"/>
            </w:tcBorders>
            <w:shd w:val="clear" w:color="auto" w:fill="auto"/>
            <w:vAlign w:val="bottom"/>
          </w:tcPr>
          <w:p w14:paraId="1DB3655B"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644079E" w14:textId="77777777" w:rsidR="00E6640A" w:rsidRPr="00C27900" w:rsidRDefault="00E6640A" w:rsidP="00C27900">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7AE4DB50"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8BE7EA1" w14:textId="77777777" w:rsidR="00E6640A" w:rsidRPr="00C27900" w:rsidRDefault="00E6640A" w:rsidP="00C27900">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7F0CB5FC"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5AE7A09" w14:textId="77777777" w:rsidR="00E6640A" w:rsidRPr="00C27900" w:rsidRDefault="00E6640A" w:rsidP="00C27900">
            <w:pPr>
              <w:tabs>
                <w:tab w:val="decimal" w:pos="113"/>
              </w:tabs>
              <w:spacing w:line="200" w:lineRule="exact"/>
              <w:rPr>
                <w:sz w:val="18"/>
                <w:szCs w:val="20"/>
              </w:rPr>
            </w:pPr>
          </w:p>
        </w:tc>
        <w:tc>
          <w:tcPr>
            <w:tcW w:w="1192" w:type="dxa"/>
            <w:tcBorders>
              <w:bottom w:val="single" w:sz="6" w:space="0" w:color="auto"/>
            </w:tcBorders>
            <w:shd w:val="clear" w:color="auto" w:fill="auto"/>
            <w:vAlign w:val="bottom"/>
          </w:tcPr>
          <w:p w14:paraId="318C7DEB" w14:textId="77777777" w:rsidR="00E6640A" w:rsidRPr="00C27900" w:rsidRDefault="00E6640A" w:rsidP="00C27900">
            <w:pPr>
              <w:tabs>
                <w:tab w:val="decimal" w:pos="113"/>
              </w:tabs>
              <w:spacing w:line="200" w:lineRule="exact"/>
              <w:rPr>
                <w:sz w:val="18"/>
                <w:szCs w:val="20"/>
                <w:rtl/>
              </w:rPr>
            </w:pPr>
          </w:p>
        </w:tc>
      </w:tr>
      <w:tr w:rsidR="00E6640A" w:rsidRPr="00C27900" w14:paraId="48427FF0" w14:textId="77777777" w:rsidTr="00280C26">
        <w:tc>
          <w:tcPr>
            <w:tcW w:w="623" w:type="dxa"/>
            <w:shd w:val="clear" w:color="auto" w:fill="auto"/>
            <w:vAlign w:val="bottom"/>
          </w:tcPr>
          <w:p w14:paraId="7CEB065A"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F5FA1C1"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72CD5B14" w14:textId="77777777" w:rsidR="00E6640A" w:rsidRPr="00C27900" w:rsidRDefault="00E6640A" w:rsidP="00C27900">
            <w:pPr>
              <w:spacing w:line="200" w:lineRule="exact"/>
              <w:rPr>
                <w:sz w:val="18"/>
                <w:szCs w:val="20"/>
              </w:rPr>
            </w:pPr>
          </w:p>
        </w:tc>
        <w:tc>
          <w:tcPr>
            <w:tcW w:w="907" w:type="dxa"/>
            <w:tcBorders>
              <w:top w:val="single" w:sz="6" w:space="0" w:color="auto"/>
            </w:tcBorders>
            <w:vAlign w:val="bottom"/>
          </w:tcPr>
          <w:p w14:paraId="4B2BF2AB"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7009733E" w14:textId="77777777" w:rsidR="00E6640A" w:rsidRPr="00C27900" w:rsidRDefault="00E6640A" w:rsidP="00C27900">
            <w:pPr>
              <w:tabs>
                <w:tab w:val="decimal" w:pos="113"/>
              </w:tabs>
              <w:spacing w:line="200" w:lineRule="exact"/>
              <w:rPr>
                <w:sz w:val="18"/>
                <w:szCs w:val="20"/>
              </w:rPr>
            </w:pPr>
          </w:p>
        </w:tc>
        <w:tc>
          <w:tcPr>
            <w:tcW w:w="907" w:type="dxa"/>
            <w:gridSpan w:val="2"/>
            <w:tcBorders>
              <w:top w:val="single" w:sz="6" w:space="0" w:color="auto"/>
            </w:tcBorders>
            <w:shd w:val="clear" w:color="auto" w:fill="auto"/>
            <w:vAlign w:val="bottom"/>
          </w:tcPr>
          <w:p w14:paraId="35970BA8"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EA708DD" w14:textId="77777777" w:rsidR="00E6640A" w:rsidRPr="00C27900" w:rsidRDefault="00E6640A" w:rsidP="00C27900">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690C0882"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0DAF57BE" w14:textId="77777777" w:rsidR="00E6640A" w:rsidRPr="00C27900" w:rsidRDefault="00E6640A" w:rsidP="00C27900">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1AC5D8C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31B4D4C" w14:textId="77777777" w:rsidR="00E6640A" w:rsidRPr="00C27900" w:rsidRDefault="00E6640A" w:rsidP="00C27900">
            <w:pPr>
              <w:tabs>
                <w:tab w:val="decimal" w:pos="113"/>
              </w:tabs>
              <w:spacing w:line="200" w:lineRule="exact"/>
              <w:rPr>
                <w:sz w:val="18"/>
                <w:szCs w:val="20"/>
              </w:rPr>
            </w:pPr>
          </w:p>
        </w:tc>
        <w:tc>
          <w:tcPr>
            <w:tcW w:w="1192" w:type="dxa"/>
            <w:tcBorders>
              <w:top w:val="single" w:sz="6" w:space="0" w:color="auto"/>
            </w:tcBorders>
            <w:shd w:val="clear" w:color="auto" w:fill="auto"/>
            <w:vAlign w:val="bottom"/>
          </w:tcPr>
          <w:p w14:paraId="39713D1E" w14:textId="77777777" w:rsidR="00E6640A" w:rsidRPr="00C27900" w:rsidRDefault="00E6640A" w:rsidP="00C27900">
            <w:pPr>
              <w:tabs>
                <w:tab w:val="decimal" w:pos="113"/>
              </w:tabs>
              <w:spacing w:line="200" w:lineRule="exact"/>
              <w:rPr>
                <w:sz w:val="18"/>
                <w:szCs w:val="20"/>
                <w:rtl/>
              </w:rPr>
            </w:pPr>
          </w:p>
        </w:tc>
      </w:tr>
      <w:tr w:rsidR="00E6640A" w:rsidRPr="00C27900" w14:paraId="6013395D" w14:textId="77777777" w:rsidTr="00280C26">
        <w:tc>
          <w:tcPr>
            <w:tcW w:w="623" w:type="dxa"/>
            <w:shd w:val="clear" w:color="auto" w:fill="auto"/>
            <w:vAlign w:val="bottom"/>
          </w:tcPr>
          <w:p w14:paraId="3A330470"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23E05E4"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3074E76D" w14:textId="77777777" w:rsidR="00E6640A" w:rsidRPr="00C27900" w:rsidRDefault="00E6640A" w:rsidP="00C27900">
            <w:pPr>
              <w:spacing w:line="200" w:lineRule="exact"/>
              <w:rPr>
                <w:sz w:val="18"/>
                <w:szCs w:val="20"/>
              </w:rPr>
            </w:pPr>
          </w:p>
        </w:tc>
        <w:tc>
          <w:tcPr>
            <w:tcW w:w="907" w:type="dxa"/>
            <w:tcBorders>
              <w:bottom w:val="double" w:sz="6" w:space="0" w:color="auto"/>
            </w:tcBorders>
            <w:shd w:val="clear" w:color="auto" w:fill="auto"/>
            <w:vAlign w:val="bottom"/>
          </w:tcPr>
          <w:p w14:paraId="0FDF1425"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7C149738" w14:textId="77777777" w:rsidR="00E6640A" w:rsidRPr="00C27900" w:rsidRDefault="00E6640A" w:rsidP="00C27900">
            <w:pPr>
              <w:tabs>
                <w:tab w:val="decimal" w:pos="113"/>
              </w:tabs>
              <w:spacing w:line="200" w:lineRule="exact"/>
              <w:rPr>
                <w:sz w:val="18"/>
                <w:szCs w:val="20"/>
              </w:rPr>
            </w:pPr>
          </w:p>
        </w:tc>
        <w:tc>
          <w:tcPr>
            <w:tcW w:w="907" w:type="dxa"/>
            <w:gridSpan w:val="2"/>
            <w:tcBorders>
              <w:bottom w:val="double" w:sz="6" w:space="0" w:color="auto"/>
            </w:tcBorders>
            <w:shd w:val="clear" w:color="auto" w:fill="auto"/>
            <w:vAlign w:val="bottom"/>
          </w:tcPr>
          <w:p w14:paraId="3CFA3FF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6775EED4" w14:textId="77777777" w:rsidR="00E6640A" w:rsidRPr="00C27900" w:rsidRDefault="00E6640A" w:rsidP="00C27900">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14:paraId="32582903"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7B2A2470" w14:textId="77777777" w:rsidR="00E6640A" w:rsidRPr="00C27900" w:rsidRDefault="00E6640A" w:rsidP="00C27900">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14:paraId="1AC4E06A"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DE20293" w14:textId="77777777" w:rsidR="00E6640A" w:rsidRPr="00C27900" w:rsidRDefault="00E6640A" w:rsidP="00C27900">
            <w:pPr>
              <w:tabs>
                <w:tab w:val="decimal" w:pos="113"/>
              </w:tabs>
              <w:spacing w:line="200" w:lineRule="exact"/>
              <w:rPr>
                <w:sz w:val="18"/>
                <w:szCs w:val="20"/>
              </w:rPr>
            </w:pPr>
          </w:p>
        </w:tc>
        <w:tc>
          <w:tcPr>
            <w:tcW w:w="1192" w:type="dxa"/>
            <w:tcBorders>
              <w:bottom w:val="double" w:sz="6" w:space="0" w:color="auto"/>
            </w:tcBorders>
            <w:shd w:val="clear" w:color="auto" w:fill="auto"/>
            <w:vAlign w:val="bottom"/>
          </w:tcPr>
          <w:p w14:paraId="3289807E" w14:textId="77777777" w:rsidR="00E6640A" w:rsidRPr="00C27900" w:rsidRDefault="00E6640A" w:rsidP="00C27900">
            <w:pPr>
              <w:tabs>
                <w:tab w:val="decimal" w:pos="113"/>
              </w:tabs>
              <w:spacing w:line="200" w:lineRule="exact"/>
              <w:rPr>
                <w:sz w:val="18"/>
                <w:szCs w:val="20"/>
                <w:rtl/>
              </w:rPr>
            </w:pPr>
          </w:p>
        </w:tc>
      </w:tr>
      <w:tr w:rsidR="00E6640A" w:rsidRPr="00C27900" w14:paraId="0C230258" w14:textId="77777777" w:rsidTr="00280C26">
        <w:tc>
          <w:tcPr>
            <w:tcW w:w="623" w:type="dxa"/>
            <w:shd w:val="clear" w:color="auto" w:fill="auto"/>
            <w:vAlign w:val="bottom"/>
          </w:tcPr>
          <w:p w14:paraId="40023902" w14:textId="77777777" w:rsidR="00E6640A" w:rsidRPr="00C27900" w:rsidRDefault="00E6640A" w:rsidP="00C27900">
            <w:pPr>
              <w:pStyle w:val="a3"/>
              <w:tabs>
                <w:tab w:val="left" w:pos="227"/>
                <w:tab w:val="left" w:pos="397"/>
                <w:tab w:val="left" w:pos="567"/>
              </w:tabs>
              <w:spacing w:line="200" w:lineRule="exact"/>
              <w:jc w:val="both"/>
              <w:rPr>
                <w:sz w:val="18"/>
                <w:szCs w:val="20"/>
              </w:rPr>
            </w:pPr>
            <w:r w:rsidRPr="00C27900">
              <w:rPr>
                <w:rFonts w:hint="cs"/>
                <w:sz w:val="18"/>
                <w:szCs w:val="20"/>
                <w:rtl/>
              </w:rPr>
              <w:t>(ג)</w:t>
            </w:r>
          </w:p>
        </w:tc>
        <w:tc>
          <w:tcPr>
            <w:tcW w:w="3692" w:type="dxa"/>
            <w:gridSpan w:val="2"/>
            <w:shd w:val="clear" w:color="auto" w:fill="auto"/>
            <w:vAlign w:val="bottom"/>
          </w:tcPr>
          <w:p w14:paraId="3051D533"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u w:val="single"/>
                <w:rtl/>
              </w:rPr>
              <w:t>פעילויות מהותיות שלא במזומן</w:t>
            </w:r>
          </w:p>
        </w:tc>
        <w:tc>
          <w:tcPr>
            <w:tcW w:w="113" w:type="dxa"/>
            <w:shd w:val="clear" w:color="auto" w:fill="auto"/>
            <w:vAlign w:val="bottom"/>
          </w:tcPr>
          <w:p w14:paraId="4E6CC657" w14:textId="77777777" w:rsidR="00E6640A" w:rsidRPr="00C27900" w:rsidRDefault="00E6640A" w:rsidP="00C27900">
            <w:pPr>
              <w:spacing w:line="200" w:lineRule="exact"/>
              <w:rPr>
                <w:sz w:val="18"/>
                <w:szCs w:val="20"/>
              </w:rPr>
            </w:pPr>
          </w:p>
        </w:tc>
        <w:tc>
          <w:tcPr>
            <w:tcW w:w="907" w:type="dxa"/>
            <w:vAlign w:val="bottom"/>
          </w:tcPr>
          <w:p w14:paraId="3E01D604"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677C2C32"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21B864B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9FC7F3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26A87C47"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8B484D7"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058E5CD"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D74BE11"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2AC6EC9" w14:textId="77777777" w:rsidR="00E6640A" w:rsidRPr="00C27900" w:rsidRDefault="00E6640A" w:rsidP="00C27900">
            <w:pPr>
              <w:tabs>
                <w:tab w:val="decimal" w:pos="113"/>
              </w:tabs>
              <w:spacing w:line="200" w:lineRule="exact"/>
              <w:rPr>
                <w:sz w:val="18"/>
                <w:szCs w:val="20"/>
                <w:rtl/>
              </w:rPr>
            </w:pPr>
          </w:p>
        </w:tc>
      </w:tr>
      <w:tr w:rsidR="00E6640A" w:rsidRPr="00C27900" w14:paraId="54B396C5" w14:textId="77777777" w:rsidTr="00280C26">
        <w:tc>
          <w:tcPr>
            <w:tcW w:w="623" w:type="dxa"/>
            <w:shd w:val="clear" w:color="auto" w:fill="auto"/>
            <w:vAlign w:val="bottom"/>
          </w:tcPr>
          <w:p w14:paraId="361D9DF8"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29420F2F"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664D3A9D" w14:textId="77777777" w:rsidR="00E6640A" w:rsidRPr="00C27900" w:rsidRDefault="00E6640A" w:rsidP="00C27900">
            <w:pPr>
              <w:spacing w:line="200" w:lineRule="exact"/>
              <w:rPr>
                <w:sz w:val="18"/>
                <w:szCs w:val="20"/>
              </w:rPr>
            </w:pPr>
          </w:p>
        </w:tc>
        <w:tc>
          <w:tcPr>
            <w:tcW w:w="907" w:type="dxa"/>
            <w:vAlign w:val="bottom"/>
          </w:tcPr>
          <w:p w14:paraId="3BCE903F"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7E809A59"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26AE43E4"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66F498A"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664E016"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16F5AB99"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9C4CCF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DF73AE1"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09A90D8" w14:textId="77777777" w:rsidR="00E6640A" w:rsidRPr="00C27900" w:rsidRDefault="00E6640A" w:rsidP="00C27900">
            <w:pPr>
              <w:tabs>
                <w:tab w:val="decimal" w:pos="113"/>
              </w:tabs>
              <w:spacing w:line="200" w:lineRule="exact"/>
              <w:rPr>
                <w:sz w:val="18"/>
                <w:szCs w:val="20"/>
                <w:rtl/>
              </w:rPr>
            </w:pPr>
          </w:p>
        </w:tc>
      </w:tr>
      <w:tr w:rsidR="00E6640A" w:rsidRPr="00C27900" w14:paraId="7EFAC158" w14:textId="77777777" w:rsidTr="00280C26">
        <w:tc>
          <w:tcPr>
            <w:tcW w:w="623" w:type="dxa"/>
            <w:shd w:val="clear" w:color="auto" w:fill="auto"/>
            <w:vAlign w:val="bottom"/>
          </w:tcPr>
          <w:p w14:paraId="08ABD76A"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4373BACD"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רכישת רכוש קבוע באשראי</w:t>
            </w:r>
          </w:p>
        </w:tc>
        <w:tc>
          <w:tcPr>
            <w:tcW w:w="113" w:type="dxa"/>
            <w:shd w:val="clear" w:color="auto" w:fill="auto"/>
            <w:vAlign w:val="bottom"/>
          </w:tcPr>
          <w:p w14:paraId="49D21447" w14:textId="77777777" w:rsidR="00E6640A" w:rsidRPr="00C27900" w:rsidRDefault="00E6640A" w:rsidP="00C27900">
            <w:pPr>
              <w:spacing w:line="200" w:lineRule="exact"/>
              <w:rPr>
                <w:sz w:val="18"/>
                <w:szCs w:val="20"/>
              </w:rPr>
            </w:pPr>
          </w:p>
        </w:tc>
        <w:tc>
          <w:tcPr>
            <w:tcW w:w="907" w:type="dxa"/>
            <w:vAlign w:val="bottom"/>
          </w:tcPr>
          <w:p w14:paraId="1B60BE6A"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69759B15"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FCB65C5"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90C1B0C"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0766518"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910F301"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A474A6C"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BFF0D78"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22B46E5E" w14:textId="77777777" w:rsidR="00E6640A" w:rsidRPr="00C27900" w:rsidRDefault="00E6640A" w:rsidP="00C27900">
            <w:pPr>
              <w:tabs>
                <w:tab w:val="decimal" w:pos="113"/>
              </w:tabs>
              <w:spacing w:line="200" w:lineRule="exact"/>
              <w:rPr>
                <w:sz w:val="18"/>
                <w:szCs w:val="20"/>
                <w:rtl/>
              </w:rPr>
            </w:pPr>
          </w:p>
        </w:tc>
      </w:tr>
      <w:tr w:rsidR="00E6640A" w:rsidRPr="00C27900" w14:paraId="1D02BA42" w14:textId="77777777" w:rsidTr="00280C26">
        <w:tc>
          <w:tcPr>
            <w:tcW w:w="623" w:type="dxa"/>
            <w:shd w:val="clear" w:color="auto" w:fill="auto"/>
            <w:vAlign w:val="bottom"/>
          </w:tcPr>
          <w:p w14:paraId="74D84BD2"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28E1A510" w14:textId="2D7C4661" w:rsidR="00E6640A" w:rsidRPr="00C27900" w:rsidRDefault="00D83475" w:rsidP="00C27900">
            <w:pPr>
              <w:pStyle w:val="a3"/>
              <w:tabs>
                <w:tab w:val="left" w:pos="227"/>
                <w:tab w:val="left" w:pos="397"/>
                <w:tab w:val="left" w:pos="567"/>
              </w:tabs>
              <w:spacing w:line="200" w:lineRule="exact"/>
              <w:ind w:left="227" w:hanging="170"/>
              <w:rPr>
                <w:sz w:val="18"/>
                <w:szCs w:val="20"/>
              </w:rPr>
            </w:pPr>
            <w:r>
              <w:rPr>
                <w:rFonts w:hint="cs"/>
                <w:sz w:val="18"/>
                <w:szCs w:val="20"/>
                <w:rtl/>
              </w:rPr>
              <w:t>הכרה בנכס זכות שימוש כנגד התחייבות בגין חכירה</w:t>
            </w:r>
          </w:p>
        </w:tc>
        <w:tc>
          <w:tcPr>
            <w:tcW w:w="113" w:type="dxa"/>
            <w:shd w:val="clear" w:color="auto" w:fill="auto"/>
            <w:vAlign w:val="bottom"/>
          </w:tcPr>
          <w:p w14:paraId="73860E55" w14:textId="77777777" w:rsidR="00E6640A" w:rsidRPr="00C27900" w:rsidRDefault="00E6640A" w:rsidP="00C27900">
            <w:pPr>
              <w:spacing w:line="200" w:lineRule="exact"/>
              <w:rPr>
                <w:sz w:val="18"/>
                <w:szCs w:val="20"/>
              </w:rPr>
            </w:pPr>
          </w:p>
        </w:tc>
        <w:tc>
          <w:tcPr>
            <w:tcW w:w="907" w:type="dxa"/>
            <w:vAlign w:val="bottom"/>
          </w:tcPr>
          <w:p w14:paraId="78E0C391"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61BB9912"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74EC2A1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316C8E9"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C265A80"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66AC1C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898007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A57095C"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80EDB5F" w14:textId="77777777" w:rsidR="00E6640A" w:rsidRPr="00C27900" w:rsidRDefault="00E6640A" w:rsidP="00C27900">
            <w:pPr>
              <w:tabs>
                <w:tab w:val="decimal" w:pos="113"/>
              </w:tabs>
              <w:spacing w:line="200" w:lineRule="exact"/>
              <w:rPr>
                <w:sz w:val="18"/>
                <w:szCs w:val="20"/>
                <w:rtl/>
              </w:rPr>
            </w:pPr>
          </w:p>
        </w:tc>
      </w:tr>
      <w:tr w:rsidR="00D83475" w:rsidRPr="00C27900" w14:paraId="77C15C41" w14:textId="77777777" w:rsidTr="00280C26">
        <w:tc>
          <w:tcPr>
            <w:tcW w:w="623" w:type="dxa"/>
            <w:shd w:val="clear" w:color="auto" w:fill="auto"/>
            <w:vAlign w:val="bottom"/>
          </w:tcPr>
          <w:p w14:paraId="6F5C5A2D" w14:textId="77777777" w:rsidR="00D83475" w:rsidRPr="00C27900" w:rsidRDefault="00D83475"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44FC508E" w14:textId="57536470" w:rsidR="00D83475" w:rsidRPr="00C27900" w:rsidRDefault="00D83475" w:rsidP="00C27900">
            <w:pPr>
              <w:pStyle w:val="a3"/>
              <w:tabs>
                <w:tab w:val="left" w:pos="227"/>
                <w:tab w:val="left" w:pos="397"/>
                <w:tab w:val="left" w:pos="567"/>
              </w:tabs>
              <w:spacing w:line="200" w:lineRule="exact"/>
              <w:ind w:left="227" w:hanging="170"/>
              <w:rPr>
                <w:sz w:val="18"/>
                <w:szCs w:val="20"/>
                <w:rtl/>
              </w:rPr>
            </w:pPr>
            <w:r>
              <w:rPr>
                <w:rFonts w:hint="cs"/>
                <w:sz w:val="18"/>
                <w:szCs w:val="20"/>
                <w:rtl/>
              </w:rPr>
              <w:t>הכרה בחייבים בגין חכירה מימונית</w:t>
            </w:r>
          </w:p>
        </w:tc>
        <w:tc>
          <w:tcPr>
            <w:tcW w:w="113" w:type="dxa"/>
            <w:shd w:val="clear" w:color="auto" w:fill="auto"/>
            <w:vAlign w:val="bottom"/>
          </w:tcPr>
          <w:p w14:paraId="1EAB3A1E" w14:textId="77777777" w:rsidR="00D83475" w:rsidRPr="00C27900" w:rsidRDefault="00D83475" w:rsidP="00C27900">
            <w:pPr>
              <w:spacing w:line="200" w:lineRule="exact"/>
              <w:rPr>
                <w:sz w:val="18"/>
                <w:szCs w:val="20"/>
              </w:rPr>
            </w:pPr>
          </w:p>
        </w:tc>
        <w:tc>
          <w:tcPr>
            <w:tcW w:w="907" w:type="dxa"/>
            <w:vAlign w:val="bottom"/>
          </w:tcPr>
          <w:p w14:paraId="29E16545" w14:textId="77777777" w:rsidR="00D83475" w:rsidRPr="00C27900" w:rsidRDefault="00D83475" w:rsidP="00C27900">
            <w:pPr>
              <w:tabs>
                <w:tab w:val="decimal" w:pos="113"/>
              </w:tabs>
              <w:spacing w:line="200" w:lineRule="exact"/>
              <w:rPr>
                <w:sz w:val="18"/>
                <w:szCs w:val="20"/>
                <w:rtl/>
              </w:rPr>
            </w:pPr>
          </w:p>
        </w:tc>
        <w:tc>
          <w:tcPr>
            <w:tcW w:w="113" w:type="dxa"/>
            <w:vAlign w:val="bottom"/>
          </w:tcPr>
          <w:p w14:paraId="46F6CFC6" w14:textId="77777777" w:rsidR="00D83475" w:rsidRPr="00C27900" w:rsidRDefault="00D83475" w:rsidP="00C27900">
            <w:pPr>
              <w:tabs>
                <w:tab w:val="decimal" w:pos="113"/>
              </w:tabs>
              <w:spacing w:line="200" w:lineRule="exact"/>
              <w:rPr>
                <w:sz w:val="18"/>
                <w:szCs w:val="20"/>
              </w:rPr>
            </w:pPr>
          </w:p>
        </w:tc>
        <w:tc>
          <w:tcPr>
            <w:tcW w:w="907" w:type="dxa"/>
            <w:gridSpan w:val="2"/>
            <w:shd w:val="clear" w:color="auto" w:fill="auto"/>
            <w:vAlign w:val="bottom"/>
          </w:tcPr>
          <w:p w14:paraId="058DB241" w14:textId="77777777" w:rsidR="00D83475" w:rsidRPr="00C27900" w:rsidRDefault="00D83475" w:rsidP="00C27900">
            <w:pPr>
              <w:tabs>
                <w:tab w:val="decimal" w:pos="113"/>
              </w:tabs>
              <w:spacing w:line="200" w:lineRule="exact"/>
              <w:rPr>
                <w:sz w:val="18"/>
                <w:szCs w:val="20"/>
              </w:rPr>
            </w:pPr>
          </w:p>
        </w:tc>
        <w:tc>
          <w:tcPr>
            <w:tcW w:w="113" w:type="dxa"/>
            <w:shd w:val="clear" w:color="auto" w:fill="auto"/>
            <w:vAlign w:val="bottom"/>
          </w:tcPr>
          <w:p w14:paraId="27FC1A7E" w14:textId="77777777" w:rsidR="00D83475" w:rsidRPr="00C27900" w:rsidRDefault="00D83475" w:rsidP="00C27900">
            <w:pPr>
              <w:tabs>
                <w:tab w:val="decimal" w:pos="113"/>
              </w:tabs>
              <w:spacing w:line="200" w:lineRule="exact"/>
              <w:rPr>
                <w:sz w:val="18"/>
                <w:szCs w:val="20"/>
              </w:rPr>
            </w:pPr>
          </w:p>
        </w:tc>
        <w:tc>
          <w:tcPr>
            <w:tcW w:w="907" w:type="dxa"/>
            <w:shd w:val="clear" w:color="auto" w:fill="auto"/>
            <w:vAlign w:val="bottom"/>
          </w:tcPr>
          <w:p w14:paraId="0D911411" w14:textId="77777777" w:rsidR="00D83475" w:rsidRPr="00C27900" w:rsidRDefault="00D83475" w:rsidP="00C27900">
            <w:pPr>
              <w:tabs>
                <w:tab w:val="decimal" w:pos="113"/>
              </w:tabs>
              <w:spacing w:line="200" w:lineRule="exact"/>
              <w:rPr>
                <w:sz w:val="18"/>
                <w:szCs w:val="20"/>
                <w:rtl/>
              </w:rPr>
            </w:pPr>
          </w:p>
        </w:tc>
        <w:tc>
          <w:tcPr>
            <w:tcW w:w="113" w:type="dxa"/>
            <w:shd w:val="clear" w:color="auto" w:fill="auto"/>
            <w:vAlign w:val="bottom"/>
          </w:tcPr>
          <w:p w14:paraId="11BB7DCF" w14:textId="77777777" w:rsidR="00D83475" w:rsidRPr="00C27900" w:rsidRDefault="00D83475" w:rsidP="00C27900">
            <w:pPr>
              <w:tabs>
                <w:tab w:val="decimal" w:pos="113"/>
              </w:tabs>
              <w:spacing w:line="200" w:lineRule="exact"/>
              <w:rPr>
                <w:sz w:val="18"/>
                <w:szCs w:val="20"/>
              </w:rPr>
            </w:pPr>
          </w:p>
        </w:tc>
        <w:tc>
          <w:tcPr>
            <w:tcW w:w="907" w:type="dxa"/>
            <w:shd w:val="clear" w:color="auto" w:fill="auto"/>
            <w:vAlign w:val="bottom"/>
          </w:tcPr>
          <w:p w14:paraId="60D6396D" w14:textId="77777777" w:rsidR="00D83475" w:rsidRPr="00C27900" w:rsidRDefault="00D83475" w:rsidP="00C27900">
            <w:pPr>
              <w:tabs>
                <w:tab w:val="decimal" w:pos="113"/>
              </w:tabs>
              <w:spacing w:line="200" w:lineRule="exact"/>
              <w:rPr>
                <w:sz w:val="18"/>
                <w:szCs w:val="20"/>
              </w:rPr>
            </w:pPr>
          </w:p>
        </w:tc>
        <w:tc>
          <w:tcPr>
            <w:tcW w:w="113" w:type="dxa"/>
            <w:shd w:val="clear" w:color="auto" w:fill="auto"/>
            <w:vAlign w:val="bottom"/>
          </w:tcPr>
          <w:p w14:paraId="1565F287" w14:textId="77777777" w:rsidR="00D83475" w:rsidRPr="00C27900" w:rsidRDefault="00D83475" w:rsidP="00C27900">
            <w:pPr>
              <w:tabs>
                <w:tab w:val="decimal" w:pos="113"/>
              </w:tabs>
              <w:spacing w:line="200" w:lineRule="exact"/>
              <w:rPr>
                <w:sz w:val="18"/>
                <w:szCs w:val="20"/>
              </w:rPr>
            </w:pPr>
          </w:p>
        </w:tc>
        <w:tc>
          <w:tcPr>
            <w:tcW w:w="1192" w:type="dxa"/>
            <w:shd w:val="clear" w:color="auto" w:fill="auto"/>
            <w:vAlign w:val="bottom"/>
          </w:tcPr>
          <w:p w14:paraId="0315D60D" w14:textId="77777777" w:rsidR="00D83475" w:rsidRPr="00C27900" w:rsidRDefault="00D83475" w:rsidP="00C27900">
            <w:pPr>
              <w:tabs>
                <w:tab w:val="decimal" w:pos="113"/>
              </w:tabs>
              <w:spacing w:line="200" w:lineRule="exact"/>
              <w:rPr>
                <w:sz w:val="18"/>
                <w:szCs w:val="20"/>
                <w:rtl/>
              </w:rPr>
            </w:pPr>
          </w:p>
        </w:tc>
      </w:tr>
      <w:tr w:rsidR="00E6640A" w:rsidRPr="00C27900" w14:paraId="153647A7" w14:textId="77777777" w:rsidTr="00280C26">
        <w:tc>
          <w:tcPr>
            <w:tcW w:w="623" w:type="dxa"/>
            <w:shd w:val="clear" w:color="auto" w:fill="auto"/>
            <w:vAlign w:val="bottom"/>
          </w:tcPr>
          <w:p w14:paraId="0CB03B4A"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FDF3A08"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רכישת השקעות בתמורה להנפקת מניות</w:t>
            </w:r>
          </w:p>
        </w:tc>
        <w:tc>
          <w:tcPr>
            <w:tcW w:w="113" w:type="dxa"/>
            <w:shd w:val="clear" w:color="auto" w:fill="auto"/>
            <w:vAlign w:val="bottom"/>
          </w:tcPr>
          <w:p w14:paraId="11C22EEF" w14:textId="77777777" w:rsidR="00E6640A" w:rsidRPr="00C27900" w:rsidRDefault="00E6640A" w:rsidP="00C27900">
            <w:pPr>
              <w:spacing w:line="200" w:lineRule="exact"/>
              <w:rPr>
                <w:sz w:val="18"/>
                <w:szCs w:val="20"/>
              </w:rPr>
            </w:pPr>
          </w:p>
        </w:tc>
        <w:tc>
          <w:tcPr>
            <w:tcW w:w="907" w:type="dxa"/>
            <w:vAlign w:val="bottom"/>
          </w:tcPr>
          <w:p w14:paraId="618F3B1F"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4EDC0C39"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6ACDB92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143F955"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7C123B2"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7833A35"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05CD53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46CE0F9"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FFF6E46" w14:textId="77777777" w:rsidR="00E6640A" w:rsidRPr="00C27900" w:rsidRDefault="00E6640A" w:rsidP="00C27900">
            <w:pPr>
              <w:tabs>
                <w:tab w:val="decimal" w:pos="113"/>
              </w:tabs>
              <w:spacing w:line="200" w:lineRule="exact"/>
              <w:rPr>
                <w:sz w:val="18"/>
                <w:szCs w:val="20"/>
                <w:rtl/>
              </w:rPr>
            </w:pPr>
          </w:p>
        </w:tc>
      </w:tr>
      <w:tr w:rsidR="00E6640A" w:rsidRPr="00C27900" w14:paraId="57819211" w14:textId="77777777" w:rsidTr="00280C26">
        <w:tc>
          <w:tcPr>
            <w:tcW w:w="623" w:type="dxa"/>
            <w:shd w:val="clear" w:color="auto" w:fill="auto"/>
            <w:vAlign w:val="bottom"/>
          </w:tcPr>
          <w:p w14:paraId="5E678B70"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455D2340" w14:textId="77777777" w:rsidR="00E6640A" w:rsidRPr="00C27900" w:rsidRDefault="00E6640A" w:rsidP="00C27900">
            <w:pPr>
              <w:spacing w:line="200" w:lineRule="exact"/>
              <w:ind w:left="567" w:hanging="567"/>
              <w:jc w:val="left"/>
              <w:rPr>
                <w:sz w:val="18"/>
                <w:szCs w:val="20"/>
              </w:rPr>
            </w:pPr>
            <w:r w:rsidRPr="00C27900">
              <w:rPr>
                <w:rFonts w:hint="cs"/>
                <w:sz w:val="18"/>
                <w:szCs w:val="20"/>
                <w:rtl/>
              </w:rPr>
              <w:t xml:space="preserve"> מימוש רכוש קבוע באשראי</w:t>
            </w:r>
          </w:p>
        </w:tc>
        <w:tc>
          <w:tcPr>
            <w:tcW w:w="113" w:type="dxa"/>
            <w:shd w:val="clear" w:color="auto" w:fill="auto"/>
            <w:vAlign w:val="bottom"/>
          </w:tcPr>
          <w:p w14:paraId="211E26BE" w14:textId="77777777" w:rsidR="00E6640A" w:rsidRPr="00C27900" w:rsidRDefault="00E6640A" w:rsidP="00C27900">
            <w:pPr>
              <w:spacing w:line="200" w:lineRule="exact"/>
              <w:rPr>
                <w:sz w:val="18"/>
                <w:szCs w:val="20"/>
              </w:rPr>
            </w:pPr>
          </w:p>
        </w:tc>
        <w:tc>
          <w:tcPr>
            <w:tcW w:w="907" w:type="dxa"/>
            <w:vAlign w:val="bottom"/>
          </w:tcPr>
          <w:p w14:paraId="1CC10E5C"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35508FE7"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6EAD5866"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B2525D6"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2B29420F"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68D7FF9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174D19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9988ABB"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2C0F06B8" w14:textId="77777777" w:rsidR="00E6640A" w:rsidRPr="00C27900" w:rsidRDefault="00E6640A" w:rsidP="00C27900">
            <w:pPr>
              <w:tabs>
                <w:tab w:val="decimal" w:pos="113"/>
              </w:tabs>
              <w:spacing w:line="200" w:lineRule="exact"/>
              <w:rPr>
                <w:sz w:val="18"/>
                <w:szCs w:val="20"/>
                <w:rtl/>
              </w:rPr>
            </w:pPr>
          </w:p>
        </w:tc>
      </w:tr>
      <w:tr w:rsidR="00E6640A" w:rsidRPr="00C27900" w14:paraId="6AEBE030" w14:textId="77777777" w:rsidTr="00280C26">
        <w:tc>
          <w:tcPr>
            <w:tcW w:w="623" w:type="dxa"/>
            <w:shd w:val="clear" w:color="auto" w:fill="auto"/>
            <w:vAlign w:val="bottom"/>
          </w:tcPr>
          <w:p w14:paraId="20CD6C1F" w14:textId="77777777" w:rsidR="00E6640A" w:rsidRPr="00C27900" w:rsidRDefault="00E6640A" w:rsidP="00C27900">
            <w:pPr>
              <w:tabs>
                <w:tab w:val="left" w:pos="227"/>
                <w:tab w:val="left" w:pos="397"/>
                <w:tab w:val="left" w:pos="567"/>
              </w:tabs>
              <w:spacing w:line="200" w:lineRule="exact"/>
              <w:jc w:val="right"/>
              <w:rPr>
                <w:sz w:val="18"/>
                <w:szCs w:val="20"/>
              </w:rPr>
            </w:pPr>
          </w:p>
        </w:tc>
        <w:tc>
          <w:tcPr>
            <w:tcW w:w="3692" w:type="dxa"/>
            <w:gridSpan w:val="2"/>
            <w:shd w:val="clear" w:color="auto" w:fill="auto"/>
            <w:vAlign w:val="bottom"/>
          </w:tcPr>
          <w:p w14:paraId="03B9A1DB" w14:textId="77777777" w:rsidR="00E6640A" w:rsidRPr="00C27900" w:rsidRDefault="00E6640A" w:rsidP="00C27900">
            <w:pPr>
              <w:spacing w:line="200" w:lineRule="exact"/>
              <w:ind w:left="567" w:hanging="567"/>
              <w:jc w:val="left"/>
              <w:rPr>
                <w:sz w:val="18"/>
                <w:szCs w:val="20"/>
              </w:rPr>
            </w:pPr>
            <w:r w:rsidRPr="00C27900">
              <w:rPr>
                <w:rFonts w:hint="cs"/>
                <w:sz w:val="18"/>
                <w:szCs w:val="20"/>
                <w:rtl/>
              </w:rPr>
              <w:t xml:space="preserve"> מענק השקעה לקבל</w:t>
            </w:r>
          </w:p>
        </w:tc>
        <w:tc>
          <w:tcPr>
            <w:tcW w:w="113" w:type="dxa"/>
            <w:shd w:val="clear" w:color="auto" w:fill="auto"/>
            <w:vAlign w:val="bottom"/>
          </w:tcPr>
          <w:p w14:paraId="0382F1B4" w14:textId="77777777" w:rsidR="00E6640A" w:rsidRPr="00C27900" w:rsidRDefault="00E6640A" w:rsidP="00C27900">
            <w:pPr>
              <w:spacing w:line="200" w:lineRule="exact"/>
              <w:rPr>
                <w:sz w:val="18"/>
                <w:szCs w:val="20"/>
              </w:rPr>
            </w:pPr>
          </w:p>
        </w:tc>
        <w:tc>
          <w:tcPr>
            <w:tcW w:w="907" w:type="dxa"/>
            <w:vAlign w:val="bottom"/>
          </w:tcPr>
          <w:p w14:paraId="517F4122"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9F29EC7"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BC20194"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CC3309B"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72C79BB"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6046E97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B76DDE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A2BF429"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3428B6E" w14:textId="77777777" w:rsidR="00E6640A" w:rsidRPr="00C27900" w:rsidRDefault="00E6640A" w:rsidP="00C27900">
            <w:pPr>
              <w:tabs>
                <w:tab w:val="decimal" w:pos="113"/>
              </w:tabs>
              <w:spacing w:line="200" w:lineRule="exact"/>
              <w:rPr>
                <w:sz w:val="18"/>
                <w:szCs w:val="20"/>
                <w:rtl/>
              </w:rPr>
            </w:pPr>
          </w:p>
        </w:tc>
      </w:tr>
      <w:tr w:rsidR="00E6640A" w:rsidRPr="00C27900" w14:paraId="73CEB609" w14:textId="77777777" w:rsidTr="00280C26">
        <w:tc>
          <w:tcPr>
            <w:tcW w:w="623" w:type="dxa"/>
            <w:shd w:val="clear" w:color="auto" w:fill="auto"/>
            <w:vAlign w:val="bottom"/>
          </w:tcPr>
          <w:p w14:paraId="76047A7C" w14:textId="77777777" w:rsidR="00E6640A" w:rsidRPr="00C27900" w:rsidRDefault="00E6640A" w:rsidP="00C27900">
            <w:pPr>
              <w:tabs>
                <w:tab w:val="left" w:pos="227"/>
                <w:tab w:val="left" w:pos="397"/>
                <w:tab w:val="left" w:pos="567"/>
              </w:tabs>
              <w:spacing w:line="200" w:lineRule="exact"/>
              <w:jc w:val="right"/>
              <w:rPr>
                <w:sz w:val="18"/>
                <w:szCs w:val="20"/>
              </w:rPr>
            </w:pPr>
          </w:p>
        </w:tc>
        <w:tc>
          <w:tcPr>
            <w:tcW w:w="3692" w:type="dxa"/>
            <w:gridSpan w:val="2"/>
            <w:shd w:val="clear" w:color="auto" w:fill="auto"/>
            <w:vAlign w:val="bottom"/>
          </w:tcPr>
          <w:p w14:paraId="24DBDA5D" w14:textId="77777777" w:rsidR="00E6640A" w:rsidRPr="00C27900" w:rsidRDefault="00E6640A" w:rsidP="00C27900">
            <w:pPr>
              <w:spacing w:line="200" w:lineRule="exact"/>
              <w:ind w:left="567" w:hanging="567"/>
              <w:jc w:val="left"/>
              <w:rPr>
                <w:sz w:val="18"/>
                <w:szCs w:val="20"/>
              </w:rPr>
            </w:pPr>
            <w:r w:rsidRPr="00C27900">
              <w:rPr>
                <w:rFonts w:hint="cs"/>
                <w:sz w:val="18"/>
                <w:szCs w:val="20"/>
                <w:rtl/>
              </w:rPr>
              <w:t xml:space="preserve"> המרת אגרות חוב במניות</w:t>
            </w:r>
          </w:p>
        </w:tc>
        <w:tc>
          <w:tcPr>
            <w:tcW w:w="113" w:type="dxa"/>
            <w:shd w:val="clear" w:color="auto" w:fill="auto"/>
            <w:vAlign w:val="bottom"/>
          </w:tcPr>
          <w:p w14:paraId="2154EA3E" w14:textId="77777777" w:rsidR="00E6640A" w:rsidRPr="00C27900" w:rsidRDefault="00E6640A" w:rsidP="00C27900">
            <w:pPr>
              <w:spacing w:line="200" w:lineRule="exact"/>
              <w:rPr>
                <w:sz w:val="18"/>
                <w:szCs w:val="20"/>
              </w:rPr>
            </w:pPr>
          </w:p>
        </w:tc>
        <w:tc>
          <w:tcPr>
            <w:tcW w:w="907" w:type="dxa"/>
            <w:vAlign w:val="bottom"/>
          </w:tcPr>
          <w:p w14:paraId="51AB18CD"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BE346DE"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492276A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4A2FEEB7"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2BE5C5D6"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8E3770A"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95A7B5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F3BC2F4"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12B2E382" w14:textId="77777777" w:rsidR="00E6640A" w:rsidRPr="00C27900" w:rsidRDefault="00E6640A" w:rsidP="00C27900">
            <w:pPr>
              <w:tabs>
                <w:tab w:val="decimal" w:pos="113"/>
              </w:tabs>
              <w:spacing w:line="200" w:lineRule="exact"/>
              <w:rPr>
                <w:sz w:val="18"/>
                <w:szCs w:val="20"/>
                <w:rtl/>
              </w:rPr>
            </w:pPr>
          </w:p>
        </w:tc>
      </w:tr>
      <w:tr w:rsidR="00E6640A" w:rsidRPr="00C27900" w14:paraId="703FABD1" w14:textId="77777777" w:rsidTr="00280C26">
        <w:tc>
          <w:tcPr>
            <w:tcW w:w="623" w:type="dxa"/>
            <w:shd w:val="clear" w:color="auto" w:fill="auto"/>
            <w:vAlign w:val="bottom"/>
          </w:tcPr>
          <w:p w14:paraId="5C2A5FDE" w14:textId="77777777" w:rsidR="00E6640A" w:rsidRPr="00C27900" w:rsidRDefault="00E6640A" w:rsidP="00C27900">
            <w:pPr>
              <w:tabs>
                <w:tab w:val="left" w:pos="227"/>
                <w:tab w:val="left" w:pos="397"/>
                <w:tab w:val="left" w:pos="567"/>
              </w:tabs>
              <w:spacing w:line="200" w:lineRule="exact"/>
              <w:jc w:val="right"/>
              <w:rPr>
                <w:sz w:val="18"/>
                <w:szCs w:val="20"/>
              </w:rPr>
            </w:pPr>
          </w:p>
        </w:tc>
        <w:tc>
          <w:tcPr>
            <w:tcW w:w="3692" w:type="dxa"/>
            <w:gridSpan w:val="2"/>
            <w:shd w:val="clear" w:color="auto" w:fill="auto"/>
            <w:vAlign w:val="bottom"/>
          </w:tcPr>
          <w:p w14:paraId="60ACB75D" w14:textId="77777777" w:rsidR="00E6640A" w:rsidRPr="00C27900" w:rsidRDefault="00E6640A" w:rsidP="00C27900">
            <w:pPr>
              <w:spacing w:line="200" w:lineRule="exact"/>
              <w:ind w:left="567" w:hanging="567"/>
              <w:jc w:val="left"/>
              <w:rPr>
                <w:sz w:val="18"/>
                <w:szCs w:val="20"/>
              </w:rPr>
            </w:pPr>
            <w:r w:rsidRPr="00C27900">
              <w:rPr>
                <w:rFonts w:hint="cs"/>
                <w:sz w:val="18"/>
                <w:szCs w:val="20"/>
                <w:rtl/>
              </w:rPr>
              <w:t xml:space="preserve"> המרת אגרות חוב במניות בחברות מאוחדות</w:t>
            </w:r>
          </w:p>
        </w:tc>
        <w:tc>
          <w:tcPr>
            <w:tcW w:w="113" w:type="dxa"/>
            <w:shd w:val="clear" w:color="auto" w:fill="auto"/>
            <w:vAlign w:val="bottom"/>
          </w:tcPr>
          <w:p w14:paraId="5D036451" w14:textId="77777777" w:rsidR="00E6640A" w:rsidRPr="00C27900" w:rsidRDefault="00E6640A" w:rsidP="00C27900">
            <w:pPr>
              <w:spacing w:line="200" w:lineRule="exact"/>
              <w:rPr>
                <w:sz w:val="18"/>
                <w:szCs w:val="20"/>
              </w:rPr>
            </w:pPr>
          </w:p>
        </w:tc>
        <w:tc>
          <w:tcPr>
            <w:tcW w:w="907" w:type="dxa"/>
            <w:vAlign w:val="bottom"/>
          </w:tcPr>
          <w:p w14:paraId="662C6917"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50C88640"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37D3187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85F9269"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5808A8E"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6F503D3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448E90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C1FA19B"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48793D8" w14:textId="77777777" w:rsidR="00E6640A" w:rsidRPr="00C27900" w:rsidRDefault="00E6640A" w:rsidP="00C27900">
            <w:pPr>
              <w:tabs>
                <w:tab w:val="decimal" w:pos="113"/>
              </w:tabs>
              <w:spacing w:line="200" w:lineRule="exact"/>
              <w:rPr>
                <w:sz w:val="18"/>
                <w:szCs w:val="20"/>
                <w:rtl/>
              </w:rPr>
            </w:pPr>
          </w:p>
        </w:tc>
      </w:tr>
      <w:tr w:rsidR="00E6640A" w:rsidRPr="00C27900" w14:paraId="4028DF26" w14:textId="77777777" w:rsidTr="00280C26">
        <w:tc>
          <w:tcPr>
            <w:tcW w:w="623" w:type="dxa"/>
            <w:shd w:val="clear" w:color="auto" w:fill="auto"/>
            <w:vAlign w:val="bottom"/>
          </w:tcPr>
          <w:p w14:paraId="55AF75C6" w14:textId="77777777" w:rsidR="00E6640A" w:rsidRPr="00C27900" w:rsidRDefault="00E6640A" w:rsidP="00C27900">
            <w:pPr>
              <w:tabs>
                <w:tab w:val="left" w:pos="227"/>
                <w:tab w:val="left" w:pos="397"/>
                <w:tab w:val="left" w:pos="567"/>
              </w:tabs>
              <w:spacing w:line="200" w:lineRule="exact"/>
              <w:jc w:val="right"/>
              <w:rPr>
                <w:sz w:val="18"/>
                <w:szCs w:val="20"/>
              </w:rPr>
            </w:pPr>
          </w:p>
        </w:tc>
        <w:tc>
          <w:tcPr>
            <w:tcW w:w="3692" w:type="dxa"/>
            <w:gridSpan w:val="2"/>
            <w:shd w:val="clear" w:color="auto" w:fill="auto"/>
            <w:vAlign w:val="bottom"/>
          </w:tcPr>
          <w:p w14:paraId="474608B7" w14:textId="77777777" w:rsidR="00E6640A" w:rsidRPr="00C27900" w:rsidRDefault="00E6640A" w:rsidP="00C27900">
            <w:pPr>
              <w:spacing w:line="200" w:lineRule="exact"/>
              <w:ind w:left="567" w:hanging="567"/>
              <w:jc w:val="left"/>
              <w:rPr>
                <w:sz w:val="18"/>
                <w:szCs w:val="20"/>
              </w:rPr>
            </w:pPr>
            <w:r w:rsidRPr="00C27900">
              <w:rPr>
                <w:rFonts w:hint="cs"/>
                <w:sz w:val="18"/>
                <w:szCs w:val="20"/>
                <w:rtl/>
              </w:rPr>
              <w:t xml:space="preserve"> דיבידנד לשלם</w:t>
            </w:r>
          </w:p>
        </w:tc>
        <w:tc>
          <w:tcPr>
            <w:tcW w:w="113" w:type="dxa"/>
            <w:shd w:val="clear" w:color="auto" w:fill="auto"/>
            <w:vAlign w:val="bottom"/>
          </w:tcPr>
          <w:p w14:paraId="64C941E0" w14:textId="77777777" w:rsidR="00E6640A" w:rsidRPr="00C27900" w:rsidRDefault="00E6640A" w:rsidP="00C27900">
            <w:pPr>
              <w:spacing w:line="200" w:lineRule="exact"/>
              <w:rPr>
                <w:sz w:val="18"/>
                <w:szCs w:val="20"/>
              </w:rPr>
            </w:pPr>
          </w:p>
        </w:tc>
        <w:tc>
          <w:tcPr>
            <w:tcW w:w="907" w:type="dxa"/>
            <w:shd w:val="clear" w:color="auto" w:fill="auto"/>
            <w:vAlign w:val="bottom"/>
          </w:tcPr>
          <w:p w14:paraId="17F10FB6"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5F46AB9"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CAEF81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F71B0F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79E4581"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DDD1691"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5B7951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6EDE5F3A"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3F81ACC" w14:textId="77777777" w:rsidR="00E6640A" w:rsidRPr="00C27900" w:rsidRDefault="00E6640A" w:rsidP="00C27900">
            <w:pPr>
              <w:tabs>
                <w:tab w:val="decimal" w:pos="113"/>
              </w:tabs>
              <w:spacing w:line="200" w:lineRule="exact"/>
              <w:rPr>
                <w:sz w:val="18"/>
                <w:szCs w:val="20"/>
                <w:rtl/>
              </w:rPr>
            </w:pPr>
          </w:p>
        </w:tc>
      </w:tr>
    </w:tbl>
    <w:p w14:paraId="7B0582E0" w14:textId="77777777" w:rsidR="00AB7D68" w:rsidRDefault="00AB7D68" w:rsidP="00C27900">
      <w:pPr>
        <w:rPr>
          <w:rtl/>
        </w:rPr>
      </w:pPr>
    </w:p>
    <w:p w14:paraId="1D7AD5EB" w14:textId="77777777" w:rsidR="00FF4D41" w:rsidRDefault="00F2585A" w:rsidP="00463922">
      <w:pPr>
        <w:rPr>
          <w:szCs w:val="20"/>
          <w:rtl/>
        </w:rPr>
      </w:pPr>
      <w:r w:rsidRPr="00DB5346">
        <w:rPr>
          <w:szCs w:val="20"/>
          <w:rtl/>
        </w:rPr>
        <w:t>*)</w:t>
      </w:r>
      <w:r w:rsidRPr="00DB5346">
        <w:rPr>
          <w:szCs w:val="20"/>
          <w:rtl/>
        </w:rPr>
        <w:tab/>
      </w:r>
      <w:r w:rsidRPr="00DB5346">
        <w:rPr>
          <w:rFonts w:hint="eastAsia"/>
          <w:szCs w:val="20"/>
          <w:rtl/>
        </w:rPr>
        <w:t>הוצג</w:t>
      </w:r>
      <w:r w:rsidRPr="00DB5346">
        <w:rPr>
          <w:szCs w:val="20"/>
          <w:rtl/>
        </w:rPr>
        <w:t xml:space="preserve"> מחדש, ראה באור </w:t>
      </w:r>
      <w:r w:rsidRPr="00DB5346">
        <w:rPr>
          <w:szCs w:val="20"/>
          <w:shd w:val="clear" w:color="auto" w:fill="D9D9D9" w:themeFill="background1" w:themeFillShade="D9"/>
          <w:rtl/>
        </w:rPr>
        <w:t>____</w:t>
      </w:r>
      <w:r w:rsidRPr="00DB5346">
        <w:rPr>
          <w:szCs w:val="20"/>
          <w:rtl/>
        </w:rPr>
        <w:t>.</w:t>
      </w:r>
    </w:p>
    <w:p w14:paraId="0C6D6CAB" w14:textId="77777777" w:rsidR="00E53258" w:rsidRPr="00376906" w:rsidRDefault="00E53258" w:rsidP="00E53258">
      <w:pPr>
        <w:ind w:left="567" w:hanging="567"/>
        <w:rPr>
          <w:szCs w:val="20"/>
          <w:rtl/>
        </w:rPr>
      </w:pPr>
      <w:r w:rsidRPr="00376906">
        <w:rPr>
          <w:rFonts w:hint="cs"/>
          <w:szCs w:val="20"/>
          <w:rtl/>
        </w:rPr>
        <w:t>**)</w:t>
      </w:r>
      <w:r w:rsidRPr="00376906">
        <w:rPr>
          <w:szCs w:val="20"/>
          <w:rtl/>
        </w:rPr>
        <w:tab/>
      </w:r>
      <w:r w:rsidRPr="00376906">
        <w:rPr>
          <w:rFonts w:hint="cs"/>
          <w:szCs w:val="20"/>
          <w:rtl/>
        </w:rPr>
        <w:t xml:space="preserve">יושם למפרע, ראה באור </w:t>
      </w:r>
      <w:r w:rsidRPr="00376906">
        <w:rPr>
          <w:rFonts w:hint="cs"/>
          <w:szCs w:val="20"/>
          <w:shd w:val="clear" w:color="auto" w:fill="D9D9D9" w:themeFill="background1" w:themeFillShade="D9"/>
          <w:rtl/>
        </w:rPr>
        <w:t>__</w:t>
      </w:r>
      <w:r w:rsidR="00376906">
        <w:rPr>
          <w:rFonts w:hint="cs"/>
          <w:szCs w:val="20"/>
          <w:shd w:val="clear" w:color="auto" w:fill="D9D9D9" w:themeFill="background1" w:themeFillShade="D9"/>
          <w:rtl/>
        </w:rPr>
        <w:t>_</w:t>
      </w:r>
      <w:r w:rsidRPr="00376906">
        <w:rPr>
          <w:rFonts w:hint="cs"/>
          <w:szCs w:val="20"/>
          <w:shd w:val="clear" w:color="auto" w:fill="D9D9D9" w:themeFill="background1" w:themeFillShade="D9"/>
          <w:rtl/>
        </w:rPr>
        <w:t>_</w:t>
      </w:r>
      <w:r w:rsidRPr="00376906">
        <w:rPr>
          <w:rFonts w:hint="cs"/>
          <w:szCs w:val="20"/>
          <w:rtl/>
        </w:rPr>
        <w:t>.</w:t>
      </w:r>
    </w:p>
    <w:p w14:paraId="5CEE9CDC" w14:textId="77777777" w:rsidR="008D22FA" w:rsidRPr="00DB5346" w:rsidRDefault="008D22FA">
      <w:pPr>
        <w:pStyle w:val="33"/>
        <w:bidi/>
        <w:rPr>
          <w:szCs w:val="20"/>
          <w:rtl/>
        </w:rPr>
      </w:pPr>
    </w:p>
    <w:p w14:paraId="49047B5D" w14:textId="77777777" w:rsidR="008D22FA" w:rsidRDefault="00F2585A" w:rsidP="00463922">
      <w:pPr>
        <w:rPr>
          <w:sz w:val="24"/>
          <w:rtl/>
        </w:rPr>
      </w:pPr>
      <w:r w:rsidRPr="004410F8">
        <w:rPr>
          <w:rFonts w:hint="eastAsia"/>
          <w:sz w:val="24"/>
          <w:rtl/>
        </w:rPr>
        <w:t>הבאורים</w:t>
      </w:r>
      <w:r w:rsidRPr="004410F8">
        <w:rPr>
          <w:sz w:val="24"/>
          <w:rtl/>
        </w:rPr>
        <w:t xml:space="preserve"> המצורפים מהווים חלק בלתי נפרד מהדוחות הכספיים ביניים מאוחדים.</w:t>
      </w:r>
    </w:p>
    <w:p w14:paraId="4BFD77A6" w14:textId="77777777" w:rsidR="00E127B2" w:rsidRDefault="00E127B2" w:rsidP="00201967">
      <w:pPr>
        <w:rPr>
          <w:rtl/>
        </w:rPr>
      </w:pPr>
    </w:p>
    <w:p w14:paraId="55E4057A" w14:textId="77777777" w:rsidR="00201967" w:rsidRDefault="00201967">
      <w:pPr>
        <w:pStyle w:val="NormalWeb"/>
        <w:tabs>
          <w:tab w:val="clear" w:pos="567"/>
          <w:tab w:val="clear" w:pos="1134"/>
          <w:tab w:val="clear" w:pos="1701"/>
          <w:tab w:val="clear" w:pos="2268"/>
        </w:tabs>
        <w:overflowPunct w:val="0"/>
        <w:autoSpaceDE w:val="0"/>
        <w:autoSpaceDN w:val="0"/>
        <w:adjustRightInd w:val="0"/>
        <w:spacing w:line="240" w:lineRule="auto"/>
        <w:textAlignment w:val="baseline"/>
        <w:rPr>
          <w:rFonts w:cs="Narkisim"/>
          <w:sz w:val="20"/>
          <w:rtl/>
        </w:rPr>
        <w:sectPr w:rsidR="00201967" w:rsidSect="00BA7D9A">
          <w:headerReference w:type="default" r:id="rId16"/>
          <w:footnotePr>
            <w:numRestart w:val="eachPage"/>
          </w:footnotePr>
          <w:pgSz w:w="11907" w:h="16840" w:code="9"/>
          <w:pgMar w:top="1134" w:right="1134" w:bottom="1134" w:left="1134" w:header="567" w:footer="567" w:gutter="0"/>
          <w:cols w:space="720"/>
          <w:bidi/>
          <w:rtlGutter/>
          <w:docGrid w:linePitch="299"/>
        </w:sectPr>
      </w:pPr>
    </w:p>
    <w:p w14:paraId="116B8643" w14:textId="77777777" w:rsidR="00280C26" w:rsidRDefault="00280C26">
      <w:pPr>
        <w:pStyle w:val="NormalWeb"/>
        <w:tabs>
          <w:tab w:val="clear" w:pos="567"/>
          <w:tab w:val="clear" w:pos="1134"/>
          <w:tab w:val="clear" w:pos="1701"/>
          <w:tab w:val="clear" w:pos="2268"/>
        </w:tabs>
        <w:overflowPunct w:val="0"/>
        <w:autoSpaceDE w:val="0"/>
        <w:autoSpaceDN w:val="0"/>
        <w:adjustRightInd w:val="0"/>
        <w:spacing w:line="240" w:lineRule="auto"/>
        <w:textAlignment w:val="baseline"/>
        <w:rPr>
          <w:rFonts w:cs="Narkisim"/>
          <w:sz w:val="20"/>
          <w:rtl/>
        </w:rPr>
      </w:pPr>
    </w:p>
    <w:tbl>
      <w:tblPr>
        <w:tblStyle w:val="af6"/>
        <w:bidiVisual/>
        <w:tblW w:w="0" w:type="auto"/>
        <w:tblLook w:val="04A0" w:firstRow="1" w:lastRow="0" w:firstColumn="1" w:lastColumn="0" w:noHBand="0" w:noVBand="1"/>
      </w:tblPr>
      <w:tblGrid>
        <w:gridCol w:w="1264"/>
      </w:tblGrid>
      <w:tr w:rsidR="002B259C" w14:paraId="4B28BB58" w14:textId="77777777" w:rsidTr="0085697A">
        <w:tc>
          <w:tcPr>
            <w:tcW w:w="1264" w:type="dxa"/>
            <w:tcBorders>
              <w:top w:val="nil"/>
              <w:left w:val="nil"/>
            </w:tcBorders>
          </w:tcPr>
          <w:p w14:paraId="33A13987" w14:textId="77777777" w:rsidR="002B259C" w:rsidRPr="00790BA9" w:rsidRDefault="002B259C" w:rsidP="0085697A">
            <w:pPr>
              <w:pStyle w:val="NormalWeb"/>
              <w:tabs>
                <w:tab w:val="clear" w:pos="567"/>
                <w:tab w:val="clear" w:pos="1134"/>
                <w:tab w:val="clear" w:pos="1701"/>
                <w:tab w:val="clear" w:pos="2268"/>
              </w:tabs>
              <w:overflowPunct w:val="0"/>
              <w:autoSpaceDE w:val="0"/>
              <w:autoSpaceDN w:val="0"/>
              <w:adjustRightInd w:val="0"/>
              <w:spacing w:line="240" w:lineRule="auto"/>
              <w:textAlignment w:val="baseline"/>
              <w:rPr>
                <w:rFonts w:cs="Narkisim"/>
                <w:i/>
                <w:iCs/>
                <w:sz w:val="13"/>
                <w:szCs w:val="13"/>
                <w:rtl/>
              </w:rPr>
            </w:pPr>
            <w:r w:rsidRPr="00F2585A">
              <w:rPr>
                <w:rFonts w:cs="Narkisim"/>
                <w:i/>
                <w:iCs/>
                <w:sz w:val="13"/>
                <w:szCs w:val="13"/>
              </w:rPr>
              <w:t>IAS 34.10</w:t>
            </w:r>
          </w:p>
        </w:tc>
      </w:tr>
    </w:tbl>
    <w:p w14:paraId="74A80DDC" w14:textId="77777777" w:rsidR="00AB7D68" w:rsidRDefault="00AB7D68">
      <w:pPr>
        <w:pStyle w:val="13"/>
        <w:rPr>
          <w:rtl/>
        </w:rPr>
      </w:pPr>
      <w:r>
        <w:rPr>
          <w:rFonts w:hint="cs"/>
          <w:rtl/>
        </w:rPr>
        <w:t>באור 1: -</w:t>
      </w:r>
      <w:r>
        <w:rPr>
          <w:rFonts w:hint="cs"/>
          <w:rtl/>
        </w:rPr>
        <w:tab/>
      </w:r>
      <w:r>
        <w:rPr>
          <w:rFonts w:hint="cs"/>
          <w:u w:val="single"/>
          <w:rtl/>
        </w:rPr>
        <w:t>כללי</w:t>
      </w:r>
    </w:p>
    <w:p w14:paraId="6E28AA87" w14:textId="77777777" w:rsidR="00AB7D68" w:rsidRDefault="00AB7D68">
      <w:pPr>
        <w:pStyle w:val="21"/>
        <w:rPr>
          <w:rtl/>
        </w:rPr>
      </w:pPr>
    </w:p>
    <w:p w14:paraId="2922F5C1" w14:textId="0C557203" w:rsidR="008D22FA" w:rsidRDefault="00AB7D68" w:rsidP="00C61C28">
      <w:pPr>
        <w:pStyle w:val="21"/>
        <w:ind w:left="1134" w:firstLine="0"/>
        <w:rPr>
          <w:rtl/>
        </w:rPr>
      </w:pPr>
      <w:r>
        <w:rPr>
          <w:rFonts w:hint="cs"/>
          <w:rtl/>
        </w:rPr>
        <w:t xml:space="preserve">דוחות כספיים אלה נערכו במתכונת מתומצתת ליום 30 בספטמבר, </w:t>
      </w:r>
      <w:r w:rsidR="004A4A6B">
        <w:rPr>
          <w:rFonts w:hint="cs"/>
          <w:rtl/>
        </w:rPr>
        <w:t>201</w:t>
      </w:r>
      <w:r w:rsidR="00280C26">
        <w:rPr>
          <w:rFonts w:hint="cs"/>
          <w:rtl/>
        </w:rPr>
        <w:t>9</w:t>
      </w:r>
      <w:r w:rsidR="00742340">
        <w:rPr>
          <w:rFonts w:hint="cs"/>
          <w:rtl/>
        </w:rPr>
        <w:t xml:space="preserve"> </w:t>
      </w:r>
      <w:r>
        <w:rPr>
          <w:rFonts w:hint="cs"/>
          <w:rtl/>
        </w:rPr>
        <w:t xml:space="preserve">ולתקופות של תשעה ושלושה חודשים שהסתיימו באותו תאריך (להלן - דוחות כספיים ביניים מאוחדים). יש לעיין בדוחות אלה בהקשר לדוחות הכספיים השנתיים של החברה ליום 31 בדצמבר, </w:t>
      </w:r>
      <w:r w:rsidR="004F7D3D">
        <w:rPr>
          <w:rFonts w:hint="cs"/>
          <w:rtl/>
        </w:rPr>
        <w:t>201</w:t>
      </w:r>
      <w:r w:rsidR="00C61C28">
        <w:rPr>
          <w:rFonts w:hint="cs"/>
          <w:rtl/>
        </w:rPr>
        <w:t>8</w:t>
      </w:r>
      <w:r w:rsidR="00742340">
        <w:rPr>
          <w:rFonts w:hint="cs"/>
          <w:rtl/>
        </w:rPr>
        <w:t xml:space="preserve"> </w:t>
      </w:r>
      <w:r>
        <w:rPr>
          <w:rFonts w:hint="cs"/>
          <w:rtl/>
        </w:rPr>
        <w:t>ולשנה שהסתיימה באותו תאריך ולבאורים אשר נלוו אליהם (להלן - הדוחות הכספיים השנתיים</w:t>
      </w:r>
      <w:r w:rsidR="00CC15FA">
        <w:rPr>
          <w:rFonts w:hint="cs"/>
          <w:rtl/>
        </w:rPr>
        <w:t xml:space="preserve"> המאוחדים</w:t>
      </w:r>
      <w:r w:rsidRPr="006E533A">
        <w:rPr>
          <w:rFonts w:hint="cs"/>
          <w:rtl/>
        </w:rPr>
        <w:t>)</w:t>
      </w:r>
      <w:r w:rsidR="000C4C0E" w:rsidRPr="006E533A">
        <w:rPr>
          <w:rStyle w:val="ab"/>
          <w:rtl/>
        </w:rPr>
        <w:footnoteReference w:id="60"/>
      </w:r>
      <w:r w:rsidRPr="006E533A">
        <w:rPr>
          <w:rFonts w:hint="cs"/>
          <w:rtl/>
        </w:rPr>
        <w:t>.</w:t>
      </w:r>
    </w:p>
    <w:p w14:paraId="3D3AB891" w14:textId="77777777" w:rsidR="00152F1A" w:rsidRDefault="00152F1A" w:rsidP="00A26569">
      <w:pPr>
        <w:pStyle w:val="21"/>
        <w:ind w:left="1134" w:firstLine="0"/>
        <w:rPr>
          <w:rtl/>
        </w:rPr>
      </w:pPr>
    </w:p>
    <w:p w14:paraId="10C76925" w14:textId="77777777" w:rsidR="00AB7D68" w:rsidRDefault="00AB7D68">
      <w:pPr>
        <w:pStyle w:val="13"/>
        <w:rPr>
          <w:rtl/>
        </w:rPr>
      </w:pPr>
    </w:p>
    <w:p w14:paraId="4D197B72" w14:textId="77777777" w:rsidR="00AB7D68" w:rsidRDefault="00AB7D68">
      <w:pPr>
        <w:pStyle w:val="13"/>
        <w:rPr>
          <w:u w:val="single"/>
          <w:rtl/>
        </w:rPr>
      </w:pPr>
      <w:r>
        <w:rPr>
          <w:rFonts w:hint="cs"/>
          <w:rtl/>
        </w:rPr>
        <w:t>באור 2: -</w:t>
      </w:r>
      <w:r>
        <w:rPr>
          <w:rFonts w:hint="cs"/>
          <w:rtl/>
        </w:rPr>
        <w:tab/>
      </w:r>
      <w:r>
        <w:rPr>
          <w:rFonts w:hint="cs"/>
          <w:u w:val="single"/>
          <w:rtl/>
        </w:rPr>
        <w:t>עיקרי המדיניות החשבונאית</w:t>
      </w:r>
    </w:p>
    <w:p w14:paraId="65A1976F" w14:textId="77777777" w:rsidR="00AB7D68" w:rsidRDefault="00AB7D68" w:rsidP="00DE4AE3">
      <w:pPr>
        <w:pStyle w:val="21"/>
        <w:spacing w:line="240" w:lineRule="auto"/>
        <w:rPr>
          <w:rtl/>
        </w:rPr>
      </w:pPr>
    </w:p>
    <w:p w14:paraId="033B610F" w14:textId="68959ABA" w:rsidR="00892691" w:rsidRPr="00702EBC" w:rsidRDefault="00BA7341" w:rsidP="00702EBC">
      <w:pPr>
        <w:pStyle w:val="21"/>
        <w:rPr>
          <w:u w:val="single"/>
          <w:rtl/>
        </w:rPr>
      </w:pPr>
      <w:r>
        <w:rPr>
          <w:rFonts w:hint="cs"/>
          <w:rtl/>
        </w:rPr>
        <w:t xml:space="preserve">א. </w:t>
      </w:r>
      <w:r w:rsidR="00491760">
        <w:rPr>
          <w:rtl/>
        </w:rPr>
        <w:tab/>
      </w:r>
      <w:r w:rsidR="00AB7D68" w:rsidRPr="00702EBC">
        <w:rPr>
          <w:rFonts w:hint="cs"/>
          <w:u w:val="single"/>
          <w:rtl/>
        </w:rPr>
        <w:t>מתכונת העריכה של הדוחות הכספיים ביניים מאוחדים</w:t>
      </w:r>
    </w:p>
    <w:p w14:paraId="180726DD" w14:textId="77777777" w:rsidR="00892691" w:rsidRDefault="00892691" w:rsidP="00491760">
      <w:pPr>
        <w:pStyle w:val="01"/>
        <w:rPr>
          <w:rtl/>
        </w:rPr>
      </w:pPr>
    </w:p>
    <w:tbl>
      <w:tblPr>
        <w:tblStyle w:val="af6"/>
        <w:bidiVisual/>
        <w:tblW w:w="9607" w:type="dxa"/>
        <w:tblInd w:w="-10" w:type="dxa"/>
        <w:tblLayout w:type="fixed"/>
        <w:tblCellMar>
          <w:left w:w="0" w:type="dxa"/>
          <w:right w:w="0" w:type="dxa"/>
        </w:tblCellMar>
        <w:tblLook w:val="04A0" w:firstRow="1" w:lastRow="0" w:firstColumn="1" w:lastColumn="0" w:noHBand="0" w:noVBand="1"/>
      </w:tblPr>
      <w:tblGrid>
        <w:gridCol w:w="1253"/>
        <w:gridCol w:w="8354"/>
      </w:tblGrid>
      <w:tr w:rsidR="004D76B1" w14:paraId="7C79E2FD" w14:textId="77777777" w:rsidTr="007202CB">
        <w:tc>
          <w:tcPr>
            <w:tcW w:w="1253" w:type="dxa"/>
            <w:tcBorders>
              <w:top w:val="nil"/>
              <w:left w:val="nil"/>
              <w:right w:val="single" w:sz="4" w:space="0" w:color="auto"/>
            </w:tcBorders>
            <w:vAlign w:val="center"/>
          </w:tcPr>
          <w:p w14:paraId="656A986B" w14:textId="77777777" w:rsidR="004D76B1" w:rsidRPr="00F71E33" w:rsidRDefault="004D76B1" w:rsidP="001018AD">
            <w:pPr>
              <w:bidi w:val="0"/>
              <w:jc w:val="right"/>
              <w:rPr>
                <w:i/>
                <w:iCs/>
                <w:sz w:val="13"/>
                <w:szCs w:val="13"/>
              </w:rPr>
            </w:pPr>
            <w:r w:rsidRPr="00F71E33">
              <w:rPr>
                <w:rFonts w:hint="cs"/>
                <w:i/>
                <w:iCs/>
                <w:sz w:val="13"/>
                <w:szCs w:val="13"/>
              </w:rPr>
              <w:t>I</w:t>
            </w:r>
            <w:r w:rsidRPr="00F71E33">
              <w:rPr>
                <w:i/>
                <w:iCs/>
                <w:sz w:val="13"/>
                <w:szCs w:val="13"/>
              </w:rPr>
              <w:t>AS 34.19</w:t>
            </w:r>
          </w:p>
        </w:tc>
        <w:tc>
          <w:tcPr>
            <w:tcW w:w="8354" w:type="dxa"/>
            <w:tcBorders>
              <w:top w:val="nil"/>
              <w:left w:val="nil"/>
              <w:bottom w:val="nil"/>
              <w:right w:val="nil"/>
            </w:tcBorders>
          </w:tcPr>
          <w:p w14:paraId="45663130" w14:textId="77777777" w:rsidR="004D76B1" w:rsidRDefault="004D76B1" w:rsidP="00702EBC">
            <w:pPr>
              <w:ind w:left="416"/>
              <w:rPr>
                <w:rtl/>
              </w:rPr>
            </w:pPr>
            <w:r>
              <w:rPr>
                <w:rFonts w:hint="cs"/>
                <w:rtl/>
              </w:rPr>
              <w:t xml:space="preserve">הדוחות הכספיים ביניים מאוחדים ערוכים בהתאם לתקן חשבונאות בינלאומי 34 </w:t>
            </w:r>
            <w:r w:rsidRPr="000C4C0E">
              <w:rPr>
                <w:rFonts w:hint="eastAsia"/>
                <w:i/>
                <w:iCs/>
                <w:rtl/>
              </w:rPr>
              <w:t>דיווח</w:t>
            </w:r>
            <w:r w:rsidRPr="000C4C0E">
              <w:rPr>
                <w:i/>
                <w:iCs/>
                <w:rtl/>
              </w:rPr>
              <w:t xml:space="preserve"> </w:t>
            </w:r>
            <w:r w:rsidRPr="000C4C0E">
              <w:rPr>
                <w:rFonts w:hint="eastAsia"/>
                <w:i/>
                <w:iCs/>
                <w:rtl/>
              </w:rPr>
              <w:t>כספי</w:t>
            </w:r>
            <w:r w:rsidRPr="000C4C0E">
              <w:rPr>
                <w:i/>
                <w:iCs/>
                <w:rtl/>
              </w:rPr>
              <w:t xml:space="preserve"> </w:t>
            </w:r>
            <w:r w:rsidRPr="000C4C0E">
              <w:rPr>
                <w:rFonts w:hint="eastAsia"/>
                <w:i/>
                <w:iCs/>
                <w:rtl/>
              </w:rPr>
              <w:t>לתקופות</w:t>
            </w:r>
            <w:r w:rsidRPr="000C4C0E">
              <w:rPr>
                <w:i/>
                <w:iCs/>
                <w:rtl/>
              </w:rPr>
              <w:t xml:space="preserve"> </w:t>
            </w:r>
            <w:r w:rsidRPr="000C4C0E">
              <w:rPr>
                <w:rFonts w:hint="eastAsia"/>
                <w:i/>
                <w:iCs/>
                <w:rtl/>
              </w:rPr>
              <w:t>ביניים</w:t>
            </w:r>
            <w:r>
              <w:rPr>
                <w:rFonts w:hint="cs"/>
                <w:rtl/>
              </w:rPr>
              <w:t>, וכן בהתאם להוראות הגילוי לפי פרק ד' של תקנות ניירות ערך (דוחות תקופתיים ומיידיים), התש"ל-1970.</w:t>
            </w:r>
            <w:r>
              <w:rPr>
                <w:rStyle w:val="ab"/>
                <w:rtl/>
              </w:rPr>
              <w:footnoteReference w:id="61"/>
            </w:r>
          </w:p>
        </w:tc>
      </w:tr>
    </w:tbl>
    <w:p w14:paraId="2A126D32" w14:textId="77777777" w:rsidR="007202CB" w:rsidRDefault="007202CB" w:rsidP="00294F1D">
      <w:pPr>
        <w:pStyle w:val="21"/>
        <w:ind w:left="1134" w:firstLine="0"/>
        <w:rPr>
          <w:sz w:val="14"/>
          <w:szCs w:val="18"/>
          <w:u w:val="single"/>
          <w:rtl/>
        </w:rPr>
      </w:pPr>
    </w:p>
    <w:tbl>
      <w:tblPr>
        <w:tblStyle w:val="af6"/>
        <w:bidiVisual/>
        <w:tblW w:w="9617" w:type="dxa"/>
        <w:tblInd w:w="-5" w:type="dxa"/>
        <w:tblLayout w:type="fixed"/>
        <w:tblCellMar>
          <w:left w:w="0" w:type="dxa"/>
          <w:right w:w="0" w:type="dxa"/>
        </w:tblCellMar>
        <w:tblLook w:val="04A0" w:firstRow="1" w:lastRow="0" w:firstColumn="1" w:lastColumn="0" w:noHBand="0" w:noVBand="1"/>
      </w:tblPr>
      <w:tblGrid>
        <w:gridCol w:w="1253"/>
        <w:gridCol w:w="8364"/>
      </w:tblGrid>
      <w:tr w:rsidR="007202CB" w14:paraId="630C239B" w14:textId="77777777" w:rsidTr="00AA39F4">
        <w:tc>
          <w:tcPr>
            <w:tcW w:w="1253" w:type="dxa"/>
            <w:tcBorders>
              <w:top w:val="nil"/>
              <w:left w:val="nil"/>
              <w:bottom w:val="single" w:sz="4" w:space="0" w:color="auto"/>
              <w:right w:val="single" w:sz="4" w:space="0" w:color="auto"/>
            </w:tcBorders>
            <w:vAlign w:val="center"/>
          </w:tcPr>
          <w:p w14:paraId="6B46927C" w14:textId="77777777" w:rsidR="007202CB" w:rsidRPr="00F71E33" w:rsidRDefault="007202CB" w:rsidP="00AA39F4">
            <w:pPr>
              <w:bidi w:val="0"/>
              <w:jc w:val="right"/>
              <w:rPr>
                <w:i/>
                <w:iCs/>
                <w:sz w:val="13"/>
                <w:szCs w:val="13"/>
              </w:rPr>
            </w:pPr>
            <w:r w:rsidRPr="00F71E33">
              <w:rPr>
                <w:rFonts w:hint="cs"/>
                <w:i/>
                <w:iCs/>
                <w:sz w:val="13"/>
                <w:szCs w:val="13"/>
              </w:rPr>
              <w:t>I</w:t>
            </w:r>
            <w:r w:rsidRPr="00F71E33">
              <w:rPr>
                <w:i/>
                <w:iCs/>
                <w:sz w:val="13"/>
                <w:szCs w:val="13"/>
              </w:rPr>
              <w:t>A</w:t>
            </w:r>
            <w:r>
              <w:rPr>
                <w:i/>
                <w:iCs/>
                <w:sz w:val="13"/>
                <w:szCs w:val="13"/>
              </w:rPr>
              <w:t>S 34.16A(a)</w:t>
            </w:r>
          </w:p>
        </w:tc>
        <w:tc>
          <w:tcPr>
            <w:tcW w:w="8364" w:type="dxa"/>
            <w:tcBorders>
              <w:top w:val="nil"/>
              <w:left w:val="nil"/>
              <w:bottom w:val="nil"/>
              <w:right w:val="nil"/>
            </w:tcBorders>
          </w:tcPr>
          <w:p w14:paraId="0D6E7F09" w14:textId="77777777" w:rsidR="007202CB" w:rsidRDefault="007202CB" w:rsidP="00702EBC">
            <w:pPr>
              <w:ind w:left="416"/>
              <w:rPr>
                <w:rtl/>
              </w:rPr>
            </w:pPr>
            <w:r>
              <w:rPr>
                <w:rFonts w:hint="cs"/>
                <w:rtl/>
              </w:rPr>
              <w:t>המדיניות החשבונאית אשר יושמה בעריכת הדוחות הכספיים ביניים מאוחדים עקבית לזו שיושמה בעריכת הדוחות הכספיים השנתיים המאוחדים, למעט האמור להלן:</w:t>
            </w:r>
            <w:r w:rsidRPr="00C61C28">
              <w:rPr>
                <w:bCs/>
                <w:color w:val="FF0000"/>
                <w:vertAlign w:val="superscript"/>
                <w:rtl/>
              </w:rPr>
              <w:footnoteReference w:id="62"/>
            </w:r>
          </w:p>
        </w:tc>
      </w:tr>
    </w:tbl>
    <w:p w14:paraId="1FF3E936" w14:textId="77777777" w:rsidR="007202CB" w:rsidRPr="00E61E32" w:rsidRDefault="007202CB" w:rsidP="00294F1D">
      <w:pPr>
        <w:pStyle w:val="21"/>
        <w:ind w:left="1134" w:firstLine="0"/>
        <w:rPr>
          <w:sz w:val="14"/>
          <w:szCs w:val="18"/>
          <w:u w:val="single"/>
        </w:rPr>
      </w:pPr>
    </w:p>
    <w:p w14:paraId="5A214740" w14:textId="060CF788" w:rsidR="00D45A14" w:rsidRDefault="00D45A14" w:rsidP="00D45A14">
      <w:pPr>
        <w:pStyle w:val="21"/>
        <w:rPr>
          <w:u w:val="single"/>
          <w:rtl/>
        </w:rPr>
      </w:pPr>
      <w:r>
        <w:rPr>
          <w:rFonts w:hint="cs"/>
          <w:rtl/>
        </w:rPr>
        <w:t xml:space="preserve">ב. </w:t>
      </w:r>
      <w:r>
        <w:rPr>
          <w:rtl/>
        </w:rPr>
        <w:tab/>
      </w:r>
      <w:r>
        <w:rPr>
          <w:rFonts w:hint="cs"/>
          <w:u w:val="single"/>
          <w:rtl/>
        </w:rPr>
        <w:t>חכירות</w:t>
      </w:r>
    </w:p>
    <w:p w14:paraId="39261C00" w14:textId="7B3DDC90" w:rsidR="00D45A14" w:rsidRDefault="00D45A14" w:rsidP="00D45A14">
      <w:pPr>
        <w:pStyle w:val="21"/>
        <w:rPr>
          <w:u w:val="single"/>
          <w:rtl/>
        </w:rPr>
      </w:pPr>
    </w:p>
    <w:p w14:paraId="3AE94CEF" w14:textId="45D69C26" w:rsidR="00D45A14" w:rsidRDefault="00D45A14" w:rsidP="006448AF">
      <w:pPr>
        <w:pStyle w:val="30"/>
        <w:ind w:left="1701" w:firstLine="0"/>
        <w:rPr>
          <w:rtl/>
        </w:rPr>
      </w:pPr>
      <w:r w:rsidRPr="00ED7BA1">
        <w:rPr>
          <w:rFonts w:hint="eastAsia"/>
          <w:rtl/>
        </w:rPr>
        <w:t>כמפורט</w:t>
      </w:r>
      <w:r w:rsidRPr="00ED7BA1">
        <w:rPr>
          <w:rtl/>
        </w:rPr>
        <w:t xml:space="preserve"> </w:t>
      </w:r>
      <w:r w:rsidRPr="002B053E">
        <w:rPr>
          <w:rtl/>
        </w:rPr>
        <w:t xml:space="preserve">בבאור </w:t>
      </w:r>
      <w:r w:rsidRPr="00603732">
        <w:rPr>
          <w:rtl/>
        </w:rPr>
        <w:t>2</w:t>
      </w:r>
      <w:r w:rsidR="006448AF">
        <w:rPr>
          <w:rFonts w:hint="cs"/>
          <w:rtl/>
        </w:rPr>
        <w:t>ג</w:t>
      </w:r>
      <w:r w:rsidRPr="00603732">
        <w:rPr>
          <w:rFonts w:hint="cs"/>
          <w:rtl/>
        </w:rPr>
        <w:t>'</w:t>
      </w:r>
      <w:r w:rsidR="00603732">
        <w:rPr>
          <w:rFonts w:hint="cs"/>
          <w:rtl/>
        </w:rPr>
        <w:t>1</w:t>
      </w:r>
      <w:r w:rsidRPr="00ED7BA1">
        <w:rPr>
          <w:rtl/>
        </w:rPr>
        <w:t xml:space="preserve"> </w:t>
      </w:r>
      <w:r w:rsidRPr="00ED7BA1">
        <w:rPr>
          <w:rFonts w:hint="eastAsia"/>
          <w:rtl/>
        </w:rPr>
        <w:t>בדבר</w:t>
      </w:r>
      <w:r w:rsidRPr="00ED7BA1">
        <w:rPr>
          <w:rtl/>
        </w:rPr>
        <w:t xml:space="preserve"> יישום לראשונה של תקן דיווח כספי בינלאומי מספר </w:t>
      </w:r>
      <w:r>
        <w:rPr>
          <w:rFonts w:hint="cs"/>
          <w:rtl/>
        </w:rPr>
        <w:t>16</w:t>
      </w:r>
      <w:r w:rsidRPr="00ED7BA1">
        <w:rPr>
          <w:rtl/>
        </w:rPr>
        <w:t xml:space="preserve"> – </w:t>
      </w:r>
      <w:r>
        <w:rPr>
          <w:rFonts w:hint="cs"/>
          <w:rtl/>
        </w:rPr>
        <w:t>חכירות</w:t>
      </w:r>
      <w:r w:rsidRPr="00ED7BA1">
        <w:rPr>
          <w:rtl/>
        </w:rPr>
        <w:t xml:space="preserve"> (</w:t>
      </w:r>
      <w:r>
        <w:rPr>
          <w:rFonts w:hint="cs"/>
          <w:rtl/>
        </w:rPr>
        <w:t>להלן "</w:t>
      </w:r>
      <w:r w:rsidRPr="00D45A14">
        <w:rPr>
          <w:rFonts w:hint="eastAsia"/>
          <w:rtl/>
        </w:rPr>
        <w:t>התקן</w:t>
      </w:r>
      <w:r>
        <w:rPr>
          <w:rFonts w:hint="cs"/>
          <w:rtl/>
        </w:rPr>
        <w:t>"</w:t>
      </w:r>
      <w:r w:rsidRPr="00ED7BA1">
        <w:rPr>
          <w:rtl/>
        </w:rPr>
        <w:t xml:space="preserve">), </w:t>
      </w:r>
      <w:r w:rsidRPr="00ED7BA1">
        <w:rPr>
          <w:rFonts w:hint="eastAsia"/>
          <w:rtl/>
        </w:rPr>
        <w:t>החברה</w:t>
      </w:r>
      <w:r w:rsidRPr="00ED7BA1">
        <w:rPr>
          <w:rtl/>
        </w:rPr>
        <w:t xml:space="preserve"> </w:t>
      </w:r>
      <w:r w:rsidRPr="00ED7BA1">
        <w:rPr>
          <w:rFonts w:hint="eastAsia"/>
          <w:rtl/>
        </w:rPr>
        <w:t>בחרה</w:t>
      </w:r>
      <w:r w:rsidRPr="00ED7BA1">
        <w:rPr>
          <w:rtl/>
        </w:rPr>
        <w:t xml:space="preserve"> </w:t>
      </w:r>
      <w:r w:rsidRPr="00ED7BA1">
        <w:rPr>
          <w:rFonts w:hint="eastAsia"/>
          <w:rtl/>
        </w:rPr>
        <w:t>ליישם</w:t>
      </w:r>
      <w:r w:rsidRPr="00ED7BA1">
        <w:rPr>
          <w:rtl/>
        </w:rPr>
        <w:t xml:space="preserve"> </w:t>
      </w:r>
      <w:r w:rsidRPr="00ED7BA1">
        <w:rPr>
          <w:rFonts w:hint="eastAsia"/>
          <w:rtl/>
        </w:rPr>
        <w:t>את</w:t>
      </w:r>
      <w:r w:rsidRPr="00ED7BA1">
        <w:rPr>
          <w:rtl/>
        </w:rPr>
        <w:t xml:space="preserve"> </w:t>
      </w:r>
      <w:r w:rsidRPr="00ED7BA1">
        <w:rPr>
          <w:rFonts w:hint="eastAsia"/>
          <w:rtl/>
        </w:rPr>
        <w:t>הוראות</w:t>
      </w:r>
      <w:r w:rsidRPr="00ED7BA1">
        <w:rPr>
          <w:rtl/>
        </w:rPr>
        <w:t xml:space="preserve"> </w:t>
      </w:r>
      <w:r w:rsidRPr="00ED7BA1">
        <w:rPr>
          <w:rFonts w:hint="eastAsia"/>
          <w:rtl/>
        </w:rPr>
        <w:t>התקן</w:t>
      </w:r>
      <w:r w:rsidRPr="00ED7BA1">
        <w:rPr>
          <w:rtl/>
        </w:rPr>
        <w:t xml:space="preserve"> </w:t>
      </w:r>
      <w:r w:rsidR="002C44CE">
        <w:rPr>
          <w:rFonts w:hint="cs"/>
          <w:rtl/>
        </w:rPr>
        <w:t xml:space="preserve">למפרע חלקי (ללא </w:t>
      </w:r>
      <w:r w:rsidR="008C5DA8">
        <w:rPr>
          <w:rFonts w:hint="cs"/>
          <w:rtl/>
        </w:rPr>
        <w:t>הצגה מחדש של</w:t>
      </w:r>
      <w:r w:rsidR="002C44CE">
        <w:rPr>
          <w:rFonts w:hint="cs"/>
          <w:rtl/>
        </w:rPr>
        <w:t xml:space="preserve"> מספרי השוואה).</w:t>
      </w:r>
    </w:p>
    <w:p w14:paraId="770B6DED" w14:textId="77777777" w:rsidR="002C44CE" w:rsidRDefault="002C44CE" w:rsidP="002C44CE">
      <w:pPr>
        <w:pStyle w:val="30"/>
        <w:ind w:left="1701" w:firstLine="0"/>
      </w:pPr>
    </w:p>
    <w:p w14:paraId="23393CA0" w14:textId="29840086" w:rsidR="00D45A14" w:rsidRDefault="00D45A14" w:rsidP="000A2650">
      <w:pPr>
        <w:pStyle w:val="30"/>
        <w:ind w:left="1701" w:firstLine="0"/>
        <w:rPr>
          <w:rtl/>
        </w:rPr>
      </w:pPr>
      <w:r w:rsidRPr="006318B0">
        <w:rPr>
          <w:rFonts w:hint="cs"/>
          <w:rtl/>
        </w:rPr>
        <w:t>המדיניות החשבונאית</w:t>
      </w:r>
      <w:r>
        <w:rPr>
          <w:rFonts w:hint="cs"/>
          <w:rtl/>
        </w:rPr>
        <w:t xml:space="preserve"> שיושמה עד ליום 31 בדצמבר, </w:t>
      </w:r>
      <w:r w:rsidR="000A2650">
        <w:rPr>
          <w:rFonts w:hint="cs"/>
          <w:rtl/>
        </w:rPr>
        <w:t>2018</w:t>
      </w:r>
      <w:r>
        <w:rPr>
          <w:rFonts w:hint="cs"/>
          <w:rtl/>
        </w:rPr>
        <w:t xml:space="preserve"> בגין חכירות הינה כדלקמן:</w:t>
      </w:r>
    </w:p>
    <w:p w14:paraId="0F437A13" w14:textId="2AAEE4D3" w:rsidR="00D45A14" w:rsidRDefault="00D45A14" w:rsidP="00D45A14">
      <w:pPr>
        <w:pStyle w:val="21"/>
        <w:rPr>
          <w:rtl/>
        </w:rPr>
      </w:pPr>
    </w:p>
    <w:p w14:paraId="35A1C7C3" w14:textId="77777777" w:rsidR="00D45A14" w:rsidRPr="007D64FF" w:rsidRDefault="00D45A14" w:rsidP="00D45A14">
      <w:pPr>
        <w:pStyle w:val="30"/>
        <w:ind w:left="1701" w:firstLine="0"/>
        <w:rPr>
          <w:rtl/>
        </w:rPr>
      </w:pPr>
      <w:r w:rsidRPr="007D64FF">
        <w:rPr>
          <w:rFonts w:hint="cs"/>
          <w:rtl/>
        </w:rPr>
        <w:t>המבחנים לסיווג חכירה כמימונית או כתפעולית מבוססים על מהות ההסכמים והם נבחנים במועד ההתקשרות על-פי הכללים להלן שנקבעו ב-</w:t>
      </w:r>
      <w:r w:rsidRPr="007D64FF">
        <w:rPr>
          <w:rFonts w:hint="cs"/>
        </w:rPr>
        <w:t>IAS</w:t>
      </w:r>
      <w:r w:rsidRPr="007D64FF">
        <w:t xml:space="preserve"> 17</w:t>
      </w:r>
      <w:r w:rsidRPr="007D64FF">
        <w:rPr>
          <w:rFonts w:hint="cs"/>
          <w:rtl/>
        </w:rPr>
        <w:t>:</w:t>
      </w:r>
    </w:p>
    <w:p w14:paraId="1A7961CD" w14:textId="77777777" w:rsidR="00D45A14" w:rsidRPr="007D64FF" w:rsidRDefault="00D45A14" w:rsidP="00D45A14">
      <w:pPr>
        <w:pStyle w:val="30"/>
        <w:ind w:left="1701" w:firstLine="0"/>
        <w:rPr>
          <w:rtl/>
        </w:rPr>
      </w:pPr>
    </w:p>
    <w:p w14:paraId="3DA9C6C5" w14:textId="77777777" w:rsidR="00D45A14" w:rsidRPr="007D64FF" w:rsidRDefault="00D45A14" w:rsidP="00D45A14">
      <w:pPr>
        <w:pStyle w:val="30"/>
        <w:rPr>
          <w:u w:val="single"/>
          <w:rtl/>
        </w:rPr>
      </w:pPr>
      <w:r w:rsidRPr="007D64FF">
        <w:rPr>
          <w:rFonts w:hint="cs"/>
          <w:u w:val="single"/>
          <w:rtl/>
        </w:rPr>
        <w:t>הקבוצה כחוכר</w:t>
      </w:r>
    </w:p>
    <w:p w14:paraId="353B507A" w14:textId="77777777" w:rsidR="00D45A14" w:rsidRPr="007D64FF" w:rsidRDefault="00D45A14" w:rsidP="00D45A14">
      <w:pPr>
        <w:rPr>
          <w:rtl/>
        </w:rPr>
      </w:pPr>
    </w:p>
    <w:p w14:paraId="3F8B3B27" w14:textId="77777777" w:rsidR="00D45A14" w:rsidRDefault="00D45A14" w:rsidP="00D45A14">
      <w:pPr>
        <w:pStyle w:val="30"/>
        <w:rPr>
          <w:u w:val="single"/>
          <w:rtl/>
        </w:rPr>
      </w:pPr>
      <w:r w:rsidRPr="007D64FF">
        <w:rPr>
          <w:rFonts w:hint="cs"/>
          <w:rtl/>
        </w:rPr>
        <w:t>1.</w:t>
      </w:r>
      <w:r w:rsidRPr="007D64FF">
        <w:rPr>
          <w:rFonts w:hint="cs"/>
          <w:rtl/>
        </w:rPr>
        <w:tab/>
      </w:r>
      <w:r w:rsidRPr="007D64FF">
        <w:rPr>
          <w:rFonts w:hint="cs"/>
          <w:u w:val="single"/>
          <w:rtl/>
        </w:rPr>
        <w:t>חכירה מימונית</w:t>
      </w:r>
    </w:p>
    <w:p w14:paraId="5B69110C" w14:textId="77777777" w:rsidR="00D45A14" w:rsidRPr="007D64FF" w:rsidRDefault="00D45A14" w:rsidP="00D45A14">
      <w:pPr>
        <w:rPr>
          <w:rtl/>
        </w:rPr>
      </w:pPr>
    </w:p>
    <w:tbl>
      <w:tblPr>
        <w:bidiVisual/>
        <w:tblW w:w="0" w:type="auto"/>
        <w:tblInd w:w="16" w:type="dxa"/>
        <w:tblLayout w:type="fixed"/>
        <w:tblCellMar>
          <w:left w:w="0" w:type="dxa"/>
          <w:right w:w="0" w:type="dxa"/>
        </w:tblCellMar>
        <w:tblLook w:val="0000" w:firstRow="0" w:lastRow="0" w:firstColumn="0" w:lastColumn="0" w:noHBand="0" w:noVBand="0"/>
      </w:tblPr>
      <w:tblGrid>
        <w:gridCol w:w="1148"/>
        <w:gridCol w:w="1142"/>
        <w:gridCol w:w="7335"/>
      </w:tblGrid>
      <w:tr w:rsidR="00D45A14" w:rsidRPr="00AE3262" w14:paraId="59AF008A" w14:textId="77777777" w:rsidTr="00EA66F8">
        <w:tc>
          <w:tcPr>
            <w:tcW w:w="1148" w:type="dxa"/>
            <w:tcBorders>
              <w:bottom w:val="single" w:sz="6" w:space="0" w:color="auto"/>
              <w:right w:val="single" w:sz="6" w:space="0" w:color="auto"/>
            </w:tcBorders>
            <w:shd w:val="clear" w:color="auto" w:fill="auto"/>
            <w:vAlign w:val="center"/>
          </w:tcPr>
          <w:p w14:paraId="68BFD6F1" w14:textId="77777777" w:rsidR="00D45A14" w:rsidRPr="00D45A14" w:rsidRDefault="00D45A14" w:rsidP="00D45A14">
            <w:pPr>
              <w:bidi w:val="0"/>
              <w:jc w:val="right"/>
              <w:rPr>
                <w:i/>
                <w:iCs/>
                <w:sz w:val="13"/>
                <w:szCs w:val="13"/>
              </w:rPr>
            </w:pPr>
            <w:r w:rsidRPr="00D45A14">
              <w:rPr>
                <w:i/>
                <w:iCs/>
                <w:sz w:val="13"/>
                <w:szCs w:val="13"/>
              </w:rPr>
              <w:t>IAS 17.8;</w:t>
            </w:r>
          </w:p>
          <w:p w14:paraId="22A5D6BC" w14:textId="77777777" w:rsidR="00D45A14" w:rsidRPr="00D45A14" w:rsidRDefault="00D45A14" w:rsidP="00D45A14">
            <w:pPr>
              <w:bidi w:val="0"/>
              <w:jc w:val="right"/>
              <w:rPr>
                <w:i/>
                <w:iCs/>
                <w:sz w:val="13"/>
                <w:szCs w:val="13"/>
              </w:rPr>
            </w:pPr>
            <w:r w:rsidRPr="00D45A14">
              <w:rPr>
                <w:i/>
                <w:iCs/>
                <w:sz w:val="13"/>
                <w:szCs w:val="13"/>
              </w:rPr>
              <w:t>IAS 17.20;</w:t>
            </w:r>
          </w:p>
          <w:p w14:paraId="4F2BB573" w14:textId="77777777" w:rsidR="00D45A14" w:rsidRPr="00D45A14" w:rsidRDefault="00D45A14" w:rsidP="00D45A14">
            <w:pPr>
              <w:bidi w:val="0"/>
              <w:jc w:val="right"/>
              <w:rPr>
                <w:i/>
                <w:iCs/>
                <w:sz w:val="13"/>
                <w:szCs w:val="13"/>
              </w:rPr>
            </w:pPr>
            <w:r w:rsidRPr="00D45A14">
              <w:rPr>
                <w:i/>
                <w:iCs/>
                <w:sz w:val="13"/>
                <w:szCs w:val="13"/>
              </w:rPr>
              <w:t>IAS 17.25</w:t>
            </w:r>
          </w:p>
        </w:tc>
        <w:tc>
          <w:tcPr>
            <w:tcW w:w="1142" w:type="dxa"/>
            <w:tcBorders>
              <w:left w:val="single" w:sz="6" w:space="0" w:color="auto"/>
            </w:tcBorders>
            <w:shd w:val="clear" w:color="auto" w:fill="auto"/>
            <w:vAlign w:val="center"/>
          </w:tcPr>
          <w:p w14:paraId="5ADCDDBC" w14:textId="77777777" w:rsidR="00D45A14" w:rsidRDefault="00D45A14" w:rsidP="00EA66F8">
            <w:pPr>
              <w:pStyle w:val="a3"/>
              <w:tabs>
                <w:tab w:val="left" w:pos="227"/>
                <w:tab w:val="left" w:pos="397"/>
                <w:tab w:val="left" w:pos="567"/>
              </w:tabs>
              <w:bidi w:val="0"/>
              <w:jc w:val="right"/>
              <w:rPr>
                <w:i/>
                <w:iCs/>
                <w:sz w:val="13"/>
                <w:szCs w:val="13"/>
              </w:rPr>
            </w:pPr>
          </w:p>
        </w:tc>
        <w:tc>
          <w:tcPr>
            <w:tcW w:w="7335" w:type="dxa"/>
            <w:shd w:val="clear" w:color="auto" w:fill="auto"/>
          </w:tcPr>
          <w:p w14:paraId="663350C8" w14:textId="77777777" w:rsidR="00D45A14" w:rsidRDefault="00D45A14" w:rsidP="00EA66F8">
            <w:pPr>
              <w:rPr>
                <w:rtl/>
              </w:rPr>
            </w:pPr>
            <w:r>
              <w:rPr>
                <w:rFonts w:hint="cs"/>
                <w:rtl/>
              </w:rPr>
              <w:t>נכסים אשר</w:t>
            </w:r>
            <w:r w:rsidRPr="007D64FF">
              <w:rPr>
                <w:rFonts w:hint="cs"/>
                <w:rtl/>
              </w:rPr>
              <w:t xml:space="preserve"> כל הסיכונים וההטבות הקשורים לבעלות על הנכס </w:t>
            </w:r>
            <w:r>
              <w:rPr>
                <w:rFonts w:hint="cs"/>
                <w:rtl/>
              </w:rPr>
              <w:t>הועברו לקבוצה,</w:t>
            </w:r>
            <w:r w:rsidRPr="007D64FF">
              <w:rPr>
                <w:rFonts w:hint="cs"/>
                <w:rtl/>
              </w:rPr>
              <w:t xml:space="preserve"> </w:t>
            </w:r>
            <w:r>
              <w:rPr>
                <w:rFonts w:hint="cs"/>
                <w:rtl/>
              </w:rPr>
              <w:t>מסווגים כחכירה מימונית.</w:t>
            </w:r>
            <w:r w:rsidRPr="007D64FF">
              <w:rPr>
                <w:rFonts w:hint="cs"/>
                <w:rtl/>
              </w:rPr>
              <w:t xml:space="preserve"> הנכס </w:t>
            </w:r>
            <w:r>
              <w:rPr>
                <w:rFonts w:hint="cs"/>
                <w:rtl/>
              </w:rPr>
              <w:t xml:space="preserve">החכור </w:t>
            </w:r>
            <w:r w:rsidRPr="007D64FF">
              <w:rPr>
                <w:rFonts w:hint="cs"/>
                <w:rtl/>
              </w:rPr>
              <w:t xml:space="preserve">נמדד בתחילת תקופת החכירה לפי הנמוך מבין השווי ההוגן של הנכס החכור או הערך הנוכחי של תשלומי החכירה המינימליים. </w:t>
            </w:r>
          </w:p>
        </w:tc>
      </w:tr>
    </w:tbl>
    <w:p w14:paraId="29B49FF3" w14:textId="77777777" w:rsidR="00D45A14" w:rsidRDefault="00D45A14" w:rsidP="00D45A14"/>
    <w:tbl>
      <w:tblPr>
        <w:bidiVisual/>
        <w:tblW w:w="9611" w:type="dxa"/>
        <w:tblInd w:w="5" w:type="dxa"/>
        <w:tblLayout w:type="fixed"/>
        <w:tblCellMar>
          <w:left w:w="0" w:type="dxa"/>
          <w:right w:w="0" w:type="dxa"/>
        </w:tblCellMar>
        <w:tblLook w:val="0000" w:firstRow="0" w:lastRow="0" w:firstColumn="0" w:lastColumn="0" w:noHBand="0" w:noVBand="0"/>
      </w:tblPr>
      <w:tblGrid>
        <w:gridCol w:w="1148"/>
        <w:gridCol w:w="1142"/>
        <w:gridCol w:w="7321"/>
      </w:tblGrid>
      <w:tr w:rsidR="00D45A14" w:rsidRPr="00AE3262" w14:paraId="6C19B60F" w14:textId="77777777" w:rsidTr="00EA66F8">
        <w:tc>
          <w:tcPr>
            <w:tcW w:w="1148" w:type="dxa"/>
            <w:shd w:val="clear" w:color="auto" w:fill="auto"/>
            <w:vAlign w:val="center"/>
          </w:tcPr>
          <w:p w14:paraId="116903BF" w14:textId="77777777" w:rsidR="00D45A14" w:rsidRDefault="00D45A14" w:rsidP="00EA66F8">
            <w:pPr>
              <w:pStyle w:val="a3"/>
              <w:tabs>
                <w:tab w:val="left" w:pos="227"/>
                <w:tab w:val="left" w:pos="397"/>
                <w:tab w:val="left" w:pos="567"/>
              </w:tabs>
              <w:bidi w:val="0"/>
              <w:jc w:val="right"/>
              <w:rPr>
                <w:i/>
                <w:iCs/>
                <w:sz w:val="13"/>
                <w:szCs w:val="13"/>
              </w:rPr>
            </w:pPr>
          </w:p>
        </w:tc>
        <w:tc>
          <w:tcPr>
            <w:tcW w:w="1142" w:type="dxa"/>
            <w:tcBorders>
              <w:left w:val="nil"/>
            </w:tcBorders>
            <w:shd w:val="clear" w:color="auto" w:fill="auto"/>
            <w:vAlign w:val="center"/>
          </w:tcPr>
          <w:p w14:paraId="04C18165" w14:textId="77777777" w:rsidR="00D45A14" w:rsidRDefault="00D45A14" w:rsidP="00EA66F8">
            <w:pPr>
              <w:pStyle w:val="a3"/>
              <w:tabs>
                <w:tab w:val="left" w:pos="227"/>
                <w:tab w:val="left" w:pos="397"/>
                <w:tab w:val="left" w:pos="567"/>
              </w:tabs>
              <w:bidi w:val="0"/>
              <w:jc w:val="right"/>
              <w:rPr>
                <w:i/>
                <w:iCs/>
                <w:sz w:val="13"/>
                <w:szCs w:val="13"/>
              </w:rPr>
            </w:pPr>
          </w:p>
        </w:tc>
        <w:tc>
          <w:tcPr>
            <w:tcW w:w="7321" w:type="dxa"/>
            <w:shd w:val="clear" w:color="auto" w:fill="auto"/>
          </w:tcPr>
          <w:p w14:paraId="0E8DAC5A" w14:textId="77777777" w:rsidR="00D45A14" w:rsidRDefault="00D45A14" w:rsidP="00EA66F8">
            <w:pPr>
              <w:rPr>
                <w:rtl/>
              </w:rPr>
            </w:pPr>
            <w:r>
              <w:rPr>
                <w:rFonts w:hint="cs"/>
                <w:rtl/>
              </w:rPr>
              <w:t>הנכס בחכירה מופחת לאורך תקופת החיים השימושיים שלו, או תקופת החכירה כנמוך שבהם.</w:t>
            </w:r>
          </w:p>
        </w:tc>
      </w:tr>
    </w:tbl>
    <w:p w14:paraId="316A5496" w14:textId="77777777" w:rsidR="00D45A14" w:rsidRPr="00D13357" w:rsidRDefault="00D45A14" w:rsidP="00D45A14">
      <w:pPr>
        <w:pStyle w:val="30"/>
        <w:rPr>
          <w:rtl/>
        </w:rPr>
      </w:pPr>
    </w:p>
    <w:p w14:paraId="573BD123" w14:textId="77777777" w:rsidR="00D45A14" w:rsidRPr="007D64FF" w:rsidRDefault="00D45A14" w:rsidP="00D45A14">
      <w:pPr>
        <w:pStyle w:val="30"/>
        <w:rPr>
          <w:rtl/>
        </w:rPr>
      </w:pPr>
      <w:r w:rsidRPr="007D64FF">
        <w:rPr>
          <w:rFonts w:hint="cs"/>
          <w:rtl/>
        </w:rPr>
        <w:t>2.</w:t>
      </w:r>
      <w:r w:rsidRPr="007D64FF">
        <w:rPr>
          <w:rFonts w:hint="cs"/>
          <w:rtl/>
        </w:rPr>
        <w:tab/>
      </w:r>
      <w:r w:rsidRPr="007D64FF">
        <w:rPr>
          <w:rFonts w:hint="cs"/>
          <w:u w:val="single"/>
          <w:rtl/>
        </w:rPr>
        <w:t>חכירה תפעולית</w:t>
      </w:r>
    </w:p>
    <w:tbl>
      <w:tblPr>
        <w:bidiVisual/>
        <w:tblW w:w="0" w:type="auto"/>
        <w:tblLayout w:type="fixed"/>
        <w:tblCellMar>
          <w:left w:w="0" w:type="dxa"/>
          <w:right w:w="0" w:type="dxa"/>
        </w:tblCellMar>
        <w:tblLook w:val="0000" w:firstRow="0" w:lastRow="0" w:firstColumn="0" w:lastColumn="0" w:noHBand="0" w:noVBand="0"/>
      </w:tblPr>
      <w:tblGrid>
        <w:gridCol w:w="1148"/>
        <w:gridCol w:w="1078"/>
        <w:gridCol w:w="7399"/>
      </w:tblGrid>
      <w:tr w:rsidR="00D45A14" w:rsidRPr="00AE3262" w14:paraId="1D095BAC" w14:textId="77777777" w:rsidTr="00EA66F8">
        <w:tc>
          <w:tcPr>
            <w:tcW w:w="1148" w:type="dxa"/>
            <w:shd w:val="clear" w:color="auto" w:fill="auto"/>
            <w:vAlign w:val="center"/>
          </w:tcPr>
          <w:p w14:paraId="2CD312F8" w14:textId="77777777" w:rsidR="00D45A14" w:rsidRDefault="00D45A14" w:rsidP="00EA66F8">
            <w:pPr>
              <w:pStyle w:val="en00"/>
            </w:pPr>
          </w:p>
        </w:tc>
        <w:tc>
          <w:tcPr>
            <w:tcW w:w="1078" w:type="dxa"/>
            <w:shd w:val="clear" w:color="auto" w:fill="auto"/>
            <w:vAlign w:val="center"/>
          </w:tcPr>
          <w:p w14:paraId="388B731C" w14:textId="77777777" w:rsidR="00D45A14" w:rsidRDefault="00D45A14" w:rsidP="00EA66F8">
            <w:pPr>
              <w:pStyle w:val="a3"/>
              <w:tabs>
                <w:tab w:val="left" w:pos="227"/>
                <w:tab w:val="left" w:pos="397"/>
                <w:tab w:val="left" w:pos="567"/>
              </w:tabs>
              <w:bidi w:val="0"/>
              <w:jc w:val="right"/>
              <w:rPr>
                <w:i/>
                <w:iCs/>
                <w:sz w:val="13"/>
                <w:szCs w:val="13"/>
              </w:rPr>
            </w:pPr>
          </w:p>
        </w:tc>
        <w:tc>
          <w:tcPr>
            <w:tcW w:w="7399" w:type="dxa"/>
            <w:shd w:val="clear" w:color="auto" w:fill="auto"/>
          </w:tcPr>
          <w:p w14:paraId="58CBC9CB" w14:textId="77777777" w:rsidR="00D45A14" w:rsidRPr="007D64FF" w:rsidRDefault="00D45A14" w:rsidP="00EA66F8">
            <w:pPr>
              <w:pStyle w:val="a3"/>
              <w:widowControl/>
              <w:jc w:val="both"/>
              <w:rPr>
                <w:rtl/>
              </w:rPr>
            </w:pPr>
          </w:p>
        </w:tc>
      </w:tr>
      <w:tr w:rsidR="00D45A14" w:rsidRPr="00AE3262" w14:paraId="54C3C08A" w14:textId="77777777" w:rsidTr="00EA66F8">
        <w:tc>
          <w:tcPr>
            <w:tcW w:w="1148" w:type="dxa"/>
            <w:tcBorders>
              <w:bottom w:val="single" w:sz="6" w:space="0" w:color="auto"/>
              <w:right w:val="single" w:sz="6" w:space="0" w:color="auto"/>
            </w:tcBorders>
            <w:shd w:val="clear" w:color="auto" w:fill="auto"/>
            <w:vAlign w:val="center"/>
          </w:tcPr>
          <w:p w14:paraId="0B0E90AE" w14:textId="77777777" w:rsidR="00D45A14" w:rsidRPr="00D45A14" w:rsidRDefault="00D45A14" w:rsidP="00D45A14">
            <w:pPr>
              <w:bidi w:val="0"/>
              <w:jc w:val="right"/>
              <w:rPr>
                <w:i/>
                <w:iCs/>
                <w:sz w:val="13"/>
                <w:szCs w:val="13"/>
              </w:rPr>
            </w:pPr>
            <w:r w:rsidRPr="00D45A14">
              <w:rPr>
                <w:i/>
                <w:iCs/>
                <w:sz w:val="13"/>
                <w:szCs w:val="13"/>
              </w:rPr>
              <w:t>IAS 17.8;</w:t>
            </w:r>
          </w:p>
          <w:p w14:paraId="48D129B8" w14:textId="77777777" w:rsidR="00D45A14" w:rsidRDefault="00D45A14" w:rsidP="00D45A14">
            <w:pPr>
              <w:bidi w:val="0"/>
              <w:jc w:val="right"/>
            </w:pPr>
            <w:r w:rsidRPr="00D45A14">
              <w:rPr>
                <w:i/>
                <w:iCs/>
                <w:sz w:val="13"/>
                <w:szCs w:val="13"/>
              </w:rPr>
              <w:t>IAS 17.33</w:t>
            </w:r>
          </w:p>
        </w:tc>
        <w:tc>
          <w:tcPr>
            <w:tcW w:w="1078" w:type="dxa"/>
            <w:tcBorders>
              <w:left w:val="single" w:sz="6" w:space="0" w:color="auto"/>
            </w:tcBorders>
            <w:shd w:val="clear" w:color="auto" w:fill="auto"/>
            <w:vAlign w:val="center"/>
          </w:tcPr>
          <w:p w14:paraId="1B3A4EC3" w14:textId="77777777" w:rsidR="00D45A14" w:rsidRDefault="00D45A14" w:rsidP="00EA66F8">
            <w:pPr>
              <w:pStyle w:val="a3"/>
              <w:tabs>
                <w:tab w:val="left" w:pos="227"/>
                <w:tab w:val="left" w:pos="397"/>
                <w:tab w:val="left" w:pos="567"/>
              </w:tabs>
              <w:bidi w:val="0"/>
              <w:jc w:val="right"/>
              <w:rPr>
                <w:i/>
                <w:iCs/>
                <w:sz w:val="13"/>
                <w:szCs w:val="13"/>
              </w:rPr>
            </w:pPr>
          </w:p>
        </w:tc>
        <w:tc>
          <w:tcPr>
            <w:tcW w:w="7399" w:type="dxa"/>
            <w:shd w:val="clear" w:color="auto" w:fill="auto"/>
          </w:tcPr>
          <w:p w14:paraId="26EC5D4B" w14:textId="77777777" w:rsidR="00D45A14" w:rsidRDefault="00D45A14" w:rsidP="00EA66F8">
            <w:pPr>
              <w:rPr>
                <w:rtl/>
              </w:rPr>
            </w:pPr>
            <w:r>
              <w:rPr>
                <w:rFonts w:hint="cs"/>
                <w:rtl/>
              </w:rPr>
              <w:t xml:space="preserve">נכסים אשר </w:t>
            </w:r>
            <w:r w:rsidRPr="007D64FF">
              <w:rPr>
                <w:rFonts w:hint="cs"/>
                <w:rtl/>
              </w:rPr>
              <w:t xml:space="preserve">לא מועברים באופן ממשי כל הסיכונים וההטבות הגלומים בבעלות על הנכס החכור, מסווגים כחכירה תפעולית. תשלומי החכירה מוכרים כהוצאה ברווח </w:t>
            </w:r>
            <w:r>
              <w:rPr>
                <w:rFonts w:hint="cs"/>
                <w:rtl/>
              </w:rPr>
              <w:t>א</w:t>
            </w:r>
            <w:r w:rsidRPr="007D64FF">
              <w:rPr>
                <w:rFonts w:hint="cs"/>
                <w:rtl/>
              </w:rPr>
              <w:t>ו</w:t>
            </w:r>
            <w:r>
              <w:rPr>
                <w:rFonts w:hint="cs"/>
                <w:rtl/>
              </w:rPr>
              <w:t xml:space="preserve"> </w:t>
            </w:r>
            <w:r w:rsidRPr="007D64FF">
              <w:rPr>
                <w:rFonts w:hint="cs"/>
                <w:rtl/>
              </w:rPr>
              <w:t>הפסד בקו ישר על פני תקופת החכירה.</w:t>
            </w:r>
          </w:p>
        </w:tc>
      </w:tr>
    </w:tbl>
    <w:p w14:paraId="74BE541B" w14:textId="77777777" w:rsidR="00D45A14" w:rsidRDefault="00D45A14" w:rsidP="00D45A14">
      <w:pPr>
        <w:rPr>
          <w:rtl/>
        </w:rPr>
      </w:pPr>
    </w:p>
    <w:p w14:paraId="4A009EF7" w14:textId="77777777" w:rsidR="00D45A14" w:rsidRDefault="00D45A14" w:rsidP="00D45A14">
      <w:pPr>
        <w:pStyle w:val="30"/>
        <w:rPr>
          <w:u w:val="single"/>
          <w:rtl/>
        </w:rPr>
      </w:pPr>
    </w:p>
    <w:p w14:paraId="14DF515C" w14:textId="77777777" w:rsidR="00D45A14" w:rsidRDefault="00D45A14" w:rsidP="00D45A14">
      <w:pPr>
        <w:pStyle w:val="30"/>
        <w:rPr>
          <w:u w:val="single"/>
          <w:rtl/>
        </w:rPr>
      </w:pPr>
    </w:p>
    <w:p w14:paraId="5640F1EA" w14:textId="77777777" w:rsidR="00D45A14" w:rsidRDefault="00D45A14" w:rsidP="00D45A14">
      <w:pPr>
        <w:pStyle w:val="30"/>
        <w:rPr>
          <w:u w:val="single"/>
          <w:rtl/>
        </w:rPr>
      </w:pPr>
    </w:p>
    <w:p w14:paraId="148D8064" w14:textId="77777777" w:rsidR="00D45A14" w:rsidRDefault="00D45A14" w:rsidP="00D45A14">
      <w:pPr>
        <w:pStyle w:val="30"/>
        <w:rPr>
          <w:u w:val="single"/>
          <w:rtl/>
        </w:rPr>
      </w:pPr>
    </w:p>
    <w:p w14:paraId="1DFE9E0C" w14:textId="4BB69697" w:rsidR="00D45A14" w:rsidRPr="00D45A14" w:rsidRDefault="00D45A14" w:rsidP="00D45A14">
      <w:pPr>
        <w:pStyle w:val="13"/>
        <w:rPr>
          <w:rtl/>
        </w:rPr>
      </w:pPr>
      <w:r>
        <w:rPr>
          <w:rFonts w:hint="cs"/>
          <w:rtl/>
        </w:rPr>
        <w:t>באור 2: -</w:t>
      </w:r>
      <w:r>
        <w:rPr>
          <w:rFonts w:hint="cs"/>
          <w:rtl/>
        </w:rPr>
        <w:tab/>
      </w:r>
      <w:r>
        <w:rPr>
          <w:rFonts w:hint="cs"/>
          <w:u w:val="single"/>
          <w:rtl/>
        </w:rPr>
        <w:t>עיקרי המדיניות החשבונאית</w:t>
      </w:r>
      <w:r>
        <w:rPr>
          <w:rFonts w:hint="cs"/>
          <w:rtl/>
        </w:rPr>
        <w:t xml:space="preserve"> (המשך)</w:t>
      </w:r>
    </w:p>
    <w:p w14:paraId="2E68D1F5" w14:textId="77777777" w:rsidR="00D45A14" w:rsidRDefault="00D45A14" w:rsidP="00D45A14">
      <w:pPr>
        <w:pStyle w:val="30"/>
        <w:rPr>
          <w:u w:val="single"/>
          <w:rtl/>
        </w:rPr>
      </w:pPr>
    </w:p>
    <w:p w14:paraId="44AD982E" w14:textId="77777777" w:rsidR="00D45A14" w:rsidRPr="00B73269" w:rsidRDefault="00D45A14" w:rsidP="00D45A14">
      <w:pPr>
        <w:pStyle w:val="30"/>
        <w:rPr>
          <w:u w:val="single"/>
          <w:rtl/>
        </w:rPr>
      </w:pPr>
      <w:r w:rsidRPr="00B73269">
        <w:rPr>
          <w:rFonts w:hint="cs"/>
          <w:u w:val="single"/>
          <w:rtl/>
        </w:rPr>
        <w:t>הקבוצה כמחכיר</w:t>
      </w:r>
    </w:p>
    <w:p w14:paraId="52B3E6AA" w14:textId="77777777" w:rsidR="00D45A14" w:rsidRPr="007D64FF" w:rsidRDefault="00D45A14" w:rsidP="00D45A14">
      <w:pPr>
        <w:pStyle w:val="30"/>
        <w:rPr>
          <w:u w:val="single"/>
          <w:rtl/>
        </w:rPr>
      </w:pPr>
    </w:p>
    <w:p w14:paraId="5AA4EC4F" w14:textId="77777777" w:rsidR="00D45A14" w:rsidRDefault="00D45A14" w:rsidP="00D45A14">
      <w:pPr>
        <w:pStyle w:val="30"/>
      </w:pPr>
      <w:r w:rsidRPr="007D64FF">
        <w:rPr>
          <w:rFonts w:hint="cs"/>
          <w:rtl/>
        </w:rPr>
        <w:t>1.</w:t>
      </w:r>
      <w:r w:rsidRPr="007D64FF">
        <w:rPr>
          <w:rFonts w:hint="cs"/>
          <w:rtl/>
        </w:rPr>
        <w:tab/>
      </w:r>
      <w:r w:rsidRPr="00B73269">
        <w:rPr>
          <w:rFonts w:hint="cs"/>
          <w:u w:val="single"/>
          <w:rtl/>
        </w:rPr>
        <w:t>חכירה מימונית</w:t>
      </w:r>
    </w:p>
    <w:p w14:paraId="040A89C4" w14:textId="77777777" w:rsidR="00D45A14" w:rsidRPr="007D64FF" w:rsidRDefault="00D45A14" w:rsidP="00D45A14">
      <w:pPr>
        <w:rPr>
          <w:rtl/>
        </w:rPr>
      </w:pPr>
    </w:p>
    <w:tbl>
      <w:tblPr>
        <w:bidiVisual/>
        <w:tblW w:w="9659" w:type="dxa"/>
        <w:tblInd w:w="16" w:type="dxa"/>
        <w:tblLayout w:type="fixed"/>
        <w:tblCellMar>
          <w:left w:w="0" w:type="dxa"/>
          <w:right w:w="0" w:type="dxa"/>
        </w:tblCellMar>
        <w:tblLook w:val="0000" w:firstRow="0" w:lastRow="0" w:firstColumn="0" w:lastColumn="0" w:noHBand="0" w:noVBand="0"/>
      </w:tblPr>
      <w:tblGrid>
        <w:gridCol w:w="1148"/>
        <w:gridCol w:w="1078"/>
        <w:gridCol w:w="7433"/>
      </w:tblGrid>
      <w:tr w:rsidR="00D45A14" w:rsidRPr="00AE3262" w14:paraId="7DCA8B44" w14:textId="77777777" w:rsidTr="00EA66F8">
        <w:tc>
          <w:tcPr>
            <w:tcW w:w="1148" w:type="dxa"/>
            <w:tcBorders>
              <w:bottom w:val="single" w:sz="6" w:space="0" w:color="auto"/>
              <w:right w:val="single" w:sz="6" w:space="0" w:color="auto"/>
            </w:tcBorders>
            <w:shd w:val="clear" w:color="auto" w:fill="auto"/>
            <w:vAlign w:val="center"/>
          </w:tcPr>
          <w:p w14:paraId="2353C95F" w14:textId="77777777" w:rsidR="00D45A14" w:rsidRPr="00D45A14" w:rsidRDefault="00D45A14" w:rsidP="00D45A14">
            <w:pPr>
              <w:bidi w:val="0"/>
              <w:jc w:val="right"/>
              <w:rPr>
                <w:i/>
                <w:iCs/>
                <w:sz w:val="13"/>
                <w:szCs w:val="13"/>
              </w:rPr>
            </w:pPr>
            <w:r w:rsidRPr="00D45A14">
              <w:rPr>
                <w:i/>
                <w:iCs/>
                <w:sz w:val="13"/>
                <w:szCs w:val="13"/>
              </w:rPr>
              <w:t>IAS 17.8</w:t>
            </w:r>
          </w:p>
        </w:tc>
        <w:tc>
          <w:tcPr>
            <w:tcW w:w="1078" w:type="dxa"/>
            <w:tcBorders>
              <w:left w:val="single" w:sz="6" w:space="0" w:color="auto"/>
            </w:tcBorders>
            <w:shd w:val="clear" w:color="auto" w:fill="auto"/>
            <w:vAlign w:val="center"/>
          </w:tcPr>
          <w:p w14:paraId="6060F895" w14:textId="77777777" w:rsidR="00D45A14" w:rsidRDefault="00D45A14" w:rsidP="00EA66F8">
            <w:pPr>
              <w:pStyle w:val="a3"/>
              <w:tabs>
                <w:tab w:val="left" w:pos="227"/>
                <w:tab w:val="left" w:pos="397"/>
                <w:tab w:val="left" w:pos="567"/>
              </w:tabs>
              <w:bidi w:val="0"/>
              <w:jc w:val="right"/>
              <w:rPr>
                <w:i/>
                <w:iCs/>
                <w:sz w:val="13"/>
                <w:szCs w:val="13"/>
              </w:rPr>
            </w:pPr>
          </w:p>
        </w:tc>
        <w:tc>
          <w:tcPr>
            <w:tcW w:w="7433" w:type="dxa"/>
            <w:shd w:val="clear" w:color="auto" w:fill="auto"/>
          </w:tcPr>
          <w:p w14:paraId="032D5961" w14:textId="77777777" w:rsidR="00D45A14" w:rsidRDefault="00D45A14" w:rsidP="00EA66F8">
            <w:pPr>
              <w:rPr>
                <w:rtl/>
              </w:rPr>
            </w:pPr>
            <w:r>
              <w:rPr>
                <w:rFonts w:hint="cs"/>
                <w:rtl/>
              </w:rPr>
              <w:t>נכסים אשר</w:t>
            </w:r>
            <w:r w:rsidRPr="007D64FF">
              <w:rPr>
                <w:rFonts w:hint="cs"/>
                <w:rtl/>
              </w:rPr>
              <w:t xml:space="preserve"> </w:t>
            </w:r>
            <w:r>
              <w:rPr>
                <w:rFonts w:hint="cs"/>
                <w:rtl/>
              </w:rPr>
              <w:t xml:space="preserve">כל </w:t>
            </w:r>
            <w:r w:rsidRPr="007D64FF">
              <w:rPr>
                <w:rFonts w:hint="cs"/>
                <w:rtl/>
              </w:rPr>
              <w:t xml:space="preserve">הסיכונים וההטבות הקשורים לבעלות על הנכס </w:t>
            </w:r>
            <w:r>
              <w:rPr>
                <w:rFonts w:hint="cs"/>
                <w:rtl/>
              </w:rPr>
              <w:t>הועברו לחוכר, מסווגים כחכירה מימונית</w:t>
            </w:r>
            <w:r w:rsidRPr="007D64FF">
              <w:rPr>
                <w:rFonts w:hint="cs"/>
                <w:rtl/>
              </w:rPr>
              <w:t xml:space="preserve">. הנכס החכור נגרע ומוכר נכס פיננסי </w:t>
            </w:r>
            <w:r>
              <w:rPr>
                <w:rFonts w:hint="cs"/>
                <w:rtl/>
              </w:rPr>
              <w:t>"</w:t>
            </w:r>
            <w:r w:rsidRPr="007D64FF">
              <w:rPr>
                <w:rFonts w:hint="cs"/>
                <w:rtl/>
              </w:rPr>
              <w:t>חייבים בגין חכירה מימונית</w:t>
            </w:r>
            <w:r>
              <w:rPr>
                <w:rFonts w:hint="cs"/>
                <w:rtl/>
              </w:rPr>
              <w:t>"</w:t>
            </w:r>
            <w:r w:rsidRPr="007D64FF">
              <w:rPr>
                <w:rFonts w:hint="cs"/>
                <w:rtl/>
              </w:rPr>
              <w:t xml:space="preserve"> בסכום הערך הנוכחי של תקבולי החכירה. לאחר ההכרה הראשונית, תקבולי החכירה מוקצים בין הכנסות מימון ופרעון של החייבים בגין חכירה. הנכס הפיננסי חייבים בגין חכירה מימונית מטופל לעניין ירידת ערך וגריעה </w:t>
            </w:r>
            <w:r>
              <w:rPr>
                <w:rFonts w:hint="cs"/>
                <w:rtl/>
              </w:rPr>
              <w:t>על פי הוראות</w:t>
            </w:r>
            <w:r w:rsidRPr="007D64FF">
              <w:rPr>
                <w:rFonts w:hint="cs"/>
                <w:rtl/>
              </w:rPr>
              <w:t xml:space="preserve"> </w:t>
            </w:r>
            <w:r>
              <w:rPr>
                <w:rFonts w:hint="cs"/>
                <w:rtl/>
              </w:rPr>
              <w:t>39</w:t>
            </w:r>
            <w:r>
              <w:rPr>
                <w:rFonts w:hint="eastAsia"/>
                <w:rtl/>
              </w:rPr>
              <w:t> </w:t>
            </w:r>
            <w:r>
              <w:rPr>
                <w:rFonts w:hint="cs"/>
              </w:rPr>
              <w:t>IAS</w:t>
            </w:r>
            <w:r>
              <w:rPr>
                <w:rFonts w:hint="cs"/>
                <w:rtl/>
              </w:rPr>
              <w:t>.</w:t>
            </w:r>
          </w:p>
        </w:tc>
      </w:tr>
    </w:tbl>
    <w:p w14:paraId="2F3CEBA8" w14:textId="77777777" w:rsidR="00D45A14" w:rsidRPr="00D45A14" w:rsidRDefault="00D45A14" w:rsidP="00D45A14">
      <w:pPr>
        <w:pStyle w:val="21"/>
        <w:rPr>
          <w:rtl/>
        </w:rPr>
      </w:pPr>
    </w:p>
    <w:p w14:paraId="532EBFBB" w14:textId="77777777" w:rsidR="00D45A14" w:rsidRPr="007D64FF" w:rsidRDefault="00D45A14" w:rsidP="00D45A14">
      <w:pPr>
        <w:pStyle w:val="30"/>
        <w:rPr>
          <w:rtl/>
        </w:rPr>
      </w:pPr>
      <w:r w:rsidRPr="007D64FF">
        <w:rPr>
          <w:rFonts w:hint="cs"/>
          <w:rtl/>
        </w:rPr>
        <w:t>2.</w:t>
      </w:r>
      <w:r w:rsidRPr="007D64FF">
        <w:rPr>
          <w:rFonts w:hint="cs"/>
          <w:rtl/>
        </w:rPr>
        <w:tab/>
      </w:r>
      <w:r w:rsidRPr="007D64FF">
        <w:rPr>
          <w:rFonts w:hint="cs"/>
          <w:u w:val="single"/>
          <w:rtl/>
        </w:rPr>
        <w:t>חכירה תפעולית</w:t>
      </w:r>
    </w:p>
    <w:tbl>
      <w:tblPr>
        <w:bidiVisual/>
        <w:tblW w:w="9681" w:type="dxa"/>
        <w:tblLayout w:type="fixed"/>
        <w:tblCellMar>
          <w:left w:w="0" w:type="dxa"/>
          <w:right w:w="0" w:type="dxa"/>
        </w:tblCellMar>
        <w:tblLook w:val="0000" w:firstRow="0" w:lastRow="0" w:firstColumn="0" w:lastColumn="0" w:noHBand="0" w:noVBand="0"/>
      </w:tblPr>
      <w:tblGrid>
        <w:gridCol w:w="1148"/>
        <w:gridCol w:w="1170"/>
        <w:gridCol w:w="7363"/>
      </w:tblGrid>
      <w:tr w:rsidR="00D45A14" w:rsidRPr="00AE3262" w14:paraId="2202F8BC" w14:textId="77777777" w:rsidTr="00EA66F8">
        <w:tc>
          <w:tcPr>
            <w:tcW w:w="1148" w:type="dxa"/>
            <w:shd w:val="clear" w:color="auto" w:fill="auto"/>
            <w:vAlign w:val="center"/>
          </w:tcPr>
          <w:p w14:paraId="437E5A26" w14:textId="77777777" w:rsidR="00D45A14" w:rsidRDefault="00D45A14" w:rsidP="00EA66F8">
            <w:pPr>
              <w:pStyle w:val="en00"/>
            </w:pPr>
          </w:p>
        </w:tc>
        <w:tc>
          <w:tcPr>
            <w:tcW w:w="1170" w:type="dxa"/>
            <w:shd w:val="clear" w:color="auto" w:fill="auto"/>
            <w:vAlign w:val="center"/>
          </w:tcPr>
          <w:p w14:paraId="61554F40" w14:textId="77777777" w:rsidR="00D45A14" w:rsidRDefault="00D45A14" w:rsidP="00EA66F8">
            <w:pPr>
              <w:pStyle w:val="a3"/>
              <w:tabs>
                <w:tab w:val="left" w:pos="227"/>
                <w:tab w:val="left" w:pos="397"/>
                <w:tab w:val="left" w:pos="567"/>
              </w:tabs>
              <w:bidi w:val="0"/>
              <w:jc w:val="right"/>
              <w:rPr>
                <w:i/>
                <w:iCs/>
                <w:sz w:val="13"/>
                <w:szCs w:val="13"/>
              </w:rPr>
            </w:pPr>
          </w:p>
        </w:tc>
        <w:tc>
          <w:tcPr>
            <w:tcW w:w="7363" w:type="dxa"/>
            <w:shd w:val="clear" w:color="auto" w:fill="auto"/>
          </w:tcPr>
          <w:p w14:paraId="20CE3639" w14:textId="77777777" w:rsidR="00D45A14" w:rsidRPr="007D64FF" w:rsidRDefault="00D45A14" w:rsidP="00EA66F8">
            <w:pPr>
              <w:pStyle w:val="a3"/>
              <w:widowControl/>
              <w:jc w:val="both"/>
              <w:rPr>
                <w:rtl/>
              </w:rPr>
            </w:pPr>
          </w:p>
        </w:tc>
      </w:tr>
      <w:tr w:rsidR="00D45A14" w:rsidRPr="00AE3262" w14:paraId="4ADAC3BE" w14:textId="77777777" w:rsidTr="00EA66F8">
        <w:tc>
          <w:tcPr>
            <w:tcW w:w="1148" w:type="dxa"/>
            <w:tcBorders>
              <w:bottom w:val="single" w:sz="6" w:space="0" w:color="auto"/>
              <w:right w:val="single" w:sz="6" w:space="0" w:color="auto"/>
            </w:tcBorders>
            <w:shd w:val="clear" w:color="auto" w:fill="auto"/>
            <w:vAlign w:val="center"/>
          </w:tcPr>
          <w:p w14:paraId="670CF779" w14:textId="77777777" w:rsidR="00D45A14" w:rsidRPr="00D45A14" w:rsidRDefault="00D45A14" w:rsidP="00D45A14">
            <w:pPr>
              <w:bidi w:val="0"/>
              <w:jc w:val="right"/>
              <w:rPr>
                <w:i/>
                <w:iCs/>
                <w:sz w:val="13"/>
                <w:szCs w:val="13"/>
              </w:rPr>
            </w:pPr>
            <w:r w:rsidRPr="00D45A14">
              <w:rPr>
                <w:i/>
                <w:iCs/>
                <w:sz w:val="13"/>
                <w:szCs w:val="13"/>
              </w:rPr>
              <w:t>IAS 17.8;</w:t>
            </w:r>
          </w:p>
          <w:p w14:paraId="777EB91E" w14:textId="77777777" w:rsidR="00D45A14" w:rsidRPr="00D45A14" w:rsidRDefault="00D45A14" w:rsidP="00D45A14">
            <w:pPr>
              <w:bidi w:val="0"/>
              <w:jc w:val="right"/>
              <w:rPr>
                <w:i/>
                <w:iCs/>
                <w:sz w:val="13"/>
                <w:szCs w:val="13"/>
              </w:rPr>
            </w:pPr>
            <w:r w:rsidRPr="00D45A14">
              <w:rPr>
                <w:i/>
                <w:iCs/>
                <w:sz w:val="13"/>
                <w:szCs w:val="13"/>
              </w:rPr>
              <w:t>IAS 17.52</w:t>
            </w:r>
          </w:p>
        </w:tc>
        <w:tc>
          <w:tcPr>
            <w:tcW w:w="1170" w:type="dxa"/>
            <w:tcBorders>
              <w:left w:val="single" w:sz="6" w:space="0" w:color="auto"/>
            </w:tcBorders>
            <w:shd w:val="clear" w:color="auto" w:fill="auto"/>
            <w:vAlign w:val="center"/>
          </w:tcPr>
          <w:p w14:paraId="53909DC5" w14:textId="77777777" w:rsidR="00D45A14" w:rsidRDefault="00D45A14" w:rsidP="00EA66F8">
            <w:pPr>
              <w:pStyle w:val="a3"/>
              <w:tabs>
                <w:tab w:val="left" w:pos="227"/>
                <w:tab w:val="left" w:pos="397"/>
                <w:tab w:val="left" w:pos="567"/>
              </w:tabs>
              <w:bidi w:val="0"/>
              <w:jc w:val="right"/>
              <w:rPr>
                <w:i/>
                <w:iCs/>
                <w:sz w:val="13"/>
                <w:szCs w:val="13"/>
              </w:rPr>
            </w:pPr>
          </w:p>
        </w:tc>
        <w:tc>
          <w:tcPr>
            <w:tcW w:w="7363" w:type="dxa"/>
            <w:shd w:val="clear" w:color="auto" w:fill="auto"/>
          </w:tcPr>
          <w:p w14:paraId="6E0181BB" w14:textId="77777777" w:rsidR="00D45A14" w:rsidRDefault="00D45A14" w:rsidP="00EA66F8">
            <w:pPr>
              <w:rPr>
                <w:rtl/>
              </w:rPr>
            </w:pPr>
            <w:r>
              <w:rPr>
                <w:rFonts w:hint="cs"/>
                <w:rtl/>
              </w:rPr>
              <w:t>נכסים אשר לא מועברים באופן ממשי כל</w:t>
            </w:r>
            <w:r w:rsidRPr="007D64FF">
              <w:rPr>
                <w:rFonts w:hint="cs"/>
                <w:rtl/>
              </w:rPr>
              <w:t xml:space="preserve"> הסיכונים וההטבות </w:t>
            </w:r>
            <w:r>
              <w:rPr>
                <w:rFonts w:hint="cs"/>
                <w:rtl/>
              </w:rPr>
              <w:t>הקשורים</w:t>
            </w:r>
            <w:r w:rsidRPr="007D64FF">
              <w:rPr>
                <w:rFonts w:hint="cs"/>
                <w:rtl/>
              </w:rPr>
              <w:t xml:space="preserve"> </w:t>
            </w:r>
            <w:r>
              <w:rPr>
                <w:rFonts w:hint="cs"/>
                <w:rtl/>
              </w:rPr>
              <w:t>ל</w:t>
            </w:r>
            <w:r w:rsidRPr="007D64FF">
              <w:rPr>
                <w:rFonts w:hint="cs"/>
                <w:rtl/>
              </w:rPr>
              <w:t>בעלות על הנכס, מסווגים כחכירה תפעולית.</w:t>
            </w:r>
            <w:r>
              <w:rPr>
                <w:rFonts w:hint="cs"/>
                <w:rtl/>
              </w:rPr>
              <w:t xml:space="preserve"> </w:t>
            </w:r>
            <w:r w:rsidRPr="007D64FF">
              <w:rPr>
                <w:rFonts w:hint="cs"/>
                <w:rtl/>
              </w:rPr>
              <w:t xml:space="preserve">תקבולי החכירה מוכרים כהכנסה ברווח </w:t>
            </w:r>
            <w:r>
              <w:rPr>
                <w:rFonts w:hint="cs"/>
                <w:rtl/>
              </w:rPr>
              <w:t xml:space="preserve">או </w:t>
            </w:r>
            <w:r w:rsidRPr="007D64FF">
              <w:rPr>
                <w:rFonts w:hint="cs"/>
                <w:rtl/>
              </w:rPr>
              <w:t>הפסד בקו ישר על פני תקופת החכירה.</w:t>
            </w:r>
            <w:r>
              <w:rPr>
                <w:rFonts w:hint="cs"/>
                <w:rtl/>
              </w:rPr>
              <w:t xml:space="preserve"> </w:t>
            </w:r>
            <w:r w:rsidRPr="007D64FF">
              <w:rPr>
                <w:rFonts w:hint="cs"/>
                <w:rtl/>
              </w:rPr>
              <w:t xml:space="preserve">עלויות ראשוניות ישירות שהתהוו בגין הסכם החכירה, מתווספות לעלות הנכס המוחכר ומוכרות כהוצאה </w:t>
            </w:r>
            <w:r>
              <w:rPr>
                <w:rFonts w:hint="cs"/>
                <w:rtl/>
              </w:rPr>
              <w:t>לאורך תקופת החכירה לפי אותו בסיס</w:t>
            </w:r>
            <w:r>
              <w:rPr>
                <w:rStyle w:val="ab"/>
                <w:rtl/>
              </w:rPr>
              <w:footnoteReference w:id="63"/>
            </w:r>
            <w:r>
              <w:rPr>
                <w:rFonts w:hint="cs"/>
                <w:rtl/>
              </w:rPr>
              <w:t>. תקבולי חכירה מותנים נזקפים לדוח רווח או הפסד כהכנסה במועד שבו לחברה זכאות לקבלם.</w:t>
            </w:r>
          </w:p>
        </w:tc>
      </w:tr>
    </w:tbl>
    <w:p w14:paraId="55FDB2DA" w14:textId="77777777" w:rsidR="00D45A14" w:rsidRDefault="00D45A14" w:rsidP="00491760">
      <w:pPr>
        <w:pStyle w:val="21"/>
        <w:rPr>
          <w:rtl/>
        </w:rPr>
      </w:pPr>
    </w:p>
    <w:p w14:paraId="084EBFD5" w14:textId="10D7F9EE" w:rsidR="00D45A14" w:rsidRDefault="00D45A14" w:rsidP="000A2650">
      <w:pPr>
        <w:pStyle w:val="30"/>
        <w:ind w:left="1701" w:firstLine="0"/>
        <w:rPr>
          <w:rtl/>
        </w:rPr>
      </w:pPr>
      <w:r w:rsidRPr="006318B0">
        <w:rPr>
          <w:rFonts w:hint="cs"/>
          <w:rtl/>
        </w:rPr>
        <w:t>המדיניות החשבונאית</w:t>
      </w:r>
      <w:r>
        <w:rPr>
          <w:rFonts w:hint="cs"/>
          <w:rtl/>
        </w:rPr>
        <w:t xml:space="preserve"> שמיושמת החל מיום 1 בינואר, </w:t>
      </w:r>
      <w:r w:rsidR="000A2650">
        <w:rPr>
          <w:rFonts w:hint="cs"/>
          <w:rtl/>
        </w:rPr>
        <w:t>2019</w:t>
      </w:r>
      <w:bookmarkStart w:id="46" w:name="_GoBack"/>
      <w:bookmarkEnd w:id="46"/>
      <w:r>
        <w:rPr>
          <w:rFonts w:hint="cs"/>
          <w:rtl/>
        </w:rPr>
        <w:t xml:space="preserve"> בגין חכירות הינה כדלקמן:</w:t>
      </w:r>
    </w:p>
    <w:p w14:paraId="5C637B60" w14:textId="77777777" w:rsidR="00EA66F8" w:rsidRDefault="00EA66F8" w:rsidP="00D45A14">
      <w:pPr>
        <w:pStyle w:val="30"/>
        <w:ind w:left="1701" w:firstLine="0"/>
        <w:rPr>
          <w:rtl/>
        </w:rPr>
      </w:pPr>
    </w:p>
    <w:tbl>
      <w:tblPr>
        <w:bidiVisual/>
        <w:tblW w:w="9072" w:type="dxa"/>
        <w:tblInd w:w="545" w:type="dxa"/>
        <w:tblLayout w:type="fixed"/>
        <w:tblCellMar>
          <w:left w:w="0" w:type="dxa"/>
          <w:right w:w="0" w:type="dxa"/>
        </w:tblCellMar>
        <w:tblLook w:val="0000" w:firstRow="0" w:lastRow="0" w:firstColumn="0" w:lastColumn="0" w:noHBand="0" w:noVBand="0"/>
      </w:tblPr>
      <w:tblGrid>
        <w:gridCol w:w="1417"/>
        <w:gridCol w:w="320"/>
        <w:gridCol w:w="7335"/>
      </w:tblGrid>
      <w:tr w:rsidR="00EA66F8" w:rsidRPr="00351624" w14:paraId="69702F99" w14:textId="77777777" w:rsidTr="00EA66F8">
        <w:tc>
          <w:tcPr>
            <w:tcW w:w="1417" w:type="dxa"/>
            <w:tcBorders>
              <w:bottom w:val="single" w:sz="6" w:space="0" w:color="auto"/>
              <w:right w:val="single" w:sz="6" w:space="0" w:color="auto"/>
            </w:tcBorders>
            <w:shd w:val="clear" w:color="auto" w:fill="auto"/>
            <w:vAlign w:val="center"/>
          </w:tcPr>
          <w:p w14:paraId="7421B37F" w14:textId="41969E1F" w:rsidR="00EA66F8" w:rsidRPr="00351624" w:rsidRDefault="00EA66F8" w:rsidP="00EA66F8">
            <w:pPr>
              <w:widowControl/>
              <w:bidi w:val="0"/>
              <w:spacing w:line="240" w:lineRule="auto"/>
              <w:ind w:left="57" w:right="57"/>
              <w:jc w:val="right"/>
              <w:rPr>
                <w:rFonts w:cs="Times New Roman"/>
                <w:i/>
                <w:sz w:val="13"/>
              </w:rPr>
            </w:pPr>
            <w:r w:rsidRPr="00351624">
              <w:rPr>
                <w:rFonts w:cs="Times New Roman"/>
                <w:i/>
                <w:sz w:val="13"/>
              </w:rPr>
              <w:t>IFRS 16.</w:t>
            </w:r>
            <w:r>
              <w:rPr>
                <w:rFonts w:cs="Times New Roman"/>
                <w:i/>
                <w:sz w:val="13"/>
              </w:rPr>
              <w:t>9</w:t>
            </w:r>
            <w:r w:rsidRPr="00351624">
              <w:rPr>
                <w:rFonts w:cs="Times New Roman"/>
                <w:i/>
                <w:sz w:val="13"/>
              </w:rPr>
              <w:t>;</w:t>
            </w:r>
          </w:p>
          <w:p w14:paraId="535590AE" w14:textId="77777777" w:rsidR="00EA66F8" w:rsidRPr="00351624" w:rsidRDefault="00EA66F8" w:rsidP="00EA66F8">
            <w:pPr>
              <w:widowControl/>
              <w:bidi w:val="0"/>
              <w:spacing w:line="240" w:lineRule="auto"/>
              <w:ind w:left="57" w:right="57"/>
              <w:jc w:val="right"/>
              <w:rPr>
                <w:rFonts w:cs="Times New Roman"/>
                <w:i/>
                <w:sz w:val="13"/>
              </w:rPr>
            </w:pPr>
          </w:p>
        </w:tc>
        <w:tc>
          <w:tcPr>
            <w:tcW w:w="320" w:type="dxa"/>
            <w:tcBorders>
              <w:left w:val="single" w:sz="6" w:space="0" w:color="auto"/>
            </w:tcBorders>
            <w:shd w:val="clear" w:color="auto" w:fill="auto"/>
            <w:vAlign w:val="center"/>
          </w:tcPr>
          <w:p w14:paraId="149C4106" w14:textId="77777777" w:rsidR="00EA66F8" w:rsidRPr="00351624" w:rsidRDefault="00EA66F8" w:rsidP="00EA66F8">
            <w:pPr>
              <w:tabs>
                <w:tab w:val="left" w:pos="227"/>
                <w:tab w:val="left" w:pos="397"/>
                <w:tab w:val="left" w:pos="567"/>
              </w:tabs>
              <w:bidi w:val="0"/>
              <w:spacing w:line="240" w:lineRule="exact"/>
              <w:ind w:left="284" w:hanging="227"/>
              <w:jc w:val="right"/>
              <w:rPr>
                <w:i/>
                <w:iCs/>
                <w:sz w:val="13"/>
                <w:szCs w:val="13"/>
              </w:rPr>
            </w:pPr>
          </w:p>
        </w:tc>
        <w:tc>
          <w:tcPr>
            <w:tcW w:w="7335" w:type="dxa"/>
            <w:shd w:val="clear" w:color="auto" w:fill="auto"/>
          </w:tcPr>
          <w:p w14:paraId="7FDA0148" w14:textId="30E19F7D" w:rsidR="00EA66F8" w:rsidRPr="00351624" w:rsidRDefault="00EA66F8" w:rsidP="00EA66F8">
            <w:pPr>
              <w:rPr>
                <w:rtl/>
              </w:rPr>
            </w:pPr>
            <w:r>
              <w:rPr>
                <w:rFonts w:hint="cs"/>
                <w:rtl/>
              </w:rPr>
              <w:t>החברה מטפלת בחוזה כחוזה חכירה כאשר בהתאם לתנאי החוזה מועברת זכות לשלוט בנכס מזוהה לתקופת זמן בעבור תמורה.</w:t>
            </w:r>
          </w:p>
        </w:tc>
      </w:tr>
    </w:tbl>
    <w:p w14:paraId="4DD3F5A5" w14:textId="77777777" w:rsidR="00D45A14" w:rsidRPr="00FA6340" w:rsidRDefault="00D45A14" w:rsidP="00D45A14">
      <w:pPr>
        <w:tabs>
          <w:tab w:val="left" w:pos="1701"/>
          <w:tab w:val="left" w:pos="2268"/>
        </w:tabs>
        <w:rPr>
          <w:sz w:val="12"/>
          <w:szCs w:val="16"/>
          <w:rtl/>
        </w:rPr>
      </w:pPr>
    </w:p>
    <w:p w14:paraId="5783989A" w14:textId="77777777" w:rsidR="00D45A14" w:rsidRPr="00351624" w:rsidRDefault="00D45A14" w:rsidP="00D45A14">
      <w:pPr>
        <w:numPr>
          <w:ilvl w:val="0"/>
          <w:numId w:val="26"/>
        </w:numPr>
        <w:tabs>
          <w:tab w:val="left" w:pos="1643"/>
        </w:tabs>
        <w:ind w:left="2268" w:hanging="567"/>
        <w:rPr>
          <w:u w:val="single"/>
          <w:rtl/>
        </w:rPr>
      </w:pPr>
      <w:r w:rsidRPr="00351624">
        <w:rPr>
          <w:rFonts w:hint="cs"/>
          <w:u w:val="single"/>
          <w:rtl/>
        </w:rPr>
        <w:t>הקבוצה כחוכר</w:t>
      </w:r>
    </w:p>
    <w:p w14:paraId="6E8227BB" w14:textId="77777777" w:rsidR="00D45A14" w:rsidRPr="00351624" w:rsidRDefault="00D45A14" w:rsidP="00D45A14">
      <w:pPr>
        <w:tabs>
          <w:tab w:val="left" w:pos="1701"/>
          <w:tab w:val="left" w:pos="2268"/>
        </w:tabs>
        <w:ind w:left="1701"/>
        <w:rPr>
          <w:rtl/>
        </w:rPr>
      </w:pPr>
    </w:p>
    <w:tbl>
      <w:tblPr>
        <w:bidiVisual/>
        <w:tblW w:w="9072" w:type="dxa"/>
        <w:tblInd w:w="545" w:type="dxa"/>
        <w:tblLayout w:type="fixed"/>
        <w:tblCellMar>
          <w:left w:w="0" w:type="dxa"/>
          <w:right w:w="0" w:type="dxa"/>
        </w:tblCellMar>
        <w:tblLook w:val="0000" w:firstRow="0" w:lastRow="0" w:firstColumn="0" w:lastColumn="0" w:noHBand="0" w:noVBand="0"/>
      </w:tblPr>
      <w:tblGrid>
        <w:gridCol w:w="1417"/>
        <w:gridCol w:w="320"/>
        <w:gridCol w:w="7335"/>
      </w:tblGrid>
      <w:tr w:rsidR="00D45A14" w:rsidRPr="00351624" w14:paraId="6894EC2D" w14:textId="77777777" w:rsidTr="00EA66F8">
        <w:tc>
          <w:tcPr>
            <w:tcW w:w="1417" w:type="dxa"/>
            <w:tcBorders>
              <w:bottom w:val="single" w:sz="6" w:space="0" w:color="auto"/>
              <w:right w:val="single" w:sz="6" w:space="0" w:color="auto"/>
            </w:tcBorders>
            <w:shd w:val="clear" w:color="auto" w:fill="auto"/>
            <w:vAlign w:val="center"/>
          </w:tcPr>
          <w:p w14:paraId="123B1E55"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16.5;</w:t>
            </w:r>
          </w:p>
          <w:p w14:paraId="01075DDA" w14:textId="77777777" w:rsidR="00D45A14" w:rsidRPr="00351624" w:rsidRDefault="00D45A14" w:rsidP="00EA66F8">
            <w:pPr>
              <w:widowControl/>
              <w:bidi w:val="0"/>
              <w:spacing w:line="240" w:lineRule="auto"/>
              <w:ind w:left="57" w:right="57"/>
              <w:jc w:val="right"/>
              <w:rPr>
                <w:rFonts w:cs="Times New Roman"/>
                <w:i/>
                <w:sz w:val="13"/>
                <w:highlight w:val="yellow"/>
              </w:rPr>
            </w:pPr>
            <w:r w:rsidRPr="00351624">
              <w:rPr>
                <w:rFonts w:cs="Times New Roman"/>
                <w:i/>
                <w:sz w:val="13"/>
              </w:rPr>
              <w:t>IFRS 16.22;</w:t>
            </w:r>
          </w:p>
          <w:p w14:paraId="12A825CD" w14:textId="77777777" w:rsidR="00D45A14" w:rsidRPr="00351624" w:rsidRDefault="00D45A14" w:rsidP="00EA66F8">
            <w:pPr>
              <w:widowControl/>
              <w:bidi w:val="0"/>
              <w:spacing w:line="240" w:lineRule="auto"/>
              <w:ind w:left="57" w:right="57"/>
              <w:jc w:val="right"/>
              <w:rPr>
                <w:rFonts w:cs="Times New Roman"/>
                <w:i/>
                <w:sz w:val="13"/>
              </w:rPr>
            </w:pPr>
          </w:p>
        </w:tc>
        <w:tc>
          <w:tcPr>
            <w:tcW w:w="320" w:type="dxa"/>
            <w:tcBorders>
              <w:left w:val="single" w:sz="6" w:space="0" w:color="auto"/>
            </w:tcBorders>
            <w:shd w:val="clear" w:color="auto" w:fill="auto"/>
            <w:vAlign w:val="center"/>
          </w:tcPr>
          <w:p w14:paraId="57BEE664" w14:textId="77777777" w:rsidR="00D45A14" w:rsidRPr="00351624" w:rsidRDefault="00D45A14" w:rsidP="00EA66F8">
            <w:pPr>
              <w:tabs>
                <w:tab w:val="left" w:pos="227"/>
                <w:tab w:val="left" w:pos="397"/>
                <w:tab w:val="left" w:pos="567"/>
              </w:tabs>
              <w:bidi w:val="0"/>
              <w:spacing w:line="240" w:lineRule="exact"/>
              <w:ind w:left="284" w:hanging="227"/>
              <w:jc w:val="right"/>
              <w:rPr>
                <w:i/>
                <w:iCs/>
                <w:sz w:val="13"/>
                <w:szCs w:val="13"/>
              </w:rPr>
            </w:pPr>
          </w:p>
        </w:tc>
        <w:tc>
          <w:tcPr>
            <w:tcW w:w="7335" w:type="dxa"/>
            <w:shd w:val="clear" w:color="auto" w:fill="auto"/>
          </w:tcPr>
          <w:p w14:paraId="51996328" w14:textId="77777777" w:rsidR="00D45A14" w:rsidRPr="00351624" w:rsidRDefault="00D45A14" w:rsidP="00EA66F8">
            <w:pPr>
              <w:rPr>
                <w:rtl/>
              </w:rPr>
            </w:pPr>
            <w:r w:rsidRPr="00351624">
              <w:rPr>
                <w:rFonts w:hint="cs"/>
                <w:rtl/>
              </w:rPr>
              <w:t>עבור העסקאות בהן החברה מהווה חוכר היא מכירה במועד התחילה בחכירה בנכס זכות שימוש כנגד התחייבות בגין חכירה וזאת למעט עסקאות חכירה לתקופה של עד 12 חודשים ועסקאות חכירה בהן נכס הבסיס בעל ערך נמוך</w:t>
            </w:r>
            <w:r w:rsidRPr="00351624">
              <w:rPr>
                <w:color w:val="FF0000"/>
                <w:szCs w:val="22"/>
                <w:vertAlign w:val="superscript"/>
                <w:rtl/>
              </w:rPr>
              <w:footnoteReference w:id="64"/>
            </w:r>
            <w:r w:rsidRPr="00351624">
              <w:rPr>
                <w:rFonts w:hint="cs"/>
                <w:rtl/>
              </w:rPr>
              <w:t xml:space="preserve">, בהן בחרה החברה להכיר </w:t>
            </w:r>
          </w:p>
          <w:p w14:paraId="44BD1CBA" w14:textId="77777777" w:rsidR="00D45A14" w:rsidRDefault="00D45A14" w:rsidP="00EA66F8">
            <w:pPr>
              <w:rPr>
                <w:rtl/>
              </w:rPr>
            </w:pPr>
            <w:r w:rsidRPr="00351624">
              <w:rPr>
                <w:rFonts w:hint="cs"/>
                <w:rtl/>
              </w:rPr>
              <w:t>בתשלומי החכירה כהוצאה ברווח או הפסד בקו ישר על פני תקופת החכירה</w:t>
            </w:r>
            <w:r w:rsidRPr="00351624">
              <w:rPr>
                <w:color w:val="FF0000"/>
                <w:szCs w:val="22"/>
                <w:vertAlign w:val="superscript"/>
                <w:rtl/>
              </w:rPr>
              <w:footnoteReference w:id="65"/>
            </w:r>
            <w:r w:rsidRPr="00351624">
              <w:rPr>
                <w:rFonts w:hint="cs"/>
                <w:rtl/>
              </w:rPr>
              <w:t>.</w:t>
            </w:r>
            <w:r>
              <w:rPr>
                <w:rFonts w:hint="cs"/>
                <w:rtl/>
              </w:rPr>
              <w:t xml:space="preserve"> </w:t>
            </w:r>
            <w:r w:rsidRPr="00351624">
              <w:rPr>
                <w:rFonts w:hint="cs"/>
                <w:rtl/>
              </w:rPr>
              <w:t>במסגרת מדידת ההתחייבות בגין חכירה בחרה החברה ליישם את ההקלה הניתנת בתקן ולא ביצעה הפרדה בין רכיבי חכירה לרכיבים שאינם חכירה</w:t>
            </w:r>
            <w:r>
              <w:rPr>
                <w:rFonts w:hint="cs"/>
                <w:rtl/>
              </w:rPr>
              <w:t xml:space="preserve"> </w:t>
            </w:r>
            <w:r w:rsidRPr="00446ADE">
              <w:rPr>
                <w:rFonts w:hint="cs"/>
                <w:highlight w:val="lightGray"/>
                <w:rtl/>
              </w:rPr>
              <w:t>כגון: שירותי ניהול, שירותי אחזקה ועוד,</w:t>
            </w:r>
            <w:r w:rsidRPr="00351624">
              <w:rPr>
                <w:rFonts w:hint="cs"/>
                <w:rtl/>
              </w:rPr>
              <w:t xml:space="preserve"> הכלולים באותה עסקה</w:t>
            </w:r>
            <w:r w:rsidRPr="00351624">
              <w:rPr>
                <w:color w:val="FF0000"/>
                <w:szCs w:val="22"/>
                <w:vertAlign w:val="superscript"/>
                <w:rtl/>
              </w:rPr>
              <w:footnoteReference w:id="66"/>
            </w:r>
            <w:r w:rsidRPr="00351624">
              <w:rPr>
                <w:rFonts w:hint="cs"/>
                <w:rtl/>
              </w:rPr>
              <w:t>.</w:t>
            </w:r>
          </w:p>
          <w:p w14:paraId="0B50F1E1" w14:textId="77777777" w:rsidR="008C5DA8" w:rsidRDefault="008C5DA8" w:rsidP="00EA66F8">
            <w:pPr>
              <w:rPr>
                <w:rtl/>
              </w:rPr>
            </w:pPr>
          </w:p>
          <w:p w14:paraId="047DC901" w14:textId="3A00991F" w:rsidR="00650166" w:rsidRPr="00351624" w:rsidRDefault="00650166" w:rsidP="00391723">
            <w:pPr>
              <w:rPr>
                <w:rtl/>
              </w:rPr>
            </w:pPr>
            <w:r>
              <w:rPr>
                <w:rFonts w:hint="cs"/>
                <w:rtl/>
              </w:rPr>
              <w:t xml:space="preserve">בעסקאות בהן </w:t>
            </w:r>
            <w:r w:rsidR="008C5DA8">
              <w:rPr>
                <w:rFonts w:hint="cs"/>
                <w:rtl/>
              </w:rPr>
              <w:t>זכאי</w:t>
            </w:r>
            <w:r>
              <w:rPr>
                <w:rFonts w:hint="cs"/>
                <w:rtl/>
              </w:rPr>
              <w:t xml:space="preserve"> </w:t>
            </w:r>
            <w:r w:rsidR="00391723">
              <w:rPr>
                <w:rFonts w:hint="cs"/>
                <w:rtl/>
              </w:rPr>
              <w:t xml:space="preserve">העובד </w:t>
            </w:r>
            <w:r w:rsidR="008C5DA8">
              <w:rPr>
                <w:rFonts w:hint="cs"/>
                <w:rtl/>
              </w:rPr>
              <w:t>ל</w:t>
            </w:r>
            <w:r>
              <w:rPr>
                <w:rFonts w:hint="cs"/>
                <w:rtl/>
              </w:rPr>
              <w:t xml:space="preserve">רכב מהחברה </w:t>
            </w:r>
            <w:r w:rsidR="008C5DA8">
              <w:rPr>
                <w:rFonts w:hint="cs"/>
                <w:rtl/>
              </w:rPr>
              <w:t xml:space="preserve">כחלק מתנאי העסקתו, </w:t>
            </w:r>
            <w:r>
              <w:rPr>
                <w:rFonts w:hint="cs"/>
                <w:rtl/>
              </w:rPr>
              <w:t xml:space="preserve">מטפלת החברה </w:t>
            </w:r>
            <w:r w:rsidR="00391723">
              <w:rPr>
                <w:rFonts w:hint="cs"/>
                <w:rtl/>
              </w:rPr>
              <w:t>בעסקאות אלה</w:t>
            </w:r>
            <w:r>
              <w:rPr>
                <w:rFonts w:hint="cs"/>
                <w:rtl/>
              </w:rPr>
              <w:t xml:space="preserve"> כהטבות עובד בהתאם להוראות </w:t>
            </w:r>
            <w:r>
              <w:rPr>
                <w:rFonts w:hint="cs"/>
              </w:rPr>
              <w:t>IAS 19</w:t>
            </w:r>
            <w:r>
              <w:rPr>
                <w:rFonts w:hint="cs"/>
                <w:rtl/>
              </w:rPr>
              <w:t xml:space="preserve"> ולא כ</w:t>
            </w:r>
            <w:r w:rsidR="00391723">
              <w:rPr>
                <w:rFonts w:hint="cs"/>
                <w:rtl/>
              </w:rPr>
              <w:t>עסקת חכירת משנה</w:t>
            </w:r>
            <w:r>
              <w:rPr>
                <w:rFonts w:hint="cs"/>
                <w:rtl/>
              </w:rPr>
              <w:t>.</w:t>
            </w:r>
          </w:p>
        </w:tc>
      </w:tr>
    </w:tbl>
    <w:p w14:paraId="343558C2" w14:textId="77777777" w:rsidR="00D45A14" w:rsidRPr="00351624" w:rsidRDefault="00D45A14" w:rsidP="00D45A14">
      <w:pPr>
        <w:rPr>
          <w:rtl/>
        </w:rPr>
      </w:pPr>
    </w:p>
    <w:tbl>
      <w:tblPr>
        <w:bidiVisual/>
        <w:tblW w:w="9072" w:type="dxa"/>
        <w:tblInd w:w="545" w:type="dxa"/>
        <w:tblLayout w:type="fixed"/>
        <w:tblCellMar>
          <w:left w:w="0" w:type="dxa"/>
          <w:right w:w="0" w:type="dxa"/>
        </w:tblCellMar>
        <w:tblLook w:val="0000" w:firstRow="0" w:lastRow="0" w:firstColumn="0" w:lastColumn="0" w:noHBand="0" w:noVBand="0"/>
      </w:tblPr>
      <w:tblGrid>
        <w:gridCol w:w="1417"/>
        <w:gridCol w:w="320"/>
        <w:gridCol w:w="7335"/>
      </w:tblGrid>
      <w:tr w:rsidR="00D45A14" w:rsidRPr="00351624" w14:paraId="70EF6A80" w14:textId="77777777" w:rsidTr="00EA66F8">
        <w:tc>
          <w:tcPr>
            <w:tcW w:w="1417" w:type="dxa"/>
            <w:tcBorders>
              <w:bottom w:val="single" w:sz="6" w:space="0" w:color="auto"/>
              <w:right w:val="single" w:sz="6" w:space="0" w:color="auto"/>
            </w:tcBorders>
            <w:shd w:val="clear" w:color="auto" w:fill="auto"/>
            <w:vAlign w:val="center"/>
          </w:tcPr>
          <w:p w14:paraId="7D9ADF38"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16.26;</w:t>
            </w:r>
          </w:p>
          <w:p w14:paraId="397251E4"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16.36;</w:t>
            </w:r>
          </w:p>
          <w:p w14:paraId="71BC7D0E" w14:textId="77777777" w:rsidR="00D45A14" w:rsidRPr="00351624" w:rsidRDefault="00D45A14" w:rsidP="00EA66F8">
            <w:pPr>
              <w:widowControl/>
              <w:bidi w:val="0"/>
              <w:spacing w:line="240" w:lineRule="auto"/>
              <w:ind w:left="57" w:right="57"/>
              <w:jc w:val="right"/>
              <w:rPr>
                <w:rFonts w:cs="Times New Roman"/>
                <w:i/>
                <w:sz w:val="13"/>
              </w:rPr>
            </w:pPr>
          </w:p>
        </w:tc>
        <w:tc>
          <w:tcPr>
            <w:tcW w:w="320" w:type="dxa"/>
            <w:tcBorders>
              <w:left w:val="single" w:sz="6" w:space="0" w:color="auto"/>
            </w:tcBorders>
            <w:shd w:val="clear" w:color="auto" w:fill="auto"/>
            <w:vAlign w:val="center"/>
          </w:tcPr>
          <w:p w14:paraId="67166B22" w14:textId="77777777" w:rsidR="00D45A14" w:rsidRPr="00351624" w:rsidRDefault="00D45A14" w:rsidP="00EA66F8">
            <w:pPr>
              <w:tabs>
                <w:tab w:val="left" w:pos="227"/>
                <w:tab w:val="left" w:pos="397"/>
                <w:tab w:val="left" w:pos="567"/>
              </w:tabs>
              <w:bidi w:val="0"/>
              <w:spacing w:line="240" w:lineRule="exact"/>
              <w:ind w:left="284" w:hanging="227"/>
              <w:jc w:val="right"/>
              <w:rPr>
                <w:i/>
                <w:iCs/>
                <w:sz w:val="13"/>
                <w:szCs w:val="13"/>
              </w:rPr>
            </w:pPr>
          </w:p>
        </w:tc>
        <w:tc>
          <w:tcPr>
            <w:tcW w:w="7335" w:type="dxa"/>
            <w:shd w:val="clear" w:color="auto" w:fill="auto"/>
          </w:tcPr>
          <w:p w14:paraId="6218EAAA" w14:textId="77777777" w:rsidR="00D45A14" w:rsidRPr="00351624" w:rsidRDefault="00D45A14" w:rsidP="00EA66F8">
            <w:pPr>
              <w:rPr>
                <w:rtl/>
              </w:rPr>
            </w:pPr>
            <w:r w:rsidRPr="00351624">
              <w:rPr>
                <w:rFonts w:hint="cs"/>
                <w:rtl/>
              </w:rPr>
              <w:t>במועד התחילה התחייבות בגין חכירה כוללת את כל תשלומי החכירה שטרם שולמו מהוונים בשיעור הריבית הגלומה בחכירה כאשר היא ניתנת לקביעה בנקל או בשיעור הריבית התוספתי של החברה.</w:t>
            </w:r>
            <w:r>
              <w:rPr>
                <w:rFonts w:hint="cs"/>
                <w:rtl/>
              </w:rPr>
              <w:t xml:space="preserve"> </w:t>
            </w:r>
            <w:r w:rsidRPr="00351624">
              <w:rPr>
                <w:rFonts w:hint="cs"/>
                <w:rtl/>
              </w:rPr>
              <w:t>לאחר מועד התחילה מודדת החברה את ההתחייבות בגין חכירה בשיטת הריבית האפקטיבית.</w:t>
            </w:r>
          </w:p>
        </w:tc>
      </w:tr>
    </w:tbl>
    <w:p w14:paraId="2BD59C2C" w14:textId="77777777" w:rsidR="00D45A14" w:rsidRPr="00351624" w:rsidRDefault="00D45A14" w:rsidP="00D45A14">
      <w:pPr>
        <w:rPr>
          <w:rtl/>
        </w:rPr>
      </w:pPr>
    </w:p>
    <w:tbl>
      <w:tblPr>
        <w:bidiVisual/>
        <w:tblW w:w="9072" w:type="dxa"/>
        <w:tblInd w:w="545" w:type="dxa"/>
        <w:tblLayout w:type="fixed"/>
        <w:tblCellMar>
          <w:left w:w="0" w:type="dxa"/>
          <w:right w:w="0" w:type="dxa"/>
        </w:tblCellMar>
        <w:tblLook w:val="0000" w:firstRow="0" w:lastRow="0" w:firstColumn="0" w:lastColumn="0" w:noHBand="0" w:noVBand="0"/>
      </w:tblPr>
      <w:tblGrid>
        <w:gridCol w:w="1417"/>
        <w:gridCol w:w="320"/>
        <w:gridCol w:w="7335"/>
      </w:tblGrid>
      <w:tr w:rsidR="00D45A14" w:rsidRPr="00351624" w14:paraId="364CE366" w14:textId="77777777" w:rsidTr="00EA66F8">
        <w:tc>
          <w:tcPr>
            <w:tcW w:w="1417" w:type="dxa"/>
            <w:tcBorders>
              <w:bottom w:val="single" w:sz="6" w:space="0" w:color="auto"/>
              <w:right w:val="single" w:sz="6" w:space="0" w:color="auto"/>
            </w:tcBorders>
            <w:shd w:val="clear" w:color="auto" w:fill="auto"/>
            <w:vAlign w:val="center"/>
          </w:tcPr>
          <w:p w14:paraId="3CD51E93"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16.24;</w:t>
            </w:r>
          </w:p>
          <w:p w14:paraId="5702B808"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16.29,32-35;</w:t>
            </w:r>
          </w:p>
          <w:p w14:paraId="1E5AE173" w14:textId="77777777" w:rsidR="00D45A14" w:rsidRPr="00351624" w:rsidRDefault="00D45A14" w:rsidP="00EA66F8">
            <w:pPr>
              <w:widowControl/>
              <w:bidi w:val="0"/>
              <w:spacing w:line="240" w:lineRule="auto"/>
              <w:ind w:left="57" w:right="57"/>
              <w:jc w:val="right"/>
              <w:rPr>
                <w:rFonts w:cs="Times New Roman"/>
                <w:i/>
                <w:sz w:val="13"/>
              </w:rPr>
            </w:pPr>
          </w:p>
        </w:tc>
        <w:tc>
          <w:tcPr>
            <w:tcW w:w="320" w:type="dxa"/>
            <w:tcBorders>
              <w:left w:val="single" w:sz="6" w:space="0" w:color="auto"/>
            </w:tcBorders>
            <w:shd w:val="clear" w:color="auto" w:fill="auto"/>
            <w:vAlign w:val="center"/>
          </w:tcPr>
          <w:p w14:paraId="1F87CAC0" w14:textId="77777777" w:rsidR="00D45A14" w:rsidRPr="00351624" w:rsidRDefault="00D45A14" w:rsidP="00EA66F8">
            <w:pPr>
              <w:tabs>
                <w:tab w:val="left" w:pos="227"/>
                <w:tab w:val="left" w:pos="397"/>
                <w:tab w:val="left" w:pos="567"/>
              </w:tabs>
              <w:bidi w:val="0"/>
              <w:spacing w:line="240" w:lineRule="exact"/>
              <w:ind w:left="284" w:hanging="227"/>
              <w:jc w:val="right"/>
              <w:rPr>
                <w:i/>
                <w:iCs/>
                <w:sz w:val="13"/>
                <w:szCs w:val="13"/>
              </w:rPr>
            </w:pPr>
          </w:p>
        </w:tc>
        <w:tc>
          <w:tcPr>
            <w:tcW w:w="7335" w:type="dxa"/>
            <w:shd w:val="clear" w:color="auto" w:fill="auto"/>
          </w:tcPr>
          <w:p w14:paraId="3779F6A6" w14:textId="77777777" w:rsidR="00D45A14" w:rsidRPr="00351624" w:rsidRDefault="00D45A14" w:rsidP="00EA66F8">
            <w:pPr>
              <w:rPr>
                <w:rtl/>
              </w:rPr>
            </w:pPr>
            <w:r w:rsidRPr="00351624">
              <w:rPr>
                <w:rFonts w:hint="cs"/>
                <w:rtl/>
              </w:rPr>
              <w:t>נכס זכות השימוש במועד התחילה מוכר בגובה ההתחייבות בגין חכירה בתוספת תשלומי חכירה ששולמו במועד התחילה או לפניו ובתוספת של עלויות עסקה שהתהוו.</w:t>
            </w:r>
          </w:p>
          <w:p w14:paraId="5CF82268" w14:textId="77777777" w:rsidR="00D45A14" w:rsidRPr="00351624" w:rsidRDefault="00D45A14" w:rsidP="00EA66F8">
            <w:pPr>
              <w:rPr>
                <w:rtl/>
              </w:rPr>
            </w:pPr>
            <w:r w:rsidRPr="00351624">
              <w:rPr>
                <w:rFonts w:hint="cs"/>
                <w:rtl/>
              </w:rPr>
              <w:t>נכס זכות השימוש נמדד במודל העלות</w:t>
            </w:r>
            <w:r w:rsidRPr="00351624">
              <w:rPr>
                <w:color w:val="FF0000"/>
                <w:szCs w:val="22"/>
                <w:vertAlign w:val="superscript"/>
                <w:rtl/>
              </w:rPr>
              <w:footnoteReference w:id="67"/>
            </w:r>
            <w:r>
              <w:rPr>
                <w:rFonts w:hint="cs"/>
                <w:rtl/>
              </w:rPr>
              <w:t xml:space="preserve"> ו</w:t>
            </w:r>
            <w:r w:rsidRPr="00351624">
              <w:rPr>
                <w:rFonts w:hint="cs"/>
                <w:rtl/>
              </w:rPr>
              <w:t xml:space="preserve">מופחת לאורך החיים השימושיים שלו, או תקופת החכירה </w:t>
            </w:r>
            <w:r>
              <w:rPr>
                <w:rFonts w:hint="cs"/>
                <w:rtl/>
              </w:rPr>
              <w:t>לפי הקצר</w:t>
            </w:r>
            <w:r w:rsidRPr="00351624">
              <w:rPr>
                <w:rFonts w:hint="cs"/>
                <w:rtl/>
              </w:rPr>
              <w:t xml:space="preserve"> שבהם. כאשר מתקיימים סימנים לירידת ערך, בוחנת החברה ירידת ערך לנכס זכות השימוש בהתאם להוראות </w:t>
            </w:r>
            <w:r w:rsidRPr="00351624">
              <w:rPr>
                <w:rFonts w:hint="cs"/>
              </w:rPr>
              <w:t>IAS 36</w:t>
            </w:r>
            <w:r w:rsidRPr="00351624">
              <w:rPr>
                <w:rFonts w:hint="cs"/>
                <w:rtl/>
              </w:rPr>
              <w:t>.</w:t>
            </w:r>
          </w:p>
        </w:tc>
      </w:tr>
    </w:tbl>
    <w:p w14:paraId="3EBC7DF2" w14:textId="77777777" w:rsidR="00D45A14" w:rsidRDefault="00D45A14" w:rsidP="00D45A14">
      <w:pPr>
        <w:rPr>
          <w:rtl/>
        </w:rPr>
      </w:pPr>
    </w:p>
    <w:p w14:paraId="2DA54971" w14:textId="77777777" w:rsidR="00D45A14" w:rsidRPr="00EF3E95" w:rsidRDefault="00D45A14" w:rsidP="00D45A14">
      <w:pPr>
        <w:tabs>
          <w:tab w:val="left" w:pos="567"/>
          <w:tab w:val="left" w:pos="1134"/>
        </w:tabs>
        <w:rPr>
          <w:rtl/>
        </w:rPr>
      </w:pPr>
      <w:r w:rsidRPr="00351624">
        <w:rPr>
          <w:rFonts w:hint="cs"/>
          <w:rtl/>
        </w:rPr>
        <w:t>באור 2: -</w:t>
      </w:r>
      <w:r w:rsidRPr="00351624">
        <w:rPr>
          <w:rFonts w:hint="cs"/>
          <w:rtl/>
        </w:rPr>
        <w:tab/>
      </w:r>
      <w:r w:rsidRPr="00351624">
        <w:rPr>
          <w:rFonts w:hint="cs"/>
          <w:u w:val="single"/>
          <w:rtl/>
        </w:rPr>
        <w:t>עיקרי המדיניות החשבונאית</w:t>
      </w:r>
      <w:r w:rsidRPr="00A73565">
        <w:rPr>
          <w:rFonts w:hint="cs"/>
          <w:u w:val="single"/>
          <w:rtl/>
        </w:rPr>
        <w:t xml:space="preserve"> (</w:t>
      </w:r>
      <w:r>
        <w:rPr>
          <w:rFonts w:hint="cs"/>
          <w:rtl/>
        </w:rPr>
        <w:t>המשך)</w:t>
      </w:r>
    </w:p>
    <w:p w14:paraId="38FF4918" w14:textId="77777777" w:rsidR="00D45A14" w:rsidRPr="00351624" w:rsidRDefault="00D45A14" w:rsidP="00D45A14">
      <w:pPr>
        <w:rPr>
          <w:rtl/>
        </w:rPr>
      </w:pPr>
    </w:p>
    <w:p w14:paraId="34A3FDC7" w14:textId="77777777" w:rsidR="00D45A14" w:rsidRPr="00351624" w:rsidRDefault="00D45A14" w:rsidP="00D45A14">
      <w:pPr>
        <w:numPr>
          <w:ilvl w:val="0"/>
          <w:numId w:val="26"/>
        </w:numPr>
        <w:tabs>
          <w:tab w:val="left" w:pos="1218"/>
          <w:tab w:val="left" w:pos="2268"/>
        </w:tabs>
        <w:ind w:left="5528" w:hanging="3734"/>
        <w:rPr>
          <w:u w:val="single"/>
          <w:rtl/>
        </w:rPr>
      </w:pPr>
      <w:r w:rsidRPr="00351624">
        <w:rPr>
          <w:rFonts w:hint="cs"/>
          <w:u w:val="single"/>
          <w:rtl/>
        </w:rPr>
        <w:t>הקבוצה כמחכיר</w:t>
      </w:r>
    </w:p>
    <w:p w14:paraId="124B8FE4" w14:textId="77777777" w:rsidR="00D45A14" w:rsidRPr="00351624" w:rsidRDefault="00D45A14" w:rsidP="00D45A14">
      <w:pPr>
        <w:tabs>
          <w:tab w:val="left" w:pos="1701"/>
          <w:tab w:val="left" w:pos="2268"/>
        </w:tabs>
        <w:ind w:left="1287" w:hanging="567"/>
        <w:rPr>
          <w:u w:val="single"/>
          <w:rtl/>
        </w:rPr>
      </w:pPr>
    </w:p>
    <w:p w14:paraId="77DBD413" w14:textId="77777777" w:rsidR="00D45A14" w:rsidRPr="00351624" w:rsidRDefault="00D45A14" w:rsidP="00D45A14">
      <w:pPr>
        <w:tabs>
          <w:tab w:val="left" w:pos="1701"/>
          <w:tab w:val="left" w:pos="2268"/>
        </w:tabs>
        <w:ind w:left="2268"/>
        <w:rPr>
          <w:rtl/>
        </w:rPr>
      </w:pPr>
      <w:r w:rsidRPr="00351624">
        <w:rPr>
          <w:rFonts w:hint="cs"/>
          <w:rtl/>
        </w:rPr>
        <w:t xml:space="preserve">המבחנים לסיווג חכירה כמימונית או </w:t>
      </w:r>
      <w:r>
        <w:rPr>
          <w:rFonts w:hint="cs"/>
          <w:rtl/>
        </w:rPr>
        <w:t>כתפעולית מבוססים על מהות ההסכם</w:t>
      </w:r>
      <w:r w:rsidRPr="00351624">
        <w:rPr>
          <w:rFonts w:hint="cs"/>
          <w:rtl/>
        </w:rPr>
        <w:t xml:space="preserve"> והם נבחנים במועד ההתקשרות על-פי הכללים שנקבעו ב</w:t>
      </w:r>
      <w:r>
        <w:rPr>
          <w:rFonts w:hint="cs"/>
          <w:rtl/>
        </w:rPr>
        <w:t>תקן</w:t>
      </w:r>
      <w:r w:rsidRPr="00351624">
        <w:rPr>
          <w:rFonts w:hint="cs"/>
          <w:rtl/>
        </w:rPr>
        <w:t>:</w:t>
      </w:r>
    </w:p>
    <w:p w14:paraId="4763CA39" w14:textId="77777777" w:rsidR="00D45A14" w:rsidRPr="00351624" w:rsidRDefault="00D45A14" w:rsidP="00D45A14">
      <w:pPr>
        <w:tabs>
          <w:tab w:val="left" w:pos="1701"/>
          <w:tab w:val="left" w:pos="2268"/>
        </w:tabs>
        <w:ind w:left="2268" w:hanging="567"/>
        <w:rPr>
          <w:u w:val="single"/>
          <w:rtl/>
        </w:rPr>
      </w:pPr>
    </w:p>
    <w:p w14:paraId="5A51C725" w14:textId="77777777" w:rsidR="00D45A14" w:rsidRPr="00351624" w:rsidRDefault="00D45A14" w:rsidP="00D45A14">
      <w:pPr>
        <w:tabs>
          <w:tab w:val="left" w:pos="1701"/>
          <w:tab w:val="left" w:pos="3685"/>
        </w:tabs>
        <w:ind w:left="2268" w:hanging="284"/>
      </w:pPr>
      <w:r w:rsidRPr="00351624">
        <w:rPr>
          <w:rFonts w:hint="cs"/>
          <w:rtl/>
        </w:rPr>
        <w:t>א.</w:t>
      </w:r>
      <w:r w:rsidRPr="00351624">
        <w:rPr>
          <w:rFonts w:hint="cs"/>
          <w:rtl/>
        </w:rPr>
        <w:tab/>
      </w:r>
      <w:r w:rsidRPr="00351624">
        <w:rPr>
          <w:rFonts w:hint="cs"/>
          <w:u w:val="single"/>
          <w:rtl/>
        </w:rPr>
        <w:t>חכירה מימונית</w:t>
      </w:r>
      <w:r>
        <w:rPr>
          <w:rStyle w:val="ab"/>
          <w:u w:val="single"/>
          <w:rtl/>
        </w:rPr>
        <w:footnoteReference w:id="68"/>
      </w:r>
    </w:p>
    <w:p w14:paraId="0E51B980" w14:textId="77777777" w:rsidR="00D45A14" w:rsidRPr="00351624" w:rsidRDefault="00D45A14" w:rsidP="00D45A14">
      <w:pPr>
        <w:rPr>
          <w:rtl/>
        </w:rPr>
      </w:pPr>
    </w:p>
    <w:tbl>
      <w:tblPr>
        <w:bidiVisual/>
        <w:tblW w:w="8931" w:type="dxa"/>
        <w:tblInd w:w="664" w:type="dxa"/>
        <w:tblLayout w:type="fixed"/>
        <w:tblCellMar>
          <w:left w:w="0" w:type="dxa"/>
          <w:right w:w="0" w:type="dxa"/>
        </w:tblCellMar>
        <w:tblLook w:val="0000" w:firstRow="0" w:lastRow="0" w:firstColumn="0" w:lastColumn="0" w:noHBand="0" w:noVBand="0"/>
      </w:tblPr>
      <w:tblGrid>
        <w:gridCol w:w="1276"/>
        <w:gridCol w:w="292"/>
        <w:gridCol w:w="7363"/>
      </w:tblGrid>
      <w:tr w:rsidR="00D45A14" w:rsidRPr="00351624" w14:paraId="315A8812" w14:textId="77777777" w:rsidTr="00EA66F8">
        <w:tc>
          <w:tcPr>
            <w:tcW w:w="1276" w:type="dxa"/>
            <w:tcBorders>
              <w:bottom w:val="single" w:sz="6" w:space="0" w:color="auto"/>
              <w:right w:val="single" w:sz="6" w:space="0" w:color="auto"/>
            </w:tcBorders>
            <w:shd w:val="clear" w:color="auto" w:fill="auto"/>
            <w:vAlign w:val="center"/>
          </w:tcPr>
          <w:p w14:paraId="70461BEB" w14:textId="77777777" w:rsidR="00D45A14" w:rsidRPr="00351624" w:rsidRDefault="00D45A14" w:rsidP="00EA66F8">
            <w:pPr>
              <w:widowControl/>
              <w:bidi w:val="0"/>
              <w:spacing w:line="240" w:lineRule="auto"/>
              <w:ind w:left="57" w:right="57"/>
              <w:jc w:val="right"/>
              <w:rPr>
                <w:rFonts w:cs="Times New Roman"/>
                <w:i/>
                <w:sz w:val="13"/>
              </w:rPr>
            </w:pPr>
          </w:p>
          <w:p w14:paraId="4CA9FDF5" w14:textId="77777777" w:rsidR="00D45A14" w:rsidRPr="00351624" w:rsidRDefault="00D45A14" w:rsidP="00EA66F8">
            <w:pPr>
              <w:widowControl/>
              <w:bidi w:val="0"/>
              <w:spacing w:line="240" w:lineRule="auto"/>
              <w:ind w:left="57" w:right="57"/>
              <w:jc w:val="right"/>
              <w:rPr>
                <w:rFonts w:cs="Times New Roman"/>
                <w:i/>
                <w:sz w:val="13"/>
              </w:rPr>
            </w:pPr>
          </w:p>
          <w:p w14:paraId="308075F3" w14:textId="77777777" w:rsidR="00D45A14" w:rsidRPr="00351624" w:rsidRDefault="00D45A14" w:rsidP="00EA66F8">
            <w:pPr>
              <w:widowControl/>
              <w:bidi w:val="0"/>
              <w:spacing w:line="240" w:lineRule="auto"/>
              <w:ind w:left="57" w:right="57"/>
              <w:jc w:val="right"/>
              <w:rPr>
                <w:rFonts w:cs="Times New Roman"/>
                <w:i/>
                <w:sz w:val="13"/>
              </w:rPr>
            </w:pPr>
          </w:p>
          <w:p w14:paraId="4B39ABDD" w14:textId="77777777" w:rsidR="00D45A14" w:rsidRPr="00351624" w:rsidRDefault="00D45A14" w:rsidP="00EA66F8">
            <w:pPr>
              <w:widowControl/>
              <w:bidi w:val="0"/>
              <w:spacing w:line="240" w:lineRule="auto"/>
              <w:ind w:left="57" w:right="57"/>
              <w:jc w:val="right"/>
              <w:rPr>
                <w:rFonts w:cs="Times New Roman"/>
                <w:i/>
                <w:sz w:val="13"/>
              </w:rPr>
            </w:pPr>
          </w:p>
          <w:p w14:paraId="7E832D26" w14:textId="77777777" w:rsidR="00D45A14" w:rsidRPr="00351624" w:rsidRDefault="00D45A14" w:rsidP="00EA66F8">
            <w:pPr>
              <w:widowControl/>
              <w:bidi w:val="0"/>
              <w:spacing w:line="240" w:lineRule="auto"/>
              <w:ind w:left="57" w:right="57"/>
              <w:jc w:val="right"/>
              <w:rPr>
                <w:rFonts w:cs="Times New Roman"/>
                <w:i/>
                <w:sz w:val="13"/>
              </w:rPr>
            </w:pPr>
          </w:p>
          <w:p w14:paraId="09681247" w14:textId="77777777" w:rsidR="00D45A14" w:rsidRPr="00351624" w:rsidRDefault="00D45A14" w:rsidP="00EA66F8">
            <w:pPr>
              <w:widowControl/>
              <w:bidi w:val="0"/>
              <w:spacing w:line="240" w:lineRule="auto"/>
              <w:ind w:left="57" w:right="57"/>
              <w:jc w:val="right"/>
              <w:rPr>
                <w:rFonts w:cs="Times New Roman"/>
                <w:i/>
                <w:sz w:val="13"/>
              </w:rPr>
            </w:pPr>
          </w:p>
          <w:p w14:paraId="7891F0DA" w14:textId="77777777" w:rsidR="00D45A14" w:rsidRPr="00351624" w:rsidRDefault="00D45A14" w:rsidP="00EA66F8">
            <w:pPr>
              <w:widowControl/>
              <w:bidi w:val="0"/>
              <w:spacing w:line="240" w:lineRule="auto"/>
              <w:ind w:left="57" w:right="57"/>
              <w:jc w:val="right"/>
              <w:rPr>
                <w:rFonts w:cs="Times New Roman"/>
                <w:i/>
                <w:sz w:val="13"/>
              </w:rPr>
            </w:pPr>
          </w:p>
          <w:p w14:paraId="11D1CAD7"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16.67-69,75-77</w:t>
            </w:r>
          </w:p>
          <w:p w14:paraId="385F6675" w14:textId="77777777" w:rsidR="00D45A14" w:rsidRPr="00351624" w:rsidRDefault="00D45A14" w:rsidP="00EA66F8">
            <w:pPr>
              <w:widowControl/>
              <w:bidi w:val="0"/>
              <w:spacing w:line="240" w:lineRule="auto"/>
              <w:ind w:left="57" w:right="57"/>
              <w:jc w:val="right"/>
              <w:rPr>
                <w:rFonts w:cs="Times New Roman"/>
                <w:i/>
                <w:sz w:val="13"/>
              </w:rPr>
            </w:pPr>
          </w:p>
          <w:p w14:paraId="3EEA73DD" w14:textId="77777777" w:rsidR="00D45A14" w:rsidRPr="00351624" w:rsidRDefault="00D45A14" w:rsidP="00EA66F8">
            <w:pPr>
              <w:widowControl/>
              <w:bidi w:val="0"/>
              <w:spacing w:line="240" w:lineRule="auto"/>
              <w:ind w:left="57" w:right="57"/>
              <w:jc w:val="right"/>
              <w:rPr>
                <w:rFonts w:cs="Times New Roman"/>
                <w:i/>
                <w:sz w:val="13"/>
              </w:rPr>
            </w:pPr>
          </w:p>
          <w:p w14:paraId="436BCB90" w14:textId="77777777" w:rsidR="00D45A14" w:rsidRPr="00351624" w:rsidRDefault="00D45A14" w:rsidP="00EA66F8">
            <w:pPr>
              <w:widowControl/>
              <w:bidi w:val="0"/>
              <w:spacing w:line="240" w:lineRule="auto"/>
              <w:ind w:left="57" w:right="57"/>
              <w:jc w:val="right"/>
              <w:rPr>
                <w:rFonts w:cs="Times New Roman"/>
                <w:i/>
                <w:sz w:val="13"/>
              </w:rPr>
            </w:pPr>
          </w:p>
          <w:p w14:paraId="196D2AD5" w14:textId="77777777" w:rsidR="00D45A14" w:rsidRPr="00351624" w:rsidRDefault="00D45A14" w:rsidP="00EA66F8">
            <w:pPr>
              <w:widowControl/>
              <w:bidi w:val="0"/>
              <w:spacing w:line="240" w:lineRule="auto"/>
              <w:ind w:left="57" w:right="57"/>
              <w:jc w:val="right"/>
              <w:rPr>
                <w:rFonts w:cs="Times New Roman"/>
                <w:i/>
                <w:sz w:val="13"/>
              </w:rPr>
            </w:pPr>
          </w:p>
          <w:p w14:paraId="0C10E6DA" w14:textId="77777777" w:rsidR="00D45A14" w:rsidRPr="00351624" w:rsidRDefault="00D45A14" w:rsidP="00EA66F8">
            <w:pPr>
              <w:widowControl/>
              <w:bidi w:val="0"/>
              <w:spacing w:line="240" w:lineRule="auto"/>
              <w:ind w:right="57"/>
              <w:rPr>
                <w:rFonts w:cs="Times New Roman"/>
                <w:i/>
                <w:sz w:val="13"/>
              </w:rPr>
            </w:pPr>
          </w:p>
          <w:p w14:paraId="7F74F8E1" w14:textId="77777777" w:rsidR="00D45A14" w:rsidRPr="00351624" w:rsidRDefault="00D45A14" w:rsidP="00EA66F8">
            <w:pPr>
              <w:widowControl/>
              <w:bidi w:val="0"/>
              <w:spacing w:line="240" w:lineRule="auto"/>
              <w:ind w:right="57"/>
              <w:rPr>
                <w:rFonts w:cs="Times New Roman"/>
                <w:i/>
                <w:sz w:val="13"/>
              </w:rPr>
            </w:pPr>
          </w:p>
          <w:p w14:paraId="457CDF13" w14:textId="77777777" w:rsidR="00D45A14" w:rsidRPr="00351624" w:rsidRDefault="00D45A14" w:rsidP="00EA66F8">
            <w:pPr>
              <w:widowControl/>
              <w:bidi w:val="0"/>
              <w:spacing w:line="240" w:lineRule="auto"/>
              <w:ind w:right="57"/>
              <w:rPr>
                <w:rFonts w:cs="Times New Roman"/>
                <w:i/>
                <w:sz w:val="13"/>
              </w:rPr>
            </w:pPr>
          </w:p>
          <w:p w14:paraId="6286C82C" w14:textId="77777777" w:rsidR="00D45A14" w:rsidRPr="00351624" w:rsidRDefault="00D45A14" w:rsidP="00EA66F8">
            <w:pPr>
              <w:widowControl/>
              <w:bidi w:val="0"/>
              <w:spacing w:line="240" w:lineRule="auto"/>
              <w:ind w:right="57"/>
              <w:rPr>
                <w:rFonts w:cs="Times New Roman"/>
                <w:i/>
                <w:sz w:val="13"/>
              </w:rPr>
            </w:pPr>
          </w:p>
          <w:p w14:paraId="67BA2BE1" w14:textId="77777777" w:rsidR="00D45A14" w:rsidRPr="00351624" w:rsidRDefault="00D45A14" w:rsidP="00EA66F8">
            <w:pPr>
              <w:widowControl/>
              <w:bidi w:val="0"/>
              <w:spacing w:line="240" w:lineRule="auto"/>
              <w:ind w:right="57"/>
              <w:rPr>
                <w:rFonts w:cs="Times New Roman"/>
                <w:i/>
                <w:sz w:val="13"/>
              </w:rPr>
            </w:pPr>
          </w:p>
          <w:p w14:paraId="6C324627" w14:textId="77777777" w:rsidR="00D45A14" w:rsidRPr="00351624" w:rsidRDefault="00D45A14" w:rsidP="00EA66F8">
            <w:pPr>
              <w:widowControl/>
              <w:bidi w:val="0"/>
              <w:spacing w:line="240" w:lineRule="auto"/>
              <w:ind w:right="57"/>
              <w:rPr>
                <w:rFonts w:cs="Times New Roman"/>
                <w:i/>
                <w:sz w:val="13"/>
              </w:rPr>
            </w:pPr>
          </w:p>
          <w:p w14:paraId="5FBA4A31" w14:textId="77777777" w:rsidR="00D45A14" w:rsidRPr="00351624" w:rsidRDefault="00D45A14" w:rsidP="00EA66F8">
            <w:pPr>
              <w:widowControl/>
              <w:bidi w:val="0"/>
              <w:spacing w:line="240" w:lineRule="auto"/>
              <w:ind w:right="57"/>
              <w:rPr>
                <w:rFonts w:cs="Times New Roman"/>
                <w:i/>
                <w:sz w:val="13"/>
              </w:rPr>
            </w:pPr>
          </w:p>
          <w:p w14:paraId="08BD15BE" w14:textId="77777777" w:rsidR="00D45A14" w:rsidRPr="00351624" w:rsidRDefault="00D45A14" w:rsidP="00EA66F8">
            <w:pPr>
              <w:widowControl/>
              <w:bidi w:val="0"/>
              <w:spacing w:line="240" w:lineRule="auto"/>
              <w:ind w:left="57" w:right="57"/>
              <w:jc w:val="right"/>
              <w:rPr>
                <w:rFonts w:cs="Times New Roman"/>
                <w:i/>
                <w:sz w:val="13"/>
              </w:rPr>
            </w:pPr>
          </w:p>
          <w:p w14:paraId="58F7C8A1" w14:textId="77777777" w:rsidR="00D45A14" w:rsidRPr="00351624" w:rsidRDefault="00D45A14" w:rsidP="00EA66F8">
            <w:pPr>
              <w:widowControl/>
              <w:bidi w:val="0"/>
              <w:spacing w:line="240" w:lineRule="auto"/>
              <w:ind w:left="57" w:right="57"/>
              <w:jc w:val="right"/>
              <w:rPr>
                <w:rFonts w:cs="Times New Roman"/>
                <w:i/>
                <w:sz w:val="13"/>
              </w:rPr>
            </w:pPr>
          </w:p>
          <w:p w14:paraId="34D8A194" w14:textId="77777777" w:rsidR="00D45A14" w:rsidRPr="00351624" w:rsidRDefault="00D45A14" w:rsidP="00EA66F8">
            <w:pPr>
              <w:widowControl/>
              <w:bidi w:val="0"/>
              <w:spacing w:line="240" w:lineRule="auto"/>
              <w:ind w:left="57" w:right="57"/>
              <w:jc w:val="right"/>
              <w:rPr>
                <w:rFonts w:cs="Times New Roman"/>
                <w:i/>
                <w:sz w:val="13"/>
              </w:rPr>
            </w:pPr>
          </w:p>
          <w:p w14:paraId="75BB837A" w14:textId="77777777" w:rsidR="00D45A14" w:rsidRPr="00351624" w:rsidRDefault="00D45A14" w:rsidP="00EA66F8">
            <w:pPr>
              <w:widowControl/>
              <w:bidi w:val="0"/>
              <w:spacing w:line="240" w:lineRule="auto"/>
              <w:ind w:left="57" w:right="57"/>
              <w:jc w:val="right"/>
              <w:rPr>
                <w:rFonts w:cs="Times New Roman"/>
                <w:i/>
                <w:sz w:val="13"/>
              </w:rPr>
            </w:pPr>
          </w:p>
          <w:p w14:paraId="35AFE1EC"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16.71,74,75-77</w:t>
            </w:r>
          </w:p>
          <w:p w14:paraId="377AE54A" w14:textId="77777777" w:rsidR="00D45A14" w:rsidRPr="00351624" w:rsidRDefault="00D45A14" w:rsidP="00EA66F8">
            <w:pPr>
              <w:widowControl/>
              <w:bidi w:val="0"/>
              <w:spacing w:line="240" w:lineRule="auto"/>
              <w:ind w:left="57" w:right="57"/>
              <w:jc w:val="right"/>
              <w:rPr>
                <w:rFonts w:cs="Times New Roman"/>
                <w:i/>
                <w:sz w:val="13"/>
              </w:rPr>
            </w:pPr>
          </w:p>
          <w:p w14:paraId="00BB1776" w14:textId="77777777" w:rsidR="00D45A14" w:rsidRPr="00351624" w:rsidRDefault="00D45A14" w:rsidP="00EA66F8">
            <w:pPr>
              <w:widowControl/>
              <w:bidi w:val="0"/>
              <w:spacing w:line="240" w:lineRule="auto"/>
              <w:ind w:left="57" w:right="57"/>
              <w:jc w:val="right"/>
              <w:rPr>
                <w:rFonts w:cs="Times New Roman"/>
                <w:i/>
                <w:sz w:val="13"/>
              </w:rPr>
            </w:pPr>
          </w:p>
          <w:p w14:paraId="247FB999" w14:textId="77777777" w:rsidR="00D45A14" w:rsidRPr="00351624" w:rsidRDefault="00D45A14" w:rsidP="00EA66F8">
            <w:pPr>
              <w:widowControl/>
              <w:bidi w:val="0"/>
              <w:spacing w:line="240" w:lineRule="auto"/>
              <w:ind w:left="57" w:right="57"/>
              <w:jc w:val="right"/>
              <w:rPr>
                <w:rFonts w:cs="Times New Roman"/>
                <w:i/>
                <w:sz w:val="13"/>
              </w:rPr>
            </w:pPr>
          </w:p>
          <w:p w14:paraId="52FFF11B" w14:textId="77777777" w:rsidR="00D45A14" w:rsidRPr="00351624" w:rsidRDefault="00D45A14" w:rsidP="00EA66F8">
            <w:pPr>
              <w:widowControl/>
              <w:bidi w:val="0"/>
              <w:spacing w:line="240" w:lineRule="auto"/>
              <w:ind w:left="57" w:right="57"/>
              <w:jc w:val="right"/>
              <w:rPr>
                <w:rFonts w:cs="Times New Roman"/>
                <w:i/>
                <w:sz w:val="13"/>
              </w:rPr>
            </w:pPr>
          </w:p>
          <w:p w14:paraId="3FD18BF0" w14:textId="77777777" w:rsidR="00D45A14" w:rsidRPr="00351624" w:rsidRDefault="00D45A14" w:rsidP="00EA66F8">
            <w:pPr>
              <w:widowControl/>
              <w:bidi w:val="0"/>
              <w:spacing w:line="240" w:lineRule="auto"/>
              <w:ind w:left="57" w:right="57"/>
              <w:jc w:val="right"/>
              <w:rPr>
                <w:rFonts w:cs="Times New Roman"/>
                <w:i/>
                <w:sz w:val="13"/>
              </w:rPr>
            </w:pPr>
          </w:p>
          <w:p w14:paraId="64F2405D" w14:textId="77777777" w:rsidR="00D45A14" w:rsidRPr="00351624" w:rsidRDefault="00D45A14" w:rsidP="00EA66F8">
            <w:pPr>
              <w:widowControl/>
              <w:bidi w:val="0"/>
              <w:spacing w:line="240" w:lineRule="auto"/>
              <w:ind w:left="57" w:right="57"/>
              <w:jc w:val="right"/>
              <w:rPr>
                <w:rFonts w:cs="Times New Roman"/>
                <w:i/>
                <w:sz w:val="13"/>
              </w:rPr>
            </w:pPr>
          </w:p>
          <w:p w14:paraId="3C9C293F" w14:textId="77777777" w:rsidR="00D45A14" w:rsidRPr="00351624" w:rsidRDefault="00D45A14" w:rsidP="00EA66F8">
            <w:pPr>
              <w:widowControl/>
              <w:bidi w:val="0"/>
              <w:spacing w:line="240" w:lineRule="auto"/>
              <w:ind w:left="57" w:right="57"/>
              <w:jc w:val="right"/>
              <w:rPr>
                <w:rFonts w:cs="Times New Roman"/>
                <w:i/>
                <w:sz w:val="13"/>
              </w:rPr>
            </w:pPr>
          </w:p>
          <w:p w14:paraId="4DE71A39" w14:textId="77777777" w:rsidR="00D45A14" w:rsidRPr="00351624" w:rsidRDefault="00D45A14" w:rsidP="00EA66F8">
            <w:pPr>
              <w:widowControl/>
              <w:bidi w:val="0"/>
              <w:spacing w:line="240" w:lineRule="auto"/>
              <w:ind w:left="57" w:right="57"/>
              <w:jc w:val="right"/>
              <w:rPr>
                <w:rFonts w:cs="Times New Roman"/>
                <w:i/>
                <w:sz w:val="13"/>
              </w:rPr>
            </w:pPr>
          </w:p>
          <w:p w14:paraId="35E5C95C" w14:textId="77777777" w:rsidR="00D45A14" w:rsidRPr="00351624" w:rsidRDefault="00D45A14" w:rsidP="00EA66F8">
            <w:pPr>
              <w:widowControl/>
              <w:bidi w:val="0"/>
              <w:spacing w:line="240" w:lineRule="auto"/>
              <w:ind w:left="57" w:right="57"/>
              <w:jc w:val="right"/>
              <w:rPr>
                <w:rFonts w:cs="Times New Roman"/>
                <w:i/>
                <w:sz w:val="13"/>
              </w:rPr>
            </w:pPr>
          </w:p>
          <w:p w14:paraId="4B6AA14B" w14:textId="77777777" w:rsidR="00D45A14" w:rsidRPr="00351624" w:rsidRDefault="00D45A14" w:rsidP="00EA66F8">
            <w:pPr>
              <w:widowControl/>
              <w:bidi w:val="0"/>
              <w:spacing w:line="240" w:lineRule="auto"/>
              <w:ind w:left="57" w:right="57"/>
              <w:jc w:val="right"/>
              <w:rPr>
                <w:rFonts w:cs="Times New Roman"/>
                <w:i/>
                <w:sz w:val="13"/>
              </w:rPr>
            </w:pPr>
          </w:p>
          <w:p w14:paraId="54BA900A" w14:textId="77777777" w:rsidR="00D45A14" w:rsidRPr="00351624" w:rsidRDefault="00D45A14" w:rsidP="00EA66F8">
            <w:pPr>
              <w:widowControl/>
              <w:bidi w:val="0"/>
              <w:spacing w:line="240" w:lineRule="auto"/>
              <w:ind w:right="57"/>
              <w:rPr>
                <w:rFonts w:cs="Times New Roman"/>
                <w:i/>
                <w:sz w:val="13"/>
              </w:rPr>
            </w:pPr>
          </w:p>
          <w:p w14:paraId="1434A8A7"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16.12;</w:t>
            </w:r>
          </w:p>
          <w:p w14:paraId="4336BA0D" w14:textId="77777777" w:rsidR="00D45A14" w:rsidRPr="00351624" w:rsidRDefault="00D45A14" w:rsidP="00EA66F8">
            <w:pPr>
              <w:widowControl/>
              <w:bidi w:val="0"/>
              <w:spacing w:line="240" w:lineRule="auto"/>
              <w:ind w:left="57" w:right="57"/>
              <w:jc w:val="right"/>
              <w:rPr>
                <w:rFonts w:cs="Times New Roman"/>
                <w:i/>
                <w:sz w:val="13"/>
              </w:rPr>
            </w:pPr>
          </w:p>
        </w:tc>
        <w:tc>
          <w:tcPr>
            <w:tcW w:w="292" w:type="dxa"/>
            <w:tcBorders>
              <w:left w:val="single" w:sz="6" w:space="0" w:color="auto"/>
            </w:tcBorders>
            <w:shd w:val="clear" w:color="auto" w:fill="auto"/>
            <w:vAlign w:val="center"/>
          </w:tcPr>
          <w:p w14:paraId="258C6515" w14:textId="77777777" w:rsidR="00D45A14" w:rsidRPr="00351624" w:rsidRDefault="00D45A14" w:rsidP="00EA66F8">
            <w:pPr>
              <w:tabs>
                <w:tab w:val="left" w:pos="227"/>
                <w:tab w:val="left" w:pos="397"/>
                <w:tab w:val="left" w:pos="567"/>
              </w:tabs>
              <w:bidi w:val="0"/>
              <w:spacing w:line="240" w:lineRule="exact"/>
              <w:ind w:left="284" w:hanging="227"/>
              <w:jc w:val="right"/>
              <w:rPr>
                <w:i/>
                <w:iCs/>
                <w:sz w:val="13"/>
                <w:szCs w:val="13"/>
              </w:rPr>
            </w:pPr>
          </w:p>
        </w:tc>
        <w:tc>
          <w:tcPr>
            <w:tcW w:w="7363" w:type="dxa"/>
            <w:shd w:val="clear" w:color="auto" w:fill="auto"/>
          </w:tcPr>
          <w:p w14:paraId="160EA0BC" w14:textId="77777777" w:rsidR="00D45A14" w:rsidRPr="00351624" w:rsidRDefault="00D45A14" w:rsidP="00EA66F8">
            <w:pPr>
              <w:rPr>
                <w:rtl/>
              </w:rPr>
            </w:pPr>
            <w:r>
              <w:rPr>
                <w:rFonts w:hint="cs"/>
                <w:rtl/>
              </w:rPr>
              <w:t xml:space="preserve">עסקת חכירה בה מועברים באופן ממשי </w:t>
            </w:r>
            <w:r w:rsidRPr="00351624">
              <w:rPr>
                <w:rFonts w:hint="cs"/>
                <w:rtl/>
              </w:rPr>
              <w:t xml:space="preserve">כל הסיכונים וההטבות הקשורים לבעלות על הנכס </w:t>
            </w:r>
            <w:r>
              <w:rPr>
                <w:rFonts w:hint="cs"/>
                <w:rtl/>
              </w:rPr>
              <w:t>לחוכר, מסווגת</w:t>
            </w:r>
            <w:r w:rsidRPr="00351624">
              <w:rPr>
                <w:rFonts w:hint="cs"/>
                <w:rtl/>
              </w:rPr>
              <w:t xml:space="preserve"> כחכירה מימונית. </w:t>
            </w:r>
          </w:p>
          <w:p w14:paraId="4A39186C" w14:textId="77777777" w:rsidR="00D45A14" w:rsidRPr="00351624" w:rsidRDefault="00D45A14" w:rsidP="00EA66F8">
            <w:pPr>
              <w:rPr>
                <w:rtl/>
              </w:rPr>
            </w:pPr>
          </w:p>
          <w:p w14:paraId="0B6AD60F" w14:textId="77777777" w:rsidR="00D45A14" w:rsidRPr="00351624" w:rsidRDefault="00D45A14" w:rsidP="00EA66F8">
            <w:pPr>
              <w:rPr>
                <w:rtl/>
              </w:rPr>
            </w:pPr>
            <w:r w:rsidRPr="00016052">
              <w:rPr>
                <w:rFonts w:hint="cs"/>
                <w:u w:val="single"/>
                <w:rtl/>
              </w:rPr>
              <w:t>עסקאות חכירה בהן החברה מהווה מחכיר שאינו יצרן או סוחר</w:t>
            </w:r>
            <w:r w:rsidRPr="00351624">
              <w:rPr>
                <w:rFonts w:hint="cs"/>
                <w:rtl/>
              </w:rPr>
              <w:t xml:space="preserve"> </w:t>
            </w:r>
          </w:p>
          <w:p w14:paraId="1CA2A35E" w14:textId="77777777" w:rsidR="00D45A14" w:rsidRPr="00351624" w:rsidRDefault="00D45A14" w:rsidP="00EA66F8">
            <w:pPr>
              <w:rPr>
                <w:rtl/>
              </w:rPr>
            </w:pPr>
            <w:r w:rsidRPr="00351624">
              <w:rPr>
                <w:rFonts w:hint="cs"/>
                <w:rtl/>
              </w:rPr>
              <w:t>במ</w:t>
            </w:r>
            <w:r>
              <w:rPr>
                <w:rFonts w:hint="cs"/>
                <w:rtl/>
              </w:rPr>
              <w:t>ועד התחילה הנכס החכור נגרע ו</w:t>
            </w:r>
            <w:r w:rsidRPr="00351624">
              <w:rPr>
                <w:rFonts w:hint="cs"/>
                <w:rtl/>
              </w:rPr>
              <w:t>כנגד מוכר נכס "</w:t>
            </w:r>
            <w:r>
              <w:rPr>
                <w:rFonts w:hint="cs"/>
                <w:rtl/>
              </w:rPr>
              <w:t>חייבים בגין חכירה מימונית</w:t>
            </w:r>
            <w:r w:rsidRPr="00351624">
              <w:rPr>
                <w:rFonts w:hint="cs"/>
                <w:rtl/>
              </w:rPr>
              <w:t xml:space="preserve">" השווה לערך הנוכחי של תקבולי החכירה מהוונים בריבית הגלומה בחכירה. הפרש כלשהו בין יתרת </w:t>
            </w:r>
            <w:r>
              <w:rPr>
                <w:rFonts w:hint="cs"/>
                <w:rtl/>
              </w:rPr>
              <w:t>ה</w:t>
            </w:r>
            <w:r w:rsidRPr="00351624">
              <w:rPr>
                <w:rFonts w:hint="cs"/>
                <w:rtl/>
              </w:rPr>
              <w:t xml:space="preserve">נכס החכור לפני הגריעה לבין יתרת </w:t>
            </w:r>
            <w:r>
              <w:rPr>
                <w:rFonts w:hint="cs"/>
                <w:rtl/>
              </w:rPr>
              <w:t>החייבים בגין חכירה מימונית</w:t>
            </w:r>
            <w:r w:rsidRPr="00351624">
              <w:rPr>
                <w:rFonts w:hint="cs"/>
                <w:rtl/>
              </w:rPr>
              <w:t xml:space="preserve"> מוכר ברווח או הפסד. </w:t>
            </w:r>
          </w:p>
          <w:p w14:paraId="2661FD2E" w14:textId="77777777" w:rsidR="00D45A14" w:rsidRPr="00351624" w:rsidRDefault="00D45A14" w:rsidP="00EA66F8">
            <w:pPr>
              <w:rPr>
                <w:rtl/>
              </w:rPr>
            </w:pPr>
          </w:p>
          <w:p w14:paraId="183A91C0" w14:textId="77777777" w:rsidR="00D45A14" w:rsidRPr="00351624" w:rsidRDefault="00D45A14" w:rsidP="00EA66F8">
            <w:pPr>
              <w:rPr>
                <w:rtl/>
              </w:rPr>
            </w:pPr>
            <w:r w:rsidRPr="00016052">
              <w:rPr>
                <w:rFonts w:hint="cs"/>
                <w:u w:val="single"/>
                <w:rtl/>
              </w:rPr>
              <w:t xml:space="preserve">עסקאות חכירה בהן החברה מהווה מחכיר </w:t>
            </w:r>
            <w:r>
              <w:rPr>
                <w:rFonts w:hint="cs"/>
                <w:u w:val="single"/>
                <w:rtl/>
              </w:rPr>
              <w:t>שהינו</w:t>
            </w:r>
            <w:r w:rsidRPr="00016052">
              <w:rPr>
                <w:rFonts w:hint="cs"/>
                <w:u w:val="single"/>
                <w:rtl/>
              </w:rPr>
              <w:t xml:space="preserve"> יצרן או סוחר</w:t>
            </w:r>
            <w:r w:rsidRPr="00351624">
              <w:rPr>
                <w:rFonts w:hint="cs"/>
                <w:rtl/>
              </w:rPr>
              <w:t xml:space="preserve"> </w:t>
            </w:r>
          </w:p>
          <w:p w14:paraId="19F62388" w14:textId="77777777" w:rsidR="00D45A14" w:rsidRPr="00351624" w:rsidRDefault="00D45A14" w:rsidP="00EA66F8">
            <w:pPr>
              <w:rPr>
                <w:rtl/>
              </w:rPr>
            </w:pPr>
            <w:r w:rsidRPr="00351624">
              <w:rPr>
                <w:rFonts w:hint="cs"/>
                <w:rtl/>
              </w:rPr>
              <w:t>במועד התחילה מוכר נכס "</w:t>
            </w:r>
            <w:r>
              <w:rPr>
                <w:rFonts w:hint="cs"/>
                <w:rtl/>
              </w:rPr>
              <w:t>חייבים בגין חכירה מימונית</w:t>
            </w:r>
            <w:r w:rsidRPr="00351624">
              <w:rPr>
                <w:rFonts w:hint="cs"/>
                <w:rtl/>
              </w:rPr>
              <w:t xml:space="preserve">" כנגד סעיף הכנסות ממכירות, בסכום אשר נקבע </w:t>
            </w:r>
            <w:r>
              <w:rPr>
                <w:rFonts w:hint="cs"/>
                <w:rtl/>
              </w:rPr>
              <w:t>לפי</w:t>
            </w:r>
            <w:r w:rsidRPr="00351624">
              <w:rPr>
                <w:rFonts w:hint="cs"/>
                <w:rtl/>
              </w:rPr>
              <w:t xml:space="preserve"> השווי ההוגן של נכס הבסיס</w:t>
            </w:r>
            <w:r>
              <w:rPr>
                <w:rFonts w:hint="cs"/>
                <w:rtl/>
              </w:rPr>
              <w:t xml:space="preserve"> למעט, אם נמוך יותר, לפי </w:t>
            </w:r>
            <w:r w:rsidRPr="00351624">
              <w:rPr>
                <w:rFonts w:hint="cs"/>
                <w:rtl/>
              </w:rPr>
              <w:t xml:space="preserve">הערך הנוכחי של תקבולי החכירה מהוונים בריבית שוק. בנוסף, במועד </w:t>
            </w:r>
            <w:r>
              <w:rPr>
                <w:rFonts w:hint="cs"/>
                <w:rtl/>
              </w:rPr>
              <w:t>התחילה</w:t>
            </w:r>
            <w:r w:rsidRPr="00351624">
              <w:rPr>
                <w:rFonts w:hint="cs"/>
                <w:rtl/>
              </w:rPr>
              <w:t xml:space="preserve"> נכס הבסיס נגרע כנגד סעיף עלות המכירות. עלויות עסקה שהתהוו מוכרות כהוצאה מידית במועד </w:t>
            </w:r>
            <w:r>
              <w:rPr>
                <w:rFonts w:hint="cs"/>
                <w:rtl/>
              </w:rPr>
              <w:t>התחילה</w:t>
            </w:r>
            <w:r w:rsidRPr="00351624">
              <w:rPr>
                <w:rFonts w:hint="cs"/>
                <w:rtl/>
              </w:rPr>
              <w:t xml:space="preserve">. </w:t>
            </w:r>
          </w:p>
          <w:p w14:paraId="12BDD567" w14:textId="77777777" w:rsidR="00D45A14" w:rsidRPr="00351624" w:rsidRDefault="00D45A14" w:rsidP="00EA66F8">
            <w:pPr>
              <w:rPr>
                <w:rtl/>
              </w:rPr>
            </w:pPr>
          </w:p>
          <w:p w14:paraId="17B07E5A" w14:textId="77777777" w:rsidR="00D45A14" w:rsidRPr="00351624" w:rsidRDefault="00D45A14" w:rsidP="00EA66F8">
            <w:pPr>
              <w:rPr>
                <w:rtl/>
              </w:rPr>
            </w:pPr>
            <w:r w:rsidRPr="00351624">
              <w:rPr>
                <w:rFonts w:hint="cs"/>
                <w:rtl/>
              </w:rPr>
              <w:t xml:space="preserve">לאחר מועד התחילה, תקבולי החכירה מוקצים בין הכנסות מימון </w:t>
            </w:r>
            <w:r>
              <w:rPr>
                <w:rFonts w:hint="cs"/>
                <w:rtl/>
              </w:rPr>
              <w:t xml:space="preserve">שמשקפות שיעור תשואה תקופתי קבוע על החייבים בגין חכירה מימונית, לבין </w:t>
            </w:r>
            <w:r w:rsidRPr="00351624">
              <w:rPr>
                <w:rFonts w:hint="cs"/>
                <w:rtl/>
              </w:rPr>
              <w:t xml:space="preserve">פירעון של </w:t>
            </w:r>
            <w:r>
              <w:rPr>
                <w:rFonts w:hint="cs"/>
                <w:rtl/>
              </w:rPr>
              <w:t>חייבים בגין חכירה מימונית</w:t>
            </w:r>
            <w:r w:rsidRPr="00351624">
              <w:rPr>
                <w:rFonts w:hint="cs"/>
                <w:rtl/>
              </w:rPr>
              <w:t xml:space="preserve">. יתרת </w:t>
            </w:r>
            <w:r>
              <w:rPr>
                <w:rFonts w:hint="cs"/>
                <w:rtl/>
              </w:rPr>
              <w:t>החייבים בגין חכירה מימונית</w:t>
            </w:r>
            <w:r w:rsidRPr="00351624">
              <w:rPr>
                <w:rFonts w:hint="cs"/>
                <w:rtl/>
              </w:rPr>
              <w:t xml:space="preserve"> מטופלת לעניין ירידת ערך וגריעה על פי הוראות 9</w:t>
            </w:r>
            <w:r w:rsidRPr="00351624">
              <w:rPr>
                <w:rFonts w:hint="eastAsia"/>
                <w:rtl/>
              </w:rPr>
              <w:t> </w:t>
            </w:r>
            <w:r w:rsidRPr="00351624">
              <w:t>IFRS</w:t>
            </w:r>
            <w:r w:rsidRPr="00351624">
              <w:rPr>
                <w:rFonts w:hint="cs"/>
                <w:rtl/>
              </w:rPr>
              <w:t>.</w:t>
            </w:r>
          </w:p>
          <w:p w14:paraId="68EC036E" w14:textId="77777777" w:rsidR="00D45A14" w:rsidRPr="00351624" w:rsidRDefault="00D45A14" w:rsidP="00EA66F8">
            <w:pPr>
              <w:rPr>
                <w:rtl/>
              </w:rPr>
            </w:pPr>
          </w:p>
          <w:p w14:paraId="414C90C4" w14:textId="77777777" w:rsidR="00D45A14" w:rsidRPr="00351624" w:rsidRDefault="00D45A14" w:rsidP="00EA66F8">
            <w:pPr>
              <w:rPr>
                <w:rtl/>
              </w:rPr>
            </w:pPr>
            <w:r w:rsidRPr="00351624">
              <w:rPr>
                <w:rFonts w:hint="cs"/>
                <w:rtl/>
              </w:rPr>
              <w:t>בעסקאות הכוללות רכיבים שאינם חכירה, מטפלת החברה ברכיבים שאינם חכירה בהתאם לתקן החשבונאי הרלוונ</w:t>
            </w:r>
            <w:r>
              <w:rPr>
                <w:rFonts w:hint="cs"/>
                <w:rtl/>
              </w:rPr>
              <w:t>טי ולא במסגרת החייבים בגין חכירה מימונית.</w:t>
            </w:r>
          </w:p>
        </w:tc>
      </w:tr>
    </w:tbl>
    <w:p w14:paraId="7922DE59" w14:textId="77777777" w:rsidR="00D45A14" w:rsidRPr="00351624" w:rsidRDefault="00D45A14" w:rsidP="00D45A14">
      <w:pPr>
        <w:widowControl/>
        <w:tabs>
          <w:tab w:val="left" w:pos="1134"/>
          <w:tab w:val="left" w:pos="1701"/>
        </w:tabs>
        <w:ind w:left="1701" w:hanging="567"/>
        <w:rPr>
          <w:rtl/>
        </w:rPr>
      </w:pPr>
    </w:p>
    <w:p w14:paraId="49B8E4EF" w14:textId="77777777" w:rsidR="00D45A14" w:rsidRPr="00351624" w:rsidRDefault="00D45A14" w:rsidP="00D45A14">
      <w:pPr>
        <w:tabs>
          <w:tab w:val="left" w:pos="1701"/>
          <w:tab w:val="left" w:pos="2268"/>
        </w:tabs>
        <w:ind w:left="2268" w:hanging="284"/>
        <w:rPr>
          <w:rtl/>
        </w:rPr>
      </w:pPr>
      <w:r w:rsidRPr="00351624">
        <w:rPr>
          <w:rFonts w:hint="cs"/>
          <w:rtl/>
        </w:rPr>
        <w:t>ב.</w:t>
      </w:r>
      <w:r w:rsidRPr="00351624">
        <w:rPr>
          <w:rFonts w:hint="cs"/>
          <w:rtl/>
        </w:rPr>
        <w:tab/>
      </w:r>
      <w:r w:rsidRPr="00351624">
        <w:rPr>
          <w:rFonts w:hint="cs"/>
          <w:u w:val="single"/>
          <w:rtl/>
        </w:rPr>
        <w:t>חכירה תפעולית</w:t>
      </w:r>
    </w:p>
    <w:tbl>
      <w:tblPr>
        <w:bidiVisual/>
        <w:tblW w:w="9001" w:type="dxa"/>
        <w:tblInd w:w="680" w:type="dxa"/>
        <w:tblLayout w:type="fixed"/>
        <w:tblCellMar>
          <w:left w:w="0" w:type="dxa"/>
          <w:right w:w="0" w:type="dxa"/>
        </w:tblCellMar>
        <w:tblLook w:val="0000" w:firstRow="0" w:lastRow="0" w:firstColumn="0" w:lastColumn="0" w:noHBand="0" w:noVBand="0"/>
      </w:tblPr>
      <w:tblGrid>
        <w:gridCol w:w="1288"/>
        <w:gridCol w:w="350"/>
        <w:gridCol w:w="7363"/>
      </w:tblGrid>
      <w:tr w:rsidR="00D45A14" w:rsidRPr="00351624" w14:paraId="43AC9850" w14:textId="77777777" w:rsidTr="00EA66F8">
        <w:tc>
          <w:tcPr>
            <w:tcW w:w="1288" w:type="dxa"/>
            <w:shd w:val="clear" w:color="auto" w:fill="auto"/>
            <w:vAlign w:val="center"/>
          </w:tcPr>
          <w:p w14:paraId="55336E2E" w14:textId="77777777" w:rsidR="00D45A14" w:rsidRPr="00351624" w:rsidRDefault="00D45A14" w:rsidP="00EA66F8">
            <w:pPr>
              <w:widowControl/>
              <w:bidi w:val="0"/>
              <w:spacing w:line="240" w:lineRule="auto"/>
              <w:ind w:left="57" w:right="57"/>
              <w:jc w:val="right"/>
              <w:rPr>
                <w:rFonts w:cs="Times New Roman"/>
                <w:i/>
                <w:sz w:val="13"/>
              </w:rPr>
            </w:pPr>
          </w:p>
        </w:tc>
        <w:tc>
          <w:tcPr>
            <w:tcW w:w="350" w:type="dxa"/>
            <w:shd w:val="clear" w:color="auto" w:fill="auto"/>
            <w:vAlign w:val="center"/>
          </w:tcPr>
          <w:p w14:paraId="3116ADE2" w14:textId="77777777" w:rsidR="00D45A14" w:rsidRPr="00351624" w:rsidRDefault="00D45A14" w:rsidP="00EA66F8">
            <w:pPr>
              <w:tabs>
                <w:tab w:val="left" w:pos="227"/>
                <w:tab w:val="left" w:pos="397"/>
                <w:tab w:val="left" w:pos="567"/>
              </w:tabs>
              <w:bidi w:val="0"/>
              <w:spacing w:line="240" w:lineRule="exact"/>
              <w:ind w:left="284" w:hanging="227"/>
              <w:jc w:val="right"/>
              <w:rPr>
                <w:i/>
                <w:iCs/>
                <w:sz w:val="13"/>
                <w:szCs w:val="13"/>
              </w:rPr>
            </w:pPr>
          </w:p>
        </w:tc>
        <w:tc>
          <w:tcPr>
            <w:tcW w:w="7363" w:type="dxa"/>
            <w:shd w:val="clear" w:color="auto" w:fill="auto"/>
          </w:tcPr>
          <w:p w14:paraId="4E198267" w14:textId="77777777" w:rsidR="00D45A14" w:rsidRPr="00351624" w:rsidRDefault="00D45A14" w:rsidP="00EA66F8">
            <w:pPr>
              <w:widowControl/>
              <w:spacing w:line="240" w:lineRule="exact"/>
              <w:ind w:left="284" w:hanging="227"/>
              <w:rPr>
                <w:rtl/>
              </w:rPr>
            </w:pPr>
          </w:p>
        </w:tc>
      </w:tr>
      <w:tr w:rsidR="00D45A14" w:rsidRPr="00351624" w14:paraId="259161D1" w14:textId="77777777" w:rsidTr="00EA66F8">
        <w:tc>
          <w:tcPr>
            <w:tcW w:w="1288" w:type="dxa"/>
            <w:tcBorders>
              <w:bottom w:val="single" w:sz="6" w:space="0" w:color="auto"/>
              <w:right w:val="single" w:sz="6" w:space="0" w:color="auto"/>
            </w:tcBorders>
            <w:shd w:val="clear" w:color="auto" w:fill="auto"/>
            <w:vAlign w:val="center"/>
          </w:tcPr>
          <w:p w14:paraId="4F5C084F"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16.81,83</w:t>
            </w:r>
          </w:p>
          <w:p w14:paraId="18B790F9" w14:textId="77777777" w:rsidR="00D45A14" w:rsidRPr="00351624" w:rsidRDefault="00D45A14" w:rsidP="00EA66F8">
            <w:pPr>
              <w:widowControl/>
              <w:bidi w:val="0"/>
              <w:spacing w:line="240" w:lineRule="auto"/>
              <w:ind w:left="57" w:right="57"/>
              <w:jc w:val="right"/>
              <w:rPr>
                <w:rFonts w:cs="Times New Roman"/>
                <w:i/>
                <w:sz w:val="13"/>
              </w:rPr>
            </w:pPr>
          </w:p>
        </w:tc>
        <w:tc>
          <w:tcPr>
            <w:tcW w:w="350" w:type="dxa"/>
            <w:tcBorders>
              <w:left w:val="single" w:sz="6" w:space="0" w:color="auto"/>
            </w:tcBorders>
            <w:shd w:val="clear" w:color="auto" w:fill="auto"/>
            <w:vAlign w:val="center"/>
          </w:tcPr>
          <w:p w14:paraId="554164DE" w14:textId="77777777" w:rsidR="00D45A14" w:rsidRPr="00351624" w:rsidRDefault="00D45A14" w:rsidP="00EA66F8">
            <w:pPr>
              <w:tabs>
                <w:tab w:val="left" w:pos="227"/>
                <w:tab w:val="left" w:pos="397"/>
                <w:tab w:val="left" w:pos="567"/>
              </w:tabs>
              <w:bidi w:val="0"/>
              <w:spacing w:line="240" w:lineRule="exact"/>
              <w:ind w:left="284" w:hanging="227"/>
              <w:jc w:val="right"/>
              <w:rPr>
                <w:i/>
                <w:iCs/>
                <w:sz w:val="13"/>
                <w:szCs w:val="13"/>
              </w:rPr>
            </w:pPr>
          </w:p>
        </w:tc>
        <w:tc>
          <w:tcPr>
            <w:tcW w:w="7363" w:type="dxa"/>
            <w:shd w:val="clear" w:color="auto" w:fill="auto"/>
          </w:tcPr>
          <w:p w14:paraId="48C76C45" w14:textId="77777777" w:rsidR="00D45A14" w:rsidRPr="00351624" w:rsidRDefault="00D45A14" w:rsidP="00EA66F8">
            <w:pPr>
              <w:rPr>
                <w:rtl/>
              </w:rPr>
            </w:pPr>
            <w:r>
              <w:rPr>
                <w:rFonts w:hint="cs"/>
                <w:rtl/>
              </w:rPr>
              <w:t xml:space="preserve">עסקת חכירה בה </w:t>
            </w:r>
            <w:r w:rsidRPr="00351624">
              <w:rPr>
                <w:rFonts w:hint="cs"/>
                <w:rtl/>
              </w:rPr>
              <w:t>לא מועברים באופן ממשי כל הסיכונים וההטבות</w:t>
            </w:r>
            <w:r>
              <w:rPr>
                <w:rFonts w:hint="cs"/>
                <w:rtl/>
              </w:rPr>
              <w:t xml:space="preserve"> הקשורים לבעלות על הנכס, מסווגת</w:t>
            </w:r>
            <w:r w:rsidRPr="00351624">
              <w:rPr>
                <w:rFonts w:hint="cs"/>
                <w:rtl/>
              </w:rPr>
              <w:t xml:space="preserve"> כחכירה תפעולית. תקבולי החכירה מוכרים כהכנסה ברווח או הפסד בקו ישר על פני תקופת החכירה. עלויות ראשוניות ישירות שהתהוו בגין הסכם החכירה, מתווספות לעלות הנכס המוחכר ומוכרות כהוצאה לאורך תקופת החכירה לפי אותו בסיס. </w:t>
            </w:r>
          </w:p>
        </w:tc>
      </w:tr>
    </w:tbl>
    <w:p w14:paraId="55626518" w14:textId="77777777" w:rsidR="00D45A14" w:rsidRDefault="00D45A14" w:rsidP="00D45A14">
      <w:pPr>
        <w:tabs>
          <w:tab w:val="left" w:pos="1701"/>
          <w:tab w:val="left" w:pos="2268"/>
        </w:tabs>
        <w:ind w:left="1287" w:hanging="567"/>
        <w:rPr>
          <w:rtl/>
        </w:rPr>
      </w:pPr>
    </w:p>
    <w:p w14:paraId="3ACD1F36" w14:textId="77777777" w:rsidR="00D45A14" w:rsidRDefault="00D45A14" w:rsidP="00D45A14">
      <w:pPr>
        <w:widowControl/>
        <w:tabs>
          <w:tab w:val="left" w:pos="1134"/>
          <w:tab w:val="left" w:pos="1701"/>
        </w:tabs>
        <w:ind w:left="1701" w:hanging="567"/>
        <w:rPr>
          <w:rtl/>
        </w:rPr>
      </w:pPr>
    </w:p>
    <w:p w14:paraId="6A333E1F" w14:textId="77777777" w:rsidR="00D45A14" w:rsidRDefault="00D45A14" w:rsidP="00D45A14">
      <w:pPr>
        <w:widowControl/>
        <w:bidi w:val="0"/>
        <w:spacing w:line="240" w:lineRule="auto"/>
        <w:jc w:val="left"/>
      </w:pPr>
      <w:r>
        <w:rPr>
          <w:rtl/>
        </w:rPr>
        <w:br w:type="page"/>
      </w:r>
    </w:p>
    <w:p w14:paraId="4AE30D7E" w14:textId="77777777" w:rsidR="00D45A14" w:rsidRDefault="00D45A14" w:rsidP="00D45A14">
      <w:pPr>
        <w:pStyle w:val="11"/>
        <w:rPr>
          <w:u w:val="single"/>
          <w:rtl/>
        </w:rPr>
      </w:pPr>
    </w:p>
    <w:p w14:paraId="038979A3" w14:textId="77777777" w:rsidR="00D45A14" w:rsidRDefault="00D45A14" w:rsidP="00D45A14">
      <w:pPr>
        <w:pStyle w:val="11"/>
        <w:rPr>
          <w:sz w:val="24"/>
          <w:rtl/>
        </w:rPr>
      </w:pPr>
      <w:r w:rsidRPr="00B35A10">
        <w:rPr>
          <w:sz w:val="24"/>
          <w:rtl/>
        </w:rPr>
        <w:t>באור 2: -</w:t>
      </w:r>
      <w:r w:rsidRPr="00B35A10">
        <w:rPr>
          <w:sz w:val="24"/>
          <w:rtl/>
        </w:rPr>
        <w:tab/>
      </w:r>
      <w:r w:rsidRPr="00B35A10">
        <w:rPr>
          <w:sz w:val="24"/>
          <w:u w:val="single"/>
          <w:rtl/>
        </w:rPr>
        <w:t>עיקרי המדיניות החשבונאית</w:t>
      </w:r>
      <w:r w:rsidRPr="00B35A10">
        <w:rPr>
          <w:sz w:val="24"/>
          <w:rtl/>
        </w:rPr>
        <w:t xml:space="preserve"> (המשך)</w:t>
      </w:r>
    </w:p>
    <w:p w14:paraId="4C0C140B" w14:textId="77777777" w:rsidR="00D45A14" w:rsidRPr="00B35A10" w:rsidRDefault="00D45A14" w:rsidP="00D45A14">
      <w:pPr>
        <w:pStyle w:val="11"/>
        <w:rPr>
          <w:sz w:val="24"/>
          <w:rtl/>
        </w:rPr>
      </w:pPr>
    </w:p>
    <w:p w14:paraId="0669BBD2" w14:textId="77777777" w:rsidR="00D45A14" w:rsidRPr="00351624" w:rsidRDefault="00D45A14" w:rsidP="00D45A14">
      <w:pPr>
        <w:numPr>
          <w:ilvl w:val="0"/>
          <w:numId w:val="26"/>
        </w:numPr>
        <w:tabs>
          <w:tab w:val="left" w:pos="1218"/>
          <w:tab w:val="left" w:pos="2268"/>
        </w:tabs>
        <w:ind w:left="2268" w:hanging="567"/>
        <w:rPr>
          <w:u w:val="single"/>
          <w:rtl/>
        </w:rPr>
      </w:pPr>
      <w:r>
        <w:rPr>
          <w:rFonts w:hint="cs"/>
          <w:u w:val="single"/>
          <w:rtl/>
        </w:rPr>
        <w:t>תשלומי חכירה הצמודים למדד</w:t>
      </w:r>
      <w:r>
        <w:rPr>
          <w:rStyle w:val="ab"/>
          <w:u w:val="single"/>
          <w:rtl/>
        </w:rPr>
        <w:footnoteReference w:id="69"/>
      </w:r>
    </w:p>
    <w:p w14:paraId="21572841" w14:textId="77777777" w:rsidR="00D45A14" w:rsidRDefault="00D45A14" w:rsidP="00D45A14">
      <w:pPr>
        <w:widowControl/>
        <w:tabs>
          <w:tab w:val="left" w:pos="1134"/>
          <w:tab w:val="left" w:pos="1701"/>
        </w:tabs>
        <w:ind w:left="1701" w:hanging="567"/>
        <w:rPr>
          <w:rtl/>
        </w:rPr>
      </w:pPr>
    </w:p>
    <w:tbl>
      <w:tblPr>
        <w:bidiVisual/>
        <w:tblW w:w="8959" w:type="dxa"/>
        <w:tblInd w:w="618" w:type="dxa"/>
        <w:tblLayout w:type="fixed"/>
        <w:tblCellMar>
          <w:left w:w="0" w:type="dxa"/>
          <w:right w:w="0" w:type="dxa"/>
        </w:tblCellMar>
        <w:tblLook w:val="0000" w:firstRow="0" w:lastRow="0" w:firstColumn="0" w:lastColumn="0" w:noHBand="0" w:noVBand="0"/>
      </w:tblPr>
      <w:tblGrid>
        <w:gridCol w:w="1274"/>
        <w:gridCol w:w="350"/>
        <w:gridCol w:w="7335"/>
      </w:tblGrid>
      <w:tr w:rsidR="00D45A14" w:rsidRPr="00351624" w14:paraId="483FE655" w14:textId="77777777" w:rsidTr="00EA66F8">
        <w:tc>
          <w:tcPr>
            <w:tcW w:w="1274" w:type="dxa"/>
            <w:tcBorders>
              <w:bottom w:val="single" w:sz="6" w:space="0" w:color="auto"/>
              <w:right w:val="single" w:sz="6" w:space="0" w:color="auto"/>
            </w:tcBorders>
            <w:shd w:val="clear" w:color="auto" w:fill="auto"/>
            <w:vAlign w:val="center"/>
          </w:tcPr>
          <w:p w14:paraId="27B00B99"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16.27(</w:t>
            </w:r>
            <w:r>
              <w:rPr>
                <w:rFonts w:cs="Times New Roman"/>
                <w:i/>
                <w:sz w:val="13"/>
              </w:rPr>
              <w:t>b</w:t>
            </w:r>
            <w:r w:rsidRPr="00351624">
              <w:rPr>
                <w:rFonts w:cs="Times New Roman"/>
                <w:i/>
                <w:sz w:val="13"/>
              </w:rPr>
              <w:t>);</w:t>
            </w:r>
          </w:p>
          <w:p w14:paraId="27B9B916" w14:textId="77777777" w:rsidR="00D45A14" w:rsidRDefault="00D45A14" w:rsidP="00EA66F8">
            <w:pPr>
              <w:widowControl/>
              <w:bidi w:val="0"/>
              <w:spacing w:line="240" w:lineRule="auto"/>
              <w:ind w:left="57" w:right="57"/>
              <w:jc w:val="right"/>
              <w:rPr>
                <w:rFonts w:cs="Times New Roman"/>
                <w:i/>
                <w:sz w:val="13"/>
              </w:rPr>
            </w:pPr>
            <w:r w:rsidRPr="00351624">
              <w:rPr>
                <w:rFonts w:cs="Times New Roman"/>
                <w:i/>
                <w:sz w:val="13"/>
              </w:rPr>
              <w:t>IFRS 16.39;</w:t>
            </w:r>
          </w:p>
          <w:p w14:paraId="1AFE45EE"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w:t>
            </w:r>
            <w:r>
              <w:rPr>
                <w:rFonts w:cs="Times New Roman"/>
                <w:i/>
                <w:sz w:val="13"/>
              </w:rPr>
              <w:t>42</w:t>
            </w:r>
            <w:r w:rsidRPr="00351624">
              <w:rPr>
                <w:rFonts w:cs="Times New Roman"/>
                <w:i/>
                <w:sz w:val="13"/>
              </w:rPr>
              <w:t>(</w:t>
            </w:r>
            <w:r>
              <w:rPr>
                <w:rFonts w:cs="Times New Roman"/>
                <w:i/>
                <w:sz w:val="13"/>
              </w:rPr>
              <w:t>b</w:t>
            </w:r>
            <w:r w:rsidRPr="00351624">
              <w:rPr>
                <w:rFonts w:cs="Times New Roman"/>
                <w:i/>
                <w:sz w:val="13"/>
              </w:rPr>
              <w:t>);</w:t>
            </w:r>
          </w:p>
          <w:p w14:paraId="27CD7322"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16.70(</w:t>
            </w:r>
            <w:r>
              <w:rPr>
                <w:rFonts w:cs="Times New Roman"/>
                <w:i/>
                <w:sz w:val="13"/>
              </w:rPr>
              <w:t>b</w:t>
            </w:r>
            <w:r w:rsidRPr="00351624">
              <w:rPr>
                <w:rFonts w:cs="Times New Roman"/>
                <w:i/>
                <w:sz w:val="13"/>
              </w:rPr>
              <w:t>);</w:t>
            </w:r>
          </w:p>
          <w:p w14:paraId="0FC6B79F" w14:textId="77777777" w:rsidR="00D45A14" w:rsidRPr="00351624" w:rsidRDefault="00D45A14" w:rsidP="00EA66F8">
            <w:pPr>
              <w:widowControl/>
              <w:bidi w:val="0"/>
              <w:spacing w:line="240" w:lineRule="auto"/>
              <w:ind w:left="57" w:right="57"/>
              <w:jc w:val="right"/>
              <w:rPr>
                <w:rFonts w:cs="Times New Roman"/>
                <w:i/>
                <w:sz w:val="13"/>
              </w:rPr>
            </w:pPr>
          </w:p>
        </w:tc>
        <w:tc>
          <w:tcPr>
            <w:tcW w:w="350" w:type="dxa"/>
            <w:tcBorders>
              <w:left w:val="single" w:sz="6" w:space="0" w:color="auto"/>
            </w:tcBorders>
            <w:shd w:val="clear" w:color="auto" w:fill="auto"/>
            <w:vAlign w:val="center"/>
          </w:tcPr>
          <w:p w14:paraId="557F0130" w14:textId="77777777" w:rsidR="00D45A14" w:rsidRPr="00351624" w:rsidRDefault="00D45A14" w:rsidP="00EA66F8">
            <w:pPr>
              <w:tabs>
                <w:tab w:val="left" w:pos="227"/>
                <w:tab w:val="left" w:pos="397"/>
                <w:tab w:val="left" w:pos="567"/>
              </w:tabs>
              <w:bidi w:val="0"/>
              <w:spacing w:line="240" w:lineRule="exact"/>
              <w:ind w:left="284" w:hanging="227"/>
              <w:jc w:val="right"/>
              <w:rPr>
                <w:i/>
                <w:iCs/>
                <w:sz w:val="13"/>
                <w:szCs w:val="13"/>
              </w:rPr>
            </w:pPr>
          </w:p>
        </w:tc>
        <w:tc>
          <w:tcPr>
            <w:tcW w:w="7335" w:type="dxa"/>
            <w:shd w:val="clear" w:color="auto" w:fill="auto"/>
          </w:tcPr>
          <w:p w14:paraId="045D71A6" w14:textId="77777777" w:rsidR="00D45A14" w:rsidRDefault="00D45A14" w:rsidP="00EA66F8">
            <w:pPr>
              <w:rPr>
                <w:rtl/>
              </w:rPr>
            </w:pPr>
            <w:r w:rsidRPr="00351624">
              <w:rPr>
                <w:rFonts w:hint="cs"/>
                <w:rtl/>
              </w:rPr>
              <w:t xml:space="preserve">במועד התחילה משתמשת החברה בשיעור המדד הקיים במועד התחילה לצורך חישוב </w:t>
            </w:r>
            <w:r>
              <w:rPr>
                <w:rFonts w:hint="cs"/>
                <w:rtl/>
              </w:rPr>
              <w:t>תשלומי החכירה העתידיים</w:t>
            </w:r>
            <w:r w:rsidRPr="00351624">
              <w:rPr>
                <w:rFonts w:hint="cs"/>
                <w:rtl/>
              </w:rPr>
              <w:t>.</w:t>
            </w:r>
          </w:p>
          <w:p w14:paraId="0FDD8D4D" w14:textId="77777777" w:rsidR="00D45A14" w:rsidRDefault="00D45A14" w:rsidP="00EA66F8">
            <w:pPr>
              <w:ind w:left="476"/>
              <w:rPr>
                <w:rtl/>
              </w:rPr>
            </w:pPr>
          </w:p>
          <w:p w14:paraId="41828BF4" w14:textId="01BD3C7C" w:rsidR="00D45A14" w:rsidRPr="00351624" w:rsidRDefault="00D45A14" w:rsidP="00EA66F8">
            <w:pPr>
              <w:rPr>
                <w:rtl/>
              </w:rPr>
            </w:pPr>
            <w:r w:rsidRPr="00351624">
              <w:rPr>
                <w:rFonts w:hint="cs"/>
                <w:rtl/>
              </w:rPr>
              <w:t xml:space="preserve">בעסקאות בהן החברה מהווה חוכר, שינויים </w:t>
            </w:r>
            <w:r>
              <w:rPr>
                <w:rFonts w:hint="cs"/>
                <w:rtl/>
              </w:rPr>
              <w:t xml:space="preserve">בגובה </w:t>
            </w:r>
            <w:r w:rsidRPr="00351624">
              <w:rPr>
                <w:rFonts w:hint="cs"/>
                <w:rtl/>
              </w:rPr>
              <w:t xml:space="preserve">תשלומי החכירה </w:t>
            </w:r>
            <w:r>
              <w:rPr>
                <w:rFonts w:hint="cs"/>
                <w:rtl/>
              </w:rPr>
              <w:t>העתידיים</w:t>
            </w:r>
            <w:r w:rsidRPr="00351624">
              <w:rPr>
                <w:rFonts w:hint="cs"/>
                <w:rtl/>
              </w:rPr>
              <w:t xml:space="preserve"> </w:t>
            </w:r>
            <w:r>
              <w:rPr>
                <w:rFonts w:hint="cs"/>
                <w:rtl/>
              </w:rPr>
              <w:t>כתוצאה משינוי במדד</w:t>
            </w:r>
            <w:r w:rsidRPr="00351624">
              <w:rPr>
                <w:rFonts w:hint="cs"/>
                <w:rtl/>
              </w:rPr>
              <w:t xml:space="preserve"> </w:t>
            </w:r>
            <w:r>
              <w:rPr>
                <w:rFonts w:hint="cs"/>
                <w:rtl/>
              </w:rPr>
              <w:t>מהוונים (ללא שינוי בשיעור ההיוון החל על ההתחייבות בגין חכירה) ל</w:t>
            </w:r>
            <w:r w:rsidRPr="00351624">
              <w:rPr>
                <w:rFonts w:hint="cs"/>
                <w:rtl/>
              </w:rPr>
              <w:t>יתרת נכס זכות שימוש</w:t>
            </w:r>
            <w:r>
              <w:rPr>
                <w:rFonts w:hint="cs"/>
                <w:rtl/>
              </w:rPr>
              <w:t xml:space="preserve"> ונזקפים כהתאמה ליתרת ההתחייבות בגין חכירה</w:t>
            </w:r>
            <w:r w:rsidR="00A643DE">
              <w:rPr>
                <w:rFonts w:hint="cs"/>
                <w:rtl/>
              </w:rPr>
              <w:t>, רק כאשר חל שינוי בתזרימי המזומנים הנובע משינוי במדד</w:t>
            </w:r>
            <w:r w:rsidR="000F1A5A">
              <w:rPr>
                <w:rFonts w:hint="cs"/>
                <w:rtl/>
              </w:rPr>
              <w:t xml:space="preserve"> (כלומר, במועד שבו התיאום לתשלומי החכירה נכנס לתוקף)</w:t>
            </w:r>
            <w:r w:rsidRPr="00351624">
              <w:rPr>
                <w:rFonts w:hint="cs"/>
                <w:rtl/>
              </w:rPr>
              <w:t xml:space="preserve">. השפעת השינוי במדד בגין תשלומים שוטפים נזקפת לרווח או הפסד. </w:t>
            </w:r>
          </w:p>
        </w:tc>
      </w:tr>
    </w:tbl>
    <w:p w14:paraId="56742AC9" w14:textId="77777777" w:rsidR="00D45A14" w:rsidRDefault="00D45A14" w:rsidP="00D45A14">
      <w:pPr>
        <w:widowControl/>
        <w:tabs>
          <w:tab w:val="left" w:pos="1134"/>
          <w:tab w:val="left" w:pos="1701"/>
        </w:tabs>
        <w:ind w:left="1701" w:hanging="567"/>
        <w:rPr>
          <w:rtl/>
        </w:rPr>
      </w:pPr>
    </w:p>
    <w:p w14:paraId="419A4E0A" w14:textId="77777777" w:rsidR="00D45A14" w:rsidRPr="00351624" w:rsidRDefault="00D45A14" w:rsidP="00DE6B08">
      <w:pPr>
        <w:numPr>
          <w:ilvl w:val="0"/>
          <w:numId w:val="26"/>
        </w:numPr>
        <w:tabs>
          <w:tab w:val="left" w:pos="1218"/>
          <w:tab w:val="left" w:pos="2268"/>
        </w:tabs>
        <w:ind w:left="2268" w:hanging="567"/>
        <w:rPr>
          <w:u w:val="single"/>
          <w:rtl/>
        </w:rPr>
      </w:pPr>
      <w:r>
        <w:rPr>
          <w:rFonts w:hint="cs"/>
          <w:u w:val="single"/>
          <w:rtl/>
        </w:rPr>
        <w:t>תשלומי חכירה משתנים</w:t>
      </w:r>
    </w:p>
    <w:p w14:paraId="57B0BA7C" w14:textId="77777777" w:rsidR="00D45A14" w:rsidRPr="00351624" w:rsidRDefault="00D45A14" w:rsidP="00D45A14">
      <w:pPr>
        <w:widowControl/>
        <w:tabs>
          <w:tab w:val="left" w:pos="1134"/>
          <w:tab w:val="left" w:pos="1701"/>
        </w:tabs>
        <w:ind w:left="1701" w:hanging="567"/>
        <w:rPr>
          <w:rtl/>
        </w:rPr>
      </w:pPr>
    </w:p>
    <w:tbl>
      <w:tblPr>
        <w:tblpPr w:leftFromText="180" w:rightFromText="180" w:vertAnchor="text" w:tblpY="1"/>
        <w:tblOverlap w:val="never"/>
        <w:bidiVisual/>
        <w:tblW w:w="9015" w:type="dxa"/>
        <w:tblLayout w:type="fixed"/>
        <w:tblCellMar>
          <w:left w:w="0" w:type="dxa"/>
          <w:right w:w="0" w:type="dxa"/>
        </w:tblCellMar>
        <w:tblLook w:val="0000" w:firstRow="0" w:lastRow="0" w:firstColumn="0" w:lastColumn="0" w:noHBand="0" w:noVBand="0"/>
      </w:tblPr>
      <w:tblGrid>
        <w:gridCol w:w="1260"/>
        <w:gridCol w:w="392"/>
        <w:gridCol w:w="7363"/>
      </w:tblGrid>
      <w:tr w:rsidR="00D45A14" w:rsidRPr="00351624" w14:paraId="5CC1AF45" w14:textId="77777777" w:rsidTr="00EA66F8">
        <w:tc>
          <w:tcPr>
            <w:tcW w:w="1260" w:type="dxa"/>
            <w:tcBorders>
              <w:bottom w:val="single" w:sz="6" w:space="0" w:color="auto"/>
              <w:right w:val="single" w:sz="6" w:space="0" w:color="auto"/>
            </w:tcBorders>
            <w:shd w:val="clear" w:color="auto" w:fill="auto"/>
            <w:vAlign w:val="center"/>
          </w:tcPr>
          <w:p w14:paraId="31EF139F"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16.38;</w:t>
            </w:r>
          </w:p>
          <w:p w14:paraId="3BD075CE" w14:textId="77777777" w:rsidR="00D45A14" w:rsidRPr="00351624" w:rsidRDefault="00D45A14" w:rsidP="00EA66F8">
            <w:pPr>
              <w:widowControl/>
              <w:bidi w:val="0"/>
              <w:spacing w:line="240" w:lineRule="auto"/>
              <w:ind w:left="57" w:right="57"/>
              <w:jc w:val="right"/>
              <w:rPr>
                <w:rFonts w:cs="Times New Roman"/>
                <w:i/>
                <w:sz w:val="13"/>
              </w:rPr>
            </w:pPr>
          </w:p>
        </w:tc>
        <w:tc>
          <w:tcPr>
            <w:tcW w:w="392" w:type="dxa"/>
            <w:tcBorders>
              <w:left w:val="single" w:sz="6" w:space="0" w:color="auto"/>
            </w:tcBorders>
            <w:shd w:val="clear" w:color="auto" w:fill="auto"/>
            <w:vAlign w:val="center"/>
          </w:tcPr>
          <w:p w14:paraId="47443EC5" w14:textId="77777777" w:rsidR="00D45A14" w:rsidRPr="00351624" w:rsidRDefault="00D45A14" w:rsidP="00EA66F8">
            <w:pPr>
              <w:tabs>
                <w:tab w:val="left" w:pos="227"/>
                <w:tab w:val="left" w:pos="397"/>
                <w:tab w:val="left" w:pos="567"/>
              </w:tabs>
              <w:bidi w:val="0"/>
              <w:spacing w:line="240" w:lineRule="exact"/>
              <w:ind w:left="284" w:hanging="227"/>
              <w:jc w:val="right"/>
              <w:rPr>
                <w:i/>
                <w:iCs/>
                <w:sz w:val="13"/>
                <w:szCs w:val="13"/>
              </w:rPr>
            </w:pPr>
          </w:p>
        </w:tc>
        <w:tc>
          <w:tcPr>
            <w:tcW w:w="7363" w:type="dxa"/>
            <w:shd w:val="clear" w:color="auto" w:fill="auto"/>
          </w:tcPr>
          <w:p w14:paraId="2028EABA" w14:textId="77777777" w:rsidR="00D45A14" w:rsidRPr="00351624" w:rsidRDefault="00D45A14" w:rsidP="00EA66F8">
            <w:pPr>
              <w:rPr>
                <w:rtl/>
              </w:rPr>
            </w:pPr>
            <w:r w:rsidRPr="00351624">
              <w:rPr>
                <w:rtl/>
              </w:rPr>
              <w:t xml:space="preserve">תשלומי חכירה משתנים </w:t>
            </w:r>
            <w:r w:rsidRPr="00351624">
              <w:rPr>
                <w:rFonts w:hint="cs"/>
                <w:rtl/>
              </w:rPr>
              <w:t>אשר</w:t>
            </w:r>
            <w:r w:rsidRPr="00351624">
              <w:rPr>
                <w:rtl/>
              </w:rPr>
              <w:t xml:space="preserve"> מבוססי</w:t>
            </w:r>
            <w:r w:rsidRPr="00351624">
              <w:rPr>
                <w:rFonts w:hint="cs"/>
                <w:rtl/>
              </w:rPr>
              <w:t>ם על</w:t>
            </w:r>
            <w:r w:rsidRPr="00351624">
              <w:rPr>
                <w:rtl/>
              </w:rPr>
              <w:t xml:space="preserve"> ביצוע או שימוש</w:t>
            </w:r>
            <w:r w:rsidRPr="00351624">
              <w:rPr>
                <w:rFonts w:hint="cs"/>
                <w:rtl/>
              </w:rPr>
              <w:t xml:space="preserve"> </w:t>
            </w:r>
            <w:r>
              <w:rPr>
                <w:rFonts w:hint="cs"/>
                <w:rtl/>
              </w:rPr>
              <w:t>ו</w:t>
            </w:r>
            <w:r>
              <w:rPr>
                <w:rtl/>
              </w:rPr>
              <w:t>אינם תלויים במדד או בריבית</w:t>
            </w:r>
            <w:r>
              <w:rPr>
                <w:rFonts w:hint="cs"/>
                <w:rtl/>
              </w:rPr>
              <w:t xml:space="preserve">, </w:t>
            </w:r>
            <w:r w:rsidRPr="00351624">
              <w:rPr>
                <w:rFonts w:hint="cs"/>
                <w:rtl/>
              </w:rPr>
              <w:t>מוכרים</w:t>
            </w:r>
            <w:r w:rsidRPr="00351624">
              <w:rPr>
                <w:rtl/>
              </w:rPr>
              <w:t xml:space="preserve"> כהוצאה </w:t>
            </w:r>
            <w:r>
              <w:rPr>
                <w:rFonts w:hint="cs"/>
                <w:rtl/>
              </w:rPr>
              <w:t>בעסקאות בהן החברה מהווה חוכר ו</w:t>
            </w:r>
            <w:r w:rsidRPr="00351624">
              <w:rPr>
                <w:rtl/>
              </w:rPr>
              <w:t xml:space="preserve">כהכנסה </w:t>
            </w:r>
            <w:r w:rsidRPr="00351624">
              <w:rPr>
                <w:rFonts w:hint="cs"/>
                <w:rtl/>
              </w:rPr>
              <w:t>בעסקאות בהן החברה מהווה מחכיר,</w:t>
            </w:r>
            <w:r w:rsidRPr="00351624">
              <w:rPr>
                <w:rtl/>
              </w:rPr>
              <w:t xml:space="preserve"> במועד היווצרותם</w:t>
            </w:r>
            <w:r w:rsidRPr="00351624">
              <w:rPr>
                <w:rFonts w:hint="cs"/>
                <w:rtl/>
              </w:rPr>
              <w:t>.</w:t>
            </w:r>
          </w:p>
        </w:tc>
      </w:tr>
    </w:tbl>
    <w:p w14:paraId="0D6DD1C5" w14:textId="77777777" w:rsidR="00D45A14" w:rsidRDefault="00D45A14" w:rsidP="00D45A14">
      <w:pPr>
        <w:ind w:left="1579"/>
        <w:contextualSpacing/>
        <w:rPr>
          <w:u w:val="single"/>
        </w:rPr>
      </w:pPr>
    </w:p>
    <w:p w14:paraId="49153507" w14:textId="77777777" w:rsidR="00D45A14" w:rsidRPr="00351624" w:rsidRDefault="00D45A14" w:rsidP="00DE6B08">
      <w:pPr>
        <w:numPr>
          <w:ilvl w:val="0"/>
          <w:numId w:val="26"/>
        </w:numPr>
        <w:tabs>
          <w:tab w:val="left" w:pos="1218"/>
          <w:tab w:val="left" w:pos="2268"/>
        </w:tabs>
        <w:ind w:left="2268" w:hanging="567"/>
        <w:rPr>
          <w:u w:val="single"/>
          <w:rtl/>
        </w:rPr>
      </w:pPr>
      <w:r w:rsidRPr="00351624">
        <w:rPr>
          <w:rFonts w:hint="cs"/>
          <w:u w:val="single"/>
          <w:rtl/>
        </w:rPr>
        <w:t>אופציות להארכה וביטול של תקופת חכירה</w:t>
      </w:r>
      <w:bookmarkStart w:id="47" w:name="_Ref5291984"/>
      <w:r w:rsidRPr="00DE6B08">
        <w:rPr>
          <w:rStyle w:val="ab"/>
          <w:bCs w:val="0"/>
          <w:u w:val="single"/>
          <w:rtl/>
        </w:rPr>
        <w:footnoteReference w:id="70"/>
      </w:r>
      <w:bookmarkEnd w:id="47"/>
      <w:r w:rsidRPr="00DE6B08">
        <w:rPr>
          <w:rStyle w:val="ab"/>
          <w:rFonts w:hint="cs"/>
          <w:rtl/>
        </w:rPr>
        <w:t xml:space="preserve"> </w:t>
      </w:r>
    </w:p>
    <w:p w14:paraId="4DA02BCD" w14:textId="77777777" w:rsidR="00D45A14" w:rsidRPr="00351624" w:rsidRDefault="00D45A14" w:rsidP="00D45A14">
      <w:pPr>
        <w:widowControl/>
        <w:tabs>
          <w:tab w:val="left" w:pos="1134"/>
          <w:tab w:val="left" w:pos="1701"/>
        </w:tabs>
        <w:ind w:left="1701" w:hanging="567"/>
        <w:rPr>
          <w:rtl/>
        </w:rPr>
      </w:pPr>
    </w:p>
    <w:tbl>
      <w:tblPr>
        <w:bidiVisual/>
        <w:tblW w:w="9001" w:type="dxa"/>
        <w:tblInd w:w="600" w:type="dxa"/>
        <w:tblLayout w:type="fixed"/>
        <w:tblCellMar>
          <w:left w:w="0" w:type="dxa"/>
          <w:right w:w="0" w:type="dxa"/>
        </w:tblCellMar>
        <w:tblLook w:val="0000" w:firstRow="0" w:lastRow="0" w:firstColumn="0" w:lastColumn="0" w:noHBand="0" w:noVBand="0"/>
      </w:tblPr>
      <w:tblGrid>
        <w:gridCol w:w="1260"/>
        <w:gridCol w:w="378"/>
        <w:gridCol w:w="7363"/>
      </w:tblGrid>
      <w:tr w:rsidR="00D45A14" w:rsidRPr="00351624" w14:paraId="53D780E8" w14:textId="77777777" w:rsidTr="00EA66F8">
        <w:tc>
          <w:tcPr>
            <w:tcW w:w="1260" w:type="dxa"/>
            <w:tcBorders>
              <w:bottom w:val="single" w:sz="6" w:space="0" w:color="auto"/>
              <w:right w:val="single" w:sz="6" w:space="0" w:color="auto"/>
            </w:tcBorders>
            <w:shd w:val="clear" w:color="auto" w:fill="auto"/>
            <w:vAlign w:val="center"/>
          </w:tcPr>
          <w:p w14:paraId="14BD44A5"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16.18;</w:t>
            </w:r>
          </w:p>
          <w:p w14:paraId="3BFF3A5E"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16.20-21,39-40;</w:t>
            </w:r>
          </w:p>
          <w:p w14:paraId="496F0C7A" w14:textId="77777777" w:rsidR="00D45A14" w:rsidRPr="00351624" w:rsidRDefault="00D45A14" w:rsidP="00EA66F8">
            <w:pPr>
              <w:widowControl/>
              <w:bidi w:val="0"/>
              <w:spacing w:line="240" w:lineRule="auto"/>
              <w:ind w:left="57" w:right="57"/>
              <w:jc w:val="right"/>
              <w:rPr>
                <w:rFonts w:cs="Times New Roman"/>
                <w:i/>
                <w:sz w:val="13"/>
              </w:rPr>
            </w:pPr>
          </w:p>
        </w:tc>
        <w:tc>
          <w:tcPr>
            <w:tcW w:w="378" w:type="dxa"/>
            <w:tcBorders>
              <w:left w:val="single" w:sz="6" w:space="0" w:color="auto"/>
            </w:tcBorders>
            <w:shd w:val="clear" w:color="auto" w:fill="auto"/>
            <w:vAlign w:val="center"/>
          </w:tcPr>
          <w:p w14:paraId="443E867A" w14:textId="77777777" w:rsidR="00D45A14" w:rsidRPr="00351624" w:rsidRDefault="00D45A14" w:rsidP="00EA66F8">
            <w:pPr>
              <w:tabs>
                <w:tab w:val="left" w:pos="227"/>
                <w:tab w:val="left" w:pos="397"/>
                <w:tab w:val="left" w:pos="567"/>
              </w:tabs>
              <w:bidi w:val="0"/>
              <w:spacing w:line="240" w:lineRule="exact"/>
              <w:ind w:left="284" w:hanging="227"/>
              <w:jc w:val="right"/>
              <w:rPr>
                <w:i/>
                <w:iCs/>
                <w:sz w:val="13"/>
                <w:szCs w:val="13"/>
              </w:rPr>
            </w:pPr>
          </w:p>
        </w:tc>
        <w:tc>
          <w:tcPr>
            <w:tcW w:w="7363" w:type="dxa"/>
            <w:shd w:val="clear" w:color="auto" w:fill="auto"/>
          </w:tcPr>
          <w:p w14:paraId="2DB9CE36" w14:textId="2F773893" w:rsidR="00D45A14" w:rsidRPr="00351624" w:rsidRDefault="00D45A14" w:rsidP="00EA66F8">
            <w:pPr>
              <w:rPr>
                <w:rtl/>
              </w:rPr>
            </w:pPr>
            <w:r w:rsidRPr="00351624">
              <w:rPr>
                <w:rFonts w:hint="cs"/>
                <w:rtl/>
              </w:rPr>
              <w:t>תקופת החכירה שאינה ניתנת לביטול כוללת גם תקופות המכוסות על ידי אופציה להאריך את החכירה כאשר ודאי באופן סביר שהאופציה להארכה תמומש וגם תקופות המכוסות על ידי אופציה לבטל את החכירה כאשר ודאי באופן</w:t>
            </w:r>
            <w:r w:rsidR="00EA1BD2">
              <w:rPr>
                <w:rFonts w:hint="cs"/>
                <w:rtl/>
              </w:rPr>
              <w:t xml:space="preserve"> סביר שהאופציה לביטול לא תמומש.</w:t>
            </w:r>
          </w:p>
          <w:p w14:paraId="4C28C9EE" w14:textId="352650AE" w:rsidR="00D45A14" w:rsidRPr="00351624" w:rsidRDefault="00D45A14" w:rsidP="00EA66F8">
            <w:pPr>
              <w:rPr>
                <w:rtl/>
              </w:rPr>
            </w:pPr>
            <w:r w:rsidRPr="00351624">
              <w:rPr>
                <w:rFonts w:hint="cs"/>
                <w:rtl/>
              </w:rPr>
              <w:t xml:space="preserve">במקרה בו חל שינוי בצפי למימוש אופציית הארכה או לאי מימוש אופציית ביטול, מודדת החברה מחדש את יתרת ההתחייבות בגין </w:t>
            </w:r>
            <w:r w:rsidR="00EA1BD2">
              <w:rPr>
                <w:rFonts w:hint="cs"/>
                <w:rtl/>
              </w:rPr>
              <w:t>ה</w:t>
            </w:r>
            <w:r w:rsidRPr="00351624">
              <w:rPr>
                <w:rFonts w:hint="cs"/>
                <w:rtl/>
              </w:rPr>
              <w:t xml:space="preserve">חכירה בהתאם לתקופת החכירה המעודכנת, לפי שיעור ההיוון המעודכן ביום השינוי בצפי, כאשר סך השינוי נזקף ליתרת נכס זכות </w:t>
            </w:r>
            <w:r w:rsidR="00EA1BD2">
              <w:rPr>
                <w:rFonts w:hint="cs"/>
                <w:rtl/>
              </w:rPr>
              <w:t>ה</w:t>
            </w:r>
            <w:r w:rsidRPr="00351624">
              <w:rPr>
                <w:rFonts w:hint="cs"/>
                <w:rtl/>
              </w:rPr>
              <w:t>שימוש עד לאיפוסו ומעבר לכך לרווח או הפסד.</w:t>
            </w:r>
          </w:p>
        </w:tc>
      </w:tr>
    </w:tbl>
    <w:p w14:paraId="0D792F22" w14:textId="77777777" w:rsidR="00D45A14" w:rsidRDefault="00D45A14" w:rsidP="00D45A14">
      <w:pPr>
        <w:widowControl/>
        <w:tabs>
          <w:tab w:val="left" w:pos="1134"/>
          <w:tab w:val="left" w:pos="1701"/>
        </w:tabs>
        <w:ind w:left="1701" w:hanging="567"/>
        <w:rPr>
          <w:rtl/>
        </w:rPr>
      </w:pPr>
    </w:p>
    <w:p w14:paraId="66E86087" w14:textId="7135450A" w:rsidR="00EA66F8" w:rsidRDefault="0025028B" w:rsidP="00EA66F8">
      <w:pPr>
        <w:numPr>
          <w:ilvl w:val="0"/>
          <w:numId w:val="26"/>
        </w:numPr>
        <w:tabs>
          <w:tab w:val="left" w:pos="1218"/>
          <w:tab w:val="left" w:pos="2268"/>
        </w:tabs>
        <w:ind w:left="2268" w:hanging="567"/>
        <w:rPr>
          <w:u w:val="single"/>
        </w:rPr>
      </w:pPr>
      <w:r>
        <w:rPr>
          <w:rFonts w:hint="cs"/>
          <w:u w:val="single"/>
          <w:rtl/>
        </w:rPr>
        <w:t>תיקוני חכירה</w:t>
      </w:r>
      <w:r w:rsidR="00EA66F8" w:rsidRPr="00EA66F8">
        <w:rPr>
          <w:rStyle w:val="ab"/>
          <w:bCs w:val="0"/>
        </w:rPr>
        <w:fldChar w:fldCharType="begin"/>
      </w:r>
      <w:r w:rsidR="00EA66F8" w:rsidRPr="00EA66F8">
        <w:rPr>
          <w:rStyle w:val="ab"/>
          <w:bCs w:val="0"/>
        </w:rPr>
        <w:instrText xml:space="preserve"> NOTEREF _Ref5291984 \h </w:instrText>
      </w:r>
      <w:r w:rsidR="00EA66F8">
        <w:rPr>
          <w:rStyle w:val="ab"/>
          <w:bCs w:val="0"/>
        </w:rPr>
        <w:instrText xml:space="preserve"> \* MERGEFORMAT </w:instrText>
      </w:r>
      <w:r w:rsidR="00EA66F8" w:rsidRPr="00EA66F8">
        <w:rPr>
          <w:rStyle w:val="ab"/>
          <w:bCs w:val="0"/>
        </w:rPr>
      </w:r>
      <w:r w:rsidR="00EA66F8" w:rsidRPr="00EA66F8">
        <w:rPr>
          <w:rStyle w:val="ab"/>
          <w:bCs w:val="0"/>
        </w:rPr>
        <w:fldChar w:fldCharType="separate"/>
      </w:r>
      <w:r w:rsidR="00EA66F8" w:rsidRPr="00EA66F8">
        <w:rPr>
          <w:rStyle w:val="ab"/>
          <w:bCs w:val="0"/>
        </w:rPr>
        <w:t>2</w:t>
      </w:r>
      <w:r w:rsidR="00EA66F8" w:rsidRPr="00EA66F8">
        <w:rPr>
          <w:rStyle w:val="ab"/>
          <w:bCs w:val="0"/>
        </w:rPr>
        <w:fldChar w:fldCharType="end"/>
      </w:r>
    </w:p>
    <w:p w14:paraId="3A565C03" w14:textId="77777777" w:rsidR="00EA66F8" w:rsidRDefault="00EA66F8" w:rsidP="00EA66F8">
      <w:pPr>
        <w:tabs>
          <w:tab w:val="left" w:pos="1218"/>
          <w:tab w:val="left" w:pos="2268"/>
        </w:tabs>
        <w:ind w:left="2268"/>
        <w:rPr>
          <w:u w:val="single"/>
          <w:rtl/>
        </w:rPr>
      </w:pPr>
    </w:p>
    <w:tbl>
      <w:tblPr>
        <w:bidiVisual/>
        <w:tblW w:w="8945" w:type="dxa"/>
        <w:tblInd w:w="624" w:type="dxa"/>
        <w:tblLayout w:type="fixed"/>
        <w:tblCellMar>
          <w:left w:w="0" w:type="dxa"/>
          <w:right w:w="0" w:type="dxa"/>
        </w:tblCellMar>
        <w:tblLook w:val="0000" w:firstRow="0" w:lastRow="0" w:firstColumn="0" w:lastColumn="0" w:noHBand="0" w:noVBand="0"/>
      </w:tblPr>
      <w:tblGrid>
        <w:gridCol w:w="1260"/>
        <w:gridCol w:w="364"/>
        <w:gridCol w:w="7321"/>
      </w:tblGrid>
      <w:tr w:rsidR="00EA66F8" w:rsidRPr="00351624" w14:paraId="008B8F67" w14:textId="77777777" w:rsidTr="00EA66F8">
        <w:tc>
          <w:tcPr>
            <w:tcW w:w="1260" w:type="dxa"/>
            <w:tcBorders>
              <w:bottom w:val="single" w:sz="6" w:space="0" w:color="auto"/>
              <w:right w:val="single" w:sz="6" w:space="0" w:color="auto"/>
            </w:tcBorders>
            <w:shd w:val="clear" w:color="auto" w:fill="auto"/>
            <w:vAlign w:val="center"/>
          </w:tcPr>
          <w:p w14:paraId="5496FAA3" w14:textId="77777777" w:rsidR="00EA66F8" w:rsidRPr="00351624" w:rsidRDefault="00EA66F8" w:rsidP="00EA66F8">
            <w:pPr>
              <w:widowControl/>
              <w:bidi w:val="0"/>
              <w:spacing w:line="240" w:lineRule="auto"/>
              <w:ind w:left="57" w:right="57"/>
              <w:jc w:val="right"/>
              <w:rPr>
                <w:rFonts w:cs="Times New Roman"/>
                <w:i/>
                <w:sz w:val="13"/>
              </w:rPr>
            </w:pPr>
            <w:r w:rsidRPr="00351624">
              <w:rPr>
                <w:rFonts w:cs="Times New Roman"/>
                <w:i/>
                <w:sz w:val="13"/>
              </w:rPr>
              <w:t>IFRS 16.b58;</w:t>
            </w:r>
          </w:p>
          <w:p w14:paraId="3F1A1648" w14:textId="77777777" w:rsidR="00EA66F8" w:rsidRPr="00351624" w:rsidRDefault="00EA66F8" w:rsidP="00EA66F8">
            <w:pPr>
              <w:widowControl/>
              <w:bidi w:val="0"/>
              <w:spacing w:line="240" w:lineRule="auto"/>
              <w:ind w:left="57" w:right="57"/>
              <w:jc w:val="right"/>
              <w:rPr>
                <w:rFonts w:cs="Times New Roman"/>
                <w:i/>
                <w:sz w:val="13"/>
              </w:rPr>
            </w:pPr>
          </w:p>
        </w:tc>
        <w:tc>
          <w:tcPr>
            <w:tcW w:w="364" w:type="dxa"/>
            <w:tcBorders>
              <w:left w:val="single" w:sz="6" w:space="0" w:color="auto"/>
            </w:tcBorders>
            <w:shd w:val="clear" w:color="auto" w:fill="auto"/>
            <w:vAlign w:val="center"/>
          </w:tcPr>
          <w:p w14:paraId="66D5A48A" w14:textId="77777777" w:rsidR="00EA66F8" w:rsidRPr="00351624" w:rsidRDefault="00EA66F8" w:rsidP="00EA66F8">
            <w:pPr>
              <w:tabs>
                <w:tab w:val="left" w:pos="227"/>
                <w:tab w:val="left" w:pos="397"/>
                <w:tab w:val="left" w:pos="567"/>
              </w:tabs>
              <w:bidi w:val="0"/>
              <w:spacing w:line="240" w:lineRule="exact"/>
              <w:ind w:left="284" w:hanging="227"/>
              <w:jc w:val="right"/>
              <w:rPr>
                <w:i/>
                <w:iCs/>
                <w:sz w:val="13"/>
                <w:szCs w:val="13"/>
              </w:rPr>
            </w:pPr>
          </w:p>
        </w:tc>
        <w:tc>
          <w:tcPr>
            <w:tcW w:w="7321" w:type="dxa"/>
            <w:shd w:val="clear" w:color="auto" w:fill="auto"/>
          </w:tcPr>
          <w:p w14:paraId="56CEFC86" w14:textId="76CB7A93" w:rsidR="00EA66F8" w:rsidRDefault="006E0880" w:rsidP="00F0737C">
            <w:pPr>
              <w:rPr>
                <w:rtl/>
              </w:rPr>
            </w:pPr>
            <w:r>
              <w:rPr>
                <w:rFonts w:hint="cs"/>
                <w:rtl/>
              </w:rPr>
              <w:t>כאשר מבוצע</w:t>
            </w:r>
            <w:r w:rsidR="00EA66F8">
              <w:rPr>
                <w:rFonts w:hint="cs"/>
                <w:rtl/>
              </w:rPr>
              <w:t xml:space="preserve"> תיקון לתנאי החכירה אשר </w:t>
            </w:r>
            <w:r w:rsidR="00F0737C">
              <w:rPr>
                <w:rFonts w:hint="cs"/>
                <w:rtl/>
              </w:rPr>
              <w:t xml:space="preserve">אינו מקטין את היקף החכירה ואינו מטופל כעסקת חכירה נפרדת, </w:t>
            </w:r>
            <w:r w:rsidR="00F0737C" w:rsidRPr="00351624">
              <w:rPr>
                <w:rFonts w:hint="cs"/>
                <w:rtl/>
              </w:rPr>
              <w:t xml:space="preserve">מודדת החברה מחדש את יתרת ההתחייבות בגין חכירה בהתאם </w:t>
            </w:r>
            <w:r w:rsidR="00F0737C">
              <w:rPr>
                <w:rFonts w:hint="cs"/>
                <w:rtl/>
              </w:rPr>
              <w:t>לתנאי החכירה המתוקנים</w:t>
            </w:r>
            <w:r w:rsidR="00F0737C" w:rsidRPr="00351624">
              <w:rPr>
                <w:rFonts w:hint="cs"/>
                <w:rtl/>
              </w:rPr>
              <w:t xml:space="preserve">, לפי שיעור ההיוון המעודכן ביום </w:t>
            </w:r>
            <w:r w:rsidR="00F0737C">
              <w:rPr>
                <w:rFonts w:hint="cs"/>
                <w:rtl/>
              </w:rPr>
              <w:t xml:space="preserve">התיקון וזוקפת את </w:t>
            </w:r>
            <w:r w:rsidR="00F0737C" w:rsidRPr="00351624">
              <w:rPr>
                <w:rFonts w:hint="cs"/>
                <w:rtl/>
              </w:rPr>
              <w:t xml:space="preserve">סך השינוי </w:t>
            </w:r>
            <w:r w:rsidR="00F0737C">
              <w:rPr>
                <w:rFonts w:hint="cs"/>
                <w:rtl/>
              </w:rPr>
              <w:t xml:space="preserve">ביתרת ההתחייבות בגין </w:t>
            </w:r>
            <w:r w:rsidR="00EA1BD2">
              <w:rPr>
                <w:rFonts w:hint="cs"/>
                <w:rtl/>
              </w:rPr>
              <w:t>ה</w:t>
            </w:r>
            <w:r w:rsidR="00F0737C">
              <w:rPr>
                <w:rFonts w:hint="cs"/>
                <w:rtl/>
              </w:rPr>
              <w:t xml:space="preserve">חכירה ליתרת נכס זכות </w:t>
            </w:r>
            <w:r w:rsidR="00EA1BD2">
              <w:rPr>
                <w:rFonts w:hint="cs"/>
                <w:rtl/>
              </w:rPr>
              <w:t>ה</w:t>
            </w:r>
            <w:r w:rsidR="00F0737C">
              <w:rPr>
                <w:rFonts w:hint="cs"/>
                <w:rtl/>
              </w:rPr>
              <w:t>שימוש.</w:t>
            </w:r>
          </w:p>
          <w:p w14:paraId="5DBA77D2" w14:textId="77777777" w:rsidR="006E0880" w:rsidRDefault="006E0880" w:rsidP="00F0737C">
            <w:pPr>
              <w:rPr>
                <w:rtl/>
              </w:rPr>
            </w:pPr>
          </w:p>
          <w:p w14:paraId="6C0114E5" w14:textId="3DADDBB0" w:rsidR="006E0880" w:rsidRPr="00351624" w:rsidRDefault="006E0880" w:rsidP="00693410">
            <w:pPr>
              <w:rPr>
                <w:rtl/>
              </w:rPr>
            </w:pPr>
            <w:r>
              <w:rPr>
                <w:rFonts w:hint="cs"/>
                <w:rtl/>
              </w:rPr>
              <w:t>כאשר מבוצע תיקון לתנאי החכירה אשר מביא לקיטון בהיקף החכירה, מכירה החברה ברווח או בהפסד הנובע מה</w:t>
            </w:r>
            <w:r w:rsidR="00693410">
              <w:rPr>
                <w:rFonts w:hint="cs"/>
                <w:rtl/>
              </w:rPr>
              <w:t>גריעה</w:t>
            </w:r>
            <w:r>
              <w:rPr>
                <w:rFonts w:hint="cs"/>
                <w:rtl/>
              </w:rPr>
              <w:t xml:space="preserve"> החלקי</w:t>
            </w:r>
            <w:r w:rsidR="00693410">
              <w:rPr>
                <w:rFonts w:hint="cs"/>
                <w:rtl/>
              </w:rPr>
              <w:t>ת</w:t>
            </w:r>
            <w:r>
              <w:rPr>
                <w:rFonts w:hint="cs"/>
                <w:rtl/>
              </w:rPr>
              <w:t xml:space="preserve"> או המלא</w:t>
            </w:r>
            <w:r w:rsidR="00693410">
              <w:rPr>
                <w:rFonts w:hint="cs"/>
                <w:rtl/>
              </w:rPr>
              <w:t>ה</w:t>
            </w:r>
            <w:r>
              <w:rPr>
                <w:rFonts w:hint="cs"/>
                <w:rtl/>
              </w:rPr>
              <w:t xml:space="preserve"> </w:t>
            </w:r>
            <w:r w:rsidR="00693410">
              <w:rPr>
                <w:rFonts w:hint="cs"/>
                <w:rtl/>
              </w:rPr>
              <w:t>של יתר</w:t>
            </w:r>
            <w:r>
              <w:rPr>
                <w:rFonts w:hint="cs"/>
                <w:rtl/>
              </w:rPr>
              <w:t xml:space="preserve">ת </w:t>
            </w:r>
            <w:r w:rsidR="00693410">
              <w:rPr>
                <w:rFonts w:hint="cs"/>
                <w:rtl/>
              </w:rPr>
              <w:t>נכס זכות השימוש וההתחייבות בגין החכירה.</w:t>
            </w:r>
            <w:r>
              <w:rPr>
                <w:rFonts w:hint="cs"/>
                <w:rtl/>
              </w:rPr>
              <w:t xml:space="preserve"> </w:t>
            </w:r>
            <w:r w:rsidR="00693410">
              <w:rPr>
                <w:rFonts w:hint="cs"/>
                <w:rtl/>
              </w:rPr>
              <w:t>לאחר מכן,</w:t>
            </w:r>
            <w:r>
              <w:rPr>
                <w:rFonts w:hint="cs"/>
                <w:rtl/>
              </w:rPr>
              <w:t xml:space="preserve"> </w:t>
            </w:r>
            <w:r w:rsidRPr="00351624">
              <w:rPr>
                <w:rFonts w:hint="cs"/>
                <w:rtl/>
              </w:rPr>
              <w:t xml:space="preserve">מודדת החברה מחדש את יתרת ההתחייבות בגין חכירה בהתאם </w:t>
            </w:r>
            <w:r>
              <w:rPr>
                <w:rFonts w:hint="cs"/>
                <w:rtl/>
              </w:rPr>
              <w:t>לתנאי החכירה המתוקנים</w:t>
            </w:r>
            <w:r w:rsidRPr="00351624">
              <w:rPr>
                <w:rFonts w:hint="cs"/>
                <w:rtl/>
              </w:rPr>
              <w:t>, לפי שיעור ההיוון המעודכן ב</w:t>
            </w:r>
            <w:r w:rsidR="00693410">
              <w:rPr>
                <w:rFonts w:hint="cs"/>
                <w:rtl/>
              </w:rPr>
              <w:t>מועד</w:t>
            </w:r>
            <w:r w:rsidRPr="00351624">
              <w:rPr>
                <w:rFonts w:hint="cs"/>
                <w:rtl/>
              </w:rPr>
              <w:t xml:space="preserve"> </w:t>
            </w:r>
            <w:r>
              <w:rPr>
                <w:rFonts w:hint="cs"/>
                <w:rtl/>
              </w:rPr>
              <w:t xml:space="preserve">התיקון וזוקפת את </w:t>
            </w:r>
            <w:r w:rsidRPr="00351624">
              <w:rPr>
                <w:rFonts w:hint="cs"/>
                <w:rtl/>
              </w:rPr>
              <w:t xml:space="preserve">סך השינוי </w:t>
            </w:r>
            <w:r>
              <w:rPr>
                <w:rFonts w:hint="cs"/>
                <w:rtl/>
              </w:rPr>
              <w:t xml:space="preserve">ביתרת ההתחייבות בגין </w:t>
            </w:r>
            <w:r w:rsidR="00EA1BD2">
              <w:rPr>
                <w:rFonts w:hint="cs"/>
                <w:rtl/>
              </w:rPr>
              <w:t>ה</w:t>
            </w:r>
            <w:r>
              <w:rPr>
                <w:rFonts w:hint="cs"/>
                <w:rtl/>
              </w:rPr>
              <w:t xml:space="preserve">חכירה ליתרת נכס זכות </w:t>
            </w:r>
            <w:r w:rsidR="00EA1BD2">
              <w:rPr>
                <w:rFonts w:hint="cs"/>
                <w:rtl/>
              </w:rPr>
              <w:t>ה</w:t>
            </w:r>
            <w:r>
              <w:rPr>
                <w:rFonts w:hint="cs"/>
                <w:rtl/>
              </w:rPr>
              <w:t>שימוש.</w:t>
            </w:r>
          </w:p>
        </w:tc>
      </w:tr>
    </w:tbl>
    <w:p w14:paraId="2A994273" w14:textId="77777777" w:rsidR="00EA66F8" w:rsidRDefault="00EA66F8" w:rsidP="00EA66F8">
      <w:pPr>
        <w:tabs>
          <w:tab w:val="left" w:pos="1218"/>
          <w:tab w:val="left" w:pos="2268"/>
        </w:tabs>
        <w:ind w:left="2268"/>
        <w:rPr>
          <w:u w:val="single"/>
          <w:rtl/>
        </w:rPr>
      </w:pPr>
    </w:p>
    <w:p w14:paraId="6B8863CB" w14:textId="77777777" w:rsidR="00196DEA" w:rsidRDefault="00196DEA" w:rsidP="00EA66F8">
      <w:pPr>
        <w:tabs>
          <w:tab w:val="left" w:pos="1218"/>
          <w:tab w:val="left" w:pos="2268"/>
        </w:tabs>
        <w:ind w:left="2268"/>
        <w:rPr>
          <w:u w:val="single"/>
          <w:rtl/>
        </w:rPr>
      </w:pPr>
    </w:p>
    <w:p w14:paraId="6A695CCD" w14:textId="77777777" w:rsidR="00196DEA" w:rsidRDefault="00196DEA" w:rsidP="00EA66F8">
      <w:pPr>
        <w:tabs>
          <w:tab w:val="left" w:pos="1218"/>
          <w:tab w:val="left" w:pos="2268"/>
        </w:tabs>
        <w:ind w:left="2268"/>
        <w:rPr>
          <w:u w:val="single"/>
          <w:rtl/>
        </w:rPr>
      </w:pPr>
    </w:p>
    <w:p w14:paraId="671A20A0" w14:textId="77777777" w:rsidR="00196DEA" w:rsidRDefault="00196DEA" w:rsidP="00EA66F8">
      <w:pPr>
        <w:tabs>
          <w:tab w:val="left" w:pos="1218"/>
          <w:tab w:val="left" w:pos="2268"/>
        </w:tabs>
        <w:ind w:left="2268"/>
        <w:rPr>
          <w:u w:val="single"/>
          <w:rtl/>
        </w:rPr>
      </w:pPr>
    </w:p>
    <w:p w14:paraId="70629980" w14:textId="77777777" w:rsidR="00196DEA" w:rsidRDefault="00196DEA" w:rsidP="00EA66F8">
      <w:pPr>
        <w:tabs>
          <w:tab w:val="left" w:pos="1218"/>
          <w:tab w:val="left" w:pos="2268"/>
        </w:tabs>
        <w:ind w:left="2268"/>
        <w:rPr>
          <w:u w:val="single"/>
          <w:rtl/>
        </w:rPr>
      </w:pPr>
    </w:p>
    <w:p w14:paraId="11A7BB9D" w14:textId="77777777" w:rsidR="00196DEA" w:rsidRDefault="00196DEA" w:rsidP="00EA66F8">
      <w:pPr>
        <w:tabs>
          <w:tab w:val="left" w:pos="1218"/>
          <w:tab w:val="left" w:pos="2268"/>
        </w:tabs>
        <w:ind w:left="2268"/>
        <w:rPr>
          <w:u w:val="single"/>
          <w:rtl/>
        </w:rPr>
      </w:pPr>
    </w:p>
    <w:p w14:paraId="6AD5301A" w14:textId="77777777" w:rsidR="00196DEA" w:rsidRDefault="00196DEA" w:rsidP="00EA66F8">
      <w:pPr>
        <w:tabs>
          <w:tab w:val="left" w:pos="1218"/>
          <w:tab w:val="left" w:pos="2268"/>
        </w:tabs>
        <w:ind w:left="2268"/>
        <w:rPr>
          <w:u w:val="single"/>
          <w:rtl/>
        </w:rPr>
      </w:pPr>
    </w:p>
    <w:p w14:paraId="71FFB4BE" w14:textId="77777777" w:rsidR="00196DEA" w:rsidRDefault="00196DEA" w:rsidP="00EA66F8">
      <w:pPr>
        <w:tabs>
          <w:tab w:val="left" w:pos="1218"/>
          <w:tab w:val="left" w:pos="2268"/>
        </w:tabs>
        <w:ind w:left="2268"/>
        <w:rPr>
          <w:u w:val="single"/>
          <w:rtl/>
        </w:rPr>
      </w:pPr>
    </w:p>
    <w:p w14:paraId="0C56A06D" w14:textId="77777777" w:rsidR="00196DEA" w:rsidRDefault="00196DEA" w:rsidP="00196DEA">
      <w:pPr>
        <w:pStyle w:val="11"/>
        <w:rPr>
          <w:sz w:val="24"/>
          <w:rtl/>
        </w:rPr>
      </w:pPr>
      <w:r w:rsidRPr="00B35A10">
        <w:rPr>
          <w:sz w:val="24"/>
          <w:rtl/>
        </w:rPr>
        <w:t>באור 2: -</w:t>
      </w:r>
      <w:r w:rsidRPr="00B35A10">
        <w:rPr>
          <w:sz w:val="24"/>
          <w:rtl/>
        </w:rPr>
        <w:tab/>
      </w:r>
      <w:r w:rsidRPr="00B35A10">
        <w:rPr>
          <w:sz w:val="24"/>
          <w:u w:val="single"/>
          <w:rtl/>
        </w:rPr>
        <w:t>עיקרי המדיניות החשבונאית</w:t>
      </w:r>
      <w:r w:rsidRPr="00B35A10">
        <w:rPr>
          <w:sz w:val="24"/>
          <w:rtl/>
        </w:rPr>
        <w:t xml:space="preserve"> (המשך)</w:t>
      </w:r>
    </w:p>
    <w:p w14:paraId="32F93788" w14:textId="77777777" w:rsidR="00196DEA" w:rsidRPr="00EA66F8" w:rsidRDefault="00196DEA" w:rsidP="00EA66F8">
      <w:pPr>
        <w:tabs>
          <w:tab w:val="left" w:pos="1218"/>
          <w:tab w:val="left" w:pos="2268"/>
        </w:tabs>
        <w:ind w:left="2268"/>
        <w:rPr>
          <w:u w:val="single"/>
          <w:rtl/>
        </w:rPr>
      </w:pPr>
    </w:p>
    <w:p w14:paraId="7D11DF93" w14:textId="77777777" w:rsidR="00D45A14" w:rsidRPr="00DE6B08" w:rsidRDefault="00D45A14" w:rsidP="00DE6B08">
      <w:pPr>
        <w:numPr>
          <w:ilvl w:val="0"/>
          <w:numId w:val="26"/>
        </w:numPr>
        <w:tabs>
          <w:tab w:val="left" w:pos="1218"/>
          <w:tab w:val="left" w:pos="2268"/>
        </w:tabs>
        <w:ind w:left="2268" w:hanging="567"/>
        <w:rPr>
          <w:u w:val="single"/>
        </w:rPr>
      </w:pPr>
      <w:r w:rsidRPr="00DE6B08">
        <w:rPr>
          <w:rFonts w:hint="cs"/>
          <w:u w:val="single"/>
          <w:rtl/>
        </w:rPr>
        <w:tab/>
      </w:r>
      <w:r w:rsidRPr="00016052">
        <w:rPr>
          <w:rFonts w:hint="cs"/>
          <w:u w:val="single"/>
          <w:rtl/>
        </w:rPr>
        <w:t>חכירות משנה</w:t>
      </w:r>
    </w:p>
    <w:p w14:paraId="31BAFB65" w14:textId="77777777" w:rsidR="00D45A14" w:rsidRPr="00351624" w:rsidRDefault="00D45A14" w:rsidP="00D45A14">
      <w:pPr>
        <w:pStyle w:val="afffff"/>
        <w:tabs>
          <w:tab w:val="left" w:pos="1701"/>
          <w:tab w:val="left" w:pos="2268"/>
        </w:tabs>
        <w:ind w:left="1579"/>
        <w:rPr>
          <w:rtl/>
        </w:rPr>
      </w:pPr>
    </w:p>
    <w:tbl>
      <w:tblPr>
        <w:bidiVisual/>
        <w:tblW w:w="8945" w:type="dxa"/>
        <w:tblInd w:w="624" w:type="dxa"/>
        <w:tblLayout w:type="fixed"/>
        <w:tblCellMar>
          <w:left w:w="0" w:type="dxa"/>
          <w:right w:w="0" w:type="dxa"/>
        </w:tblCellMar>
        <w:tblLook w:val="0000" w:firstRow="0" w:lastRow="0" w:firstColumn="0" w:lastColumn="0" w:noHBand="0" w:noVBand="0"/>
      </w:tblPr>
      <w:tblGrid>
        <w:gridCol w:w="1260"/>
        <w:gridCol w:w="364"/>
        <w:gridCol w:w="7321"/>
      </w:tblGrid>
      <w:tr w:rsidR="00D45A14" w:rsidRPr="00351624" w14:paraId="3FEC2911" w14:textId="77777777" w:rsidTr="00EA66F8">
        <w:tc>
          <w:tcPr>
            <w:tcW w:w="1260" w:type="dxa"/>
            <w:tcBorders>
              <w:bottom w:val="single" w:sz="6" w:space="0" w:color="auto"/>
              <w:right w:val="single" w:sz="6" w:space="0" w:color="auto"/>
            </w:tcBorders>
            <w:shd w:val="clear" w:color="auto" w:fill="auto"/>
            <w:vAlign w:val="center"/>
          </w:tcPr>
          <w:p w14:paraId="6D4B283B" w14:textId="77777777" w:rsidR="00D45A14" w:rsidRPr="00351624" w:rsidRDefault="00D45A14" w:rsidP="00EA66F8">
            <w:pPr>
              <w:widowControl/>
              <w:bidi w:val="0"/>
              <w:spacing w:line="240" w:lineRule="auto"/>
              <w:ind w:left="57" w:right="57"/>
              <w:jc w:val="right"/>
              <w:rPr>
                <w:rFonts w:cs="Times New Roman"/>
                <w:i/>
                <w:sz w:val="13"/>
              </w:rPr>
            </w:pPr>
            <w:r w:rsidRPr="00351624">
              <w:rPr>
                <w:rFonts w:cs="Times New Roman"/>
                <w:i/>
                <w:sz w:val="13"/>
              </w:rPr>
              <w:t>IFRS 16.b58;</w:t>
            </w:r>
          </w:p>
          <w:p w14:paraId="775357C4" w14:textId="77777777" w:rsidR="00D45A14" w:rsidRPr="00351624" w:rsidRDefault="00D45A14" w:rsidP="00EA66F8">
            <w:pPr>
              <w:widowControl/>
              <w:bidi w:val="0"/>
              <w:spacing w:line="240" w:lineRule="auto"/>
              <w:ind w:left="57" w:right="57"/>
              <w:jc w:val="right"/>
              <w:rPr>
                <w:rFonts w:cs="Times New Roman"/>
                <w:i/>
                <w:sz w:val="13"/>
              </w:rPr>
            </w:pPr>
          </w:p>
        </w:tc>
        <w:tc>
          <w:tcPr>
            <w:tcW w:w="364" w:type="dxa"/>
            <w:tcBorders>
              <w:left w:val="single" w:sz="6" w:space="0" w:color="auto"/>
            </w:tcBorders>
            <w:shd w:val="clear" w:color="auto" w:fill="auto"/>
            <w:vAlign w:val="center"/>
          </w:tcPr>
          <w:p w14:paraId="535AEF9D" w14:textId="77777777" w:rsidR="00D45A14" w:rsidRPr="00351624" w:rsidRDefault="00D45A14" w:rsidP="00EA66F8">
            <w:pPr>
              <w:tabs>
                <w:tab w:val="left" w:pos="227"/>
                <w:tab w:val="left" w:pos="397"/>
                <w:tab w:val="left" w:pos="567"/>
              </w:tabs>
              <w:bidi w:val="0"/>
              <w:spacing w:line="240" w:lineRule="exact"/>
              <w:ind w:left="284" w:hanging="227"/>
              <w:jc w:val="right"/>
              <w:rPr>
                <w:i/>
                <w:iCs/>
                <w:sz w:val="13"/>
                <w:szCs w:val="13"/>
              </w:rPr>
            </w:pPr>
          </w:p>
        </w:tc>
        <w:tc>
          <w:tcPr>
            <w:tcW w:w="7321" w:type="dxa"/>
            <w:shd w:val="clear" w:color="auto" w:fill="auto"/>
          </w:tcPr>
          <w:p w14:paraId="62A74C26" w14:textId="77777777" w:rsidR="00D45A14" w:rsidRPr="00351624" w:rsidRDefault="00D45A14" w:rsidP="00EA66F8">
            <w:pPr>
              <w:rPr>
                <w:rtl/>
              </w:rPr>
            </w:pPr>
            <w:r w:rsidRPr="00351624">
              <w:rPr>
                <w:rFonts w:hint="cs"/>
                <w:rtl/>
              </w:rPr>
              <w:t xml:space="preserve">בעסקאות בהן החברה חוכרת נכס בסיס (חכירה ראשית) ומנגד מחכירה את אותו נכס בסיס לצד שלישי (חכירת משנה), בוחנת החברה האם עברו הסיכונים וההטבות הנלווים לבעלות על נכס זכות השימוש בין היתר על ידי בדיקה של תקופת החכירה המשנית ביחס לאורך החיים </w:t>
            </w:r>
            <w:r>
              <w:rPr>
                <w:rFonts w:hint="cs"/>
                <w:rtl/>
              </w:rPr>
              <w:t xml:space="preserve">השימושיים </w:t>
            </w:r>
            <w:r w:rsidRPr="00351624">
              <w:rPr>
                <w:rFonts w:hint="cs"/>
                <w:rtl/>
              </w:rPr>
              <w:t>של נכס זכות השימוש הנוצר מהחכירה הראשית.</w:t>
            </w:r>
          </w:p>
          <w:p w14:paraId="47214025" w14:textId="77777777" w:rsidR="00D45A14" w:rsidRPr="00351624" w:rsidRDefault="00D45A14" w:rsidP="00EA66F8">
            <w:pPr>
              <w:rPr>
                <w:rtl/>
              </w:rPr>
            </w:pPr>
          </w:p>
          <w:p w14:paraId="61A6AC52" w14:textId="77777777" w:rsidR="00D45A14" w:rsidRDefault="00D45A14" w:rsidP="00EA66F8">
            <w:pPr>
              <w:ind w:left="10"/>
              <w:rPr>
                <w:rtl/>
              </w:rPr>
            </w:pPr>
            <w:r>
              <w:rPr>
                <w:rFonts w:hint="cs"/>
                <w:rtl/>
              </w:rPr>
              <w:t>כאשר</w:t>
            </w:r>
            <w:r w:rsidRPr="00351624">
              <w:rPr>
                <w:rFonts w:hint="cs"/>
                <w:rtl/>
              </w:rPr>
              <w:t xml:space="preserve"> עברו</w:t>
            </w:r>
            <w:r>
              <w:rPr>
                <w:rFonts w:hint="cs"/>
                <w:rtl/>
              </w:rPr>
              <w:t xml:space="preserve"> באופן ממשי כל</w:t>
            </w:r>
            <w:r w:rsidRPr="00351624">
              <w:rPr>
                <w:rFonts w:hint="cs"/>
                <w:rtl/>
              </w:rPr>
              <w:t xml:space="preserve"> הסיכונים וההטבות הנלווים לבעלות על נכס זכות השימוש מטפלת החברה בחכירת המשנה כחכירה מימונית</w:t>
            </w:r>
            <w:r>
              <w:rPr>
                <w:rFonts w:hint="cs"/>
                <w:rtl/>
              </w:rPr>
              <w:t xml:space="preserve">, אחרת חכירת המשנה מטופלת כחכירה </w:t>
            </w:r>
            <w:r w:rsidRPr="00351624">
              <w:rPr>
                <w:rFonts w:hint="cs"/>
                <w:rtl/>
              </w:rPr>
              <w:t>תפעולית.</w:t>
            </w:r>
          </w:p>
          <w:p w14:paraId="522DC0AC" w14:textId="77777777" w:rsidR="00D45A14" w:rsidRDefault="00D45A14" w:rsidP="00EA66F8">
            <w:pPr>
              <w:ind w:left="10"/>
              <w:rPr>
                <w:rtl/>
              </w:rPr>
            </w:pPr>
          </w:p>
          <w:p w14:paraId="40455C21" w14:textId="2288B316" w:rsidR="00D45A14" w:rsidRPr="00351624" w:rsidRDefault="00D45A14" w:rsidP="00EA66F8">
            <w:pPr>
              <w:rPr>
                <w:rtl/>
              </w:rPr>
            </w:pPr>
            <w:r>
              <w:rPr>
                <w:rFonts w:hint="cs"/>
                <w:rtl/>
              </w:rPr>
              <w:t xml:space="preserve">כאשר חכירת המשנה מסווגת כחכירה מימונית, </w:t>
            </w:r>
            <w:r w:rsidRPr="00351624">
              <w:rPr>
                <w:rFonts w:hint="cs"/>
                <w:rtl/>
              </w:rPr>
              <w:t>במ</w:t>
            </w:r>
            <w:r>
              <w:rPr>
                <w:rFonts w:hint="cs"/>
                <w:rtl/>
              </w:rPr>
              <w:t>ועד התחילה הנכס החכור נגרע ו</w:t>
            </w:r>
            <w:r w:rsidRPr="00351624">
              <w:rPr>
                <w:rFonts w:hint="cs"/>
                <w:rtl/>
              </w:rPr>
              <w:t>כנגד מוכר נכס "</w:t>
            </w:r>
            <w:r>
              <w:rPr>
                <w:rFonts w:hint="cs"/>
                <w:rtl/>
              </w:rPr>
              <w:t>חייבים בגין חכירה מימונית</w:t>
            </w:r>
            <w:r w:rsidRPr="00351624">
              <w:rPr>
                <w:rFonts w:hint="cs"/>
                <w:rtl/>
              </w:rPr>
              <w:t xml:space="preserve">" השווה לערך הנוכחי של תקבולי החכירה מהוונים בריבית הגלומה בחכירה. הפרש כלשהו בין יתרת </w:t>
            </w:r>
            <w:r>
              <w:rPr>
                <w:rFonts w:hint="cs"/>
                <w:rtl/>
              </w:rPr>
              <w:t>ה</w:t>
            </w:r>
            <w:r w:rsidRPr="00351624">
              <w:rPr>
                <w:rFonts w:hint="cs"/>
                <w:rtl/>
              </w:rPr>
              <w:t xml:space="preserve">נכס החכור לפני הגריעה לבין יתרת </w:t>
            </w:r>
            <w:r>
              <w:rPr>
                <w:rFonts w:hint="cs"/>
                <w:rtl/>
              </w:rPr>
              <w:t>החייבים בגין חכירה מימונית</w:t>
            </w:r>
            <w:r w:rsidR="00C84ECC">
              <w:rPr>
                <w:rFonts w:hint="cs"/>
                <w:rtl/>
              </w:rPr>
              <w:t xml:space="preserve"> מוכר ברווח או הפסד.</w:t>
            </w:r>
          </w:p>
        </w:tc>
      </w:tr>
    </w:tbl>
    <w:p w14:paraId="61F04B2A" w14:textId="77777777" w:rsidR="00D45A14" w:rsidRPr="00B71596" w:rsidRDefault="00D45A14" w:rsidP="00D45A14">
      <w:pPr>
        <w:tabs>
          <w:tab w:val="left" w:pos="1134"/>
        </w:tabs>
        <w:ind w:left="1134" w:hanging="1134"/>
        <w:rPr>
          <w:rtl/>
        </w:rPr>
      </w:pPr>
    </w:p>
    <w:p w14:paraId="259153F3" w14:textId="77777777" w:rsidR="007202CB" w:rsidRDefault="007202CB" w:rsidP="007B06AA">
      <w:pPr>
        <w:pStyle w:val="41"/>
        <w:ind w:left="2268" w:firstLine="0"/>
        <w:rPr>
          <w:u w:val="single"/>
          <w:rtl/>
        </w:rPr>
      </w:pPr>
    </w:p>
    <w:p w14:paraId="011CFED6" w14:textId="539AB471" w:rsidR="007202CB" w:rsidRPr="00ED7BA1" w:rsidRDefault="006448AF" w:rsidP="00B8374B">
      <w:pPr>
        <w:pStyle w:val="21"/>
      </w:pPr>
      <w:r>
        <w:rPr>
          <w:rFonts w:hint="cs"/>
          <w:rtl/>
        </w:rPr>
        <w:t>ג</w:t>
      </w:r>
      <w:r w:rsidR="007202CB">
        <w:rPr>
          <w:rFonts w:hint="cs"/>
          <w:rtl/>
        </w:rPr>
        <w:t xml:space="preserve">. </w:t>
      </w:r>
      <w:r w:rsidR="00B8374B">
        <w:rPr>
          <w:rtl/>
        </w:rPr>
        <w:tab/>
      </w:r>
      <w:r w:rsidR="007202CB" w:rsidRPr="00B8374B">
        <w:rPr>
          <w:rFonts w:hint="cs"/>
          <w:u w:val="single"/>
          <w:rtl/>
        </w:rPr>
        <w:t>יישום לראשונה של תקני דיווח כספי חדשים ותיקונים לתקני חשבונאות קיימים</w:t>
      </w:r>
    </w:p>
    <w:p w14:paraId="04B93061" w14:textId="77777777" w:rsidR="007202CB" w:rsidRPr="00D254EB" w:rsidRDefault="007202CB" w:rsidP="000F41D9">
      <w:pPr>
        <w:pStyle w:val="21"/>
        <w:ind w:left="567"/>
        <w:rPr>
          <w:rtl/>
        </w:rPr>
      </w:pPr>
    </w:p>
    <w:p w14:paraId="7BBCC551" w14:textId="688C8CE3" w:rsidR="00D875C7" w:rsidRPr="00B8374B" w:rsidRDefault="00D875C7" w:rsidP="009676FA">
      <w:pPr>
        <w:pStyle w:val="30"/>
        <w:tabs>
          <w:tab w:val="clear" w:pos="2268"/>
          <w:tab w:val="left" w:pos="2126"/>
        </w:tabs>
        <w:rPr>
          <w:u w:val="single"/>
        </w:rPr>
      </w:pPr>
      <w:r>
        <w:rPr>
          <w:rFonts w:hint="cs"/>
          <w:rtl/>
        </w:rPr>
        <w:t>1</w:t>
      </w:r>
      <w:r w:rsidRPr="00AC6EE8">
        <w:rPr>
          <w:rtl/>
        </w:rPr>
        <w:t xml:space="preserve">.   </w:t>
      </w:r>
      <w:r>
        <w:rPr>
          <w:rtl/>
        </w:rPr>
        <w:tab/>
      </w:r>
      <w:r w:rsidRPr="00B8374B">
        <w:rPr>
          <w:rFonts w:hint="eastAsia"/>
          <w:u w:val="single"/>
          <w:rtl/>
        </w:rPr>
        <w:t>יישום</w:t>
      </w:r>
      <w:r w:rsidRPr="00B8374B">
        <w:rPr>
          <w:u w:val="single"/>
          <w:rtl/>
        </w:rPr>
        <w:t xml:space="preserve"> לראשונה של </w:t>
      </w:r>
      <w:r w:rsidRPr="00B8374B">
        <w:rPr>
          <w:u w:val="single"/>
        </w:rPr>
        <w:t xml:space="preserve">IFRS </w:t>
      </w:r>
      <w:r w:rsidR="00AC60B5">
        <w:rPr>
          <w:u w:val="single"/>
        </w:rPr>
        <w:t>16</w:t>
      </w:r>
      <w:r w:rsidRPr="00B8374B">
        <w:rPr>
          <w:u w:val="single"/>
          <w:rtl/>
        </w:rPr>
        <w:t xml:space="preserve"> </w:t>
      </w:r>
      <w:r>
        <w:rPr>
          <w:rFonts w:hint="cs"/>
          <w:u w:val="single"/>
          <w:rtl/>
        </w:rPr>
        <w:t>-</w:t>
      </w:r>
      <w:r w:rsidRPr="00B8374B">
        <w:rPr>
          <w:u w:val="single"/>
          <w:rtl/>
        </w:rPr>
        <w:t xml:space="preserve"> </w:t>
      </w:r>
      <w:r w:rsidR="00AC60B5">
        <w:rPr>
          <w:rFonts w:hint="cs"/>
          <w:i/>
          <w:iCs/>
          <w:u w:val="single"/>
          <w:rtl/>
        </w:rPr>
        <w:t>חכירות</w:t>
      </w:r>
      <w:r w:rsidRPr="00B8374B">
        <w:rPr>
          <w:i/>
          <w:iCs/>
          <w:u w:val="single"/>
          <w:rtl/>
        </w:rPr>
        <w:t xml:space="preserve"> </w:t>
      </w:r>
    </w:p>
    <w:p w14:paraId="4CEDB74C" w14:textId="77777777" w:rsidR="00D875C7" w:rsidRPr="00D875C7" w:rsidRDefault="00D875C7" w:rsidP="009676FA">
      <w:pPr>
        <w:pStyle w:val="21"/>
        <w:tabs>
          <w:tab w:val="left" w:pos="2126"/>
        </w:tabs>
        <w:ind w:left="567"/>
        <w:rPr>
          <w:rtl/>
        </w:rPr>
      </w:pPr>
    </w:p>
    <w:p w14:paraId="24A4A9CF" w14:textId="739774DA" w:rsidR="00AC60B5" w:rsidRPr="00351624" w:rsidRDefault="00AC60B5" w:rsidP="009676FA">
      <w:pPr>
        <w:pStyle w:val="41"/>
        <w:tabs>
          <w:tab w:val="clear" w:pos="2268"/>
          <w:tab w:val="left" w:pos="2126"/>
        </w:tabs>
        <w:ind w:left="2268" w:firstLine="0"/>
        <w:rPr>
          <w:rtl/>
        </w:rPr>
      </w:pPr>
      <w:r w:rsidRPr="00351624">
        <w:rPr>
          <w:rtl/>
        </w:rPr>
        <w:t xml:space="preserve">בחודש </w:t>
      </w:r>
      <w:r w:rsidRPr="00351624">
        <w:rPr>
          <w:rFonts w:hint="cs"/>
          <w:rtl/>
        </w:rPr>
        <w:t>ינואר</w:t>
      </w:r>
      <w:r w:rsidRPr="00351624">
        <w:rPr>
          <w:rtl/>
        </w:rPr>
        <w:t xml:space="preserve"> </w:t>
      </w:r>
      <w:r w:rsidRPr="00351624">
        <w:rPr>
          <w:rFonts w:hint="cs"/>
          <w:rtl/>
        </w:rPr>
        <w:t>2016</w:t>
      </w:r>
      <w:r>
        <w:rPr>
          <w:rFonts w:hint="cs"/>
          <w:rtl/>
        </w:rPr>
        <w:t xml:space="preserve"> </w:t>
      </w:r>
      <w:r w:rsidRPr="00351624">
        <w:rPr>
          <w:rtl/>
        </w:rPr>
        <w:t>פורסם על ידי ה-</w:t>
      </w:r>
      <w:r w:rsidRPr="00351624">
        <w:t xml:space="preserve">IASB </w:t>
      </w:r>
      <w:r w:rsidRPr="00351624">
        <w:rPr>
          <w:rtl/>
        </w:rPr>
        <w:t xml:space="preserve"> </w:t>
      </w:r>
      <w:r>
        <w:rPr>
          <w:rFonts w:hint="cs"/>
          <w:rtl/>
        </w:rPr>
        <w:t xml:space="preserve">תקן דיווח כספי בינלאומי 16 </w:t>
      </w:r>
      <w:r>
        <w:rPr>
          <w:rtl/>
        </w:rPr>
        <w:t>–</w:t>
      </w:r>
      <w:r>
        <w:rPr>
          <w:rFonts w:hint="cs"/>
          <w:rtl/>
        </w:rPr>
        <w:t xml:space="preserve"> </w:t>
      </w:r>
      <w:r>
        <w:rPr>
          <w:rFonts w:hint="cs"/>
          <w:i/>
          <w:iCs/>
          <w:rtl/>
        </w:rPr>
        <w:t>חכירות</w:t>
      </w:r>
      <w:r>
        <w:rPr>
          <w:rFonts w:hint="cs"/>
          <w:rtl/>
        </w:rPr>
        <w:t xml:space="preserve"> (להלן </w:t>
      </w:r>
      <w:r>
        <w:rPr>
          <w:rtl/>
        </w:rPr>
        <w:t>–</w:t>
      </w:r>
      <w:r>
        <w:rPr>
          <w:rFonts w:hint="cs"/>
          <w:rtl/>
        </w:rPr>
        <w:t xml:space="preserve"> "התקן")</w:t>
      </w:r>
      <w:r w:rsidRPr="00351624">
        <w:rPr>
          <w:rFonts w:hint="cs"/>
          <w:rtl/>
        </w:rPr>
        <w:t xml:space="preserve">. </w:t>
      </w:r>
      <w:r>
        <w:rPr>
          <w:rFonts w:hint="cs"/>
          <w:rtl/>
        </w:rPr>
        <w:t xml:space="preserve">התקן מחליף את תקן חשבונאות בינלאומי 17 (להלן </w:t>
      </w:r>
      <w:r>
        <w:rPr>
          <w:rtl/>
        </w:rPr>
        <w:t>–</w:t>
      </w:r>
      <w:r>
        <w:rPr>
          <w:rFonts w:hint="cs"/>
          <w:rtl/>
        </w:rPr>
        <w:t xml:space="preserve"> "</w:t>
      </w:r>
      <w:r w:rsidR="00C914E9">
        <w:rPr>
          <w:rFonts w:hint="cs"/>
          <w:rtl/>
        </w:rPr>
        <w:t>התקן הישן</w:t>
      </w:r>
      <w:r>
        <w:rPr>
          <w:rFonts w:hint="cs"/>
          <w:rtl/>
        </w:rPr>
        <w:t xml:space="preserve">"), את פרשנות מספר 4 של הוועדה לפרשנויות ואת פרשנות מספר 15 של הוועדה המתמדת לפרשנויות. </w:t>
      </w:r>
      <w:r w:rsidRPr="00351624">
        <w:rPr>
          <w:rFonts w:hint="cs"/>
          <w:rtl/>
        </w:rPr>
        <w:t>בהתאם לתקן, חכירה מוגדרת כחוזה, או חלק מחוזה, אשר מעביר בתמורה לתשלום את זכות השימוש בנכס לתקופת זמן.</w:t>
      </w:r>
    </w:p>
    <w:p w14:paraId="5C1333C7" w14:textId="77777777" w:rsidR="00AC60B5" w:rsidRPr="00351624" w:rsidRDefault="00AC60B5" w:rsidP="009676FA">
      <w:pPr>
        <w:pStyle w:val="41"/>
        <w:tabs>
          <w:tab w:val="clear" w:pos="2268"/>
          <w:tab w:val="left" w:pos="2126"/>
        </w:tabs>
        <w:ind w:left="2268" w:firstLine="0"/>
        <w:rPr>
          <w:rtl/>
        </w:rPr>
      </w:pPr>
    </w:p>
    <w:p w14:paraId="67B6415E" w14:textId="77777777" w:rsidR="00AC60B5" w:rsidRPr="00351624" w:rsidRDefault="00AC60B5" w:rsidP="009676FA">
      <w:pPr>
        <w:pStyle w:val="41"/>
        <w:tabs>
          <w:tab w:val="clear" w:pos="2268"/>
          <w:tab w:val="left" w:pos="2126"/>
        </w:tabs>
        <w:ind w:left="2268" w:firstLine="0"/>
        <w:rPr>
          <w:rtl/>
        </w:rPr>
      </w:pPr>
      <w:r>
        <w:rPr>
          <w:rFonts w:hint="cs"/>
          <w:rtl/>
        </w:rPr>
        <w:t>להלן עיקר השפעות התקן</w:t>
      </w:r>
      <w:r w:rsidRPr="00351624">
        <w:rPr>
          <w:rFonts w:hint="cs"/>
          <w:rtl/>
        </w:rPr>
        <w:t>:</w:t>
      </w:r>
    </w:p>
    <w:p w14:paraId="55F69873" w14:textId="77777777" w:rsidR="00AC60B5" w:rsidRPr="00351624" w:rsidRDefault="00AC60B5" w:rsidP="009676FA">
      <w:pPr>
        <w:tabs>
          <w:tab w:val="left" w:pos="1701"/>
          <w:tab w:val="left" w:pos="2126"/>
        </w:tabs>
        <w:ind w:left="1440"/>
        <w:rPr>
          <w:rtl/>
        </w:rPr>
      </w:pPr>
    </w:p>
    <w:p w14:paraId="704363CB" w14:textId="76A2F510" w:rsidR="00AC60B5" w:rsidRPr="00351624" w:rsidRDefault="00AC60B5" w:rsidP="009676FA">
      <w:pPr>
        <w:tabs>
          <w:tab w:val="left" w:pos="2069"/>
          <w:tab w:val="left" w:pos="2126"/>
        </w:tabs>
        <w:ind w:left="2835" w:hanging="567"/>
      </w:pPr>
      <w:r>
        <w:rPr>
          <w:rFonts w:hint="cs"/>
          <w:rtl/>
        </w:rPr>
        <w:t>-</w:t>
      </w:r>
      <w:r>
        <w:rPr>
          <w:rFonts w:hint="cs"/>
          <w:rtl/>
        </w:rPr>
        <w:tab/>
        <w:t>התקן</w:t>
      </w:r>
      <w:r w:rsidRPr="00351624">
        <w:rPr>
          <w:rFonts w:hint="cs"/>
          <w:rtl/>
        </w:rPr>
        <w:t xml:space="preserve"> דורש מחוכרים להכיר בכל החכירות בדוח על המצב הכספי (פרט לחריגים מסוימים, ראה להלן). חוכרים יכירו בהתחייבות בגין תשלומי החכי</w:t>
      </w:r>
      <w:r>
        <w:rPr>
          <w:rFonts w:hint="cs"/>
          <w:rtl/>
        </w:rPr>
        <w:t>רה ומנגד יכירו בנכס זכות שימוש,</w:t>
      </w:r>
      <w:r w:rsidRPr="00351624">
        <w:rPr>
          <w:rFonts w:hint="cs"/>
          <w:rtl/>
        </w:rPr>
        <w:t xml:space="preserve"> באופן דומה לטיפול החשבונאי בחכירה מימונית בהתאם לתקן </w:t>
      </w:r>
      <w:r>
        <w:rPr>
          <w:rFonts w:hint="cs"/>
          <w:rtl/>
        </w:rPr>
        <w:t>שבוטל</w:t>
      </w:r>
      <w:r w:rsidRPr="00351624">
        <w:rPr>
          <w:rFonts w:hint="cs"/>
          <w:rtl/>
        </w:rPr>
        <w:t>-</w:t>
      </w:r>
      <w:r w:rsidRPr="00351624">
        <w:t xml:space="preserve">IAS 17 </w:t>
      </w:r>
      <w:r w:rsidRPr="00351624">
        <w:rPr>
          <w:rFonts w:hint="cs"/>
          <w:rtl/>
        </w:rPr>
        <w:t xml:space="preserve"> חכירות. כמו כן, החוכרים יכירו בהוצאות ריבית ובהוצאות פחת בנפרד.</w:t>
      </w:r>
    </w:p>
    <w:p w14:paraId="645851CA" w14:textId="77777777" w:rsidR="00AC60B5" w:rsidRPr="00351624" w:rsidRDefault="00AC60B5" w:rsidP="009676FA">
      <w:pPr>
        <w:tabs>
          <w:tab w:val="left" w:pos="2069"/>
          <w:tab w:val="left" w:pos="2126"/>
        </w:tabs>
        <w:ind w:left="2835" w:hanging="567"/>
      </w:pPr>
      <w:r w:rsidRPr="00351624">
        <w:rPr>
          <w:rFonts w:hint="cs"/>
          <w:rtl/>
        </w:rPr>
        <w:t>-</w:t>
      </w:r>
      <w:r w:rsidRPr="00351624">
        <w:rPr>
          <w:rFonts w:hint="cs"/>
          <w:rtl/>
        </w:rPr>
        <w:tab/>
      </w:r>
      <w:r w:rsidRPr="00351624">
        <w:rPr>
          <w:rtl/>
        </w:rPr>
        <w:t xml:space="preserve">תשלומי חכירה משתנים שאינם תלויים במדד או בריבית </w:t>
      </w:r>
      <w:r w:rsidRPr="00351624">
        <w:rPr>
          <w:rFonts w:hint="cs"/>
          <w:rtl/>
        </w:rPr>
        <w:t>אשר</w:t>
      </w:r>
      <w:r w:rsidRPr="00351624">
        <w:rPr>
          <w:rtl/>
        </w:rPr>
        <w:t xml:space="preserve"> מבוססי</w:t>
      </w:r>
      <w:r w:rsidRPr="00351624">
        <w:rPr>
          <w:rFonts w:hint="cs"/>
          <w:rtl/>
        </w:rPr>
        <w:t>ם על</w:t>
      </w:r>
      <w:r w:rsidRPr="00351624">
        <w:rPr>
          <w:rtl/>
        </w:rPr>
        <w:t xml:space="preserve"> ביצוע או שימוש</w:t>
      </w:r>
      <w:r w:rsidRPr="00351624">
        <w:rPr>
          <w:rFonts w:hint="cs"/>
          <w:rtl/>
        </w:rPr>
        <w:t xml:space="preserve"> </w:t>
      </w:r>
      <w:r w:rsidRPr="00351624">
        <w:rPr>
          <w:rtl/>
        </w:rPr>
        <w:t xml:space="preserve">יוכרו כהוצאה </w:t>
      </w:r>
      <w:r w:rsidRPr="00351624">
        <w:rPr>
          <w:rFonts w:hint="cs"/>
          <w:rtl/>
        </w:rPr>
        <w:t xml:space="preserve">מצד החוכרים </w:t>
      </w:r>
      <w:r w:rsidRPr="00351624">
        <w:rPr>
          <w:rtl/>
        </w:rPr>
        <w:t xml:space="preserve">או כהכנסה </w:t>
      </w:r>
      <w:r w:rsidRPr="00351624">
        <w:rPr>
          <w:rFonts w:hint="cs"/>
          <w:rtl/>
        </w:rPr>
        <w:t>מצד ה</w:t>
      </w:r>
      <w:r w:rsidRPr="00351624">
        <w:rPr>
          <w:rtl/>
        </w:rPr>
        <w:t>מחכירים במועד היווצרותם</w:t>
      </w:r>
      <w:r w:rsidRPr="00351624">
        <w:rPr>
          <w:rFonts w:hint="cs"/>
          <w:rtl/>
        </w:rPr>
        <w:t>.</w:t>
      </w:r>
    </w:p>
    <w:p w14:paraId="2B4693B7" w14:textId="77777777" w:rsidR="00AC60B5" w:rsidRPr="00351624" w:rsidRDefault="00AC60B5" w:rsidP="009676FA">
      <w:pPr>
        <w:tabs>
          <w:tab w:val="left" w:pos="2069"/>
          <w:tab w:val="left" w:pos="2126"/>
        </w:tabs>
        <w:ind w:left="2835" w:hanging="567"/>
        <w:rPr>
          <w:rtl/>
        </w:rPr>
      </w:pPr>
      <w:r w:rsidRPr="00351624">
        <w:rPr>
          <w:rFonts w:hint="cs"/>
          <w:rtl/>
        </w:rPr>
        <w:t>-</w:t>
      </w:r>
      <w:r w:rsidRPr="00351624">
        <w:rPr>
          <w:rFonts w:hint="cs"/>
          <w:rtl/>
        </w:rPr>
        <w:tab/>
        <w:t>במקרה של שינוי בתשלומי חכירה משתנים הצמודים למדד, על החוכר להעריך מחדש את ההתחייבות בגין החכירה כאשר השפעת השינוי תיזקף לנכס זכות-השימוש.</w:t>
      </w:r>
    </w:p>
    <w:p w14:paraId="4D9DAB72" w14:textId="77777777" w:rsidR="00AC60B5" w:rsidRDefault="00AC60B5" w:rsidP="009676FA">
      <w:pPr>
        <w:tabs>
          <w:tab w:val="left" w:pos="2069"/>
          <w:tab w:val="left" w:pos="2126"/>
          <w:tab w:val="left" w:pos="2210"/>
        </w:tabs>
        <w:ind w:left="2835" w:hanging="567"/>
        <w:rPr>
          <w:rtl/>
        </w:rPr>
      </w:pPr>
      <w:r>
        <w:rPr>
          <w:rFonts w:hint="cs"/>
          <w:rtl/>
        </w:rPr>
        <w:t>-</w:t>
      </w:r>
      <w:r>
        <w:rPr>
          <w:rFonts w:hint="cs"/>
          <w:rtl/>
        </w:rPr>
        <w:tab/>
        <w:t xml:space="preserve">התקן </w:t>
      </w:r>
      <w:r w:rsidRPr="00351624">
        <w:rPr>
          <w:rFonts w:hint="cs"/>
          <w:rtl/>
        </w:rPr>
        <w:t>כולל שני חריגים שבהם החוכרים רשאים לטפל בחכירות בהתאם לטיפול החשבונאי הקיים בהתייחס לחכירות תפעוליות, וזאת במקרה של חכירות נכסים בעלי ערך כספי נמוך או במקרה של חכירות לתקופה של עד שנה.</w:t>
      </w:r>
    </w:p>
    <w:p w14:paraId="34C717B2" w14:textId="4142451A" w:rsidR="00AC60B5" w:rsidRPr="00351624" w:rsidRDefault="00AC60B5" w:rsidP="009676FA">
      <w:pPr>
        <w:tabs>
          <w:tab w:val="left" w:pos="2069"/>
          <w:tab w:val="left" w:pos="2126"/>
        </w:tabs>
        <w:ind w:left="2835" w:hanging="567"/>
        <w:rPr>
          <w:rtl/>
        </w:rPr>
      </w:pPr>
      <w:r w:rsidRPr="00351624">
        <w:rPr>
          <w:rFonts w:hint="cs"/>
          <w:rtl/>
        </w:rPr>
        <w:t>-</w:t>
      </w:r>
      <w:r w:rsidRPr="00351624">
        <w:rPr>
          <w:rFonts w:hint="cs"/>
          <w:rtl/>
        </w:rPr>
        <w:tab/>
        <w:t xml:space="preserve">הטיפול החשבונאי מצד המחכיר נותר ללא שינוי מהותי לעומת </w:t>
      </w:r>
      <w:r w:rsidR="00C914E9">
        <w:rPr>
          <w:rFonts w:hint="cs"/>
          <w:rtl/>
        </w:rPr>
        <w:t>התקן הישן</w:t>
      </w:r>
      <w:r w:rsidRPr="00351624">
        <w:rPr>
          <w:rFonts w:hint="cs"/>
          <w:rtl/>
        </w:rPr>
        <w:t>, קרי, סיווג כחכירה מימונית או כחכירה תפעולית.</w:t>
      </w:r>
    </w:p>
    <w:p w14:paraId="54E4D4FD" w14:textId="77777777" w:rsidR="00AC60B5" w:rsidRPr="00351624" w:rsidRDefault="00AC60B5" w:rsidP="00AC60B5">
      <w:pPr>
        <w:tabs>
          <w:tab w:val="left" w:pos="1701"/>
          <w:tab w:val="left" w:pos="2268"/>
        </w:tabs>
        <w:ind w:left="2007" w:hanging="567"/>
        <w:rPr>
          <w:rtl/>
        </w:rPr>
      </w:pPr>
    </w:p>
    <w:p w14:paraId="4F7C8025" w14:textId="77777777" w:rsidR="00AC60B5" w:rsidRDefault="00AC60B5" w:rsidP="00AC60B5">
      <w:pPr>
        <w:pStyle w:val="41"/>
        <w:ind w:left="2268" w:firstLine="0"/>
        <w:rPr>
          <w:rtl/>
        </w:rPr>
      </w:pPr>
    </w:p>
    <w:p w14:paraId="764CE367" w14:textId="77777777" w:rsidR="00AC60B5" w:rsidRDefault="00AC60B5" w:rsidP="00AC60B5">
      <w:pPr>
        <w:pStyle w:val="41"/>
        <w:ind w:left="2268" w:firstLine="0"/>
        <w:rPr>
          <w:rtl/>
        </w:rPr>
      </w:pPr>
    </w:p>
    <w:p w14:paraId="7EBCF00F" w14:textId="77777777" w:rsidR="00AC60B5" w:rsidRDefault="00AC60B5" w:rsidP="00AC60B5">
      <w:pPr>
        <w:pStyle w:val="41"/>
        <w:ind w:left="2268" w:firstLine="0"/>
        <w:rPr>
          <w:rtl/>
        </w:rPr>
      </w:pPr>
    </w:p>
    <w:p w14:paraId="31526337" w14:textId="77777777" w:rsidR="00AC60B5" w:rsidRDefault="00AC60B5" w:rsidP="00AC60B5">
      <w:pPr>
        <w:pStyle w:val="41"/>
        <w:ind w:left="2268" w:firstLine="0"/>
        <w:rPr>
          <w:rtl/>
        </w:rPr>
      </w:pPr>
    </w:p>
    <w:p w14:paraId="40B500E2" w14:textId="77777777" w:rsidR="00AC60B5" w:rsidRDefault="00AC60B5" w:rsidP="00AC60B5">
      <w:pPr>
        <w:pStyle w:val="41"/>
        <w:ind w:left="2268" w:firstLine="0"/>
        <w:rPr>
          <w:rtl/>
        </w:rPr>
      </w:pPr>
    </w:p>
    <w:p w14:paraId="7AEFB803" w14:textId="77777777" w:rsidR="00AC60B5" w:rsidRDefault="00AC60B5" w:rsidP="00AC60B5">
      <w:pPr>
        <w:pStyle w:val="41"/>
        <w:ind w:left="2268" w:firstLine="0"/>
        <w:rPr>
          <w:rtl/>
        </w:rPr>
      </w:pPr>
    </w:p>
    <w:p w14:paraId="59734A18" w14:textId="77777777" w:rsidR="00AC60B5" w:rsidRDefault="00AC60B5" w:rsidP="00AC60B5">
      <w:pPr>
        <w:pStyle w:val="41"/>
        <w:ind w:left="2268" w:firstLine="0"/>
        <w:rPr>
          <w:rtl/>
        </w:rPr>
      </w:pPr>
    </w:p>
    <w:p w14:paraId="36EE5010" w14:textId="77777777" w:rsidR="00AC60B5" w:rsidRDefault="00AC60B5" w:rsidP="00AC60B5">
      <w:pPr>
        <w:pStyle w:val="41"/>
        <w:ind w:left="2268" w:firstLine="0"/>
        <w:rPr>
          <w:rtl/>
        </w:rPr>
      </w:pPr>
    </w:p>
    <w:p w14:paraId="28CE2B0A" w14:textId="77777777" w:rsidR="00AC60B5" w:rsidRDefault="00AC60B5" w:rsidP="00AC60B5">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08C15D9B" w14:textId="77777777" w:rsidR="00AC60B5" w:rsidRDefault="00AC60B5" w:rsidP="00AC60B5">
      <w:pPr>
        <w:tabs>
          <w:tab w:val="left" w:pos="1134"/>
        </w:tabs>
        <w:ind w:left="1134" w:hanging="1134"/>
        <w:rPr>
          <w:rtl/>
        </w:rPr>
      </w:pPr>
    </w:p>
    <w:p w14:paraId="50349673" w14:textId="0B2B148D" w:rsidR="00AC60B5" w:rsidRDefault="006448AF" w:rsidP="00AC60B5">
      <w:pPr>
        <w:pStyle w:val="21"/>
        <w:rPr>
          <w:rtl/>
        </w:rPr>
      </w:pPr>
      <w:r>
        <w:rPr>
          <w:rFonts w:hint="cs"/>
          <w:rtl/>
        </w:rPr>
        <w:t>ג</w:t>
      </w:r>
      <w:r w:rsidR="00AC60B5">
        <w:rPr>
          <w:rFonts w:hint="cs"/>
          <w:rtl/>
        </w:rPr>
        <w:t xml:space="preserve">. </w:t>
      </w:r>
      <w:r w:rsidR="00AC60B5">
        <w:rPr>
          <w:rtl/>
        </w:rPr>
        <w:tab/>
      </w:r>
      <w:r w:rsidR="00AC60B5" w:rsidRPr="00B8374B">
        <w:rPr>
          <w:rFonts w:hint="cs"/>
          <w:u w:val="single"/>
          <w:rtl/>
        </w:rPr>
        <w:t>יישום לראשונה של תקני דיווח כספי חדשים ותיקונים לתקני חשבונאות קיימים</w:t>
      </w:r>
      <w:r w:rsidR="00335DB5">
        <w:rPr>
          <w:rFonts w:hint="cs"/>
          <w:rtl/>
        </w:rPr>
        <w:t xml:space="preserve"> (המשך)</w:t>
      </w:r>
    </w:p>
    <w:p w14:paraId="5BEB50CE" w14:textId="77777777" w:rsidR="001C5019" w:rsidRDefault="001C5019" w:rsidP="00AC60B5">
      <w:pPr>
        <w:pStyle w:val="21"/>
        <w:rPr>
          <w:rtl/>
        </w:rPr>
      </w:pPr>
    </w:p>
    <w:p w14:paraId="11BC51E3" w14:textId="4A099002" w:rsidR="001C5019" w:rsidRPr="00B8374B" w:rsidRDefault="001C5019" w:rsidP="001C5019">
      <w:pPr>
        <w:pStyle w:val="30"/>
        <w:tabs>
          <w:tab w:val="clear" w:pos="1701"/>
          <w:tab w:val="clear" w:pos="2268"/>
          <w:tab w:val="left" w:pos="1417"/>
          <w:tab w:val="left" w:pos="1842"/>
        </w:tabs>
        <w:ind w:left="1701" w:hanging="284"/>
        <w:rPr>
          <w:u w:val="single"/>
        </w:rPr>
      </w:pPr>
      <w:r>
        <w:rPr>
          <w:rFonts w:hint="cs"/>
          <w:rtl/>
        </w:rPr>
        <w:t>1</w:t>
      </w:r>
      <w:r w:rsidRPr="00AC6EE8">
        <w:rPr>
          <w:rtl/>
        </w:rPr>
        <w:t xml:space="preserve">.   </w:t>
      </w:r>
      <w:r>
        <w:rPr>
          <w:rtl/>
        </w:rPr>
        <w:tab/>
      </w:r>
      <w:r w:rsidRPr="00B8374B">
        <w:rPr>
          <w:rFonts w:hint="eastAsia"/>
          <w:u w:val="single"/>
          <w:rtl/>
        </w:rPr>
        <w:t>יישום</w:t>
      </w:r>
      <w:r w:rsidRPr="00B8374B">
        <w:rPr>
          <w:u w:val="single"/>
          <w:rtl/>
        </w:rPr>
        <w:t xml:space="preserve"> לראשונה של </w:t>
      </w:r>
      <w:r w:rsidRPr="00B8374B">
        <w:rPr>
          <w:u w:val="single"/>
        </w:rPr>
        <w:t xml:space="preserve">IFRS </w:t>
      </w:r>
      <w:r>
        <w:rPr>
          <w:u w:val="single"/>
        </w:rPr>
        <w:t>16</w:t>
      </w:r>
      <w:r w:rsidRPr="00B8374B">
        <w:rPr>
          <w:u w:val="single"/>
          <w:rtl/>
        </w:rPr>
        <w:t xml:space="preserve"> </w:t>
      </w:r>
      <w:r>
        <w:rPr>
          <w:rFonts w:hint="cs"/>
          <w:u w:val="single"/>
          <w:rtl/>
        </w:rPr>
        <w:t>-</w:t>
      </w:r>
      <w:r w:rsidRPr="00B8374B">
        <w:rPr>
          <w:u w:val="single"/>
          <w:rtl/>
        </w:rPr>
        <w:t xml:space="preserve"> </w:t>
      </w:r>
      <w:r>
        <w:rPr>
          <w:rFonts w:hint="cs"/>
          <w:i/>
          <w:iCs/>
          <w:u w:val="single"/>
          <w:rtl/>
        </w:rPr>
        <w:t>חכירות</w:t>
      </w:r>
      <w:r w:rsidRPr="00B8374B">
        <w:rPr>
          <w:i/>
          <w:iCs/>
          <w:u w:val="single"/>
          <w:rtl/>
        </w:rPr>
        <w:t xml:space="preserve"> </w:t>
      </w:r>
      <w:r>
        <w:rPr>
          <w:rFonts w:hint="cs"/>
          <w:u w:val="single"/>
          <w:rtl/>
        </w:rPr>
        <w:t>(המשך)</w:t>
      </w:r>
    </w:p>
    <w:p w14:paraId="7D30B249" w14:textId="77777777" w:rsidR="00AC60B5" w:rsidRPr="00AC60B5" w:rsidRDefault="00AC60B5" w:rsidP="00AC60B5">
      <w:pPr>
        <w:tabs>
          <w:tab w:val="left" w:pos="1134"/>
        </w:tabs>
        <w:ind w:left="1134" w:hanging="1134"/>
        <w:rPr>
          <w:rtl/>
        </w:rPr>
      </w:pPr>
    </w:p>
    <w:p w14:paraId="59AD9506" w14:textId="3971D977" w:rsidR="003D4A75" w:rsidRDefault="00AC60B5" w:rsidP="003D4A75">
      <w:pPr>
        <w:pStyle w:val="41"/>
        <w:ind w:left="1701" w:firstLine="0"/>
        <w:rPr>
          <w:highlight w:val="lightGray"/>
          <w:rtl/>
        </w:rPr>
      </w:pPr>
      <w:r>
        <w:rPr>
          <w:rFonts w:hint="cs"/>
          <w:rtl/>
        </w:rPr>
        <w:t xml:space="preserve">התקן מיושם לראשונה בדוחות כספיים אלה. </w:t>
      </w:r>
      <w:r w:rsidRPr="00351624">
        <w:rPr>
          <w:rFonts w:hint="cs"/>
          <w:rtl/>
        </w:rPr>
        <w:t>כמתאפשר על פי התקן בחרה החברה לאמץ</w:t>
      </w:r>
      <w:r w:rsidRPr="00351624">
        <w:rPr>
          <w:rtl/>
        </w:rPr>
        <w:t xml:space="preserve"> את התקן לפי גישת </w:t>
      </w:r>
      <w:r w:rsidRPr="00351624">
        <w:rPr>
          <w:rFonts w:hint="cs"/>
          <w:rtl/>
        </w:rPr>
        <w:t>יישום למפרע חלקי</w:t>
      </w:r>
      <w:r w:rsidR="007F7772">
        <w:rPr>
          <w:rStyle w:val="ab"/>
          <w:rtl/>
        </w:rPr>
        <w:footnoteReference w:id="71"/>
      </w:r>
      <w:r w:rsidRPr="00351624">
        <w:rPr>
          <w:rFonts w:hint="cs"/>
          <w:rtl/>
        </w:rPr>
        <w:t xml:space="preserve"> </w:t>
      </w:r>
      <w:r w:rsidRPr="00FF4198">
        <w:rPr>
          <w:rFonts w:hint="cs"/>
          <w:rtl/>
        </w:rPr>
        <w:t>כאשר</w:t>
      </w:r>
      <w:r w:rsidR="003D4A75">
        <w:rPr>
          <w:rFonts w:hint="cs"/>
          <w:rtl/>
        </w:rPr>
        <w:t>:</w:t>
      </w:r>
      <w:r w:rsidRPr="00FF4198">
        <w:rPr>
          <w:rFonts w:hint="cs"/>
          <w:rtl/>
        </w:rPr>
        <w:t xml:space="preserve"> </w:t>
      </w:r>
    </w:p>
    <w:p w14:paraId="1CA7F412" w14:textId="1735911F" w:rsidR="003D4A75" w:rsidRPr="00FF4198" w:rsidRDefault="00AC60B5" w:rsidP="003D4A75">
      <w:pPr>
        <w:pStyle w:val="41"/>
        <w:ind w:left="1701" w:firstLine="0"/>
        <w:rPr>
          <w:rtl/>
        </w:rPr>
      </w:pPr>
      <w:r w:rsidRPr="00FF4198">
        <w:rPr>
          <w:rFonts w:hint="cs"/>
          <w:rtl/>
        </w:rPr>
        <w:t>יתרת נכס</w:t>
      </w:r>
      <w:r w:rsidR="007F7772" w:rsidRPr="00FF4198">
        <w:rPr>
          <w:rFonts w:hint="cs"/>
          <w:rtl/>
        </w:rPr>
        <w:t>י</w:t>
      </w:r>
      <w:r w:rsidRPr="00FF4198">
        <w:rPr>
          <w:rFonts w:hint="cs"/>
          <w:rtl/>
        </w:rPr>
        <w:t xml:space="preserve"> זכות השימוש </w:t>
      </w:r>
      <w:r w:rsidR="007F7772" w:rsidRPr="00FF4198">
        <w:rPr>
          <w:rFonts w:hint="cs"/>
          <w:rtl/>
        </w:rPr>
        <w:t>הינם</w:t>
      </w:r>
      <w:r w:rsidRPr="00FF4198">
        <w:rPr>
          <w:rFonts w:hint="cs"/>
          <w:rtl/>
        </w:rPr>
        <w:t xml:space="preserve"> בגובה יתרת ההתחייבות בגין חכירה</w:t>
      </w:r>
      <w:r w:rsidR="00FF4198" w:rsidRPr="00FF4198">
        <w:rPr>
          <w:rFonts w:hint="cs"/>
          <w:rtl/>
        </w:rPr>
        <w:t>.</w:t>
      </w:r>
      <w:r w:rsidR="007F7772" w:rsidRPr="00FF4198">
        <w:rPr>
          <w:rFonts w:hint="cs"/>
          <w:rtl/>
        </w:rPr>
        <w:t xml:space="preserve"> </w:t>
      </w:r>
    </w:p>
    <w:p w14:paraId="463BD110" w14:textId="7FD0205C" w:rsidR="003D4A75" w:rsidRDefault="003D4A75" w:rsidP="003D4A75">
      <w:pPr>
        <w:pStyle w:val="41"/>
        <w:ind w:left="1701" w:firstLine="0"/>
        <w:rPr>
          <w:highlight w:val="lightGray"/>
          <w:rtl/>
        </w:rPr>
      </w:pPr>
      <w:r>
        <w:rPr>
          <w:rFonts w:hint="cs"/>
          <w:highlight w:val="lightGray"/>
          <w:rtl/>
        </w:rPr>
        <w:t>או</w:t>
      </w:r>
    </w:p>
    <w:p w14:paraId="7B27B000" w14:textId="4DC34BB4" w:rsidR="005623AD" w:rsidRPr="00FF4198" w:rsidRDefault="007F7772" w:rsidP="00FF4198">
      <w:pPr>
        <w:pStyle w:val="41"/>
        <w:ind w:left="1701" w:firstLine="0"/>
        <w:rPr>
          <w:rtl/>
        </w:rPr>
      </w:pPr>
      <w:r w:rsidRPr="00FF4198">
        <w:rPr>
          <w:rFonts w:hint="cs"/>
          <w:rtl/>
        </w:rPr>
        <w:t xml:space="preserve">חלק מיתרת נכסי זכות השימוש נמדדו </w:t>
      </w:r>
      <w:r w:rsidR="003D4A75" w:rsidRPr="00FF4198">
        <w:rPr>
          <w:rFonts w:hint="cs"/>
          <w:rtl/>
        </w:rPr>
        <w:t>כאילו התקן היה מיושם ממועד תחילת החכירה</w:t>
      </w:r>
      <w:r w:rsidRPr="00FF4198">
        <w:rPr>
          <w:rFonts w:hint="cs"/>
          <w:rtl/>
        </w:rPr>
        <w:t xml:space="preserve"> </w:t>
      </w:r>
      <w:r w:rsidR="003D4A75" w:rsidRPr="00FF4198">
        <w:rPr>
          <w:rFonts w:hint="cs"/>
          <w:rtl/>
        </w:rPr>
        <w:t xml:space="preserve">אך </w:t>
      </w:r>
      <w:r w:rsidR="00FF4198" w:rsidRPr="00FF4198">
        <w:rPr>
          <w:rFonts w:hint="cs"/>
          <w:rtl/>
        </w:rPr>
        <w:t>לצורך החישוב נעשה שימוש</w:t>
      </w:r>
      <w:r w:rsidR="003D4A75" w:rsidRPr="00FF4198">
        <w:rPr>
          <w:rFonts w:hint="cs"/>
          <w:rtl/>
        </w:rPr>
        <w:t xml:space="preserve"> בשיעור הריבית התוספתי </w:t>
      </w:r>
      <w:r w:rsidR="005623AD" w:rsidRPr="00FF4198">
        <w:rPr>
          <w:rFonts w:hint="cs"/>
          <w:rtl/>
        </w:rPr>
        <w:t>של החוכר במועד היישום לראשונה</w:t>
      </w:r>
      <w:r w:rsidR="00FF4198">
        <w:rPr>
          <w:rFonts w:hint="cs"/>
          <w:rtl/>
        </w:rPr>
        <w:t>,</w:t>
      </w:r>
      <w:r w:rsidR="005623AD" w:rsidRPr="00FF4198">
        <w:rPr>
          <w:rFonts w:hint="cs"/>
          <w:rtl/>
        </w:rPr>
        <w:t xml:space="preserve"> </w:t>
      </w:r>
      <w:r w:rsidRPr="00FF4198">
        <w:rPr>
          <w:rFonts w:hint="cs"/>
          <w:rtl/>
        </w:rPr>
        <w:t>וחלק מיתרת נכסי זכות השימוש הינם בגובה ההתחייבות בגין חכירה</w:t>
      </w:r>
      <w:r w:rsidR="00FF4198" w:rsidRPr="00FF4198">
        <w:rPr>
          <w:rFonts w:hint="cs"/>
          <w:rtl/>
        </w:rPr>
        <w:t>.</w:t>
      </w:r>
    </w:p>
    <w:p w14:paraId="040C98A3" w14:textId="724867AC" w:rsidR="005623AD" w:rsidRDefault="005623AD" w:rsidP="003D4A75">
      <w:pPr>
        <w:pStyle w:val="41"/>
        <w:ind w:left="1701" w:firstLine="0"/>
        <w:rPr>
          <w:highlight w:val="lightGray"/>
          <w:rtl/>
        </w:rPr>
      </w:pPr>
      <w:r>
        <w:rPr>
          <w:rFonts w:hint="cs"/>
          <w:highlight w:val="lightGray"/>
          <w:rtl/>
        </w:rPr>
        <w:t>או</w:t>
      </w:r>
    </w:p>
    <w:p w14:paraId="5EBE361B" w14:textId="77EDC139" w:rsidR="005623AD" w:rsidRDefault="00FF4198" w:rsidP="00FF4198">
      <w:pPr>
        <w:pStyle w:val="41"/>
        <w:ind w:left="1701" w:firstLine="0"/>
        <w:rPr>
          <w:rtl/>
        </w:rPr>
      </w:pPr>
      <w:r w:rsidRPr="00FF4198">
        <w:rPr>
          <w:rFonts w:hint="cs"/>
          <w:rtl/>
        </w:rPr>
        <w:t xml:space="preserve">יתרת נכסי זכות השימוש </w:t>
      </w:r>
      <w:r w:rsidR="005623AD" w:rsidRPr="00FF4198">
        <w:rPr>
          <w:rFonts w:hint="cs"/>
          <w:rtl/>
        </w:rPr>
        <w:t xml:space="preserve">נמדדו כאילו התקן היה מיושם ממועד תחילת החכירה אך </w:t>
      </w:r>
      <w:r w:rsidRPr="00FF4198">
        <w:rPr>
          <w:rFonts w:hint="cs"/>
          <w:rtl/>
        </w:rPr>
        <w:t>לצורך החישוב נעשה שימוש</w:t>
      </w:r>
      <w:r w:rsidR="005623AD" w:rsidRPr="00FF4198">
        <w:rPr>
          <w:rFonts w:hint="cs"/>
          <w:rtl/>
        </w:rPr>
        <w:t xml:space="preserve"> בשיעור הריבית התוספתי של החוכר במועד היישום לראשונה</w:t>
      </w:r>
      <w:r w:rsidR="00AC60B5" w:rsidRPr="00FF4198">
        <w:rPr>
          <w:rFonts w:hint="cs"/>
          <w:rtl/>
        </w:rPr>
        <w:t>.</w:t>
      </w:r>
      <w:r w:rsidR="00AC60B5" w:rsidRPr="00351624">
        <w:rPr>
          <w:rFonts w:hint="cs"/>
          <w:rtl/>
        </w:rPr>
        <w:t xml:space="preserve"> </w:t>
      </w:r>
    </w:p>
    <w:p w14:paraId="771AACDA" w14:textId="77777777" w:rsidR="00FF4198" w:rsidRDefault="00FF4198" w:rsidP="005623AD">
      <w:pPr>
        <w:pStyle w:val="41"/>
        <w:ind w:left="1701" w:firstLine="0"/>
        <w:rPr>
          <w:rtl/>
        </w:rPr>
      </w:pPr>
    </w:p>
    <w:p w14:paraId="4C55C46B" w14:textId="422E9721" w:rsidR="00AC60B5" w:rsidRPr="00351624" w:rsidRDefault="00AC60B5" w:rsidP="005623AD">
      <w:pPr>
        <w:pStyle w:val="41"/>
        <w:ind w:left="1701" w:firstLine="0"/>
        <w:rPr>
          <w:rtl/>
        </w:rPr>
      </w:pPr>
      <w:r w:rsidRPr="00351624">
        <w:rPr>
          <w:rFonts w:hint="cs"/>
          <w:rtl/>
        </w:rPr>
        <w:t>בהתאם ל</w:t>
      </w:r>
      <w:r w:rsidRPr="00351624">
        <w:rPr>
          <w:rtl/>
        </w:rPr>
        <w:t>גיש</w:t>
      </w:r>
      <w:r w:rsidRPr="00351624">
        <w:rPr>
          <w:rFonts w:hint="cs"/>
          <w:rtl/>
        </w:rPr>
        <w:t>ה</w:t>
      </w:r>
      <w:r w:rsidRPr="00351624">
        <w:rPr>
          <w:rtl/>
        </w:rPr>
        <w:t xml:space="preserve"> </w:t>
      </w:r>
      <w:r w:rsidRPr="00351624">
        <w:rPr>
          <w:rFonts w:hint="cs"/>
          <w:rtl/>
        </w:rPr>
        <w:t>זו</w:t>
      </w:r>
      <w:r w:rsidRPr="00351624">
        <w:rPr>
          <w:rtl/>
        </w:rPr>
        <w:t xml:space="preserve"> </w:t>
      </w:r>
      <w:r w:rsidRPr="00351624">
        <w:rPr>
          <w:rFonts w:hint="cs"/>
          <w:rtl/>
        </w:rPr>
        <w:t xml:space="preserve">לא </w:t>
      </w:r>
      <w:r>
        <w:rPr>
          <w:rFonts w:hint="cs"/>
          <w:rtl/>
        </w:rPr>
        <w:t>נדרשת</w:t>
      </w:r>
      <w:r w:rsidRPr="00351624">
        <w:rPr>
          <w:rFonts w:hint="cs"/>
          <w:rtl/>
        </w:rPr>
        <w:t xml:space="preserve"> הצגה מחדש של מספרי ההשוואה. יתרת ההתחייבות למועד יישום התקן לראשונה, </w:t>
      </w:r>
      <w:r>
        <w:rPr>
          <w:rFonts w:hint="cs"/>
          <w:rtl/>
        </w:rPr>
        <w:t>מחושבת</w:t>
      </w:r>
      <w:r w:rsidRPr="00351624">
        <w:rPr>
          <w:rFonts w:hint="cs"/>
          <w:rtl/>
        </w:rPr>
        <w:t xml:space="preserve"> תוך שימוש בשיעור הריבית התוספתי ש</w:t>
      </w:r>
      <w:r>
        <w:rPr>
          <w:rFonts w:hint="cs"/>
          <w:rtl/>
        </w:rPr>
        <w:t xml:space="preserve">ל החברה הקיימת במועד יישום התקן </w:t>
      </w:r>
      <w:r w:rsidRPr="00351624">
        <w:rPr>
          <w:rFonts w:hint="cs"/>
          <w:rtl/>
        </w:rPr>
        <w:t>לראשונה</w:t>
      </w:r>
      <w:r>
        <w:rPr>
          <w:rFonts w:hint="cs"/>
          <w:rtl/>
        </w:rPr>
        <w:t>.</w:t>
      </w:r>
    </w:p>
    <w:p w14:paraId="115D1943" w14:textId="77777777" w:rsidR="00AC60B5" w:rsidRDefault="00AC60B5" w:rsidP="00AC60B5">
      <w:pPr>
        <w:tabs>
          <w:tab w:val="left" w:pos="1134"/>
        </w:tabs>
        <w:ind w:left="567" w:hanging="1134"/>
        <w:rPr>
          <w:rtl/>
        </w:rPr>
      </w:pPr>
    </w:p>
    <w:p w14:paraId="3B9ED164" w14:textId="0FBC8D11" w:rsidR="00AC60B5" w:rsidRDefault="00AC60B5" w:rsidP="00AC60B5">
      <w:pPr>
        <w:pStyle w:val="41"/>
        <w:ind w:left="1701" w:firstLine="0"/>
        <w:rPr>
          <w:rtl/>
        </w:rPr>
      </w:pPr>
      <w:r w:rsidRPr="00351624">
        <w:rPr>
          <w:rFonts w:hint="cs"/>
          <w:rtl/>
        </w:rPr>
        <w:t xml:space="preserve">לפירוט בדבר המדיניות החשבונאית המיושמת החל ממועד האימוץ לראשונה של התקן, ראה </w:t>
      </w:r>
      <w:r>
        <w:rPr>
          <w:rFonts w:hint="cs"/>
          <w:rtl/>
        </w:rPr>
        <w:t>באור 2ב'</w:t>
      </w:r>
      <w:r w:rsidRPr="00351624">
        <w:rPr>
          <w:rFonts w:hint="cs"/>
          <w:rtl/>
        </w:rPr>
        <w:t xml:space="preserve"> לעיל.</w:t>
      </w:r>
    </w:p>
    <w:p w14:paraId="56D3D00E" w14:textId="77777777" w:rsidR="00AC60B5" w:rsidRDefault="00AC60B5" w:rsidP="00AC60B5">
      <w:pPr>
        <w:pStyle w:val="41"/>
        <w:ind w:left="2268" w:firstLine="0"/>
        <w:rPr>
          <w:rtl/>
        </w:rPr>
      </w:pPr>
    </w:p>
    <w:p w14:paraId="52EF0EDF" w14:textId="10555FA5" w:rsidR="00AC60B5" w:rsidRPr="00351624" w:rsidRDefault="00AC60B5" w:rsidP="00335DB5">
      <w:pPr>
        <w:pStyle w:val="41"/>
        <w:ind w:left="1701" w:firstLine="0"/>
        <w:rPr>
          <w:rtl/>
        </w:rPr>
      </w:pPr>
      <w:r w:rsidRPr="00351624">
        <w:rPr>
          <w:rtl/>
        </w:rPr>
        <w:t xml:space="preserve">עיקר ההשפעה של יישום התקן לראשונה הינה בהתייחס </w:t>
      </w:r>
      <w:r w:rsidRPr="00351624">
        <w:rPr>
          <w:rFonts w:hint="cs"/>
          <w:rtl/>
        </w:rPr>
        <w:t>לחוזי חכירה קיימים בהן החברה מהווה חוכר</w:t>
      </w:r>
      <w:r w:rsidRPr="00351624">
        <w:rPr>
          <w:rtl/>
        </w:rPr>
        <w:t>. על פי התקן, כאמור</w:t>
      </w:r>
      <w:r w:rsidR="00335DB5">
        <w:rPr>
          <w:rFonts w:hint="cs"/>
          <w:rtl/>
        </w:rPr>
        <w:t xml:space="preserve"> בבאור 2ב'</w:t>
      </w:r>
      <w:r w:rsidRPr="00351624">
        <w:rPr>
          <w:rFonts w:hint="cs"/>
          <w:rtl/>
        </w:rPr>
        <w:t xml:space="preserve"> לעיל</w:t>
      </w:r>
      <w:r w:rsidRPr="00351624">
        <w:rPr>
          <w:rtl/>
        </w:rPr>
        <w:t xml:space="preserve">, </w:t>
      </w:r>
      <w:r w:rsidRPr="00351624">
        <w:rPr>
          <w:rFonts w:hint="cs"/>
          <w:rtl/>
        </w:rPr>
        <w:t xml:space="preserve">למעט חריגים, </w:t>
      </w:r>
      <w:r w:rsidRPr="00351624">
        <w:rPr>
          <w:rtl/>
        </w:rPr>
        <w:t>מכירה ה</w:t>
      </w:r>
      <w:r w:rsidRPr="00351624">
        <w:rPr>
          <w:rFonts w:hint="cs"/>
          <w:rtl/>
        </w:rPr>
        <w:t>חברה</w:t>
      </w:r>
      <w:r w:rsidRPr="00351624">
        <w:rPr>
          <w:rtl/>
        </w:rPr>
        <w:t xml:space="preserve"> </w:t>
      </w:r>
      <w:r w:rsidRPr="00351624">
        <w:rPr>
          <w:rFonts w:hint="cs"/>
          <w:rtl/>
        </w:rPr>
        <w:t xml:space="preserve">בגין כל חוזה חכירה בה היא מהווה חוכר ביתרת התחייבות כנגד יתרת נכס זכות שימוש </w:t>
      </w:r>
      <w:r w:rsidRPr="00351624">
        <w:rPr>
          <w:rtl/>
        </w:rPr>
        <w:t xml:space="preserve">וזאת בשונה מהמדיניות שיושמה תחת הוראות </w:t>
      </w:r>
      <w:r w:rsidR="00C914E9">
        <w:rPr>
          <w:rFonts w:hint="cs"/>
          <w:rtl/>
        </w:rPr>
        <w:t>התקן הישן</w:t>
      </w:r>
      <w:r w:rsidR="00335DB5">
        <w:rPr>
          <w:rtl/>
        </w:rPr>
        <w:t xml:space="preserve"> לפי</w:t>
      </w:r>
      <w:r w:rsidR="00335DB5">
        <w:rPr>
          <w:rFonts w:hint="cs"/>
          <w:rtl/>
        </w:rPr>
        <w:t>ו</w:t>
      </w:r>
      <w:r w:rsidRPr="00351624">
        <w:rPr>
          <w:rtl/>
        </w:rPr>
        <w:t xml:space="preserve"> </w:t>
      </w:r>
      <w:r w:rsidRPr="00351624">
        <w:rPr>
          <w:rFonts w:hint="cs"/>
          <w:rtl/>
        </w:rPr>
        <w:t>בחוזי חכירה בהן לא הועברו באופן ממשי כל הסיכונים וההטבות הגלומים בבעלות על הנכס החכור, הוכרו תשלומי החכירה כהוצאה ברווח או הפסד בקו ישר על פני תקופת החכירה.</w:t>
      </w:r>
      <w:r w:rsidRPr="00351624">
        <w:rPr>
          <w:rtl/>
        </w:rPr>
        <w:t xml:space="preserve"> </w:t>
      </w:r>
    </w:p>
    <w:p w14:paraId="381A5C0D" w14:textId="77777777" w:rsidR="00AC60B5" w:rsidRPr="00351624" w:rsidRDefault="00AC60B5" w:rsidP="00AC60B5">
      <w:pPr>
        <w:pStyle w:val="41"/>
        <w:ind w:left="2268" w:firstLine="0"/>
        <w:rPr>
          <w:rtl/>
        </w:rPr>
      </w:pPr>
    </w:p>
    <w:p w14:paraId="664A2CCC" w14:textId="2CD733B4" w:rsidR="00AC60B5" w:rsidRPr="00351624" w:rsidRDefault="00AC60B5" w:rsidP="00C914E9">
      <w:pPr>
        <w:pStyle w:val="41"/>
        <w:ind w:left="1701" w:firstLine="0"/>
        <w:rPr>
          <w:rtl/>
        </w:rPr>
      </w:pPr>
      <w:r w:rsidRPr="00351624">
        <w:rPr>
          <w:rFonts w:hint="cs"/>
          <w:rtl/>
        </w:rPr>
        <w:t xml:space="preserve">בנוסף, ליישום התקן לראשונה קיימת השפעה על עסקאות </w:t>
      </w:r>
      <w:r w:rsidR="00C914E9">
        <w:rPr>
          <w:rFonts w:hint="cs"/>
          <w:rtl/>
        </w:rPr>
        <w:t>חכירת משנה</w:t>
      </w:r>
      <w:r w:rsidRPr="00351624">
        <w:rPr>
          <w:rFonts w:hint="cs"/>
          <w:rtl/>
        </w:rPr>
        <w:t xml:space="preserve"> (כאשר נכס הבסיס חכור על ידי החברה ובנוסף מוחכר על ידה בחכירת משנה). על פי התקן, כאמור </w:t>
      </w:r>
      <w:r w:rsidR="00335DB5">
        <w:rPr>
          <w:rFonts w:hint="cs"/>
          <w:rtl/>
        </w:rPr>
        <w:t>בבאור 2ב'</w:t>
      </w:r>
      <w:r w:rsidRPr="00351624">
        <w:rPr>
          <w:rFonts w:hint="cs"/>
          <w:rtl/>
        </w:rPr>
        <w:t xml:space="preserve"> לעיל, סיווגה החברה את עסקת </w:t>
      </w:r>
      <w:r w:rsidR="00335DB5">
        <w:rPr>
          <w:rFonts w:hint="cs"/>
          <w:rtl/>
        </w:rPr>
        <w:t>חכירת המשנה</w:t>
      </w:r>
      <w:r w:rsidRPr="00351624">
        <w:rPr>
          <w:rFonts w:hint="cs"/>
          <w:rtl/>
        </w:rPr>
        <w:t xml:space="preserve"> כתפעולית או מימונית, בין היתר לפי בחינה של תקופת </w:t>
      </w:r>
      <w:r w:rsidR="00C914E9">
        <w:rPr>
          <w:rFonts w:hint="cs"/>
          <w:rtl/>
        </w:rPr>
        <w:t>חכירת המשנה</w:t>
      </w:r>
      <w:r w:rsidRPr="00351624">
        <w:rPr>
          <w:rFonts w:hint="cs"/>
          <w:rtl/>
        </w:rPr>
        <w:t xml:space="preserve"> לעומת אורך החיים</w:t>
      </w:r>
      <w:r>
        <w:rPr>
          <w:rFonts w:hint="cs"/>
          <w:rtl/>
        </w:rPr>
        <w:t xml:space="preserve"> השימושיים</w:t>
      </w:r>
      <w:r w:rsidRPr="00351624">
        <w:rPr>
          <w:rFonts w:hint="cs"/>
          <w:rtl/>
        </w:rPr>
        <w:t xml:space="preserve"> של נכס זכות השימוש</w:t>
      </w:r>
      <w:r w:rsidR="00C914E9">
        <w:rPr>
          <w:rFonts w:hint="cs"/>
          <w:rtl/>
        </w:rPr>
        <w:t>.</w:t>
      </w:r>
    </w:p>
    <w:p w14:paraId="46A5724A" w14:textId="6BF23651" w:rsidR="00AC60B5" w:rsidRPr="00351624" w:rsidRDefault="00AC60B5" w:rsidP="00335DB5">
      <w:pPr>
        <w:pStyle w:val="41"/>
        <w:ind w:left="1701" w:firstLine="0"/>
      </w:pPr>
      <w:r w:rsidRPr="00351624">
        <w:rPr>
          <w:rFonts w:hint="cs"/>
          <w:rtl/>
        </w:rPr>
        <w:t xml:space="preserve">בעקבות האמור לעיל, סיווגה החברה מחדש עסקאות </w:t>
      </w:r>
      <w:r w:rsidR="00335DB5">
        <w:rPr>
          <w:rFonts w:hint="cs"/>
          <w:rtl/>
        </w:rPr>
        <w:t xml:space="preserve">חכירת משנה </w:t>
      </w:r>
      <w:r w:rsidRPr="00351624">
        <w:rPr>
          <w:rFonts w:hint="cs"/>
          <w:rtl/>
        </w:rPr>
        <w:t xml:space="preserve">אשר טופלו כחכירה תפעולית לפי הוראות </w:t>
      </w:r>
      <w:r w:rsidR="00C914E9">
        <w:rPr>
          <w:rFonts w:hint="cs"/>
          <w:rtl/>
        </w:rPr>
        <w:t>התקן הישן</w:t>
      </w:r>
      <w:r w:rsidR="00335DB5">
        <w:rPr>
          <w:rFonts w:hint="cs"/>
          <w:rtl/>
        </w:rPr>
        <w:t>,</w:t>
      </w:r>
      <w:r w:rsidRPr="00351624">
        <w:rPr>
          <w:rFonts w:hint="cs"/>
          <w:rtl/>
        </w:rPr>
        <w:t xml:space="preserve"> כחכירה מימונית לפי הוראות התקן.</w:t>
      </w:r>
    </w:p>
    <w:p w14:paraId="541E551A" w14:textId="77777777" w:rsidR="00AC60B5" w:rsidRPr="00351624" w:rsidRDefault="00AC60B5" w:rsidP="00AC60B5">
      <w:pPr>
        <w:tabs>
          <w:tab w:val="left" w:pos="1701"/>
          <w:tab w:val="left" w:pos="2268"/>
        </w:tabs>
        <w:ind w:left="1440"/>
        <w:rPr>
          <w:rtl/>
        </w:rPr>
      </w:pPr>
    </w:p>
    <w:p w14:paraId="2AB3A694" w14:textId="77777777" w:rsidR="00AC60B5" w:rsidRDefault="00AC60B5" w:rsidP="00AC60B5">
      <w:pPr>
        <w:widowControl/>
        <w:bidi w:val="0"/>
        <w:spacing w:line="240" w:lineRule="auto"/>
        <w:jc w:val="left"/>
      </w:pPr>
      <w:r>
        <w:rPr>
          <w:rtl/>
        </w:rPr>
        <w:br w:type="page"/>
      </w:r>
    </w:p>
    <w:p w14:paraId="490A5754" w14:textId="77777777" w:rsidR="00AC60B5" w:rsidRPr="00335DB5" w:rsidRDefault="00AC60B5" w:rsidP="00AC60B5">
      <w:pPr>
        <w:tabs>
          <w:tab w:val="left" w:pos="1134"/>
        </w:tabs>
        <w:ind w:left="1134" w:hanging="1134"/>
        <w:rPr>
          <w:rtl/>
        </w:rPr>
      </w:pPr>
    </w:p>
    <w:p w14:paraId="2CC50A02" w14:textId="77777777" w:rsidR="00AC60B5" w:rsidRPr="00351624" w:rsidRDefault="00AC60B5" w:rsidP="00AC60B5">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1E1DB610" w14:textId="77777777" w:rsidR="00AC60B5" w:rsidRPr="00351624" w:rsidRDefault="00AC60B5" w:rsidP="00AC60B5">
      <w:pPr>
        <w:tabs>
          <w:tab w:val="left" w:pos="1134"/>
        </w:tabs>
        <w:ind w:left="1134" w:hanging="1134"/>
        <w:rPr>
          <w:rtl/>
        </w:rPr>
      </w:pPr>
    </w:p>
    <w:p w14:paraId="3AB9DD42" w14:textId="215B96AB" w:rsidR="00335DB5" w:rsidRPr="00ED7BA1" w:rsidRDefault="006448AF" w:rsidP="00335DB5">
      <w:pPr>
        <w:pStyle w:val="21"/>
      </w:pPr>
      <w:r>
        <w:rPr>
          <w:rFonts w:hint="cs"/>
          <w:rtl/>
        </w:rPr>
        <w:t>ג</w:t>
      </w:r>
      <w:r w:rsidR="00335DB5">
        <w:rPr>
          <w:rFonts w:hint="cs"/>
          <w:rtl/>
        </w:rPr>
        <w:t xml:space="preserve">. </w:t>
      </w:r>
      <w:r w:rsidR="00335DB5">
        <w:rPr>
          <w:rtl/>
        </w:rPr>
        <w:tab/>
      </w:r>
      <w:r w:rsidR="00335DB5" w:rsidRPr="00B8374B">
        <w:rPr>
          <w:rFonts w:hint="cs"/>
          <w:u w:val="single"/>
          <w:rtl/>
        </w:rPr>
        <w:t>יישום לראשונה של תקני דיווח כספי חדשים ותיקונים לתקני חשבונאות קיימים</w:t>
      </w:r>
      <w:r w:rsidR="00335DB5">
        <w:rPr>
          <w:rFonts w:hint="cs"/>
          <w:rtl/>
        </w:rPr>
        <w:t xml:space="preserve"> (המשך)</w:t>
      </w:r>
    </w:p>
    <w:p w14:paraId="3FCD57AD" w14:textId="77777777" w:rsidR="00AC60B5" w:rsidRDefault="00AC60B5" w:rsidP="00AC60B5">
      <w:pPr>
        <w:tabs>
          <w:tab w:val="left" w:pos="1134"/>
        </w:tabs>
        <w:ind w:left="1134" w:hanging="1134"/>
        <w:rPr>
          <w:rtl/>
        </w:rPr>
      </w:pPr>
    </w:p>
    <w:p w14:paraId="3B1A3B6F" w14:textId="77777777" w:rsidR="001C5019" w:rsidRPr="00B8374B" w:rsidRDefault="001C5019" w:rsidP="001C5019">
      <w:pPr>
        <w:pStyle w:val="30"/>
        <w:tabs>
          <w:tab w:val="clear" w:pos="1701"/>
          <w:tab w:val="clear" w:pos="2268"/>
          <w:tab w:val="left" w:pos="1417"/>
          <w:tab w:val="left" w:pos="1842"/>
        </w:tabs>
        <w:ind w:left="1701" w:hanging="284"/>
        <w:rPr>
          <w:u w:val="single"/>
        </w:rPr>
      </w:pPr>
      <w:r>
        <w:rPr>
          <w:rFonts w:hint="cs"/>
          <w:rtl/>
        </w:rPr>
        <w:t>1</w:t>
      </w:r>
      <w:r w:rsidRPr="00AC6EE8">
        <w:rPr>
          <w:rtl/>
        </w:rPr>
        <w:t xml:space="preserve">.   </w:t>
      </w:r>
      <w:r>
        <w:rPr>
          <w:rtl/>
        </w:rPr>
        <w:tab/>
      </w:r>
      <w:r w:rsidRPr="00B8374B">
        <w:rPr>
          <w:rFonts w:hint="eastAsia"/>
          <w:u w:val="single"/>
          <w:rtl/>
        </w:rPr>
        <w:t>יישום</w:t>
      </w:r>
      <w:r w:rsidRPr="00B8374B">
        <w:rPr>
          <w:u w:val="single"/>
          <w:rtl/>
        </w:rPr>
        <w:t xml:space="preserve"> לראשונה של </w:t>
      </w:r>
      <w:r w:rsidRPr="00B8374B">
        <w:rPr>
          <w:u w:val="single"/>
        </w:rPr>
        <w:t xml:space="preserve">IFRS </w:t>
      </w:r>
      <w:r>
        <w:rPr>
          <w:u w:val="single"/>
        </w:rPr>
        <w:t>16</w:t>
      </w:r>
      <w:r w:rsidRPr="00B8374B">
        <w:rPr>
          <w:u w:val="single"/>
          <w:rtl/>
        </w:rPr>
        <w:t xml:space="preserve"> </w:t>
      </w:r>
      <w:r>
        <w:rPr>
          <w:rFonts w:hint="cs"/>
          <w:u w:val="single"/>
          <w:rtl/>
        </w:rPr>
        <w:t>-</w:t>
      </w:r>
      <w:r w:rsidRPr="00B8374B">
        <w:rPr>
          <w:u w:val="single"/>
          <w:rtl/>
        </w:rPr>
        <w:t xml:space="preserve"> </w:t>
      </w:r>
      <w:r>
        <w:rPr>
          <w:rFonts w:hint="cs"/>
          <w:i/>
          <w:iCs/>
          <w:u w:val="single"/>
          <w:rtl/>
        </w:rPr>
        <w:t>חכירות</w:t>
      </w:r>
      <w:r w:rsidRPr="00B8374B">
        <w:rPr>
          <w:i/>
          <w:iCs/>
          <w:u w:val="single"/>
          <w:rtl/>
        </w:rPr>
        <w:t xml:space="preserve"> </w:t>
      </w:r>
      <w:r>
        <w:rPr>
          <w:rFonts w:hint="cs"/>
          <w:u w:val="single"/>
          <w:rtl/>
        </w:rPr>
        <w:t>(המשך)</w:t>
      </w:r>
    </w:p>
    <w:p w14:paraId="05595397" w14:textId="77777777" w:rsidR="001C5019" w:rsidRPr="001C5019" w:rsidRDefault="001C5019" w:rsidP="00AC60B5">
      <w:pPr>
        <w:tabs>
          <w:tab w:val="left" w:pos="1134"/>
        </w:tabs>
        <w:ind w:left="1134" w:hanging="1134"/>
        <w:rPr>
          <w:rtl/>
        </w:rPr>
      </w:pPr>
    </w:p>
    <w:p w14:paraId="25E83709" w14:textId="629F7DDA" w:rsidR="00AC60B5" w:rsidRPr="00351624" w:rsidRDefault="00AC60B5" w:rsidP="00335DB5">
      <w:pPr>
        <w:pStyle w:val="41"/>
        <w:ind w:left="1701" w:firstLine="0"/>
        <w:rPr>
          <w:rtl/>
        </w:rPr>
      </w:pPr>
      <w:r w:rsidRPr="00351624">
        <w:rPr>
          <w:rFonts w:hint="cs"/>
          <w:rtl/>
        </w:rPr>
        <w:t xml:space="preserve">להלן נתונים המתייחסים ליישום לראשונה של התקן </w:t>
      </w:r>
      <w:r w:rsidRPr="00351624">
        <w:rPr>
          <w:rtl/>
        </w:rPr>
        <w:t xml:space="preserve">ליום 1 בינואר </w:t>
      </w:r>
      <w:r w:rsidR="00335DB5">
        <w:rPr>
          <w:rFonts w:hint="cs"/>
          <w:rtl/>
        </w:rPr>
        <w:t>2019</w:t>
      </w:r>
      <w:r w:rsidRPr="00351624">
        <w:rPr>
          <w:rtl/>
        </w:rPr>
        <w:t xml:space="preserve"> בגין </w:t>
      </w:r>
      <w:r w:rsidRPr="00351624">
        <w:rPr>
          <w:rFonts w:hint="cs"/>
          <w:rtl/>
        </w:rPr>
        <w:t>חוזי חכירה אשר בתוקף במועד היישום לראשונה</w:t>
      </w:r>
      <w:r w:rsidRPr="00351624">
        <w:rPr>
          <w:color w:val="FF0000"/>
          <w:szCs w:val="22"/>
          <w:vertAlign w:val="superscript"/>
          <w:rtl/>
        </w:rPr>
        <w:footnoteReference w:id="72"/>
      </w:r>
      <w:r w:rsidRPr="00351624">
        <w:rPr>
          <w:color w:val="FF0000"/>
          <w:szCs w:val="22"/>
          <w:u w:val="single"/>
          <w:vertAlign w:val="superscript"/>
          <w:rtl/>
        </w:rPr>
        <w:footnoteReference w:id="73"/>
      </w:r>
      <w:r w:rsidRPr="00351624">
        <w:rPr>
          <w:rFonts w:hint="cs"/>
          <w:rtl/>
        </w:rPr>
        <w:t xml:space="preserve">: </w:t>
      </w:r>
    </w:p>
    <w:p w14:paraId="58940D5D" w14:textId="77777777" w:rsidR="00AC60B5" w:rsidRPr="00351624" w:rsidRDefault="00AC60B5" w:rsidP="00AC60B5">
      <w:pPr>
        <w:tabs>
          <w:tab w:val="left" w:pos="1701"/>
          <w:tab w:val="left" w:pos="2268"/>
        </w:tabs>
        <w:ind w:left="1440"/>
        <w:rPr>
          <w:rtl/>
        </w:rPr>
      </w:pPr>
    </w:p>
    <w:p w14:paraId="42D1925C" w14:textId="38220FEB" w:rsidR="00AC60B5" w:rsidRPr="00351624" w:rsidRDefault="00AC60B5" w:rsidP="000A306B">
      <w:pPr>
        <w:numPr>
          <w:ilvl w:val="0"/>
          <w:numId w:val="27"/>
        </w:numPr>
        <w:tabs>
          <w:tab w:val="left" w:pos="1984"/>
          <w:tab w:val="left" w:pos="2551"/>
        </w:tabs>
        <w:ind w:left="2693" w:hanging="567"/>
        <w:rPr>
          <w:rtl/>
        </w:rPr>
      </w:pPr>
      <w:r w:rsidRPr="00351624">
        <w:rPr>
          <w:rFonts w:hint="cs"/>
          <w:rtl/>
        </w:rPr>
        <w:t xml:space="preserve">ריכוז השפעות היישום לראשונה של התקן על הדוחות הכספיים של החברה ביום 1 בינואר </w:t>
      </w:r>
      <w:r w:rsidR="00335DB5">
        <w:rPr>
          <w:rFonts w:hint="cs"/>
          <w:rtl/>
        </w:rPr>
        <w:t>2019</w:t>
      </w:r>
      <w:r w:rsidRPr="00351624">
        <w:rPr>
          <w:rFonts w:hint="cs"/>
          <w:rtl/>
        </w:rPr>
        <w:t>:</w:t>
      </w:r>
    </w:p>
    <w:p w14:paraId="7CE8AAA3" w14:textId="77777777" w:rsidR="00AC60B5" w:rsidRPr="00351624" w:rsidRDefault="00AC60B5" w:rsidP="00AC60B5">
      <w:pPr>
        <w:tabs>
          <w:tab w:val="left" w:pos="1701"/>
          <w:tab w:val="left" w:pos="2268"/>
        </w:tabs>
        <w:spacing w:line="240" w:lineRule="auto"/>
        <w:ind w:left="1440"/>
        <w:rPr>
          <w:rtl/>
        </w:rPr>
      </w:pPr>
    </w:p>
    <w:tbl>
      <w:tblPr>
        <w:bidiVisual/>
        <w:tblW w:w="6521" w:type="dxa"/>
        <w:tblInd w:w="3160" w:type="dxa"/>
        <w:tblLayout w:type="fixed"/>
        <w:tblCellMar>
          <w:left w:w="0" w:type="dxa"/>
          <w:right w:w="0" w:type="dxa"/>
        </w:tblCellMar>
        <w:tblLook w:val="0000" w:firstRow="0" w:lastRow="0" w:firstColumn="0" w:lastColumn="0" w:noHBand="0" w:noVBand="0"/>
      </w:tblPr>
      <w:tblGrid>
        <w:gridCol w:w="3119"/>
        <w:gridCol w:w="141"/>
        <w:gridCol w:w="1134"/>
        <w:gridCol w:w="142"/>
        <w:gridCol w:w="851"/>
        <w:gridCol w:w="141"/>
        <w:gridCol w:w="976"/>
        <w:gridCol w:w="17"/>
      </w:tblGrid>
      <w:tr w:rsidR="00AC60B5" w:rsidRPr="00351624" w14:paraId="4E3C98CA" w14:textId="77777777" w:rsidTr="004C3B79">
        <w:trPr>
          <w:gridAfter w:val="1"/>
          <w:wAfter w:w="17" w:type="dxa"/>
        </w:trPr>
        <w:tc>
          <w:tcPr>
            <w:tcW w:w="3119" w:type="dxa"/>
            <w:vAlign w:val="bottom"/>
          </w:tcPr>
          <w:p w14:paraId="04E7198B"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p>
        </w:tc>
        <w:tc>
          <w:tcPr>
            <w:tcW w:w="141" w:type="dxa"/>
            <w:vAlign w:val="bottom"/>
          </w:tcPr>
          <w:p w14:paraId="30CB9362" w14:textId="77777777" w:rsidR="00AC60B5" w:rsidRPr="00351624" w:rsidRDefault="00AC60B5" w:rsidP="004C3B79">
            <w:pPr>
              <w:tabs>
                <w:tab w:val="left" w:pos="1132"/>
                <w:tab w:val="left" w:pos="1701"/>
                <w:tab w:val="left" w:pos="2125"/>
                <w:tab w:val="left" w:pos="2550"/>
                <w:tab w:val="left" w:pos="2975"/>
              </w:tabs>
              <w:spacing w:line="240" w:lineRule="exact"/>
              <w:jc w:val="center"/>
              <w:rPr>
                <w:sz w:val="22"/>
                <w:rtl/>
              </w:rPr>
            </w:pPr>
          </w:p>
        </w:tc>
        <w:tc>
          <w:tcPr>
            <w:tcW w:w="1134" w:type="dxa"/>
            <w:tcBorders>
              <w:bottom w:val="single" w:sz="6" w:space="0" w:color="auto"/>
            </w:tcBorders>
            <w:shd w:val="clear" w:color="auto" w:fill="auto"/>
            <w:vAlign w:val="bottom"/>
          </w:tcPr>
          <w:p w14:paraId="0CE1DEB0" w14:textId="77777777" w:rsidR="00AC60B5" w:rsidRPr="00351624" w:rsidRDefault="00AC60B5" w:rsidP="004C3B79">
            <w:pPr>
              <w:tabs>
                <w:tab w:val="left" w:pos="1132"/>
                <w:tab w:val="left" w:pos="1701"/>
                <w:tab w:val="left" w:pos="2125"/>
                <w:tab w:val="left" w:pos="2550"/>
                <w:tab w:val="left" w:pos="2975"/>
              </w:tabs>
              <w:spacing w:line="240" w:lineRule="exact"/>
              <w:jc w:val="center"/>
              <w:rPr>
                <w:sz w:val="22"/>
              </w:rPr>
            </w:pPr>
            <w:r w:rsidRPr="00351624">
              <w:rPr>
                <w:sz w:val="22"/>
                <w:rtl/>
              </w:rPr>
              <w:t>בהתאם למדיניות הקודמת</w:t>
            </w:r>
          </w:p>
        </w:tc>
        <w:tc>
          <w:tcPr>
            <w:tcW w:w="142" w:type="dxa"/>
            <w:vAlign w:val="bottom"/>
          </w:tcPr>
          <w:p w14:paraId="5028AF5F" w14:textId="77777777" w:rsidR="00AC60B5" w:rsidRPr="00351624" w:rsidRDefault="00AC60B5" w:rsidP="004C3B79">
            <w:pPr>
              <w:tabs>
                <w:tab w:val="left" w:pos="1132"/>
                <w:tab w:val="left" w:pos="1701"/>
                <w:tab w:val="left" w:pos="2125"/>
                <w:tab w:val="left" w:pos="2550"/>
                <w:tab w:val="left" w:pos="2975"/>
              </w:tabs>
              <w:spacing w:line="240" w:lineRule="exact"/>
              <w:jc w:val="center"/>
              <w:rPr>
                <w:sz w:val="22"/>
                <w:rtl/>
              </w:rPr>
            </w:pPr>
          </w:p>
        </w:tc>
        <w:tc>
          <w:tcPr>
            <w:tcW w:w="851" w:type="dxa"/>
            <w:tcBorders>
              <w:bottom w:val="single" w:sz="6" w:space="0" w:color="auto"/>
            </w:tcBorders>
            <w:vAlign w:val="bottom"/>
          </w:tcPr>
          <w:p w14:paraId="43DCBA82" w14:textId="77777777" w:rsidR="00AC60B5" w:rsidRPr="00351624" w:rsidRDefault="00AC60B5" w:rsidP="004C3B79">
            <w:pPr>
              <w:tabs>
                <w:tab w:val="left" w:pos="1132"/>
                <w:tab w:val="left" w:pos="1701"/>
                <w:tab w:val="left" w:pos="2125"/>
                <w:tab w:val="left" w:pos="2550"/>
                <w:tab w:val="left" w:pos="2975"/>
              </w:tabs>
              <w:spacing w:line="240" w:lineRule="exact"/>
              <w:jc w:val="center"/>
              <w:rPr>
                <w:sz w:val="22"/>
                <w:rtl/>
              </w:rPr>
            </w:pPr>
            <w:r w:rsidRPr="00351624">
              <w:rPr>
                <w:sz w:val="22"/>
                <w:rtl/>
              </w:rPr>
              <w:t>השינוי</w:t>
            </w:r>
          </w:p>
        </w:tc>
        <w:tc>
          <w:tcPr>
            <w:tcW w:w="141" w:type="dxa"/>
            <w:vAlign w:val="bottom"/>
          </w:tcPr>
          <w:p w14:paraId="05EBF5C1" w14:textId="77777777" w:rsidR="00AC60B5" w:rsidRPr="00351624" w:rsidRDefault="00AC60B5" w:rsidP="004C3B79">
            <w:pPr>
              <w:tabs>
                <w:tab w:val="left" w:pos="1132"/>
                <w:tab w:val="left" w:pos="1701"/>
                <w:tab w:val="left" w:pos="2125"/>
                <w:tab w:val="left" w:pos="2550"/>
                <w:tab w:val="left" w:pos="2975"/>
              </w:tabs>
              <w:spacing w:line="240" w:lineRule="exact"/>
              <w:rPr>
                <w:sz w:val="22"/>
                <w:u w:val="single"/>
                <w:rtl/>
              </w:rPr>
            </w:pPr>
          </w:p>
        </w:tc>
        <w:tc>
          <w:tcPr>
            <w:tcW w:w="976" w:type="dxa"/>
            <w:tcBorders>
              <w:bottom w:val="single" w:sz="6" w:space="0" w:color="auto"/>
            </w:tcBorders>
            <w:vAlign w:val="bottom"/>
          </w:tcPr>
          <w:p w14:paraId="483FAF80" w14:textId="77777777" w:rsidR="00AC60B5" w:rsidRPr="00351624" w:rsidRDefault="00AC60B5" w:rsidP="004C3B79">
            <w:pPr>
              <w:tabs>
                <w:tab w:val="left" w:pos="1132"/>
                <w:tab w:val="left" w:pos="1701"/>
                <w:tab w:val="left" w:pos="2125"/>
                <w:tab w:val="left" w:pos="2550"/>
                <w:tab w:val="left" w:pos="2975"/>
              </w:tabs>
              <w:spacing w:line="240" w:lineRule="exact"/>
              <w:ind w:left="57" w:hanging="57"/>
              <w:jc w:val="center"/>
              <w:rPr>
                <w:sz w:val="22"/>
                <w:rtl/>
              </w:rPr>
            </w:pPr>
            <w:r w:rsidRPr="00351624">
              <w:rPr>
                <w:rFonts w:hint="cs"/>
                <w:sz w:val="22"/>
                <w:rtl/>
              </w:rPr>
              <w:t xml:space="preserve">כפי שמוצג </w:t>
            </w:r>
            <w:r w:rsidRPr="00351624">
              <w:rPr>
                <w:sz w:val="22"/>
                <w:rtl/>
              </w:rPr>
              <w:t xml:space="preserve">בהתאם ל- </w:t>
            </w:r>
            <w:r w:rsidRPr="00351624">
              <w:rPr>
                <w:szCs w:val="22"/>
              </w:rPr>
              <w:t>IFRS 16</w:t>
            </w:r>
          </w:p>
        </w:tc>
      </w:tr>
      <w:tr w:rsidR="00AC60B5" w:rsidRPr="00351624" w14:paraId="3F528754" w14:textId="77777777" w:rsidTr="004C3B79">
        <w:trPr>
          <w:gridAfter w:val="1"/>
          <w:wAfter w:w="17" w:type="dxa"/>
        </w:trPr>
        <w:tc>
          <w:tcPr>
            <w:tcW w:w="3119" w:type="dxa"/>
            <w:vAlign w:val="bottom"/>
          </w:tcPr>
          <w:p w14:paraId="05BE6EAE"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u w:val="single"/>
                <w:rtl/>
              </w:rPr>
            </w:pPr>
          </w:p>
        </w:tc>
        <w:tc>
          <w:tcPr>
            <w:tcW w:w="141" w:type="dxa"/>
            <w:vAlign w:val="bottom"/>
          </w:tcPr>
          <w:p w14:paraId="75A8AEE6"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3244" w:type="dxa"/>
            <w:gridSpan w:val="5"/>
            <w:tcBorders>
              <w:bottom w:val="single" w:sz="6" w:space="0" w:color="auto"/>
            </w:tcBorders>
            <w:shd w:val="clear" w:color="auto" w:fill="auto"/>
            <w:vAlign w:val="bottom"/>
          </w:tcPr>
          <w:p w14:paraId="634A9567" w14:textId="77777777" w:rsidR="00AC60B5" w:rsidRPr="00351624" w:rsidRDefault="00AC60B5" w:rsidP="004C3B79">
            <w:pPr>
              <w:tabs>
                <w:tab w:val="decimal" w:pos="113"/>
                <w:tab w:val="left" w:pos="1132"/>
                <w:tab w:val="left" w:pos="1701"/>
                <w:tab w:val="left" w:pos="2125"/>
                <w:tab w:val="left" w:pos="2550"/>
                <w:tab w:val="left" w:pos="2975"/>
              </w:tabs>
              <w:spacing w:line="240" w:lineRule="exact"/>
              <w:jc w:val="center"/>
              <w:rPr>
                <w:sz w:val="22"/>
                <w:rtl/>
              </w:rPr>
            </w:pPr>
            <w:r w:rsidRPr="00351624">
              <w:rPr>
                <w:rFonts w:hint="cs"/>
                <w:sz w:val="22"/>
                <w:rtl/>
              </w:rPr>
              <w:t>אלפי ש"ח</w:t>
            </w:r>
          </w:p>
        </w:tc>
      </w:tr>
      <w:tr w:rsidR="00AC60B5" w:rsidRPr="00351624" w14:paraId="2645917E" w14:textId="77777777" w:rsidTr="004C3B79">
        <w:trPr>
          <w:gridAfter w:val="1"/>
          <w:wAfter w:w="17" w:type="dxa"/>
        </w:trPr>
        <w:tc>
          <w:tcPr>
            <w:tcW w:w="3119" w:type="dxa"/>
            <w:vAlign w:val="bottom"/>
          </w:tcPr>
          <w:p w14:paraId="5C1E8578" w14:textId="06F56910" w:rsidR="00AC60B5" w:rsidRPr="00351624" w:rsidRDefault="00AC60B5" w:rsidP="00335DB5">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r w:rsidRPr="00351624">
              <w:rPr>
                <w:sz w:val="22"/>
                <w:u w:val="single"/>
                <w:rtl/>
              </w:rPr>
              <w:t xml:space="preserve">ליום </w:t>
            </w:r>
            <w:r w:rsidRPr="00351624">
              <w:rPr>
                <w:rFonts w:hint="cs"/>
                <w:sz w:val="22"/>
                <w:u w:val="single"/>
                <w:rtl/>
              </w:rPr>
              <w:t>1 בינואר,</w:t>
            </w:r>
            <w:r w:rsidRPr="00351624">
              <w:rPr>
                <w:sz w:val="22"/>
                <w:u w:val="single"/>
                <w:rtl/>
              </w:rPr>
              <w:t xml:space="preserve"> </w:t>
            </w:r>
            <w:r w:rsidR="00335DB5">
              <w:rPr>
                <w:rFonts w:hint="cs"/>
                <w:sz w:val="22"/>
                <w:u w:val="single"/>
                <w:rtl/>
              </w:rPr>
              <w:t>2019</w:t>
            </w:r>
          </w:p>
        </w:tc>
        <w:tc>
          <w:tcPr>
            <w:tcW w:w="141" w:type="dxa"/>
            <w:vAlign w:val="bottom"/>
          </w:tcPr>
          <w:p w14:paraId="19F33246"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134" w:type="dxa"/>
            <w:tcBorders>
              <w:top w:val="single" w:sz="6" w:space="0" w:color="auto"/>
            </w:tcBorders>
            <w:shd w:val="clear" w:color="auto" w:fill="auto"/>
            <w:vAlign w:val="bottom"/>
          </w:tcPr>
          <w:p w14:paraId="21DC6D91"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42" w:type="dxa"/>
            <w:tcBorders>
              <w:top w:val="single" w:sz="6" w:space="0" w:color="auto"/>
            </w:tcBorders>
            <w:vAlign w:val="bottom"/>
          </w:tcPr>
          <w:p w14:paraId="206407C1"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851" w:type="dxa"/>
            <w:tcBorders>
              <w:top w:val="single" w:sz="6" w:space="0" w:color="auto"/>
            </w:tcBorders>
            <w:vAlign w:val="bottom"/>
          </w:tcPr>
          <w:p w14:paraId="388A33CE"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141" w:type="dxa"/>
            <w:tcBorders>
              <w:top w:val="single" w:sz="6" w:space="0" w:color="auto"/>
            </w:tcBorders>
            <w:vAlign w:val="bottom"/>
          </w:tcPr>
          <w:p w14:paraId="28F2449F"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976" w:type="dxa"/>
            <w:tcBorders>
              <w:top w:val="single" w:sz="6" w:space="0" w:color="auto"/>
            </w:tcBorders>
            <w:vAlign w:val="bottom"/>
          </w:tcPr>
          <w:p w14:paraId="713F58FB"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r>
      <w:tr w:rsidR="00AC60B5" w:rsidRPr="00351624" w14:paraId="7A753F1E" w14:textId="77777777" w:rsidTr="004C3B79">
        <w:trPr>
          <w:gridAfter w:val="1"/>
          <w:wAfter w:w="17" w:type="dxa"/>
        </w:trPr>
        <w:tc>
          <w:tcPr>
            <w:tcW w:w="3119" w:type="dxa"/>
            <w:vAlign w:val="bottom"/>
          </w:tcPr>
          <w:p w14:paraId="55EB4F6F"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u w:val="single"/>
                <w:rtl/>
              </w:rPr>
            </w:pPr>
          </w:p>
        </w:tc>
        <w:tc>
          <w:tcPr>
            <w:tcW w:w="141" w:type="dxa"/>
            <w:vAlign w:val="bottom"/>
          </w:tcPr>
          <w:p w14:paraId="3F534C29"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134" w:type="dxa"/>
            <w:shd w:val="clear" w:color="auto" w:fill="auto"/>
            <w:vAlign w:val="bottom"/>
          </w:tcPr>
          <w:p w14:paraId="799D9DE1"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42" w:type="dxa"/>
            <w:vAlign w:val="bottom"/>
          </w:tcPr>
          <w:p w14:paraId="2EBEAA8A"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851" w:type="dxa"/>
            <w:vAlign w:val="bottom"/>
          </w:tcPr>
          <w:p w14:paraId="63A135E4"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3A9D49CA"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976" w:type="dxa"/>
            <w:vAlign w:val="bottom"/>
          </w:tcPr>
          <w:p w14:paraId="3F249BAE"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r>
      <w:tr w:rsidR="00AC60B5" w:rsidRPr="00351624" w14:paraId="00EFB186" w14:textId="77777777" w:rsidTr="004C3B79">
        <w:trPr>
          <w:gridAfter w:val="1"/>
          <w:wAfter w:w="17" w:type="dxa"/>
        </w:trPr>
        <w:tc>
          <w:tcPr>
            <w:tcW w:w="3119" w:type="dxa"/>
            <w:vAlign w:val="bottom"/>
          </w:tcPr>
          <w:p w14:paraId="7F036B17"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u w:val="single"/>
                <w:rtl/>
              </w:rPr>
            </w:pPr>
            <w:r w:rsidRPr="00351624">
              <w:rPr>
                <w:rFonts w:hint="cs"/>
                <w:sz w:val="22"/>
                <w:u w:val="single"/>
                <w:rtl/>
              </w:rPr>
              <w:t>נכסים שוטפים</w:t>
            </w:r>
          </w:p>
        </w:tc>
        <w:tc>
          <w:tcPr>
            <w:tcW w:w="141" w:type="dxa"/>
            <w:vAlign w:val="bottom"/>
          </w:tcPr>
          <w:p w14:paraId="413041AC"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134" w:type="dxa"/>
            <w:shd w:val="clear" w:color="auto" w:fill="auto"/>
            <w:vAlign w:val="bottom"/>
          </w:tcPr>
          <w:p w14:paraId="7354481C"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42" w:type="dxa"/>
            <w:vAlign w:val="bottom"/>
          </w:tcPr>
          <w:p w14:paraId="035F5835"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851" w:type="dxa"/>
            <w:vAlign w:val="bottom"/>
          </w:tcPr>
          <w:p w14:paraId="7BC78A72"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3117232A"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976" w:type="dxa"/>
            <w:vAlign w:val="bottom"/>
          </w:tcPr>
          <w:p w14:paraId="5FACBD86"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r>
      <w:tr w:rsidR="00AC60B5" w:rsidRPr="00351624" w14:paraId="60C19E62" w14:textId="77777777" w:rsidTr="004C3B79">
        <w:trPr>
          <w:gridAfter w:val="1"/>
          <w:wAfter w:w="17" w:type="dxa"/>
        </w:trPr>
        <w:tc>
          <w:tcPr>
            <w:tcW w:w="3119" w:type="dxa"/>
            <w:vAlign w:val="bottom"/>
          </w:tcPr>
          <w:p w14:paraId="067A0E1E"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u w:val="single"/>
                <w:rtl/>
              </w:rPr>
            </w:pPr>
          </w:p>
        </w:tc>
        <w:tc>
          <w:tcPr>
            <w:tcW w:w="141" w:type="dxa"/>
            <w:vAlign w:val="bottom"/>
          </w:tcPr>
          <w:p w14:paraId="137C3D5D"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134" w:type="dxa"/>
            <w:shd w:val="clear" w:color="auto" w:fill="auto"/>
            <w:vAlign w:val="bottom"/>
          </w:tcPr>
          <w:p w14:paraId="204ADB0F"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42" w:type="dxa"/>
            <w:vAlign w:val="bottom"/>
          </w:tcPr>
          <w:p w14:paraId="72C2807B"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851" w:type="dxa"/>
            <w:vAlign w:val="bottom"/>
          </w:tcPr>
          <w:p w14:paraId="2AC7DD48"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5080CA87"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976" w:type="dxa"/>
            <w:vAlign w:val="bottom"/>
          </w:tcPr>
          <w:p w14:paraId="77E67FCC"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r>
      <w:tr w:rsidR="00AC60B5" w:rsidRPr="00351624" w14:paraId="0BF4B46B" w14:textId="77777777" w:rsidTr="004C3B79">
        <w:trPr>
          <w:gridAfter w:val="1"/>
          <w:wAfter w:w="17" w:type="dxa"/>
        </w:trPr>
        <w:tc>
          <w:tcPr>
            <w:tcW w:w="3119" w:type="dxa"/>
            <w:vAlign w:val="bottom"/>
          </w:tcPr>
          <w:p w14:paraId="7EE5F761"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r w:rsidRPr="00351624">
              <w:rPr>
                <w:rFonts w:hint="cs"/>
                <w:sz w:val="22"/>
                <w:rtl/>
              </w:rPr>
              <w:t xml:space="preserve">חייבים בגין חכירה </w:t>
            </w:r>
            <w:r>
              <w:rPr>
                <w:rFonts w:hint="cs"/>
                <w:sz w:val="22"/>
                <w:rtl/>
              </w:rPr>
              <w:t>מימונית</w:t>
            </w:r>
          </w:p>
        </w:tc>
        <w:tc>
          <w:tcPr>
            <w:tcW w:w="141" w:type="dxa"/>
            <w:vAlign w:val="bottom"/>
          </w:tcPr>
          <w:p w14:paraId="57504603"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134" w:type="dxa"/>
            <w:tcBorders>
              <w:bottom w:val="single" w:sz="4" w:space="0" w:color="auto"/>
            </w:tcBorders>
            <w:shd w:val="clear" w:color="auto" w:fill="auto"/>
            <w:vAlign w:val="bottom"/>
          </w:tcPr>
          <w:p w14:paraId="3D9AD202"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42" w:type="dxa"/>
            <w:vAlign w:val="bottom"/>
          </w:tcPr>
          <w:p w14:paraId="7777664C"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851" w:type="dxa"/>
            <w:tcBorders>
              <w:bottom w:val="single" w:sz="4" w:space="0" w:color="auto"/>
            </w:tcBorders>
            <w:vAlign w:val="bottom"/>
          </w:tcPr>
          <w:p w14:paraId="3A9C6E11"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1E3750C7"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976" w:type="dxa"/>
            <w:tcBorders>
              <w:bottom w:val="single" w:sz="4" w:space="0" w:color="auto"/>
            </w:tcBorders>
            <w:vAlign w:val="bottom"/>
          </w:tcPr>
          <w:p w14:paraId="4B22AA86"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r>
      <w:tr w:rsidR="00AC60B5" w:rsidRPr="00351624" w14:paraId="30868157" w14:textId="77777777" w:rsidTr="004C3B79">
        <w:trPr>
          <w:gridAfter w:val="1"/>
          <w:wAfter w:w="17" w:type="dxa"/>
        </w:trPr>
        <w:tc>
          <w:tcPr>
            <w:tcW w:w="3119" w:type="dxa"/>
            <w:vAlign w:val="bottom"/>
          </w:tcPr>
          <w:p w14:paraId="45BA2943"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r w:rsidRPr="00351624">
              <w:rPr>
                <w:rFonts w:hint="cs"/>
                <w:sz w:val="22"/>
                <w:rtl/>
              </w:rPr>
              <w:t>חייבים ויתרות חובה</w:t>
            </w:r>
          </w:p>
        </w:tc>
        <w:tc>
          <w:tcPr>
            <w:tcW w:w="141" w:type="dxa"/>
            <w:vAlign w:val="bottom"/>
          </w:tcPr>
          <w:p w14:paraId="11CDD89E"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134" w:type="dxa"/>
            <w:tcBorders>
              <w:top w:val="single" w:sz="4" w:space="0" w:color="auto"/>
              <w:bottom w:val="single" w:sz="4" w:space="0" w:color="auto"/>
            </w:tcBorders>
            <w:shd w:val="clear" w:color="auto" w:fill="auto"/>
            <w:vAlign w:val="bottom"/>
          </w:tcPr>
          <w:p w14:paraId="20FBE0BE"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42" w:type="dxa"/>
            <w:vAlign w:val="bottom"/>
          </w:tcPr>
          <w:p w14:paraId="79E9AD77"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851" w:type="dxa"/>
            <w:tcBorders>
              <w:top w:val="single" w:sz="4" w:space="0" w:color="auto"/>
              <w:bottom w:val="single" w:sz="4" w:space="0" w:color="auto"/>
            </w:tcBorders>
            <w:vAlign w:val="bottom"/>
          </w:tcPr>
          <w:p w14:paraId="14B0A345"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57745D6A"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976" w:type="dxa"/>
            <w:tcBorders>
              <w:top w:val="single" w:sz="4" w:space="0" w:color="auto"/>
              <w:bottom w:val="single" w:sz="4" w:space="0" w:color="auto"/>
            </w:tcBorders>
            <w:vAlign w:val="bottom"/>
          </w:tcPr>
          <w:p w14:paraId="26309310"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r>
      <w:tr w:rsidR="00AC60B5" w:rsidRPr="00351624" w14:paraId="60F039DF" w14:textId="77777777" w:rsidTr="004C3B79">
        <w:trPr>
          <w:gridAfter w:val="1"/>
          <w:wAfter w:w="17" w:type="dxa"/>
        </w:trPr>
        <w:tc>
          <w:tcPr>
            <w:tcW w:w="3119" w:type="dxa"/>
            <w:vAlign w:val="bottom"/>
          </w:tcPr>
          <w:p w14:paraId="331CA6BF"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p>
        </w:tc>
        <w:tc>
          <w:tcPr>
            <w:tcW w:w="141" w:type="dxa"/>
            <w:vAlign w:val="bottom"/>
          </w:tcPr>
          <w:p w14:paraId="6D35B371"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134" w:type="dxa"/>
            <w:tcBorders>
              <w:top w:val="single" w:sz="4" w:space="0" w:color="auto"/>
            </w:tcBorders>
            <w:shd w:val="clear" w:color="auto" w:fill="auto"/>
            <w:vAlign w:val="bottom"/>
          </w:tcPr>
          <w:p w14:paraId="4031EFE2"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42" w:type="dxa"/>
            <w:vAlign w:val="bottom"/>
          </w:tcPr>
          <w:p w14:paraId="56CC986D"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851" w:type="dxa"/>
            <w:tcBorders>
              <w:top w:val="single" w:sz="4" w:space="0" w:color="auto"/>
            </w:tcBorders>
            <w:vAlign w:val="bottom"/>
          </w:tcPr>
          <w:p w14:paraId="020079F3"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6753056A"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976" w:type="dxa"/>
            <w:tcBorders>
              <w:top w:val="single" w:sz="4" w:space="0" w:color="auto"/>
            </w:tcBorders>
            <w:vAlign w:val="bottom"/>
          </w:tcPr>
          <w:p w14:paraId="77039ECE"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r>
      <w:tr w:rsidR="00AC60B5" w:rsidRPr="00351624" w14:paraId="4EBABF7F" w14:textId="77777777" w:rsidTr="004C3B79">
        <w:trPr>
          <w:gridAfter w:val="1"/>
          <w:wAfter w:w="17" w:type="dxa"/>
        </w:trPr>
        <w:tc>
          <w:tcPr>
            <w:tcW w:w="3119" w:type="dxa"/>
            <w:vAlign w:val="bottom"/>
          </w:tcPr>
          <w:p w14:paraId="7AE915B9" w14:textId="3824CA5B"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u w:val="single"/>
                <w:rtl/>
              </w:rPr>
            </w:pPr>
            <w:r w:rsidRPr="00351624">
              <w:rPr>
                <w:rFonts w:hint="cs"/>
                <w:sz w:val="22"/>
                <w:u w:val="single"/>
                <w:rtl/>
              </w:rPr>
              <w:t>נכסים לא שוטפים</w:t>
            </w:r>
            <w:r w:rsidR="00C914E9">
              <w:rPr>
                <w:rStyle w:val="ab"/>
                <w:sz w:val="22"/>
                <w:u w:val="single"/>
                <w:rtl/>
              </w:rPr>
              <w:footnoteReference w:id="74"/>
            </w:r>
          </w:p>
        </w:tc>
        <w:tc>
          <w:tcPr>
            <w:tcW w:w="141" w:type="dxa"/>
            <w:vAlign w:val="bottom"/>
          </w:tcPr>
          <w:p w14:paraId="5AF341C2"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134" w:type="dxa"/>
            <w:shd w:val="clear" w:color="auto" w:fill="auto"/>
            <w:vAlign w:val="bottom"/>
          </w:tcPr>
          <w:p w14:paraId="412E8A84"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42" w:type="dxa"/>
            <w:vAlign w:val="bottom"/>
          </w:tcPr>
          <w:p w14:paraId="3184B808"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851" w:type="dxa"/>
            <w:vAlign w:val="bottom"/>
          </w:tcPr>
          <w:p w14:paraId="4B94C8B9"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25E5356E"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976" w:type="dxa"/>
            <w:vAlign w:val="bottom"/>
          </w:tcPr>
          <w:p w14:paraId="653F76BB"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r>
      <w:tr w:rsidR="00AC60B5" w:rsidRPr="00351624" w14:paraId="25C9D34D" w14:textId="77777777" w:rsidTr="004C3B79">
        <w:trPr>
          <w:gridAfter w:val="1"/>
          <w:wAfter w:w="17" w:type="dxa"/>
        </w:trPr>
        <w:tc>
          <w:tcPr>
            <w:tcW w:w="3119" w:type="dxa"/>
            <w:vAlign w:val="bottom"/>
          </w:tcPr>
          <w:p w14:paraId="6D5143A0"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u w:val="single"/>
                <w:rtl/>
              </w:rPr>
            </w:pPr>
          </w:p>
        </w:tc>
        <w:tc>
          <w:tcPr>
            <w:tcW w:w="141" w:type="dxa"/>
            <w:vAlign w:val="bottom"/>
          </w:tcPr>
          <w:p w14:paraId="619C3ED1"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134" w:type="dxa"/>
            <w:shd w:val="clear" w:color="auto" w:fill="auto"/>
            <w:vAlign w:val="bottom"/>
          </w:tcPr>
          <w:p w14:paraId="4222D522"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42" w:type="dxa"/>
            <w:vAlign w:val="bottom"/>
          </w:tcPr>
          <w:p w14:paraId="4D5740D5"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851" w:type="dxa"/>
            <w:vAlign w:val="bottom"/>
          </w:tcPr>
          <w:p w14:paraId="275F1029"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04FBB423"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976" w:type="dxa"/>
            <w:vAlign w:val="bottom"/>
          </w:tcPr>
          <w:p w14:paraId="473A61E1"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r>
      <w:tr w:rsidR="00AC60B5" w:rsidRPr="00351624" w14:paraId="34931CC4" w14:textId="77777777" w:rsidTr="004C3B79">
        <w:trPr>
          <w:gridAfter w:val="1"/>
          <w:wAfter w:w="17" w:type="dxa"/>
        </w:trPr>
        <w:tc>
          <w:tcPr>
            <w:tcW w:w="3119" w:type="dxa"/>
            <w:vAlign w:val="bottom"/>
          </w:tcPr>
          <w:p w14:paraId="4ABBED4A"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r w:rsidRPr="00351624">
              <w:rPr>
                <w:rFonts w:hint="cs"/>
                <w:sz w:val="22"/>
                <w:rtl/>
              </w:rPr>
              <w:t xml:space="preserve">חייבים בגין חכירה </w:t>
            </w:r>
            <w:r>
              <w:rPr>
                <w:rFonts w:hint="cs"/>
                <w:sz w:val="22"/>
                <w:rtl/>
              </w:rPr>
              <w:t>מימונית</w:t>
            </w:r>
          </w:p>
        </w:tc>
        <w:tc>
          <w:tcPr>
            <w:tcW w:w="141" w:type="dxa"/>
            <w:vAlign w:val="bottom"/>
          </w:tcPr>
          <w:p w14:paraId="268B1231"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134" w:type="dxa"/>
            <w:tcBorders>
              <w:bottom w:val="single" w:sz="4" w:space="0" w:color="auto"/>
            </w:tcBorders>
            <w:shd w:val="clear" w:color="auto" w:fill="auto"/>
            <w:vAlign w:val="bottom"/>
          </w:tcPr>
          <w:p w14:paraId="4045A144"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42" w:type="dxa"/>
            <w:vAlign w:val="bottom"/>
          </w:tcPr>
          <w:p w14:paraId="4A4881C6"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851" w:type="dxa"/>
            <w:tcBorders>
              <w:bottom w:val="single" w:sz="4" w:space="0" w:color="auto"/>
            </w:tcBorders>
            <w:vAlign w:val="bottom"/>
          </w:tcPr>
          <w:p w14:paraId="5AA75B20"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615FBE6E"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976" w:type="dxa"/>
            <w:tcBorders>
              <w:bottom w:val="single" w:sz="4" w:space="0" w:color="auto"/>
            </w:tcBorders>
            <w:vAlign w:val="bottom"/>
          </w:tcPr>
          <w:p w14:paraId="311959B4"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r>
      <w:tr w:rsidR="00AC60B5" w:rsidRPr="00351624" w14:paraId="28CCEC5B" w14:textId="77777777" w:rsidTr="004C3B79">
        <w:trPr>
          <w:gridAfter w:val="1"/>
          <w:wAfter w:w="17" w:type="dxa"/>
        </w:trPr>
        <w:tc>
          <w:tcPr>
            <w:tcW w:w="3119" w:type="dxa"/>
            <w:vAlign w:val="bottom"/>
          </w:tcPr>
          <w:p w14:paraId="0AC364E5"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r w:rsidRPr="00351624">
              <w:rPr>
                <w:rFonts w:hint="cs"/>
                <w:sz w:val="22"/>
                <w:rtl/>
              </w:rPr>
              <w:t>רכוש קבוע</w:t>
            </w:r>
          </w:p>
        </w:tc>
        <w:tc>
          <w:tcPr>
            <w:tcW w:w="141" w:type="dxa"/>
            <w:vAlign w:val="bottom"/>
          </w:tcPr>
          <w:p w14:paraId="050268EE"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134" w:type="dxa"/>
            <w:tcBorders>
              <w:top w:val="single" w:sz="4" w:space="0" w:color="auto"/>
              <w:bottom w:val="single" w:sz="4" w:space="0" w:color="auto"/>
            </w:tcBorders>
            <w:shd w:val="clear" w:color="auto" w:fill="auto"/>
            <w:vAlign w:val="bottom"/>
          </w:tcPr>
          <w:p w14:paraId="48802DBB"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142" w:type="dxa"/>
            <w:vAlign w:val="bottom"/>
          </w:tcPr>
          <w:p w14:paraId="78672C68" w14:textId="77777777" w:rsidR="00AC60B5" w:rsidRPr="00351624" w:rsidRDefault="00AC60B5" w:rsidP="004C3B79">
            <w:pPr>
              <w:tabs>
                <w:tab w:val="left" w:pos="1132"/>
                <w:tab w:val="left" w:pos="1701"/>
                <w:tab w:val="left" w:pos="2125"/>
                <w:tab w:val="left" w:pos="2550"/>
                <w:tab w:val="left" w:pos="2975"/>
              </w:tabs>
              <w:spacing w:line="240" w:lineRule="exact"/>
              <w:rPr>
                <w:sz w:val="22"/>
                <w:rtl/>
              </w:rPr>
            </w:pPr>
          </w:p>
        </w:tc>
        <w:tc>
          <w:tcPr>
            <w:tcW w:w="851" w:type="dxa"/>
            <w:tcBorders>
              <w:top w:val="single" w:sz="4" w:space="0" w:color="auto"/>
              <w:bottom w:val="single" w:sz="4" w:space="0" w:color="auto"/>
            </w:tcBorders>
            <w:vAlign w:val="bottom"/>
          </w:tcPr>
          <w:p w14:paraId="291F8AF1"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3A220E73"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c>
          <w:tcPr>
            <w:tcW w:w="976" w:type="dxa"/>
            <w:tcBorders>
              <w:top w:val="single" w:sz="4" w:space="0" w:color="auto"/>
              <w:bottom w:val="single" w:sz="4" w:space="0" w:color="auto"/>
            </w:tcBorders>
            <w:vAlign w:val="bottom"/>
          </w:tcPr>
          <w:p w14:paraId="479135E2"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sz w:val="22"/>
                <w:rtl/>
              </w:rPr>
            </w:pPr>
          </w:p>
        </w:tc>
      </w:tr>
      <w:tr w:rsidR="00C914E9" w:rsidRPr="00351624" w14:paraId="10323936" w14:textId="77777777" w:rsidTr="00CA3709">
        <w:trPr>
          <w:gridAfter w:val="1"/>
          <w:wAfter w:w="17" w:type="dxa"/>
        </w:trPr>
        <w:tc>
          <w:tcPr>
            <w:tcW w:w="3119" w:type="dxa"/>
            <w:vAlign w:val="bottom"/>
          </w:tcPr>
          <w:p w14:paraId="7D718BB9" w14:textId="5A7D1D98"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r>
              <w:rPr>
                <w:rFonts w:hint="cs"/>
                <w:sz w:val="22"/>
                <w:rtl/>
              </w:rPr>
              <w:t>נדל"ן להשקעה</w:t>
            </w:r>
          </w:p>
        </w:tc>
        <w:tc>
          <w:tcPr>
            <w:tcW w:w="141" w:type="dxa"/>
            <w:vAlign w:val="bottom"/>
          </w:tcPr>
          <w:p w14:paraId="080A45E6"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134" w:type="dxa"/>
            <w:tcBorders>
              <w:top w:val="single" w:sz="4" w:space="0" w:color="auto"/>
            </w:tcBorders>
            <w:shd w:val="clear" w:color="auto" w:fill="auto"/>
            <w:vAlign w:val="bottom"/>
          </w:tcPr>
          <w:p w14:paraId="0D284E9E"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42" w:type="dxa"/>
            <w:vAlign w:val="bottom"/>
          </w:tcPr>
          <w:p w14:paraId="5E5CB081"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851" w:type="dxa"/>
            <w:tcBorders>
              <w:top w:val="single" w:sz="4" w:space="0" w:color="auto"/>
            </w:tcBorders>
            <w:vAlign w:val="bottom"/>
          </w:tcPr>
          <w:p w14:paraId="24EC2C0B"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13625A0C"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976" w:type="dxa"/>
            <w:tcBorders>
              <w:top w:val="single" w:sz="4" w:space="0" w:color="auto"/>
            </w:tcBorders>
            <w:vAlign w:val="bottom"/>
          </w:tcPr>
          <w:p w14:paraId="3F252CBE"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r>
      <w:tr w:rsidR="00C914E9" w:rsidRPr="00351624" w14:paraId="4C2573BC" w14:textId="77777777" w:rsidTr="00CA3709">
        <w:trPr>
          <w:gridAfter w:val="1"/>
          <w:wAfter w:w="17" w:type="dxa"/>
        </w:trPr>
        <w:tc>
          <w:tcPr>
            <w:tcW w:w="3119" w:type="dxa"/>
            <w:vAlign w:val="bottom"/>
          </w:tcPr>
          <w:p w14:paraId="520EAA4E" w14:textId="4FBC0569"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r>
              <w:rPr>
                <w:rFonts w:hint="cs"/>
                <w:sz w:val="22"/>
                <w:rtl/>
              </w:rPr>
              <w:t>נכסים בלתי מוחשיים</w:t>
            </w:r>
          </w:p>
        </w:tc>
        <w:tc>
          <w:tcPr>
            <w:tcW w:w="141" w:type="dxa"/>
            <w:vAlign w:val="bottom"/>
          </w:tcPr>
          <w:p w14:paraId="17A86115"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134" w:type="dxa"/>
            <w:tcBorders>
              <w:top w:val="single" w:sz="4" w:space="0" w:color="auto"/>
            </w:tcBorders>
            <w:shd w:val="clear" w:color="auto" w:fill="auto"/>
            <w:vAlign w:val="bottom"/>
          </w:tcPr>
          <w:p w14:paraId="31A127F0"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42" w:type="dxa"/>
            <w:vAlign w:val="bottom"/>
          </w:tcPr>
          <w:p w14:paraId="0E85FCB4"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851" w:type="dxa"/>
            <w:tcBorders>
              <w:top w:val="single" w:sz="4" w:space="0" w:color="auto"/>
            </w:tcBorders>
            <w:vAlign w:val="bottom"/>
          </w:tcPr>
          <w:p w14:paraId="453C490D"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34CB5263"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976" w:type="dxa"/>
            <w:tcBorders>
              <w:top w:val="single" w:sz="4" w:space="0" w:color="auto"/>
            </w:tcBorders>
            <w:vAlign w:val="bottom"/>
          </w:tcPr>
          <w:p w14:paraId="7724718F"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r>
      <w:tr w:rsidR="00C914E9" w:rsidRPr="00351624" w14:paraId="51A6108E" w14:textId="77777777" w:rsidTr="00CA3709">
        <w:trPr>
          <w:gridAfter w:val="1"/>
          <w:wAfter w:w="17" w:type="dxa"/>
        </w:trPr>
        <w:tc>
          <w:tcPr>
            <w:tcW w:w="3119" w:type="dxa"/>
            <w:vAlign w:val="bottom"/>
          </w:tcPr>
          <w:p w14:paraId="46A85161" w14:textId="77F65CB6"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r w:rsidRPr="00351624">
              <w:rPr>
                <w:rFonts w:hint="cs"/>
                <w:sz w:val="22"/>
                <w:rtl/>
              </w:rPr>
              <w:t>נכסי זכות שימוש</w:t>
            </w:r>
          </w:p>
        </w:tc>
        <w:tc>
          <w:tcPr>
            <w:tcW w:w="141" w:type="dxa"/>
            <w:vAlign w:val="bottom"/>
          </w:tcPr>
          <w:p w14:paraId="4246DF4A"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134" w:type="dxa"/>
            <w:tcBorders>
              <w:top w:val="single" w:sz="4" w:space="0" w:color="auto"/>
              <w:bottom w:val="single" w:sz="4" w:space="0" w:color="auto"/>
            </w:tcBorders>
            <w:shd w:val="clear" w:color="auto" w:fill="auto"/>
            <w:vAlign w:val="bottom"/>
          </w:tcPr>
          <w:p w14:paraId="33F0E6AF"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42" w:type="dxa"/>
            <w:vAlign w:val="bottom"/>
          </w:tcPr>
          <w:p w14:paraId="3BCEA862"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851" w:type="dxa"/>
            <w:tcBorders>
              <w:top w:val="single" w:sz="4" w:space="0" w:color="auto"/>
              <w:bottom w:val="single" w:sz="4" w:space="0" w:color="auto"/>
            </w:tcBorders>
            <w:vAlign w:val="bottom"/>
          </w:tcPr>
          <w:p w14:paraId="021E8528"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67E702EE"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976" w:type="dxa"/>
            <w:tcBorders>
              <w:top w:val="single" w:sz="4" w:space="0" w:color="auto"/>
              <w:bottom w:val="single" w:sz="4" w:space="0" w:color="auto"/>
            </w:tcBorders>
            <w:vAlign w:val="bottom"/>
          </w:tcPr>
          <w:p w14:paraId="24685588"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r>
      <w:tr w:rsidR="00C914E9" w:rsidRPr="00351624" w14:paraId="538BF4FB" w14:textId="77777777" w:rsidTr="00CA3709">
        <w:trPr>
          <w:gridAfter w:val="1"/>
          <w:wAfter w:w="17" w:type="dxa"/>
        </w:trPr>
        <w:tc>
          <w:tcPr>
            <w:tcW w:w="3119" w:type="dxa"/>
            <w:vAlign w:val="bottom"/>
          </w:tcPr>
          <w:p w14:paraId="55DFCA7B"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p>
        </w:tc>
        <w:tc>
          <w:tcPr>
            <w:tcW w:w="141" w:type="dxa"/>
            <w:vAlign w:val="bottom"/>
          </w:tcPr>
          <w:p w14:paraId="0567BFA8"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134" w:type="dxa"/>
            <w:tcBorders>
              <w:top w:val="single" w:sz="4" w:space="0" w:color="auto"/>
            </w:tcBorders>
            <w:shd w:val="clear" w:color="auto" w:fill="auto"/>
            <w:vAlign w:val="bottom"/>
          </w:tcPr>
          <w:p w14:paraId="783043E1"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42" w:type="dxa"/>
            <w:vAlign w:val="bottom"/>
          </w:tcPr>
          <w:p w14:paraId="6EA90340"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851" w:type="dxa"/>
            <w:tcBorders>
              <w:top w:val="single" w:sz="4" w:space="0" w:color="auto"/>
            </w:tcBorders>
            <w:vAlign w:val="bottom"/>
          </w:tcPr>
          <w:p w14:paraId="64EE9978"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30828E1A"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976" w:type="dxa"/>
            <w:tcBorders>
              <w:top w:val="single" w:sz="4" w:space="0" w:color="auto"/>
            </w:tcBorders>
            <w:vAlign w:val="bottom"/>
          </w:tcPr>
          <w:p w14:paraId="1B923871"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r>
      <w:tr w:rsidR="00C914E9" w:rsidRPr="00351624" w14:paraId="655850CE" w14:textId="77777777" w:rsidTr="004C3B79">
        <w:trPr>
          <w:gridAfter w:val="1"/>
          <w:wAfter w:w="17" w:type="dxa"/>
        </w:trPr>
        <w:tc>
          <w:tcPr>
            <w:tcW w:w="3119" w:type="dxa"/>
            <w:vAlign w:val="bottom"/>
          </w:tcPr>
          <w:p w14:paraId="3B422849"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u w:val="single"/>
                <w:rtl/>
              </w:rPr>
            </w:pPr>
            <w:r w:rsidRPr="00351624">
              <w:rPr>
                <w:rFonts w:hint="cs"/>
                <w:sz w:val="22"/>
                <w:u w:val="single"/>
                <w:rtl/>
              </w:rPr>
              <w:t>התחייבויות שוטפות</w:t>
            </w:r>
          </w:p>
        </w:tc>
        <w:tc>
          <w:tcPr>
            <w:tcW w:w="141" w:type="dxa"/>
            <w:vAlign w:val="bottom"/>
          </w:tcPr>
          <w:p w14:paraId="74104FF5"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134" w:type="dxa"/>
            <w:shd w:val="clear" w:color="auto" w:fill="auto"/>
            <w:vAlign w:val="bottom"/>
          </w:tcPr>
          <w:p w14:paraId="30D8693C"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42" w:type="dxa"/>
            <w:vAlign w:val="bottom"/>
          </w:tcPr>
          <w:p w14:paraId="7949E6C1"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851" w:type="dxa"/>
            <w:vAlign w:val="bottom"/>
          </w:tcPr>
          <w:p w14:paraId="232670A7"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14BC77EF"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976" w:type="dxa"/>
            <w:vAlign w:val="bottom"/>
          </w:tcPr>
          <w:p w14:paraId="1D51C752"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r>
      <w:tr w:rsidR="00C914E9" w:rsidRPr="00351624" w14:paraId="51E2E427" w14:textId="77777777" w:rsidTr="004C3B79">
        <w:trPr>
          <w:gridAfter w:val="1"/>
          <w:wAfter w:w="17" w:type="dxa"/>
        </w:trPr>
        <w:tc>
          <w:tcPr>
            <w:tcW w:w="3119" w:type="dxa"/>
            <w:vAlign w:val="bottom"/>
          </w:tcPr>
          <w:p w14:paraId="0820DBA3"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u w:val="single"/>
                <w:rtl/>
              </w:rPr>
            </w:pPr>
          </w:p>
        </w:tc>
        <w:tc>
          <w:tcPr>
            <w:tcW w:w="141" w:type="dxa"/>
            <w:vAlign w:val="bottom"/>
          </w:tcPr>
          <w:p w14:paraId="6F96A5CC"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134" w:type="dxa"/>
            <w:shd w:val="clear" w:color="auto" w:fill="auto"/>
            <w:vAlign w:val="bottom"/>
          </w:tcPr>
          <w:p w14:paraId="01637C0C"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42" w:type="dxa"/>
            <w:vAlign w:val="bottom"/>
          </w:tcPr>
          <w:p w14:paraId="609A926D"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851" w:type="dxa"/>
            <w:vAlign w:val="bottom"/>
          </w:tcPr>
          <w:p w14:paraId="24F05709"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3347C7BE"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976" w:type="dxa"/>
            <w:vAlign w:val="bottom"/>
          </w:tcPr>
          <w:p w14:paraId="63C684D6"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r>
      <w:tr w:rsidR="00C914E9" w:rsidRPr="00351624" w14:paraId="6E4EDACC" w14:textId="77777777" w:rsidTr="004C3B79">
        <w:trPr>
          <w:gridAfter w:val="1"/>
          <w:wAfter w:w="17" w:type="dxa"/>
        </w:trPr>
        <w:tc>
          <w:tcPr>
            <w:tcW w:w="3119" w:type="dxa"/>
            <w:vAlign w:val="bottom"/>
          </w:tcPr>
          <w:p w14:paraId="085780EA"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r w:rsidRPr="00351624">
              <w:rPr>
                <w:rFonts w:hint="cs"/>
                <w:sz w:val="22"/>
                <w:rtl/>
              </w:rPr>
              <w:t>חלות שוטפת של התחייבות בגין חכירה</w:t>
            </w:r>
          </w:p>
        </w:tc>
        <w:tc>
          <w:tcPr>
            <w:tcW w:w="141" w:type="dxa"/>
            <w:vAlign w:val="bottom"/>
          </w:tcPr>
          <w:p w14:paraId="1FF95532"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134" w:type="dxa"/>
            <w:tcBorders>
              <w:bottom w:val="single" w:sz="4" w:space="0" w:color="auto"/>
            </w:tcBorders>
            <w:shd w:val="clear" w:color="auto" w:fill="auto"/>
            <w:vAlign w:val="bottom"/>
          </w:tcPr>
          <w:p w14:paraId="3B461DE1"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42" w:type="dxa"/>
            <w:vAlign w:val="bottom"/>
          </w:tcPr>
          <w:p w14:paraId="0BF51BDB"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851" w:type="dxa"/>
            <w:tcBorders>
              <w:bottom w:val="single" w:sz="4" w:space="0" w:color="auto"/>
            </w:tcBorders>
            <w:vAlign w:val="bottom"/>
          </w:tcPr>
          <w:p w14:paraId="553A4F3D"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38FEB738"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976" w:type="dxa"/>
            <w:tcBorders>
              <w:bottom w:val="single" w:sz="4" w:space="0" w:color="auto"/>
            </w:tcBorders>
            <w:vAlign w:val="bottom"/>
          </w:tcPr>
          <w:p w14:paraId="1EC7B3F1"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r>
      <w:tr w:rsidR="00C914E9" w:rsidRPr="00351624" w14:paraId="396D1977" w14:textId="77777777" w:rsidTr="004C3B79">
        <w:trPr>
          <w:gridAfter w:val="1"/>
          <w:wAfter w:w="17" w:type="dxa"/>
        </w:trPr>
        <w:tc>
          <w:tcPr>
            <w:tcW w:w="3119" w:type="dxa"/>
            <w:vAlign w:val="bottom"/>
          </w:tcPr>
          <w:p w14:paraId="622CB16E"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r w:rsidRPr="00351624">
              <w:rPr>
                <w:rFonts w:hint="cs"/>
                <w:sz w:val="22"/>
                <w:rtl/>
              </w:rPr>
              <w:t>זכאים ויתרות זכות</w:t>
            </w:r>
          </w:p>
        </w:tc>
        <w:tc>
          <w:tcPr>
            <w:tcW w:w="141" w:type="dxa"/>
            <w:vAlign w:val="bottom"/>
          </w:tcPr>
          <w:p w14:paraId="679FA366"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134" w:type="dxa"/>
            <w:tcBorders>
              <w:top w:val="single" w:sz="4" w:space="0" w:color="auto"/>
              <w:bottom w:val="single" w:sz="4" w:space="0" w:color="auto"/>
            </w:tcBorders>
            <w:shd w:val="clear" w:color="auto" w:fill="auto"/>
            <w:vAlign w:val="bottom"/>
          </w:tcPr>
          <w:p w14:paraId="724C631B"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42" w:type="dxa"/>
            <w:vAlign w:val="bottom"/>
          </w:tcPr>
          <w:p w14:paraId="778307F4"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851" w:type="dxa"/>
            <w:tcBorders>
              <w:top w:val="single" w:sz="4" w:space="0" w:color="auto"/>
              <w:bottom w:val="single" w:sz="4" w:space="0" w:color="auto"/>
            </w:tcBorders>
            <w:vAlign w:val="bottom"/>
          </w:tcPr>
          <w:p w14:paraId="78D5134C"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21524DF6"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976" w:type="dxa"/>
            <w:tcBorders>
              <w:top w:val="single" w:sz="4" w:space="0" w:color="auto"/>
              <w:bottom w:val="single" w:sz="4" w:space="0" w:color="auto"/>
            </w:tcBorders>
            <w:vAlign w:val="bottom"/>
          </w:tcPr>
          <w:p w14:paraId="6D8599E0"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r>
      <w:tr w:rsidR="00C914E9" w:rsidRPr="00351624" w14:paraId="5235909F" w14:textId="77777777" w:rsidTr="004C3B79">
        <w:trPr>
          <w:gridAfter w:val="1"/>
          <w:wAfter w:w="17" w:type="dxa"/>
        </w:trPr>
        <w:tc>
          <w:tcPr>
            <w:tcW w:w="3119" w:type="dxa"/>
            <w:vAlign w:val="bottom"/>
          </w:tcPr>
          <w:p w14:paraId="2976C412"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u w:val="single"/>
                <w:rtl/>
              </w:rPr>
            </w:pPr>
            <w:r w:rsidRPr="00351624">
              <w:rPr>
                <w:rFonts w:hint="cs"/>
                <w:sz w:val="22"/>
                <w:u w:val="single"/>
                <w:rtl/>
              </w:rPr>
              <w:t>התחייבויות לא שוטפות</w:t>
            </w:r>
          </w:p>
        </w:tc>
        <w:tc>
          <w:tcPr>
            <w:tcW w:w="141" w:type="dxa"/>
            <w:vAlign w:val="bottom"/>
          </w:tcPr>
          <w:p w14:paraId="4C4CB836"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134" w:type="dxa"/>
            <w:tcBorders>
              <w:top w:val="single" w:sz="4" w:space="0" w:color="auto"/>
            </w:tcBorders>
            <w:shd w:val="clear" w:color="auto" w:fill="auto"/>
            <w:vAlign w:val="bottom"/>
          </w:tcPr>
          <w:p w14:paraId="3643C902"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42" w:type="dxa"/>
            <w:vAlign w:val="bottom"/>
          </w:tcPr>
          <w:p w14:paraId="61831FF3"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851" w:type="dxa"/>
            <w:tcBorders>
              <w:top w:val="single" w:sz="4" w:space="0" w:color="auto"/>
            </w:tcBorders>
            <w:vAlign w:val="bottom"/>
          </w:tcPr>
          <w:p w14:paraId="7E6D9F64"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4E88B1AB"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976" w:type="dxa"/>
            <w:tcBorders>
              <w:top w:val="single" w:sz="4" w:space="0" w:color="auto"/>
            </w:tcBorders>
            <w:vAlign w:val="bottom"/>
          </w:tcPr>
          <w:p w14:paraId="6D14CE27"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r>
      <w:tr w:rsidR="00C914E9" w:rsidRPr="00351624" w14:paraId="4EFDC33E" w14:textId="77777777" w:rsidTr="004C3B79">
        <w:trPr>
          <w:gridAfter w:val="1"/>
          <w:wAfter w:w="17" w:type="dxa"/>
        </w:trPr>
        <w:tc>
          <w:tcPr>
            <w:tcW w:w="3119" w:type="dxa"/>
            <w:vAlign w:val="bottom"/>
          </w:tcPr>
          <w:p w14:paraId="6BFA17AC"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u w:val="single"/>
                <w:rtl/>
              </w:rPr>
            </w:pPr>
          </w:p>
        </w:tc>
        <w:tc>
          <w:tcPr>
            <w:tcW w:w="141" w:type="dxa"/>
            <w:vAlign w:val="bottom"/>
          </w:tcPr>
          <w:p w14:paraId="746B219C"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134" w:type="dxa"/>
            <w:tcBorders>
              <w:top w:val="single" w:sz="4" w:space="0" w:color="auto"/>
            </w:tcBorders>
            <w:shd w:val="clear" w:color="auto" w:fill="auto"/>
            <w:vAlign w:val="bottom"/>
          </w:tcPr>
          <w:p w14:paraId="4CF54EE3"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42" w:type="dxa"/>
            <w:vAlign w:val="bottom"/>
          </w:tcPr>
          <w:p w14:paraId="79E045FC"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851" w:type="dxa"/>
            <w:tcBorders>
              <w:top w:val="single" w:sz="4" w:space="0" w:color="auto"/>
            </w:tcBorders>
            <w:vAlign w:val="bottom"/>
          </w:tcPr>
          <w:p w14:paraId="2BE9C77D"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4296D276"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976" w:type="dxa"/>
            <w:tcBorders>
              <w:top w:val="single" w:sz="4" w:space="0" w:color="auto"/>
            </w:tcBorders>
            <w:vAlign w:val="bottom"/>
          </w:tcPr>
          <w:p w14:paraId="2F14E0B8"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r>
      <w:tr w:rsidR="00C914E9" w:rsidRPr="00351624" w14:paraId="6B78EF44" w14:textId="77777777" w:rsidTr="004C3B79">
        <w:trPr>
          <w:gridAfter w:val="1"/>
          <w:wAfter w:w="17" w:type="dxa"/>
        </w:trPr>
        <w:tc>
          <w:tcPr>
            <w:tcW w:w="3119" w:type="dxa"/>
            <w:vAlign w:val="bottom"/>
          </w:tcPr>
          <w:p w14:paraId="7837F78A"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r w:rsidRPr="00351624">
              <w:rPr>
                <w:rFonts w:hint="cs"/>
                <w:sz w:val="22"/>
                <w:rtl/>
              </w:rPr>
              <w:t>התחייבות בגין חכירה</w:t>
            </w:r>
          </w:p>
        </w:tc>
        <w:tc>
          <w:tcPr>
            <w:tcW w:w="141" w:type="dxa"/>
            <w:vAlign w:val="bottom"/>
          </w:tcPr>
          <w:p w14:paraId="1620570E"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134" w:type="dxa"/>
            <w:tcBorders>
              <w:bottom w:val="single" w:sz="4" w:space="0" w:color="auto"/>
            </w:tcBorders>
            <w:shd w:val="clear" w:color="auto" w:fill="auto"/>
            <w:vAlign w:val="bottom"/>
          </w:tcPr>
          <w:p w14:paraId="71B8798B"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42" w:type="dxa"/>
            <w:vAlign w:val="bottom"/>
          </w:tcPr>
          <w:p w14:paraId="4D1BB1F2"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851" w:type="dxa"/>
            <w:tcBorders>
              <w:bottom w:val="single" w:sz="4" w:space="0" w:color="auto"/>
            </w:tcBorders>
            <w:vAlign w:val="bottom"/>
          </w:tcPr>
          <w:p w14:paraId="3A8672D9"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52F0B1D1"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976" w:type="dxa"/>
            <w:tcBorders>
              <w:bottom w:val="single" w:sz="4" w:space="0" w:color="auto"/>
            </w:tcBorders>
            <w:vAlign w:val="bottom"/>
          </w:tcPr>
          <w:p w14:paraId="76E28799"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r>
      <w:tr w:rsidR="00C914E9" w:rsidRPr="00351624" w14:paraId="50EB7289" w14:textId="77777777" w:rsidTr="004C3B79">
        <w:trPr>
          <w:gridAfter w:val="1"/>
          <w:wAfter w:w="17" w:type="dxa"/>
        </w:trPr>
        <w:tc>
          <w:tcPr>
            <w:tcW w:w="3119" w:type="dxa"/>
            <w:vAlign w:val="bottom"/>
          </w:tcPr>
          <w:p w14:paraId="197FF91E"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p>
        </w:tc>
        <w:tc>
          <w:tcPr>
            <w:tcW w:w="141" w:type="dxa"/>
            <w:vAlign w:val="bottom"/>
          </w:tcPr>
          <w:p w14:paraId="5D84BFA6"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134" w:type="dxa"/>
            <w:tcBorders>
              <w:top w:val="single" w:sz="4" w:space="0" w:color="auto"/>
            </w:tcBorders>
            <w:shd w:val="clear" w:color="auto" w:fill="auto"/>
            <w:vAlign w:val="bottom"/>
          </w:tcPr>
          <w:p w14:paraId="48B935A5"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42" w:type="dxa"/>
            <w:vAlign w:val="bottom"/>
          </w:tcPr>
          <w:p w14:paraId="044BDBD4"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851" w:type="dxa"/>
            <w:tcBorders>
              <w:top w:val="single" w:sz="4" w:space="0" w:color="auto"/>
            </w:tcBorders>
            <w:vAlign w:val="bottom"/>
          </w:tcPr>
          <w:p w14:paraId="6D3D022B"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141" w:type="dxa"/>
            <w:vAlign w:val="bottom"/>
          </w:tcPr>
          <w:p w14:paraId="588927A0"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976" w:type="dxa"/>
            <w:tcBorders>
              <w:top w:val="single" w:sz="4" w:space="0" w:color="auto"/>
            </w:tcBorders>
            <w:vAlign w:val="bottom"/>
          </w:tcPr>
          <w:p w14:paraId="20C216A5"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r>
      <w:tr w:rsidR="00C914E9" w:rsidRPr="00351624" w14:paraId="4C67E183" w14:textId="77777777" w:rsidTr="004C3B79">
        <w:tc>
          <w:tcPr>
            <w:tcW w:w="3119" w:type="dxa"/>
            <w:vAlign w:val="bottom"/>
          </w:tcPr>
          <w:p w14:paraId="7395CD41"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sz w:val="22"/>
                <w:rtl/>
              </w:rPr>
            </w:pPr>
            <w:r w:rsidRPr="00351624">
              <w:rPr>
                <w:rFonts w:hint="cs"/>
                <w:sz w:val="22"/>
                <w:rtl/>
              </w:rPr>
              <w:t>יתרת רווח</w:t>
            </w:r>
          </w:p>
        </w:tc>
        <w:tc>
          <w:tcPr>
            <w:tcW w:w="141" w:type="dxa"/>
            <w:vAlign w:val="bottom"/>
          </w:tcPr>
          <w:p w14:paraId="54F02E7F"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1134" w:type="dxa"/>
            <w:tcBorders>
              <w:bottom w:val="double" w:sz="4" w:space="0" w:color="auto"/>
            </w:tcBorders>
            <w:shd w:val="clear" w:color="auto" w:fill="auto"/>
            <w:vAlign w:val="bottom"/>
          </w:tcPr>
          <w:p w14:paraId="1D34AFF5" w14:textId="77777777" w:rsidR="00C914E9" w:rsidRPr="00351624" w:rsidRDefault="00C914E9" w:rsidP="00C914E9">
            <w:pPr>
              <w:tabs>
                <w:tab w:val="decimal" w:pos="170"/>
              </w:tabs>
              <w:spacing w:line="240" w:lineRule="exact"/>
              <w:rPr>
                <w:sz w:val="22"/>
                <w:rtl/>
              </w:rPr>
            </w:pPr>
          </w:p>
        </w:tc>
        <w:tc>
          <w:tcPr>
            <w:tcW w:w="142" w:type="dxa"/>
            <w:vAlign w:val="bottom"/>
          </w:tcPr>
          <w:p w14:paraId="094EFA1D" w14:textId="77777777" w:rsidR="00C914E9" w:rsidRPr="00351624" w:rsidRDefault="00C914E9" w:rsidP="00C914E9">
            <w:pPr>
              <w:tabs>
                <w:tab w:val="left" w:pos="1132"/>
                <w:tab w:val="left" w:pos="1701"/>
                <w:tab w:val="left" w:pos="2125"/>
                <w:tab w:val="left" w:pos="2550"/>
                <w:tab w:val="left" w:pos="2975"/>
              </w:tabs>
              <w:spacing w:line="240" w:lineRule="exact"/>
              <w:rPr>
                <w:sz w:val="22"/>
                <w:rtl/>
              </w:rPr>
            </w:pPr>
          </w:p>
        </w:tc>
        <w:tc>
          <w:tcPr>
            <w:tcW w:w="851" w:type="dxa"/>
            <w:tcBorders>
              <w:bottom w:val="double" w:sz="4" w:space="0" w:color="auto"/>
            </w:tcBorders>
            <w:vAlign w:val="bottom"/>
          </w:tcPr>
          <w:p w14:paraId="35DDCF2D" w14:textId="77777777" w:rsidR="00C914E9" w:rsidRPr="00351624" w:rsidRDefault="00C914E9" w:rsidP="00C914E9">
            <w:pPr>
              <w:tabs>
                <w:tab w:val="decimal" w:pos="312"/>
              </w:tabs>
              <w:spacing w:line="240" w:lineRule="exact"/>
              <w:rPr>
                <w:sz w:val="22"/>
                <w:rtl/>
              </w:rPr>
            </w:pPr>
          </w:p>
        </w:tc>
        <w:tc>
          <w:tcPr>
            <w:tcW w:w="141" w:type="dxa"/>
            <w:vAlign w:val="bottom"/>
          </w:tcPr>
          <w:p w14:paraId="1961C45F"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sz w:val="22"/>
                <w:rtl/>
              </w:rPr>
            </w:pPr>
          </w:p>
        </w:tc>
        <w:tc>
          <w:tcPr>
            <w:tcW w:w="993" w:type="dxa"/>
            <w:gridSpan w:val="2"/>
            <w:tcBorders>
              <w:bottom w:val="double" w:sz="4" w:space="0" w:color="auto"/>
            </w:tcBorders>
            <w:vAlign w:val="bottom"/>
          </w:tcPr>
          <w:p w14:paraId="56B72DE0" w14:textId="77777777" w:rsidR="00C914E9" w:rsidRPr="00351624" w:rsidRDefault="00C914E9" w:rsidP="00C914E9">
            <w:pPr>
              <w:tabs>
                <w:tab w:val="decimal" w:pos="226"/>
              </w:tabs>
              <w:spacing w:line="240" w:lineRule="exact"/>
              <w:rPr>
                <w:sz w:val="22"/>
                <w:rtl/>
              </w:rPr>
            </w:pPr>
          </w:p>
        </w:tc>
      </w:tr>
    </w:tbl>
    <w:p w14:paraId="48433116" w14:textId="77777777" w:rsidR="00AC60B5" w:rsidRDefault="00AC60B5" w:rsidP="00AC60B5">
      <w:pPr>
        <w:tabs>
          <w:tab w:val="left" w:pos="1701"/>
          <w:tab w:val="left" w:pos="2268"/>
        </w:tabs>
        <w:ind w:left="1701"/>
        <w:rPr>
          <w:rtl/>
        </w:rPr>
      </w:pPr>
    </w:p>
    <w:p w14:paraId="54BEF24E" w14:textId="77777777" w:rsidR="00AC60B5" w:rsidRPr="00351624" w:rsidRDefault="00AC60B5" w:rsidP="00AC60B5">
      <w:pPr>
        <w:tabs>
          <w:tab w:val="left" w:pos="1701"/>
          <w:tab w:val="left" w:pos="2268"/>
        </w:tabs>
        <w:ind w:left="1701"/>
        <w:rPr>
          <w:rtl/>
        </w:rPr>
      </w:pPr>
    </w:p>
    <w:tbl>
      <w:tblPr>
        <w:bidiVisual/>
        <w:tblW w:w="8647" w:type="dxa"/>
        <w:tblInd w:w="954" w:type="dxa"/>
        <w:tblLayout w:type="fixed"/>
        <w:tblCellMar>
          <w:left w:w="0" w:type="dxa"/>
          <w:right w:w="0" w:type="dxa"/>
        </w:tblCellMar>
        <w:tblLook w:val="0000" w:firstRow="0" w:lastRow="0" w:firstColumn="0" w:lastColumn="0" w:noHBand="0" w:noVBand="0"/>
      </w:tblPr>
      <w:tblGrid>
        <w:gridCol w:w="1134"/>
        <w:gridCol w:w="178"/>
        <w:gridCol w:w="7335"/>
      </w:tblGrid>
      <w:tr w:rsidR="00AC60B5" w:rsidRPr="00351624" w14:paraId="1EDD8DF8" w14:textId="77777777" w:rsidTr="004C3B79">
        <w:tc>
          <w:tcPr>
            <w:tcW w:w="1134" w:type="dxa"/>
            <w:tcBorders>
              <w:bottom w:val="single" w:sz="6" w:space="0" w:color="auto"/>
              <w:right w:val="single" w:sz="6" w:space="0" w:color="auto"/>
            </w:tcBorders>
            <w:shd w:val="clear" w:color="auto" w:fill="auto"/>
            <w:vAlign w:val="center"/>
          </w:tcPr>
          <w:p w14:paraId="3C6287F5" w14:textId="77777777" w:rsidR="00AC60B5" w:rsidRPr="00351624" w:rsidRDefault="00AC60B5" w:rsidP="004C3B79">
            <w:pPr>
              <w:widowControl/>
              <w:bidi w:val="0"/>
              <w:spacing w:line="240" w:lineRule="auto"/>
              <w:ind w:left="57" w:right="57"/>
              <w:jc w:val="right"/>
              <w:rPr>
                <w:rFonts w:cs="Times New Roman"/>
                <w:i/>
                <w:sz w:val="13"/>
              </w:rPr>
            </w:pPr>
            <w:r w:rsidRPr="00351624">
              <w:rPr>
                <w:rFonts w:cs="Times New Roman"/>
                <w:i/>
                <w:sz w:val="13"/>
              </w:rPr>
              <w:t>IFRS 16.c12(a);</w:t>
            </w:r>
          </w:p>
          <w:p w14:paraId="2B0691E1" w14:textId="77777777" w:rsidR="00AC60B5" w:rsidRPr="00351624" w:rsidRDefault="00AC60B5" w:rsidP="004C3B79">
            <w:pPr>
              <w:widowControl/>
              <w:bidi w:val="0"/>
              <w:spacing w:line="240" w:lineRule="auto"/>
              <w:ind w:left="57" w:right="57"/>
              <w:jc w:val="right"/>
              <w:rPr>
                <w:rFonts w:cs="Times New Roman"/>
                <w:i/>
                <w:sz w:val="13"/>
              </w:rPr>
            </w:pPr>
          </w:p>
        </w:tc>
        <w:tc>
          <w:tcPr>
            <w:tcW w:w="178" w:type="dxa"/>
            <w:tcBorders>
              <w:left w:val="single" w:sz="6" w:space="0" w:color="auto"/>
            </w:tcBorders>
            <w:shd w:val="clear" w:color="auto" w:fill="auto"/>
            <w:vAlign w:val="center"/>
          </w:tcPr>
          <w:p w14:paraId="36173058" w14:textId="77777777" w:rsidR="00AC60B5" w:rsidRPr="00351624" w:rsidRDefault="00AC60B5" w:rsidP="004C3B79">
            <w:pPr>
              <w:tabs>
                <w:tab w:val="left" w:pos="227"/>
                <w:tab w:val="left" w:pos="397"/>
                <w:tab w:val="left" w:pos="567"/>
              </w:tabs>
              <w:bidi w:val="0"/>
              <w:spacing w:line="240" w:lineRule="exact"/>
              <w:ind w:left="284" w:hanging="227"/>
              <w:jc w:val="right"/>
              <w:rPr>
                <w:i/>
                <w:iCs/>
                <w:sz w:val="13"/>
                <w:szCs w:val="13"/>
              </w:rPr>
            </w:pPr>
          </w:p>
        </w:tc>
        <w:tc>
          <w:tcPr>
            <w:tcW w:w="7335" w:type="dxa"/>
            <w:shd w:val="clear" w:color="auto" w:fill="auto"/>
          </w:tcPr>
          <w:p w14:paraId="32A65E03" w14:textId="7F20A622" w:rsidR="00AC60B5" w:rsidRPr="00351624" w:rsidRDefault="000A306B" w:rsidP="00884E50">
            <w:pPr>
              <w:pStyle w:val="afffff"/>
              <w:numPr>
                <w:ilvl w:val="0"/>
                <w:numId w:val="27"/>
              </w:numPr>
              <w:ind w:left="531" w:hanging="321"/>
            </w:pPr>
            <w:r w:rsidRPr="000A306B">
              <w:rPr>
                <w:sz w:val="22"/>
                <w:rtl/>
              </w:rPr>
              <w:t>הקבוצה נעזרה במעריך שווי חיצוני לצורך קביעת שיעור</w:t>
            </w:r>
            <w:r w:rsidRPr="000A306B">
              <w:rPr>
                <w:rFonts w:hint="cs"/>
                <w:sz w:val="22"/>
                <w:rtl/>
              </w:rPr>
              <w:t xml:space="preserve"> </w:t>
            </w:r>
            <w:r w:rsidRPr="000A306B">
              <w:rPr>
                <w:sz w:val="22"/>
                <w:rtl/>
              </w:rPr>
              <w:t xml:space="preserve">הריבית הנומינלי המתאימה להיוון חוזי החכירה, זאת בהתאם </w:t>
            </w:r>
            <w:r w:rsidR="00C53726">
              <w:rPr>
                <w:sz w:val="22"/>
                <w:rtl/>
              </w:rPr>
              <w:t>לסיכון המימוני של החברות</w:t>
            </w:r>
            <w:r w:rsidR="00C53726">
              <w:rPr>
                <w:rFonts w:hint="cs"/>
                <w:sz w:val="22"/>
                <w:rtl/>
              </w:rPr>
              <w:t xml:space="preserve">, </w:t>
            </w:r>
            <w:r w:rsidRPr="000A306B">
              <w:rPr>
                <w:sz w:val="22"/>
                <w:rtl/>
              </w:rPr>
              <w:t>בהתאם למח"מ חוזי החכירה</w:t>
            </w:r>
            <w:r w:rsidR="00C53726">
              <w:rPr>
                <w:rFonts w:hint="cs"/>
                <w:sz w:val="22"/>
                <w:rtl/>
              </w:rPr>
              <w:t xml:space="preserve"> וכן בהתאם למשתנים כלכליים אחרים </w:t>
            </w:r>
            <w:r w:rsidR="00C53726" w:rsidRPr="00C53726">
              <w:rPr>
                <w:rFonts w:hint="cs"/>
                <w:sz w:val="22"/>
                <w:highlight w:val="lightGray"/>
                <w:rtl/>
              </w:rPr>
              <w:t>[לפרט</w:t>
            </w:r>
            <w:r w:rsidR="00884E50">
              <w:rPr>
                <w:rFonts w:hint="cs"/>
                <w:sz w:val="22"/>
                <w:highlight w:val="lightGray"/>
                <w:rtl/>
              </w:rPr>
              <w:t xml:space="preserve"> </w:t>
            </w:r>
            <w:r w:rsidR="00884E50">
              <w:rPr>
                <w:sz w:val="22"/>
                <w:highlight w:val="lightGray"/>
                <w:rtl/>
              </w:rPr>
              <w:t>–</w:t>
            </w:r>
            <w:r w:rsidR="00884E50">
              <w:rPr>
                <w:rFonts w:hint="cs"/>
                <w:sz w:val="22"/>
                <w:highlight w:val="lightGray"/>
                <w:rtl/>
              </w:rPr>
              <w:t xml:space="preserve"> למשל שערי מטבעות שונים</w:t>
            </w:r>
            <w:r w:rsidR="00C53726" w:rsidRPr="00C53726">
              <w:rPr>
                <w:rFonts w:hint="cs"/>
                <w:sz w:val="22"/>
                <w:highlight w:val="lightGray"/>
                <w:rtl/>
              </w:rPr>
              <w:t>]</w:t>
            </w:r>
            <w:r w:rsidRPr="000A306B">
              <w:rPr>
                <w:sz w:val="22"/>
                <w:rtl/>
              </w:rPr>
              <w:t>.</w:t>
            </w:r>
            <w:r>
              <w:rPr>
                <w:rFonts w:hint="cs"/>
                <w:rtl/>
              </w:rPr>
              <w:t xml:space="preserve"> </w:t>
            </w:r>
            <w:r w:rsidR="00AC60B5" w:rsidRPr="000A306B">
              <w:rPr>
                <w:rFonts w:hint="cs"/>
                <w:sz w:val="22"/>
                <w:rtl/>
              </w:rPr>
              <w:t>שיעור הריבית התוספתי</w:t>
            </w:r>
            <w:r w:rsidR="00AC60B5" w:rsidRPr="000A306B">
              <w:rPr>
                <w:sz w:val="22"/>
                <w:rtl/>
              </w:rPr>
              <w:t xml:space="preserve"> </w:t>
            </w:r>
            <w:r w:rsidR="00AC60B5" w:rsidRPr="000A306B">
              <w:rPr>
                <w:rFonts w:hint="cs"/>
                <w:sz w:val="22"/>
                <w:rtl/>
              </w:rPr>
              <w:t xml:space="preserve">הממוצע המשוקלל </w:t>
            </w:r>
            <w:r w:rsidR="00AC60B5" w:rsidRPr="000A306B">
              <w:rPr>
                <w:sz w:val="22"/>
                <w:rtl/>
              </w:rPr>
              <w:t xml:space="preserve">ששימש להיוון </w:t>
            </w:r>
            <w:r w:rsidR="00AC60B5" w:rsidRPr="000A306B">
              <w:rPr>
                <w:rFonts w:hint="cs"/>
                <w:sz w:val="22"/>
                <w:rtl/>
              </w:rPr>
              <w:t>תשלומי החכירה</w:t>
            </w:r>
            <w:r w:rsidR="00AC60B5" w:rsidRPr="000A306B">
              <w:rPr>
                <w:sz w:val="22"/>
                <w:rtl/>
              </w:rPr>
              <w:t xml:space="preserve"> </w:t>
            </w:r>
            <w:r w:rsidR="00AC60B5" w:rsidRPr="000A306B">
              <w:rPr>
                <w:rFonts w:hint="cs"/>
                <w:sz w:val="22"/>
                <w:rtl/>
              </w:rPr>
              <w:t xml:space="preserve">העתידיים בחישוב יתרת ההתחייבות בגין חכירה במועד היישום לראשונה של התקן הינו </w:t>
            </w:r>
            <w:r w:rsidR="00C914E9" w:rsidRPr="000A306B">
              <w:rPr>
                <w:rFonts w:hint="cs"/>
                <w:sz w:val="22"/>
                <w:rtl/>
              </w:rPr>
              <w:t>%</w:t>
            </w:r>
            <w:r w:rsidR="00AC60B5" w:rsidRPr="000A306B">
              <w:rPr>
                <w:rFonts w:hint="cs"/>
                <w:sz w:val="22"/>
              </w:rPr>
              <w:t>XX</w:t>
            </w:r>
            <w:r w:rsidR="00C914E9">
              <w:rPr>
                <w:rStyle w:val="ab"/>
                <w:sz w:val="22"/>
                <w:rtl/>
              </w:rPr>
              <w:footnoteReference w:id="75"/>
            </w:r>
            <w:r w:rsidR="00C914E9">
              <w:rPr>
                <w:rFonts w:hint="cs"/>
                <w:rtl/>
              </w:rPr>
              <w:t xml:space="preserve">. </w:t>
            </w:r>
          </w:p>
          <w:p w14:paraId="33715BDA" w14:textId="77777777" w:rsidR="00AC60B5" w:rsidRPr="00351624" w:rsidRDefault="00AC60B5" w:rsidP="004C3B79">
            <w:pPr>
              <w:rPr>
                <w:rtl/>
              </w:rPr>
            </w:pPr>
          </w:p>
        </w:tc>
      </w:tr>
    </w:tbl>
    <w:p w14:paraId="349C196B" w14:textId="77777777" w:rsidR="00AC60B5" w:rsidRPr="009F52A3" w:rsidRDefault="00AC60B5" w:rsidP="00AC60B5">
      <w:pPr>
        <w:tabs>
          <w:tab w:val="left" w:pos="1701"/>
          <w:tab w:val="left" w:pos="2268"/>
        </w:tabs>
        <w:ind w:left="2210"/>
        <w:rPr>
          <w:rtl/>
        </w:rPr>
      </w:pPr>
    </w:p>
    <w:p w14:paraId="706DC759" w14:textId="77777777" w:rsidR="00AC60B5" w:rsidRDefault="00AC60B5" w:rsidP="00AC60B5">
      <w:pPr>
        <w:tabs>
          <w:tab w:val="left" w:pos="1134"/>
        </w:tabs>
        <w:ind w:left="1134" w:hanging="1134"/>
        <w:rPr>
          <w:rtl/>
        </w:rPr>
      </w:pPr>
    </w:p>
    <w:p w14:paraId="3E85A428" w14:textId="77777777" w:rsidR="00AC60B5" w:rsidRPr="00351624" w:rsidRDefault="00AC60B5" w:rsidP="00AC60B5">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27F77211" w14:textId="77777777" w:rsidR="00AC60B5" w:rsidRPr="00351624" w:rsidRDefault="00AC60B5" w:rsidP="00AC60B5">
      <w:pPr>
        <w:tabs>
          <w:tab w:val="left" w:pos="1134"/>
        </w:tabs>
        <w:ind w:left="1134" w:hanging="1134"/>
        <w:rPr>
          <w:rtl/>
        </w:rPr>
      </w:pPr>
    </w:p>
    <w:p w14:paraId="6BA77A52" w14:textId="04674769" w:rsidR="004820F0" w:rsidRPr="00ED7BA1" w:rsidRDefault="006448AF" w:rsidP="004820F0">
      <w:pPr>
        <w:pStyle w:val="21"/>
      </w:pPr>
      <w:r>
        <w:rPr>
          <w:rFonts w:hint="cs"/>
          <w:rtl/>
        </w:rPr>
        <w:t>ג</w:t>
      </w:r>
      <w:r w:rsidR="004820F0">
        <w:rPr>
          <w:rFonts w:hint="cs"/>
          <w:rtl/>
        </w:rPr>
        <w:t xml:space="preserve">. </w:t>
      </w:r>
      <w:r w:rsidR="004820F0">
        <w:rPr>
          <w:rtl/>
        </w:rPr>
        <w:tab/>
      </w:r>
      <w:r w:rsidR="004820F0" w:rsidRPr="00B8374B">
        <w:rPr>
          <w:rFonts w:hint="cs"/>
          <w:u w:val="single"/>
          <w:rtl/>
        </w:rPr>
        <w:t>יישום לראשונה של תקני דיווח כספי חדשים ותיקונים לתקני חשבונאות קיימים</w:t>
      </w:r>
      <w:r w:rsidR="004820F0">
        <w:rPr>
          <w:rFonts w:hint="cs"/>
          <w:rtl/>
        </w:rPr>
        <w:t xml:space="preserve"> (המשך)</w:t>
      </w:r>
    </w:p>
    <w:p w14:paraId="268DD943" w14:textId="77777777" w:rsidR="00AC60B5" w:rsidRDefault="00AC60B5" w:rsidP="00AC60B5">
      <w:pPr>
        <w:tabs>
          <w:tab w:val="left" w:pos="1701"/>
          <w:tab w:val="left" w:pos="2268"/>
        </w:tabs>
        <w:ind w:left="2210"/>
        <w:rPr>
          <w:rtl/>
        </w:rPr>
      </w:pPr>
    </w:p>
    <w:p w14:paraId="1D0B3672" w14:textId="77777777" w:rsidR="001C5019" w:rsidRPr="00B8374B" w:rsidRDefault="001C5019" w:rsidP="001C5019">
      <w:pPr>
        <w:pStyle w:val="30"/>
        <w:tabs>
          <w:tab w:val="clear" w:pos="1701"/>
          <w:tab w:val="clear" w:pos="2268"/>
          <w:tab w:val="left" w:pos="1417"/>
          <w:tab w:val="left" w:pos="1842"/>
        </w:tabs>
        <w:ind w:left="1701" w:hanging="284"/>
        <w:rPr>
          <w:u w:val="single"/>
        </w:rPr>
      </w:pPr>
      <w:r>
        <w:rPr>
          <w:rFonts w:hint="cs"/>
          <w:rtl/>
        </w:rPr>
        <w:t>1</w:t>
      </w:r>
      <w:r w:rsidRPr="00AC6EE8">
        <w:rPr>
          <w:rtl/>
        </w:rPr>
        <w:t xml:space="preserve">.   </w:t>
      </w:r>
      <w:r>
        <w:rPr>
          <w:rtl/>
        </w:rPr>
        <w:tab/>
      </w:r>
      <w:r w:rsidRPr="00B8374B">
        <w:rPr>
          <w:rFonts w:hint="eastAsia"/>
          <w:u w:val="single"/>
          <w:rtl/>
        </w:rPr>
        <w:t>יישום</w:t>
      </w:r>
      <w:r w:rsidRPr="00B8374B">
        <w:rPr>
          <w:u w:val="single"/>
          <w:rtl/>
        </w:rPr>
        <w:t xml:space="preserve"> לראשונה של </w:t>
      </w:r>
      <w:r w:rsidRPr="00B8374B">
        <w:rPr>
          <w:u w:val="single"/>
        </w:rPr>
        <w:t xml:space="preserve">IFRS </w:t>
      </w:r>
      <w:r>
        <w:rPr>
          <w:u w:val="single"/>
        </w:rPr>
        <w:t>16</w:t>
      </w:r>
      <w:r w:rsidRPr="00B8374B">
        <w:rPr>
          <w:u w:val="single"/>
          <w:rtl/>
        </w:rPr>
        <w:t xml:space="preserve"> </w:t>
      </w:r>
      <w:r>
        <w:rPr>
          <w:rFonts w:hint="cs"/>
          <w:u w:val="single"/>
          <w:rtl/>
        </w:rPr>
        <w:t>-</w:t>
      </w:r>
      <w:r w:rsidRPr="00B8374B">
        <w:rPr>
          <w:u w:val="single"/>
          <w:rtl/>
        </w:rPr>
        <w:t xml:space="preserve"> </w:t>
      </w:r>
      <w:r>
        <w:rPr>
          <w:rFonts w:hint="cs"/>
          <w:i/>
          <w:iCs/>
          <w:u w:val="single"/>
          <w:rtl/>
        </w:rPr>
        <w:t>חכירות</w:t>
      </w:r>
      <w:r w:rsidRPr="00B8374B">
        <w:rPr>
          <w:i/>
          <w:iCs/>
          <w:u w:val="single"/>
          <w:rtl/>
        </w:rPr>
        <w:t xml:space="preserve"> </w:t>
      </w:r>
      <w:r>
        <w:rPr>
          <w:rFonts w:hint="cs"/>
          <w:u w:val="single"/>
          <w:rtl/>
        </w:rPr>
        <w:t>(המשך)</w:t>
      </w:r>
    </w:p>
    <w:p w14:paraId="7866DBCD" w14:textId="77777777" w:rsidR="001C5019" w:rsidRPr="001C5019" w:rsidRDefault="001C5019" w:rsidP="00AC60B5">
      <w:pPr>
        <w:tabs>
          <w:tab w:val="left" w:pos="1701"/>
          <w:tab w:val="left" w:pos="2268"/>
        </w:tabs>
        <w:ind w:left="2210"/>
      </w:pPr>
    </w:p>
    <w:p w14:paraId="2AD4B85B" w14:textId="26CFDFEA" w:rsidR="00AC60B5" w:rsidRPr="00351624" w:rsidRDefault="00AC60B5" w:rsidP="001C5019">
      <w:pPr>
        <w:numPr>
          <w:ilvl w:val="0"/>
          <w:numId w:val="27"/>
        </w:numPr>
        <w:tabs>
          <w:tab w:val="left" w:pos="2126"/>
          <w:tab w:val="left" w:pos="2268"/>
        </w:tabs>
        <w:ind w:left="1842" w:hanging="252"/>
      </w:pPr>
      <w:r w:rsidRPr="00351624">
        <w:rPr>
          <w:rFonts w:hint="cs"/>
          <w:rtl/>
        </w:rPr>
        <w:t xml:space="preserve">התאמה בין סך התחייבויות לתשלומי חכירה מינימליים </w:t>
      </w:r>
      <w:r>
        <w:rPr>
          <w:rFonts w:hint="cs"/>
          <w:rtl/>
        </w:rPr>
        <w:t xml:space="preserve">עתידיים </w:t>
      </w:r>
      <w:r w:rsidRPr="00351624">
        <w:rPr>
          <w:rFonts w:hint="cs"/>
          <w:rtl/>
        </w:rPr>
        <w:t xml:space="preserve">כפי שדווחו בבאור </w:t>
      </w:r>
      <w:r w:rsidRPr="004820F0">
        <w:rPr>
          <w:rFonts w:hint="cs"/>
          <w:highlight w:val="lightGray"/>
        </w:rPr>
        <w:t>XX</w:t>
      </w:r>
      <w:r w:rsidRPr="00351624">
        <w:rPr>
          <w:rFonts w:hint="cs"/>
          <w:rtl/>
        </w:rPr>
        <w:t xml:space="preserve"> לדוחות הכספיים השנתיים ליום 31 בדצמבר </w:t>
      </w:r>
      <w:r w:rsidR="004820F0">
        <w:rPr>
          <w:rFonts w:hint="cs"/>
          <w:rtl/>
        </w:rPr>
        <w:t>2018</w:t>
      </w:r>
      <w:r w:rsidRPr="00351624">
        <w:rPr>
          <w:rFonts w:hint="cs"/>
          <w:rtl/>
        </w:rPr>
        <w:t xml:space="preserve"> לבין יתרת ההתחייבות בגין חכירה ליום 1 בינואר </w:t>
      </w:r>
      <w:r w:rsidR="004820F0">
        <w:rPr>
          <w:rFonts w:hint="cs"/>
          <w:rtl/>
        </w:rPr>
        <w:t>2019:</w:t>
      </w:r>
    </w:p>
    <w:p w14:paraId="3DB14CCE" w14:textId="77777777" w:rsidR="00AC60B5" w:rsidRPr="00351624" w:rsidRDefault="00AC60B5" w:rsidP="00AC60B5">
      <w:pPr>
        <w:tabs>
          <w:tab w:val="left" w:pos="1701"/>
          <w:tab w:val="left" w:pos="2268"/>
        </w:tabs>
        <w:ind w:left="1701"/>
        <w:rPr>
          <w:rtl/>
        </w:rPr>
      </w:pPr>
    </w:p>
    <w:tbl>
      <w:tblPr>
        <w:tblStyle w:val="1fb"/>
        <w:bidiVisual/>
        <w:tblW w:w="8364" w:type="dxa"/>
        <w:tblInd w:w="1287" w:type="dxa"/>
        <w:tblLook w:val="04A0" w:firstRow="1" w:lastRow="0" w:firstColumn="1" w:lastColumn="0" w:noHBand="0" w:noVBand="1"/>
      </w:tblPr>
      <w:tblGrid>
        <w:gridCol w:w="1176"/>
        <w:gridCol w:w="5628"/>
        <w:gridCol w:w="284"/>
        <w:gridCol w:w="1276"/>
      </w:tblGrid>
      <w:tr w:rsidR="00AC60B5" w:rsidRPr="00351624" w14:paraId="3F99ADFB" w14:textId="77777777" w:rsidTr="004C3B79">
        <w:tc>
          <w:tcPr>
            <w:tcW w:w="1176" w:type="dxa"/>
            <w:vMerge w:val="restart"/>
            <w:vAlign w:val="bottom"/>
          </w:tcPr>
          <w:p w14:paraId="55DC5B31" w14:textId="77777777" w:rsidR="00AC60B5" w:rsidRPr="00351624" w:rsidRDefault="00AC60B5" w:rsidP="004C3B79">
            <w:pPr>
              <w:widowControl/>
              <w:bidi w:val="0"/>
              <w:spacing w:line="240" w:lineRule="auto"/>
              <w:ind w:left="57" w:right="57"/>
              <w:jc w:val="right"/>
              <w:rPr>
                <w:rFonts w:cs="Times New Roman"/>
                <w:i/>
                <w:sz w:val="13"/>
              </w:rPr>
            </w:pPr>
            <w:r w:rsidRPr="00351624">
              <w:rPr>
                <w:rFonts w:cs="Times New Roman"/>
                <w:i/>
                <w:sz w:val="13"/>
              </w:rPr>
              <w:t>IFRS 16.c12(b);</w:t>
            </w:r>
          </w:p>
          <w:p w14:paraId="01A35746" w14:textId="77777777" w:rsidR="00AC60B5" w:rsidRPr="00351624" w:rsidRDefault="00AC60B5" w:rsidP="004C3B79">
            <w:pPr>
              <w:tabs>
                <w:tab w:val="left" w:pos="1701"/>
                <w:tab w:val="left" w:pos="2268"/>
              </w:tabs>
              <w:rPr>
                <w:rtl/>
              </w:rPr>
            </w:pPr>
          </w:p>
        </w:tc>
        <w:tc>
          <w:tcPr>
            <w:tcW w:w="5628" w:type="dxa"/>
            <w:vMerge w:val="restart"/>
          </w:tcPr>
          <w:p w14:paraId="7257BE31" w14:textId="77777777" w:rsidR="00AC60B5" w:rsidRPr="00351624" w:rsidRDefault="00AC60B5" w:rsidP="004C3B79">
            <w:pPr>
              <w:tabs>
                <w:tab w:val="left" w:pos="1701"/>
                <w:tab w:val="left" w:pos="2268"/>
              </w:tabs>
              <w:rPr>
                <w:rtl/>
              </w:rPr>
            </w:pPr>
          </w:p>
        </w:tc>
        <w:tc>
          <w:tcPr>
            <w:tcW w:w="284" w:type="dxa"/>
          </w:tcPr>
          <w:p w14:paraId="2B284C9F" w14:textId="77777777" w:rsidR="00AC60B5" w:rsidRPr="00351624" w:rsidRDefault="00AC60B5" w:rsidP="004C3B79">
            <w:pPr>
              <w:tabs>
                <w:tab w:val="left" w:pos="1701"/>
                <w:tab w:val="left" w:pos="2268"/>
              </w:tabs>
              <w:rPr>
                <w:rtl/>
              </w:rPr>
            </w:pPr>
          </w:p>
        </w:tc>
        <w:tc>
          <w:tcPr>
            <w:tcW w:w="1276" w:type="dxa"/>
            <w:tcBorders>
              <w:bottom w:val="single" w:sz="4" w:space="0" w:color="auto"/>
            </w:tcBorders>
          </w:tcPr>
          <w:p w14:paraId="441047A7" w14:textId="037FDE6E" w:rsidR="00AC60B5" w:rsidRPr="00351624" w:rsidRDefault="00AC60B5" w:rsidP="004820F0">
            <w:pPr>
              <w:tabs>
                <w:tab w:val="left" w:pos="1701"/>
                <w:tab w:val="left" w:pos="2268"/>
              </w:tabs>
              <w:jc w:val="center"/>
              <w:rPr>
                <w:rtl/>
              </w:rPr>
            </w:pPr>
            <w:r w:rsidRPr="00351624">
              <w:rPr>
                <w:rFonts w:hint="cs"/>
                <w:rtl/>
              </w:rPr>
              <w:t xml:space="preserve">ליום 1 בינואר </w:t>
            </w:r>
            <w:r w:rsidR="004820F0">
              <w:rPr>
                <w:rFonts w:hint="cs"/>
                <w:rtl/>
              </w:rPr>
              <w:t>2019</w:t>
            </w:r>
          </w:p>
        </w:tc>
      </w:tr>
      <w:tr w:rsidR="00AC60B5" w:rsidRPr="00351624" w14:paraId="0220B425" w14:textId="77777777" w:rsidTr="004C3B79">
        <w:tc>
          <w:tcPr>
            <w:tcW w:w="1176" w:type="dxa"/>
            <w:vMerge/>
          </w:tcPr>
          <w:p w14:paraId="05B447A2" w14:textId="77777777" w:rsidR="00AC60B5" w:rsidRPr="00351624" w:rsidRDefault="00AC60B5" w:rsidP="004C3B79">
            <w:pPr>
              <w:tabs>
                <w:tab w:val="left" w:pos="1701"/>
                <w:tab w:val="left" w:pos="2268"/>
              </w:tabs>
              <w:rPr>
                <w:rtl/>
              </w:rPr>
            </w:pPr>
          </w:p>
        </w:tc>
        <w:tc>
          <w:tcPr>
            <w:tcW w:w="5628" w:type="dxa"/>
            <w:vMerge/>
          </w:tcPr>
          <w:p w14:paraId="702CD655" w14:textId="77777777" w:rsidR="00AC60B5" w:rsidRPr="00351624" w:rsidRDefault="00AC60B5" w:rsidP="004C3B79">
            <w:pPr>
              <w:tabs>
                <w:tab w:val="left" w:pos="1701"/>
                <w:tab w:val="left" w:pos="2268"/>
              </w:tabs>
              <w:rPr>
                <w:rtl/>
              </w:rPr>
            </w:pPr>
          </w:p>
        </w:tc>
        <w:tc>
          <w:tcPr>
            <w:tcW w:w="284" w:type="dxa"/>
          </w:tcPr>
          <w:p w14:paraId="03277BD6" w14:textId="77777777" w:rsidR="00AC60B5" w:rsidRPr="00351624" w:rsidRDefault="00AC60B5" w:rsidP="004C3B79">
            <w:pPr>
              <w:tabs>
                <w:tab w:val="left" w:pos="1701"/>
                <w:tab w:val="left" w:pos="2268"/>
              </w:tabs>
              <w:rPr>
                <w:rtl/>
              </w:rPr>
            </w:pPr>
          </w:p>
        </w:tc>
        <w:tc>
          <w:tcPr>
            <w:tcW w:w="1276" w:type="dxa"/>
            <w:tcBorders>
              <w:top w:val="single" w:sz="4" w:space="0" w:color="auto"/>
            </w:tcBorders>
          </w:tcPr>
          <w:p w14:paraId="1CC66516" w14:textId="77777777" w:rsidR="00AC60B5" w:rsidRPr="00351624" w:rsidRDefault="00AC60B5" w:rsidP="004C3B79">
            <w:pPr>
              <w:tabs>
                <w:tab w:val="left" w:pos="1701"/>
                <w:tab w:val="left" w:pos="2268"/>
              </w:tabs>
              <w:jc w:val="center"/>
              <w:rPr>
                <w:rtl/>
              </w:rPr>
            </w:pPr>
            <w:r w:rsidRPr="00351624">
              <w:rPr>
                <w:rFonts w:hint="cs"/>
                <w:rtl/>
              </w:rPr>
              <w:t>אלפי ש"ח</w:t>
            </w:r>
          </w:p>
        </w:tc>
      </w:tr>
      <w:tr w:rsidR="00AC60B5" w:rsidRPr="00351624" w14:paraId="4DAD853B" w14:textId="77777777" w:rsidTr="004C3B79">
        <w:tc>
          <w:tcPr>
            <w:tcW w:w="1176" w:type="dxa"/>
            <w:vMerge/>
          </w:tcPr>
          <w:p w14:paraId="3BABADEF" w14:textId="77777777" w:rsidR="00AC60B5" w:rsidRPr="00351624" w:rsidRDefault="00AC60B5" w:rsidP="004C3B79">
            <w:pPr>
              <w:tabs>
                <w:tab w:val="left" w:pos="1701"/>
                <w:tab w:val="left" w:pos="2268"/>
              </w:tabs>
              <w:rPr>
                <w:rtl/>
              </w:rPr>
            </w:pPr>
          </w:p>
        </w:tc>
        <w:tc>
          <w:tcPr>
            <w:tcW w:w="5628" w:type="dxa"/>
            <w:vMerge/>
          </w:tcPr>
          <w:p w14:paraId="443C7009" w14:textId="77777777" w:rsidR="00AC60B5" w:rsidRPr="00351624" w:rsidRDefault="00AC60B5" w:rsidP="004C3B79">
            <w:pPr>
              <w:tabs>
                <w:tab w:val="left" w:pos="1701"/>
                <w:tab w:val="left" w:pos="2268"/>
              </w:tabs>
              <w:rPr>
                <w:rtl/>
              </w:rPr>
            </w:pPr>
          </w:p>
        </w:tc>
        <w:tc>
          <w:tcPr>
            <w:tcW w:w="284" w:type="dxa"/>
          </w:tcPr>
          <w:p w14:paraId="5DA2DB51" w14:textId="77777777" w:rsidR="00AC60B5" w:rsidRPr="00351624" w:rsidRDefault="00AC60B5" w:rsidP="004C3B79">
            <w:pPr>
              <w:tabs>
                <w:tab w:val="left" w:pos="1701"/>
                <w:tab w:val="left" w:pos="2268"/>
              </w:tabs>
              <w:rPr>
                <w:rtl/>
              </w:rPr>
            </w:pPr>
          </w:p>
        </w:tc>
        <w:tc>
          <w:tcPr>
            <w:tcW w:w="1276" w:type="dxa"/>
          </w:tcPr>
          <w:p w14:paraId="4BC4884B" w14:textId="77777777" w:rsidR="00AC60B5" w:rsidRPr="00351624" w:rsidRDefault="00AC60B5" w:rsidP="004C3B79">
            <w:pPr>
              <w:tabs>
                <w:tab w:val="left" w:pos="1701"/>
                <w:tab w:val="left" w:pos="2268"/>
              </w:tabs>
              <w:rPr>
                <w:rtl/>
              </w:rPr>
            </w:pPr>
          </w:p>
        </w:tc>
      </w:tr>
      <w:tr w:rsidR="00AC60B5" w:rsidRPr="00351624" w14:paraId="5809F271" w14:textId="77777777" w:rsidTr="004C3B79">
        <w:tc>
          <w:tcPr>
            <w:tcW w:w="1176" w:type="dxa"/>
          </w:tcPr>
          <w:p w14:paraId="14DCF610" w14:textId="77777777" w:rsidR="00AC60B5" w:rsidRPr="00351624" w:rsidRDefault="00AC60B5" w:rsidP="004C3B79">
            <w:pPr>
              <w:tabs>
                <w:tab w:val="left" w:pos="1701"/>
                <w:tab w:val="left" w:pos="2268"/>
              </w:tabs>
              <w:rPr>
                <w:rtl/>
              </w:rPr>
            </w:pPr>
          </w:p>
        </w:tc>
        <w:tc>
          <w:tcPr>
            <w:tcW w:w="5628" w:type="dxa"/>
          </w:tcPr>
          <w:p w14:paraId="7BD87E2E" w14:textId="5459A6B5" w:rsidR="00AC60B5" w:rsidRPr="00351624" w:rsidRDefault="00AC60B5" w:rsidP="004820F0">
            <w:pPr>
              <w:tabs>
                <w:tab w:val="left" w:pos="1701"/>
                <w:tab w:val="left" w:pos="2268"/>
              </w:tabs>
              <w:rPr>
                <w:rtl/>
              </w:rPr>
            </w:pPr>
            <w:r w:rsidRPr="00351624">
              <w:rPr>
                <w:rFonts w:hint="cs"/>
                <w:rtl/>
              </w:rPr>
              <w:t xml:space="preserve">סך תשלומי חכירה מינימליים עתידיים בגין חכירות, שאינן ניתנות לביטול, בהתאם להוראות </w:t>
            </w:r>
            <w:r w:rsidRPr="00351624">
              <w:rPr>
                <w:rFonts w:hint="cs"/>
              </w:rPr>
              <w:t>IAS 17</w:t>
            </w:r>
            <w:r w:rsidRPr="00351624">
              <w:rPr>
                <w:rFonts w:hint="cs"/>
                <w:rtl/>
              </w:rPr>
              <w:t xml:space="preserve"> לפי הדוחות הכספיים ליום 31 בדצמבר </w:t>
            </w:r>
            <w:r w:rsidR="004820F0">
              <w:rPr>
                <w:rFonts w:hint="cs"/>
                <w:rtl/>
              </w:rPr>
              <w:t>2018</w:t>
            </w:r>
            <w:r w:rsidRPr="00351624">
              <w:rPr>
                <w:rFonts w:hint="cs"/>
                <w:rtl/>
              </w:rPr>
              <w:t xml:space="preserve"> </w:t>
            </w:r>
          </w:p>
        </w:tc>
        <w:tc>
          <w:tcPr>
            <w:tcW w:w="284" w:type="dxa"/>
          </w:tcPr>
          <w:p w14:paraId="3B6D97A8" w14:textId="77777777" w:rsidR="00AC60B5" w:rsidRPr="00351624" w:rsidRDefault="00AC60B5" w:rsidP="004C3B79">
            <w:pPr>
              <w:tabs>
                <w:tab w:val="left" w:pos="1701"/>
                <w:tab w:val="left" w:pos="2268"/>
              </w:tabs>
              <w:rPr>
                <w:rtl/>
              </w:rPr>
            </w:pPr>
          </w:p>
        </w:tc>
        <w:tc>
          <w:tcPr>
            <w:tcW w:w="1276" w:type="dxa"/>
          </w:tcPr>
          <w:p w14:paraId="765FE610" w14:textId="77777777" w:rsidR="00AC60B5" w:rsidRPr="00351624" w:rsidRDefault="00AC60B5" w:rsidP="004C3B79">
            <w:pPr>
              <w:tabs>
                <w:tab w:val="left" w:pos="1701"/>
                <w:tab w:val="left" w:pos="2268"/>
              </w:tabs>
              <w:rPr>
                <w:rtl/>
              </w:rPr>
            </w:pPr>
          </w:p>
        </w:tc>
      </w:tr>
      <w:tr w:rsidR="00AC60B5" w:rsidRPr="00351624" w14:paraId="295BFE6A" w14:textId="77777777" w:rsidTr="004C3B79">
        <w:tc>
          <w:tcPr>
            <w:tcW w:w="1176" w:type="dxa"/>
          </w:tcPr>
          <w:p w14:paraId="10A6B1FE" w14:textId="77777777" w:rsidR="00AC60B5" w:rsidRPr="00351624" w:rsidRDefault="00AC60B5" w:rsidP="004C3B79">
            <w:pPr>
              <w:tabs>
                <w:tab w:val="left" w:pos="1701"/>
                <w:tab w:val="left" w:pos="2268"/>
              </w:tabs>
              <w:rPr>
                <w:rtl/>
              </w:rPr>
            </w:pPr>
          </w:p>
        </w:tc>
        <w:tc>
          <w:tcPr>
            <w:tcW w:w="5628" w:type="dxa"/>
          </w:tcPr>
          <w:p w14:paraId="6607280D" w14:textId="77777777" w:rsidR="00AC60B5" w:rsidRPr="00351624" w:rsidRDefault="00AC60B5" w:rsidP="004C3B79">
            <w:pPr>
              <w:tabs>
                <w:tab w:val="left" w:pos="1701"/>
                <w:tab w:val="left" w:pos="2268"/>
              </w:tabs>
              <w:rPr>
                <w:rtl/>
              </w:rPr>
            </w:pPr>
            <w:r w:rsidRPr="00351624">
              <w:rPr>
                <w:rFonts w:hint="cs"/>
                <w:rtl/>
              </w:rPr>
              <w:t>השפעה בגין חכירות לתקופות קצרות ו/או הכוללות נכס בסיס בעל ערך כספי נמוך ואשר בגינן תשלומי השכירות מוכרים כהוצאה בקו ישר על פני תקופת החכירה</w:t>
            </w:r>
          </w:p>
        </w:tc>
        <w:tc>
          <w:tcPr>
            <w:tcW w:w="284" w:type="dxa"/>
          </w:tcPr>
          <w:p w14:paraId="3B985F34" w14:textId="77777777" w:rsidR="00AC60B5" w:rsidRPr="00351624" w:rsidRDefault="00AC60B5" w:rsidP="004C3B79">
            <w:pPr>
              <w:tabs>
                <w:tab w:val="left" w:pos="1701"/>
                <w:tab w:val="left" w:pos="2268"/>
              </w:tabs>
              <w:rPr>
                <w:rtl/>
              </w:rPr>
            </w:pPr>
          </w:p>
        </w:tc>
        <w:tc>
          <w:tcPr>
            <w:tcW w:w="1276" w:type="dxa"/>
          </w:tcPr>
          <w:p w14:paraId="5F89179E" w14:textId="77777777" w:rsidR="00AC60B5" w:rsidRPr="00351624" w:rsidRDefault="00AC60B5" w:rsidP="004C3B79">
            <w:pPr>
              <w:tabs>
                <w:tab w:val="left" w:pos="1701"/>
                <w:tab w:val="left" w:pos="2268"/>
              </w:tabs>
              <w:rPr>
                <w:rtl/>
              </w:rPr>
            </w:pPr>
          </w:p>
        </w:tc>
      </w:tr>
      <w:tr w:rsidR="00AC60B5" w:rsidRPr="00351624" w14:paraId="3A39784D" w14:textId="77777777" w:rsidTr="004C3B79">
        <w:tc>
          <w:tcPr>
            <w:tcW w:w="1176" w:type="dxa"/>
          </w:tcPr>
          <w:p w14:paraId="493BDF35" w14:textId="77777777" w:rsidR="00AC60B5" w:rsidRPr="00626F84" w:rsidRDefault="00AC60B5" w:rsidP="004C3B79">
            <w:pPr>
              <w:tabs>
                <w:tab w:val="left" w:pos="1701"/>
                <w:tab w:val="left" w:pos="2268"/>
              </w:tabs>
              <w:rPr>
                <w:rtl/>
              </w:rPr>
            </w:pPr>
          </w:p>
        </w:tc>
        <w:tc>
          <w:tcPr>
            <w:tcW w:w="5628" w:type="dxa"/>
          </w:tcPr>
          <w:p w14:paraId="18EEBEA9" w14:textId="77777777" w:rsidR="00AC60B5" w:rsidRPr="00351624" w:rsidRDefault="00AC60B5" w:rsidP="004C3B79">
            <w:pPr>
              <w:tabs>
                <w:tab w:val="left" w:pos="1701"/>
                <w:tab w:val="left" w:pos="2268"/>
              </w:tabs>
              <w:rPr>
                <w:rtl/>
              </w:rPr>
            </w:pPr>
            <w:r>
              <w:rPr>
                <w:rFonts w:hint="cs"/>
                <w:rtl/>
              </w:rPr>
              <w:t xml:space="preserve">השפעה בגין </w:t>
            </w:r>
            <w:r w:rsidRPr="00351624">
              <w:rPr>
                <w:rFonts w:hint="cs"/>
                <w:rtl/>
              </w:rPr>
              <w:t>שינויים בצפי למימוש אופציות הארכה ו/או ביטול של תקופת החכירה</w:t>
            </w:r>
          </w:p>
        </w:tc>
        <w:tc>
          <w:tcPr>
            <w:tcW w:w="284" w:type="dxa"/>
          </w:tcPr>
          <w:p w14:paraId="1A151B09" w14:textId="77777777" w:rsidR="00AC60B5" w:rsidRPr="00351624" w:rsidRDefault="00AC60B5" w:rsidP="004C3B79">
            <w:pPr>
              <w:tabs>
                <w:tab w:val="left" w:pos="1701"/>
                <w:tab w:val="left" w:pos="2268"/>
              </w:tabs>
              <w:rPr>
                <w:rtl/>
              </w:rPr>
            </w:pPr>
          </w:p>
        </w:tc>
        <w:tc>
          <w:tcPr>
            <w:tcW w:w="1276" w:type="dxa"/>
          </w:tcPr>
          <w:p w14:paraId="36BAE03E" w14:textId="77777777" w:rsidR="00AC60B5" w:rsidRPr="00351624" w:rsidRDefault="00AC60B5" w:rsidP="004C3B79">
            <w:pPr>
              <w:tabs>
                <w:tab w:val="left" w:pos="1701"/>
                <w:tab w:val="left" w:pos="2268"/>
              </w:tabs>
              <w:rPr>
                <w:rtl/>
              </w:rPr>
            </w:pPr>
          </w:p>
        </w:tc>
      </w:tr>
      <w:tr w:rsidR="00AC60B5" w:rsidRPr="00351624" w14:paraId="0DB5B72B" w14:textId="77777777" w:rsidTr="004820F0">
        <w:tc>
          <w:tcPr>
            <w:tcW w:w="1176" w:type="dxa"/>
          </w:tcPr>
          <w:p w14:paraId="49C8EA47" w14:textId="77777777" w:rsidR="00AC60B5" w:rsidRPr="00351624" w:rsidRDefault="00AC60B5" w:rsidP="004C3B79">
            <w:pPr>
              <w:tabs>
                <w:tab w:val="left" w:pos="1701"/>
                <w:tab w:val="left" w:pos="2268"/>
              </w:tabs>
              <w:rPr>
                <w:rtl/>
              </w:rPr>
            </w:pPr>
          </w:p>
        </w:tc>
        <w:tc>
          <w:tcPr>
            <w:tcW w:w="5628" w:type="dxa"/>
          </w:tcPr>
          <w:p w14:paraId="3BD08A7F" w14:textId="77777777" w:rsidR="00AC60B5" w:rsidRPr="00351624" w:rsidRDefault="00AC60B5" w:rsidP="004C3B79">
            <w:pPr>
              <w:tabs>
                <w:tab w:val="left" w:pos="1701"/>
                <w:tab w:val="left" w:pos="2268"/>
              </w:tabs>
              <w:rPr>
                <w:rtl/>
              </w:rPr>
            </w:pPr>
            <w:r w:rsidRPr="00351624">
              <w:rPr>
                <w:rFonts w:hint="cs"/>
                <w:rtl/>
              </w:rPr>
              <w:t>השפעה בגין רכיבים שאינם רכיבי חכירה</w:t>
            </w:r>
          </w:p>
        </w:tc>
        <w:tc>
          <w:tcPr>
            <w:tcW w:w="284" w:type="dxa"/>
          </w:tcPr>
          <w:p w14:paraId="4A5E08C5" w14:textId="77777777" w:rsidR="00AC60B5" w:rsidRPr="00351624" w:rsidRDefault="00AC60B5" w:rsidP="004C3B79">
            <w:pPr>
              <w:tabs>
                <w:tab w:val="left" w:pos="1701"/>
                <w:tab w:val="left" w:pos="2268"/>
              </w:tabs>
              <w:rPr>
                <w:rtl/>
              </w:rPr>
            </w:pPr>
          </w:p>
        </w:tc>
        <w:tc>
          <w:tcPr>
            <w:tcW w:w="1276" w:type="dxa"/>
            <w:tcBorders>
              <w:bottom w:val="dashed" w:sz="4" w:space="0" w:color="auto"/>
            </w:tcBorders>
          </w:tcPr>
          <w:p w14:paraId="14835738" w14:textId="77777777" w:rsidR="00AC60B5" w:rsidRPr="00351624" w:rsidRDefault="00AC60B5" w:rsidP="004C3B79">
            <w:pPr>
              <w:tabs>
                <w:tab w:val="left" w:pos="1701"/>
                <w:tab w:val="left" w:pos="2268"/>
              </w:tabs>
              <w:rPr>
                <w:rtl/>
              </w:rPr>
            </w:pPr>
          </w:p>
        </w:tc>
      </w:tr>
      <w:tr w:rsidR="00AC60B5" w:rsidRPr="00351624" w14:paraId="41CBE1FE" w14:textId="77777777" w:rsidTr="004820F0">
        <w:tc>
          <w:tcPr>
            <w:tcW w:w="1176" w:type="dxa"/>
          </w:tcPr>
          <w:p w14:paraId="0F40AC77" w14:textId="77777777" w:rsidR="00AC60B5" w:rsidRPr="00351624" w:rsidRDefault="00AC60B5" w:rsidP="004C3B79">
            <w:pPr>
              <w:tabs>
                <w:tab w:val="left" w:pos="1701"/>
                <w:tab w:val="left" w:pos="2268"/>
              </w:tabs>
              <w:rPr>
                <w:rtl/>
              </w:rPr>
            </w:pPr>
          </w:p>
        </w:tc>
        <w:tc>
          <w:tcPr>
            <w:tcW w:w="5628" w:type="dxa"/>
          </w:tcPr>
          <w:p w14:paraId="3F24FB6A" w14:textId="77777777" w:rsidR="00AC60B5" w:rsidRPr="00351624" w:rsidRDefault="00AC60B5" w:rsidP="004C3B79">
            <w:pPr>
              <w:tabs>
                <w:tab w:val="left" w:pos="1701"/>
                <w:tab w:val="left" w:pos="2268"/>
              </w:tabs>
              <w:rPr>
                <w:rtl/>
              </w:rPr>
            </w:pPr>
            <w:r w:rsidRPr="00351624">
              <w:rPr>
                <w:rFonts w:hint="cs"/>
                <w:rtl/>
              </w:rPr>
              <w:t xml:space="preserve">סך התחייבויות בגין חכירה בהתאם להוראות </w:t>
            </w:r>
            <w:r w:rsidRPr="00351624">
              <w:rPr>
                <w:rFonts w:hint="cs"/>
              </w:rPr>
              <w:t>IFRS 16</w:t>
            </w:r>
            <w:r w:rsidRPr="00351624">
              <w:rPr>
                <w:rFonts w:hint="cs"/>
                <w:rtl/>
              </w:rPr>
              <w:t xml:space="preserve"> לפני השפעת היוון התשלומים</w:t>
            </w:r>
          </w:p>
        </w:tc>
        <w:tc>
          <w:tcPr>
            <w:tcW w:w="284" w:type="dxa"/>
          </w:tcPr>
          <w:p w14:paraId="08CDF577" w14:textId="77777777" w:rsidR="00AC60B5" w:rsidRPr="00351624" w:rsidRDefault="00AC60B5" w:rsidP="004C3B79">
            <w:pPr>
              <w:tabs>
                <w:tab w:val="left" w:pos="1701"/>
                <w:tab w:val="left" w:pos="2268"/>
              </w:tabs>
              <w:rPr>
                <w:rtl/>
              </w:rPr>
            </w:pPr>
          </w:p>
        </w:tc>
        <w:tc>
          <w:tcPr>
            <w:tcW w:w="1276" w:type="dxa"/>
            <w:tcBorders>
              <w:top w:val="dashed" w:sz="4" w:space="0" w:color="auto"/>
            </w:tcBorders>
          </w:tcPr>
          <w:p w14:paraId="604E958B" w14:textId="77777777" w:rsidR="00AC60B5" w:rsidRPr="00351624" w:rsidRDefault="00AC60B5" w:rsidP="004C3B79">
            <w:pPr>
              <w:tabs>
                <w:tab w:val="left" w:pos="1701"/>
                <w:tab w:val="left" w:pos="2268"/>
              </w:tabs>
              <w:rPr>
                <w:rtl/>
              </w:rPr>
            </w:pPr>
          </w:p>
        </w:tc>
      </w:tr>
      <w:tr w:rsidR="00AC60B5" w:rsidRPr="00351624" w14:paraId="21392354" w14:textId="77777777" w:rsidTr="004C3B79">
        <w:tc>
          <w:tcPr>
            <w:tcW w:w="1176" w:type="dxa"/>
          </w:tcPr>
          <w:p w14:paraId="45A9A7B6" w14:textId="77777777" w:rsidR="00AC60B5" w:rsidRPr="003700B8" w:rsidRDefault="00AC60B5" w:rsidP="004C3B79">
            <w:pPr>
              <w:tabs>
                <w:tab w:val="left" w:pos="1701"/>
                <w:tab w:val="left" w:pos="2268"/>
              </w:tabs>
              <w:rPr>
                <w:rtl/>
              </w:rPr>
            </w:pPr>
          </w:p>
        </w:tc>
        <w:tc>
          <w:tcPr>
            <w:tcW w:w="5628" w:type="dxa"/>
          </w:tcPr>
          <w:p w14:paraId="1893D42D" w14:textId="77777777" w:rsidR="00AC60B5" w:rsidRPr="00351624" w:rsidRDefault="00AC60B5" w:rsidP="004C3B79">
            <w:pPr>
              <w:tabs>
                <w:tab w:val="left" w:pos="1701"/>
                <w:tab w:val="left" w:pos="2268"/>
              </w:tabs>
              <w:rPr>
                <w:rtl/>
              </w:rPr>
            </w:pPr>
            <w:r w:rsidRPr="00351624">
              <w:rPr>
                <w:rFonts w:hint="cs"/>
                <w:rtl/>
              </w:rPr>
              <w:t>השפעת היוון התשלומים העתידיים בשיעור הריבית התוספתי של החברה במועד היישום לראשונה</w:t>
            </w:r>
          </w:p>
        </w:tc>
        <w:tc>
          <w:tcPr>
            <w:tcW w:w="284" w:type="dxa"/>
          </w:tcPr>
          <w:p w14:paraId="7A3F7AC4" w14:textId="77777777" w:rsidR="00AC60B5" w:rsidRPr="00351624" w:rsidRDefault="00AC60B5" w:rsidP="004C3B79">
            <w:pPr>
              <w:tabs>
                <w:tab w:val="left" w:pos="1701"/>
                <w:tab w:val="left" w:pos="2268"/>
              </w:tabs>
              <w:rPr>
                <w:rtl/>
              </w:rPr>
            </w:pPr>
          </w:p>
        </w:tc>
        <w:tc>
          <w:tcPr>
            <w:tcW w:w="1276" w:type="dxa"/>
            <w:tcBorders>
              <w:bottom w:val="single" w:sz="4" w:space="0" w:color="auto"/>
            </w:tcBorders>
          </w:tcPr>
          <w:p w14:paraId="7055A8C9" w14:textId="77777777" w:rsidR="00AC60B5" w:rsidRPr="00351624" w:rsidRDefault="00AC60B5" w:rsidP="004C3B79">
            <w:pPr>
              <w:tabs>
                <w:tab w:val="left" w:pos="1701"/>
                <w:tab w:val="left" w:pos="2268"/>
              </w:tabs>
              <w:rPr>
                <w:rtl/>
              </w:rPr>
            </w:pPr>
          </w:p>
        </w:tc>
      </w:tr>
      <w:tr w:rsidR="00AC60B5" w:rsidRPr="00351624" w14:paraId="0BAC6103" w14:textId="77777777" w:rsidTr="004C3B79">
        <w:tc>
          <w:tcPr>
            <w:tcW w:w="1176" w:type="dxa"/>
          </w:tcPr>
          <w:p w14:paraId="280D0E2E" w14:textId="77777777" w:rsidR="00AC60B5" w:rsidRPr="00D254EB" w:rsidRDefault="00AC60B5" w:rsidP="004C3B79">
            <w:pPr>
              <w:tabs>
                <w:tab w:val="left" w:pos="1701"/>
                <w:tab w:val="left" w:pos="2268"/>
              </w:tabs>
              <w:rPr>
                <w:rtl/>
              </w:rPr>
            </w:pPr>
          </w:p>
        </w:tc>
        <w:tc>
          <w:tcPr>
            <w:tcW w:w="5628" w:type="dxa"/>
          </w:tcPr>
          <w:p w14:paraId="17E5CB30" w14:textId="3B4C3EA3" w:rsidR="00AC60B5" w:rsidRPr="00351624" w:rsidRDefault="00AC60B5" w:rsidP="004820F0">
            <w:pPr>
              <w:tabs>
                <w:tab w:val="left" w:pos="1701"/>
                <w:tab w:val="left" w:pos="2268"/>
              </w:tabs>
              <w:rPr>
                <w:rtl/>
              </w:rPr>
            </w:pPr>
            <w:r w:rsidRPr="00351624">
              <w:rPr>
                <w:rFonts w:hint="cs"/>
                <w:rtl/>
              </w:rPr>
              <w:t xml:space="preserve">סך התחייבויות בגין חכירה בהתאם להוראות </w:t>
            </w:r>
            <w:r w:rsidRPr="00351624">
              <w:rPr>
                <w:rFonts w:hint="cs"/>
              </w:rPr>
              <w:t>IFRS 16</w:t>
            </w:r>
            <w:r w:rsidRPr="00351624">
              <w:rPr>
                <w:rFonts w:hint="cs"/>
                <w:rtl/>
              </w:rPr>
              <w:t xml:space="preserve"> ליום 1 בינואר </w:t>
            </w:r>
            <w:r w:rsidR="004820F0">
              <w:rPr>
                <w:rFonts w:hint="cs"/>
                <w:rtl/>
              </w:rPr>
              <w:t>2019</w:t>
            </w:r>
          </w:p>
        </w:tc>
        <w:tc>
          <w:tcPr>
            <w:tcW w:w="284" w:type="dxa"/>
          </w:tcPr>
          <w:p w14:paraId="65B0A70F" w14:textId="77777777" w:rsidR="00AC60B5" w:rsidRPr="00351624" w:rsidRDefault="00AC60B5" w:rsidP="004C3B79">
            <w:pPr>
              <w:tabs>
                <w:tab w:val="left" w:pos="1701"/>
                <w:tab w:val="left" w:pos="2268"/>
              </w:tabs>
              <w:rPr>
                <w:rtl/>
              </w:rPr>
            </w:pPr>
          </w:p>
        </w:tc>
        <w:tc>
          <w:tcPr>
            <w:tcW w:w="1276" w:type="dxa"/>
            <w:tcBorders>
              <w:top w:val="single" w:sz="4" w:space="0" w:color="auto"/>
            </w:tcBorders>
          </w:tcPr>
          <w:p w14:paraId="4505D43F" w14:textId="77777777" w:rsidR="00AC60B5" w:rsidRPr="00351624" w:rsidRDefault="00AC60B5" w:rsidP="004C3B79">
            <w:pPr>
              <w:tabs>
                <w:tab w:val="left" w:pos="1701"/>
                <w:tab w:val="left" w:pos="2268"/>
              </w:tabs>
              <w:rPr>
                <w:rtl/>
              </w:rPr>
            </w:pPr>
          </w:p>
        </w:tc>
      </w:tr>
      <w:tr w:rsidR="00AC60B5" w:rsidRPr="00351624" w14:paraId="61DB9E43" w14:textId="77777777" w:rsidTr="004C3B79">
        <w:tc>
          <w:tcPr>
            <w:tcW w:w="1176" w:type="dxa"/>
          </w:tcPr>
          <w:p w14:paraId="6F1267AF" w14:textId="77777777" w:rsidR="00AC60B5" w:rsidRPr="00351624" w:rsidRDefault="00AC60B5" w:rsidP="004C3B79">
            <w:pPr>
              <w:tabs>
                <w:tab w:val="left" w:pos="1701"/>
                <w:tab w:val="left" w:pos="2268"/>
              </w:tabs>
              <w:rPr>
                <w:rtl/>
              </w:rPr>
            </w:pPr>
          </w:p>
        </w:tc>
        <w:tc>
          <w:tcPr>
            <w:tcW w:w="5628" w:type="dxa"/>
          </w:tcPr>
          <w:p w14:paraId="30209C3C" w14:textId="32A4BEEB" w:rsidR="00AC60B5" w:rsidRPr="00351624" w:rsidRDefault="00AC60B5" w:rsidP="004820F0">
            <w:pPr>
              <w:tabs>
                <w:tab w:val="left" w:pos="1701"/>
                <w:tab w:val="left" w:pos="2268"/>
              </w:tabs>
              <w:rPr>
                <w:rtl/>
              </w:rPr>
            </w:pPr>
            <w:r w:rsidRPr="00351624">
              <w:rPr>
                <w:rFonts w:hint="cs"/>
                <w:rtl/>
              </w:rPr>
              <w:t xml:space="preserve">יתרת התחייבויות בגין חכירה מימונית בהתאם להוראות </w:t>
            </w:r>
            <w:r w:rsidRPr="00351624">
              <w:rPr>
                <w:rFonts w:hint="cs"/>
              </w:rPr>
              <w:t>IAS 17</w:t>
            </w:r>
            <w:r w:rsidRPr="00351624">
              <w:rPr>
                <w:color w:val="FF0000"/>
                <w:szCs w:val="22"/>
                <w:vertAlign w:val="superscript"/>
                <w:rtl/>
              </w:rPr>
              <w:footnoteReference w:id="76"/>
            </w:r>
            <w:r w:rsidRPr="00351624">
              <w:rPr>
                <w:rFonts w:hint="cs"/>
                <w:rtl/>
              </w:rPr>
              <w:t xml:space="preserve"> ליום 31 בדצמבר </w:t>
            </w:r>
            <w:r w:rsidR="004820F0">
              <w:rPr>
                <w:rFonts w:hint="cs"/>
                <w:rtl/>
              </w:rPr>
              <w:t>2018</w:t>
            </w:r>
          </w:p>
        </w:tc>
        <w:tc>
          <w:tcPr>
            <w:tcW w:w="284" w:type="dxa"/>
          </w:tcPr>
          <w:p w14:paraId="6E1686C8" w14:textId="77777777" w:rsidR="00AC60B5" w:rsidRPr="00351624" w:rsidRDefault="00AC60B5" w:rsidP="004C3B79">
            <w:pPr>
              <w:tabs>
                <w:tab w:val="left" w:pos="1701"/>
                <w:tab w:val="left" w:pos="2268"/>
              </w:tabs>
              <w:rPr>
                <w:rtl/>
              </w:rPr>
            </w:pPr>
          </w:p>
        </w:tc>
        <w:tc>
          <w:tcPr>
            <w:tcW w:w="1276" w:type="dxa"/>
            <w:tcBorders>
              <w:bottom w:val="double" w:sz="4" w:space="0" w:color="auto"/>
            </w:tcBorders>
          </w:tcPr>
          <w:p w14:paraId="713D9074" w14:textId="77777777" w:rsidR="00AC60B5" w:rsidRPr="00351624" w:rsidRDefault="00AC60B5" w:rsidP="004C3B79">
            <w:pPr>
              <w:tabs>
                <w:tab w:val="left" w:pos="1701"/>
                <w:tab w:val="left" w:pos="2268"/>
              </w:tabs>
              <w:rPr>
                <w:rtl/>
              </w:rPr>
            </w:pPr>
          </w:p>
        </w:tc>
      </w:tr>
      <w:tr w:rsidR="00AC60B5" w:rsidRPr="00351624" w14:paraId="181B7CEB" w14:textId="77777777" w:rsidTr="004C3B79">
        <w:tc>
          <w:tcPr>
            <w:tcW w:w="1176" w:type="dxa"/>
          </w:tcPr>
          <w:p w14:paraId="41534E60" w14:textId="77777777" w:rsidR="00AC60B5" w:rsidRPr="00351624" w:rsidRDefault="00AC60B5" w:rsidP="004C3B79">
            <w:pPr>
              <w:tabs>
                <w:tab w:val="left" w:pos="1701"/>
                <w:tab w:val="left" w:pos="2268"/>
              </w:tabs>
              <w:rPr>
                <w:rtl/>
              </w:rPr>
            </w:pPr>
          </w:p>
        </w:tc>
        <w:tc>
          <w:tcPr>
            <w:tcW w:w="5628" w:type="dxa"/>
          </w:tcPr>
          <w:p w14:paraId="33F29124" w14:textId="5664DB0C" w:rsidR="00AC60B5" w:rsidRPr="00351624" w:rsidRDefault="00AC60B5" w:rsidP="004820F0">
            <w:pPr>
              <w:tabs>
                <w:tab w:val="left" w:pos="1701"/>
                <w:tab w:val="left" w:pos="2268"/>
              </w:tabs>
              <w:rPr>
                <w:rtl/>
              </w:rPr>
            </w:pPr>
            <w:r w:rsidRPr="00351624">
              <w:rPr>
                <w:rFonts w:hint="cs"/>
                <w:rtl/>
              </w:rPr>
              <w:t xml:space="preserve">סך התחייבויות בגין חכירה שנוצרו כתוצאה מיישום לראשונה של </w:t>
            </w:r>
            <w:r w:rsidRPr="00351624">
              <w:rPr>
                <w:rFonts w:hint="cs"/>
              </w:rPr>
              <w:t>IFRS 16</w:t>
            </w:r>
            <w:r w:rsidRPr="00351624">
              <w:rPr>
                <w:rFonts w:hint="cs"/>
                <w:rtl/>
              </w:rPr>
              <w:t xml:space="preserve"> ביום 1 בינואר </w:t>
            </w:r>
            <w:r w:rsidR="004820F0">
              <w:rPr>
                <w:rFonts w:hint="cs"/>
                <w:rtl/>
              </w:rPr>
              <w:t>2019</w:t>
            </w:r>
          </w:p>
        </w:tc>
        <w:tc>
          <w:tcPr>
            <w:tcW w:w="284" w:type="dxa"/>
          </w:tcPr>
          <w:p w14:paraId="7BB6EADD" w14:textId="77777777" w:rsidR="00AC60B5" w:rsidRPr="00351624" w:rsidRDefault="00AC60B5" w:rsidP="004C3B79">
            <w:pPr>
              <w:tabs>
                <w:tab w:val="left" w:pos="1701"/>
                <w:tab w:val="left" w:pos="2268"/>
              </w:tabs>
              <w:rPr>
                <w:rtl/>
              </w:rPr>
            </w:pPr>
          </w:p>
        </w:tc>
        <w:tc>
          <w:tcPr>
            <w:tcW w:w="1276" w:type="dxa"/>
            <w:tcBorders>
              <w:top w:val="double" w:sz="4" w:space="0" w:color="auto"/>
            </w:tcBorders>
          </w:tcPr>
          <w:p w14:paraId="335D29DB" w14:textId="77777777" w:rsidR="00AC60B5" w:rsidRPr="00351624" w:rsidRDefault="00AC60B5" w:rsidP="004C3B79">
            <w:pPr>
              <w:tabs>
                <w:tab w:val="left" w:pos="1701"/>
                <w:tab w:val="left" w:pos="2268"/>
              </w:tabs>
              <w:rPr>
                <w:rtl/>
              </w:rPr>
            </w:pPr>
          </w:p>
        </w:tc>
      </w:tr>
    </w:tbl>
    <w:p w14:paraId="71940C59" w14:textId="77777777" w:rsidR="00AC60B5" w:rsidRDefault="00AC60B5" w:rsidP="00AC60B5">
      <w:pPr>
        <w:tabs>
          <w:tab w:val="left" w:pos="1701"/>
          <w:tab w:val="left" w:pos="2268"/>
        </w:tabs>
        <w:ind w:left="1701"/>
        <w:rPr>
          <w:rtl/>
        </w:rPr>
      </w:pPr>
    </w:p>
    <w:p w14:paraId="57AAAF63" w14:textId="77777777" w:rsidR="00AC60B5" w:rsidRDefault="00AC60B5" w:rsidP="00AC60B5">
      <w:pPr>
        <w:widowControl/>
        <w:bidi w:val="0"/>
        <w:spacing w:line="240" w:lineRule="auto"/>
        <w:jc w:val="left"/>
      </w:pPr>
      <w:r>
        <w:rPr>
          <w:rtl/>
        </w:rPr>
        <w:br w:type="page"/>
      </w:r>
    </w:p>
    <w:p w14:paraId="4A1748F3" w14:textId="77777777" w:rsidR="00AC60B5" w:rsidRPr="00351624" w:rsidRDefault="00AC60B5" w:rsidP="00AC60B5">
      <w:pPr>
        <w:tabs>
          <w:tab w:val="left" w:pos="1701"/>
          <w:tab w:val="left" w:pos="2268"/>
        </w:tabs>
        <w:ind w:left="1701"/>
        <w:rPr>
          <w:rtl/>
        </w:rPr>
      </w:pPr>
    </w:p>
    <w:p w14:paraId="7A565FE6" w14:textId="77777777" w:rsidR="00AC60B5" w:rsidRPr="00351624" w:rsidRDefault="00AC60B5" w:rsidP="00AC60B5">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5EAA01A6" w14:textId="77777777" w:rsidR="00AC60B5" w:rsidRPr="00351624" w:rsidRDefault="00AC60B5" w:rsidP="00AC60B5">
      <w:pPr>
        <w:tabs>
          <w:tab w:val="left" w:pos="1134"/>
        </w:tabs>
        <w:ind w:left="1134" w:hanging="1134"/>
        <w:rPr>
          <w:rtl/>
        </w:rPr>
      </w:pPr>
    </w:p>
    <w:p w14:paraId="4E8D38CF" w14:textId="57E2750C" w:rsidR="004820F0" w:rsidRPr="00ED7BA1" w:rsidRDefault="006448AF" w:rsidP="004820F0">
      <w:pPr>
        <w:pStyle w:val="21"/>
      </w:pPr>
      <w:r>
        <w:rPr>
          <w:rFonts w:hint="cs"/>
          <w:rtl/>
        </w:rPr>
        <w:t>ג</w:t>
      </w:r>
      <w:r w:rsidR="004820F0">
        <w:rPr>
          <w:rFonts w:hint="cs"/>
          <w:rtl/>
        </w:rPr>
        <w:t xml:space="preserve">. </w:t>
      </w:r>
      <w:r w:rsidR="004820F0">
        <w:rPr>
          <w:rtl/>
        </w:rPr>
        <w:tab/>
      </w:r>
      <w:r w:rsidR="004820F0" w:rsidRPr="00B8374B">
        <w:rPr>
          <w:rFonts w:hint="cs"/>
          <w:u w:val="single"/>
          <w:rtl/>
        </w:rPr>
        <w:t>יישום לראשונה של תקני דיווח כספי חדשים ותיקונים לתקני חשבונאות קיימים</w:t>
      </w:r>
      <w:r w:rsidR="004820F0">
        <w:rPr>
          <w:rFonts w:hint="cs"/>
          <w:rtl/>
        </w:rPr>
        <w:t xml:space="preserve"> (המשך)</w:t>
      </w:r>
    </w:p>
    <w:p w14:paraId="1B57CB3C" w14:textId="77777777" w:rsidR="00AC60B5" w:rsidRDefault="00AC60B5" w:rsidP="00AC60B5">
      <w:pPr>
        <w:tabs>
          <w:tab w:val="left" w:pos="1134"/>
        </w:tabs>
        <w:ind w:left="1134" w:hanging="1134"/>
        <w:rPr>
          <w:rtl/>
        </w:rPr>
      </w:pPr>
    </w:p>
    <w:p w14:paraId="5CCAB50F" w14:textId="77777777" w:rsidR="001C5019" w:rsidRPr="00B8374B" w:rsidRDefault="001C5019" w:rsidP="001C5019">
      <w:pPr>
        <w:pStyle w:val="30"/>
        <w:tabs>
          <w:tab w:val="clear" w:pos="1701"/>
          <w:tab w:val="clear" w:pos="2268"/>
          <w:tab w:val="left" w:pos="1417"/>
          <w:tab w:val="left" w:pos="1842"/>
        </w:tabs>
        <w:ind w:left="1701" w:hanging="284"/>
        <w:rPr>
          <w:u w:val="single"/>
        </w:rPr>
      </w:pPr>
      <w:r>
        <w:rPr>
          <w:rFonts w:hint="cs"/>
          <w:rtl/>
        </w:rPr>
        <w:t>1</w:t>
      </w:r>
      <w:r w:rsidRPr="00AC6EE8">
        <w:rPr>
          <w:rtl/>
        </w:rPr>
        <w:t xml:space="preserve">.   </w:t>
      </w:r>
      <w:r>
        <w:rPr>
          <w:rtl/>
        </w:rPr>
        <w:tab/>
      </w:r>
      <w:r w:rsidRPr="00B8374B">
        <w:rPr>
          <w:rFonts w:hint="eastAsia"/>
          <w:u w:val="single"/>
          <w:rtl/>
        </w:rPr>
        <w:t>יישום</w:t>
      </w:r>
      <w:r w:rsidRPr="00B8374B">
        <w:rPr>
          <w:u w:val="single"/>
          <w:rtl/>
        </w:rPr>
        <w:t xml:space="preserve"> לראשונה של </w:t>
      </w:r>
      <w:r w:rsidRPr="00B8374B">
        <w:rPr>
          <w:u w:val="single"/>
        </w:rPr>
        <w:t xml:space="preserve">IFRS </w:t>
      </w:r>
      <w:r>
        <w:rPr>
          <w:u w:val="single"/>
        </w:rPr>
        <w:t>16</w:t>
      </w:r>
      <w:r w:rsidRPr="00B8374B">
        <w:rPr>
          <w:u w:val="single"/>
          <w:rtl/>
        </w:rPr>
        <w:t xml:space="preserve"> </w:t>
      </w:r>
      <w:r>
        <w:rPr>
          <w:rFonts w:hint="cs"/>
          <w:u w:val="single"/>
          <w:rtl/>
        </w:rPr>
        <w:t>-</w:t>
      </w:r>
      <w:r w:rsidRPr="00B8374B">
        <w:rPr>
          <w:u w:val="single"/>
          <w:rtl/>
        </w:rPr>
        <w:t xml:space="preserve"> </w:t>
      </w:r>
      <w:r>
        <w:rPr>
          <w:rFonts w:hint="cs"/>
          <w:i/>
          <w:iCs/>
          <w:u w:val="single"/>
          <w:rtl/>
        </w:rPr>
        <w:t>חכירות</w:t>
      </w:r>
      <w:r w:rsidRPr="00B8374B">
        <w:rPr>
          <w:i/>
          <w:iCs/>
          <w:u w:val="single"/>
          <w:rtl/>
        </w:rPr>
        <w:t xml:space="preserve"> </w:t>
      </w:r>
      <w:r>
        <w:rPr>
          <w:rFonts w:hint="cs"/>
          <w:u w:val="single"/>
          <w:rtl/>
        </w:rPr>
        <w:t>(המשך)</w:t>
      </w:r>
    </w:p>
    <w:p w14:paraId="64599C36" w14:textId="77777777" w:rsidR="001C5019" w:rsidRPr="001C5019" w:rsidRDefault="001C5019" w:rsidP="00AC60B5">
      <w:pPr>
        <w:tabs>
          <w:tab w:val="left" w:pos="1134"/>
        </w:tabs>
        <w:ind w:left="1134" w:hanging="1134"/>
        <w:rPr>
          <w:rtl/>
        </w:rPr>
      </w:pPr>
    </w:p>
    <w:p w14:paraId="79FA8266" w14:textId="77777777" w:rsidR="00AC60B5" w:rsidRPr="00351624" w:rsidRDefault="00AC60B5" w:rsidP="004820F0">
      <w:pPr>
        <w:numPr>
          <w:ilvl w:val="0"/>
          <w:numId w:val="27"/>
        </w:numPr>
        <w:tabs>
          <w:tab w:val="left" w:pos="1502"/>
          <w:tab w:val="left" w:pos="2268"/>
        </w:tabs>
        <w:ind w:left="1984" w:hanging="425"/>
      </w:pPr>
      <w:r w:rsidRPr="00351624">
        <w:rPr>
          <w:rFonts w:hint="cs"/>
          <w:rtl/>
        </w:rPr>
        <w:t>הקלות אשר יושמו בעת יישום לראשונה של התקן</w:t>
      </w:r>
      <w:r w:rsidRPr="00351624">
        <w:rPr>
          <w:color w:val="FF0000"/>
          <w:szCs w:val="22"/>
          <w:vertAlign w:val="superscript"/>
          <w:rtl/>
        </w:rPr>
        <w:footnoteReference w:id="77"/>
      </w:r>
      <w:r w:rsidRPr="00351624">
        <w:rPr>
          <w:rFonts w:hint="cs"/>
          <w:rtl/>
        </w:rPr>
        <w:t>:</w:t>
      </w:r>
    </w:p>
    <w:p w14:paraId="593156F0" w14:textId="77777777" w:rsidR="00AC60B5" w:rsidRPr="00351624" w:rsidRDefault="00AC60B5" w:rsidP="00E82CD5">
      <w:pPr>
        <w:tabs>
          <w:tab w:val="left" w:pos="1701"/>
          <w:tab w:val="left" w:pos="2268"/>
        </w:tabs>
        <w:ind w:left="2835" w:hanging="567"/>
        <w:rPr>
          <w:rtl/>
        </w:rPr>
      </w:pPr>
      <w:r w:rsidRPr="00351624">
        <w:rPr>
          <w:rFonts w:hint="cs"/>
          <w:highlight w:val="lightGray"/>
          <w:rtl/>
        </w:rPr>
        <w:t xml:space="preserve">החברה תיתן גילוי להקלות בהן בחרה מתוך האפשרויות </w:t>
      </w:r>
      <w:r>
        <w:rPr>
          <w:rFonts w:hint="cs"/>
          <w:highlight w:val="lightGray"/>
          <w:rtl/>
        </w:rPr>
        <w:t>הבאות</w:t>
      </w:r>
      <w:r w:rsidRPr="00B23F2B">
        <w:rPr>
          <w:rFonts w:hint="cs"/>
          <w:highlight w:val="lightGray"/>
          <w:rtl/>
        </w:rPr>
        <w:t>:</w:t>
      </w:r>
    </w:p>
    <w:tbl>
      <w:tblPr>
        <w:bidiVisual/>
        <w:tblW w:w="8647" w:type="dxa"/>
        <w:tblInd w:w="946" w:type="dxa"/>
        <w:tblLayout w:type="fixed"/>
        <w:tblCellMar>
          <w:left w:w="0" w:type="dxa"/>
          <w:right w:w="0" w:type="dxa"/>
        </w:tblCellMar>
        <w:tblLook w:val="0000" w:firstRow="0" w:lastRow="0" w:firstColumn="0" w:lastColumn="0" w:noHBand="0" w:noVBand="0"/>
      </w:tblPr>
      <w:tblGrid>
        <w:gridCol w:w="1134"/>
        <w:gridCol w:w="178"/>
        <w:gridCol w:w="7335"/>
      </w:tblGrid>
      <w:tr w:rsidR="00AC60B5" w:rsidRPr="00351624" w14:paraId="66136DF7" w14:textId="77777777" w:rsidTr="00603732">
        <w:tc>
          <w:tcPr>
            <w:tcW w:w="1134" w:type="dxa"/>
            <w:tcBorders>
              <w:right w:val="single" w:sz="6" w:space="0" w:color="auto"/>
            </w:tcBorders>
            <w:shd w:val="clear" w:color="auto" w:fill="auto"/>
            <w:vAlign w:val="center"/>
          </w:tcPr>
          <w:p w14:paraId="59B3E995" w14:textId="77777777" w:rsidR="00AC60B5" w:rsidRPr="00351624" w:rsidRDefault="00AC60B5" w:rsidP="004C3B79">
            <w:pPr>
              <w:widowControl/>
              <w:bidi w:val="0"/>
              <w:spacing w:line="240" w:lineRule="auto"/>
              <w:ind w:left="57" w:right="57"/>
              <w:jc w:val="right"/>
              <w:rPr>
                <w:rFonts w:cs="Times New Roman"/>
                <w:i/>
                <w:sz w:val="13"/>
              </w:rPr>
            </w:pPr>
            <w:r w:rsidRPr="00351624">
              <w:rPr>
                <w:rFonts w:cs="Times New Roman"/>
                <w:i/>
                <w:sz w:val="13"/>
              </w:rPr>
              <w:t>IFRS 16.</w:t>
            </w:r>
            <w:r>
              <w:rPr>
                <w:rFonts w:cs="Times New Roman" w:hint="cs"/>
                <w:i/>
                <w:sz w:val="13"/>
              </w:rPr>
              <w:t>C</w:t>
            </w:r>
            <w:r w:rsidRPr="00351624">
              <w:rPr>
                <w:rFonts w:cs="Times New Roman"/>
                <w:i/>
                <w:sz w:val="13"/>
              </w:rPr>
              <w:t>3;</w:t>
            </w:r>
          </w:p>
          <w:p w14:paraId="6614EBEB" w14:textId="77777777" w:rsidR="00AC60B5" w:rsidRPr="00351624" w:rsidRDefault="00AC60B5" w:rsidP="004C3B79">
            <w:pPr>
              <w:widowControl/>
              <w:bidi w:val="0"/>
              <w:spacing w:line="240" w:lineRule="auto"/>
              <w:ind w:left="57" w:right="57"/>
              <w:jc w:val="right"/>
              <w:rPr>
                <w:rFonts w:cs="Times New Roman"/>
                <w:i/>
                <w:sz w:val="13"/>
                <w:highlight w:val="yellow"/>
              </w:rPr>
            </w:pPr>
          </w:p>
        </w:tc>
        <w:tc>
          <w:tcPr>
            <w:tcW w:w="178" w:type="dxa"/>
            <w:tcBorders>
              <w:left w:val="single" w:sz="6" w:space="0" w:color="auto"/>
            </w:tcBorders>
            <w:shd w:val="clear" w:color="auto" w:fill="auto"/>
            <w:vAlign w:val="center"/>
          </w:tcPr>
          <w:p w14:paraId="4BAB7AB3" w14:textId="77777777" w:rsidR="00AC60B5" w:rsidRPr="00351624" w:rsidRDefault="00AC60B5" w:rsidP="004C3B79">
            <w:pPr>
              <w:tabs>
                <w:tab w:val="left" w:pos="227"/>
                <w:tab w:val="left" w:pos="397"/>
                <w:tab w:val="left" w:pos="567"/>
              </w:tabs>
              <w:bidi w:val="0"/>
              <w:spacing w:line="240" w:lineRule="exact"/>
              <w:ind w:left="284" w:hanging="227"/>
              <w:jc w:val="right"/>
              <w:rPr>
                <w:i/>
                <w:iCs/>
                <w:sz w:val="13"/>
                <w:szCs w:val="13"/>
              </w:rPr>
            </w:pPr>
          </w:p>
        </w:tc>
        <w:tc>
          <w:tcPr>
            <w:tcW w:w="7335" w:type="dxa"/>
            <w:shd w:val="clear" w:color="auto" w:fill="auto"/>
          </w:tcPr>
          <w:p w14:paraId="0C8F0730" w14:textId="77777777" w:rsidR="00AC60B5" w:rsidRPr="00351624" w:rsidRDefault="00AC60B5" w:rsidP="00E82CD5">
            <w:pPr>
              <w:numPr>
                <w:ilvl w:val="0"/>
                <w:numId w:val="28"/>
              </w:numPr>
              <w:tabs>
                <w:tab w:val="left" w:pos="531"/>
                <w:tab w:val="left" w:pos="2268"/>
              </w:tabs>
              <w:ind w:left="531" w:hanging="531"/>
              <w:rPr>
                <w:sz w:val="22"/>
                <w:rtl/>
              </w:rPr>
            </w:pPr>
            <w:r w:rsidRPr="00351624">
              <w:rPr>
                <w:rFonts w:hint="cs"/>
                <w:sz w:val="22"/>
                <w:rtl/>
              </w:rPr>
              <w:t xml:space="preserve">החברה בחרה שלא לבחון </w:t>
            </w:r>
            <w:r>
              <w:rPr>
                <w:rFonts w:hint="cs"/>
                <w:sz w:val="22"/>
                <w:rtl/>
              </w:rPr>
              <w:t xml:space="preserve">לפי הכללים בתקן </w:t>
            </w:r>
            <w:r w:rsidRPr="00351624">
              <w:rPr>
                <w:rFonts w:hint="cs"/>
                <w:sz w:val="22"/>
                <w:rtl/>
              </w:rPr>
              <w:t xml:space="preserve">האם חוזים מהווים חוזי חכירה או כוללים חכירה </w:t>
            </w:r>
            <w:r>
              <w:rPr>
                <w:rFonts w:hint="cs"/>
                <w:sz w:val="22"/>
                <w:rtl/>
              </w:rPr>
              <w:t xml:space="preserve">אלא המשיכה לסווג את החוזים כחוזי חכירה לפי </w:t>
            </w:r>
            <w:r w:rsidRPr="00351624">
              <w:rPr>
                <w:rFonts w:hint="cs"/>
                <w:sz w:val="22"/>
                <w:rtl/>
              </w:rPr>
              <w:t xml:space="preserve">הוראות </w:t>
            </w:r>
            <w:r>
              <w:rPr>
                <w:rFonts w:hint="cs"/>
                <w:sz w:val="22"/>
              </w:rPr>
              <w:t>IAS 17</w:t>
            </w:r>
            <w:r>
              <w:rPr>
                <w:rFonts w:hint="cs"/>
                <w:sz w:val="22"/>
                <w:rtl/>
              </w:rPr>
              <w:t>.</w:t>
            </w:r>
          </w:p>
        </w:tc>
      </w:tr>
      <w:tr w:rsidR="00AC60B5" w:rsidRPr="00351624" w14:paraId="44339D12" w14:textId="77777777" w:rsidTr="00603732">
        <w:tc>
          <w:tcPr>
            <w:tcW w:w="1134" w:type="dxa"/>
            <w:tcBorders>
              <w:right w:val="single" w:sz="6" w:space="0" w:color="auto"/>
            </w:tcBorders>
            <w:shd w:val="clear" w:color="auto" w:fill="auto"/>
            <w:vAlign w:val="center"/>
          </w:tcPr>
          <w:p w14:paraId="126E790C" w14:textId="77777777" w:rsidR="00AC60B5" w:rsidRPr="00351624" w:rsidRDefault="00AC60B5" w:rsidP="004C3B79">
            <w:pPr>
              <w:widowControl/>
              <w:bidi w:val="0"/>
              <w:spacing w:line="240" w:lineRule="auto"/>
              <w:ind w:left="57" w:right="57"/>
              <w:jc w:val="right"/>
              <w:rPr>
                <w:rFonts w:cs="Times New Roman"/>
                <w:i/>
                <w:sz w:val="13"/>
              </w:rPr>
            </w:pPr>
            <w:r w:rsidRPr="00351624">
              <w:rPr>
                <w:rFonts w:cs="Times New Roman"/>
                <w:i/>
                <w:sz w:val="13"/>
              </w:rPr>
              <w:t>IFRS 16.</w:t>
            </w:r>
            <w:r>
              <w:rPr>
                <w:rFonts w:cs="Times New Roman"/>
                <w:i/>
                <w:sz w:val="13"/>
              </w:rPr>
              <w:t>C</w:t>
            </w:r>
            <w:r w:rsidRPr="00351624">
              <w:rPr>
                <w:rFonts w:cs="Times New Roman"/>
                <w:i/>
                <w:sz w:val="13"/>
              </w:rPr>
              <w:t>10(a);</w:t>
            </w:r>
          </w:p>
          <w:p w14:paraId="33266C72" w14:textId="77777777" w:rsidR="00AC60B5" w:rsidRPr="00351624" w:rsidRDefault="00AC60B5" w:rsidP="004C3B79">
            <w:pPr>
              <w:widowControl/>
              <w:bidi w:val="0"/>
              <w:spacing w:line="240" w:lineRule="auto"/>
              <w:ind w:left="57" w:right="57"/>
              <w:jc w:val="right"/>
              <w:rPr>
                <w:rFonts w:cs="Times New Roman"/>
                <w:i/>
                <w:sz w:val="13"/>
              </w:rPr>
            </w:pPr>
          </w:p>
        </w:tc>
        <w:tc>
          <w:tcPr>
            <w:tcW w:w="178" w:type="dxa"/>
            <w:tcBorders>
              <w:left w:val="single" w:sz="6" w:space="0" w:color="auto"/>
            </w:tcBorders>
            <w:shd w:val="clear" w:color="auto" w:fill="auto"/>
            <w:vAlign w:val="center"/>
          </w:tcPr>
          <w:p w14:paraId="641B15E6" w14:textId="77777777" w:rsidR="00AC60B5" w:rsidRPr="00351624" w:rsidRDefault="00AC60B5" w:rsidP="004C3B79">
            <w:pPr>
              <w:tabs>
                <w:tab w:val="left" w:pos="227"/>
                <w:tab w:val="left" w:pos="397"/>
                <w:tab w:val="left" w:pos="567"/>
              </w:tabs>
              <w:bidi w:val="0"/>
              <w:spacing w:line="240" w:lineRule="exact"/>
              <w:ind w:left="284" w:hanging="227"/>
              <w:jc w:val="right"/>
              <w:rPr>
                <w:i/>
                <w:iCs/>
                <w:sz w:val="13"/>
                <w:szCs w:val="13"/>
              </w:rPr>
            </w:pPr>
          </w:p>
        </w:tc>
        <w:tc>
          <w:tcPr>
            <w:tcW w:w="7335" w:type="dxa"/>
            <w:shd w:val="clear" w:color="auto" w:fill="auto"/>
          </w:tcPr>
          <w:p w14:paraId="7E23F324" w14:textId="77777777" w:rsidR="00AC60B5" w:rsidRPr="00351624" w:rsidRDefault="00AC60B5" w:rsidP="00E82CD5">
            <w:pPr>
              <w:numPr>
                <w:ilvl w:val="0"/>
                <w:numId w:val="28"/>
              </w:numPr>
              <w:tabs>
                <w:tab w:val="left" w:pos="531"/>
                <w:tab w:val="left" w:pos="2268"/>
              </w:tabs>
              <w:ind w:left="531" w:hanging="531"/>
              <w:rPr>
                <w:sz w:val="22"/>
                <w:rtl/>
              </w:rPr>
            </w:pPr>
            <w:r w:rsidRPr="00351624">
              <w:rPr>
                <w:rFonts w:hint="cs"/>
                <w:sz w:val="22"/>
                <w:rtl/>
              </w:rPr>
              <w:t>החברה בחרה להשתמש בשיעור היוון יחיד עבור חוזי חכירה הכוללים מאפיינים דומים.</w:t>
            </w:r>
          </w:p>
        </w:tc>
      </w:tr>
      <w:tr w:rsidR="00AC60B5" w:rsidRPr="00351624" w14:paraId="6B9045A7" w14:textId="77777777" w:rsidTr="00603732">
        <w:tc>
          <w:tcPr>
            <w:tcW w:w="1134" w:type="dxa"/>
            <w:tcBorders>
              <w:right w:val="single" w:sz="6" w:space="0" w:color="auto"/>
            </w:tcBorders>
            <w:shd w:val="clear" w:color="auto" w:fill="auto"/>
            <w:vAlign w:val="center"/>
          </w:tcPr>
          <w:p w14:paraId="0B1D9216" w14:textId="77777777" w:rsidR="00AC60B5" w:rsidRPr="00351624" w:rsidRDefault="00AC60B5" w:rsidP="004C3B79">
            <w:pPr>
              <w:widowControl/>
              <w:bidi w:val="0"/>
              <w:spacing w:line="240" w:lineRule="auto"/>
              <w:ind w:left="57" w:right="57"/>
              <w:jc w:val="right"/>
              <w:rPr>
                <w:rFonts w:cs="Times New Roman"/>
                <w:i/>
                <w:sz w:val="13"/>
              </w:rPr>
            </w:pPr>
            <w:r w:rsidRPr="00351624">
              <w:rPr>
                <w:rFonts w:cs="Times New Roman"/>
                <w:i/>
                <w:sz w:val="13"/>
              </w:rPr>
              <w:t>IFRS 16.</w:t>
            </w:r>
            <w:r>
              <w:rPr>
                <w:rFonts w:cs="Times New Roman"/>
                <w:i/>
                <w:sz w:val="13"/>
              </w:rPr>
              <w:t>C</w:t>
            </w:r>
            <w:r w:rsidRPr="00351624">
              <w:rPr>
                <w:rFonts w:cs="Times New Roman"/>
                <w:i/>
                <w:sz w:val="13"/>
              </w:rPr>
              <w:t>10(b);</w:t>
            </w:r>
          </w:p>
          <w:p w14:paraId="087A019B" w14:textId="77777777" w:rsidR="00AC60B5" w:rsidRPr="00351624" w:rsidRDefault="00AC60B5" w:rsidP="004C3B79">
            <w:pPr>
              <w:widowControl/>
              <w:bidi w:val="0"/>
              <w:spacing w:line="240" w:lineRule="auto"/>
              <w:ind w:left="57" w:right="57"/>
              <w:jc w:val="right"/>
              <w:rPr>
                <w:rFonts w:cs="Times New Roman"/>
                <w:i/>
                <w:sz w:val="13"/>
              </w:rPr>
            </w:pPr>
          </w:p>
        </w:tc>
        <w:tc>
          <w:tcPr>
            <w:tcW w:w="178" w:type="dxa"/>
            <w:tcBorders>
              <w:left w:val="single" w:sz="6" w:space="0" w:color="auto"/>
            </w:tcBorders>
            <w:shd w:val="clear" w:color="auto" w:fill="auto"/>
            <w:vAlign w:val="center"/>
          </w:tcPr>
          <w:p w14:paraId="4B9C3FD8" w14:textId="77777777" w:rsidR="00AC60B5" w:rsidRPr="00351624" w:rsidRDefault="00AC60B5" w:rsidP="004C3B79">
            <w:pPr>
              <w:tabs>
                <w:tab w:val="left" w:pos="227"/>
                <w:tab w:val="left" w:pos="397"/>
                <w:tab w:val="left" w:pos="567"/>
              </w:tabs>
              <w:bidi w:val="0"/>
              <w:spacing w:line="240" w:lineRule="exact"/>
              <w:ind w:left="284" w:hanging="227"/>
              <w:jc w:val="right"/>
              <w:rPr>
                <w:i/>
                <w:iCs/>
                <w:sz w:val="13"/>
                <w:szCs w:val="13"/>
              </w:rPr>
            </w:pPr>
          </w:p>
        </w:tc>
        <w:tc>
          <w:tcPr>
            <w:tcW w:w="7335" w:type="dxa"/>
            <w:shd w:val="clear" w:color="auto" w:fill="auto"/>
          </w:tcPr>
          <w:p w14:paraId="444A2593" w14:textId="77777777" w:rsidR="00AC60B5" w:rsidRPr="00351624" w:rsidRDefault="00AC60B5" w:rsidP="00E82CD5">
            <w:pPr>
              <w:numPr>
                <w:ilvl w:val="0"/>
                <w:numId w:val="28"/>
              </w:numPr>
              <w:tabs>
                <w:tab w:val="left" w:pos="531"/>
                <w:tab w:val="left" w:pos="2268"/>
              </w:tabs>
              <w:ind w:left="531" w:hanging="531"/>
              <w:rPr>
                <w:sz w:val="22"/>
                <w:rtl/>
              </w:rPr>
            </w:pPr>
            <w:r w:rsidRPr="00351624">
              <w:rPr>
                <w:rFonts w:hint="cs"/>
                <w:sz w:val="22"/>
                <w:rtl/>
              </w:rPr>
              <w:t>החברה בחרה להשתמש בהערכה קודמת שבוצעה בגין חוזה</w:t>
            </w:r>
            <w:r w:rsidRPr="00351624">
              <w:rPr>
                <w:rFonts w:hint="cs"/>
                <w:sz w:val="22"/>
              </w:rPr>
              <w:t xml:space="preserve"> </w:t>
            </w:r>
            <w:r w:rsidRPr="00351624">
              <w:rPr>
                <w:rFonts w:hint="cs"/>
                <w:sz w:val="22"/>
                <w:rtl/>
              </w:rPr>
              <w:t xml:space="preserve">חכירה שהוכר כחוזה מכביד לפי הוראות </w:t>
            </w:r>
            <w:r w:rsidRPr="00351624">
              <w:rPr>
                <w:rFonts w:hint="cs"/>
                <w:sz w:val="22"/>
              </w:rPr>
              <w:t>IAS 37</w:t>
            </w:r>
            <w:r w:rsidRPr="00351624">
              <w:rPr>
                <w:rFonts w:hint="cs"/>
                <w:sz w:val="22"/>
                <w:rtl/>
              </w:rPr>
              <w:t>, חלף בדיקת ירידת ערך ליתרת נכס זכות שימוש במועד היישום לראשונה.</w:t>
            </w:r>
          </w:p>
        </w:tc>
      </w:tr>
      <w:tr w:rsidR="00AC60B5" w:rsidRPr="00351624" w14:paraId="15FE5888" w14:textId="77777777" w:rsidTr="00603732">
        <w:tc>
          <w:tcPr>
            <w:tcW w:w="1134" w:type="dxa"/>
            <w:tcBorders>
              <w:right w:val="single" w:sz="6" w:space="0" w:color="auto"/>
            </w:tcBorders>
            <w:shd w:val="clear" w:color="auto" w:fill="auto"/>
            <w:vAlign w:val="center"/>
          </w:tcPr>
          <w:p w14:paraId="18CCFBED" w14:textId="77777777" w:rsidR="00AC60B5" w:rsidRPr="00351624" w:rsidRDefault="00AC60B5" w:rsidP="004C3B79">
            <w:pPr>
              <w:widowControl/>
              <w:bidi w:val="0"/>
              <w:spacing w:line="240" w:lineRule="auto"/>
              <w:ind w:left="57" w:right="57"/>
              <w:jc w:val="right"/>
              <w:rPr>
                <w:rFonts w:cs="Times New Roman"/>
                <w:i/>
                <w:sz w:val="13"/>
              </w:rPr>
            </w:pPr>
            <w:r w:rsidRPr="00351624">
              <w:rPr>
                <w:rFonts w:cs="Times New Roman"/>
                <w:i/>
                <w:sz w:val="13"/>
              </w:rPr>
              <w:t>IFRS 16.</w:t>
            </w:r>
            <w:r>
              <w:rPr>
                <w:rFonts w:cs="Times New Roman"/>
                <w:i/>
                <w:sz w:val="13"/>
              </w:rPr>
              <w:t>C</w:t>
            </w:r>
            <w:r w:rsidRPr="00351624">
              <w:rPr>
                <w:rFonts w:cs="Times New Roman"/>
                <w:i/>
                <w:sz w:val="13"/>
              </w:rPr>
              <w:t>10(c)(i);</w:t>
            </w:r>
          </w:p>
          <w:p w14:paraId="0AE96813" w14:textId="77777777" w:rsidR="00AC60B5" w:rsidRPr="00351624" w:rsidRDefault="00AC60B5" w:rsidP="004C3B79">
            <w:pPr>
              <w:widowControl/>
              <w:bidi w:val="0"/>
              <w:spacing w:line="240" w:lineRule="auto"/>
              <w:ind w:left="57" w:right="57"/>
              <w:jc w:val="right"/>
              <w:rPr>
                <w:rFonts w:cs="Times New Roman"/>
                <w:i/>
                <w:sz w:val="13"/>
              </w:rPr>
            </w:pPr>
          </w:p>
        </w:tc>
        <w:tc>
          <w:tcPr>
            <w:tcW w:w="178" w:type="dxa"/>
            <w:tcBorders>
              <w:left w:val="single" w:sz="6" w:space="0" w:color="auto"/>
            </w:tcBorders>
            <w:shd w:val="clear" w:color="auto" w:fill="auto"/>
            <w:vAlign w:val="center"/>
          </w:tcPr>
          <w:p w14:paraId="374A647D" w14:textId="77777777" w:rsidR="00AC60B5" w:rsidRPr="00351624" w:rsidRDefault="00AC60B5" w:rsidP="004C3B79">
            <w:pPr>
              <w:tabs>
                <w:tab w:val="left" w:pos="227"/>
                <w:tab w:val="left" w:pos="397"/>
                <w:tab w:val="left" w:pos="567"/>
              </w:tabs>
              <w:bidi w:val="0"/>
              <w:spacing w:line="240" w:lineRule="exact"/>
              <w:ind w:left="284" w:hanging="227"/>
              <w:jc w:val="right"/>
              <w:rPr>
                <w:i/>
                <w:iCs/>
                <w:sz w:val="13"/>
                <w:szCs w:val="13"/>
              </w:rPr>
            </w:pPr>
          </w:p>
        </w:tc>
        <w:tc>
          <w:tcPr>
            <w:tcW w:w="7335" w:type="dxa"/>
            <w:shd w:val="clear" w:color="auto" w:fill="auto"/>
          </w:tcPr>
          <w:p w14:paraId="3BFDE31B" w14:textId="77777777" w:rsidR="00AC60B5" w:rsidRPr="00351624" w:rsidRDefault="00AC60B5" w:rsidP="00E82CD5">
            <w:pPr>
              <w:numPr>
                <w:ilvl w:val="0"/>
                <w:numId w:val="28"/>
              </w:numPr>
              <w:tabs>
                <w:tab w:val="left" w:pos="531"/>
                <w:tab w:val="left" w:pos="2268"/>
              </w:tabs>
              <w:ind w:left="531" w:hanging="531"/>
              <w:rPr>
                <w:sz w:val="22"/>
                <w:rtl/>
              </w:rPr>
            </w:pPr>
            <w:r w:rsidRPr="00351624">
              <w:rPr>
                <w:rFonts w:hint="cs"/>
                <w:sz w:val="22"/>
                <w:rtl/>
              </w:rPr>
              <w:t xml:space="preserve">החברה בחרה שלא להכיר ביתרת התחייבות בגין חכירה ויתרת נכס זכות שימוש בגין חכירות אשר למועד היישום לראשונה תקופת החכירה הינה קצרה מ- 12 חודשים. </w:t>
            </w:r>
            <w:r>
              <w:rPr>
                <w:rFonts w:hint="cs"/>
                <w:sz w:val="22"/>
                <w:rtl/>
              </w:rPr>
              <w:t>חכירות אלו מטופלות כחכירות לטווח קצר.</w:t>
            </w:r>
          </w:p>
        </w:tc>
      </w:tr>
      <w:tr w:rsidR="00AC60B5" w:rsidRPr="00351624" w14:paraId="16BD42D5" w14:textId="77777777" w:rsidTr="00603732">
        <w:tc>
          <w:tcPr>
            <w:tcW w:w="1134" w:type="dxa"/>
            <w:tcBorders>
              <w:right w:val="single" w:sz="6" w:space="0" w:color="auto"/>
            </w:tcBorders>
            <w:shd w:val="clear" w:color="auto" w:fill="auto"/>
            <w:vAlign w:val="center"/>
          </w:tcPr>
          <w:p w14:paraId="59970517" w14:textId="77777777" w:rsidR="00AC60B5" w:rsidRPr="00351624" w:rsidRDefault="00AC60B5" w:rsidP="004C3B79">
            <w:pPr>
              <w:widowControl/>
              <w:bidi w:val="0"/>
              <w:spacing w:line="240" w:lineRule="auto"/>
              <w:ind w:left="57" w:right="57"/>
              <w:jc w:val="right"/>
              <w:rPr>
                <w:rFonts w:cs="Times New Roman"/>
                <w:i/>
                <w:sz w:val="13"/>
              </w:rPr>
            </w:pPr>
            <w:r w:rsidRPr="00351624">
              <w:rPr>
                <w:rFonts w:cs="Times New Roman"/>
                <w:i/>
                <w:sz w:val="13"/>
              </w:rPr>
              <w:t>IFRS 16.</w:t>
            </w:r>
            <w:r>
              <w:rPr>
                <w:rFonts w:cs="Times New Roman"/>
                <w:i/>
                <w:sz w:val="13"/>
              </w:rPr>
              <w:t>C</w:t>
            </w:r>
            <w:r w:rsidRPr="00351624">
              <w:rPr>
                <w:rFonts w:cs="Times New Roman"/>
                <w:i/>
                <w:sz w:val="13"/>
              </w:rPr>
              <w:t>10(d);</w:t>
            </w:r>
          </w:p>
          <w:p w14:paraId="11AB193A" w14:textId="77777777" w:rsidR="00AC60B5" w:rsidRPr="00351624" w:rsidRDefault="00AC60B5" w:rsidP="004C3B79">
            <w:pPr>
              <w:widowControl/>
              <w:bidi w:val="0"/>
              <w:spacing w:line="240" w:lineRule="auto"/>
              <w:ind w:left="57" w:right="57"/>
              <w:jc w:val="right"/>
              <w:rPr>
                <w:rFonts w:cs="Times New Roman"/>
                <w:i/>
                <w:sz w:val="13"/>
              </w:rPr>
            </w:pPr>
          </w:p>
        </w:tc>
        <w:tc>
          <w:tcPr>
            <w:tcW w:w="178" w:type="dxa"/>
            <w:tcBorders>
              <w:left w:val="single" w:sz="6" w:space="0" w:color="auto"/>
            </w:tcBorders>
            <w:shd w:val="clear" w:color="auto" w:fill="auto"/>
            <w:vAlign w:val="center"/>
          </w:tcPr>
          <w:p w14:paraId="6BF37FB0" w14:textId="77777777" w:rsidR="00AC60B5" w:rsidRPr="00351624" w:rsidRDefault="00AC60B5" w:rsidP="004C3B79">
            <w:pPr>
              <w:tabs>
                <w:tab w:val="left" w:pos="227"/>
                <w:tab w:val="left" w:pos="397"/>
                <w:tab w:val="left" w:pos="567"/>
              </w:tabs>
              <w:bidi w:val="0"/>
              <w:spacing w:line="240" w:lineRule="exact"/>
              <w:ind w:left="284" w:hanging="227"/>
              <w:jc w:val="right"/>
              <w:rPr>
                <w:i/>
                <w:iCs/>
                <w:sz w:val="13"/>
                <w:szCs w:val="13"/>
              </w:rPr>
            </w:pPr>
          </w:p>
        </w:tc>
        <w:tc>
          <w:tcPr>
            <w:tcW w:w="7335" w:type="dxa"/>
            <w:shd w:val="clear" w:color="auto" w:fill="auto"/>
          </w:tcPr>
          <w:p w14:paraId="777676EC" w14:textId="77777777" w:rsidR="00AC60B5" w:rsidRPr="00351624" w:rsidRDefault="00AC60B5" w:rsidP="00E82CD5">
            <w:pPr>
              <w:numPr>
                <w:ilvl w:val="0"/>
                <w:numId w:val="28"/>
              </w:numPr>
              <w:tabs>
                <w:tab w:val="left" w:pos="531"/>
                <w:tab w:val="left" w:pos="2268"/>
              </w:tabs>
              <w:ind w:left="531" w:hanging="531"/>
              <w:rPr>
                <w:sz w:val="22"/>
                <w:rtl/>
              </w:rPr>
            </w:pPr>
            <w:r w:rsidRPr="00351624">
              <w:rPr>
                <w:rFonts w:hint="cs"/>
                <w:sz w:val="22"/>
                <w:rtl/>
              </w:rPr>
              <w:t>החברה בחרה שלא לכלול עלויות עסקה שהתהוו במועד היישום לראשונה במדידת נכס זכות שימוש</w:t>
            </w:r>
            <w:r w:rsidRPr="00351624">
              <w:rPr>
                <w:color w:val="FF0000"/>
                <w:sz w:val="22"/>
                <w:szCs w:val="22"/>
                <w:vertAlign w:val="superscript"/>
                <w:rtl/>
              </w:rPr>
              <w:footnoteReference w:id="78"/>
            </w:r>
            <w:r w:rsidRPr="00351624">
              <w:rPr>
                <w:rFonts w:hint="cs"/>
                <w:sz w:val="22"/>
                <w:rtl/>
              </w:rPr>
              <w:t>.</w:t>
            </w:r>
          </w:p>
        </w:tc>
      </w:tr>
      <w:tr w:rsidR="00AC60B5" w:rsidRPr="00351624" w14:paraId="2F0F439A" w14:textId="77777777" w:rsidTr="00603732">
        <w:tc>
          <w:tcPr>
            <w:tcW w:w="1134" w:type="dxa"/>
            <w:tcBorders>
              <w:bottom w:val="single" w:sz="6" w:space="0" w:color="auto"/>
              <w:right w:val="single" w:sz="6" w:space="0" w:color="auto"/>
            </w:tcBorders>
            <w:shd w:val="clear" w:color="auto" w:fill="auto"/>
            <w:vAlign w:val="center"/>
          </w:tcPr>
          <w:p w14:paraId="75B9AC09" w14:textId="77777777" w:rsidR="00AC60B5" w:rsidRPr="00351624" w:rsidRDefault="00AC60B5" w:rsidP="004C3B79">
            <w:pPr>
              <w:widowControl/>
              <w:bidi w:val="0"/>
              <w:spacing w:line="240" w:lineRule="auto"/>
              <w:ind w:left="57" w:right="57"/>
              <w:jc w:val="right"/>
              <w:rPr>
                <w:rFonts w:cs="Times New Roman"/>
                <w:i/>
                <w:sz w:val="13"/>
              </w:rPr>
            </w:pPr>
            <w:r w:rsidRPr="00351624">
              <w:rPr>
                <w:rFonts w:cs="Times New Roman"/>
                <w:i/>
                <w:sz w:val="13"/>
              </w:rPr>
              <w:t>IFRS 16.</w:t>
            </w:r>
            <w:r>
              <w:rPr>
                <w:rFonts w:cs="Times New Roman"/>
                <w:i/>
                <w:sz w:val="13"/>
              </w:rPr>
              <w:t>C</w:t>
            </w:r>
            <w:r w:rsidRPr="00351624">
              <w:rPr>
                <w:rFonts w:cs="Times New Roman"/>
                <w:i/>
                <w:sz w:val="13"/>
              </w:rPr>
              <w:t>10(e);</w:t>
            </w:r>
          </w:p>
        </w:tc>
        <w:tc>
          <w:tcPr>
            <w:tcW w:w="178" w:type="dxa"/>
            <w:tcBorders>
              <w:left w:val="single" w:sz="6" w:space="0" w:color="auto"/>
            </w:tcBorders>
            <w:shd w:val="clear" w:color="auto" w:fill="auto"/>
            <w:vAlign w:val="center"/>
          </w:tcPr>
          <w:p w14:paraId="6F09BA1F" w14:textId="77777777" w:rsidR="00AC60B5" w:rsidRPr="00351624" w:rsidRDefault="00AC60B5" w:rsidP="004C3B79">
            <w:pPr>
              <w:tabs>
                <w:tab w:val="left" w:pos="227"/>
                <w:tab w:val="left" w:pos="397"/>
                <w:tab w:val="left" w:pos="567"/>
              </w:tabs>
              <w:bidi w:val="0"/>
              <w:spacing w:line="240" w:lineRule="exact"/>
              <w:ind w:left="284" w:hanging="227"/>
              <w:jc w:val="right"/>
              <w:rPr>
                <w:i/>
                <w:iCs/>
                <w:sz w:val="13"/>
                <w:szCs w:val="13"/>
              </w:rPr>
            </w:pPr>
          </w:p>
        </w:tc>
        <w:tc>
          <w:tcPr>
            <w:tcW w:w="7335" w:type="dxa"/>
            <w:shd w:val="clear" w:color="auto" w:fill="auto"/>
          </w:tcPr>
          <w:p w14:paraId="633623FB" w14:textId="77777777" w:rsidR="00AC60B5" w:rsidRPr="00351624" w:rsidRDefault="00AC60B5" w:rsidP="00E82CD5">
            <w:pPr>
              <w:numPr>
                <w:ilvl w:val="0"/>
                <w:numId w:val="28"/>
              </w:numPr>
              <w:tabs>
                <w:tab w:val="left" w:pos="531"/>
                <w:tab w:val="left" w:pos="2268"/>
              </w:tabs>
              <w:ind w:left="531" w:hanging="531"/>
              <w:rPr>
                <w:sz w:val="22"/>
                <w:rtl/>
              </w:rPr>
            </w:pPr>
            <w:r w:rsidRPr="00351624">
              <w:rPr>
                <w:rFonts w:hint="cs"/>
                <w:sz w:val="22"/>
                <w:rtl/>
              </w:rPr>
              <w:t>החברה בחרה להשתמש ב"ראייה לאחור" בקביעת תקופת החכירה בחוזים אשר כוללים אופציות להארכת תקופת החכירה או ביטול תקופת חכירה.</w:t>
            </w:r>
          </w:p>
        </w:tc>
      </w:tr>
    </w:tbl>
    <w:p w14:paraId="77A1489A" w14:textId="77777777" w:rsidR="00AC60B5" w:rsidRPr="00545839" w:rsidRDefault="00AC60B5" w:rsidP="00AC60B5">
      <w:pPr>
        <w:tabs>
          <w:tab w:val="left" w:pos="1701"/>
          <w:tab w:val="left" w:pos="2268"/>
        </w:tabs>
        <w:ind w:left="1701"/>
        <w:rPr>
          <w:rtl/>
        </w:rPr>
      </w:pPr>
    </w:p>
    <w:p w14:paraId="73B6F633" w14:textId="69C09CCC" w:rsidR="001707A9" w:rsidRPr="00B8374B" w:rsidRDefault="001707A9" w:rsidP="001707A9">
      <w:pPr>
        <w:pStyle w:val="30"/>
        <w:tabs>
          <w:tab w:val="clear" w:pos="1701"/>
          <w:tab w:val="clear" w:pos="2268"/>
          <w:tab w:val="left" w:pos="1417"/>
          <w:tab w:val="left" w:pos="1842"/>
        </w:tabs>
        <w:ind w:left="1701" w:hanging="284"/>
        <w:rPr>
          <w:u w:val="single"/>
        </w:rPr>
      </w:pPr>
      <w:r>
        <w:rPr>
          <w:rFonts w:hint="cs"/>
          <w:rtl/>
        </w:rPr>
        <w:t>2</w:t>
      </w:r>
      <w:r w:rsidRPr="00AC6EE8">
        <w:rPr>
          <w:rtl/>
        </w:rPr>
        <w:t xml:space="preserve">.   </w:t>
      </w:r>
      <w:r>
        <w:rPr>
          <w:rtl/>
        </w:rPr>
        <w:tab/>
      </w:r>
      <w:r>
        <w:rPr>
          <w:rFonts w:hint="cs"/>
          <w:u w:val="single"/>
          <w:rtl/>
        </w:rPr>
        <w:t>פרויקט השיפורים בתקינה הבינלאומית 2015-2017</w:t>
      </w:r>
    </w:p>
    <w:p w14:paraId="78ABD929" w14:textId="77777777" w:rsidR="001707A9" w:rsidRDefault="001707A9" w:rsidP="001707A9">
      <w:pPr>
        <w:pStyle w:val="21"/>
        <w:ind w:left="567"/>
        <w:rPr>
          <w:rtl/>
        </w:rPr>
      </w:pPr>
    </w:p>
    <w:p w14:paraId="27B07C16" w14:textId="1A39AF56" w:rsidR="001707A9" w:rsidRDefault="001707A9" w:rsidP="001707A9">
      <w:pPr>
        <w:pStyle w:val="41"/>
        <w:tabs>
          <w:tab w:val="clear" w:pos="2268"/>
          <w:tab w:val="left" w:pos="1984"/>
        </w:tabs>
        <w:ind w:left="1984" w:firstLine="0"/>
        <w:rPr>
          <w:rtl/>
        </w:rPr>
      </w:pPr>
      <w:r w:rsidRPr="00351624">
        <w:rPr>
          <w:rtl/>
        </w:rPr>
        <w:t xml:space="preserve">בחודש </w:t>
      </w:r>
      <w:r>
        <w:rPr>
          <w:rFonts w:hint="cs"/>
          <w:rtl/>
        </w:rPr>
        <w:t>דצמבר</w:t>
      </w:r>
      <w:r w:rsidRPr="00351624">
        <w:rPr>
          <w:rtl/>
        </w:rPr>
        <w:t xml:space="preserve"> </w:t>
      </w:r>
      <w:r>
        <w:rPr>
          <w:rFonts w:hint="cs"/>
          <w:rtl/>
        </w:rPr>
        <w:t>2017 פרסם</w:t>
      </w:r>
      <w:r w:rsidRPr="00351624">
        <w:rPr>
          <w:rtl/>
        </w:rPr>
        <w:t xml:space="preserve"> ה-</w:t>
      </w:r>
      <w:r w:rsidRPr="00351624">
        <w:t xml:space="preserve">IASB </w:t>
      </w:r>
      <w:r w:rsidRPr="00351624">
        <w:rPr>
          <w:rtl/>
        </w:rPr>
        <w:t xml:space="preserve"> </w:t>
      </w:r>
      <w:r>
        <w:rPr>
          <w:rFonts w:hint="cs"/>
          <w:rtl/>
        </w:rPr>
        <w:t>את התיקונים הבאים במסגרת פרויקט השיפורים מחזור 2015-2017. להלן עיקרי התיקונים:</w:t>
      </w:r>
    </w:p>
    <w:tbl>
      <w:tblPr>
        <w:tblStyle w:val="af6"/>
        <w:bidiVisual/>
        <w:tblW w:w="7513" w:type="dxa"/>
        <w:tblInd w:w="2325" w:type="dxa"/>
        <w:tblLayout w:type="fixed"/>
        <w:tblCellMar>
          <w:left w:w="0" w:type="dxa"/>
          <w:right w:w="0" w:type="dxa"/>
        </w:tblCellMar>
        <w:tblLook w:val="04A0" w:firstRow="1" w:lastRow="0" w:firstColumn="1" w:lastColumn="0" w:noHBand="0" w:noVBand="1"/>
      </w:tblPr>
      <w:tblGrid>
        <w:gridCol w:w="934"/>
        <w:gridCol w:w="6579"/>
      </w:tblGrid>
      <w:tr w:rsidR="001707A9" w:rsidRPr="006E077A" w14:paraId="104DD6BD" w14:textId="77777777" w:rsidTr="001707A9">
        <w:tc>
          <w:tcPr>
            <w:tcW w:w="934" w:type="dxa"/>
          </w:tcPr>
          <w:p w14:paraId="778A2364" w14:textId="2C17985B" w:rsidR="001707A9" w:rsidRPr="006E077A" w:rsidRDefault="001707A9" w:rsidP="004C3B79">
            <w:pPr>
              <w:spacing w:line="240" w:lineRule="exact"/>
              <w:rPr>
                <w:rtl/>
              </w:rPr>
            </w:pPr>
            <w:r>
              <w:rPr>
                <w:rFonts w:hint="cs"/>
                <w:rtl/>
              </w:rPr>
              <w:t>תקן רלוונטי</w:t>
            </w:r>
          </w:p>
        </w:tc>
        <w:tc>
          <w:tcPr>
            <w:tcW w:w="6579" w:type="dxa"/>
          </w:tcPr>
          <w:p w14:paraId="097CB58F" w14:textId="77777777" w:rsidR="001707A9" w:rsidRPr="006E077A" w:rsidRDefault="001707A9" w:rsidP="004C3B79">
            <w:pPr>
              <w:pStyle w:val="21"/>
              <w:spacing w:line="240" w:lineRule="exact"/>
              <w:ind w:left="0" w:firstLine="0"/>
              <w:rPr>
                <w:u w:val="single"/>
                <w:rtl/>
              </w:rPr>
            </w:pPr>
            <w:r w:rsidRPr="006E077A">
              <w:rPr>
                <w:rFonts w:hint="cs"/>
                <w:u w:val="single"/>
                <w:rtl/>
              </w:rPr>
              <w:t>עיקרי התיקון</w:t>
            </w:r>
          </w:p>
        </w:tc>
      </w:tr>
      <w:tr w:rsidR="001707A9" w:rsidRPr="006E077A" w14:paraId="39EDF019" w14:textId="77777777" w:rsidTr="001707A9">
        <w:tc>
          <w:tcPr>
            <w:tcW w:w="934" w:type="dxa"/>
          </w:tcPr>
          <w:p w14:paraId="1533D573" w14:textId="15F10095" w:rsidR="001707A9" w:rsidRPr="006E077A" w:rsidRDefault="001707A9" w:rsidP="001707A9">
            <w:pPr>
              <w:spacing w:line="240" w:lineRule="exact"/>
            </w:pPr>
            <w:r w:rsidRPr="006E077A">
              <w:rPr>
                <w:rFonts w:hint="cs"/>
              </w:rPr>
              <w:t>IFRS 3</w:t>
            </w:r>
            <w:r w:rsidRPr="006E077A">
              <w:t xml:space="preserve"> </w:t>
            </w:r>
          </w:p>
        </w:tc>
        <w:tc>
          <w:tcPr>
            <w:tcW w:w="6579" w:type="dxa"/>
          </w:tcPr>
          <w:p w14:paraId="00904684" w14:textId="011953C6" w:rsidR="001707A9" w:rsidRPr="006E077A" w:rsidRDefault="001707A9" w:rsidP="00E7320E">
            <w:pPr>
              <w:pStyle w:val="21"/>
              <w:spacing w:line="240" w:lineRule="exact"/>
              <w:ind w:left="0" w:firstLine="0"/>
              <w:rPr>
                <w:rtl/>
              </w:rPr>
            </w:pPr>
            <w:r w:rsidRPr="006E077A">
              <w:rPr>
                <w:rFonts w:hint="cs"/>
                <w:rtl/>
              </w:rPr>
              <w:t xml:space="preserve">התיקון מבהיר כי כאשר שותף בפעילות משותפת משיג שליטה על הפעילות המשותפת והפעילות המשותפת מהווה עסק (כהגדרתו ב- </w:t>
            </w:r>
            <w:r w:rsidRPr="006E077A">
              <w:t>IFRS 3</w:t>
            </w:r>
            <w:r w:rsidRPr="006E077A">
              <w:rPr>
                <w:rFonts w:hint="cs"/>
                <w:rtl/>
              </w:rPr>
              <w:t xml:space="preserve">), עליו </w:t>
            </w:r>
            <w:r w:rsidR="00E11AE2">
              <w:rPr>
                <w:rFonts w:hint="cs"/>
                <w:rtl/>
              </w:rPr>
              <w:t>לשערך</w:t>
            </w:r>
            <w:r w:rsidRPr="006E077A">
              <w:rPr>
                <w:rFonts w:hint="cs"/>
                <w:rtl/>
              </w:rPr>
              <w:t xml:space="preserve"> את הזכויות הקיימות בפעילות המשותפת </w:t>
            </w:r>
            <w:r w:rsidR="00E11AE2">
              <w:rPr>
                <w:rFonts w:hint="cs"/>
                <w:rtl/>
              </w:rPr>
              <w:t>לשווים ההוגן ולהכיר בהשפעה ב</w:t>
            </w:r>
            <w:r w:rsidR="00E7320E">
              <w:rPr>
                <w:rFonts w:hint="cs"/>
                <w:rtl/>
              </w:rPr>
              <w:t>רווח או הפסד.</w:t>
            </w:r>
          </w:p>
        </w:tc>
      </w:tr>
      <w:tr w:rsidR="001707A9" w:rsidRPr="006E077A" w14:paraId="0B1A6916" w14:textId="77777777" w:rsidTr="001707A9">
        <w:tc>
          <w:tcPr>
            <w:tcW w:w="934" w:type="dxa"/>
          </w:tcPr>
          <w:p w14:paraId="7820C71F" w14:textId="77777777" w:rsidR="001707A9" w:rsidRPr="006E077A" w:rsidRDefault="001707A9" w:rsidP="004C3B79">
            <w:pPr>
              <w:spacing w:line="240" w:lineRule="exact"/>
            </w:pPr>
          </w:p>
        </w:tc>
        <w:tc>
          <w:tcPr>
            <w:tcW w:w="6579" w:type="dxa"/>
          </w:tcPr>
          <w:p w14:paraId="1C83E5FA" w14:textId="77777777" w:rsidR="001707A9" w:rsidRPr="006E077A" w:rsidRDefault="001707A9" w:rsidP="004C3B79">
            <w:pPr>
              <w:pStyle w:val="21"/>
              <w:spacing w:line="240" w:lineRule="exact"/>
              <w:ind w:left="0" w:firstLine="0"/>
              <w:rPr>
                <w:rtl/>
              </w:rPr>
            </w:pPr>
          </w:p>
        </w:tc>
      </w:tr>
      <w:tr w:rsidR="001707A9" w:rsidRPr="006E077A" w14:paraId="53820965" w14:textId="77777777" w:rsidTr="001707A9">
        <w:tc>
          <w:tcPr>
            <w:tcW w:w="934" w:type="dxa"/>
          </w:tcPr>
          <w:p w14:paraId="0F3E2C7D" w14:textId="77777777" w:rsidR="001707A9" w:rsidRPr="006E077A" w:rsidRDefault="001707A9" w:rsidP="004C3B79">
            <w:pPr>
              <w:spacing w:line="240" w:lineRule="exact"/>
            </w:pPr>
            <w:r w:rsidRPr="006E077A">
              <w:t>IFRS 11</w:t>
            </w:r>
          </w:p>
        </w:tc>
        <w:tc>
          <w:tcPr>
            <w:tcW w:w="6579" w:type="dxa"/>
          </w:tcPr>
          <w:p w14:paraId="5F3D736D" w14:textId="77777777" w:rsidR="001707A9" w:rsidRPr="006E077A" w:rsidRDefault="001707A9" w:rsidP="004C3B79">
            <w:pPr>
              <w:pStyle w:val="21"/>
              <w:spacing w:line="240" w:lineRule="exact"/>
              <w:ind w:left="0" w:firstLine="0"/>
              <w:rPr>
                <w:rtl/>
              </w:rPr>
            </w:pPr>
            <w:r w:rsidRPr="006E077A">
              <w:rPr>
                <w:rFonts w:hint="cs"/>
                <w:rtl/>
              </w:rPr>
              <w:t xml:space="preserve">התיקון מבהיר כי צד לפעילות משותפת שמשיג לראשונה שליטה משותפת בפעילות לא ישערך את הזכויות הקודמות שהחזיק בפעילות המשותפת. </w:t>
            </w:r>
          </w:p>
        </w:tc>
      </w:tr>
      <w:tr w:rsidR="001707A9" w:rsidRPr="006E077A" w14:paraId="20F9CF17" w14:textId="77777777" w:rsidTr="001707A9">
        <w:tc>
          <w:tcPr>
            <w:tcW w:w="934" w:type="dxa"/>
          </w:tcPr>
          <w:p w14:paraId="3EAF37A4" w14:textId="77777777" w:rsidR="001707A9" w:rsidRPr="006E077A" w:rsidRDefault="001707A9" w:rsidP="004C3B79">
            <w:pPr>
              <w:spacing w:line="240" w:lineRule="exact"/>
            </w:pPr>
          </w:p>
        </w:tc>
        <w:tc>
          <w:tcPr>
            <w:tcW w:w="6579" w:type="dxa"/>
          </w:tcPr>
          <w:p w14:paraId="62F66126" w14:textId="77777777" w:rsidR="001707A9" w:rsidRPr="006E077A" w:rsidRDefault="001707A9" w:rsidP="004C3B79">
            <w:pPr>
              <w:pStyle w:val="21"/>
              <w:spacing w:line="240" w:lineRule="exact"/>
              <w:ind w:left="0" w:firstLine="0"/>
              <w:rPr>
                <w:rtl/>
              </w:rPr>
            </w:pPr>
          </w:p>
        </w:tc>
      </w:tr>
      <w:tr w:rsidR="001707A9" w:rsidRPr="006E077A" w14:paraId="57710042" w14:textId="77777777" w:rsidTr="001707A9">
        <w:tc>
          <w:tcPr>
            <w:tcW w:w="934" w:type="dxa"/>
          </w:tcPr>
          <w:p w14:paraId="2A8A687E" w14:textId="77777777" w:rsidR="001707A9" w:rsidRPr="006E077A" w:rsidRDefault="001707A9" w:rsidP="004C3B79">
            <w:pPr>
              <w:spacing w:line="240" w:lineRule="exact"/>
              <w:rPr>
                <w:rtl/>
              </w:rPr>
            </w:pPr>
            <w:r w:rsidRPr="006E077A">
              <w:rPr>
                <w:rFonts w:hint="cs"/>
              </w:rPr>
              <w:t>IAS 12</w:t>
            </w:r>
          </w:p>
        </w:tc>
        <w:tc>
          <w:tcPr>
            <w:tcW w:w="6579" w:type="dxa"/>
          </w:tcPr>
          <w:p w14:paraId="1AD77A06" w14:textId="77777777" w:rsidR="001707A9" w:rsidRPr="006E077A" w:rsidRDefault="001707A9" w:rsidP="004C3B79">
            <w:pPr>
              <w:pStyle w:val="21"/>
              <w:spacing w:line="240" w:lineRule="exact"/>
              <w:ind w:left="0" w:firstLine="0"/>
              <w:rPr>
                <w:rtl/>
              </w:rPr>
            </w:pPr>
            <w:r w:rsidRPr="006E077A">
              <w:rPr>
                <w:rFonts w:hint="cs"/>
                <w:rtl/>
              </w:rPr>
              <w:t xml:space="preserve">התיקון מבהיר כי על חברה להכיר בהשלכות המס הנובעות מתשלום דיבידנד במסגרת רווח או הפסד, רווח כולל אחר או בהון, לפי הסיווג בדוח הכספי של אותה עסקה או אירוע אשר יצרו את הרווח הניתן לחלוקה.  </w:t>
            </w:r>
          </w:p>
        </w:tc>
      </w:tr>
      <w:tr w:rsidR="001707A9" w:rsidRPr="006E077A" w14:paraId="69EF3DA4" w14:textId="77777777" w:rsidTr="001707A9">
        <w:tc>
          <w:tcPr>
            <w:tcW w:w="934" w:type="dxa"/>
          </w:tcPr>
          <w:p w14:paraId="2523DA24" w14:textId="77777777" w:rsidR="001707A9" w:rsidRPr="006E077A" w:rsidRDefault="001707A9" w:rsidP="004C3B79">
            <w:pPr>
              <w:spacing w:line="240" w:lineRule="exact"/>
            </w:pPr>
          </w:p>
        </w:tc>
        <w:tc>
          <w:tcPr>
            <w:tcW w:w="6579" w:type="dxa"/>
          </w:tcPr>
          <w:p w14:paraId="6B745BB6" w14:textId="77777777" w:rsidR="001707A9" w:rsidRPr="006E077A" w:rsidRDefault="001707A9" w:rsidP="004C3B79">
            <w:pPr>
              <w:pStyle w:val="21"/>
              <w:spacing w:line="240" w:lineRule="exact"/>
              <w:ind w:left="0" w:firstLine="0"/>
              <w:rPr>
                <w:rtl/>
              </w:rPr>
            </w:pPr>
          </w:p>
        </w:tc>
      </w:tr>
      <w:tr w:rsidR="001707A9" w:rsidRPr="006E077A" w14:paraId="692B6004" w14:textId="77777777" w:rsidTr="001707A9">
        <w:tc>
          <w:tcPr>
            <w:tcW w:w="934" w:type="dxa"/>
          </w:tcPr>
          <w:p w14:paraId="1A1CA568" w14:textId="77777777" w:rsidR="001707A9" w:rsidRPr="006E077A" w:rsidRDefault="001707A9" w:rsidP="004C3B79">
            <w:pPr>
              <w:spacing w:line="240" w:lineRule="exact"/>
            </w:pPr>
            <w:r w:rsidRPr="006E077A">
              <w:rPr>
                <w:rFonts w:hint="cs"/>
              </w:rPr>
              <w:t>IAS 23</w:t>
            </w:r>
          </w:p>
        </w:tc>
        <w:tc>
          <w:tcPr>
            <w:tcW w:w="6579" w:type="dxa"/>
          </w:tcPr>
          <w:p w14:paraId="58023EAD" w14:textId="77777777" w:rsidR="001707A9" w:rsidRPr="006E077A" w:rsidRDefault="001707A9" w:rsidP="004C3B79">
            <w:pPr>
              <w:pStyle w:val="21"/>
              <w:spacing w:line="240" w:lineRule="exact"/>
              <w:ind w:left="0" w:firstLine="0"/>
              <w:rPr>
                <w:rtl/>
              </w:rPr>
            </w:pPr>
            <w:r w:rsidRPr="006E077A">
              <w:rPr>
                <w:rFonts w:hint="cs"/>
                <w:rtl/>
              </w:rPr>
              <w:t>התיקון מבהיר כי אשראי אשר נלקח ישירות להקמתו של נכס כשיר יסווג לצורך היוון עלויות אשראי לנכסים כשירים אחרים כאשראי כללי של החברה, וזאת כאשר הנכס הכשיר לשמו נלקח אותו אשראי, מוכן לשימוש או למכירה וכן האשראי טרם נפרע.</w:t>
            </w:r>
          </w:p>
        </w:tc>
      </w:tr>
    </w:tbl>
    <w:p w14:paraId="188EEBAF" w14:textId="77777777" w:rsidR="001707A9" w:rsidRDefault="001707A9" w:rsidP="000F41D9">
      <w:pPr>
        <w:pStyle w:val="21"/>
        <w:ind w:left="567"/>
        <w:rPr>
          <w:rtl/>
        </w:rPr>
      </w:pPr>
    </w:p>
    <w:p w14:paraId="1FB48838" w14:textId="17052AB7" w:rsidR="001707A9" w:rsidRDefault="001707A9" w:rsidP="001707A9">
      <w:pPr>
        <w:pStyle w:val="21"/>
        <w:ind w:left="1984" w:firstLine="0"/>
        <w:rPr>
          <w:rtl/>
        </w:rPr>
      </w:pPr>
      <w:r w:rsidRPr="001707A9">
        <w:rPr>
          <w:rFonts w:hint="cs"/>
          <w:highlight w:val="lightGray"/>
          <w:rtl/>
        </w:rPr>
        <w:t>התיקונים/התיקון</w:t>
      </w:r>
      <w:r w:rsidRPr="001707A9">
        <w:rPr>
          <w:rStyle w:val="ab"/>
          <w:highlight w:val="lightGray"/>
          <w:rtl/>
        </w:rPr>
        <w:footnoteReference w:id="79"/>
      </w:r>
      <w:r w:rsidRPr="001707A9">
        <w:rPr>
          <w:rFonts w:hint="cs"/>
          <w:highlight w:val="lightGray"/>
          <w:rtl/>
        </w:rPr>
        <w:t xml:space="preserve"> מיושמ/ים</w:t>
      </w:r>
      <w:r>
        <w:rPr>
          <w:rFonts w:hint="cs"/>
          <w:rtl/>
        </w:rPr>
        <w:t xml:space="preserve"> לראשונה בדוחות כספיים אלו החל מהתקופות השנתיות המתחילות ביום 1 בינואר 2019. </w:t>
      </w:r>
    </w:p>
    <w:p w14:paraId="7F4946EB" w14:textId="77777777" w:rsidR="001707A9" w:rsidRDefault="001707A9" w:rsidP="001707A9">
      <w:pPr>
        <w:pStyle w:val="21"/>
        <w:ind w:left="1984" w:firstLine="0"/>
        <w:rPr>
          <w:rtl/>
        </w:rPr>
      </w:pPr>
    </w:p>
    <w:p w14:paraId="3932A187" w14:textId="7967A7E4" w:rsidR="001707A9" w:rsidRDefault="001707A9" w:rsidP="00603732">
      <w:pPr>
        <w:pStyle w:val="21"/>
        <w:ind w:left="1984" w:firstLine="0"/>
        <w:rPr>
          <w:rtl/>
        </w:rPr>
      </w:pPr>
      <w:r w:rsidRPr="00603732">
        <w:rPr>
          <w:rFonts w:hint="cs"/>
          <w:highlight w:val="lightGray"/>
          <w:rtl/>
        </w:rPr>
        <w:t xml:space="preserve">יש לתת גילוי </w:t>
      </w:r>
      <w:r w:rsidR="00603732" w:rsidRPr="00603732">
        <w:rPr>
          <w:rFonts w:hint="cs"/>
          <w:highlight w:val="lightGray"/>
          <w:rtl/>
        </w:rPr>
        <w:t>להשפעה הכמותית לאור</w:t>
      </w:r>
      <w:r w:rsidRPr="00603732">
        <w:rPr>
          <w:rFonts w:hint="cs"/>
          <w:highlight w:val="lightGray"/>
          <w:rtl/>
        </w:rPr>
        <w:t xml:space="preserve"> יישום התיקונים/התיקון לראשונה</w:t>
      </w:r>
      <w:r w:rsidR="00603732" w:rsidRPr="00603732">
        <w:rPr>
          <w:rFonts w:hint="cs"/>
          <w:highlight w:val="lightGray"/>
          <w:rtl/>
        </w:rPr>
        <w:t>.</w:t>
      </w:r>
    </w:p>
    <w:p w14:paraId="3DF464A0" w14:textId="77777777" w:rsidR="001707A9" w:rsidRDefault="001707A9" w:rsidP="000F41D9">
      <w:pPr>
        <w:pStyle w:val="21"/>
        <w:ind w:left="567"/>
        <w:rPr>
          <w:rtl/>
        </w:rPr>
      </w:pPr>
    </w:p>
    <w:p w14:paraId="540ADFD7" w14:textId="77777777" w:rsidR="00603732" w:rsidRPr="00351624" w:rsidRDefault="00603732" w:rsidP="00603732">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403A153F" w14:textId="77777777" w:rsidR="00603732" w:rsidRPr="00351624" w:rsidRDefault="00603732" w:rsidP="00603732">
      <w:pPr>
        <w:tabs>
          <w:tab w:val="left" w:pos="1134"/>
        </w:tabs>
        <w:ind w:left="1134" w:hanging="1134"/>
        <w:rPr>
          <w:rtl/>
        </w:rPr>
      </w:pPr>
    </w:p>
    <w:p w14:paraId="0F4DD912" w14:textId="1B9ADA46" w:rsidR="00603732" w:rsidRPr="00ED7BA1" w:rsidRDefault="006448AF" w:rsidP="00603732">
      <w:pPr>
        <w:pStyle w:val="21"/>
      </w:pPr>
      <w:r>
        <w:rPr>
          <w:rFonts w:hint="cs"/>
          <w:rtl/>
        </w:rPr>
        <w:t>ג</w:t>
      </w:r>
      <w:r w:rsidR="00603732">
        <w:rPr>
          <w:rFonts w:hint="cs"/>
          <w:rtl/>
        </w:rPr>
        <w:t xml:space="preserve">. </w:t>
      </w:r>
      <w:r w:rsidR="00603732">
        <w:rPr>
          <w:rtl/>
        </w:rPr>
        <w:tab/>
      </w:r>
      <w:r w:rsidR="00603732" w:rsidRPr="00B8374B">
        <w:rPr>
          <w:rFonts w:hint="cs"/>
          <w:u w:val="single"/>
          <w:rtl/>
        </w:rPr>
        <w:t>יישום לראשונה של תקני דיווח כספי חדשים ותיקונים לתקני חשבונאות קיימים</w:t>
      </w:r>
      <w:r w:rsidR="00603732">
        <w:rPr>
          <w:rFonts w:hint="cs"/>
          <w:rtl/>
        </w:rPr>
        <w:t xml:space="preserve"> (המשך)</w:t>
      </w:r>
    </w:p>
    <w:p w14:paraId="4E78E087" w14:textId="77777777" w:rsidR="001707A9" w:rsidRPr="00603732" w:rsidRDefault="001707A9" w:rsidP="000F41D9">
      <w:pPr>
        <w:pStyle w:val="21"/>
        <w:ind w:left="567"/>
        <w:rPr>
          <w:rtl/>
        </w:rPr>
      </w:pPr>
    </w:p>
    <w:p w14:paraId="5C0DB5C5" w14:textId="019AC34F" w:rsidR="001707A9" w:rsidRDefault="001707A9" w:rsidP="001707A9">
      <w:pPr>
        <w:pStyle w:val="30"/>
        <w:tabs>
          <w:tab w:val="clear" w:pos="1701"/>
          <w:tab w:val="clear" w:pos="2268"/>
          <w:tab w:val="left" w:pos="1417"/>
          <w:tab w:val="left" w:pos="1842"/>
        </w:tabs>
        <w:ind w:left="1701" w:hanging="284"/>
        <w:rPr>
          <w:u w:val="single"/>
          <w:rtl/>
        </w:rPr>
      </w:pPr>
      <w:r>
        <w:rPr>
          <w:rFonts w:hint="cs"/>
          <w:rtl/>
        </w:rPr>
        <w:t>3</w:t>
      </w:r>
      <w:r w:rsidRPr="00AC6EE8">
        <w:rPr>
          <w:rtl/>
        </w:rPr>
        <w:t xml:space="preserve">.   </w:t>
      </w:r>
      <w:r>
        <w:rPr>
          <w:rtl/>
        </w:rPr>
        <w:tab/>
      </w:r>
      <w:r>
        <w:rPr>
          <w:rFonts w:hint="cs"/>
          <w:u w:val="single"/>
        </w:rPr>
        <w:t>IFRIC 23</w:t>
      </w:r>
      <w:r>
        <w:rPr>
          <w:rFonts w:hint="cs"/>
          <w:u w:val="single"/>
          <w:rtl/>
        </w:rPr>
        <w:t xml:space="preserve"> </w:t>
      </w:r>
      <w:r>
        <w:rPr>
          <w:u w:val="single"/>
          <w:rtl/>
        </w:rPr>
        <w:t>–</w:t>
      </w:r>
      <w:r>
        <w:rPr>
          <w:rFonts w:hint="cs"/>
          <w:u w:val="single"/>
          <w:rtl/>
        </w:rPr>
        <w:t xml:space="preserve"> טיפול באי-ודאות הקשורה למסים על ההכנסה</w:t>
      </w:r>
    </w:p>
    <w:p w14:paraId="55A0D256" w14:textId="77777777" w:rsidR="00FB242F" w:rsidRDefault="00FB242F" w:rsidP="001707A9">
      <w:pPr>
        <w:pStyle w:val="30"/>
        <w:tabs>
          <w:tab w:val="clear" w:pos="1701"/>
          <w:tab w:val="clear" w:pos="2268"/>
          <w:tab w:val="left" w:pos="1417"/>
          <w:tab w:val="left" w:pos="1842"/>
        </w:tabs>
        <w:ind w:left="1701" w:hanging="284"/>
        <w:rPr>
          <w:u w:val="single"/>
          <w:rtl/>
        </w:rPr>
      </w:pPr>
    </w:p>
    <w:p w14:paraId="115EF763" w14:textId="77777777" w:rsidR="00FB242F" w:rsidRDefault="00FB242F" w:rsidP="00FB242F">
      <w:pPr>
        <w:pStyle w:val="30"/>
        <w:ind w:left="1701" w:firstLine="0"/>
        <w:rPr>
          <w:rtl/>
        </w:rPr>
      </w:pPr>
      <w:r w:rsidRPr="000073EA">
        <w:rPr>
          <w:rFonts w:hint="cs"/>
          <w:rtl/>
        </w:rPr>
        <w:t xml:space="preserve">בחודש יוני 2017 פרסם ה- </w:t>
      </w:r>
      <w:r w:rsidRPr="000073EA">
        <w:rPr>
          <w:rFonts w:hint="cs"/>
        </w:rPr>
        <w:t>IASB</w:t>
      </w:r>
      <w:r w:rsidRPr="000073EA">
        <w:rPr>
          <w:rFonts w:hint="cs"/>
          <w:rtl/>
        </w:rPr>
        <w:t xml:space="preserve"> את </w:t>
      </w:r>
      <w:r w:rsidRPr="000073EA">
        <w:t>IFRIC 23</w:t>
      </w:r>
      <w:r w:rsidRPr="000073EA">
        <w:rPr>
          <w:rFonts w:hint="cs"/>
          <w:rtl/>
        </w:rPr>
        <w:t xml:space="preserve"> </w:t>
      </w:r>
      <w:r w:rsidRPr="000073EA">
        <w:rPr>
          <w:rtl/>
        </w:rPr>
        <w:t>–</w:t>
      </w:r>
      <w:r w:rsidRPr="000073EA">
        <w:rPr>
          <w:rFonts w:hint="cs"/>
          <w:rtl/>
        </w:rPr>
        <w:t xml:space="preserve"> טיפול באי-ודאות הקשורה למסים על ההכנסה (להלן </w:t>
      </w:r>
      <w:r w:rsidRPr="000073EA">
        <w:rPr>
          <w:rtl/>
        </w:rPr>
        <w:t>-</w:t>
      </w:r>
      <w:r w:rsidRPr="000073EA">
        <w:rPr>
          <w:rFonts w:hint="cs"/>
          <w:rtl/>
        </w:rPr>
        <w:t xml:space="preserve"> הפרשנות). הפרשנות מבהירה את כללי ההכרה והמדידה של נכסים או התחייבויות בהתאם להוראות </w:t>
      </w:r>
      <w:r w:rsidRPr="000073EA">
        <w:t>IAS 12</w:t>
      </w:r>
      <w:r w:rsidRPr="000073EA">
        <w:rPr>
          <w:rFonts w:hint="cs"/>
          <w:rtl/>
        </w:rPr>
        <w:t xml:space="preserve"> מסים על ההכנסה במצבים בהם קיימת אי-ודאות הקשורה למסים על ההכנסה. הפרשנות מתייחסת ומספקת הנחיות לבחינת קיבוץ מקרים של אי-ודאות המתייחסים למסים על הכנסה, בחינת התייחסות של רשויות המס, מדידת השלכות אי-הודאות הקשורה למסים על הכנסה על הדוחות הכספיים וכן טיפול בשינויים בעובדות ובנסיבות של אי-הודאות.</w:t>
      </w:r>
    </w:p>
    <w:p w14:paraId="034551A2" w14:textId="77777777" w:rsidR="00FB242F" w:rsidRPr="000073EA" w:rsidRDefault="00FB242F" w:rsidP="00FB242F">
      <w:pPr>
        <w:pStyle w:val="30"/>
        <w:ind w:left="1701" w:firstLine="0"/>
        <w:rPr>
          <w:rtl/>
        </w:rPr>
      </w:pPr>
    </w:p>
    <w:p w14:paraId="46D5AADD" w14:textId="77777777" w:rsidR="00FB242F" w:rsidRDefault="00FB242F" w:rsidP="00FB242F">
      <w:pPr>
        <w:pStyle w:val="30"/>
        <w:ind w:left="1701" w:firstLine="0"/>
        <w:rPr>
          <w:rtl/>
        </w:rPr>
      </w:pPr>
      <w:r w:rsidRPr="000073EA">
        <w:rPr>
          <w:rFonts w:hint="cs"/>
          <w:rtl/>
        </w:rPr>
        <w:t xml:space="preserve">הפרשנות </w:t>
      </w:r>
      <w:r>
        <w:rPr>
          <w:rFonts w:hint="cs"/>
          <w:rtl/>
        </w:rPr>
        <w:t>מיושמת לראשונה ב</w:t>
      </w:r>
      <w:r w:rsidRPr="000073EA">
        <w:rPr>
          <w:rFonts w:hint="cs"/>
          <w:rtl/>
        </w:rPr>
        <w:t xml:space="preserve">דוחות הכספיים </w:t>
      </w:r>
      <w:r>
        <w:rPr>
          <w:rFonts w:hint="cs"/>
          <w:rtl/>
        </w:rPr>
        <w:t>אלו.</w:t>
      </w:r>
      <w:r w:rsidRPr="000073EA">
        <w:rPr>
          <w:rFonts w:hint="cs"/>
          <w:rtl/>
        </w:rPr>
        <w:t xml:space="preserve"> </w:t>
      </w:r>
    </w:p>
    <w:p w14:paraId="19A69966" w14:textId="77777777" w:rsidR="00FB242F" w:rsidRDefault="00FB242F" w:rsidP="00FB242F">
      <w:pPr>
        <w:pStyle w:val="30"/>
        <w:ind w:left="1701" w:firstLine="0"/>
        <w:rPr>
          <w:rtl/>
        </w:rPr>
      </w:pPr>
    </w:p>
    <w:p w14:paraId="7DB76A85" w14:textId="77777777" w:rsidR="00FB242F" w:rsidRDefault="00FB242F" w:rsidP="00FB242F">
      <w:pPr>
        <w:pStyle w:val="30"/>
        <w:ind w:left="1701" w:firstLine="0"/>
        <w:rPr>
          <w:rtl/>
        </w:rPr>
      </w:pPr>
      <w:r>
        <w:rPr>
          <w:rFonts w:hint="cs"/>
          <w:rtl/>
        </w:rPr>
        <w:t xml:space="preserve">החברה בחרה ליישם את הפרשנות בשיטת יישום למפרע מלא ללא תיקון מספרי השוואה וזקיפת ההשפעה המצטברת למועד היישום לראשונה ליתרת הפתיחה של יתרת הרווח. </w:t>
      </w:r>
    </w:p>
    <w:p w14:paraId="388D5072" w14:textId="77777777" w:rsidR="00603732" w:rsidRDefault="00603732" w:rsidP="00FB242F">
      <w:pPr>
        <w:pStyle w:val="30"/>
        <w:ind w:left="1701" w:firstLine="0"/>
        <w:rPr>
          <w:rtl/>
        </w:rPr>
      </w:pPr>
    </w:p>
    <w:p w14:paraId="5D78E3EE" w14:textId="77777777" w:rsidR="00FB242F" w:rsidRDefault="00FB242F" w:rsidP="00FB242F">
      <w:pPr>
        <w:pStyle w:val="30"/>
        <w:shd w:val="clear" w:color="auto" w:fill="D9D9D9" w:themeFill="background1" w:themeFillShade="D9"/>
        <w:ind w:left="1695" w:firstLine="0"/>
        <w:rPr>
          <w:rtl/>
        </w:rPr>
      </w:pPr>
      <w:r w:rsidRPr="00824A62">
        <w:rPr>
          <w:rFonts w:hint="eastAsia"/>
          <w:rtl/>
        </w:rPr>
        <w:t>או</w:t>
      </w:r>
    </w:p>
    <w:p w14:paraId="2053F524" w14:textId="77777777" w:rsidR="00603732" w:rsidRDefault="00603732" w:rsidP="00FB242F">
      <w:pPr>
        <w:pStyle w:val="30"/>
        <w:ind w:left="1701" w:firstLine="0"/>
        <w:rPr>
          <w:rtl/>
        </w:rPr>
      </w:pPr>
    </w:p>
    <w:p w14:paraId="7D9A147E" w14:textId="4A64A4ED" w:rsidR="00FB242F" w:rsidRDefault="00FB242F" w:rsidP="00FB242F">
      <w:pPr>
        <w:pStyle w:val="30"/>
        <w:ind w:left="1701" w:firstLine="0"/>
        <w:rPr>
          <w:rtl/>
        </w:rPr>
      </w:pPr>
      <w:r>
        <w:rPr>
          <w:rFonts w:hint="cs"/>
          <w:rtl/>
        </w:rPr>
        <w:t>החברה בחרה ליישם את הפרשנות בשיטת יישום למפרע מלא לרבות תיקון מספרי השוואה.</w:t>
      </w:r>
    </w:p>
    <w:p w14:paraId="72B59074" w14:textId="77777777" w:rsidR="00FB242F" w:rsidRDefault="00FB242F" w:rsidP="00FB242F">
      <w:pPr>
        <w:pStyle w:val="30"/>
        <w:rPr>
          <w:rtl/>
        </w:rPr>
      </w:pPr>
    </w:p>
    <w:p w14:paraId="143F70D2" w14:textId="3A86970A" w:rsidR="00603732" w:rsidRDefault="00603732" w:rsidP="00FB242F">
      <w:pPr>
        <w:pStyle w:val="30"/>
        <w:ind w:left="1695" w:firstLine="0"/>
        <w:rPr>
          <w:rtl/>
        </w:rPr>
      </w:pPr>
      <w:r w:rsidRPr="00603732">
        <w:rPr>
          <w:rFonts w:hint="cs"/>
          <w:highlight w:val="lightGray"/>
          <w:rtl/>
        </w:rPr>
        <w:t>החברה תיתן גילוי להשפעת יישום הפרשנות לראשונה על הדוחות הכספיים:</w:t>
      </w:r>
    </w:p>
    <w:p w14:paraId="585D1BD2" w14:textId="77777777" w:rsidR="00603732" w:rsidRDefault="00603732" w:rsidP="00FB242F">
      <w:pPr>
        <w:pStyle w:val="30"/>
        <w:ind w:left="1695" w:firstLine="0"/>
        <w:rPr>
          <w:rtl/>
        </w:rPr>
      </w:pPr>
    </w:p>
    <w:p w14:paraId="3A73A65B" w14:textId="1288DA2F" w:rsidR="00FB242F" w:rsidRDefault="00FB242F" w:rsidP="00FB242F">
      <w:pPr>
        <w:pStyle w:val="30"/>
        <w:ind w:left="1695" w:firstLine="0"/>
        <w:rPr>
          <w:rtl/>
        </w:rPr>
      </w:pPr>
      <w:r w:rsidRPr="006F3BBE">
        <w:rPr>
          <w:rFonts w:hint="cs"/>
          <w:rtl/>
        </w:rPr>
        <w:t xml:space="preserve">השפעת </w:t>
      </w:r>
      <w:r>
        <w:rPr>
          <w:rFonts w:hint="cs"/>
          <w:rtl/>
        </w:rPr>
        <w:t xml:space="preserve">יישום </w:t>
      </w:r>
      <w:r w:rsidRPr="006F3BBE">
        <w:rPr>
          <w:rFonts w:hint="cs"/>
          <w:rtl/>
        </w:rPr>
        <w:t>ה</w:t>
      </w:r>
      <w:r>
        <w:rPr>
          <w:rFonts w:hint="cs"/>
          <w:rtl/>
        </w:rPr>
        <w:t>פרשנות לראשונה הביאה לגידול/קיטון ביתרת הרווח בסך של ____</w:t>
      </w:r>
      <w:r w:rsidRPr="006F3BBE">
        <w:rPr>
          <w:rFonts w:hint="cs"/>
          <w:rtl/>
        </w:rPr>
        <w:t xml:space="preserve"> ו- ____ וכן </w:t>
      </w:r>
      <w:r>
        <w:rPr>
          <w:rFonts w:hint="cs"/>
          <w:rtl/>
        </w:rPr>
        <w:t>גידול/קיטון בסך ההתחייבויות/נכסים בסך של ____</w:t>
      </w:r>
      <w:r w:rsidRPr="006F3BBE">
        <w:rPr>
          <w:rFonts w:hint="cs"/>
          <w:rtl/>
        </w:rPr>
        <w:t xml:space="preserve"> ו- ____ לימים 31 בדצמבר, </w:t>
      </w:r>
      <w:r>
        <w:rPr>
          <w:rFonts w:hint="cs"/>
          <w:rtl/>
        </w:rPr>
        <w:t>2018</w:t>
      </w:r>
      <w:r w:rsidRPr="006F3BBE">
        <w:rPr>
          <w:rFonts w:hint="cs"/>
          <w:rtl/>
        </w:rPr>
        <w:t xml:space="preserve"> </w:t>
      </w:r>
      <w:r>
        <w:rPr>
          <w:rFonts w:hint="cs"/>
          <w:rtl/>
        </w:rPr>
        <w:t>ו- 2017</w:t>
      </w:r>
      <w:r w:rsidRPr="006F3BBE">
        <w:rPr>
          <w:rFonts w:hint="cs"/>
          <w:rtl/>
        </w:rPr>
        <w:t>,</w:t>
      </w:r>
      <w:r>
        <w:rPr>
          <w:rFonts w:hint="cs"/>
          <w:rtl/>
        </w:rPr>
        <w:t xml:space="preserve"> בהתאמה. </w:t>
      </w:r>
      <w:r w:rsidRPr="006F3BBE">
        <w:rPr>
          <w:rFonts w:hint="cs"/>
          <w:rtl/>
        </w:rPr>
        <w:t>כמו כן</w:t>
      </w:r>
      <w:r>
        <w:rPr>
          <w:rFonts w:hint="cs"/>
          <w:rtl/>
        </w:rPr>
        <w:t>,</w:t>
      </w:r>
      <w:r w:rsidRPr="006F3BBE">
        <w:rPr>
          <w:rFonts w:hint="cs"/>
          <w:rtl/>
        </w:rPr>
        <w:t xml:space="preserve"> </w:t>
      </w:r>
      <w:r>
        <w:rPr>
          <w:rFonts w:hint="cs"/>
          <w:rtl/>
        </w:rPr>
        <w:t>השפעת יישום הפרשנות לראשונה הביאה ל</w:t>
      </w:r>
      <w:r w:rsidRPr="006F3BBE">
        <w:rPr>
          <w:rFonts w:hint="cs"/>
          <w:rtl/>
        </w:rPr>
        <w:t>גידול</w:t>
      </w:r>
      <w:r>
        <w:rPr>
          <w:rFonts w:hint="cs"/>
          <w:rtl/>
        </w:rPr>
        <w:t>/קיטון</w:t>
      </w:r>
      <w:r w:rsidRPr="006F3BBE">
        <w:rPr>
          <w:rFonts w:hint="cs"/>
          <w:rtl/>
        </w:rPr>
        <w:t xml:space="preserve"> </w:t>
      </w:r>
      <w:r>
        <w:rPr>
          <w:rFonts w:hint="cs"/>
          <w:rtl/>
        </w:rPr>
        <w:t>בהוצאות המס</w:t>
      </w:r>
      <w:r w:rsidRPr="006F3BBE">
        <w:rPr>
          <w:rFonts w:hint="cs"/>
          <w:rtl/>
        </w:rPr>
        <w:t xml:space="preserve"> בסך של ____ ו- ____ לשנה שהסתיימה ביום 31 בדצמבר, </w:t>
      </w:r>
      <w:r>
        <w:rPr>
          <w:rFonts w:hint="cs"/>
          <w:rtl/>
        </w:rPr>
        <w:t>2018</w:t>
      </w:r>
      <w:r w:rsidRPr="006F3BBE">
        <w:rPr>
          <w:rFonts w:hint="cs"/>
          <w:rtl/>
        </w:rPr>
        <w:t xml:space="preserve"> </w:t>
      </w:r>
      <w:r>
        <w:rPr>
          <w:rFonts w:hint="cs"/>
          <w:rtl/>
        </w:rPr>
        <w:t>ו- 2017</w:t>
      </w:r>
      <w:r w:rsidRPr="006F3BBE">
        <w:rPr>
          <w:rFonts w:hint="cs"/>
          <w:rtl/>
        </w:rPr>
        <w:t>, בהתאמה.</w:t>
      </w:r>
    </w:p>
    <w:p w14:paraId="4BD3B7CF" w14:textId="77777777" w:rsidR="00603732" w:rsidRDefault="00603732" w:rsidP="00FB242F">
      <w:pPr>
        <w:pStyle w:val="30"/>
        <w:ind w:left="1695" w:firstLine="0"/>
        <w:rPr>
          <w:rtl/>
        </w:rPr>
      </w:pPr>
    </w:p>
    <w:p w14:paraId="00FF3D56" w14:textId="77777777" w:rsidR="00FB242F" w:rsidRDefault="00FB242F" w:rsidP="00FB242F">
      <w:pPr>
        <w:pStyle w:val="30"/>
        <w:shd w:val="clear" w:color="auto" w:fill="D9D9D9" w:themeFill="background1" w:themeFillShade="D9"/>
        <w:ind w:left="1695" w:firstLine="0"/>
        <w:rPr>
          <w:rtl/>
        </w:rPr>
      </w:pPr>
      <w:r w:rsidRPr="00824A62">
        <w:rPr>
          <w:rFonts w:hint="eastAsia"/>
          <w:rtl/>
        </w:rPr>
        <w:t>או</w:t>
      </w:r>
    </w:p>
    <w:p w14:paraId="726946F2" w14:textId="77777777" w:rsidR="00603732" w:rsidRDefault="00603732" w:rsidP="00FB242F">
      <w:pPr>
        <w:pStyle w:val="30"/>
        <w:ind w:left="1695" w:firstLine="0"/>
        <w:rPr>
          <w:rtl/>
        </w:rPr>
      </w:pPr>
    </w:p>
    <w:p w14:paraId="7B501CB3" w14:textId="523C6F6A" w:rsidR="00FB242F" w:rsidRDefault="00FB242F" w:rsidP="00FB242F">
      <w:pPr>
        <w:pStyle w:val="30"/>
        <w:ind w:left="1695" w:firstLine="0"/>
        <w:rPr>
          <w:rtl/>
        </w:rPr>
      </w:pPr>
      <w:r w:rsidRPr="006F3BBE">
        <w:rPr>
          <w:rFonts w:hint="cs"/>
          <w:rtl/>
        </w:rPr>
        <w:t xml:space="preserve">השפעת </w:t>
      </w:r>
      <w:r>
        <w:rPr>
          <w:rFonts w:hint="cs"/>
          <w:rtl/>
        </w:rPr>
        <w:t xml:space="preserve">יישום </w:t>
      </w:r>
      <w:r w:rsidRPr="006F3BBE">
        <w:rPr>
          <w:rFonts w:hint="cs"/>
          <w:rtl/>
        </w:rPr>
        <w:t>ה</w:t>
      </w:r>
      <w:r>
        <w:rPr>
          <w:rFonts w:hint="cs"/>
          <w:rtl/>
        </w:rPr>
        <w:t>פרשנות לראשונה הביאה לגידול/קיטון ביתרת הרווח בסך של ____</w:t>
      </w:r>
      <w:r w:rsidRPr="006F3BBE">
        <w:rPr>
          <w:rFonts w:hint="cs"/>
          <w:rtl/>
        </w:rPr>
        <w:t xml:space="preserve"> וכן </w:t>
      </w:r>
      <w:r>
        <w:rPr>
          <w:rFonts w:hint="cs"/>
          <w:rtl/>
        </w:rPr>
        <w:t>לגידול/קיטון בסך ההתחייבויות/נכסים בסך של ____</w:t>
      </w:r>
      <w:r w:rsidRPr="006F3BBE">
        <w:rPr>
          <w:rFonts w:hint="cs"/>
          <w:rtl/>
        </w:rPr>
        <w:t xml:space="preserve"> </w:t>
      </w:r>
      <w:r>
        <w:rPr>
          <w:rFonts w:hint="cs"/>
          <w:rtl/>
        </w:rPr>
        <w:t>ליום</w:t>
      </w:r>
      <w:r w:rsidRPr="006F3BBE">
        <w:rPr>
          <w:rFonts w:hint="cs"/>
          <w:rtl/>
        </w:rPr>
        <w:t xml:space="preserve"> </w:t>
      </w:r>
      <w:r>
        <w:rPr>
          <w:rFonts w:hint="cs"/>
          <w:rtl/>
        </w:rPr>
        <w:t>1</w:t>
      </w:r>
      <w:r w:rsidRPr="006F3BBE">
        <w:rPr>
          <w:rFonts w:hint="cs"/>
          <w:rtl/>
        </w:rPr>
        <w:t xml:space="preserve"> </w:t>
      </w:r>
      <w:r>
        <w:rPr>
          <w:rFonts w:hint="cs"/>
          <w:rtl/>
        </w:rPr>
        <w:t>בינואר</w:t>
      </w:r>
      <w:r w:rsidRPr="006F3BBE">
        <w:rPr>
          <w:rFonts w:hint="cs"/>
          <w:rtl/>
        </w:rPr>
        <w:t xml:space="preserve">, </w:t>
      </w:r>
      <w:r>
        <w:rPr>
          <w:rFonts w:hint="cs"/>
          <w:rtl/>
        </w:rPr>
        <w:t>2019.</w:t>
      </w:r>
      <w:r w:rsidRPr="006F3BBE">
        <w:rPr>
          <w:rFonts w:hint="cs"/>
          <w:rtl/>
        </w:rPr>
        <w:t xml:space="preserve"> </w:t>
      </w:r>
    </w:p>
    <w:p w14:paraId="0701222E" w14:textId="77777777" w:rsidR="00603732" w:rsidRDefault="00603732" w:rsidP="00FB242F">
      <w:pPr>
        <w:pStyle w:val="30"/>
        <w:ind w:left="1695" w:firstLine="0"/>
        <w:rPr>
          <w:rtl/>
        </w:rPr>
      </w:pPr>
    </w:p>
    <w:p w14:paraId="3B015CBC" w14:textId="77777777" w:rsidR="00FB242F" w:rsidRDefault="00FB242F" w:rsidP="00FB242F">
      <w:pPr>
        <w:pStyle w:val="30"/>
        <w:shd w:val="clear" w:color="auto" w:fill="D9D9D9" w:themeFill="background1" w:themeFillShade="D9"/>
        <w:ind w:left="1695" w:firstLine="0"/>
        <w:rPr>
          <w:rtl/>
        </w:rPr>
      </w:pPr>
      <w:r w:rsidRPr="00824A62">
        <w:rPr>
          <w:rFonts w:hint="eastAsia"/>
          <w:rtl/>
        </w:rPr>
        <w:t>או</w:t>
      </w:r>
    </w:p>
    <w:p w14:paraId="5188FED9" w14:textId="77777777" w:rsidR="00603732" w:rsidRDefault="00603732" w:rsidP="00215860">
      <w:pPr>
        <w:pStyle w:val="30"/>
        <w:ind w:left="1695" w:firstLine="0"/>
        <w:rPr>
          <w:rtl/>
        </w:rPr>
      </w:pPr>
    </w:p>
    <w:p w14:paraId="08649FB1" w14:textId="5EA278EA" w:rsidR="00FB242F" w:rsidRDefault="00215860" w:rsidP="00215860">
      <w:pPr>
        <w:pStyle w:val="30"/>
        <w:ind w:left="1695" w:firstLine="0"/>
        <w:rPr>
          <w:rtl/>
        </w:rPr>
      </w:pPr>
      <w:r>
        <w:rPr>
          <w:rFonts w:hint="cs"/>
          <w:rtl/>
        </w:rPr>
        <w:t>ל</w:t>
      </w:r>
      <w:r w:rsidR="00FB242F">
        <w:rPr>
          <w:rFonts w:hint="cs"/>
          <w:rtl/>
        </w:rPr>
        <w:t xml:space="preserve">יישום הפרשנות לראשונה </w:t>
      </w:r>
      <w:r w:rsidR="00FB242F" w:rsidRPr="009B2745">
        <w:rPr>
          <w:rFonts w:hint="cs"/>
          <w:rtl/>
        </w:rPr>
        <w:t>לא</w:t>
      </w:r>
      <w:r w:rsidR="00FB242F" w:rsidRPr="009B2745">
        <w:rPr>
          <w:rtl/>
        </w:rPr>
        <w:t xml:space="preserve"> </w:t>
      </w:r>
      <w:r>
        <w:rPr>
          <w:rFonts w:hint="cs"/>
          <w:rtl/>
        </w:rPr>
        <w:t>הייתה</w:t>
      </w:r>
      <w:r w:rsidR="00FB242F" w:rsidRPr="009B2745">
        <w:rPr>
          <w:rtl/>
        </w:rPr>
        <w:t xml:space="preserve"> </w:t>
      </w:r>
      <w:r w:rsidR="00FB242F" w:rsidRPr="009B2745">
        <w:rPr>
          <w:rFonts w:hint="cs"/>
          <w:rtl/>
        </w:rPr>
        <w:t>השפעה</w:t>
      </w:r>
      <w:r w:rsidR="00FB242F" w:rsidRPr="009B2745">
        <w:rPr>
          <w:rtl/>
        </w:rPr>
        <w:t xml:space="preserve"> </w:t>
      </w:r>
      <w:r w:rsidR="00FB242F" w:rsidRPr="009B2745">
        <w:rPr>
          <w:rFonts w:hint="cs"/>
          <w:rtl/>
        </w:rPr>
        <w:t>מהותית</w:t>
      </w:r>
      <w:r w:rsidR="00FB242F" w:rsidRPr="009B2745">
        <w:rPr>
          <w:rtl/>
        </w:rPr>
        <w:t xml:space="preserve"> </w:t>
      </w:r>
      <w:r w:rsidR="00FB242F" w:rsidRPr="009B2745">
        <w:rPr>
          <w:rFonts w:hint="cs"/>
          <w:rtl/>
        </w:rPr>
        <w:t>על</w:t>
      </w:r>
      <w:r w:rsidR="00FB242F" w:rsidRPr="009B2745">
        <w:rPr>
          <w:rtl/>
        </w:rPr>
        <w:t xml:space="preserve"> </w:t>
      </w:r>
      <w:r w:rsidR="00FB242F" w:rsidRPr="009B2745">
        <w:rPr>
          <w:rFonts w:hint="cs"/>
          <w:rtl/>
        </w:rPr>
        <w:t>הדוחות</w:t>
      </w:r>
      <w:r w:rsidR="00FB242F" w:rsidRPr="009B2745">
        <w:rPr>
          <w:rtl/>
        </w:rPr>
        <w:t xml:space="preserve"> </w:t>
      </w:r>
      <w:r w:rsidR="00FB242F" w:rsidRPr="009B2745">
        <w:rPr>
          <w:rFonts w:hint="cs"/>
          <w:rtl/>
        </w:rPr>
        <w:t>הכספיים</w:t>
      </w:r>
      <w:r>
        <w:rPr>
          <w:rFonts w:hint="cs"/>
          <w:rtl/>
        </w:rPr>
        <w:t xml:space="preserve"> של החברה</w:t>
      </w:r>
      <w:r w:rsidR="00FB242F" w:rsidRPr="009B2745">
        <w:rPr>
          <w:rtl/>
        </w:rPr>
        <w:t>.</w:t>
      </w:r>
    </w:p>
    <w:p w14:paraId="174F0BD7" w14:textId="77777777" w:rsidR="00FB242F" w:rsidRDefault="00FB242F" w:rsidP="00FB242F">
      <w:pPr>
        <w:pStyle w:val="21"/>
        <w:ind w:left="1810"/>
        <w:rPr>
          <w:rtl/>
        </w:rPr>
      </w:pPr>
    </w:p>
    <w:p w14:paraId="0C8D6B32" w14:textId="532131E1" w:rsidR="0099570E" w:rsidRDefault="009676FA" w:rsidP="0099570E">
      <w:pPr>
        <w:pStyle w:val="30"/>
        <w:tabs>
          <w:tab w:val="clear" w:pos="1701"/>
          <w:tab w:val="clear" w:pos="2268"/>
          <w:tab w:val="left" w:pos="1417"/>
          <w:tab w:val="left" w:pos="1842"/>
        </w:tabs>
        <w:ind w:left="1701" w:hanging="284"/>
        <w:rPr>
          <w:i/>
          <w:iCs/>
          <w:u w:val="single"/>
          <w:rtl/>
        </w:rPr>
      </w:pPr>
      <w:r>
        <w:rPr>
          <w:rFonts w:hint="cs"/>
          <w:rtl/>
        </w:rPr>
        <w:t>4</w:t>
      </w:r>
      <w:r w:rsidR="0099570E">
        <w:rPr>
          <w:rtl/>
        </w:rPr>
        <w:t xml:space="preserve">.  </w:t>
      </w:r>
      <w:r w:rsidR="0099570E">
        <w:rPr>
          <w:rFonts w:hint="cs"/>
          <w:u w:val="single"/>
          <w:rtl/>
        </w:rPr>
        <w:t xml:space="preserve">תיקון ל- </w:t>
      </w:r>
      <w:r w:rsidR="0099570E">
        <w:rPr>
          <w:rFonts w:hint="cs"/>
          <w:u w:val="single"/>
        </w:rPr>
        <w:t>IAS 28</w:t>
      </w:r>
      <w:r w:rsidR="0099570E">
        <w:rPr>
          <w:rFonts w:hint="cs"/>
          <w:u w:val="single"/>
          <w:rtl/>
        </w:rPr>
        <w:t xml:space="preserve"> </w:t>
      </w:r>
      <w:r w:rsidR="0099570E">
        <w:rPr>
          <w:rFonts w:hint="cs"/>
          <w:i/>
          <w:iCs/>
          <w:u w:val="single"/>
          <w:rtl/>
        </w:rPr>
        <w:t>השקעות בחברות כלולות ובעסקאות משותפות</w:t>
      </w:r>
    </w:p>
    <w:p w14:paraId="7B8DD06C" w14:textId="77777777" w:rsidR="0099570E" w:rsidRDefault="0099570E" w:rsidP="0099570E">
      <w:pPr>
        <w:pStyle w:val="30"/>
        <w:tabs>
          <w:tab w:val="clear" w:pos="1701"/>
          <w:tab w:val="clear" w:pos="2268"/>
          <w:tab w:val="left" w:pos="1417"/>
          <w:tab w:val="left" w:pos="1842"/>
        </w:tabs>
        <w:ind w:left="1701" w:hanging="284"/>
        <w:rPr>
          <w:i/>
          <w:iCs/>
          <w:u w:val="single"/>
          <w:rtl/>
        </w:rPr>
      </w:pPr>
    </w:p>
    <w:p w14:paraId="58D58AAA" w14:textId="591547D8" w:rsidR="0099570E" w:rsidRPr="00F911D0" w:rsidRDefault="0099570E" w:rsidP="0099570E">
      <w:pPr>
        <w:ind w:left="1701"/>
        <w:rPr>
          <w:i/>
          <w:rtl/>
        </w:rPr>
      </w:pPr>
      <w:r w:rsidRPr="00F911D0">
        <w:rPr>
          <w:rFonts w:hint="cs"/>
          <w:i/>
          <w:rtl/>
        </w:rPr>
        <w:t xml:space="preserve">באוקטובר 2017, פרסם ה- </w:t>
      </w:r>
      <w:r w:rsidRPr="0099570E">
        <w:rPr>
          <w:rFonts w:hint="cs"/>
          <w:iCs/>
        </w:rPr>
        <w:t>IASB</w:t>
      </w:r>
      <w:r w:rsidRPr="00F911D0">
        <w:rPr>
          <w:rFonts w:hint="cs"/>
          <w:i/>
          <w:rtl/>
        </w:rPr>
        <w:t xml:space="preserve"> תיקון לתקן חשבונאות בינלאומי 28 </w:t>
      </w:r>
      <w:r w:rsidRPr="00F911D0">
        <w:rPr>
          <w:rFonts w:hint="cs"/>
          <w:i/>
          <w:iCs/>
          <w:rtl/>
        </w:rPr>
        <w:t xml:space="preserve">השקעות בחברות כלולות ובעסקאות משותפות </w:t>
      </w:r>
      <w:r w:rsidRPr="00F911D0">
        <w:rPr>
          <w:rFonts w:hint="cs"/>
          <w:i/>
          <w:rtl/>
        </w:rPr>
        <w:t xml:space="preserve">(להלן - התיקון). התיקון מבהיר כי זכויות לזמן ארוך (כגון הלוואות לקבל או השקעה במניות בכורה) אשר מהוות חלק מההשקעה נטו בחברה כלולה או עסקה משותפת, תהיינה כפופות ראשית להוראות </w:t>
      </w:r>
      <w:r w:rsidRPr="0099570E">
        <w:rPr>
          <w:rFonts w:hint="cs"/>
          <w:iCs/>
        </w:rPr>
        <w:t>IFRS 9</w:t>
      </w:r>
      <w:r w:rsidRPr="00F911D0">
        <w:rPr>
          <w:rFonts w:hint="cs"/>
          <w:i/>
          <w:rtl/>
        </w:rPr>
        <w:t xml:space="preserve"> באופן מלא (הן לעניין המדידה והן לעניין ירידות ערך) ולאחר מכן היתרות של אותן זכויות תהיינה כפופות להוראות </w:t>
      </w:r>
      <w:r w:rsidRPr="0099570E">
        <w:rPr>
          <w:rFonts w:hint="cs"/>
          <w:iCs/>
        </w:rPr>
        <w:t>IAS 28</w:t>
      </w:r>
      <w:r w:rsidRPr="00F911D0">
        <w:rPr>
          <w:rFonts w:hint="cs"/>
          <w:i/>
          <w:rtl/>
        </w:rPr>
        <w:t>.</w:t>
      </w:r>
      <w:r w:rsidRPr="00F911D0">
        <w:rPr>
          <w:i/>
          <w:rtl/>
        </w:rPr>
        <w:t xml:space="preserve"> </w:t>
      </w:r>
      <w:r w:rsidR="009F5A73">
        <w:rPr>
          <w:rFonts w:hint="cs"/>
          <w:i/>
          <w:rtl/>
        </w:rPr>
        <w:t>לאור הוראות התיקון כאמור יישום "שיטת השכבות" כפי שקיבלה ביטוי בהחלטת אכיפה חשבונאית 11-2 של רשות ניירות ערך, איננה רלוונטית עוד.</w:t>
      </w:r>
    </w:p>
    <w:p w14:paraId="55445BB6" w14:textId="77777777" w:rsidR="009F5A73" w:rsidRDefault="009F5A73" w:rsidP="009F5A73">
      <w:pPr>
        <w:pStyle w:val="30"/>
        <w:tabs>
          <w:tab w:val="clear" w:pos="1701"/>
          <w:tab w:val="clear" w:pos="2268"/>
          <w:tab w:val="left" w:pos="1417"/>
          <w:tab w:val="left" w:pos="1842"/>
        </w:tabs>
        <w:ind w:left="1701" w:firstLine="0"/>
        <w:rPr>
          <w:i/>
          <w:rtl/>
        </w:rPr>
      </w:pPr>
    </w:p>
    <w:p w14:paraId="0A81C92E" w14:textId="43A538CE" w:rsidR="0099570E" w:rsidRDefault="009F5A73" w:rsidP="009F5A73">
      <w:pPr>
        <w:pStyle w:val="30"/>
        <w:tabs>
          <w:tab w:val="clear" w:pos="1701"/>
          <w:tab w:val="clear" w:pos="2268"/>
          <w:tab w:val="left" w:pos="1417"/>
          <w:tab w:val="left" w:pos="1842"/>
        </w:tabs>
        <w:ind w:left="1701" w:firstLine="0"/>
        <w:rPr>
          <w:i/>
          <w:iCs/>
          <w:u w:val="single"/>
          <w:rtl/>
        </w:rPr>
      </w:pPr>
      <w:r>
        <w:rPr>
          <w:rFonts w:hint="cs"/>
          <w:i/>
          <w:rtl/>
        </w:rPr>
        <w:t>התיקון מיושם לראשונה בדוחות כספיים אלו. החברה מיישמת את הוראות התיקון למפרע ללא הצגה מחדש של מספרי השוואה</w:t>
      </w:r>
      <w:r w:rsidRPr="009F5A73">
        <w:rPr>
          <w:rStyle w:val="ab"/>
          <w:i/>
        </w:rPr>
        <w:footnoteReference w:id="80"/>
      </w:r>
      <w:r>
        <w:rPr>
          <w:rFonts w:hint="cs"/>
          <w:i/>
          <w:rtl/>
        </w:rPr>
        <w:t xml:space="preserve"> כפי שיישמה את הוראות </w:t>
      </w:r>
      <w:r>
        <w:rPr>
          <w:rFonts w:hint="cs"/>
          <w:iCs/>
        </w:rPr>
        <w:t xml:space="preserve"> IFRS</w:t>
      </w:r>
      <w:r>
        <w:rPr>
          <w:iCs/>
        </w:rPr>
        <w:t>9</w:t>
      </w:r>
      <w:r>
        <w:rPr>
          <w:rFonts w:hint="cs"/>
          <w:iCs/>
          <w:rtl/>
        </w:rPr>
        <w:t xml:space="preserve">. </w:t>
      </w:r>
    </w:p>
    <w:p w14:paraId="0E7CA4A7" w14:textId="77777777" w:rsidR="006448AF" w:rsidRDefault="006448AF" w:rsidP="009F5A73">
      <w:pPr>
        <w:pStyle w:val="30"/>
        <w:tabs>
          <w:tab w:val="clear" w:pos="1701"/>
          <w:tab w:val="clear" w:pos="2268"/>
          <w:tab w:val="left" w:pos="1417"/>
          <w:tab w:val="left" w:pos="1842"/>
        </w:tabs>
        <w:ind w:left="1701" w:firstLine="0"/>
        <w:rPr>
          <w:i/>
          <w:iCs/>
          <w:u w:val="single"/>
          <w:rtl/>
        </w:rPr>
      </w:pPr>
    </w:p>
    <w:p w14:paraId="67DECD74" w14:textId="77777777" w:rsidR="00603732" w:rsidRPr="00351624" w:rsidRDefault="00603732" w:rsidP="00603732">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697CBCC5" w14:textId="77777777" w:rsidR="00603732" w:rsidRPr="00351624" w:rsidRDefault="00603732" w:rsidP="00603732">
      <w:pPr>
        <w:tabs>
          <w:tab w:val="left" w:pos="1134"/>
        </w:tabs>
        <w:ind w:left="1134" w:hanging="1134"/>
        <w:rPr>
          <w:rtl/>
        </w:rPr>
      </w:pPr>
    </w:p>
    <w:p w14:paraId="7162C567" w14:textId="230557CE" w:rsidR="00603732" w:rsidRPr="00ED7BA1" w:rsidRDefault="002B1E97" w:rsidP="00603732">
      <w:pPr>
        <w:pStyle w:val="21"/>
      </w:pPr>
      <w:r>
        <w:rPr>
          <w:rFonts w:hint="cs"/>
          <w:rtl/>
        </w:rPr>
        <w:t>ג</w:t>
      </w:r>
      <w:r w:rsidR="00603732">
        <w:rPr>
          <w:rFonts w:hint="cs"/>
          <w:rtl/>
        </w:rPr>
        <w:t xml:space="preserve">. </w:t>
      </w:r>
      <w:r w:rsidR="00603732">
        <w:rPr>
          <w:rtl/>
        </w:rPr>
        <w:tab/>
      </w:r>
      <w:r w:rsidR="00603732" w:rsidRPr="00B8374B">
        <w:rPr>
          <w:rFonts w:hint="cs"/>
          <w:u w:val="single"/>
          <w:rtl/>
        </w:rPr>
        <w:t>יישום לראשונה של תקני דיווח כספי חדשים ותיקונים לתקני חשבונאות קיימים</w:t>
      </w:r>
      <w:r w:rsidR="00603732">
        <w:rPr>
          <w:rFonts w:hint="cs"/>
          <w:rtl/>
        </w:rPr>
        <w:t xml:space="preserve"> (המשך)</w:t>
      </w:r>
    </w:p>
    <w:p w14:paraId="3BE8C24C" w14:textId="77777777" w:rsidR="009F5A73" w:rsidRDefault="009F5A73" w:rsidP="009F5A73">
      <w:pPr>
        <w:pStyle w:val="30"/>
        <w:tabs>
          <w:tab w:val="clear" w:pos="1701"/>
          <w:tab w:val="clear" w:pos="2268"/>
          <w:tab w:val="left" w:pos="1417"/>
          <w:tab w:val="left" w:pos="1842"/>
        </w:tabs>
        <w:ind w:left="1701" w:firstLine="0"/>
        <w:rPr>
          <w:i/>
          <w:iCs/>
          <w:u w:val="single"/>
          <w:rtl/>
        </w:rPr>
      </w:pPr>
    </w:p>
    <w:p w14:paraId="422F6AF0" w14:textId="39DE9BCB" w:rsidR="00603732" w:rsidRPr="00603732" w:rsidRDefault="009676FA" w:rsidP="00603732">
      <w:pPr>
        <w:pStyle w:val="30"/>
        <w:tabs>
          <w:tab w:val="clear" w:pos="1701"/>
          <w:tab w:val="clear" w:pos="2268"/>
          <w:tab w:val="left" w:pos="1417"/>
          <w:tab w:val="left" w:pos="1842"/>
        </w:tabs>
        <w:ind w:left="1701" w:hanging="284"/>
        <w:rPr>
          <w:u w:val="single"/>
          <w:rtl/>
        </w:rPr>
      </w:pPr>
      <w:r>
        <w:rPr>
          <w:rFonts w:hint="cs"/>
          <w:rtl/>
        </w:rPr>
        <w:t>4</w:t>
      </w:r>
      <w:r w:rsidR="00603732">
        <w:rPr>
          <w:rtl/>
        </w:rPr>
        <w:t xml:space="preserve">.  </w:t>
      </w:r>
      <w:r w:rsidR="00603732">
        <w:rPr>
          <w:rFonts w:hint="cs"/>
          <w:u w:val="single"/>
          <w:rtl/>
        </w:rPr>
        <w:t xml:space="preserve">תיקון ל- </w:t>
      </w:r>
      <w:r w:rsidR="00603732">
        <w:rPr>
          <w:rFonts w:hint="cs"/>
          <w:u w:val="single"/>
        </w:rPr>
        <w:t>IAS 28</w:t>
      </w:r>
      <w:r w:rsidR="00603732">
        <w:rPr>
          <w:rFonts w:hint="cs"/>
          <w:u w:val="single"/>
          <w:rtl/>
        </w:rPr>
        <w:t xml:space="preserve"> </w:t>
      </w:r>
      <w:r w:rsidR="00603732">
        <w:rPr>
          <w:rFonts w:hint="cs"/>
          <w:i/>
          <w:iCs/>
          <w:u w:val="single"/>
          <w:rtl/>
        </w:rPr>
        <w:t>השקעות בחברות כלולות ובעסקאות משותפות</w:t>
      </w:r>
      <w:r w:rsidR="00603732" w:rsidRPr="00603732">
        <w:rPr>
          <w:rFonts w:hint="cs"/>
          <w:rtl/>
        </w:rPr>
        <w:t xml:space="preserve"> (המשך)</w:t>
      </w:r>
    </w:p>
    <w:p w14:paraId="5ED33681" w14:textId="77777777" w:rsidR="00603732" w:rsidRPr="0099570E" w:rsidRDefault="00603732" w:rsidP="009F5A73">
      <w:pPr>
        <w:pStyle w:val="30"/>
        <w:tabs>
          <w:tab w:val="clear" w:pos="1701"/>
          <w:tab w:val="clear" w:pos="2268"/>
          <w:tab w:val="left" w:pos="1417"/>
          <w:tab w:val="left" w:pos="1842"/>
        </w:tabs>
        <w:ind w:left="1701" w:firstLine="0"/>
        <w:rPr>
          <w:i/>
          <w:iCs/>
          <w:u w:val="single"/>
          <w:rtl/>
        </w:rPr>
      </w:pPr>
    </w:p>
    <w:p w14:paraId="46CAE5DE" w14:textId="07FFA788" w:rsidR="001803C7" w:rsidRDefault="001803C7" w:rsidP="001803C7">
      <w:pPr>
        <w:ind w:left="1701"/>
        <w:rPr>
          <w:i/>
        </w:rPr>
      </w:pPr>
      <w:r>
        <w:rPr>
          <w:rFonts w:hint="cs"/>
          <w:i/>
          <w:rtl/>
        </w:rPr>
        <w:t>לאחר בחינת השלכות יישום התיקון</w:t>
      </w:r>
      <w:r w:rsidRPr="00F911D0">
        <w:rPr>
          <w:i/>
          <w:rtl/>
        </w:rPr>
        <w:t xml:space="preserve">, </w:t>
      </w:r>
      <w:r>
        <w:rPr>
          <w:rFonts w:hint="cs"/>
          <w:i/>
          <w:rtl/>
        </w:rPr>
        <w:t xml:space="preserve">הגיעה החברה למסקנה כי </w:t>
      </w:r>
      <w:r w:rsidRPr="00F911D0">
        <w:rPr>
          <w:i/>
          <w:rtl/>
        </w:rPr>
        <w:t>ל</w:t>
      </w:r>
      <w:r>
        <w:rPr>
          <w:rFonts w:hint="cs"/>
          <w:i/>
          <w:rtl/>
        </w:rPr>
        <w:t>יישומו</w:t>
      </w:r>
      <w:r w:rsidRPr="00F911D0">
        <w:rPr>
          <w:rFonts w:hint="cs"/>
          <w:i/>
          <w:rtl/>
        </w:rPr>
        <w:t xml:space="preserve"> </w:t>
      </w:r>
      <w:r>
        <w:rPr>
          <w:rFonts w:hint="cs"/>
          <w:i/>
          <w:rtl/>
        </w:rPr>
        <w:t xml:space="preserve">אין </w:t>
      </w:r>
      <w:r w:rsidRPr="00F911D0">
        <w:rPr>
          <w:rFonts w:hint="eastAsia"/>
          <w:i/>
          <w:rtl/>
        </w:rPr>
        <w:t>השפעה</w:t>
      </w:r>
      <w:r w:rsidRPr="00F911D0">
        <w:rPr>
          <w:i/>
          <w:rtl/>
        </w:rPr>
        <w:t xml:space="preserve"> </w:t>
      </w:r>
      <w:r w:rsidRPr="00F911D0">
        <w:rPr>
          <w:rFonts w:hint="eastAsia"/>
          <w:i/>
          <w:rtl/>
        </w:rPr>
        <w:t>מהותית</w:t>
      </w:r>
      <w:r w:rsidRPr="00F911D0">
        <w:rPr>
          <w:i/>
          <w:rtl/>
        </w:rPr>
        <w:t xml:space="preserve"> </w:t>
      </w:r>
      <w:r w:rsidRPr="00F911D0">
        <w:rPr>
          <w:rFonts w:hint="eastAsia"/>
          <w:i/>
          <w:rtl/>
        </w:rPr>
        <w:t>על</w:t>
      </w:r>
      <w:r w:rsidRPr="00F911D0">
        <w:rPr>
          <w:i/>
          <w:rtl/>
        </w:rPr>
        <w:t xml:space="preserve"> </w:t>
      </w:r>
      <w:r w:rsidRPr="00F911D0">
        <w:rPr>
          <w:rFonts w:hint="eastAsia"/>
          <w:i/>
          <w:rtl/>
        </w:rPr>
        <w:t>הדוחות</w:t>
      </w:r>
      <w:r w:rsidRPr="00F911D0">
        <w:rPr>
          <w:i/>
          <w:rtl/>
        </w:rPr>
        <w:t xml:space="preserve"> </w:t>
      </w:r>
      <w:r w:rsidRPr="00F911D0">
        <w:rPr>
          <w:rFonts w:hint="eastAsia"/>
          <w:i/>
          <w:rtl/>
        </w:rPr>
        <w:t>הכספיים</w:t>
      </w:r>
      <w:r w:rsidRPr="00F911D0">
        <w:rPr>
          <w:rFonts w:hint="cs"/>
          <w:i/>
          <w:rtl/>
        </w:rPr>
        <w:t xml:space="preserve"> של החברה.</w:t>
      </w:r>
    </w:p>
    <w:p w14:paraId="605B473C" w14:textId="77777777" w:rsidR="001803C7" w:rsidRPr="00F911D0" w:rsidRDefault="001803C7" w:rsidP="001803C7">
      <w:pPr>
        <w:pStyle w:val="30"/>
        <w:shd w:val="clear" w:color="auto" w:fill="D9D9D9" w:themeFill="background1" w:themeFillShade="D9"/>
        <w:ind w:left="1701" w:firstLine="0"/>
        <w:rPr>
          <w:rtl/>
        </w:rPr>
      </w:pPr>
      <w:r w:rsidRPr="00F911D0">
        <w:rPr>
          <w:rFonts w:hint="eastAsia"/>
          <w:rtl/>
        </w:rPr>
        <w:t>או</w:t>
      </w:r>
    </w:p>
    <w:p w14:paraId="28C8A45C" w14:textId="1F6CE18D" w:rsidR="001803C7" w:rsidRDefault="001803C7" w:rsidP="00E11AE2">
      <w:pPr>
        <w:pStyle w:val="30"/>
        <w:ind w:left="1695" w:firstLine="0"/>
        <w:rPr>
          <w:i/>
          <w:rtl/>
        </w:rPr>
      </w:pPr>
      <w:r w:rsidRPr="00F911D0">
        <w:rPr>
          <w:rFonts w:hint="cs"/>
          <w:i/>
          <w:rtl/>
        </w:rPr>
        <w:t>לחברה מספר הלוואות לקבל מחברות מוחזקות המהוות חלק מההשקעה נטו באותן חברות</w:t>
      </w:r>
      <w:r>
        <w:rPr>
          <w:rFonts w:hint="cs"/>
          <w:i/>
          <w:rtl/>
        </w:rPr>
        <w:t xml:space="preserve"> </w:t>
      </w:r>
      <w:r w:rsidRPr="00F911D0">
        <w:rPr>
          <w:rFonts w:hint="cs"/>
          <w:i/>
          <w:rtl/>
        </w:rPr>
        <w:t xml:space="preserve">מוחזקות. </w:t>
      </w:r>
      <w:r w:rsidR="00E11AE2">
        <w:rPr>
          <w:rFonts w:hint="cs"/>
          <w:i/>
          <w:rtl/>
        </w:rPr>
        <w:t>עד מועד היישום לראשונה של התיקון נמדדו הלוואות לקבל אלו לפי עלותן והחל ממועד היישום לראשונה של התיקון, נמדדות הלוואות לקבל אלו בשווי הוגן.</w:t>
      </w:r>
      <w:r w:rsidR="009A1BE5">
        <w:rPr>
          <w:rFonts w:hint="cs"/>
          <w:i/>
          <w:rtl/>
        </w:rPr>
        <w:t xml:space="preserve"> כמו כן, בעקבות התיקון, החברה מכירה בחלקה ברווחי/הפסדי החברות הכלולות בהתאם לשיעור ההחזקה בהון המניות הרגילות ולא בהתאם לשיעור ההחזקה המשוקלל.</w:t>
      </w:r>
      <w:r w:rsidR="00E11AE2">
        <w:rPr>
          <w:rFonts w:hint="cs"/>
          <w:i/>
          <w:rtl/>
        </w:rPr>
        <w:t xml:space="preserve"> </w:t>
      </w:r>
      <w:r w:rsidRPr="00F911D0">
        <w:rPr>
          <w:rFonts w:hint="cs"/>
          <w:i/>
          <w:rtl/>
        </w:rPr>
        <w:t xml:space="preserve">לאחר בחינת השלכות יישום התיקון, </w:t>
      </w:r>
      <w:r>
        <w:rPr>
          <w:rFonts w:hint="cs"/>
          <w:i/>
          <w:rtl/>
        </w:rPr>
        <w:t xml:space="preserve">נמצא כי </w:t>
      </w:r>
      <w:r w:rsidRPr="00F911D0">
        <w:rPr>
          <w:rFonts w:hint="cs"/>
          <w:i/>
          <w:rtl/>
        </w:rPr>
        <w:t xml:space="preserve">השפעת התיקון </w:t>
      </w:r>
      <w:r>
        <w:rPr>
          <w:rFonts w:hint="cs"/>
          <w:i/>
          <w:rtl/>
        </w:rPr>
        <w:t xml:space="preserve">על הדוח על המצב הכספי של החברה הינה כדלקמן: </w:t>
      </w:r>
    </w:p>
    <w:p w14:paraId="0BB362FF" w14:textId="77777777" w:rsidR="002B1E97" w:rsidRDefault="002B1E97" w:rsidP="00E11AE2">
      <w:pPr>
        <w:pStyle w:val="30"/>
        <w:ind w:left="1695" w:firstLine="0"/>
        <w:rPr>
          <w:i/>
          <w:rtl/>
        </w:rPr>
      </w:pPr>
    </w:p>
    <w:tbl>
      <w:tblPr>
        <w:bidiVisual/>
        <w:tblW w:w="7265" w:type="dxa"/>
        <w:tblInd w:w="2230" w:type="dxa"/>
        <w:tblLayout w:type="fixed"/>
        <w:tblCellMar>
          <w:left w:w="0" w:type="dxa"/>
          <w:right w:w="0" w:type="dxa"/>
        </w:tblCellMar>
        <w:tblLook w:val="0000" w:firstRow="0" w:lastRow="0" w:firstColumn="0" w:lastColumn="0" w:noHBand="0" w:noVBand="0"/>
      </w:tblPr>
      <w:tblGrid>
        <w:gridCol w:w="3156"/>
        <w:gridCol w:w="142"/>
        <w:gridCol w:w="1132"/>
        <w:gridCol w:w="141"/>
        <w:gridCol w:w="1276"/>
        <w:gridCol w:w="142"/>
        <w:gridCol w:w="1276"/>
      </w:tblGrid>
      <w:tr w:rsidR="00D84FCF" w:rsidRPr="00C454B8" w14:paraId="0025DE8C" w14:textId="77777777" w:rsidTr="00A27D0C">
        <w:tc>
          <w:tcPr>
            <w:tcW w:w="3156" w:type="dxa"/>
            <w:vAlign w:val="bottom"/>
          </w:tcPr>
          <w:p w14:paraId="72039122" w14:textId="77777777" w:rsidR="00D84FCF" w:rsidRPr="00C454B8" w:rsidRDefault="00D84FCF" w:rsidP="00A27D0C">
            <w:pPr>
              <w:pStyle w:val="a3"/>
              <w:tabs>
                <w:tab w:val="left" w:pos="227"/>
                <w:tab w:val="left" w:pos="397"/>
                <w:tab w:val="left" w:pos="567"/>
              </w:tabs>
              <w:rPr>
                <w:sz w:val="22"/>
                <w:rtl/>
              </w:rPr>
            </w:pPr>
          </w:p>
        </w:tc>
        <w:tc>
          <w:tcPr>
            <w:tcW w:w="142" w:type="dxa"/>
            <w:vAlign w:val="bottom"/>
          </w:tcPr>
          <w:p w14:paraId="0DE3ABDB" w14:textId="77777777" w:rsidR="00D84FCF" w:rsidRPr="0074065E" w:rsidRDefault="00D84FCF" w:rsidP="00A27D0C">
            <w:pPr>
              <w:spacing w:line="240" w:lineRule="exact"/>
              <w:jc w:val="center"/>
              <w:rPr>
                <w:rtl/>
              </w:rPr>
            </w:pPr>
          </w:p>
        </w:tc>
        <w:tc>
          <w:tcPr>
            <w:tcW w:w="1132" w:type="dxa"/>
            <w:tcBorders>
              <w:bottom w:val="single" w:sz="6" w:space="0" w:color="auto"/>
            </w:tcBorders>
            <w:shd w:val="clear" w:color="auto" w:fill="auto"/>
            <w:vAlign w:val="bottom"/>
          </w:tcPr>
          <w:p w14:paraId="7244B69D" w14:textId="77777777" w:rsidR="00D84FCF" w:rsidRPr="0074065E" w:rsidRDefault="00D84FCF" w:rsidP="00A27D0C">
            <w:pPr>
              <w:spacing w:line="240" w:lineRule="exact"/>
              <w:jc w:val="center"/>
              <w:rPr>
                <w:rtl/>
              </w:rPr>
            </w:pPr>
            <w:r>
              <w:rPr>
                <w:rFonts w:hint="cs"/>
                <w:rtl/>
              </w:rPr>
              <w:t xml:space="preserve"> כפי שדווח בעבר</w:t>
            </w:r>
          </w:p>
        </w:tc>
        <w:tc>
          <w:tcPr>
            <w:tcW w:w="141" w:type="dxa"/>
            <w:vAlign w:val="bottom"/>
          </w:tcPr>
          <w:p w14:paraId="511E9EDE" w14:textId="77777777" w:rsidR="00D84FCF" w:rsidRPr="0074065E" w:rsidRDefault="00D84FCF" w:rsidP="00A27D0C">
            <w:pPr>
              <w:spacing w:line="240" w:lineRule="exact"/>
              <w:jc w:val="center"/>
              <w:rPr>
                <w:rtl/>
              </w:rPr>
            </w:pPr>
          </w:p>
        </w:tc>
        <w:tc>
          <w:tcPr>
            <w:tcW w:w="1276" w:type="dxa"/>
            <w:tcBorders>
              <w:bottom w:val="single" w:sz="6" w:space="0" w:color="auto"/>
            </w:tcBorders>
            <w:vAlign w:val="bottom"/>
          </w:tcPr>
          <w:p w14:paraId="1EC191FA" w14:textId="77777777" w:rsidR="00D84FCF" w:rsidRPr="0074065E" w:rsidRDefault="00D84FCF" w:rsidP="00A27D0C">
            <w:pPr>
              <w:spacing w:line="240" w:lineRule="exact"/>
              <w:jc w:val="center"/>
              <w:rPr>
                <w:rtl/>
              </w:rPr>
            </w:pPr>
            <w:r>
              <w:rPr>
                <w:rFonts w:hint="cs"/>
                <w:rtl/>
              </w:rPr>
              <w:t xml:space="preserve">השינוי </w:t>
            </w:r>
          </w:p>
        </w:tc>
        <w:tc>
          <w:tcPr>
            <w:tcW w:w="142" w:type="dxa"/>
            <w:vAlign w:val="bottom"/>
          </w:tcPr>
          <w:p w14:paraId="0309E9CF" w14:textId="77777777" w:rsidR="00D84FCF" w:rsidRPr="0074065E" w:rsidRDefault="00D84FCF" w:rsidP="00A27D0C">
            <w:pPr>
              <w:spacing w:line="240" w:lineRule="exact"/>
              <w:jc w:val="center"/>
              <w:rPr>
                <w:rtl/>
              </w:rPr>
            </w:pPr>
          </w:p>
        </w:tc>
        <w:tc>
          <w:tcPr>
            <w:tcW w:w="1276" w:type="dxa"/>
            <w:tcBorders>
              <w:bottom w:val="single" w:sz="6" w:space="0" w:color="auto"/>
            </w:tcBorders>
            <w:vAlign w:val="bottom"/>
          </w:tcPr>
          <w:p w14:paraId="2E5B5057" w14:textId="0DF4A5CD" w:rsidR="00D84FCF" w:rsidRPr="0074065E" w:rsidRDefault="00D84FCF" w:rsidP="00A27D0C">
            <w:pPr>
              <w:spacing w:line="240" w:lineRule="exact"/>
              <w:jc w:val="center"/>
              <w:rPr>
                <w:rtl/>
              </w:rPr>
            </w:pPr>
            <w:r>
              <w:rPr>
                <w:rFonts w:hint="cs"/>
                <w:rtl/>
              </w:rPr>
              <w:t>כמוצג בדוחות כספיים אלו</w:t>
            </w:r>
          </w:p>
        </w:tc>
      </w:tr>
      <w:tr w:rsidR="00D84FCF" w:rsidRPr="00C454B8" w14:paraId="18E44A3D" w14:textId="77777777" w:rsidTr="00A27D0C">
        <w:tc>
          <w:tcPr>
            <w:tcW w:w="3156" w:type="dxa"/>
            <w:vAlign w:val="bottom"/>
          </w:tcPr>
          <w:p w14:paraId="47D7492C" w14:textId="77777777" w:rsidR="00D84FCF" w:rsidRPr="00C454B8" w:rsidRDefault="00D84FCF" w:rsidP="00A27D0C">
            <w:pPr>
              <w:pStyle w:val="a3"/>
              <w:tabs>
                <w:tab w:val="left" w:pos="227"/>
                <w:tab w:val="left" w:pos="397"/>
                <w:tab w:val="left" w:pos="567"/>
              </w:tabs>
              <w:rPr>
                <w:sz w:val="22"/>
                <w:rtl/>
              </w:rPr>
            </w:pPr>
          </w:p>
        </w:tc>
        <w:tc>
          <w:tcPr>
            <w:tcW w:w="142" w:type="dxa"/>
            <w:vAlign w:val="bottom"/>
          </w:tcPr>
          <w:p w14:paraId="291EEC30" w14:textId="77777777" w:rsidR="00D84FCF" w:rsidRPr="0074065E" w:rsidRDefault="00D84FCF" w:rsidP="00A27D0C">
            <w:pPr>
              <w:spacing w:line="240" w:lineRule="exact"/>
              <w:rPr>
                <w:rtl/>
              </w:rPr>
            </w:pPr>
          </w:p>
        </w:tc>
        <w:tc>
          <w:tcPr>
            <w:tcW w:w="3967" w:type="dxa"/>
            <w:gridSpan w:val="5"/>
            <w:tcBorders>
              <w:bottom w:val="single" w:sz="6" w:space="0" w:color="auto"/>
            </w:tcBorders>
            <w:shd w:val="clear" w:color="auto" w:fill="auto"/>
            <w:vAlign w:val="bottom"/>
          </w:tcPr>
          <w:p w14:paraId="2257AF14" w14:textId="77777777" w:rsidR="00D84FCF" w:rsidRPr="0074065E" w:rsidRDefault="00D84FCF" w:rsidP="00A27D0C">
            <w:pPr>
              <w:tabs>
                <w:tab w:val="decimal" w:pos="113"/>
              </w:tabs>
              <w:spacing w:line="240" w:lineRule="exact"/>
              <w:jc w:val="center"/>
              <w:rPr>
                <w:rtl/>
              </w:rPr>
            </w:pPr>
            <w:r>
              <w:rPr>
                <w:rFonts w:hint="cs"/>
                <w:rtl/>
              </w:rPr>
              <w:t>אלפי ש"ח</w:t>
            </w:r>
          </w:p>
        </w:tc>
      </w:tr>
      <w:tr w:rsidR="00D84FCF" w:rsidRPr="00C454B8" w14:paraId="2746CCCA" w14:textId="77777777" w:rsidTr="00A27D0C">
        <w:tc>
          <w:tcPr>
            <w:tcW w:w="3156" w:type="dxa"/>
            <w:vAlign w:val="bottom"/>
          </w:tcPr>
          <w:p w14:paraId="0900D3F0" w14:textId="4527C273" w:rsidR="00D84FCF" w:rsidRPr="00C454B8" w:rsidRDefault="00D84FCF" w:rsidP="00D84FCF">
            <w:pPr>
              <w:pStyle w:val="a3"/>
              <w:tabs>
                <w:tab w:val="left" w:pos="227"/>
                <w:tab w:val="left" w:pos="397"/>
                <w:tab w:val="left" w:pos="567"/>
              </w:tabs>
              <w:rPr>
                <w:sz w:val="22"/>
                <w:u w:val="single"/>
                <w:rtl/>
              </w:rPr>
            </w:pPr>
            <w:r w:rsidRPr="00C454B8">
              <w:rPr>
                <w:sz w:val="22"/>
                <w:u w:val="single"/>
                <w:rtl/>
              </w:rPr>
              <w:t xml:space="preserve">ליום </w:t>
            </w:r>
            <w:r>
              <w:rPr>
                <w:rFonts w:hint="cs"/>
                <w:sz w:val="22"/>
                <w:u w:val="single"/>
                <w:rtl/>
              </w:rPr>
              <w:t>1</w:t>
            </w:r>
            <w:r w:rsidRPr="00C454B8">
              <w:rPr>
                <w:sz w:val="22"/>
                <w:u w:val="single"/>
                <w:rtl/>
              </w:rPr>
              <w:t xml:space="preserve"> </w:t>
            </w:r>
            <w:r>
              <w:rPr>
                <w:rFonts w:hint="cs"/>
                <w:sz w:val="22"/>
                <w:u w:val="single"/>
                <w:rtl/>
              </w:rPr>
              <w:t>בינואר</w:t>
            </w:r>
            <w:r w:rsidRPr="00C454B8">
              <w:rPr>
                <w:sz w:val="22"/>
                <w:u w:val="single"/>
                <w:rtl/>
              </w:rPr>
              <w:t xml:space="preserve">, </w:t>
            </w:r>
            <w:r>
              <w:rPr>
                <w:rFonts w:hint="cs"/>
                <w:sz w:val="22"/>
                <w:u w:val="single"/>
                <w:rtl/>
              </w:rPr>
              <w:t>2019</w:t>
            </w:r>
            <w:r>
              <w:rPr>
                <w:rStyle w:val="ab"/>
                <w:sz w:val="22"/>
                <w:rtl/>
              </w:rPr>
              <w:footnoteReference w:id="81"/>
            </w:r>
          </w:p>
        </w:tc>
        <w:tc>
          <w:tcPr>
            <w:tcW w:w="142" w:type="dxa"/>
            <w:vAlign w:val="bottom"/>
          </w:tcPr>
          <w:p w14:paraId="7FCF667D" w14:textId="77777777" w:rsidR="00D84FCF" w:rsidRPr="0074065E" w:rsidRDefault="00D84FCF" w:rsidP="00A27D0C">
            <w:pPr>
              <w:spacing w:line="240" w:lineRule="exact"/>
              <w:rPr>
                <w:rtl/>
              </w:rPr>
            </w:pPr>
          </w:p>
        </w:tc>
        <w:tc>
          <w:tcPr>
            <w:tcW w:w="1132" w:type="dxa"/>
            <w:vAlign w:val="bottom"/>
          </w:tcPr>
          <w:p w14:paraId="529BD47A" w14:textId="77777777" w:rsidR="00D84FCF" w:rsidRPr="0074065E" w:rsidRDefault="00D84FCF" w:rsidP="00A27D0C">
            <w:pPr>
              <w:spacing w:line="240" w:lineRule="exact"/>
              <w:rPr>
                <w:rtl/>
              </w:rPr>
            </w:pPr>
          </w:p>
        </w:tc>
        <w:tc>
          <w:tcPr>
            <w:tcW w:w="141" w:type="dxa"/>
            <w:vAlign w:val="bottom"/>
          </w:tcPr>
          <w:p w14:paraId="3F332AF5" w14:textId="77777777" w:rsidR="00D84FCF" w:rsidRPr="0074065E" w:rsidRDefault="00D84FCF" w:rsidP="00A27D0C">
            <w:pPr>
              <w:spacing w:line="240" w:lineRule="exact"/>
              <w:rPr>
                <w:rtl/>
              </w:rPr>
            </w:pPr>
          </w:p>
        </w:tc>
        <w:tc>
          <w:tcPr>
            <w:tcW w:w="1276" w:type="dxa"/>
            <w:vAlign w:val="bottom"/>
          </w:tcPr>
          <w:p w14:paraId="2903BC4B" w14:textId="77777777" w:rsidR="00D84FCF" w:rsidRPr="0074065E" w:rsidRDefault="00D84FCF" w:rsidP="00A27D0C">
            <w:pPr>
              <w:tabs>
                <w:tab w:val="decimal" w:pos="113"/>
              </w:tabs>
              <w:spacing w:line="240" w:lineRule="exact"/>
              <w:rPr>
                <w:rtl/>
              </w:rPr>
            </w:pPr>
          </w:p>
        </w:tc>
        <w:tc>
          <w:tcPr>
            <w:tcW w:w="142" w:type="dxa"/>
            <w:vAlign w:val="bottom"/>
          </w:tcPr>
          <w:p w14:paraId="0F5B4112" w14:textId="77777777" w:rsidR="00D84FCF" w:rsidRPr="0074065E" w:rsidRDefault="00D84FCF" w:rsidP="00A27D0C">
            <w:pPr>
              <w:tabs>
                <w:tab w:val="decimal" w:pos="113"/>
              </w:tabs>
              <w:spacing w:line="240" w:lineRule="exact"/>
              <w:rPr>
                <w:rtl/>
              </w:rPr>
            </w:pPr>
          </w:p>
        </w:tc>
        <w:tc>
          <w:tcPr>
            <w:tcW w:w="1276" w:type="dxa"/>
            <w:vAlign w:val="bottom"/>
          </w:tcPr>
          <w:p w14:paraId="3ADC0F61" w14:textId="77777777" w:rsidR="00D84FCF" w:rsidRPr="0074065E" w:rsidRDefault="00D84FCF" w:rsidP="00A27D0C">
            <w:pPr>
              <w:tabs>
                <w:tab w:val="decimal" w:pos="113"/>
              </w:tabs>
              <w:spacing w:line="240" w:lineRule="exact"/>
              <w:rPr>
                <w:rtl/>
              </w:rPr>
            </w:pPr>
          </w:p>
        </w:tc>
      </w:tr>
      <w:tr w:rsidR="00D84FCF" w:rsidRPr="00C454B8" w14:paraId="722CF812" w14:textId="77777777" w:rsidTr="00A27D0C">
        <w:tc>
          <w:tcPr>
            <w:tcW w:w="3156" w:type="dxa"/>
            <w:vAlign w:val="bottom"/>
          </w:tcPr>
          <w:p w14:paraId="622B1EF9" w14:textId="77777777" w:rsidR="00D84FCF" w:rsidRPr="00C454B8" w:rsidRDefault="00D84FCF" w:rsidP="00A27D0C">
            <w:pPr>
              <w:pStyle w:val="a3"/>
              <w:tabs>
                <w:tab w:val="left" w:pos="227"/>
                <w:tab w:val="left" w:pos="397"/>
                <w:tab w:val="left" w:pos="567"/>
              </w:tabs>
              <w:rPr>
                <w:sz w:val="22"/>
                <w:u w:val="single"/>
                <w:rtl/>
              </w:rPr>
            </w:pPr>
          </w:p>
        </w:tc>
        <w:tc>
          <w:tcPr>
            <w:tcW w:w="142" w:type="dxa"/>
            <w:vAlign w:val="bottom"/>
          </w:tcPr>
          <w:p w14:paraId="2B501C23" w14:textId="77777777" w:rsidR="00D84FCF" w:rsidRPr="0074065E" w:rsidRDefault="00D84FCF" w:rsidP="00A27D0C">
            <w:pPr>
              <w:spacing w:line="240" w:lineRule="exact"/>
              <w:rPr>
                <w:rtl/>
              </w:rPr>
            </w:pPr>
          </w:p>
        </w:tc>
        <w:tc>
          <w:tcPr>
            <w:tcW w:w="1132" w:type="dxa"/>
            <w:vAlign w:val="bottom"/>
          </w:tcPr>
          <w:p w14:paraId="3B5430D9" w14:textId="77777777" w:rsidR="00D84FCF" w:rsidRPr="0074065E" w:rsidRDefault="00D84FCF" w:rsidP="00A27D0C">
            <w:pPr>
              <w:spacing w:line="240" w:lineRule="exact"/>
              <w:rPr>
                <w:rtl/>
              </w:rPr>
            </w:pPr>
          </w:p>
        </w:tc>
        <w:tc>
          <w:tcPr>
            <w:tcW w:w="141" w:type="dxa"/>
            <w:vAlign w:val="bottom"/>
          </w:tcPr>
          <w:p w14:paraId="27E2CF46" w14:textId="77777777" w:rsidR="00D84FCF" w:rsidRPr="0074065E" w:rsidRDefault="00D84FCF" w:rsidP="00A27D0C">
            <w:pPr>
              <w:spacing w:line="240" w:lineRule="exact"/>
              <w:rPr>
                <w:rtl/>
              </w:rPr>
            </w:pPr>
          </w:p>
        </w:tc>
        <w:tc>
          <w:tcPr>
            <w:tcW w:w="1276" w:type="dxa"/>
            <w:vAlign w:val="bottom"/>
          </w:tcPr>
          <w:p w14:paraId="43366D1F" w14:textId="77777777" w:rsidR="00D84FCF" w:rsidRPr="0074065E" w:rsidRDefault="00D84FCF" w:rsidP="00A27D0C">
            <w:pPr>
              <w:tabs>
                <w:tab w:val="decimal" w:pos="113"/>
              </w:tabs>
              <w:spacing w:line="240" w:lineRule="exact"/>
              <w:rPr>
                <w:rtl/>
              </w:rPr>
            </w:pPr>
          </w:p>
        </w:tc>
        <w:tc>
          <w:tcPr>
            <w:tcW w:w="142" w:type="dxa"/>
            <w:vAlign w:val="bottom"/>
          </w:tcPr>
          <w:p w14:paraId="1A051D0C" w14:textId="77777777" w:rsidR="00D84FCF" w:rsidRPr="0074065E" w:rsidRDefault="00D84FCF" w:rsidP="00A27D0C">
            <w:pPr>
              <w:tabs>
                <w:tab w:val="decimal" w:pos="113"/>
              </w:tabs>
              <w:spacing w:line="240" w:lineRule="exact"/>
              <w:rPr>
                <w:rtl/>
              </w:rPr>
            </w:pPr>
          </w:p>
        </w:tc>
        <w:tc>
          <w:tcPr>
            <w:tcW w:w="1276" w:type="dxa"/>
            <w:vAlign w:val="bottom"/>
          </w:tcPr>
          <w:p w14:paraId="51382695" w14:textId="77777777" w:rsidR="00D84FCF" w:rsidRPr="0074065E" w:rsidRDefault="00D84FCF" w:rsidP="00A27D0C">
            <w:pPr>
              <w:tabs>
                <w:tab w:val="decimal" w:pos="113"/>
              </w:tabs>
              <w:spacing w:line="240" w:lineRule="exact"/>
              <w:rPr>
                <w:rtl/>
              </w:rPr>
            </w:pPr>
          </w:p>
        </w:tc>
      </w:tr>
      <w:tr w:rsidR="00D84FCF" w:rsidRPr="00C454B8" w14:paraId="0F34C02D" w14:textId="77777777" w:rsidTr="00D84FCF">
        <w:tc>
          <w:tcPr>
            <w:tcW w:w="3156" w:type="dxa"/>
            <w:vAlign w:val="bottom"/>
          </w:tcPr>
          <w:p w14:paraId="05837C02" w14:textId="77777777" w:rsidR="00D84FCF" w:rsidRPr="00D1565B" w:rsidRDefault="00D84FCF" w:rsidP="00A27D0C">
            <w:pPr>
              <w:pStyle w:val="a3"/>
              <w:tabs>
                <w:tab w:val="left" w:pos="227"/>
                <w:tab w:val="left" w:pos="397"/>
                <w:tab w:val="left" w:pos="567"/>
              </w:tabs>
              <w:rPr>
                <w:sz w:val="22"/>
                <w:rtl/>
              </w:rPr>
            </w:pPr>
            <w:r w:rsidRPr="00DD2F85">
              <w:rPr>
                <w:rFonts w:hint="eastAsia"/>
                <w:sz w:val="22"/>
                <w:rtl/>
              </w:rPr>
              <w:t>השקעות</w:t>
            </w:r>
            <w:r w:rsidRPr="00DD2F85">
              <w:rPr>
                <w:sz w:val="22"/>
                <w:rtl/>
              </w:rPr>
              <w:t xml:space="preserve"> בחברות </w:t>
            </w:r>
            <w:r w:rsidRPr="00DD2F85">
              <w:rPr>
                <w:rFonts w:hint="eastAsia"/>
                <w:sz w:val="22"/>
                <w:rtl/>
              </w:rPr>
              <w:t>המטופלות</w:t>
            </w:r>
            <w:r w:rsidRPr="00DD2F85">
              <w:rPr>
                <w:sz w:val="22"/>
                <w:rtl/>
              </w:rPr>
              <w:t xml:space="preserve"> לפי שיטת השווי </w:t>
            </w:r>
            <w:r w:rsidRPr="00DD2F85">
              <w:rPr>
                <w:rFonts w:hint="eastAsia"/>
                <w:sz w:val="22"/>
                <w:rtl/>
              </w:rPr>
              <w:t>המאזני</w:t>
            </w:r>
          </w:p>
        </w:tc>
        <w:tc>
          <w:tcPr>
            <w:tcW w:w="142" w:type="dxa"/>
            <w:vAlign w:val="bottom"/>
          </w:tcPr>
          <w:p w14:paraId="20390011" w14:textId="77777777" w:rsidR="00D84FCF" w:rsidRPr="0074065E" w:rsidRDefault="00D84FCF" w:rsidP="00A27D0C">
            <w:pPr>
              <w:spacing w:line="240" w:lineRule="exact"/>
              <w:rPr>
                <w:rtl/>
              </w:rPr>
            </w:pPr>
          </w:p>
        </w:tc>
        <w:tc>
          <w:tcPr>
            <w:tcW w:w="1132" w:type="dxa"/>
            <w:tcBorders>
              <w:bottom w:val="double" w:sz="4" w:space="0" w:color="auto"/>
            </w:tcBorders>
            <w:vAlign w:val="bottom"/>
          </w:tcPr>
          <w:p w14:paraId="45C44D83" w14:textId="77777777" w:rsidR="00D84FCF" w:rsidRPr="0074065E" w:rsidRDefault="00D84FCF" w:rsidP="00A27D0C">
            <w:pPr>
              <w:spacing w:line="240" w:lineRule="exact"/>
              <w:rPr>
                <w:rtl/>
              </w:rPr>
            </w:pPr>
          </w:p>
        </w:tc>
        <w:tc>
          <w:tcPr>
            <w:tcW w:w="141" w:type="dxa"/>
            <w:vAlign w:val="bottom"/>
          </w:tcPr>
          <w:p w14:paraId="16DE836B" w14:textId="77777777" w:rsidR="00D84FCF" w:rsidRPr="0074065E" w:rsidRDefault="00D84FCF" w:rsidP="00A27D0C">
            <w:pPr>
              <w:spacing w:line="240" w:lineRule="exact"/>
              <w:rPr>
                <w:rtl/>
              </w:rPr>
            </w:pPr>
          </w:p>
        </w:tc>
        <w:tc>
          <w:tcPr>
            <w:tcW w:w="1276" w:type="dxa"/>
            <w:tcBorders>
              <w:bottom w:val="double" w:sz="4" w:space="0" w:color="auto"/>
            </w:tcBorders>
            <w:vAlign w:val="bottom"/>
          </w:tcPr>
          <w:p w14:paraId="716457C4" w14:textId="77777777" w:rsidR="00D84FCF" w:rsidRPr="0074065E" w:rsidRDefault="00D84FCF" w:rsidP="00A27D0C">
            <w:pPr>
              <w:tabs>
                <w:tab w:val="decimal" w:pos="113"/>
              </w:tabs>
              <w:spacing w:line="240" w:lineRule="exact"/>
              <w:rPr>
                <w:rtl/>
              </w:rPr>
            </w:pPr>
          </w:p>
        </w:tc>
        <w:tc>
          <w:tcPr>
            <w:tcW w:w="142" w:type="dxa"/>
            <w:vAlign w:val="bottom"/>
          </w:tcPr>
          <w:p w14:paraId="3187E760" w14:textId="77777777" w:rsidR="00D84FCF" w:rsidRPr="0074065E" w:rsidRDefault="00D84FCF" w:rsidP="00A27D0C">
            <w:pPr>
              <w:tabs>
                <w:tab w:val="decimal" w:pos="113"/>
              </w:tabs>
              <w:spacing w:line="240" w:lineRule="exact"/>
              <w:rPr>
                <w:rtl/>
              </w:rPr>
            </w:pPr>
          </w:p>
        </w:tc>
        <w:tc>
          <w:tcPr>
            <w:tcW w:w="1276" w:type="dxa"/>
            <w:tcBorders>
              <w:bottom w:val="double" w:sz="4" w:space="0" w:color="auto"/>
            </w:tcBorders>
            <w:vAlign w:val="bottom"/>
          </w:tcPr>
          <w:p w14:paraId="45C41A60" w14:textId="77777777" w:rsidR="00D84FCF" w:rsidRPr="0074065E" w:rsidRDefault="00D84FCF" w:rsidP="00A27D0C">
            <w:pPr>
              <w:tabs>
                <w:tab w:val="decimal" w:pos="113"/>
              </w:tabs>
              <w:spacing w:line="240" w:lineRule="exact"/>
              <w:rPr>
                <w:rtl/>
              </w:rPr>
            </w:pPr>
          </w:p>
        </w:tc>
      </w:tr>
      <w:tr w:rsidR="00D84FCF" w:rsidRPr="00C454B8" w14:paraId="1C309198" w14:textId="77777777" w:rsidTr="00A27D0C">
        <w:tc>
          <w:tcPr>
            <w:tcW w:w="3156" w:type="dxa"/>
            <w:vAlign w:val="bottom"/>
          </w:tcPr>
          <w:p w14:paraId="75BD3604" w14:textId="77777777" w:rsidR="00D84FCF" w:rsidRPr="005413B2" w:rsidRDefault="00D84FCF" w:rsidP="00A27D0C">
            <w:pPr>
              <w:pStyle w:val="a3"/>
              <w:tabs>
                <w:tab w:val="left" w:pos="227"/>
                <w:tab w:val="left" w:pos="397"/>
                <w:tab w:val="left" w:pos="567"/>
              </w:tabs>
              <w:rPr>
                <w:sz w:val="22"/>
                <w:rtl/>
              </w:rPr>
            </w:pPr>
            <w:r w:rsidRPr="005413B2">
              <w:rPr>
                <w:rFonts w:hint="eastAsia"/>
                <w:sz w:val="22"/>
                <w:rtl/>
              </w:rPr>
              <w:t>נכסים</w:t>
            </w:r>
            <w:r w:rsidRPr="005413B2">
              <w:rPr>
                <w:sz w:val="22"/>
                <w:rtl/>
              </w:rPr>
              <w:t xml:space="preserve"> </w:t>
            </w:r>
            <w:r w:rsidRPr="005413B2">
              <w:rPr>
                <w:rFonts w:hint="eastAsia"/>
                <w:sz w:val="22"/>
                <w:rtl/>
              </w:rPr>
              <w:t>פיננסים</w:t>
            </w:r>
            <w:r w:rsidRPr="005413B2">
              <w:rPr>
                <w:sz w:val="22"/>
                <w:rtl/>
              </w:rPr>
              <w:t xml:space="preserve"> </w:t>
            </w:r>
            <w:r w:rsidRPr="005413B2">
              <w:rPr>
                <w:rFonts w:hint="eastAsia"/>
                <w:sz w:val="22"/>
                <w:rtl/>
              </w:rPr>
              <w:t>לא</w:t>
            </w:r>
            <w:r w:rsidRPr="005413B2">
              <w:rPr>
                <w:sz w:val="22"/>
                <w:rtl/>
              </w:rPr>
              <w:t xml:space="preserve"> </w:t>
            </w:r>
            <w:r w:rsidRPr="005413B2">
              <w:rPr>
                <w:rFonts w:hint="eastAsia"/>
                <w:sz w:val="22"/>
                <w:rtl/>
              </w:rPr>
              <w:t>שוטפים</w:t>
            </w:r>
          </w:p>
        </w:tc>
        <w:tc>
          <w:tcPr>
            <w:tcW w:w="142" w:type="dxa"/>
            <w:vAlign w:val="bottom"/>
          </w:tcPr>
          <w:p w14:paraId="76CE3614" w14:textId="77777777" w:rsidR="00D84FCF" w:rsidRPr="0074065E" w:rsidRDefault="00D84FCF" w:rsidP="00A27D0C">
            <w:pPr>
              <w:spacing w:line="240" w:lineRule="exact"/>
              <w:rPr>
                <w:rtl/>
              </w:rPr>
            </w:pPr>
          </w:p>
        </w:tc>
        <w:tc>
          <w:tcPr>
            <w:tcW w:w="1132" w:type="dxa"/>
            <w:tcBorders>
              <w:top w:val="double" w:sz="4" w:space="0" w:color="auto"/>
              <w:bottom w:val="double" w:sz="4" w:space="0" w:color="auto"/>
            </w:tcBorders>
            <w:vAlign w:val="bottom"/>
          </w:tcPr>
          <w:p w14:paraId="5FFD9C91" w14:textId="77777777" w:rsidR="00D84FCF" w:rsidRPr="0074065E" w:rsidRDefault="00D84FCF" w:rsidP="00A27D0C">
            <w:pPr>
              <w:spacing w:line="240" w:lineRule="exact"/>
              <w:rPr>
                <w:rtl/>
              </w:rPr>
            </w:pPr>
          </w:p>
        </w:tc>
        <w:tc>
          <w:tcPr>
            <w:tcW w:w="141" w:type="dxa"/>
            <w:vAlign w:val="bottom"/>
          </w:tcPr>
          <w:p w14:paraId="1F6C57E5" w14:textId="77777777" w:rsidR="00D84FCF" w:rsidRPr="0074065E" w:rsidRDefault="00D84FCF" w:rsidP="00A27D0C">
            <w:pPr>
              <w:spacing w:line="240" w:lineRule="exact"/>
              <w:rPr>
                <w:rtl/>
              </w:rPr>
            </w:pPr>
          </w:p>
        </w:tc>
        <w:tc>
          <w:tcPr>
            <w:tcW w:w="1276" w:type="dxa"/>
            <w:tcBorders>
              <w:top w:val="double" w:sz="4" w:space="0" w:color="auto"/>
              <w:bottom w:val="double" w:sz="4" w:space="0" w:color="auto"/>
            </w:tcBorders>
            <w:vAlign w:val="bottom"/>
          </w:tcPr>
          <w:p w14:paraId="1A74B147" w14:textId="77777777" w:rsidR="00D84FCF" w:rsidRPr="0074065E" w:rsidRDefault="00D84FCF" w:rsidP="00A27D0C">
            <w:pPr>
              <w:tabs>
                <w:tab w:val="decimal" w:pos="113"/>
              </w:tabs>
              <w:spacing w:line="240" w:lineRule="exact"/>
              <w:rPr>
                <w:rtl/>
              </w:rPr>
            </w:pPr>
          </w:p>
        </w:tc>
        <w:tc>
          <w:tcPr>
            <w:tcW w:w="142" w:type="dxa"/>
            <w:vAlign w:val="bottom"/>
          </w:tcPr>
          <w:p w14:paraId="09C1B668" w14:textId="77777777" w:rsidR="00D84FCF" w:rsidRPr="0074065E" w:rsidRDefault="00D84FCF" w:rsidP="00A27D0C">
            <w:pPr>
              <w:tabs>
                <w:tab w:val="decimal" w:pos="113"/>
              </w:tabs>
              <w:spacing w:line="240" w:lineRule="exact"/>
              <w:rPr>
                <w:rtl/>
              </w:rPr>
            </w:pPr>
          </w:p>
        </w:tc>
        <w:tc>
          <w:tcPr>
            <w:tcW w:w="1276" w:type="dxa"/>
            <w:tcBorders>
              <w:top w:val="double" w:sz="4" w:space="0" w:color="auto"/>
              <w:bottom w:val="double" w:sz="4" w:space="0" w:color="auto"/>
            </w:tcBorders>
            <w:vAlign w:val="bottom"/>
          </w:tcPr>
          <w:p w14:paraId="677F5D70" w14:textId="77777777" w:rsidR="00D84FCF" w:rsidRPr="0074065E" w:rsidRDefault="00D84FCF" w:rsidP="00A27D0C">
            <w:pPr>
              <w:tabs>
                <w:tab w:val="decimal" w:pos="113"/>
              </w:tabs>
              <w:spacing w:line="240" w:lineRule="exact"/>
              <w:rPr>
                <w:rtl/>
              </w:rPr>
            </w:pPr>
          </w:p>
        </w:tc>
      </w:tr>
      <w:tr w:rsidR="00D84FCF" w:rsidRPr="00C454B8" w14:paraId="167F4DA0" w14:textId="77777777" w:rsidTr="00A27D0C">
        <w:tc>
          <w:tcPr>
            <w:tcW w:w="3156" w:type="dxa"/>
            <w:vAlign w:val="bottom"/>
          </w:tcPr>
          <w:p w14:paraId="0E4E2A05" w14:textId="77777777" w:rsidR="00D84FCF" w:rsidRDefault="00D84FCF" w:rsidP="00A27D0C">
            <w:pPr>
              <w:pStyle w:val="a3"/>
              <w:tabs>
                <w:tab w:val="left" w:pos="227"/>
                <w:tab w:val="left" w:pos="397"/>
                <w:tab w:val="left" w:pos="567"/>
              </w:tabs>
              <w:rPr>
                <w:sz w:val="22"/>
                <w:rtl/>
              </w:rPr>
            </w:pPr>
            <w:r>
              <w:rPr>
                <w:rFonts w:hint="cs"/>
                <w:sz w:val="22"/>
                <w:rtl/>
              </w:rPr>
              <w:t>מסים נדחים</w:t>
            </w:r>
          </w:p>
        </w:tc>
        <w:tc>
          <w:tcPr>
            <w:tcW w:w="142" w:type="dxa"/>
            <w:vAlign w:val="bottom"/>
          </w:tcPr>
          <w:p w14:paraId="67AEC553" w14:textId="77777777" w:rsidR="00D84FCF" w:rsidRPr="0074065E" w:rsidRDefault="00D84FCF" w:rsidP="00A27D0C">
            <w:pPr>
              <w:spacing w:line="240" w:lineRule="exact"/>
              <w:rPr>
                <w:rtl/>
              </w:rPr>
            </w:pPr>
          </w:p>
        </w:tc>
        <w:tc>
          <w:tcPr>
            <w:tcW w:w="1132" w:type="dxa"/>
            <w:tcBorders>
              <w:top w:val="double" w:sz="4" w:space="0" w:color="auto"/>
              <w:bottom w:val="double" w:sz="4" w:space="0" w:color="auto"/>
            </w:tcBorders>
            <w:vAlign w:val="bottom"/>
          </w:tcPr>
          <w:p w14:paraId="36D4F43E" w14:textId="77777777" w:rsidR="00D84FCF" w:rsidRPr="0074065E" w:rsidRDefault="00D84FCF" w:rsidP="00A27D0C">
            <w:pPr>
              <w:spacing w:line="240" w:lineRule="exact"/>
              <w:rPr>
                <w:rtl/>
              </w:rPr>
            </w:pPr>
          </w:p>
        </w:tc>
        <w:tc>
          <w:tcPr>
            <w:tcW w:w="141" w:type="dxa"/>
            <w:vAlign w:val="bottom"/>
          </w:tcPr>
          <w:p w14:paraId="22AAC85D" w14:textId="77777777" w:rsidR="00D84FCF" w:rsidRPr="0074065E" w:rsidRDefault="00D84FCF" w:rsidP="00A27D0C">
            <w:pPr>
              <w:spacing w:line="240" w:lineRule="exact"/>
              <w:rPr>
                <w:rtl/>
              </w:rPr>
            </w:pPr>
          </w:p>
        </w:tc>
        <w:tc>
          <w:tcPr>
            <w:tcW w:w="1276" w:type="dxa"/>
            <w:tcBorders>
              <w:top w:val="double" w:sz="4" w:space="0" w:color="auto"/>
              <w:bottom w:val="double" w:sz="4" w:space="0" w:color="auto"/>
            </w:tcBorders>
            <w:vAlign w:val="bottom"/>
          </w:tcPr>
          <w:p w14:paraId="0CD56976" w14:textId="77777777" w:rsidR="00D84FCF" w:rsidRPr="0074065E" w:rsidRDefault="00D84FCF" w:rsidP="00A27D0C">
            <w:pPr>
              <w:tabs>
                <w:tab w:val="decimal" w:pos="113"/>
              </w:tabs>
              <w:spacing w:line="240" w:lineRule="exact"/>
              <w:rPr>
                <w:rtl/>
              </w:rPr>
            </w:pPr>
          </w:p>
        </w:tc>
        <w:tc>
          <w:tcPr>
            <w:tcW w:w="142" w:type="dxa"/>
            <w:vAlign w:val="bottom"/>
          </w:tcPr>
          <w:p w14:paraId="723B86E4" w14:textId="77777777" w:rsidR="00D84FCF" w:rsidRPr="0074065E" w:rsidRDefault="00D84FCF" w:rsidP="00A27D0C">
            <w:pPr>
              <w:tabs>
                <w:tab w:val="decimal" w:pos="113"/>
              </w:tabs>
              <w:spacing w:line="240" w:lineRule="exact"/>
              <w:rPr>
                <w:rtl/>
              </w:rPr>
            </w:pPr>
          </w:p>
        </w:tc>
        <w:tc>
          <w:tcPr>
            <w:tcW w:w="1276" w:type="dxa"/>
            <w:tcBorders>
              <w:top w:val="double" w:sz="4" w:space="0" w:color="auto"/>
              <w:bottom w:val="double" w:sz="4" w:space="0" w:color="auto"/>
            </w:tcBorders>
            <w:vAlign w:val="bottom"/>
          </w:tcPr>
          <w:p w14:paraId="70B2CD6A" w14:textId="77777777" w:rsidR="00D84FCF" w:rsidRPr="0074065E" w:rsidRDefault="00D84FCF" w:rsidP="00A27D0C">
            <w:pPr>
              <w:tabs>
                <w:tab w:val="decimal" w:pos="113"/>
              </w:tabs>
              <w:spacing w:line="240" w:lineRule="exact"/>
              <w:rPr>
                <w:rtl/>
              </w:rPr>
            </w:pPr>
          </w:p>
        </w:tc>
      </w:tr>
      <w:tr w:rsidR="00D84FCF" w:rsidRPr="00C454B8" w14:paraId="5CA1ECE4" w14:textId="77777777" w:rsidTr="00A27D0C">
        <w:tc>
          <w:tcPr>
            <w:tcW w:w="3156" w:type="dxa"/>
            <w:vAlign w:val="bottom"/>
          </w:tcPr>
          <w:p w14:paraId="2CD1BF2E" w14:textId="77777777" w:rsidR="00D84FCF" w:rsidRDefault="00D84FCF" w:rsidP="00A27D0C">
            <w:pPr>
              <w:pStyle w:val="a3"/>
              <w:tabs>
                <w:tab w:val="left" w:pos="227"/>
                <w:tab w:val="left" w:pos="397"/>
                <w:tab w:val="left" w:pos="567"/>
              </w:tabs>
              <w:rPr>
                <w:sz w:val="22"/>
                <w:rtl/>
              </w:rPr>
            </w:pPr>
          </w:p>
        </w:tc>
        <w:tc>
          <w:tcPr>
            <w:tcW w:w="142" w:type="dxa"/>
            <w:vAlign w:val="bottom"/>
          </w:tcPr>
          <w:p w14:paraId="05A00934" w14:textId="77777777" w:rsidR="00D84FCF" w:rsidRPr="0074065E" w:rsidRDefault="00D84FCF" w:rsidP="00A27D0C">
            <w:pPr>
              <w:spacing w:line="240" w:lineRule="exact"/>
              <w:rPr>
                <w:rtl/>
              </w:rPr>
            </w:pPr>
          </w:p>
        </w:tc>
        <w:tc>
          <w:tcPr>
            <w:tcW w:w="1132" w:type="dxa"/>
            <w:tcBorders>
              <w:top w:val="double" w:sz="4" w:space="0" w:color="auto"/>
            </w:tcBorders>
            <w:vAlign w:val="bottom"/>
          </w:tcPr>
          <w:p w14:paraId="678DB9EC" w14:textId="77777777" w:rsidR="00D84FCF" w:rsidRPr="0074065E" w:rsidRDefault="00D84FCF" w:rsidP="00A27D0C">
            <w:pPr>
              <w:spacing w:line="240" w:lineRule="exact"/>
              <w:rPr>
                <w:rtl/>
              </w:rPr>
            </w:pPr>
          </w:p>
        </w:tc>
        <w:tc>
          <w:tcPr>
            <w:tcW w:w="141" w:type="dxa"/>
            <w:vAlign w:val="bottom"/>
          </w:tcPr>
          <w:p w14:paraId="43228F1E" w14:textId="77777777" w:rsidR="00D84FCF" w:rsidRPr="0074065E" w:rsidRDefault="00D84FCF" w:rsidP="00A27D0C">
            <w:pPr>
              <w:spacing w:line="240" w:lineRule="exact"/>
              <w:rPr>
                <w:rtl/>
              </w:rPr>
            </w:pPr>
          </w:p>
        </w:tc>
        <w:tc>
          <w:tcPr>
            <w:tcW w:w="1276" w:type="dxa"/>
            <w:tcBorders>
              <w:top w:val="double" w:sz="4" w:space="0" w:color="auto"/>
            </w:tcBorders>
            <w:vAlign w:val="bottom"/>
          </w:tcPr>
          <w:p w14:paraId="1FD93975" w14:textId="77777777" w:rsidR="00D84FCF" w:rsidRPr="0074065E" w:rsidRDefault="00D84FCF" w:rsidP="00A27D0C">
            <w:pPr>
              <w:tabs>
                <w:tab w:val="decimal" w:pos="113"/>
              </w:tabs>
              <w:spacing w:line="240" w:lineRule="exact"/>
              <w:rPr>
                <w:rtl/>
              </w:rPr>
            </w:pPr>
          </w:p>
        </w:tc>
        <w:tc>
          <w:tcPr>
            <w:tcW w:w="142" w:type="dxa"/>
            <w:vAlign w:val="bottom"/>
          </w:tcPr>
          <w:p w14:paraId="6B7E02E3" w14:textId="77777777" w:rsidR="00D84FCF" w:rsidRPr="0074065E" w:rsidRDefault="00D84FCF" w:rsidP="00A27D0C">
            <w:pPr>
              <w:tabs>
                <w:tab w:val="decimal" w:pos="113"/>
              </w:tabs>
              <w:spacing w:line="240" w:lineRule="exact"/>
              <w:rPr>
                <w:rtl/>
              </w:rPr>
            </w:pPr>
          </w:p>
        </w:tc>
        <w:tc>
          <w:tcPr>
            <w:tcW w:w="1276" w:type="dxa"/>
            <w:tcBorders>
              <w:top w:val="double" w:sz="4" w:space="0" w:color="auto"/>
            </w:tcBorders>
            <w:vAlign w:val="bottom"/>
          </w:tcPr>
          <w:p w14:paraId="5C419FF2" w14:textId="77777777" w:rsidR="00D84FCF" w:rsidRPr="0074065E" w:rsidRDefault="00D84FCF" w:rsidP="00A27D0C">
            <w:pPr>
              <w:tabs>
                <w:tab w:val="decimal" w:pos="113"/>
              </w:tabs>
              <w:spacing w:line="240" w:lineRule="exact"/>
              <w:rPr>
                <w:rtl/>
              </w:rPr>
            </w:pPr>
          </w:p>
        </w:tc>
      </w:tr>
      <w:tr w:rsidR="00D84FCF" w:rsidRPr="00C454B8" w14:paraId="2FC33767" w14:textId="77777777" w:rsidTr="00D84FCF">
        <w:tc>
          <w:tcPr>
            <w:tcW w:w="3156" w:type="dxa"/>
            <w:vAlign w:val="bottom"/>
          </w:tcPr>
          <w:p w14:paraId="69B1A7AC" w14:textId="77777777" w:rsidR="00D84FCF" w:rsidRPr="00DD2F85" w:rsidRDefault="00D84FCF" w:rsidP="00A27D0C">
            <w:pPr>
              <w:pStyle w:val="a3"/>
              <w:tabs>
                <w:tab w:val="left" w:pos="227"/>
                <w:tab w:val="left" w:pos="397"/>
                <w:tab w:val="left" w:pos="567"/>
              </w:tabs>
              <w:rPr>
                <w:sz w:val="22"/>
                <w:u w:val="single"/>
                <w:rtl/>
              </w:rPr>
            </w:pPr>
            <w:r w:rsidRPr="00DD2F85">
              <w:rPr>
                <w:rFonts w:hint="eastAsia"/>
                <w:sz w:val="22"/>
                <w:u w:val="single"/>
                <w:rtl/>
              </w:rPr>
              <w:t>הון</w:t>
            </w:r>
            <w:r w:rsidRPr="00DD2F85">
              <w:rPr>
                <w:sz w:val="22"/>
                <w:u w:val="single"/>
                <w:rtl/>
              </w:rPr>
              <w:t xml:space="preserve"> </w:t>
            </w:r>
            <w:r>
              <w:rPr>
                <w:rFonts w:hint="cs"/>
                <w:sz w:val="22"/>
                <w:u w:val="single"/>
                <w:rtl/>
              </w:rPr>
              <w:t>המיוחס לבעלי מניות החברה:</w:t>
            </w:r>
          </w:p>
        </w:tc>
        <w:tc>
          <w:tcPr>
            <w:tcW w:w="142" w:type="dxa"/>
            <w:vAlign w:val="bottom"/>
          </w:tcPr>
          <w:p w14:paraId="5F7A54EA" w14:textId="77777777" w:rsidR="00D84FCF" w:rsidRPr="0074065E" w:rsidRDefault="00D84FCF" w:rsidP="00A27D0C">
            <w:pPr>
              <w:spacing w:line="240" w:lineRule="exact"/>
              <w:rPr>
                <w:rtl/>
              </w:rPr>
            </w:pPr>
          </w:p>
        </w:tc>
        <w:tc>
          <w:tcPr>
            <w:tcW w:w="1132" w:type="dxa"/>
            <w:vAlign w:val="bottom"/>
          </w:tcPr>
          <w:p w14:paraId="73187045" w14:textId="77777777" w:rsidR="00D84FCF" w:rsidRPr="0074065E" w:rsidRDefault="00D84FCF" w:rsidP="00A27D0C">
            <w:pPr>
              <w:spacing w:line="240" w:lineRule="exact"/>
              <w:rPr>
                <w:rtl/>
              </w:rPr>
            </w:pPr>
          </w:p>
        </w:tc>
        <w:tc>
          <w:tcPr>
            <w:tcW w:w="141" w:type="dxa"/>
            <w:vAlign w:val="bottom"/>
          </w:tcPr>
          <w:p w14:paraId="0B97EA0D" w14:textId="77777777" w:rsidR="00D84FCF" w:rsidRPr="0074065E" w:rsidRDefault="00D84FCF" w:rsidP="00A27D0C">
            <w:pPr>
              <w:spacing w:line="240" w:lineRule="exact"/>
              <w:rPr>
                <w:rtl/>
              </w:rPr>
            </w:pPr>
          </w:p>
        </w:tc>
        <w:tc>
          <w:tcPr>
            <w:tcW w:w="1276" w:type="dxa"/>
            <w:vAlign w:val="bottom"/>
          </w:tcPr>
          <w:p w14:paraId="5DFAA640" w14:textId="77777777" w:rsidR="00D84FCF" w:rsidRPr="0074065E" w:rsidRDefault="00D84FCF" w:rsidP="00A27D0C">
            <w:pPr>
              <w:tabs>
                <w:tab w:val="decimal" w:pos="113"/>
              </w:tabs>
              <w:spacing w:line="240" w:lineRule="exact"/>
              <w:rPr>
                <w:rtl/>
              </w:rPr>
            </w:pPr>
          </w:p>
        </w:tc>
        <w:tc>
          <w:tcPr>
            <w:tcW w:w="142" w:type="dxa"/>
            <w:vAlign w:val="bottom"/>
          </w:tcPr>
          <w:p w14:paraId="73C8C18F" w14:textId="77777777" w:rsidR="00D84FCF" w:rsidRPr="0074065E" w:rsidRDefault="00D84FCF" w:rsidP="00A27D0C">
            <w:pPr>
              <w:tabs>
                <w:tab w:val="decimal" w:pos="113"/>
              </w:tabs>
              <w:spacing w:line="240" w:lineRule="exact"/>
              <w:rPr>
                <w:rtl/>
              </w:rPr>
            </w:pPr>
          </w:p>
        </w:tc>
        <w:tc>
          <w:tcPr>
            <w:tcW w:w="1276" w:type="dxa"/>
            <w:vAlign w:val="bottom"/>
          </w:tcPr>
          <w:p w14:paraId="77B682C2" w14:textId="77777777" w:rsidR="00D84FCF" w:rsidRPr="0074065E" w:rsidRDefault="00D84FCF" w:rsidP="00A27D0C">
            <w:pPr>
              <w:tabs>
                <w:tab w:val="decimal" w:pos="113"/>
              </w:tabs>
              <w:spacing w:line="240" w:lineRule="exact"/>
              <w:rPr>
                <w:rtl/>
              </w:rPr>
            </w:pPr>
          </w:p>
        </w:tc>
      </w:tr>
      <w:tr w:rsidR="00D84FCF" w:rsidRPr="00C454B8" w14:paraId="5674B269" w14:textId="77777777" w:rsidTr="00D84FCF">
        <w:tc>
          <w:tcPr>
            <w:tcW w:w="3156" w:type="dxa"/>
            <w:vAlign w:val="bottom"/>
          </w:tcPr>
          <w:p w14:paraId="6F3125AF" w14:textId="77777777" w:rsidR="00D84FCF" w:rsidRDefault="00D84FCF" w:rsidP="00A27D0C">
            <w:pPr>
              <w:pStyle w:val="a3"/>
              <w:tabs>
                <w:tab w:val="left" w:pos="227"/>
                <w:tab w:val="left" w:pos="397"/>
                <w:tab w:val="left" w:pos="567"/>
              </w:tabs>
              <w:rPr>
                <w:sz w:val="22"/>
                <w:rtl/>
              </w:rPr>
            </w:pPr>
            <w:r>
              <w:rPr>
                <w:rFonts w:hint="cs"/>
                <w:sz w:val="22"/>
                <w:rtl/>
              </w:rPr>
              <w:t>יתרת רווח (הפסד)</w:t>
            </w:r>
          </w:p>
        </w:tc>
        <w:tc>
          <w:tcPr>
            <w:tcW w:w="142" w:type="dxa"/>
            <w:vAlign w:val="bottom"/>
          </w:tcPr>
          <w:p w14:paraId="4B7F9E6A" w14:textId="77777777" w:rsidR="00D84FCF" w:rsidRPr="0074065E" w:rsidRDefault="00D84FCF" w:rsidP="00A27D0C">
            <w:pPr>
              <w:spacing w:line="240" w:lineRule="exact"/>
              <w:rPr>
                <w:rtl/>
              </w:rPr>
            </w:pPr>
          </w:p>
        </w:tc>
        <w:tc>
          <w:tcPr>
            <w:tcW w:w="1132" w:type="dxa"/>
            <w:tcBorders>
              <w:bottom w:val="double" w:sz="4" w:space="0" w:color="auto"/>
            </w:tcBorders>
            <w:vAlign w:val="bottom"/>
          </w:tcPr>
          <w:p w14:paraId="79ED1B73" w14:textId="77777777" w:rsidR="00D84FCF" w:rsidRPr="0074065E" w:rsidRDefault="00D84FCF" w:rsidP="00A27D0C">
            <w:pPr>
              <w:spacing w:line="240" w:lineRule="exact"/>
              <w:rPr>
                <w:rtl/>
              </w:rPr>
            </w:pPr>
          </w:p>
        </w:tc>
        <w:tc>
          <w:tcPr>
            <w:tcW w:w="141" w:type="dxa"/>
            <w:vAlign w:val="bottom"/>
          </w:tcPr>
          <w:p w14:paraId="18430DE8" w14:textId="77777777" w:rsidR="00D84FCF" w:rsidRPr="0074065E" w:rsidRDefault="00D84FCF" w:rsidP="00A27D0C">
            <w:pPr>
              <w:spacing w:line="240" w:lineRule="exact"/>
              <w:rPr>
                <w:rtl/>
              </w:rPr>
            </w:pPr>
          </w:p>
        </w:tc>
        <w:tc>
          <w:tcPr>
            <w:tcW w:w="1276" w:type="dxa"/>
            <w:tcBorders>
              <w:bottom w:val="double" w:sz="4" w:space="0" w:color="auto"/>
            </w:tcBorders>
            <w:vAlign w:val="bottom"/>
          </w:tcPr>
          <w:p w14:paraId="5F792BF6" w14:textId="77777777" w:rsidR="00D84FCF" w:rsidRPr="0074065E" w:rsidRDefault="00D84FCF" w:rsidP="00A27D0C">
            <w:pPr>
              <w:tabs>
                <w:tab w:val="decimal" w:pos="113"/>
              </w:tabs>
              <w:spacing w:line="240" w:lineRule="exact"/>
              <w:rPr>
                <w:rtl/>
              </w:rPr>
            </w:pPr>
          </w:p>
        </w:tc>
        <w:tc>
          <w:tcPr>
            <w:tcW w:w="142" w:type="dxa"/>
            <w:vAlign w:val="bottom"/>
          </w:tcPr>
          <w:p w14:paraId="46985C6D" w14:textId="77777777" w:rsidR="00D84FCF" w:rsidRPr="0074065E" w:rsidRDefault="00D84FCF" w:rsidP="00A27D0C">
            <w:pPr>
              <w:tabs>
                <w:tab w:val="decimal" w:pos="113"/>
              </w:tabs>
              <w:spacing w:line="240" w:lineRule="exact"/>
              <w:rPr>
                <w:rtl/>
              </w:rPr>
            </w:pPr>
          </w:p>
        </w:tc>
        <w:tc>
          <w:tcPr>
            <w:tcW w:w="1276" w:type="dxa"/>
            <w:tcBorders>
              <w:bottom w:val="double" w:sz="4" w:space="0" w:color="auto"/>
            </w:tcBorders>
            <w:vAlign w:val="bottom"/>
          </w:tcPr>
          <w:p w14:paraId="5E1E9631" w14:textId="77777777" w:rsidR="00D84FCF" w:rsidRPr="0074065E" w:rsidRDefault="00D84FCF" w:rsidP="00A27D0C">
            <w:pPr>
              <w:tabs>
                <w:tab w:val="decimal" w:pos="113"/>
              </w:tabs>
              <w:spacing w:line="240" w:lineRule="exact"/>
              <w:rPr>
                <w:rtl/>
              </w:rPr>
            </w:pPr>
          </w:p>
        </w:tc>
      </w:tr>
      <w:tr w:rsidR="00D84FCF" w:rsidRPr="00C454B8" w14:paraId="5667BAA6" w14:textId="77777777" w:rsidTr="00A27D0C">
        <w:tc>
          <w:tcPr>
            <w:tcW w:w="3156" w:type="dxa"/>
            <w:vAlign w:val="bottom"/>
          </w:tcPr>
          <w:p w14:paraId="42DB8990" w14:textId="77777777" w:rsidR="00D84FCF" w:rsidRDefault="00D84FCF" w:rsidP="00A27D0C">
            <w:pPr>
              <w:pStyle w:val="a3"/>
              <w:tabs>
                <w:tab w:val="left" w:pos="227"/>
                <w:tab w:val="left" w:pos="397"/>
                <w:tab w:val="left" w:pos="567"/>
              </w:tabs>
              <w:rPr>
                <w:sz w:val="22"/>
                <w:rtl/>
              </w:rPr>
            </w:pPr>
            <w:r>
              <w:rPr>
                <w:rFonts w:hint="cs"/>
                <w:sz w:val="22"/>
                <w:rtl/>
              </w:rPr>
              <w:t>זכויות שאינן מקנות שליטה</w:t>
            </w:r>
          </w:p>
        </w:tc>
        <w:tc>
          <w:tcPr>
            <w:tcW w:w="142" w:type="dxa"/>
            <w:vAlign w:val="bottom"/>
          </w:tcPr>
          <w:p w14:paraId="7B39297C" w14:textId="77777777" w:rsidR="00D84FCF" w:rsidRPr="0074065E" w:rsidRDefault="00D84FCF" w:rsidP="00A27D0C">
            <w:pPr>
              <w:spacing w:line="240" w:lineRule="exact"/>
              <w:rPr>
                <w:rtl/>
              </w:rPr>
            </w:pPr>
          </w:p>
        </w:tc>
        <w:tc>
          <w:tcPr>
            <w:tcW w:w="1132" w:type="dxa"/>
            <w:tcBorders>
              <w:bottom w:val="double" w:sz="4" w:space="0" w:color="auto"/>
            </w:tcBorders>
            <w:vAlign w:val="bottom"/>
          </w:tcPr>
          <w:p w14:paraId="5AF96186" w14:textId="77777777" w:rsidR="00D84FCF" w:rsidRPr="0074065E" w:rsidRDefault="00D84FCF" w:rsidP="00A27D0C">
            <w:pPr>
              <w:spacing w:line="240" w:lineRule="exact"/>
              <w:rPr>
                <w:rtl/>
              </w:rPr>
            </w:pPr>
          </w:p>
        </w:tc>
        <w:tc>
          <w:tcPr>
            <w:tcW w:w="141" w:type="dxa"/>
            <w:vAlign w:val="bottom"/>
          </w:tcPr>
          <w:p w14:paraId="2C1F25AD" w14:textId="77777777" w:rsidR="00D84FCF" w:rsidRPr="0074065E" w:rsidRDefault="00D84FCF" w:rsidP="00A27D0C">
            <w:pPr>
              <w:spacing w:line="240" w:lineRule="exact"/>
              <w:rPr>
                <w:rtl/>
              </w:rPr>
            </w:pPr>
          </w:p>
        </w:tc>
        <w:tc>
          <w:tcPr>
            <w:tcW w:w="1276" w:type="dxa"/>
            <w:tcBorders>
              <w:bottom w:val="double" w:sz="4" w:space="0" w:color="auto"/>
            </w:tcBorders>
            <w:vAlign w:val="bottom"/>
          </w:tcPr>
          <w:p w14:paraId="41F52913" w14:textId="77777777" w:rsidR="00D84FCF" w:rsidRPr="0074065E" w:rsidRDefault="00D84FCF" w:rsidP="00A27D0C">
            <w:pPr>
              <w:tabs>
                <w:tab w:val="decimal" w:pos="113"/>
              </w:tabs>
              <w:spacing w:line="240" w:lineRule="exact"/>
              <w:rPr>
                <w:rtl/>
              </w:rPr>
            </w:pPr>
          </w:p>
        </w:tc>
        <w:tc>
          <w:tcPr>
            <w:tcW w:w="142" w:type="dxa"/>
            <w:vAlign w:val="bottom"/>
          </w:tcPr>
          <w:p w14:paraId="7535A5D3" w14:textId="77777777" w:rsidR="00D84FCF" w:rsidRPr="0074065E" w:rsidRDefault="00D84FCF" w:rsidP="00A27D0C">
            <w:pPr>
              <w:tabs>
                <w:tab w:val="decimal" w:pos="113"/>
              </w:tabs>
              <w:spacing w:line="240" w:lineRule="exact"/>
              <w:rPr>
                <w:rtl/>
              </w:rPr>
            </w:pPr>
          </w:p>
        </w:tc>
        <w:tc>
          <w:tcPr>
            <w:tcW w:w="1276" w:type="dxa"/>
            <w:tcBorders>
              <w:bottom w:val="double" w:sz="4" w:space="0" w:color="auto"/>
            </w:tcBorders>
            <w:vAlign w:val="bottom"/>
          </w:tcPr>
          <w:p w14:paraId="26278D62" w14:textId="77777777" w:rsidR="00D84FCF" w:rsidRPr="0074065E" w:rsidRDefault="00D84FCF" w:rsidP="00A27D0C">
            <w:pPr>
              <w:tabs>
                <w:tab w:val="decimal" w:pos="113"/>
              </w:tabs>
              <w:spacing w:line="240" w:lineRule="exact"/>
              <w:rPr>
                <w:rtl/>
              </w:rPr>
            </w:pPr>
          </w:p>
        </w:tc>
      </w:tr>
      <w:tr w:rsidR="00D84FCF" w:rsidRPr="00C454B8" w14:paraId="33E9EA77" w14:textId="77777777" w:rsidTr="00A27D0C">
        <w:tc>
          <w:tcPr>
            <w:tcW w:w="3156" w:type="dxa"/>
            <w:vAlign w:val="bottom"/>
          </w:tcPr>
          <w:p w14:paraId="6470482C" w14:textId="77777777" w:rsidR="00D84FCF" w:rsidRDefault="00D84FCF" w:rsidP="00A27D0C">
            <w:pPr>
              <w:pStyle w:val="a3"/>
              <w:tabs>
                <w:tab w:val="left" w:pos="227"/>
                <w:tab w:val="left" w:pos="397"/>
                <w:tab w:val="left" w:pos="567"/>
              </w:tabs>
              <w:rPr>
                <w:sz w:val="22"/>
                <w:rtl/>
              </w:rPr>
            </w:pPr>
          </w:p>
        </w:tc>
        <w:tc>
          <w:tcPr>
            <w:tcW w:w="142" w:type="dxa"/>
            <w:vAlign w:val="bottom"/>
          </w:tcPr>
          <w:p w14:paraId="428D9FF8" w14:textId="77777777" w:rsidR="00D84FCF" w:rsidRPr="0074065E" w:rsidRDefault="00D84FCF" w:rsidP="00A27D0C">
            <w:pPr>
              <w:spacing w:line="240" w:lineRule="exact"/>
              <w:rPr>
                <w:rtl/>
              </w:rPr>
            </w:pPr>
          </w:p>
        </w:tc>
        <w:tc>
          <w:tcPr>
            <w:tcW w:w="1132" w:type="dxa"/>
            <w:tcBorders>
              <w:top w:val="double" w:sz="4" w:space="0" w:color="auto"/>
            </w:tcBorders>
            <w:vAlign w:val="bottom"/>
          </w:tcPr>
          <w:p w14:paraId="4E3EBAB8" w14:textId="77777777" w:rsidR="00D84FCF" w:rsidRPr="0074065E" w:rsidRDefault="00D84FCF" w:rsidP="00A27D0C">
            <w:pPr>
              <w:spacing w:line="240" w:lineRule="exact"/>
              <w:rPr>
                <w:rtl/>
              </w:rPr>
            </w:pPr>
          </w:p>
        </w:tc>
        <w:tc>
          <w:tcPr>
            <w:tcW w:w="141" w:type="dxa"/>
            <w:vAlign w:val="bottom"/>
          </w:tcPr>
          <w:p w14:paraId="578E0593" w14:textId="77777777" w:rsidR="00D84FCF" w:rsidRPr="0074065E" w:rsidRDefault="00D84FCF" w:rsidP="00A27D0C">
            <w:pPr>
              <w:spacing w:line="240" w:lineRule="exact"/>
              <w:rPr>
                <w:rtl/>
              </w:rPr>
            </w:pPr>
          </w:p>
        </w:tc>
        <w:tc>
          <w:tcPr>
            <w:tcW w:w="1276" w:type="dxa"/>
            <w:tcBorders>
              <w:top w:val="double" w:sz="4" w:space="0" w:color="auto"/>
            </w:tcBorders>
            <w:vAlign w:val="bottom"/>
          </w:tcPr>
          <w:p w14:paraId="7E78C558" w14:textId="77777777" w:rsidR="00D84FCF" w:rsidRPr="0074065E" w:rsidRDefault="00D84FCF" w:rsidP="00A27D0C">
            <w:pPr>
              <w:tabs>
                <w:tab w:val="decimal" w:pos="113"/>
              </w:tabs>
              <w:spacing w:line="240" w:lineRule="exact"/>
              <w:rPr>
                <w:rtl/>
              </w:rPr>
            </w:pPr>
          </w:p>
        </w:tc>
        <w:tc>
          <w:tcPr>
            <w:tcW w:w="142" w:type="dxa"/>
            <w:vAlign w:val="bottom"/>
          </w:tcPr>
          <w:p w14:paraId="7A37C537" w14:textId="77777777" w:rsidR="00D84FCF" w:rsidRPr="0074065E" w:rsidRDefault="00D84FCF" w:rsidP="00A27D0C">
            <w:pPr>
              <w:tabs>
                <w:tab w:val="decimal" w:pos="113"/>
              </w:tabs>
              <w:spacing w:line="240" w:lineRule="exact"/>
              <w:rPr>
                <w:rtl/>
              </w:rPr>
            </w:pPr>
          </w:p>
        </w:tc>
        <w:tc>
          <w:tcPr>
            <w:tcW w:w="1276" w:type="dxa"/>
            <w:tcBorders>
              <w:top w:val="double" w:sz="4" w:space="0" w:color="auto"/>
            </w:tcBorders>
            <w:vAlign w:val="bottom"/>
          </w:tcPr>
          <w:p w14:paraId="4895BFBF" w14:textId="77777777" w:rsidR="00D84FCF" w:rsidRPr="0074065E" w:rsidRDefault="00D84FCF" w:rsidP="00A27D0C">
            <w:pPr>
              <w:tabs>
                <w:tab w:val="decimal" w:pos="113"/>
              </w:tabs>
              <w:spacing w:line="240" w:lineRule="exact"/>
              <w:rPr>
                <w:rtl/>
              </w:rPr>
            </w:pPr>
          </w:p>
        </w:tc>
      </w:tr>
      <w:tr w:rsidR="00D84FCF" w:rsidRPr="00C454B8" w14:paraId="110BC27E" w14:textId="77777777" w:rsidTr="001B3B0B">
        <w:tc>
          <w:tcPr>
            <w:tcW w:w="3156" w:type="dxa"/>
            <w:vAlign w:val="bottom"/>
          </w:tcPr>
          <w:p w14:paraId="2FD4962C" w14:textId="77777777" w:rsidR="00D84FCF" w:rsidRDefault="00D84FCF" w:rsidP="00A27D0C">
            <w:pPr>
              <w:pStyle w:val="a3"/>
              <w:tabs>
                <w:tab w:val="left" w:pos="227"/>
                <w:tab w:val="left" w:pos="397"/>
                <w:tab w:val="left" w:pos="567"/>
              </w:tabs>
              <w:rPr>
                <w:sz w:val="22"/>
                <w:rtl/>
              </w:rPr>
            </w:pPr>
            <w:r>
              <w:rPr>
                <w:rFonts w:hint="cs"/>
                <w:sz w:val="22"/>
                <w:rtl/>
              </w:rPr>
              <w:t>סה"כ הון</w:t>
            </w:r>
          </w:p>
        </w:tc>
        <w:tc>
          <w:tcPr>
            <w:tcW w:w="142" w:type="dxa"/>
            <w:vAlign w:val="bottom"/>
          </w:tcPr>
          <w:p w14:paraId="0991DFA4" w14:textId="77777777" w:rsidR="00D84FCF" w:rsidRPr="0074065E" w:rsidRDefault="00D84FCF" w:rsidP="00A27D0C">
            <w:pPr>
              <w:spacing w:line="240" w:lineRule="exact"/>
              <w:rPr>
                <w:rtl/>
              </w:rPr>
            </w:pPr>
          </w:p>
        </w:tc>
        <w:tc>
          <w:tcPr>
            <w:tcW w:w="1132" w:type="dxa"/>
            <w:tcBorders>
              <w:bottom w:val="double" w:sz="4" w:space="0" w:color="auto"/>
            </w:tcBorders>
            <w:vAlign w:val="bottom"/>
          </w:tcPr>
          <w:p w14:paraId="3C3D5F42" w14:textId="77777777" w:rsidR="00D84FCF" w:rsidRPr="0074065E" w:rsidRDefault="00D84FCF" w:rsidP="00A27D0C">
            <w:pPr>
              <w:spacing w:line="240" w:lineRule="exact"/>
              <w:rPr>
                <w:rtl/>
              </w:rPr>
            </w:pPr>
          </w:p>
        </w:tc>
        <w:tc>
          <w:tcPr>
            <w:tcW w:w="141" w:type="dxa"/>
            <w:vAlign w:val="bottom"/>
          </w:tcPr>
          <w:p w14:paraId="197C4829" w14:textId="77777777" w:rsidR="00D84FCF" w:rsidRPr="0074065E" w:rsidRDefault="00D84FCF" w:rsidP="00A27D0C">
            <w:pPr>
              <w:spacing w:line="240" w:lineRule="exact"/>
              <w:rPr>
                <w:rtl/>
              </w:rPr>
            </w:pPr>
          </w:p>
        </w:tc>
        <w:tc>
          <w:tcPr>
            <w:tcW w:w="1276" w:type="dxa"/>
            <w:tcBorders>
              <w:bottom w:val="double" w:sz="4" w:space="0" w:color="auto"/>
            </w:tcBorders>
            <w:vAlign w:val="bottom"/>
          </w:tcPr>
          <w:p w14:paraId="4FE916EC" w14:textId="77777777" w:rsidR="00D84FCF" w:rsidRPr="0074065E" w:rsidRDefault="00D84FCF" w:rsidP="00A27D0C">
            <w:pPr>
              <w:tabs>
                <w:tab w:val="decimal" w:pos="113"/>
              </w:tabs>
              <w:spacing w:line="240" w:lineRule="exact"/>
              <w:rPr>
                <w:rtl/>
              </w:rPr>
            </w:pPr>
          </w:p>
        </w:tc>
        <w:tc>
          <w:tcPr>
            <w:tcW w:w="142" w:type="dxa"/>
            <w:vAlign w:val="bottom"/>
          </w:tcPr>
          <w:p w14:paraId="3C214742" w14:textId="77777777" w:rsidR="00D84FCF" w:rsidRPr="0074065E" w:rsidRDefault="00D84FCF" w:rsidP="00A27D0C">
            <w:pPr>
              <w:tabs>
                <w:tab w:val="decimal" w:pos="113"/>
              </w:tabs>
              <w:spacing w:line="240" w:lineRule="exact"/>
              <w:rPr>
                <w:rtl/>
              </w:rPr>
            </w:pPr>
          </w:p>
        </w:tc>
        <w:tc>
          <w:tcPr>
            <w:tcW w:w="1276" w:type="dxa"/>
            <w:tcBorders>
              <w:bottom w:val="double" w:sz="4" w:space="0" w:color="auto"/>
            </w:tcBorders>
            <w:vAlign w:val="bottom"/>
          </w:tcPr>
          <w:p w14:paraId="63B77B8D" w14:textId="77777777" w:rsidR="00D84FCF" w:rsidRPr="0074065E" w:rsidRDefault="00D84FCF" w:rsidP="00A27D0C">
            <w:pPr>
              <w:tabs>
                <w:tab w:val="decimal" w:pos="113"/>
              </w:tabs>
              <w:spacing w:line="240" w:lineRule="exact"/>
              <w:rPr>
                <w:rtl/>
              </w:rPr>
            </w:pPr>
          </w:p>
        </w:tc>
      </w:tr>
    </w:tbl>
    <w:p w14:paraId="47220FF6" w14:textId="77777777" w:rsidR="001803C7" w:rsidRDefault="001803C7" w:rsidP="001803C7">
      <w:pPr>
        <w:pStyle w:val="30"/>
        <w:ind w:left="1695" w:firstLine="0"/>
        <w:rPr>
          <w:rtl/>
        </w:rPr>
      </w:pPr>
    </w:p>
    <w:p w14:paraId="02591CBC" w14:textId="34619909" w:rsidR="00ED01B5" w:rsidRPr="001958C9" w:rsidRDefault="00ED01B5" w:rsidP="00AC6EE8">
      <w:pPr>
        <w:pStyle w:val="30"/>
        <w:ind w:left="508"/>
        <w:rPr>
          <w:u w:val="single"/>
          <w:rtl/>
        </w:rPr>
      </w:pPr>
    </w:p>
    <w:p w14:paraId="0B00D1D9" w14:textId="372F0803" w:rsidR="001958C9" w:rsidRDefault="001958C9" w:rsidP="00AC6EE8">
      <w:pPr>
        <w:pStyle w:val="30"/>
        <w:ind w:left="1701"/>
        <w:rPr>
          <w:u w:val="single"/>
          <w:rtl/>
        </w:rPr>
      </w:pPr>
    </w:p>
    <w:p w14:paraId="70B3D3C6" w14:textId="6C92A699" w:rsidR="001958C9" w:rsidRDefault="001958C9" w:rsidP="001958C9">
      <w:pPr>
        <w:rPr>
          <w:rtl/>
        </w:rPr>
      </w:pPr>
      <w:r>
        <w:rPr>
          <w:rtl/>
        </w:rPr>
        <w:br w:type="page"/>
      </w:r>
    </w:p>
    <w:p w14:paraId="5DB8307D" w14:textId="77777777" w:rsidR="002B1E97" w:rsidRDefault="002B1E97" w:rsidP="001958C9"/>
    <w:p w14:paraId="7BE97D84" w14:textId="77777777" w:rsidR="002B1E97" w:rsidRPr="00351624" w:rsidRDefault="002B1E97" w:rsidP="002B1E97">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47812996" w14:textId="77777777" w:rsidR="002B1E97" w:rsidRPr="00351624" w:rsidRDefault="002B1E97" w:rsidP="002B1E97">
      <w:pPr>
        <w:tabs>
          <w:tab w:val="left" w:pos="1134"/>
        </w:tabs>
        <w:ind w:left="1134" w:hanging="1134"/>
        <w:rPr>
          <w:rtl/>
        </w:rPr>
      </w:pPr>
    </w:p>
    <w:p w14:paraId="43F208E5" w14:textId="4AE86907" w:rsidR="00831F9D" w:rsidRPr="003776A6" w:rsidRDefault="002B1E97" w:rsidP="00CE4C07">
      <w:pPr>
        <w:pStyle w:val="21"/>
        <w:rPr>
          <w:u w:val="single"/>
        </w:rPr>
      </w:pPr>
      <w:r>
        <w:rPr>
          <w:rFonts w:hint="cs"/>
          <w:rtl/>
        </w:rPr>
        <w:t>ד</w:t>
      </w:r>
      <w:r w:rsidR="00831F9D" w:rsidRPr="00831F9D">
        <w:rPr>
          <w:rFonts w:hint="cs"/>
          <w:rtl/>
        </w:rPr>
        <w:t xml:space="preserve">. </w:t>
      </w:r>
      <w:r w:rsidR="003776A6">
        <w:rPr>
          <w:rtl/>
        </w:rPr>
        <w:tab/>
      </w:r>
      <w:r w:rsidR="00831F9D" w:rsidRPr="003776A6">
        <w:rPr>
          <w:rFonts w:hint="cs"/>
          <w:u w:val="single"/>
          <w:rtl/>
        </w:rPr>
        <w:t>יישום למפרע בעקב</w:t>
      </w:r>
      <w:r w:rsidR="00CE4C07">
        <w:rPr>
          <w:rFonts w:hint="cs"/>
          <w:u w:val="single"/>
          <w:rtl/>
        </w:rPr>
        <w:t>ות שינוי מדיניות</w:t>
      </w:r>
    </w:p>
    <w:p w14:paraId="53FAB253" w14:textId="77777777" w:rsidR="00831F9D" w:rsidRPr="003776A6" w:rsidRDefault="00831F9D" w:rsidP="00ED1AD7">
      <w:pPr>
        <w:pStyle w:val="30"/>
        <w:ind w:left="1134" w:firstLine="0"/>
        <w:rPr>
          <w:u w:val="single"/>
          <w:rtl/>
        </w:rPr>
      </w:pPr>
    </w:p>
    <w:p w14:paraId="6AD5E919" w14:textId="77777777" w:rsidR="00CE4C07" w:rsidRDefault="009C33CD" w:rsidP="002B1E97">
      <w:pPr>
        <w:pStyle w:val="30"/>
        <w:numPr>
          <w:ilvl w:val="0"/>
          <w:numId w:val="30"/>
        </w:numPr>
        <w:tabs>
          <w:tab w:val="clear" w:pos="1701"/>
          <w:tab w:val="clear" w:pos="2268"/>
          <w:tab w:val="left" w:pos="1417"/>
          <w:tab w:val="left" w:pos="1842"/>
        </w:tabs>
        <w:ind w:left="1777"/>
        <w:rPr>
          <w:u w:val="single"/>
        </w:rPr>
      </w:pPr>
      <w:r w:rsidRPr="007D64FF">
        <w:rPr>
          <w:rFonts w:hint="cs"/>
          <w:rtl/>
        </w:rPr>
        <w:t>החברה</w:t>
      </w:r>
      <w:r w:rsidRPr="007D64FF">
        <w:rPr>
          <w:rtl/>
        </w:rPr>
        <w:t xml:space="preserve"> תיאמה</w:t>
      </w:r>
      <w:r w:rsidRPr="007D64FF">
        <w:rPr>
          <w:rFonts w:hint="cs"/>
          <w:rtl/>
        </w:rPr>
        <w:t>,</w:t>
      </w:r>
      <w:r w:rsidRPr="007D64FF">
        <w:rPr>
          <w:rtl/>
        </w:rPr>
        <w:t xml:space="preserve"> בדרך של </w:t>
      </w:r>
      <w:r>
        <w:rPr>
          <w:rFonts w:hint="cs"/>
          <w:rtl/>
        </w:rPr>
        <w:t>יישום למפרע</w:t>
      </w:r>
      <w:r w:rsidRPr="007D64FF">
        <w:rPr>
          <w:rFonts w:hint="cs"/>
          <w:rtl/>
        </w:rPr>
        <w:t>,</w:t>
      </w:r>
      <w:r w:rsidRPr="007D64FF">
        <w:rPr>
          <w:rtl/>
        </w:rPr>
        <w:t xml:space="preserve"> את דוחותיה הכספיים </w:t>
      </w:r>
      <w:r w:rsidRPr="007D64FF">
        <w:rPr>
          <w:rFonts w:hint="cs"/>
          <w:rtl/>
        </w:rPr>
        <w:t>לימים</w:t>
      </w:r>
      <w:r>
        <w:rPr>
          <w:rFonts w:hint="cs"/>
          <w:rtl/>
        </w:rPr>
        <w:t xml:space="preserve"> 30 בספטמבר</w:t>
      </w:r>
      <w:r w:rsidR="000A1918">
        <w:rPr>
          <w:rFonts w:hint="cs"/>
          <w:rtl/>
        </w:rPr>
        <w:t>,</w:t>
      </w:r>
      <w:r>
        <w:rPr>
          <w:rFonts w:hint="cs"/>
          <w:rtl/>
        </w:rPr>
        <w:t xml:space="preserve"> </w:t>
      </w:r>
      <w:r w:rsidR="004F7D3D">
        <w:rPr>
          <w:rFonts w:hint="cs"/>
          <w:rtl/>
        </w:rPr>
        <w:t>201</w:t>
      </w:r>
      <w:r w:rsidR="004C22FC">
        <w:rPr>
          <w:rFonts w:hint="cs"/>
          <w:rtl/>
        </w:rPr>
        <w:t>8</w:t>
      </w:r>
      <w:r>
        <w:rPr>
          <w:rFonts w:hint="cs"/>
          <w:rtl/>
        </w:rPr>
        <w:t xml:space="preserve"> ו-</w:t>
      </w:r>
      <w:r w:rsidRPr="007D64FF">
        <w:rPr>
          <w:rFonts w:hint="cs"/>
          <w:rtl/>
        </w:rPr>
        <w:t xml:space="preserve"> 31 בדצמבר, </w:t>
      </w:r>
      <w:r w:rsidR="004F7D3D">
        <w:rPr>
          <w:rFonts w:hint="cs"/>
          <w:rtl/>
        </w:rPr>
        <w:t>201</w:t>
      </w:r>
      <w:r w:rsidR="004C22FC">
        <w:rPr>
          <w:rFonts w:hint="cs"/>
          <w:rtl/>
        </w:rPr>
        <w:t>8</w:t>
      </w:r>
      <w:r w:rsidRPr="007D64FF">
        <w:rPr>
          <w:rFonts w:hint="cs"/>
          <w:rtl/>
        </w:rPr>
        <w:t xml:space="preserve"> ו</w:t>
      </w:r>
      <w:r>
        <w:rPr>
          <w:rFonts w:hint="cs"/>
          <w:rtl/>
        </w:rPr>
        <w:t>לתקופות של תשעה ושלושה חודשים שהסתיימו ביום 30 בספטמבר</w:t>
      </w:r>
      <w:r w:rsidR="000A1918">
        <w:rPr>
          <w:rFonts w:hint="cs"/>
          <w:rtl/>
        </w:rPr>
        <w:t>,</w:t>
      </w:r>
      <w:r>
        <w:rPr>
          <w:rFonts w:hint="cs"/>
          <w:rtl/>
        </w:rPr>
        <w:t xml:space="preserve"> </w:t>
      </w:r>
      <w:r w:rsidR="004F7D3D">
        <w:rPr>
          <w:rFonts w:hint="cs"/>
          <w:rtl/>
        </w:rPr>
        <w:t>201</w:t>
      </w:r>
      <w:r w:rsidR="004C22FC">
        <w:rPr>
          <w:rFonts w:hint="cs"/>
          <w:rtl/>
        </w:rPr>
        <w:t>8</w:t>
      </w:r>
      <w:r>
        <w:rPr>
          <w:rFonts w:hint="cs"/>
          <w:rtl/>
        </w:rPr>
        <w:t xml:space="preserve"> ולשנה </w:t>
      </w:r>
      <w:r w:rsidRPr="007D64FF">
        <w:rPr>
          <w:rFonts w:hint="cs"/>
          <w:rtl/>
        </w:rPr>
        <w:t>שהסתיימ</w:t>
      </w:r>
      <w:r>
        <w:rPr>
          <w:rFonts w:hint="cs"/>
          <w:rtl/>
        </w:rPr>
        <w:t>ה</w:t>
      </w:r>
      <w:r w:rsidRPr="007D64FF">
        <w:rPr>
          <w:rFonts w:hint="cs"/>
          <w:rtl/>
        </w:rPr>
        <w:t xml:space="preserve"> בי</w:t>
      </w:r>
      <w:r>
        <w:rPr>
          <w:rFonts w:hint="cs"/>
          <w:rtl/>
        </w:rPr>
        <w:t>ו</w:t>
      </w:r>
      <w:r w:rsidRPr="007D64FF">
        <w:rPr>
          <w:rFonts w:hint="cs"/>
          <w:rtl/>
        </w:rPr>
        <w:t xml:space="preserve">ם 31 בדצמבר, </w:t>
      </w:r>
      <w:r w:rsidR="004F7D3D">
        <w:rPr>
          <w:rFonts w:hint="cs"/>
          <w:rtl/>
        </w:rPr>
        <w:t>201</w:t>
      </w:r>
      <w:r w:rsidR="004C22FC">
        <w:rPr>
          <w:rFonts w:hint="cs"/>
          <w:rtl/>
        </w:rPr>
        <w:t>8</w:t>
      </w:r>
      <w:r w:rsidRPr="007D64FF">
        <w:rPr>
          <w:rtl/>
        </w:rPr>
        <w:t>, על מנת לשקף בהם למפרע את השפעת השינוי בטיפול החשבונאי</w:t>
      </w:r>
      <w:r w:rsidRPr="007D64FF">
        <w:rPr>
          <w:rFonts w:hint="cs"/>
          <w:rtl/>
        </w:rPr>
        <w:t xml:space="preserve"> באמצעות יישומו מאז ומעולם.</w:t>
      </w:r>
      <w:r w:rsidRPr="007D64FF">
        <w:rPr>
          <w:rtl/>
        </w:rPr>
        <w:t xml:space="preserve"> </w:t>
      </w:r>
      <w:r w:rsidRPr="007D64FF">
        <w:rPr>
          <w:rFonts w:hint="cs"/>
          <w:shd w:val="clear" w:color="auto" w:fill="D9D9D9"/>
          <w:rtl/>
        </w:rPr>
        <w:t xml:space="preserve">[יש לפרט את מהות השינוי, כיצד טופל בעבר וכיצד מטופל כעת וכיצד </w:t>
      </w:r>
      <w:r>
        <w:rPr>
          <w:rFonts w:hint="cs"/>
          <w:shd w:val="clear" w:color="auto" w:fill="D9D9D9"/>
          <w:rtl/>
        </w:rPr>
        <w:t>מוצדק השינוי במדיניות החשבונאית</w:t>
      </w:r>
      <w:r w:rsidR="001503AB">
        <w:rPr>
          <w:rFonts w:hint="cs"/>
          <w:shd w:val="clear" w:color="auto" w:fill="D9D9D9"/>
          <w:rtl/>
        </w:rPr>
        <w:t xml:space="preserve">. יש להציג את השפעת השינוי כמפורט </w:t>
      </w:r>
      <w:r w:rsidR="00ED1AD7">
        <w:rPr>
          <w:rFonts w:hint="cs"/>
          <w:shd w:val="clear" w:color="auto" w:fill="D9D9D9"/>
          <w:rtl/>
        </w:rPr>
        <w:t>בהמשך הבאור</w:t>
      </w:r>
      <w:r w:rsidR="001503AB">
        <w:rPr>
          <w:rFonts w:hint="cs"/>
          <w:shd w:val="clear" w:color="auto" w:fill="D9D9D9"/>
          <w:rtl/>
        </w:rPr>
        <w:t xml:space="preserve"> להלן תוך התאמת הסעיפים הרלוונטיים</w:t>
      </w:r>
      <w:r w:rsidRPr="007D64FF">
        <w:rPr>
          <w:rFonts w:hint="cs"/>
          <w:shd w:val="clear" w:color="auto" w:fill="D9D9D9"/>
          <w:rtl/>
        </w:rPr>
        <w:t>]</w:t>
      </w:r>
      <w:r w:rsidRPr="007D64FF">
        <w:rPr>
          <w:shd w:val="clear" w:color="auto" w:fill="D9D9D9"/>
          <w:rtl/>
        </w:rPr>
        <w:t>.</w:t>
      </w:r>
    </w:p>
    <w:p w14:paraId="302A7B05" w14:textId="77777777" w:rsidR="00CE4C07" w:rsidRPr="00CE4C07" w:rsidRDefault="00CE4C07" w:rsidP="002B1E97">
      <w:pPr>
        <w:pStyle w:val="30"/>
        <w:tabs>
          <w:tab w:val="clear" w:pos="1701"/>
          <w:tab w:val="clear" w:pos="2268"/>
          <w:tab w:val="left" w:pos="1417"/>
          <w:tab w:val="left" w:pos="1842"/>
        </w:tabs>
        <w:ind w:left="1777" w:firstLine="0"/>
        <w:rPr>
          <w:u w:val="single"/>
        </w:rPr>
      </w:pPr>
    </w:p>
    <w:p w14:paraId="2A3F1DAB" w14:textId="23708EFE" w:rsidR="00CE4C07" w:rsidRDefault="00CE4C07" w:rsidP="002B1E97">
      <w:pPr>
        <w:pStyle w:val="30"/>
        <w:numPr>
          <w:ilvl w:val="0"/>
          <w:numId w:val="30"/>
        </w:numPr>
        <w:tabs>
          <w:tab w:val="clear" w:pos="1701"/>
          <w:tab w:val="clear" w:pos="2268"/>
          <w:tab w:val="left" w:pos="1417"/>
          <w:tab w:val="left" w:pos="1842"/>
        </w:tabs>
        <w:ind w:left="1777"/>
        <w:rPr>
          <w:u w:val="single"/>
          <w:rtl/>
        </w:rPr>
      </w:pPr>
      <w:r>
        <w:rPr>
          <w:rFonts w:hint="cs"/>
          <w:u w:val="single"/>
          <w:rtl/>
        </w:rPr>
        <w:t>שינוי במדיניות החשבונאית בנושא היוון עלויות אשראי</w:t>
      </w:r>
    </w:p>
    <w:p w14:paraId="5261FC4A" w14:textId="77777777" w:rsidR="00CE4C07" w:rsidRDefault="00CE4C07" w:rsidP="002B1E97">
      <w:pPr>
        <w:pStyle w:val="30"/>
        <w:tabs>
          <w:tab w:val="clear" w:pos="1701"/>
          <w:tab w:val="clear" w:pos="2268"/>
          <w:tab w:val="left" w:pos="1417"/>
          <w:tab w:val="left" w:pos="1842"/>
        </w:tabs>
        <w:ind w:left="1417" w:hanging="284"/>
        <w:rPr>
          <w:u w:val="single"/>
          <w:rtl/>
        </w:rPr>
      </w:pPr>
    </w:p>
    <w:p w14:paraId="1418948D" w14:textId="77777777" w:rsidR="00CE4C07" w:rsidRDefault="00CE4C07" w:rsidP="002B1E97">
      <w:pPr>
        <w:pStyle w:val="30"/>
        <w:tabs>
          <w:tab w:val="clear" w:pos="1701"/>
          <w:tab w:val="clear" w:pos="2268"/>
          <w:tab w:val="left" w:pos="1417"/>
          <w:tab w:val="left" w:pos="1842"/>
        </w:tabs>
        <w:ind w:left="1777" w:firstLine="0"/>
        <w:rPr>
          <w:u w:val="single"/>
          <w:rtl/>
        </w:rPr>
      </w:pPr>
      <w:r w:rsidRPr="00F32493">
        <w:rPr>
          <w:rFonts w:ascii="Narkisim" w:hAnsi="Narkisim"/>
          <w:rtl/>
        </w:rPr>
        <w:t xml:space="preserve">בחודש מרס 2019 </w:t>
      </w:r>
      <w:r w:rsidRPr="00F32493">
        <w:rPr>
          <w:rFonts w:ascii="Narkisim" w:hAnsi="Narkisim" w:hint="cs"/>
          <w:rtl/>
        </w:rPr>
        <w:t>פרסמה</w:t>
      </w:r>
      <w:r w:rsidRPr="00F32493">
        <w:rPr>
          <w:rFonts w:ascii="Narkisim" w:hAnsi="Narkisim"/>
          <w:rtl/>
        </w:rPr>
        <w:t xml:space="preserve"> הוועדה לפרשנויות של דיווח כספי בינלאומי (להלן</w:t>
      </w:r>
      <w:r w:rsidRPr="00F32493">
        <w:rPr>
          <w:rFonts w:ascii="Narkisim" w:hAnsi="Narkisim"/>
        </w:rPr>
        <w:t xml:space="preserve"> ("IFRIC" – </w:t>
      </w:r>
      <w:r w:rsidRPr="00F32493">
        <w:rPr>
          <w:rFonts w:ascii="Narkisim" w:hAnsi="Narkisim" w:hint="cs"/>
          <w:rtl/>
        </w:rPr>
        <w:t xml:space="preserve">פרשנות בדבר הטיפול החשבונאי </w:t>
      </w:r>
      <w:r w:rsidRPr="00F32493">
        <w:rPr>
          <w:rFonts w:ascii="Narkisim" w:hAnsi="Narkisim"/>
          <w:rtl/>
        </w:rPr>
        <w:t>בעלויות אשראי בפרויקטים בהם ההכרה בהכנסה הינה על פני זמן</w:t>
      </w:r>
      <w:r w:rsidRPr="00F32493">
        <w:rPr>
          <w:rFonts w:ascii="Narkisim" w:hAnsi="Narkisim" w:hint="cs"/>
          <w:rtl/>
        </w:rPr>
        <w:t xml:space="preserve"> (להלן </w:t>
      </w:r>
      <w:r w:rsidRPr="00F32493">
        <w:rPr>
          <w:rFonts w:ascii="Narkisim" w:hAnsi="Narkisim"/>
          <w:rtl/>
        </w:rPr>
        <w:t>–</w:t>
      </w:r>
      <w:r w:rsidRPr="00F32493">
        <w:rPr>
          <w:rFonts w:ascii="Narkisim" w:hAnsi="Narkisim" w:hint="cs"/>
          <w:rtl/>
        </w:rPr>
        <w:t xml:space="preserve"> </w:t>
      </w:r>
      <w:r w:rsidRPr="00230E91">
        <w:rPr>
          <w:rFonts w:ascii="Narkisim" w:hAnsi="Narkisim" w:hint="cs"/>
          <w:rtl/>
        </w:rPr>
        <w:t>"הפרשנות")</w:t>
      </w:r>
      <w:r w:rsidRPr="00230E91">
        <w:rPr>
          <w:rFonts w:ascii="Narkisim" w:hAnsi="Narkisim"/>
          <w:rtl/>
        </w:rPr>
        <w:t>.</w:t>
      </w:r>
      <w:r w:rsidRPr="00F32493">
        <w:rPr>
          <w:rFonts w:ascii="Narkisim" w:hAnsi="Narkisim"/>
          <w:rtl/>
        </w:rPr>
        <w:t xml:space="preserve"> </w:t>
      </w:r>
      <w:r w:rsidRPr="00F32493">
        <w:rPr>
          <w:rFonts w:ascii="Narkisim" w:hAnsi="Narkisim" w:hint="cs"/>
          <w:rtl/>
        </w:rPr>
        <w:t xml:space="preserve">בהתאם לפרשנות, </w:t>
      </w:r>
      <w:r w:rsidRPr="00F32493">
        <w:rPr>
          <w:rFonts w:ascii="Narkisim" w:hAnsi="Narkisim"/>
          <w:rtl/>
        </w:rPr>
        <w:t xml:space="preserve">לא ניתן להוון עלויות אשראי לפרויקטים בהם ההכרה בהכנסה הינה על פני זמן </w:t>
      </w:r>
      <w:r>
        <w:rPr>
          <w:rFonts w:ascii="Narkisim" w:hAnsi="Narkisim" w:hint="cs"/>
          <w:rtl/>
        </w:rPr>
        <w:t xml:space="preserve">החל מהמועד שבו </w:t>
      </w:r>
      <w:r w:rsidRPr="00F32493">
        <w:rPr>
          <w:rFonts w:ascii="Narkisim" w:hAnsi="Narkisim"/>
          <w:rtl/>
        </w:rPr>
        <w:t xml:space="preserve">הנכס, נשוא העסקה, </w:t>
      </w:r>
      <w:r>
        <w:rPr>
          <w:rFonts w:ascii="Narkisim" w:hAnsi="Narkisim" w:hint="cs"/>
          <w:rtl/>
        </w:rPr>
        <w:t>"</w:t>
      </w:r>
      <w:r w:rsidRPr="00F32493">
        <w:rPr>
          <w:rFonts w:ascii="Narkisim" w:hAnsi="Narkisim"/>
          <w:rtl/>
        </w:rPr>
        <w:t>מוכן למכירה</w:t>
      </w:r>
      <w:r>
        <w:rPr>
          <w:rFonts w:ascii="Narkisim" w:hAnsi="Narkisim" w:hint="cs"/>
          <w:rtl/>
        </w:rPr>
        <w:t>"</w:t>
      </w:r>
      <w:r>
        <w:rPr>
          <w:rStyle w:val="ab"/>
          <w:rFonts w:ascii="Narkisim" w:hAnsi="Narkisim"/>
          <w:rtl/>
        </w:rPr>
        <w:footnoteReference w:id="82"/>
      </w:r>
      <w:r>
        <w:rPr>
          <w:rFonts w:ascii="Narkisim" w:hAnsi="Narkisim" w:hint="cs"/>
          <w:rtl/>
        </w:rPr>
        <w:t>.</w:t>
      </w:r>
      <w:r w:rsidRPr="00F32493">
        <w:rPr>
          <w:rFonts w:ascii="Narkisim" w:hAnsi="Narkisim"/>
          <w:rtl/>
        </w:rPr>
        <w:t xml:space="preserve"> </w:t>
      </w:r>
    </w:p>
    <w:p w14:paraId="0E07ADC2" w14:textId="77777777" w:rsidR="00CE4C07" w:rsidRDefault="00CE4C07" w:rsidP="002B1E97">
      <w:pPr>
        <w:pStyle w:val="30"/>
        <w:tabs>
          <w:tab w:val="clear" w:pos="1701"/>
          <w:tab w:val="clear" w:pos="2268"/>
          <w:tab w:val="left" w:pos="1417"/>
          <w:tab w:val="left" w:pos="1842"/>
        </w:tabs>
        <w:ind w:left="1417" w:firstLine="0"/>
        <w:rPr>
          <w:u w:val="single"/>
          <w:rtl/>
        </w:rPr>
      </w:pPr>
    </w:p>
    <w:p w14:paraId="57A1985C" w14:textId="77777777" w:rsidR="00CE4C07" w:rsidRDefault="00CE4C07" w:rsidP="002B1E97">
      <w:pPr>
        <w:ind w:left="1777"/>
        <w:rPr>
          <w:rFonts w:ascii="Narkisim" w:hAnsi="Narkisim"/>
          <w:rtl/>
        </w:rPr>
      </w:pPr>
      <w:r>
        <w:rPr>
          <w:rFonts w:ascii="Narkisim" w:hAnsi="Narkisim" w:hint="cs"/>
          <w:rtl/>
        </w:rPr>
        <w:t>השפעת היישום של הפרשנות</w:t>
      </w:r>
      <w:r w:rsidRPr="00F32493">
        <w:rPr>
          <w:rFonts w:ascii="Narkisim" w:hAnsi="Narkisim"/>
          <w:rtl/>
        </w:rPr>
        <w:t xml:space="preserve"> </w:t>
      </w:r>
      <w:r>
        <w:rPr>
          <w:rFonts w:ascii="Narkisim" w:hAnsi="Narkisim" w:hint="cs"/>
          <w:rtl/>
        </w:rPr>
        <w:t>הינה</w:t>
      </w:r>
      <w:r>
        <w:rPr>
          <w:rFonts w:ascii="Narkisim" w:hAnsi="Narkisim"/>
          <w:rtl/>
        </w:rPr>
        <w:t xml:space="preserve"> </w:t>
      </w:r>
      <w:r w:rsidRPr="00F32493">
        <w:rPr>
          <w:rFonts w:ascii="Narkisim" w:hAnsi="Narkisim"/>
          <w:rtl/>
        </w:rPr>
        <w:t xml:space="preserve">הכרה בעלויות מימון </w:t>
      </w:r>
      <w:r>
        <w:rPr>
          <w:rFonts w:ascii="Narkisim" w:hAnsi="Narkisim" w:hint="cs"/>
          <w:rtl/>
        </w:rPr>
        <w:t xml:space="preserve">שאינן כשירות להיוון </w:t>
      </w:r>
      <w:r w:rsidRPr="00F32493">
        <w:rPr>
          <w:rFonts w:ascii="Narkisim" w:hAnsi="Narkisim"/>
          <w:rtl/>
        </w:rPr>
        <w:t>כהוצאה בדוח רווח או הפסד במועד התהוותן חלף היוון עלויות האשראי למלאי והכרה בעלויות</w:t>
      </w:r>
      <w:r>
        <w:rPr>
          <w:rFonts w:ascii="Narkisim" w:hAnsi="Narkisim" w:hint="cs"/>
          <w:rtl/>
        </w:rPr>
        <w:t xml:space="preserve"> האשראי</w:t>
      </w:r>
      <w:r w:rsidRPr="00F32493">
        <w:rPr>
          <w:rFonts w:ascii="Narkisim" w:hAnsi="Narkisim"/>
          <w:rtl/>
        </w:rPr>
        <w:t xml:space="preserve"> דרך עלות המכר במועד שבו מוכרות העלויות בגין הפרויקט ב</w:t>
      </w:r>
      <w:r w:rsidRPr="00F32493">
        <w:rPr>
          <w:rFonts w:ascii="Narkisim" w:hAnsi="Narkisim" w:hint="cs"/>
          <w:rtl/>
        </w:rPr>
        <w:t xml:space="preserve">דוח </w:t>
      </w:r>
      <w:r w:rsidRPr="00F32493">
        <w:rPr>
          <w:rFonts w:ascii="Narkisim" w:hAnsi="Narkisim"/>
          <w:rtl/>
        </w:rPr>
        <w:t xml:space="preserve">רווח או הפסד בהתאם ל- </w:t>
      </w:r>
      <w:r w:rsidRPr="00F32493">
        <w:rPr>
          <w:rFonts w:ascii="Narkisim" w:hAnsi="Narkisim"/>
        </w:rPr>
        <w:t xml:space="preserve">IFRS </w:t>
      </w:r>
      <w:r w:rsidRPr="00E11AE2">
        <w:rPr>
          <w:rFonts w:ascii="Narkisim" w:hAnsi="Narkisim"/>
          <w:sz w:val="24"/>
          <w:szCs w:val="32"/>
        </w:rPr>
        <w:t>15</w:t>
      </w:r>
      <w:r>
        <w:rPr>
          <w:rFonts w:ascii="Narkisim" w:hAnsi="Narkisim"/>
          <w:rtl/>
        </w:rPr>
        <w:t>.</w:t>
      </w:r>
      <w:r>
        <w:rPr>
          <w:rFonts w:ascii="Narkisim" w:hAnsi="Narkisim" w:hint="cs"/>
          <w:rtl/>
        </w:rPr>
        <w:t xml:space="preserve"> בהתאם לפרשנות, יישומה מהווה שינוי במדיניות חשבונאית ומבוצע למפרע.</w:t>
      </w:r>
    </w:p>
    <w:p w14:paraId="6D5ED3B1" w14:textId="77777777" w:rsidR="00CE4C07" w:rsidRDefault="00CE4C07" w:rsidP="00CE4C07">
      <w:pPr>
        <w:ind w:left="1701"/>
        <w:rPr>
          <w:rFonts w:ascii="Narkisim" w:hAnsi="Narkisim"/>
          <w:rtl/>
        </w:rPr>
      </w:pPr>
    </w:p>
    <w:p w14:paraId="09A24D28" w14:textId="77777777" w:rsidR="009676FA" w:rsidRDefault="009676FA" w:rsidP="002B1E97">
      <w:pPr>
        <w:tabs>
          <w:tab w:val="left" w:pos="1134"/>
          <w:tab w:val="left" w:pos="1856"/>
        </w:tabs>
        <w:ind w:left="1777"/>
        <w:rPr>
          <w:rFonts w:ascii="Narkisim" w:hAnsi="Narkisim"/>
          <w:rtl/>
        </w:rPr>
      </w:pPr>
      <w:r w:rsidRPr="00F50D97">
        <w:rPr>
          <w:rFonts w:ascii="Narkisim" w:hAnsi="Narkisim" w:hint="cs"/>
          <w:rtl/>
        </w:rPr>
        <w:t xml:space="preserve">לחברה הלוואות והתחייבויות אחרות אשר כוללות אמות מידה פיננסיות מסוימות. החברה </w:t>
      </w:r>
      <w:r>
        <w:rPr>
          <w:rFonts w:ascii="Narkisim" w:hAnsi="Narkisim" w:hint="cs"/>
          <w:rtl/>
        </w:rPr>
        <w:t>בחנה</w:t>
      </w:r>
      <w:r w:rsidRPr="00F50D97">
        <w:rPr>
          <w:rFonts w:ascii="Narkisim" w:hAnsi="Narkisim" w:hint="cs"/>
          <w:rtl/>
        </w:rPr>
        <w:t xml:space="preserve"> יחד עם יועציה המשפטיים את תנאי הסכמי ההלוואות וההתחייבויות האחרות על מנת לאמוד את ההשלכות, אם בכלל, של </w:t>
      </w:r>
      <w:r>
        <w:rPr>
          <w:rFonts w:hint="cs"/>
          <w:u w:val="single"/>
          <w:rtl/>
        </w:rPr>
        <w:t xml:space="preserve">השינוי במדיניות החשבונאית </w:t>
      </w:r>
      <w:r w:rsidRPr="00F50D97">
        <w:rPr>
          <w:rFonts w:ascii="Narkisim" w:hAnsi="Narkisim" w:hint="cs"/>
          <w:rtl/>
        </w:rPr>
        <w:t xml:space="preserve">על העמידה הצפויה באמות המידה הפיננסיות שלה. </w:t>
      </w:r>
    </w:p>
    <w:p w14:paraId="3276B93F" w14:textId="77777777" w:rsidR="009676FA" w:rsidRDefault="009676FA" w:rsidP="002B1E97">
      <w:pPr>
        <w:tabs>
          <w:tab w:val="left" w:pos="1134"/>
          <w:tab w:val="left" w:pos="1856"/>
        </w:tabs>
        <w:ind w:left="1777"/>
        <w:rPr>
          <w:rFonts w:ascii="Narkisim" w:hAnsi="Narkisim"/>
          <w:rtl/>
        </w:rPr>
      </w:pPr>
    </w:p>
    <w:p w14:paraId="0FAD64D4" w14:textId="77777777" w:rsidR="009676FA" w:rsidRPr="00F50D97" w:rsidRDefault="009676FA" w:rsidP="002B1E97">
      <w:pPr>
        <w:tabs>
          <w:tab w:val="left" w:pos="1134"/>
          <w:tab w:val="left" w:pos="1856"/>
        </w:tabs>
        <w:ind w:left="1777"/>
        <w:rPr>
          <w:rFonts w:ascii="Narkisim" w:hAnsi="Narkisim"/>
          <w:rtl/>
        </w:rPr>
      </w:pPr>
      <w:r w:rsidRPr="00F50D97">
        <w:rPr>
          <w:rFonts w:ascii="Narkisim" w:hAnsi="Narkisim" w:hint="cs"/>
          <w:rtl/>
        </w:rPr>
        <w:t xml:space="preserve">החברה </w:t>
      </w:r>
      <w:r>
        <w:rPr>
          <w:rFonts w:ascii="Narkisim" w:hAnsi="Narkisim" w:hint="cs"/>
          <w:rtl/>
        </w:rPr>
        <w:t>הגיעה למסקנה</w:t>
      </w:r>
      <w:r w:rsidRPr="00F50D97">
        <w:rPr>
          <w:rFonts w:ascii="Narkisim" w:hAnsi="Narkisim" w:hint="cs"/>
          <w:rtl/>
        </w:rPr>
        <w:t xml:space="preserve"> כי </w:t>
      </w:r>
      <w:r>
        <w:rPr>
          <w:rFonts w:ascii="Narkisim" w:hAnsi="Narkisim" w:hint="cs"/>
          <w:rtl/>
        </w:rPr>
        <w:t>ל</w:t>
      </w:r>
      <w:r>
        <w:rPr>
          <w:rFonts w:hint="cs"/>
          <w:u w:val="single"/>
          <w:rtl/>
        </w:rPr>
        <w:t xml:space="preserve">שינוי במדיניות החשבונאית </w:t>
      </w:r>
      <w:r w:rsidRPr="00F50D97">
        <w:rPr>
          <w:rFonts w:ascii="Narkisim" w:hAnsi="Narkisim" w:hint="cs"/>
          <w:rtl/>
        </w:rPr>
        <w:t xml:space="preserve">לא </w:t>
      </w:r>
      <w:r>
        <w:rPr>
          <w:rFonts w:ascii="Narkisim" w:hAnsi="Narkisim" w:hint="cs"/>
          <w:rtl/>
        </w:rPr>
        <w:t>הייתה</w:t>
      </w:r>
      <w:r w:rsidRPr="00F50D97">
        <w:rPr>
          <w:rFonts w:ascii="Narkisim" w:hAnsi="Narkisim" w:hint="cs"/>
          <w:rtl/>
        </w:rPr>
        <w:t xml:space="preserve"> השפעה על העמידה באמות המידה הפיננסיות</w:t>
      </w:r>
      <w:r>
        <w:rPr>
          <w:rStyle w:val="ab"/>
          <w:rFonts w:ascii="Narkisim" w:hAnsi="Narkisim"/>
          <w:rtl/>
        </w:rPr>
        <w:footnoteReference w:id="83"/>
      </w:r>
      <w:r>
        <w:rPr>
          <w:rFonts w:ascii="Narkisim" w:hAnsi="Narkisim" w:hint="cs"/>
          <w:rtl/>
        </w:rPr>
        <w:t>.</w:t>
      </w:r>
    </w:p>
    <w:p w14:paraId="68989034" w14:textId="77777777" w:rsidR="009676FA" w:rsidRDefault="009676FA" w:rsidP="002B1E97">
      <w:pPr>
        <w:ind w:left="1777"/>
        <w:rPr>
          <w:rFonts w:ascii="Narkisim" w:hAnsi="Narkisim"/>
          <w:rtl/>
        </w:rPr>
      </w:pPr>
    </w:p>
    <w:p w14:paraId="2018E094" w14:textId="77777777" w:rsidR="00CE4C07" w:rsidRDefault="00CE4C07" w:rsidP="002B1E97">
      <w:pPr>
        <w:ind w:left="1777"/>
        <w:rPr>
          <w:rFonts w:ascii="Narkisim" w:hAnsi="Narkisim"/>
          <w:rtl/>
        </w:rPr>
      </w:pPr>
      <w:r>
        <w:rPr>
          <w:rFonts w:ascii="Narkisim" w:hAnsi="Narkisim" w:hint="cs"/>
          <w:rtl/>
        </w:rPr>
        <w:t>להלן השפעות יישום שינוי המדיניות החשבונאית על הדוחות הכספיים של החברה לתקופות קודמות:</w:t>
      </w:r>
    </w:p>
    <w:p w14:paraId="756C4822" w14:textId="77777777" w:rsidR="00CE4C07" w:rsidRDefault="00CE4C07" w:rsidP="00CE4C07">
      <w:pPr>
        <w:ind w:left="1701"/>
        <w:rPr>
          <w:rFonts w:ascii="Narkisim" w:hAnsi="Narkisim"/>
          <w:rtl/>
        </w:rPr>
      </w:pPr>
    </w:p>
    <w:p w14:paraId="7E292038" w14:textId="77777777" w:rsidR="002B1E97" w:rsidRDefault="002B1E97" w:rsidP="00CE4C07">
      <w:pPr>
        <w:pStyle w:val="afffffa"/>
        <w:ind w:left="2268" w:hanging="426"/>
        <w:rPr>
          <w:u w:val="single"/>
          <w:rtl/>
        </w:rPr>
      </w:pPr>
    </w:p>
    <w:p w14:paraId="0AC60B5E" w14:textId="77777777" w:rsidR="002B1E97" w:rsidRDefault="002B1E97" w:rsidP="00CE4C07">
      <w:pPr>
        <w:pStyle w:val="afffffa"/>
        <w:ind w:left="2268" w:hanging="426"/>
        <w:rPr>
          <w:u w:val="single"/>
          <w:rtl/>
        </w:rPr>
      </w:pPr>
    </w:p>
    <w:p w14:paraId="6AAED4E9" w14:textId="77777777" w:rsidR="002B1E97" w:rsidRDefault="002B1E97" w:rsidP="00CE4C07">
      <w:pPr>
        <w:pStyle w:val="afffffa"/>
        <w:ind w:left="2268" w:hanging="426"/>
        <w:rPr>
          <w:u w:val="single"/>
          <w:rtl/>
        </w:rPr>
      </w:pPr>
    </w:p>
    <w:p w14:paraId="502ADE96" w14:textId="77777777" w:rsidR="002B1E97" w:rsidRDefault="002B1E97" w:rsidP="00CE4C07">
      <w:pPr>
        <w:pStyle w:val="afffffa"/>
        <w:ind w:left="2268" w:hanging="426"/>
        <w:rPr>
          <w:u w:val="single"/>
          <w:rtl/>
        </w:rPr>
      </w:pPr>
    </w:p>
    <w:p w14:paraId="17AA0892" w14:textId="77777777" w:rsidR="002B1E97" w:rsidRDefault="002B1E97" w:rsidP="00CE4C07">
      <w:pPr>
        <w:pStyle w:val="afffffa"/>
        <w:ind w:left="2268" w:hanging="426"/>
        <w:rPr>
          <w:u w:val="single"/>
          <w:rtl/>
        </w:rPr>
      </w:pPr>
    </w:p>
    <w:p w14:paraId="711787FA" w14:textId="77777777" w:rsidR="002B1E97" w:rsidRDefault="002B1E97" w:rsidP="00CE4C07">
      <w:pPr>
        <w:pStyle w:val="afffffa"/>
        <w:ind w:left="2268" w:hanging="426"/>
        <w:rPr>
          <w:u w:val="single"/>
          <w:rtl/>
        </w:rPr>
      </w:pPr>
    </w:p>
    <w:p w14:paraId="2EC871D7" w14:textId="77777777" w:rsidR="002B1E97" w:rsidRDefault="002B1E97" w:rsidP="00CE4C07">
      <w:pPr>
        <w:pStyle w:val="afffffa"/>
        <w:ind w:left="2268" w:hanging="426"/>
        <w:rPr>
          <w:u w:val="single"/>
          <w:rtl/>
        </w:rPr>
      </w:pPr>
    </w:p>
    <w:p w14:paraId="5AC40DDC" w14:textId="77777777" w:rsidR="002B1E97" w:rsidRDefault="002B1E97" w:rsidP="00CE4C07">
      <w:pPr>
        <w:pStyle w:val="afffffa"/>
        <w:ind w:left="2268" w:hanging="426"/>
        <w:rPr>
          <w:u w:val="single"/>
          <w:rtl/>
        </w:rPr>
      </w:pPr>
    </w:p>
    <w:p w14:paraId="2E549913" w14:textId="77777777" w:rsidR="002B1E97" w:rsidRDefault="002B1E97" w:rsidP="00CE4C07">
      <w:pPr>
        <w:pStyle w:val="afffffa"/>
        <w:ind w:left="2268" w:hanging="426"/>
        <w:rPr>
          <w:u w:val="single"/>
          <w:rtl/>
        </w:rPr>
      </w:pPr>
    </w:p>
    <w:p w14:paraId="7E8133CF" w14:textId="77777777" w:rsidR="002B1E97" w:rsidRDefault="002B1E97" w:rsidP="00CE4C07">
      <w:pPr>
        <w:pStyle w:val="afffffa"/>
        <w:ind w:left="2268" w:hanging="426"/>
        <w:rPr>
          <w:u w:val="single"/>
          <w:rtl/>
        </w:rPr>
      </w:pPr>
    </w:p>
    <w:p w14:paraId="3DAD7819" w14:textId="77777777" w:rsidR="002B1E97" w:rsidRDefault="002B1E97" w:rsidP="00CE4C07">
      <w:pPr>
        <w:pStyle w:val="afffffa"/>
        <w:ind w:left="2268" w:hanging="426"/>
        <w:rPr>
          <w:u w:val="single"/>
          <w:rtl/>
        </w:rPr>
      </w:pPr>
    </w:p>
    <w:p w14:paraId="42E52023" w14:textId="77777777" w:rsidR="002B1E97" w:rsidRDefault="002B1E97" w:rsidP="00CE4C07">
      <w:pPr>
        <w:pStyle w:val="afffffa"/>
        <w:ind w:left="2268" w:hanging="426"/>
        <w:rPr>
          <w:u w:val="single"/>
          <w:rtl/>
        </w:rPr>
      </w:pPr>
    </w:p>
    <w:p w14:paraId="6B0EBC5F" w14:textId="77777777" w:rsidR="002B1E97" w:rsidRDefault="002B1E97" w:rsidP="00CE4C07">
      <w:pPr>
        <w:pStyle w:val="afffffa"/>
        <w:ind w:left="2268" w:hanging="426"/>
        <w:rPr>
          <w:u w:val="single"/>
          <w:rtl/>
        </w:rPr>
      </w:pPr>
    </w:p>
    <w:p w14:paraId="2F5D8AAA" w14:textId="77777777" w:rsidR="002B1E97" w:rsidRDefault="002B1E97" w:rsidP="00CE4C07">
      <w:pPr>
        <w:pStyle w:val="afffffa"/>
        <w:ind w:left="2268" w:hanging="426"/>
        <w:rPr>
          <w:u w:val="single"/>
          <w:rtl/>
        </w:rPr>
      </w:pPr>
    </w:p>
    <w:p w14:paraId="329D62DE" w14:textId="77777777" w:rsidR="002B1E97" w:rsidRDefault="002B1E97" w:rsidP="00CE4C07">
      <w:pPr>
        <w:pStyle w:val="afffffa"/>
        <w:ind w:left="2268" w:hanging="426"/>
        <w:rPr>
          <w:u w:val="single"/>
          <w:rtl/>
        </w:rPr>
      </w:pPr>
    </w:p>
    <w:p w14:paraId="5AE6A096" w14:textId="77777777" w:rsidR="002B1E97" w:rsidRDefault="002B1E97" w:rsidP="00CE4C07">
      <w:pPr>
        <w:pStyle w:val="afffffa"/>
        <w:ind w:left="2268" w:hanging="426"/>
        <w:rPr>
          <w:u w:val="single"/>
          <w:rtl/>
        </w:rPr>
      </w:pPr>
    </w:p>
    <w:p w14:paraId="5CAB6E56" w14:textId="77777777" w:rsidR="002B1E97" w:rsidRDefault="002B1E97" w:rsidP="00CE4C07">
      <w:pPr>
        <w:pStyle w:val="afffffa"/>
        <w:ind w:left="2268" w:hanging="426"/>
        <w:rPr>
          <w:u w:val="single"/>
          <w:rtl/>
        </w:rPr>
      </w:pPr>
    </w:p>
    <w:p w14:paraId="37B4BCE6" w14:textId="77777777" w:rsidR="002B1E97" w:rsidRDefault="002B1E97" w:rsidP="00CE4C07">
      <w:pPr>
        <w:pStyle w:val="afffffa"/>
        <w:ind w:left="2268" w:hanging="426"/>
        <w:rPr>
          <w:u w:val="single"/>
          <w:rtl/>
        </w:rPr>
      </w:pPr>
    </w:p>
    <w:p w14:paraId="18562B42" w14:textId="77777777" w:rsidR="002B1E97" w:rsidRPr="00351624" w:rsidRDefault="002B1E97" w:rsidP="002B1E97">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3CC64810" w14:textId="77777777" w:rsidR="002B1E97" w:rsidRPr="00351624" w:rsidRDefault="002B1E97" w:rsidP="002B1E97">
      <w:pPr>
        <w:tabs>
          <w:tab w:val="left" w:pos="1134"/>
        </w:tabs>
        <w:ind w:left="1134" w:hanging="1134"/>
        <w:rPr>
          <w:rtl/>
        </w:rPr>
      </w:pPr>
    </w:p>
    <w:p w14:paraId="1DC7536C" w14:textId="1D91106A" w:rsidR="002B1E97" w:rsidRPr="00ED7BA1" w:rsidRDefault="002B1E97" w:rsidP="002B1E97">
      <w:pPr>
        <w:pStyle w:val="21"/>
      </w:pPr>
      <w:r>
        <w:rPr>
          <w:rFonts w:hint="cs"/>
          <w:rtl/>
        </w:rPr>
        <w:t>ד</w:t>
      </w:r>
      <w:r w:rsidRPr="00831F9D">
        <w:rPr>
          <w:rFonts w:hint="cs"/>
          <w:rtl/>
        </w:rPr>
        <w:t xml:space="preserve">. </w:t>
      </w:r>
      <w:r>
        <w:rPr>
          <w:rtl/>
        </w:rPr>
        <w:tab/>
      </w:r>
      <w:r w:rsidRPr="003776A6">
        <w:rPr>
          <w:rFonts w:hint="cs"/>
          <w:u w:val="single"/>
          <w:rtl/>
        </w:rPr>
        <w:t>יישום למפרע בעקב</w:t>
      </w:r>
      <w:r>
        <w:rPr>
          <w:rFonts w:hint="cs"/>
          <w:u w:val="single"/>
          <w:rtl/>
        </w:rPr>
        <w:t>ות שינוי מדיניות</w:t>
      </w:r>
      <w:r>
        <w:rPr>
          <w:rFonts w:hint="cs"/>
          <w:rtl/>
        </w:rPr>
        <w:t xml:space="preserve"> (המשך)</w:t>
      </w:r>
    </w:p>
    <w:p w14:paraId="02D82643" w14:textId="77777777" w:rsidR="002B1E97" w:rsidRDefault="002B1E97" w:rsidP="002B1E97">
      <w:pPr>
        <w:pStyle w:val="30"/>
        <w:ind w:left="1701" w:firstLine="0"/>
        <w:rPr>
          <w:highlight w:val="lightGray"/>
          <w:u w:val="single"/>
          <w:rtl/>
        </w:rPr>
      </w:pPr>
    </w:p>
    <w:p w14:paraId="39408B84" w14:textId="77777777" w:rsidR="002B1E97" w:rsidRDefault="002B1E97" w:rsidP="002B1E97">
      <w:pPr>
        <w:pStyle w:val="30"/>
        <w:tabs>
          <w:tab w:val="clear" w:pos="1701"/>
          <w:tab w:val="clear" w:pos="2268"/>
          <w:tab w:val="left" w:pos="1417"/>
          <w:tab w:val="left" w:pos="1842"/>
        </w:tabs>
        <w:ind w:left="1701" w:hanging="284"/>
        <w:rPr>
          <w:u w:val="single"/>
          <w:rtl/>
        </w:rPr>
      </w:pPr>
      <w:r>
        <w:rPr>
          <w:rFonts w:hint="cs"/>
          <w:rtl/>
        </w:rPr>
        <w:t>2</w:t>
      </w:r>
      <w:r w:rsidRPr="00AC6EE8">
        <w:rPr>
          <w:rtl/>
        </w:rPr>
        <w:t xml:space="preserve">.   </w:t>
      </w:r>
      <w:r>
        <w:rPr>
          <w:rtl/>
        </w:rPr>
        <w:tab/>
      </w:r>
      <w:r>
        <w:rPr>
          <w:rFonts w:hint="cs"/>
          <w:u w:val="single"/>
          <w:rtl/>
        </w:rPr>
        <w:t>שינוי מדיניות חשבונאית בנושא היוון עלויות אשראי</w:t>
      </w:r>
      <w:r w:rsidRPr="00603732">
        <w:rPr>
          <w:rFonts w:hint="cs"/>
          <w:rtl/>
        </w:rPr>
        <w:t xml:space="preserve"> (המשך)</w:t>
      </w:r>
    </w:p>
    <w:p w14:paraId="5EF92D92" w14:textId="77777777" w:rsidR="002B1E97" w:rsidRDefault="002B1E97" w:rsidP="00CE4C07">
      <w:pPr>
        <w:pStyle w:val="afffffa"/>
        <w:ind w:left="2268" w:hanging="426"/>
        <w:rPr>
          <w:u w:val="single"/>
          <w:rtl/>
        </w:rPr>
      </w:pPr>
    </w:p>
    <w:p w14:paraId="56182D4C" w14:textId="77777777" w:rsidR="00CE4C07" w:rsidRDefault="00CE4C07" w:rsidP="00CE4C07">
      <w:pPr>
        <w:pStyle w:val="afffffa"/>
        <w:ind w:left="2268" w:hanging="426"/>
        <w:rPr>
          <w:rtl/>
        </w:rPr>
      </w:pPr>
      <w:r w:rsidRPr="004268CD">
        <w:rPr>
          <w:u w:val="single"/>
          <w:rtl/>
        </w:rPr>
        <w:t>ב</w:t>
      </w:r>
      <w:r w:rsidRPr="004268CD">
        <w:rPr>
          <w:rFonts w:hint="cs"/>
          <w:u w:val="single"/>
          <w:rtl/>
        </w:rPr>
        <w:t>דוחות המאוחדים על המצב הכספי</w:t>
      </w:r>
      <w:r>
        <w:rPr>
          <w:rStyle w:val="ab"/>
          <w:u w:val="single"/>
          <w:rtl/>
        </w:rPr>
        <w:footnoteReference w:id="84"/>
      </w:r>
    </w:p>
    <w:p w14:paraId="788E9AA4" w14:textId="77777777" w:rsidR="00CE4C07" w:rsidRDefault="00CE4C07" w:rsidP="00CE4C07">
      <w:pPr>
        <w:ind w:left="1701"/>
        <w:rPr>
          <w:rFonts w:ascii="Narkisim" w:hAnsi="Narkisim"/>
          <w:rtl/>
        </w:rPr>
      </w:pPr>
    </w:p>
    <w:tbl>
      <w:tblPr>
        <w:bidiVisual/>
        <w:tblW w:w="7209" w:type="dxa"/>
        <w:tblInd w:w="2286" w:type="dxa"/>
        <w:tblLayout w:type="fixed"/>
        <w:tblCellMar>
          <w:left w:w="0" w:type="dxa"/>
          <w:right w:w="0" w:type="dxa"/>
        </w:tblCellMar>
        <w:tblLook w:val="0000" w:firstRow="0" w:lastRow="0" w:firstColumn="0" w:lastColumn="0" w:noHBand="0" w:noVBand="0"/>
      </w:tblPr>
      <w:tblGrid>
        <w:gridCol w:w="3100"/>
        <w:gridCol w:w="142"/>
        <w:gridCol w:w="1132"/>
        <w:gridCol w:w="141"/>
        <w:gridCol w:w="1276"/>
        <w:gridCol w:w="142"/>
        <w:gridCol w:w="1276"/>
      </w:tblGrid>
      <w:tr w:rsidR="00CE4C07" w:rsidRPr="00C454B8" w14:paraId="141F46BE" w14:textId="77777777" w:rsidTr="0056132D">
        <w:tc>
          <w:tcPr>
            <w:tcW w:w="3100" w:type="dxa"/>
            <w:vAlign w:val="bottom"/>
          </w:tcPr>
          <w:p w14:paraId="11CF8436" w14:textId="77777777" w:rsidR="00CE4C07" w:rsidRPr="00C454B8" w:rsidRDefault="00CE4C07" w:rsidP="0056132D">
            <w:pPr>
              <w:pStyle w:val="a3"/>
              <w:tabs>
                <w:tab w:val="left" w:pos="227"/>
                <w:tab w:val="left" w:pos="397"/>
                <w:tab w:val="left" w:pos="567"/>
              </w:tabs>
              <w:rPr>
                <w:sz w:val="22"/>
                <w:rtl/>
              </w:rPr>
            </w:pPr>
          </w:p>
        </w:tc>
        <w:tc>
          <w:tcPr>
            <w:tcW w:w="142" w:type="dxa"/>
            <w:vAlign w:val="bottom"/>
          </w:tcPr>
          <w:p w14:paraId="610FBE31" w14:textId="77777777" w:rsidR="00CE4C07" w:rsidRPr="0074065E" w:rsidRDefault="00CE4C07" w:rsidP="0056132D">
            <w:pPr>
              <w:spacing w:line="240" w:lineRule="exact"/>
              <w:jc w:val="center"/>
              <w:rPr>
                <w:rtl/>
              </w:rPr>
            </w:pPr>
          </w:p>
        </w:tc>
        <w:tc>
          <w:tcPr>
            <w:tcW w:w="1132" w:type="dxa"/>
            <w:tcBorders>
              <w:bottom w:val="single" w:sz="6" w:space="0" w:color="auto"/>
            </w:tcBorders>
            <w:shd w:val="clear" w:color="auto" w:fill="auto"/>
            <w:vAlign w:val="bottom"/>
          </w:tcPr>
          <w:p w14:paraId="34004EF2" w14:textId="77777777" w:rsidR="00CE4C07" w:rsidRPr="0074065E" w:rsidRDefault="00CE4C07" w:rsidP="0056132D">
            <w:pPr>
              <w:spacing w:line="240" w:lineRule="exact"/>
              <w:jc w:val="center"/>
              <w:rPr>
                <w:rtl/>
              </w:rPr>
            </w:pPr>
            <w:r>
              <w:rPr>
                <w:rFonts w:hint="cs"/>
                <w:rtl/>
              </w:rPr>
              <w:t xml:space="preserve"> כפי שדווח בעבר</w:t>
            </w:r>
          </w:p>
        </w:tc>
        <w:tc>
          <w:tcPr>
            <w:tcW w:w="141" w:type="dxa"/>
            <w:vAlign w:val="bottom"/>
          </w:tcPr>
          <w:p w14:paraId="0AE15808" w14:textId="77777777" w:rsidR="00CE4C07" w:rsidRPr="0074065E" w:rsidRDefault="00CE4C07" w:rsidP="0056132D">
            <w:pPr>
              <w:spacing w:line="240" w:lineRule="exact"/>
              <w:jc w:val="center"/>
              <w:rPr>
                <w:rtl/>
              </w:rPr>
            </w:pPr>
          </w:p>
        </w:tc>
        <w:tc>
          <w:tcPr>
            <w:tcW w:w="1276" w:type="dxa"/>
            <w:tcBorders>
              <w:bottom w:val="single" w:sz="6" w:space="0" w:color="auto"/>
            </w:tcBorders>
            <w:vAlign w:val="bottom"/>
          </w:tcPr>
          <w:p w14:paraId="01FAF4A4" w14:textId="77777777" w:rsidR="00CE4C07" w:rsidRPr="0074065E" w:rsidRDefault="00CE4C07" w:rsidP="0056132D">
            <w:pPr>
              <w:spacing w:line="240" w:lineRule="exact"/>
              <w:jc w:val="center"/>
              <w:rPr>
                <w:rtl/>
              </w:rPr>
            </w:pPr>
            <w:r>
              <w:rPr>
                <w:rFonts w:hint="cs"/>
                <w:rtl/>
              </w:rPr>
              <w:t xml:space="preserve">השינוי </w:t>
            </w:r>
          </w:p>
        </w:tc>
        <w:tc>
          <w:tcPr>
            <w:tcW w:w="142" w:type="dxa"/>
            <w:vAlign w:val="bottom"/>
          </w:tcPr>
          <w:p w14:paraId="1387E0DE" w14:textId="77777777" w:rsidR="00CE4C07" w:rsidRPr="0074065E" w:rsidRDefault="00CE4C07" w:rsidP="0056132D">
            <w:pPr>
              <w:spacing w:line="240" w:lineRule="exact"/>
              <w:jc w:val="center"/>
              <w:rPr>
                <w:rtl/>
              </w:rPr>
            </w:pPr>
          </w:p>
        </w:tc>
        <w:tc>
          <w:tcPr>
            <w:tcW w:w="1276" w:type="dxa"/>
            <w:tcBorders>
              <w:bottom w:val="single" w:sz="6" w:space="0" w:color="auto"/>
            </w:tcBorders>
            <w:vAlign w:val="bottom"/>
          </w:tcPr>
          <w:p w14:paraId="5ECA5B59" w14:textId="77777777" w:rsidR="00CE4C07" w:rsidRPr="0074065E" w:rsidRDefault="00CE4C07" w:rsidP="0056132D">
            <w:pPr>
              <w:spacing w:line="240" w:lineRule="exact"/>
              <w:jc w:val="center"/>
              <w:rPr>
                <w:rtl/>
              </w:rPr>
            </w:pPr>
            <w:r>
              <w:rPr>
                <w:rFonts w:hint="cs"/>
                <w:rtl/>
              </w:rPr>
              <w:t xml:space="preserve"> כמוצג בדוחות כספיים אלה</w:t>
            </w:r>
          </w:p>
        </w:tc>
      </w:tr>
      <w:tr w:rsidR="00CE4C07" w:rsidRPr="00C454B8" w14:paraId="59368DE3" w14:textId="77777777" w:rsidTr="0056132D">
        <w:tc>
          <w:tcPr>
            <w:tcW w:w="3100" w:type="dxa"/>
            <w:vAlign w:val="bottom"/>
          </w:tcPr>
          <w:p w14:paraId="0EE99F99" w14:textId="77777777" w:rsidR="00CE4C07" w:rsidRPr="00C454B8" w:rsidRDefault="00CE4C07" w:rsidP="0056132D">
            <w:pPr>
              <w:pStyle w:val="a3"/>
              <w:tabs>
                <w:tab w:val="left" w:pos="227"/>
                <w:tab w:val="left" w:pos="397"/>
                <w:tab w:val="left" w:pos="567"/>
              </w:tabs>
              <w:rPr>
                <w:sz w:val="22"/>
                <w:rtl/>
              </w:rPr>
            </w:pPr>
          </w:p>
        </w:tc>
        <w:tc>
          <w:tcPr>
            <w:tcW w:w="142" w:type="dxa"/>
            <w:vAlign w:val="bottom"/>
          </w:tcPr>
          <w:p w14:paraId="339C6961" w14:textId="77777777" w:rsidR="00CE4C07" w:rsidRPr="0074065E" w:rsidRDefault="00CE4C07" w:rsidP="0056132D">
            <w:pPr>
              <w:spacing w:line="240" w:lineRule="exact"/>
              <w:rPr>
                <w:rtl/>
              </w:rPr>
            </w:pPr>
          </w:p>
        </w:tc>
        <w:tc>
          <w:tcPr>
            <w:tcW w:w="3967" w:type="dxa"/>
            <w:gridSpan w:val="5"/>
            <w:tcBorders>
              <w:bottom w:val="single" w:sz="6" w:space="0" w:color="auto"/>
            </w:tcBorders>
            <w:shd w:val="clear" w:color="auto" w:fill="auto"/>
            <w:vAlign w:val="bottom"/>
          </w:tcPr>
          <w:p w14:paraId="12837BF1" w14:textId="77777777" w:rsidR="00CE4C07" w:rsidRPr="0074065E" w:rsidRDefault="00CE4C07" w:rsidP="0056132D">
            <w:pPr>
              <w:tabs>
                <w:tab w:val="decimal" w:pos="113"/>
              </w:tabs>
              <w:spacing w:line="240" w:lineRule="exact"/>
              <w:jc w:val="center"/>
              <w:rPr>
                <w:rtl/>
              </w:rPr>
            </w:pPr>
            <w:r>
              <w:rPr>
                <w:rFonts w:hint="cs"/>
                <w:rtl/>
              </w:rPr>
              <w:t>אלפי ש"ח</w:t>
            </w:r>
          </w:p>
        </w:tc>
      </w:tr>
      <w:tr w:rsidR="00CE4C07" w:rsidRPr="00C454B8" w14:paraId="028918CC" w14:textId="77777777" w:rsidTr="0056132D">
        <w:tc>
          <w:tcPr>
            <w:tcW w:w="3100" w:type="dxa"/>
            <w:vAlign w:val="bottom"/>
          </w:tcPr>
          <w:p w14:paraId="1CEE264B" w14:textId="77777777" w:rsidR="00CE4C07" w:rsidRPr="00C454B8" w:rsidRDefault="00CE4C07" w:rsidP="0056132D">
            <w:pPr>
              <w:pStyle w:val="a3"/>
              <w:tabs>
                <w:tab w:val="left" w:pos="227"/>
                <w:tab w:val="left" w:pos="397"/>
                <w:tab w:val="left" w:pos="567"/>
              </w:tabs>
              <w:rPr>
                <w:sz w:val="22"/>
                <w:u w:val="single"/>
                <w:rtl/>
              </w:rPr>
            </w:pPr>
            <w:r w:rsidRPr="00C454B8">
              <w:rPr>
                <w:sz w:val="22"/>
                <w:u w:val="single"/>
                <w:rtl/>
              </w:rPr>
              <w:t xml:space="preserve">ליום </w:t>
            </w:r>
            <w:r>
              <w:rPr>
                <w:rFonts w:hint="cs"/>
                <w:sz w:val="22"/>
                <w:u w:val="single"/>
                <w:rtl/>
              </w:rPr>
              <w:t>1</w:t>
            </w:r>
            <w:r w:rsidRPr="00C454B8">
              <w:rPr>
                <w:sz w:val="22"/>
                <w:u w:val="single"/>
                <w:rtl/>
              </w:rPr>
              <w:t xml:space="preserve"> </w:t>
            </w:r>
            <w:r>
              <w:rPr>
                <w:rFonts w:hint="cs"/>
                <w:sz w:val="22"/>
                <w:u w:val="single"/>
                <w:rtl/>
              </w:rPr>
              <w:t>בינואר</w:t>
            </w:r>
            <w:r w:rsidRPr="00C454B8">
              <w:rPr>
                <w:sz w:val="22"/>
                <w:u w:val="single"/>
                <w:rtl/>
              </w:rPr>
              <w:t xml:space="preserve">, </w:t>
            </w:r>
            <w:r>
              <w:rPr>
                <w:rFonts w:hint="cs"/>
                <w:sz w:val="22"/>
                <w:u w:val="single"/>
                <w:rtl/>
              </w:rPr>
              <w:t>2018</w:t>
            </w:r>
          </w:p>
        </w:tc>
        <w:tc>
          <w:tcPr>
            <w:tcW w:w="142" w:type="dxa"/>
            <w:vAlign w:val="bottom"/>
          </w:tcPr>
          <w:p w14:paraId="773FC324" w14:textId="77777777" w:rsidR="00CE4C07" w:rsidRPr="0074065E" w:rsidRDefault="00CE4C07" w:rsidP="0056132D">
            <w:pPr>
              <w:spacing w:line="240" w:lineRule="exact"/>
              <w:rPr>
                <w:rtl/>
              </w:rPr>
            </w:pPr>
          </w:p>
        </w:tc>
        <w:tc>
          <w:tcPr>
            <w:tcW w:w="1132" w:type="dxa"/>
            <w:vAlign w:val="bottom"/>
          </w:tcPr>
          <w:p w14:paraId="642E293F" w14:textId="77777777" w:rsidR="00CE4C07" w:rsidRPr="0074065E" w:rsidRDefault="00CE4C07" w:rsidP="0056132D">
            <w:pPr>
              <w:spacing w:line="240" w:lineRule="exact"/>
              <w:rPr>
                <w:rtl/>
              </w:rPr>
            </w:pPr>
          </w:p>
        </w:tc>
        <w:tc>
          <w:tcPr>
            <w:tcW w:w="141" w:type="dxa"/>
            <w:vAlign w:val="bottom"/>
          </w:tcPr>
          <w:p w14:paraId="59F148C0" w14:textId="77777777" w:rsidR="00CE4C07" w:rsidRPr="0074065E" w:rsidRDefault="00CE4C07" w:rsidP="0056132D">
            <w:pPr>
              <w:spacing w:line="240" w:lineRule="exact"/>
              <w:rPr>
                <w:rtl/>
              </w:rPr>
            </w:pPr>
          </w:p>
        </w:tc>
        <w:tc>
          <w:tcPr>
            <w:tcW w:w="1276" w:type="dxa"/>
            <w:vAlign w:val="bottom"/>
          </w:tcPr>
          <w:p w14:paraId="1880D90D" w14:textId="77777777" w:rsidR="00CE4C07" w:rsidRPr="0074065E" w:rsidRDefault="00CE4C07" w:rsidP="0056132D">
            <w:pPr>
              <w:tabs>
                <w:tab w:val="decimal" w:pos="113"/>
              </w:tabs>
              <w:spacing w:line="240" w:lineRule="exact"/>
              <w:rPr>
                <w:rtl/>
              </w:rPr>
            </w:pPr>
          </w:p>
        </w:tc>
        <w:tc>
          <w:tcPr>
            <w:tcW w:w="142" w:type="dxa"/>
            <w:vAlign w:val="bottom"/>
          </w:tcPr>
          <w:p w14:paraId="22137F66" w14:textId="77777777" w:rsidR="00CE4C07" w:rsidRPr="0074065E" w:rsidRDefault="00CE4C07" w:rsidP="0056132D">
            <w:pPr>
              <w:tabs>
                <w:tab w:val="decimal" w:pos="113"/>
              </w:tabs>
              <w:spacing w:line="240" w:lineRule="exact"/>
              <w:rPr>
                <w:rtl/>
              </w:rPr>
            </w:pPr>
          </w:p>
        </w:tc>
        <w:tc>
          <w:tcPr>
            <w:tcW w:w="1276" w:type="dxa"/>
            <w:vAlign w:val="bottom"/>
          </w:tcPr>
          <w:p w14:paraId="610B1DF5" w14:textId="77777777" w:rsidR="00CE4C07" w:rsidRPr="0074065E" w:rsidRDefault="00CE4C07" w:rsidP="0056132D">
            <w:pPr>
              <w:tabs>
                <w:tab w:val="decimal" w:pos="113"/>
              </w:tabs>
              <w:spacing w:line="240" w:lineRule="exact"/>
              <w:rPr>
                <w:rtl/>
              </w:rPr>
            </w:pPr>
          </w:p>
        </w:tc>
      </w:tr>
      <w:tr w:rsidR="00CE4C07" w:rsidRPr="00C454B8" w14:paraId="55B7F060" w14:textId="77777777" w:rsidTr="0056132D">
        <w:tc>
          <w:tcPr>
            <w:tcW w:w="3100" w:type="dxa"/>
            <w:vAlign w:val="bottom"/>
          </w:tcPr>
          <w:p w14:paraId="608906F3" w14:textId="77777777" w:rsidR="00CE4C07" w:rsidRPr="00C454B8" w:rsidRDefault="00CE4C07" w:rsidP="0056132D">
            <w:pPr>
              <w:pStyle w:val="a3"/>
              <w:tabs>
                <w:tab w:val="left" w:pos="227"/>
                <w:tab w:val="left" w:pos="397"/>
                <w:tab w:val="left" w:pos="567"/>
              </w:tabs>
              <w:rPr>
                <w:sz w:val="22"/>
                <w:u w:val="single"/>
                <w:rtl/>
              </w:rPr>
            </w:pPr>
          </w:p>
        </w:tc>
        <w:tc>
          <w:tcPr>
            <w:tcW w:w="142" w:type="dxa"/>
            <w:vAlign w:val="bottom"/>
          </w:tcPr>
          <w:p w14:paraId="03DC8501" w14:textId="77777777" w:rsidR="00CE4C07" w:rsidRPr="0074065E" w:rsidRDefault="00CE4C07" w:rsidP="0056132D">
            <w:pPr>
              <w:spacing w:line="240" w:lineRule="exact"/>
              <w:rPr>
                <w:rtl/>
              </w:rPr>
            </w:pPr>
          </w:p>
        </w:tc>
        <w:tc>
          <w:tcPr>
            <w:tcW w:w="1132" w:type="dxa"/>
            <w:vAlign w:val="bottom"/>
          </w:tcPr>
          <w:p w14:paraId="3DE730FC" w14:textId="77777777" w:rsidR="00CE4C07" w:rsidRPr="0074065E" w:rsidRDefault="00CE4C07" w:rsidP="0056132D">
            <w:pPr>
              <w:spacing w:line="240" w:lineRule="exact"/>
              <w:rPr>
                <w:rtl/>
              </w:rPr>
            </w:pPr>
          </w:p>
        </w:tc>
        <w:tc>
          <w:tcPr>
            <w:tcW w:w="141" w:type="dxa"/>
            <w:vAlign w:val="bottom"/>
          </w:tcPr>
          <w:p w14:paraId="694F012C" w14:textId="77777777" w:rsidR="00CE4C07" w:rsidRPr="0074065E" w:rsidRDefault="00CE4C07" w:rsidP="0056132D">
            <w:pPr>
              <w:spacing w:line="240" w:lineRule="exact"/>
              <w:rPr>
                <w:rtl/>
              </w:rPr>
            </w:pPr>
          </w:p>
        </w:tc>
        <w:tc>
          <w:tcPr>
            <w:tcW w:w="1276" w:type="dxa"/>
            <w:vAlign w:val="bottom"/>
          </w:tcPr>
          <w:p w14:paraId="16ECD5B8" w14:textId="77777777" w:rsidR="00CE4C07" w:rsidRPr="0074065E" w:rsidRDefault="00CE4C07" w:rsidP="0056132D">
            <w:pPr>
              <w:tabs>
                <w:tab w:val="decimal" w:pos="113"/>
              </w:tabs>
              <w:spacing w:line="240" w:lineRule="exact"/>
              <w:rPr>
                <w:rtl/>
              </w:rPr>
            </w:pPr>
          </w:p>
        </w:tc>
        <w:tc>
          <w:tcPr>
            <w:tcW w:w="142" w:type="dxa"/>
            <w:vAlign w:val="bottom"/>
          </w:tcPr>
          <w:p w14:paraId="16CFBA6E" w14:textId="77777777" w:rsidR="00CE4C07" w:rsidRPr="0074065E" w:rsidRDefault="00CE4C07" w:rsidP="0056132D">
            <w:pPr>
              <w:tabs>
                <w:tab w:val="decimal" w:pos="113"/>
              </w:tabs>
              <w:spacing w:line="240" w:lineRule="exact"/>
              <w:rPr>
                <w:rtl/>
              </w:rPr>
            </w:pPr>
          </w:p>
        </w:tc>
        <w:tc>
          <w:tcPr>
            <w:tcW w:w="1276" w:type="dxa"/>
            <w:vAlign w:val="bottom"/>
          </w:tcPr>
          <w:p w14:paraId="3A2FC57C" w14:textId="77777777" w:rsidR="00CE4C07" w:rsidRPr="0074065E" w:rsidRDefault="00CE4C07" w:rsidP="0056132D">
            <w:pPr>
              <w:tabs>
                <w:tab w:val="decimal" w:pos="113"/>
              </w:tabs>
              <w:spacing w:line="240" w:lineRule="exact"/>
              <w:rPr>
                <w:rtl/>
              </w:rPr>
            </w:pPr>
          </w:p>
        </w:tc>
      </w:tr>
      <w:tr w:rsidR="00CE4C07" w:rsidRPr="00C454B8" w14:paraId="44BDD3ED" w14:textId="77777777" w:rsidTr="0056132D">
        <w:tc>
          <w:tcPr>
            <w:tcW w:w="3100" w:type="dxa"/>
            <w:vAlign w:val="bottom"/>
          </w:tcPr>
          <w:p w14:paraId="0C8D73E9" w14:textId="77777777" w:rsidR="00CE4C07" w:rsidRPr="00C454B8" w:rsidRDefault="00CE4C07" w:rsidP="0056132D">
            <w:pPr>
              <w:pStyle w:val="a3"/>
              <w:tabs>
                <w:tab w:val="left" w:pos="227"/>
                <w:tab w:val="left" w:pos="397"/>
                <w:tab w:val="left" w:pos="567"/>
              </w:tabs>
              <w:rPr>
                <w:sz w:val="22"/>
                <w:u w:val="single"/>
                <w:rtl/>
              </w:rPr>
            </w:pPr>
            <w:r>
              <w:rPr>
                <w:rFonts w:hint="cs"/>
                <w:sz w:val="22"/>
                <w:rtl/>
              </w:rPr>
              <w:t>יתרת רווח (הפסד)</w:t>
            </w:r>
          </w:p>
        </w:tc>
        <w:tc>
          <w:tcPr>
            <w:tcW w:w="142" w:type="dxa"/>
            <w:vAlign w:val="bottom"/>
          </w:tcPr>
          <w:p w14:paraId="29A46DBD" w14:textId="77777777" w:rsidR="00CE4C07" w:rsidRPr="0074065E" w:rsidRDefault="00CE4C07" w:rsidP="0056132D">
            <w:pPr>
              <w:spacing w:line="240" w:lineRule="exact"/>
              <w:rPr>
                <w:rtl/>
              </w:rPr>
            </w:pPr>
          </w:p>
        </w:tc>
        <w:tc>
          <w:tcPr>
            <w:tcW w:w="1132" w:type="dxa"/>
            <w:tcBorders>
              <w:bottom w:val="double" w:sz="4" w:space="0" w:color="auto"/>
            </w:tcBorders>
            <w:vAlign w:val="bottom"/>
          </w:tcPr>
          <w:p w14:paraId="2412B910" w14:textId="77777777" w:rsidR="00CE4C07" w:rsidRPr="0074065E" w:rsidRDefault="00CE4C07" w:rsidP="0056132D">
            <w:pPr>
              <w:spacing w:line="240" w:lineRule="exact"/>
              <w:rPr>
                <w:rtl/>
              </w:rPr>
            </w:pPr>
          </w:p>
        </w:tc>
        <w:tc>
          <w:tcPr>
            <w:tcW w:w="141" w:type="dxa"/>
            <w:vAlign w:val="bottom"/>
          </w:tcPr>
          <w:p w14:paraId="7D5266A3"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5D387486" w14:textId="77777777" w:rsidR="00CE4C07" w:rsidRPr="0074065E" w:rsidRDefault="00CE4C07" w:rsidP="0056132D">
            <w:pPr>
              <w:tabs>
                <w:tab w:val="decimal" w:pos="113"/>
              </w:tabs>
              <w:spacing w:line="240" w:lineRule="exact"/>
              <w:rPr>
                <w:rtl/>
              </w:rPr>
            </w:pPr>
          </w:p>
        </w:tc>
        <w:tc>
          <w:tcPr>
            <w:tcW w:w="142" w:type="dxa"/>
            <w:vAlign w:val="bottom"/>
          </w:tcPr>
          <w:p w14:paraId="59DB1584" w14:textId="77777777" w:rsidR="00CE4C07" w:rsidRPr="0074065E" w:rsidRDefault="00CE4C07" w:rsidP="0056132D">
            <w:pPr>
              <w:tabs>
                <w:tab w:val="decimal" w:pos="113"/>
              </w:tabs>
              <w:spacing w:line="240" w:lineRule="exact"/>
              <w:rPr>
                <w:rtl/>
              </w:rPr>
            </w:pPr>
          </w:p>
        </w:tc>
        <w:tc>
          <w:tcPr>
            <w:tcW w:w="1276" w:type="dxa"/>
            <w:tcBorders>
              <w:bottom w:val="double" w:sz="4" w:space="0" w:color="auto"/>
            </w:tcBorders>
            <w:vAlign w:val="bottom"/>
          </w:tcPr>
          <w:p w14:paraId="44D544D1" w14:textId="77777777" w:rsidR="00CE4C07" w:rsidRPr="0074065E" w:rsidRDefault="00CE4C07" w:rsidP="0056132D">
            <w:pPr>
              <w:tabs>
                <w:tab w:val="decimal" w:pos="113"/>
              </w:tabs>
              <w:spacing w:line="240" w:lineRule="exact"/>
              <w:rPr>
                <w:rtl/>
              </w:rPr>
            </w:pPr>
          </w:p>
        </w:tc>
      </w:tr>
      <w:tr w:rsidR="00CE4C07" w:rsidRPr="00C454B8" w14:paraId="5C100AA2" w14:textId="77777777" w:rsidTr="0056132D">
        <w:tc>
          <w:tcPr>
            <w:tcW w:w="3100" w:type="dxa"/>
            <w:vAlign w:val="bottom"/>
          </w:tcPr>
          <w:p w14:paraId="4178084F" w14:textId="77777777" w:rsidR="00CE4C07" w:rsidRDefault="00CE4C07" w:rsidP="0056132D">
            <w:pPr>
              <w:pStyle w:val="a3"/>
              <w:tabs>
                <w:tab w:val="left" w:pos="227"/>
                <w:tab w:val="left" w:pos="397"/>
                <w:tab w:val="left" w:pos="567"/>
              </w:tabs>
              <w:rPr>
                <w:sz w:val="22"/>
                <w:rtl/>
              </w:rPr>
            </w:pPr>
          </w:p>
        </w:tc>
        <w:tc>
          <w:tcPr>
            <w:tcW w:w="142" w:type="dxa"/>
            <w:vAlign w:val="bottom"/>
          </w:tcPr>
          <w:p w14:paraId="34E3970A" w14:textId="77777777" w:rsidR="00CE4C07" w:rsidRPr="0074065E" w:rsidRDefault="00CE4C07" w:rsidP="0056132D">
            <w:pPr>
              <w:spacing w:line="240" w:lineRule="exact"/>
              <w:rPr>
                <w:rtl/>
              </w:rPr>
            </w:pPr>
          </w:p>
        </w:tc>
        <w:tc>
          <w:tcPr>
            <w:tcW w:w="1132" w:type="dxa"/>
            <w:tcBorders>
              <w:top w:val="double" w:sz="4" w:space="0" w:color="auto"/>
            </w:tcBorders>
            <w:vAlign w:val="bottom"/>
          </w:tcPr>
          <w:p w14:paraId="1A263A65" w14:textId="77777777" w:rsidR="00CE4C07" w:rsidRPr="0074065E" w:rsidRDefault="00CE4C07" w:rsidP="0056132D">
            <w:pPr>
              <w:spacing w:line="240" w:lineRule="exact"/>
              <w:rPr>
                <w:rtl/>
              </w:rPr>
            </w:pPr>
          </w:p>
        </w:tc>
        <w:tc>
          <w:tcPr>
            <w:tcW w:w="141" w:type="dxa"/>
            <w:vAlign w:val="bottom"/>
          </w:tcPr>
          <w:p w14:paraId="479AED69" w14:textId="77777777" w:rsidR="00CE4C07" w:rsidRPr="0074065E" w:rsidRDefault="00CE4C07" w:rsidP="0056132D">
            <w:pPr>
              <w:spacing w:line="240" w:lineRule="exact"/>
              <w:rPr>
                <w:rtl/>
              </w:rPr>
            </w:pPr>
          </w:p>
        </w:tc>
        <w:tc>
          <w:tcPr>
            <w:tcW w:w="1276" w:type="dxa"/>
            <w:tcBorders>
              <w:top w:val="double" w:sz="4" w:space="0" w:color="auto"/>
            </w:tcBorders>
            <w:vAlign w:val="bottom"/>
          </w:tcPr>
          <w:p w14:paraId="1D92C23E" w14:textId="77777777" w:rsidR="00CE4C07" w:rsidRPr="0074065E" w:rsidRDefault="00CE4C07" w:rsidP="0056132D">
            <w:pPr>
              <w:tabs>
                <w:tab w:val="decimal" w:pos="113"/>
              </w:tabs>
              <w:spacing w:line="240" w:lineRule="exact"/>
              <w:rPr>
                <w:rtl/>
              </w:rPr>
            </w:pPr>
          </w:p>
        </w:tc>
        <w:tc>
          <w:tcPr>
            <w:tcW w:w="142" w:type="dxa"/>
            <w:vAlign w:val="bottom"/>
          </w:tcPr>
          <w:p w14:paraId="223289FC" w14:textId="77777777" w:rsidR="00CE4C07" w:rsidRPr="0074065E" w:rsidRDefault="00CE4C07" w:rsidP="0056132D">
            <w:pPr>
              <w:tabs>
                <w:tab w:val="decimal" w:pos="113"/>
              </w:tabs>
              <w:spacing w:line="240" w:lineRule="exact"/>
              <w:rPr>
                <w:rtl/>
              </w:rPr>
            </w:pPr>
          </w:p>
        </w:tc>
        <w:tc>
          <w:tcPr>
            <w:tcW w:w="1276" w:type="dxa"/>
            <w:tcBorders>
              <w:top w:val="double" w:sz="4" w:space="0" w:color="auto"/>
            </w:tcBorders>
            <w:vAlign w:val="bottom"/>
          </w:tcPr>
          <w:p w14:paraId="07E44AA3" w14:textId="77777777" w:rsidR="00CE4C07" w:rsidRPr="0074065E" w:rsidRDefault="00CE4C07" w:rsidP="0056132D">
            <w:pPr>
              <w:tabs>
                <w:tab w:val="decimal" w:pos="113"/>
              </w:tabs>
              <w:spacing w:line="240" w:lineRule="exact"/>
              <w:rPr>
                <w:rtl/>
              </w:rPr>
            </w:pPr>
          </w:p>
        </w:tc>
      </w:tr>
      <w:tr w:rsidR="00CE4C07" w:rsidRPr="00C454B8" w14:paraId="13C83738" w14:textId="77777777" w:rsidTr="0056132D">
        <w:tc>
          <w:tcPr>
            <w:tcW w:w="3100" w:type="dxa"/>
            <w:vAlign w:val="bottom"/>
          </w:tcPr>
          <w:p w14:paraId="6E74C443" w14:textId="77777777" w:rsidR="00CE4C07" w:rsidRPr="00C454B8" w:rsidRDefault="00CE4C07" w:rsidP="0056132D">
            <w:pPr>
              <w:pStyle w:val="a3"/>
              <w:tabs>
                <w:tab w:val="left" w:pos="227"/>
                <w:tab w:val="left" w:pos="397"/>
                <w:tab w:val="left" w:pos="567"/>
              </w:tabs>
              <w:rPr>
                <w:sz w:val="22"/>
                <w:rtl/>
              </w:rPr>
            </w:pPr>
          </w:p>
        </w:tc>
        <w:tc>
          <w:tcPr>
            <w:tcW w:w="142" w:type="dxa"/>
            <w:vAlign w:val="bottom"/>
          </w:tcPr>
          <w:p w14:paraId="109A2F43" w14:textId="77777777" w:rsidR="00CE4C07" w:rsidRPr="0074065E" w:rsidRDefault="00CE4C07" w:rsidP="0056132D">
            <w:pPr>
              <w:spacing w:line="240" w:lineRule="exact"/>
              <w:jc w:val="center"/>
              <w:rPr>
                <w:rtl/>
              </w:rPr>
            </w:pPr>
          </w:p>
        </w:tc>
        <w:tc>
          <w:tcPr>
            <w:tcW w:w="1132" w:type="dxa"/>
            <w:tcBorders>
              <w:bottom w:val="single" w:sz="6" w:space="0" w:color="auto"/>
            </w:tcBorders>
            <w:shd w:val="clear" w:color="auto" w:fill="auto"/>
            <w:vAlign w:val="bottom"/>
          </w:tcPr>
          <w:p w14:paraId="0613C6A1" w14:textId="77777777" w:rsidR="00CE4C07" w:rsidRPr="0074065E" w:rsidRDefault="00CE4C07" w:rsidP="0056132D">
            <w:pPr>
              <w:spacing w:line="240" w:lineRule="exact"/>
              <w:jc w:val="center"/>
              <w:rPr>
                <w:rtl/>
              </w:rPr>
            </w:pPr>
            <w:r>
              <w:rPr>
                <w:rFonts w:hint="cs"/>
                <w:rtl/>
              </w:rPr>
              <w:t xml:space="preserve"> בהתאם למדיניות הקודמת</w:t>
            </w:r>
          </w:p>
        </w:tc>
        <w:tc>
          <w:tcPr>
            <w:tcW w:w="141" w:type="dxa"/>
            <w:vAlign w:val="bottom"/>
          </w:tcPr>
          <w:p w14:paraId="3FB7C530" w14:textId="77777777" w:rsidR="00CE4C07" w:rsidRPr="0074065E" w:rsidRDefault="00CE4C07" w:rsidP="0056132D">
            <w:pPr>
              <w:spacing w:line="240" w:lineRule="exact"/>
              <w:jc w:val="center"/>
              <w:rPr>
                <w:rtl/>
              </w:rPr>
            </w:pPr>
          </w:p>
        </w:tc>
        <w:tc>
          <w:tcPr>
            <w:tcW w:w="1276" w:type="dxa"/>
            <w:tcBorders>
              <w:bottom w:val="single" w:sz="6" w:space="0" w:color="auto"/>
            </w:tcBorders>
            <w:vAlign w:val="bottom"/>
          </w:tcPr>
          <w:p w14:paraId="08148CD8" w14:textId="77777777" w:rsidR="00CE4C07" w:rsidRPr="0074065E" w:rsidRDefault="00CE4C07" w:rsidP="0056132D">
            <w:pPr>
              <w:spacing w:line="240" w:lineRule="exact"/>
              <w:jc w:val="center"/>
              <w:rPr>
                <w:rtl/>
              </w:rPr>
            </w:pPr>
            <w:r>
              <w:rPr>
                <w:rFonts w:hint="cs"/>
                <w:rtl/>
              </w:rPr>
              <w:t xml:space="preserve">השינוי </w:t>
            </w:r>
          </w:p>
        </w:tc>
        <w:tc>
          <w:tcPr>
            <w:tcW w:w="142" w:type="dxa"/>
            <w:vAlign w:val="bottom"/>
          </w:tcPr>
          <w:p w14:paraId="176BFC1C" w14:textId="77777777" w:rsidR="00CE4C07" w:rsidRPr="0074065E" w:rsidRDefault="00CE4C07" w:rsidP="0056132D">
            <w:pPr>
              <w:spacing w:line="240" w:lineRule="exact"/>
              <w:jc w:val="center"/>
              <w:rPr>
                <w:rtl/>
              </w:rPr>
            </w:pPr>
          </w:p>
        </w:tc>
        <w:tc>
          <w:tcPr>
            <w:tcW w:w="1276" w:type="dxa"/>
            <w:tcBorders>
              <w:bottom w:val="single" w:sz="6" w:space="0" w:color="auto"/>
            </w:tcBorders>
            <w:vAlign w:val="bottom"/>
          </w:tcPr>
          <w:p w14:paraId="24B37625" w14:textId="77777777" w:rsidR="00CE4C07" w:rsidRPr="0074065E" w:rsidRDefault="00CE4C07" w:rsidP="0056132D">
            <w:pPr>
              <w:spacing w:line="240" w:lineRule="exact"/>
              <w:jc w:val="center"/>
              <w:rPr>
                <w:rtl/>
              </w:rPr>
            </w:pPr>
            <w:r>
              <w:rPr>
                <w:rFonts w:hint="cs"/>
                <w:rtl/>
              </w:rPr>
              <w:t xml:space="preserve"> כמוצג בדוחות כספיים אלה</w:t>
            </w:r>
          </w:p>
        </w:tc>
      </w:tr>
      <w:tr w:rsidR="00CE4C07" w:rsidRPr="00C454B8" w14:paraId="7BBDD912" w14:textId="77777777" w:rsidTr="0056132D">
        <w:tc>
          <w:tcPr>
            <w:tcW w:w="3100" w:type="dxa"/>
            <w:vAlign w:val="bottom"/>
          </w:tcPr>
          <w:p w14:paraId="02FB27A7" w14:textId="77777777" w:rsidR="00CE4C07" w:rsidRPr="00C454B8" w:rsidRDefault="00CE4C07" w:rsidP="0056132D">
            <w:pPr>
              <w:pStyle w:val="a3"/>
              <w:tabs>
                <w:tab w:val="left" w:pos="227"/>
                <w:tab w:val="left" w:pos="397"/>
                <w:tab w:val="left" w:pos="567"/>
              </w:tabs>
              <w:rPr>
                <w:sz w:val="22"/>
                <w:rtl/>
              </w:rPr>
            </w:pPr>
          </w:p>
        </w:tc>
        <w:tc>
          <w:tcPr>
            <w:tcW w:w="142" w:type="dxa"/>
            <w:vAlign w:val="bottom"/>
          </w:tcPr>
          <w:p w14:paraId="782CF001" w14:textId="77777777" w:rsidR="00CE4C07" w:rsidRPr="0074065E" w:rsidRDefault="00CE4C07" w:rsidP="0056132D">
            <w:pPr>
              <w:spacing w:line="240" w:lineRule="exact"/>
              <w:rPr>
                <w:rtl/>
              </w:rPr>
            </w:pPr>
          </w:p>
        </w:tc>
        <w:tc>
          <w:tcPr>
            <w:tcW w:w="3967" w:type="dxa"/>
            <w:gridSpan w:val="5"/>
            <w:tcBorders>
              <w:bottom w:val="single" w:sz="6" w:space="0" w:color="auto"/>
            </w:tcBorders>
            <w:shd w:val="clear" w:color="auto" w:fill="auto"/>
            <w:vAlign w:val="bottom"/>
          </w:tcPr>
          <w:p w14:paraId="6F005B5C" w14:textId="77777777" w:rsidR="00CE4C07" w:rsidRPr="0074065E" w:rsidRDefault="00CE4C07" w:rsidP="0056132D">
            <w:pPr>
              <w:tabs>
                <w:tab w:val="decimal" w:pos="113"/>
              </w:tabs>
              <w:spacing w:line="240" w:lineRule="exact"/>
              <w:jc w:val="center"/>
              <w:rPr>
                <w:rtl/>
              </w:rPr>
            </w:pPr>
            <w:r>
              <w:rPr>
                <w:rFonts w:hint="cs"/>
                <w:rtl/>
              </w:rPr>
              <w:t>אלפי ש"ח</w:t>
            </w:r>
          </w:p>
        </w:tc>
      </w:tr>
      <w:tr w:rsidR="00CE4C07" w:rsidRPr="00C454B8" w14:paraId="772BB0C8" w14:textId="77777777" w:rsidTr="0056132D">
        <w:tc>
          <w:tcPr>
            <w:tcW w:w="3100" w:type="dxa"/>
            <w:vAlign w:val="bottom"/>
          </w:tcPr>
          <w:p w14:paraId="3D3D8319" w14:textId="77777777" w:rsidR="00CE4C07" w:rsidRPr="00C454B8" w:rsidRDefault="00CE4C07" w:rsidP="0056132D">
            <w:pPr>
              <w:pStyle w:val="a3"/>
              <w:tabs>
                <w:tab w:val="left" w:pos="227"/>
                <w:tab w:val="left" w:pos="397"/>
                <w:tab w:val="left" w:pos="567"/>
              </w:tabs>
              <w:rPr>
                <w:sz w:val="22"/>
                <w:u w:val="single"/>
                <w:rtl/>
              </w:rPr>
            </w:pPr>
            <w:r w:rsidRPr="00C454B8">
              <w:rPr>
                <w:sz w:val="22"/>
                <w:u w:val="single"/>
                <w:rtl/>
              </w:rPr>
              <w:t xml:space="preserve">ליום </w:t>
            </w:r>
            <w:r>
              <w:rPr>
                <w:rFonts w:hint="cs"/>
                <w:sz w:val="22"/>
                <w:u w:val="single"/>
                <w:rtl/>
              </w:rPr>
              <w:t>31</w:t>
            </w:r>
            <w:r w:rsidRPr="00C454B8">
              <w:rPr>
                <w:sz w:val="22"/>
                <w:u w:val="single"/>
                <w:rtl/>
              </w:rPr>
              <w:t xml:space="preserve"> </w:t>
            </w:r>
            <w:r>
              <w:rPr>
                <w:rFonts w:hint="cs"/>
                <w:sz w:val="22"/>
                <w:u w:val="single"/>
                <w:rtl/>
              </w:rPr>
              <w:t>בדצמבר</w:t>
            </w:r>
            <w:r w:rsidRPr="00C454B8">
              <w:rPr>
                <w:sz w:val="22"/>
                <w:u w:val="single"/>
                <w:rtl/>
              </w:rPr>
              <w:t xml:space="preserve">, </w:t>
            </w:r>
            <w:r>
              <w:rPr>
                <w:rFonts w:hint="cs"/>
                <w:sz w:val="22"/>
                <w:u w:val="single"/>
                <w:rtl/>
              </w:rPr>
              <w:t>2018</w:t>
            </w:r>
          </w:p>
        </w:tc>
        <w:tc>
          <w:tcPr>
            <w:tcW w:w="142" w:type="dxa"/>
            <w:vAlign w:val="bottom"/>
          </w:tcPr>
          <w:p w14:paraId="7BDB1DC9" w14:textId="77777777" w:rsidR="00CE4C07" w:rsidRPr="0074065E" w:rsidRDefault="00CE4C07" w:rsidP="0056132D">
            <w:pPr>
              <w:spacing w:line="240" w:lineRule="exact"/>
              <w:rPr>
                <w:rtl/>
              </w:rPr>
            </w:pPr>
          </w:p>
        </w:tc>
        <w:tc>
          <w:tcPr>
            <w:tcW w:w="1132" w:type="dxa"/>
            <w:vAlign w:val="bottom"/>
          </w:tcPr>
          <w:p w14:paraId="2012A1B5" w14:textId="77777777" w:rsidR="00CE4C07" w:rsidRPr="0074065E" w:rsidRDefault="00CE4C07" w:rsidP="0056132D">
            <w:pPr>
              <w:spacing w:line="240" w:lineRule="exact"/>
              <w:rPr>
                <w:rtl/>
              </w:rPr>
            </w:pPr>
          </w:p>
        </w:tc>
        <w:tc>
          <w:tcPr>
            <w:tcW w:w="141" w:type="dxa"/>
            <w:vAlign w:val="bottom"/>
          </w:tcPr>
          <w:p w14:paraId="05D24FA2" w14:textId="77777777" w:rsidR="00CE4C07" w:rsidRPr="0074065E" w:rsidRDefault="00CE4C07" w:rsidP="0056132D">
            <w:pPr>
              <w:spacing w:line="240" w:lineRule="exact"/>
              <w:rPr>
                <w:rtl/>
              </w:rPr>
            </w:pPr>
          </w:p>
        </w:tc>
        <w:tc>
          <w:tcPr>
            <w:tcW w:w="1276" w:type="dxa"/>
            <w:vAlign w:val="bottom"/>
          </w:tcPr>
          <w:p w14:paraId="7045BA23" w14:textId="77777777" w:rsidR="00CE4C07" w:rsidRPr="0074065E" w:rsidRDefault="00CE4C07" w:rsidP="0056132D">
            <w:pPr>
              <w:tabs>
                <w:tab w:val="decimal" w:pos="113"/>
              </w:tabs>
              <w:spacing w:line="240" w:lineRule="exact"/>
              <w:rPr>
                <w:rtl/>
              </w:rPr>
            </w:pPr>
          </w:p>
        </w:tc>
        <w:tc>
          <w:tcPr>
            <w:tcW w:w="142" w:type="dxa"/>
            <w:vAlign w:val="bottom"/>
          </w:tcPr>
          <w:p w14:paraId="3E02CB13" w14:textId="77777777" w:rsidR="00CE4C07" w:rsidRPr="0074065E" w:rsidRDefault="00CE4C07" w:rsidP="0056132D">
            <w:pPr>
              <w:tabs>
                <w:tab w:val="decimal" w:pos="113"/>
              </w:tabs>
              <w:spacing w:line="240" w:lineRule="exact"/>
              <w:rPr>
                <w:rtl/>
              </w:rPr>
            </w:pPr>
          </w:p>
        </w:tc>
        <w:tc>
          <w:tcPr>
            <w:tcW w:w="1276" w:type="dxa"/>
            <w:vAlign w:val="bottom"/>
          </w:tcPr>
          <w:p w14:paraId="0C356335" w14:textId="77777777" w:rsidR="00CE4C07" w:rsidRPr="0074065E" w:rsidRDefault="00CE4C07" w:rsidP="0056132D">
            <w:pPr>
              <w:tabs>
                <w:tab w:val="decimal" w:pos="113"/>
              </w:tabs>
              <w:spacing w:line="240" w:lineRule="exact"/>
              <w:rPr>
                <w:rtl/>
              </w:rPr>
            </w:pPr>
          </w:p>
        </w:tc>
      </w:tr>
      <w:tr w:rsidR="00CE4C07" w:rsidRPr="00C454B8" w14:paraId="3E7B7951" w14:textId="77777777" w:rsidTr="0056132D">
        <w:tc>
          <w:tcPr>
            <w:tcW w:w="3100" w:type="dxa"/>
            <w:vAlign w:val="bottom"/>
          </w:tcPr>
          <w:p w14:paraId="6229E243" w14:textId="77777777" w:rsidR="00CE4C07" w:rsidRPr="00C454B8" w:rsidRDefault="00CE4C07" w:rsidP="0056132D">
            <w:pPr>
              <w:pStyle w:val="a3"/>
              <w:tabs>
                <w:tab w:val="left" w:pos="227"/>
                <w:tab w:val="left" w:pos="397"/>
                <w:tab w:val="left" w:pos="567"/>
              </w:tabs>
              <w:rPr>
                <w:sz w:val="22"/>
                <w:u w:val="single"/>
                <w:rtl/>
              </w:rPr>
            </w:pPr>
          </w:p>
        </w:tc>
        <w:tc>
          <w:tcPr>
            <w:tcW w:w="142" w:type="dxa"/>
            <w:vAlign w:val="bottom"/>
          </w:tcPr>
          <w:p w14:paraId="7BDA1D0C" w14:textId="77777777" w:rsidR="00CE4C07" w:rsidRPr="0074065E" w:rsidRDefault="00CE4C07" w:rsidP="0056132D">
            <w:pPr>
              <w:spacing w:line="240" w:lineRule="exact"/>
              <w:rPr>
                <w:rtl/>
              </w:rPr>
            </w:pPr>
          </w:p>
        </w:tc>
        <w:tc>
          <w:tcPr>
            <w:tcW w:w="1132" w:type="dxa"/>
            <w:vAlign w:val="bottom"/>
          </w:tcPr>
          <w:p w14:paraId="79994719" w14:textId="77777777" w:rsidR="00CE4C07" w:rsidRPr="0074065E" w:rsidRDefault="00CE4C07" w:rsidP="0056132D">
            <w:pPr>
              <w:spacing w:line="240" w:lineRule="exact"/>
              <w:rPr>
                <w:rtl/>
              </w:rPr>
            </w:pPr>
          </w:p>
        </w:tc>
        <w:tc>
          <w:tcPr>
            <w:tcW w:w="141" w:type="dxa"/>
            <w:vAlign w:val="bottom"/>
          </w:tcPr>
          <w:p w14:paraId="08498019" w14:textId="77777777" w:rsidR="00CE4C07" w:rsidRPr="0074065E" w:rsidRDefault="00CE4C07" w:rsidP="0056132D">
            <w:pPr>
              <w:spacing w:line="240" w:lineRule="exact"/>
              <w:rPr>
                <w:rtl/>
              </w:rPr>
            </w:pPr>
          </w:p>
        </w:tc>
        <w:tc>
          <w:tcPr>
            <w:tcW w:w="1276" w:type="dxa"/>
            <w:vAlign w:val="bottom"/>
          </w:tcPr>
          <w:p w14:paraId="06C3F5DC" w14:textId="77777777" w:rsidR="00CE4C07" w:rsidRPr="0074065E" w:rsidRDefault="00CE4C07" w:rsidP="0056132D">
            <w:pPr>
              <w:tabs>
                <w:tab w:val="decimal" w:pos="113"/>
              </w:tabs>
              <w:spacing w:line="240" w:lineRule="exact"/>
              <w:rPr>
                <w:rtl/>
              </w:rPr>
            </w:pPr>
          </w:p>
        </w:tc>
        <w:tc>
          <w:tcPr>
            <w:tcW w:w="142" w:type="dxa"/>
            <w:vAlign w:val="bottom"/>
          </w:tcPr>
          <w:p w14:paraId="26BBA3EF" w14:textId="77777777" w:rsidR="00CE4C07" w:rsidRPr="0074065E" w:rsidRDefault="00CE4C07" w:rsidP="0056132D">
            <w:pPr>
              <w:tabs>
                <w:tab w:val="decimal" w:pos="113"/>
              </w:tabs>
              <w:spacing w:line="240" w:lineRule="exact"/>
              <w:rPr>
                <w:rtl/>
              </w:rPr>
            </w:pPr>
          </w:p>
        </w:tc>
        <w:tc>
          <w:tcPr>
            <w:tcW w:w="1276" w:type="dxa"/>
            <w:vAlign w:val="bottom"/>
          </w:tcPr>
          <w:p w14:paraId="078CC558" w14:textId="77777777" w:rsidR="00CE4C07" w:rsidRPr="0074065E" w:rsidRDefault="00CE4C07" w:rsidP="0056132D">
            <w:pPr>
              <w:tabs>
                <w:tab w:val="decimal" w:pos="113"/>
              </w:tabs>
              <w:spacing w:line="240" w:lineRule="exact"/>
              <w:rPr>
                <w:rtl/>
              </w:rPr>
            </w:pPr>
          </w:p>
        </w:tc>
      </w:tr>
      <w:tr w:rsidR="00CE4C07" w:rsidRPr="00C454B8" w14:paraId="4B6DF2DE" w14:textId="77777777" w:rsidTr="0056132D">
        <w:tc>
          <w:tcPr>
            <w:tcW w:w="3100" w:type="dxa"/>
            <w:vAlign w:val="bottom"/>
          </w:tcPr>
          <w:p w14:paraId="21E9E2AF" w14:textId="77777777" w:rsidR="00CE4C07" w:rsidRPr="00C454B8" w:rsidRDefault="00CE4C07" w:rsidP="0056132D">
            <w:pPr>
              <w:pStyle w:val="a3"/>
              <w:tabs>
                <w:tab w:val="left" w:pos="227"/>
                <w:tab w:val="left" w:pos="397"/>
                <w:tab w:val="left" w:pos="567"/>
              </w:tabs>
              <w:rPr>
                <w:sz w:val="22"/>
                <w:u w:val="single"/>
                <w:rtl/>
              </w:rPr>
            </w:pPr>
            <w:r>
              <w:rPr>
                <w:rFonts w:hint="cs"/>
                <w:sz w:val="22"/>
                <w:rtl/>
              </w:rPr>
              <w:t>מלאי</w:t>
            </w:r>
          </w:p>
        </w:tc>
        <w:tc>
          <w:tcPr>
            <w:tcW w:w="142" w:type="dxa"/>
            <w:vAlign w:val="bottom"/>
          </w:tcPr>
          <w:p w14:paraId="24AA0747" w14:textId="77777777" w:rsidR="00CE4C07" w:rsidRPr="0074065E" w:rsidRDefault="00CE4C07" w:rsidP="0056132D">
            <w:pPr>
              <w:spacing w:line="240" w:lineRule="exact"/>
              <w:rPr>
                <w:rtl/>
              </w:rPr>
            </w:pPr>
          </w:p>
        </w:tc>
        <w:tc>
          <w:tcPr>
            <w:tcW w:w="1132" w:type="dxa"/>
            <w:tcBorders>
              <w:bottom w:val="double" w:sz="4" w:space="0" w:color="auto"/>
            </w:tcBorders>
            <w:vAlign w:val="bottom"/>
          </w:tcPr>
          <w:p w14:paraId="29E5EF02" w14:textId="77777777" w:rsidR="00CE4C07" w:rsidRPr="0074065E" w:rsidRDefault="00CE4C07" w:rsidP="0056132D">
            <w:pPr>
              <w:spacing w:line="240" w:lineRule="exact"/>
              <w:rPr>
                <w:rtl/>
              </w:rPr>
            </w:pPr>
          </w:p>
        </w:tc>
        <w:tc>
          <w:tcPr>
            <w:tcW w:w="141" w:type="dxa"/>
            <w:vAlign w:val="bottom"/>
          </w:tcPr>
          <w:p w14:paraId="750EECC0"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589D7776" w14:textId="77777777" w:rsidR="00CE4C07" w:rsidRPr="0074065E" w:rsidRDefault="00CE4C07" w:rsidP="0056132D">
            <w:pPr>
              <w:tabs>
                <w:tab w:val="decimal" w:pos="113"/>
              </w:tabs>
              <w:spacing w:line="240" w:lineRule="exact"/>
              <w:rPr>
                <w:rtl/>
              </w:rPr>
            </w:pPr>
          </w:p>
        </w:tc>
        <w:tc>
          <w:tcPr>
            <w:tcW w:w="142" w:type="dxa"/>
            <w:vAlign w:val="bottom"/>
          </w:tcPr>
          <w:p w14:paraId="2BFCD17F" w14:textId="77777777" w:rsidR="00CE4C07" w:rsidRPr="0074065E" w:rsidRDefault="00CE4C07" w:rsidP="0056132D">
            <w:pPr>
              <w:tabs>
                <w:tab w:val="decimal" w:pos="113"/>
              </w:tabs>
              <w:spacing w:line="240" w:lineRule="exact"/>
              <w:rPr>
                <w:rtl/>
              </w:rPr>
            </w:pPr>
          </w:p>
        </w:tc>
        <w:tc>
          <w:tcPr>
            <w:tcW w:w="1276" w:type="dxa"/>
            <w:tcBorders>
              <w:bottom w:val="double" w:sz="4" w:space="0" w:color="auto"/>
            </w:tcBorders>
            <w:vAlign w:val="bottom"/>
          </w:tcPr>
          <w:p w14:paraId="1CFDB0A2" w14:textId="77777777" w:rsidR="00CE4C07" w:rsidRPr="0074065E" w:rsidRDefault="00CE4C07" w:rsidP="0056132D">
            <w:pPr>
              <w:tabs>
                <w:tab w:val="decimal" w:pos="113"/>
              </w:tabs>
              <w:spacing w:line="240" w:lineRule="exact"/>
              <w:rPr>
                <w:rtl/>
              </w:rPr>
            </w:pPr>
          </w:p>
        </w:tc>
      </w:tr>
      <w:tr w:rsidR="00CE4C07" w:rsidRPr="00C454B8" w14:paraId="18745835" w14:textId="77777777" w:rsidTr="0056132D">
        <w:tc>
          <w:tcPr>
            <w:tcW w:w="3100" w:type="dxa"/>
            <w:vAlign w:val="bottom"/>
          </w:tcPr>
          <w:p w14:paraId="540B1B72" w14:textId="77777777" w:rsidR="00CE4C07" w:rsidRDefault="00CE4C07" w:rsidP="0056132D">
            <w:pPr>
              <w:pStyle w:val="a3"/>
              <w:tabs>
                <w:tab w:val="left" w:pos="227"/>
                <w:tab w:val="left" w:pos="397"/>
                <w:tab w:val="left" w:pos="567"/>
              </w:tabs>
              <w:rPr>
                <w:sz w:val="22"/>
                <w:rtl/>
              </w:rPr>
            </w:pPr>
            <w:r>
              <w:rPr>
                <w:rFonts w:hint="cs"/>
                <w:sz w:val="22"/>
                <w:rtl/>
              </w:rPr>
              <w:t>מסים נדחים</w:t>
            </w:r>
          </w:p>
        </w:tc>
        <w:tc>
          <w:tcPr>
            <w:tcW w:w="142" w:type="dxa"/>
            <w:vAlign w:val="bottom"/>
          </w:tcPr>
          <w:p w14:paraId="4928B45D" w14:textId="77777777" w:rsidR="00CE4C07" w:rsidRPr="0074065E" w:rsidRDefault="00CE4C07" w:rsidP="0056132D">
            <w:pPr>
              <w:spacing w:line="240" w:lineRule="exact"/>
              <w:rPr>
                <w:rtl/>
              </w:rPr>
            </w:pPr>
          </w:p>
        </w:tc>
        <w:tc>
          <w:tcPr>
            <w:tcW w:w="1132" w:type="dxa"/>
            <w:tcBorders>
              <w:top w:val="double" w:sz="4" w:space="0" w:color="auto"/>
              <w:bottom w:val="double" w:sz="4" w:space="0" w:color="auto"/>
            </w:tcBorders>
            <w:vAlign w:val="bottom"/>
          </w:tcPr>
          <w:p w14:paraId="399C265B" w14:textId="77777777" w:rsidR="00CE4C07" w:rsidRPr="0074065E" w:rsidRDefault="00CE4C07" w:rsidP="0056132D">
            <w:pPr>
              <w:spacing w:line="240" w:lineRule="exact"/>
              <w:rPr>
                <w:rtl/>
              </w:rPr>
            </w:pPr>
          </w:p>
        </w:tc>
        <w:tc>
          <w:tcPr>
            <w:tcW w:w="141" w:type="dxa"/>
            <w:vAlign w:val="bottom"/>
          </w:tcPr>
          <w:p w14:paraId="36785158"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40D5601B" w14:textId="77777777" w:rsidR="00CE4C07" w:rsidRPr="0074065E" w:rsidRDefault="00CE4C07" w:rsidP="0056132D">
            <w:pPr>
              <w:tabs>
                <w:tab w:val="decimal" w:pos="113"/>
              </w:tabs>
              <w:spacing w:line="240" w:lineRule="exact"/>
              <w:rPr>
                <w:rtl/>
              </w:rPr>
            </w:pPr>
          </w:p>
        </w:tc>
        <w:tc>
          <w:tcPr>
            <w:tcW w:w="142" w:type="dxa"/>
            <w:vAlign w:val="bottom"/>
          </w:tcPr>
          <w:p w14:paraId="54D4BC0E" w14:textId="77777777" w:rsidR="00CE4C07" w:rsidRPr="0074065E" w:rsidRDefault="00CE4C07" w:rsidP="0056132D">
            <w:pPr>
              <w:tabs>
                <w:tab w:val="decimal" w:pos="113"/>
              </w:tabs>
              <w:spacing w:line="240" w:lineRule="exact"/>
              <w:rPr>
                <w:rtl/>
              </w:rPr>
            </w:pPr>
          </w:p>
        </w:tc>
        <w:tc>
          <w:tcPr>
            <w:tcW w:w="1276" w:type="dxa"/>
            <w:tcBorders>
              <w:top w:val="double" w:sz="4" w:space="0" w:color="auto"/>
              <w:bottom w:val="double" w:sz="4" w:space="0" w:color="auto"/>
            </w:tcBorders>
            <w:vAlign w:val="bottom"/>
          </w:tcPr>
          <w:p w14:paraId="003F5389" w14:textId="77777777" w:rsidR="00CE4C07" w:rsidRPr="0074065E" w:rsidRDefault="00CE4C07" w:rsidP="0056132D">
            <w:pPr>
              <w:tabs>
                <w:tab w:val="decimal" w:pos="113"/>
              </w:tabs>
              <w:spacing w:line="240" w:lineRule="exact"/>
              <w:rPr>
                <w:rtl/>
              </w:rPr>
            </w:pPr>
          </w:p>
        </w:tc>
      </w:tr>
      <w:tr w:rsidR="00CE4C07" w:rsidRPr="00C454B8" w14:paraId="13E58BE3" w14:textId="77777777" w:rsidTr="0056132D">
        <w:tc>
          <w:tcPr>
            <w:tcW w:w="3100" w:type="dxa"/>
            <w:vAlign w:val="bottom"/>
          </w:tcPr>
          <w:p w14:paraId="4268ADE4" w14:textId="77777777" w:rsidR="00CE4C07" w:rsidRDefault="00CE4C07" w:rsidP="0056132D">
            <w:pPr>
              <w:pStyle w:val="a3"/>
              <w:tabs>
                <w:tab w:val="left" w:pos="227"/>
                <w:tab w:val="left" w:pos="397"/>
                <w:tab w:val="left" w:pos="567"/>
              </w:tabs>
              <w:rPr>
                <w:sz w:val="22"/>
                <w:rtl/>
              </w:rPr>
            </w:pPr>
            <w:r>
              <w:rPr>
                <w:rFonts w:hint="cs"/>
                <w:sz w:val="22"/>
                <w:rtl/>
              </w:rPr>
              <w:t>יתרת רווח (הפסד)</w:t>
            </w:r>
          </w:p>
        </w:tc>
        <w:tc>
          <w:tcPr>
            <w:tcW w:w="142" w:type="dxa"/>
            <w:vAlign w:val="bottom"/>
          </w:tcPr>
          <w:p w14:paraId="44E3D45B" w14:textId="77777777" w:rsidR="00CE4C07" w:rsidRPr="0074065E" w:rsidRDefault="00CE4C07" w:rsidP="0056132D">
            <w:pPr>
              <w:spacing w:line="240" w:lineRule="exact"/>
              <w:rPr>
                <w:rtl/>
              </w:rPr>
            </w:pPr>
          </w:p>
        </w:tc>
        <w:tc>
          <w:tcPr>
            <w:tcW w:w="1132" w:type="dxa"/>
            <w:tcBorders>
              <w:top w:val="double" w:sz="4" w:space="0" w:color="auto"/>
              <w:bottom w:val="double" w:sz="4" w:space="0" w:color="auto"/>
            </w:tcBorders>
            <w:vAlign w:val="bottom"/>
          </w:tcPr>
          <w:p w14:paraId="735692E1" w14:textId="77777777" w:rsidR="00CE4C07" w:rsidRPr="0074065E" w:rsidRDefault="00CE4C07" w:rsidP="0056132D">
            <w:pPr>
              <w:spacing w:line="240" w:lineRule="exact"/>
              <w:rPr>
                <w:rtl/>
              </w:rPr>
            </w:pPr>
          </w:p>
        </w:tc>
        <w:tc>
          <w:tcPr>
            <w:tcW w:w="141" w:type="dxa"/>
            <w:vAlign w:val="bottom"/>
          </w:tcPr>
          <w:p w14:paraId="5B4DAA30"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4D86D55E" w14:textId="77777777" w:rsidR="00CE4C07" w:rsidRPr="0074065E" w:rsidRDefault="00CE4C07" w:rsidP="0056132D">
            <w:pPr>
              <w:tabs>
                <w:tab w:val="decimal" w:pos="113"/>
              </w:tabs>
              <w:spacing w:line="240" w:lineRule="exact"/>
              <w:rPr>
                <w:rtl/>
              </w:rPr>
            </w:pPr>
          </w:p>
        </w:tc>
        <w:tc>
          <w:tcPr>
            <w:tcW w:w="142" w:type="dxa"/>
            <w:vAlign w:val="bottom"/>
          </w:tcPr>
          <w:p w14:paraId="48B4607F" w14:textId="77777777" w:rsidR="00CE4C07" w:rsidRPr="0074065E" w:rsidRDefault="00CE4C07" w:rsidP="0056132D">
            <w:pPr>
              <w:tabs>
                <w:tab w:val="decimal" w:pos="113"/>
              </w:tabs>
              <w:spacing w:line="240" w:lineRule="exact"/>
              <w:rPr>
                <w:rtl/>
              </w:rPr>
            </w:pPr>
          </w:p>
        </w:tc>
        <w:tc>
          <w:tcPr>
            <w:tcW w:w="1276" w:type="dxa"/>
            <w:tcBorders>
              <w:top w:val="double" w:sz="4" w:space="0" w:color="auto"/>
              <w:bottom w:val="double" w:sz="4" w:space="0" w:color="auto"/>
            </w:tcBorders>
            <w:vAlign w:val="bottom"/>
          </w:tcPr>
          <w:p w14:paraId="4AE6D0D0" w14:textId="77777777" w:rsidR="00CE4C07" w:rsidRPr="0074065E" w:rsidRDefault="00CE4C07" w:rsidP="0056132D">
            <w:pPr>
              <w:tabs>
                <w:tab w:val="decimal" w:pos="113"/>
              </w:tabs>
              <w:spacing w:line="240" w:lineRule="exact"/>
              <w:rPr>
                <w:rtl/>
              </w:rPr>
            </w:pPr>
          </w:p>
        </w:tc>
      </w:tr>
      <w:tr w:rsidR="00CE4C07" w:rsidRPr="00C454B8" w14:paraId="697C0BC4" w14:textId="77777777" w:rsidTr="0056132D">
        <w:tc>
          <w:tcPr>
            <w:tcW w:w="3100" w:type="dxa"/>
            <w:vAlign w:val="bottom"/>
          </w:tcPr>
          <w:p w14:paraId="68345283" w14:textId="77777777" w:rsidR="00CE4C07" w:rsidRDefault="00CE4C07" w:rsidP="0056132D">
            <w:pPr>
              <w:pStyle w:val="a3"/>
              <w:tabs>
                <w:tab w:val="left" w:pos="227"/>
                <w:tab w:val="left" w:pos="397"/>
                <w:tab w:val="left" w:pos="567"/>
              </w:tabs>
              <w:rPr>
                <w:sz w:val="22"/>
                <w:rtl/>
              </w:rPr>
            </w:pPr>
            <w:r>
              <w:rPr>
                <w:rFonts w:hint="cs"/>
                <w:sz w:val="22"/>
                <w:rtl/>
              </w:rPr>
              <w:t>זכויות שאינן מקנות שליטה</w:t>
            </w:r>
          </w:p>
        </w:tc>
        <w:tc>
          <w:tcPr>
            <w:tcW w:w="142" w:type="dxa"/>
            <w:vAlign w:val="bottom"/>
          </w:tcPr>
          <w:p w14:paraId="3A4E5DA2" w14:textId="77777777" w:rsidR="00CE4C07" w:rsidRPr="0074065E" w:rsidRDefault="00CE4C07" w:rsidP="0056132D">
            <w:pPr>
              <w:spacing w:line="240" w:lineRule="exact"/>
              <w:rPr>
                <w:rtl/>
              </w:rPr>
            </w:pPr>
          </w:p>
        </w:tc>
        <w:tc>
          <w:tcPr>
            <w:tcW w:w="1132" w:type="dxa"/>
            <w:tcBorders>
              <w:top w:val="double" w:sz="4" w:space="0" w:color="auto"/>
              <w:bottom w:val="double" w:sz="4" w:space="0" w:color="auto"/>
            </w:tcBorders>
            <w:vAlign w:val="bottom"/>
          </w:tcPr>
          <w:p w14:paraId="6B6AD4DC" w14:textId="77777777" w:rsidR="00CE4C07" w:rsidRPr="0074065E" w:rsidRDefault="00CE4C07" w:rsidP="0056132D">
            <w:pPr>
              <w:spacing w:line="240" w:lineRule="exact"/>
              <w:rPr>
                <w:rtl/>
              </w:rPr>
            </w:pPr>
          </w:p>
        </w:tc>
        <w:tc>
          <w:tcPr>
            <w:tcW w:w="141" w:type="dxa"/>
            <w:vAlign w:val="bottom"/>
          </w:tcPr>
          <w:p w14:paraId="7C74E0EC"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2AE5B83E" w14:textId="77777777" w:rsidR="00CE4C07" w:rsidRPr="0074065E" w:rsidRDefault="00CE4C07" w:rsidP="0056132D">
            <w:pPr>
              <w:tabs>
                <w:tab w:val="decimal" w:pos="113"/>
              </w:tabs>
              <w:spacing w:line="240" w:lineRule="exact"/>
              <w:rPr>
                <w:rtl/>
              </w:rPr>
            </w:pPr>
          </w:p>
        </w:tc>
        <w:tc>
          <w:tcPr>
            <w:tcW w:w="142" w:type="dxa"/>
            <w:vAlign w:val="bottom"/>
          </w:tcPr>
          <w:p w14:paraId="49D9FBC3" w14:textId="77777777" w:rsidR="00CE4C07" w:rsidRPr="0074065E" w:rsidRDefault="00CE4C07" w:rsidP="0056132D">
            <w:pPr>
              <w:tabs>
                <w:tab w:val="decimal" w:pos="113"/>
              </w:tabs>
              <w:spacing w:line="240" w:lineRule="exact"/>
              <w:rPr>
                <w:rtl/>
              </w:rPr>
            </w:pPr>
          </w:p>
        </w:tc>
        <w:tc>
          <w:tcPr>
            <w:tcW w:w="1276" w:type="dxa"/>
            <w:tcBorders>
              <w:top w:val="double" w:sz="4" w:space="0" w:color="auto"/>
              <w:bottom w:val="double" w:sz="4" w:space="0" w:color="auto"/>
            </w:tcBorders>
            <w:vAlign w:val="bottom"/>
          </w:tcPr>
          <w:p w14:paraId="4A9C4E7E" w14:textId="77777777" w:rsidR="00CE4C07" w:rsidRPr="0074065E" w:rsidRDefault="00CE4C07" w:rsidP="0056132D">
            <w:pPr>
              <w:tabs>
                <w:tab w:val="decimal" w:pos="113"/>
              </w:tabs>
              <w:spacing w:line="240" w:lineRule="exact"/>
              <w:rPr>
                <w:rtl/>
              </w:rPr>
            </w:pPr>
          </w:p>
        </w:tc>
      </w:tr>
      <w:tr w:rsidR="00CE4C07" w:rsidRPr="00C454B8" w14:paraId="2A354BEF" w14:textId="77777777" w:rsidTr="0056132D">
        <w:tc>
          <w:tcPr>
            <w:tcW w:w="3100" w:type="dxa"/>
            <w:vAlign w:val="bottom"/>
          </w:tcPr>
          <w:p w14:paraId="56DC4FCB" w14:textId="77777777" w:rsidR="00CE4C07" w:rsidRPr="00C454B8" w:rsidRDefault="00CE4C07" w:rsidP="0056132D">
            <w:pPr>
              <w:pStyle w:val="a3"/>
              <w:tabs>
                <w:tab w:val="left" w:pos="227"/>
                <w:tab w:val="left" w:pos="397"/>
                <w:tab w:val="left" w:pos="567"/>
              </w:tabs>
              <w:rPr>
                <w:sz w:val="22"/>
                <w:u w:val="single"/>
                <w:rtl/>
              </w:rPr>
            </w:pPr>
          </w:p>
        </w:tc>
        <w:tc>
          <w:tcPr>
            <w:tcW w:w="142" w:type="dxa"/>
            <w:vAlign w:val="bottom"/>
          </w:tcPr>
          <w:p w14:paraId="5CEE06AC" w14:textId="77777777" w:rsidR="00CE4C07" w:rsidRPr="0074065E" w:rsidRDefault="00CE4C07" w:rsidP="0056132D">
            <w:pPr>
              <w:spacing w:line="240" w:lineRule="exact"/>
              <w:rPr>
                <w:rtl/>
              </w:rPr>
            </w:pPr>
          </w:p>
        </w:tc>
        <w:tc>
          <w:tcPr>
            <w:tcW w:w="1132" w:type="dxa"/>
            <w:tcBorders>
              <w:top w:val="double" w:sz="4" w:space="0" w:color="auto"/>
            </w:tcBorders>
            <w:vAlign w:val="bottom"/>
          </w:tcPr>
          <w:p w14:paraId="3282CBDA" w14:textId="77777777" w:rsidR="00CE4C07" w:rsidRPr="0074065E" w:rsidRDefault="00CE4C07" w:rsidP="0056132D">
            <w:pPr>
              <w:spacing w:line="240" w:lineRule="exact"/>
              <w:rPr>
                <w:rtl/>
              </w:rPr>
            </w:pPr>
          </w:p>
        </w:tc>
        <w:tc>
          <w:tcPr>
            <w:tcW w:w="141" w:type="dxa"/>
            <w:vAlign w:val="bottom"/>
          </w:tcPr>
          <w:p w14:paraId="5ED33C17" w14:textId="77777777" w:rsidR="00CE4C07" w:rsidRPr="0074065E" w:rsidRDefault="00CE4C07" w:rsidP="0056132D">
            <w:pPr>
              <w:spacing w:line="240" w:lineRule="exact"/>
              <w:rPr>
                <w:rtl/>
              </w:rPr>
            </w:pPr>
          </w:p>
        </w:tc>
        <w:tc>
          <w:tcPr>
            <w:tcW w:w="1276" w:type="dxa"/>
            <w:tcBorders>
              <w:top w:val="double" w:sz="4" w:space="0" w:color="auto"/>
            </w:tcBorders>
            <w:vAlign w:val="bottom"/>
          </w:tcPr>
          <w:p w14:paraId="68B52CA6" w14:textId="77777777" w:rsidR="00CE4C07" w:rsidRPr="0074065E" w:rsidRDefault="00CE4C07" w:rsidP="0056132D">
            <w:pPr>
              <w:tabs>
                <w:tab w:val="decimal" w:pos="113"/>
              </w:tabs>
              <w:spacing w:line="240" w:lineRule="exact"/>
              <w:rPr>
                <w:rtl/>
              </w:rPr>
            </w:pPr>
          </w:p>
        </w:tc>
        <w:tc>
          <w:tcPr>
            <w:tcW w:w="142" w:type="dxa"/>
            <w:vAlign w:val="bottom"/>
          </w:tcPr>
          <w:p w14:paraId="097EC489" w14:textId="77777777" w:rsidR="00CE4C07" w:rsidRPr="0074065E" w:rsidRDefault="00CE4C07" w:rsidP="0056132D">
            <w:pPr>
              <w:tabs>
                <w:tab w:val="decimal" w:pos="113"/>
              </w:tabs>
              <w:spacing w:line="240" w:lineRule="exact"/>
              <w:rPr>
                <w:rtl/>
              </w:rPr>
            </w:pPr>
          </w:p>
        </w:tc>
        <w:tc>
          <w:tcPr>
            <w:tcW w:w="1276" w:type="dxa"/>
            <w:tcBorders>
              <w:top w:val="double" w:sz="4" w:space="0" w:color="auto"/>
            </w:tcBorders>
            <w:vAlign w:val="bottom"/>
          </w:tcPr>
          <w:p w14:paraId="5F466248" w14:textId="77777777" w:rsidR="00CE4C07" w:rsidRPr="0074065E" w:rsidRDefault="00CE4C07" w:rsidP="0056132D">
            <w:pPr>
              <w:tabs>
                <w:tab w:val="decimal" w:pos="113"/>
              </w:tabs>
              <w:spacing w:line="240" w:lineRule="exact"/>
              <w:rPr>
                <w:rtl/>
              </w:rPr>
            </w:pPr>
          </w:p>
        </w:tc>
      </w:tr>
      <w:tr w:rsidR="00CE4C07" w:rsidRPr="00C454B8" w14:paraId="07FBE032" w14:textId="77777777" w:rsidTr="0056132D">
        <w:tc>
          <w:tcPr>
            <w:tcW w:w="3100" w:type="dxa"/>
            <w:vAlign w:val="bottom"/>
          </w:tcPr>
          <w:p w14:paraId="59AED941" w14:textId="77777777" w:rsidR="00CE4C07" w:rsidRPr="00C00626" w:rsidRDefault="00CE4C07" w:rsidP="0056132D">
            <w:pPr>
              <w:pStyle w:val="a3"/>
              <w:tabs>
                <w:tab w:val="left" w:pos="227"/>
                <w:tab w:val="left" w:pos="397"/>
                <w:tab w:val="left" w:pos="567"/>
              </w:tabs>
              <w:rPr>
                <w:sz w:val="22"/>
                <w:rtl/>
              </w:rPr>
            </w:pPr>
            <w:r w:rsidRPr="00C454B8">
              <w:rPr>
                <w:sz w:val="22"/>
                <w:u w:val="single"/>
                <w:rtl/>
              </w:rPr>
              <w:t xml:space="preserve">ליום </w:t>
            </w:r>
            <w:r>
              <w:rPr>
                <w:rFonts w:hint="cs"/>
                <w:sz w:val="22"/>
                <w:u w:val="single"/>
                <w:rtl/>
              </w:rPr>
              <w:t>30</w:t>
            </w:r>
            <w:r w:rsidRPr="00C454B8">
              <w:rPr>
                <w:sz w:val="22"/>
                <w:u w:val="single"/>
                <w:rtl/>
              </w:rPr>
              <w:t xml:space="preserve"> </w:t>
            </w:r>
            <w:r>
              <w:rPr>
                <w:rFonts w:hint="cs"/>
                <w:sz w:val="22"/>
                <w:u w:val="single"/>
                <w:rtl/>
              </w:rPr>
              <w:t>בספטמבר</w:t>
            </w:r>
            <w:r w:rsidRPr="00C454B8">
              <w:rPr>
                <w:sz w:val="22"/>
                <w:u w:val="single"/>
                <w:rtl/>
              </w:rPr>
              <w:t xml:space="preserve">, </w:t>
            </w:r>
            <w:r>
              <w:rPr>
                <w:rFonts w:hint="cs"/>
                <w:sz w:val="22"/>
                <w:u w:val="single"/>
                <w:rtl/>
              </w:rPr>
              <w:t>2018</w:t>
            </w:r>
          </w:p>
        </w:tc>
        <w:tc>
          <w:tcPr>
            <w:tcW w:w="142" w:type="dxa"/>
            <w:vAlign w:val="bottom"/>
          </w:tcPr>
          <w:p w14:paraId="23D16CC1" w14:textId="77777777" w:rsidR="00CE4C07" w:rsidRPr="0074065E" w:rsidRDefault="00CE4C07" w:rsidP="0056132D">
            <w:pPr>
              <w:spacing w:line="240" w:lineRule="exact"/>
              <w:rPr>
                <w:rtl/>
              </w:rPr>
            </w:pPr>
          </w:p>
        </w:tc>
        <w:tc>
          <w:tcPr>
            <w:tcW w:w="1132" w:type="dxa"/>
            <w:vAlign w:val="bottom"/>
          </w:tcPr>
          <w:p w14:paraId="3445EF4C" w14:textId="77777777" w:rsidR="00CE4C07" w:rsidRPr="0074065E" w:rsidRDefault="00CE4C07" w:rsidP="0056132D">
            <w:pPr>
              <w:spacing w:line="240" w:lineRule="exact"/>
              <w:rPr>
                <w:rtl/>
              </w:rPr>
            </w:pPr>
          </w:p>
        </w:tc>
        <w:tc>
          <w:tcPr>
            <w:tcW w:w="141" w:type="dxa"/>
            <w:vAlign w:val="bottom"/>
          </w:tcPr>
          <w:p w14:paraId="79F9FF83" w14:textId="77777777" w:rsidR="00CE4C07" w:rsidRPr="0074065E" w:rsidRDefault="00CE4C07" w:rsidP="0056132D">
            <w:pPr>
              <w:spacing w:line="240" w:lineRule="exact"/>
              <w:rPr>
                <w:rtl/>
              </w:rPr>
            </w:pPr>
          </w:p>
        </w:tc>
        <w:tc>
          <w:tcPr>
            <w:tcW w:w="1276" w:type="dxa"/>
            <w:vAlign w:val="bottom"/>
          </w:tcPr>
          <w:p w14:paraId="06CC3AAE" w14:textId="77777777" w:rsidR="00CE4C07" w:rsidRPr="0074065E" w:rsidRDefault="00CE4C07" w:rsidP="0056132D">
            <w:pPr>
              <w:tabs>
                <w:tab w:val="decimal" w:pos="113"/>
              </w:tabs>
              <w:spacing w:line="240" w:lineRule="exact"/>
              <w:rPr>
                <w:rtl/>
              </w:rPr>
            </w:pPr>
          </w:p>
        </w:tc>
        <w:tc>
          <w:tcPr>
            <w:tcW w:w="142" w:type="dxa"/>
            <w:vAlign w:val="bottom"/>
          </w:tcPr>
          <w:p w14:paraId="63F3E2E0" w14:textId="77777777" w:rsidR="00CE4C07" w:rsidRPr="0074065E" w:rsidRDefault="00CE4C07" w:rsidP="0056132D">
            <w:pPr>
              <w:tabs>
                <w:tab w:val="decimal" w:pos="113"/>
              </w:tabs>
              <w:spacing w:line="240" w:lineRule="exact"/>
              <w:rPr>
                <w:rtl/>
              </w:rPr>
            </w:pPr>
          </w:p>
        </w:tc>
        <w:tc>
          <w:tcPr>
            <w:tcW w:w="1276" w:type="dxa"/>
            <w:vAlign w:val="bottom"/>
          </w:tcPr>
          <w:p w14:paraId="1E539806" w14:textId="77777777" w:rsidR="00CE4C07" w:rsidRPr="0074065E" w:rsidRDefault="00CE4C07" w:rsidP="0056132D">
            <w:pPr>
              <w:tabs>
                <w:tab w:val="decimal" w:pos="113"/>
              </w:tabs>
              <w:spacing w:line="240" w:lineRule="exact"/>
              <w:rPr>
                <w:rtl/>
              </w:rPr>
            </w:pPr>
          </w:p>
        </w:tc>
      </w:tr>
      <w:tr w:rsidR="00CE4C07" w:rsidRPr="00C454B8" w14:paraId="1E1D83DD" w14:textId="77777777" w:rsidTr="0056132D">
        <w:tc>
          <w:tcPr>
            <w:tcW w:w="3100" w:type="dxa"/>
            <w:vAlign w:val="bottom"/>
          </w:tcPr>
          <w:p w14:paraId="64D4929D" w14:textId="77777777" w:rsidR="00CE4C07" w:rsidRPr="00C454B8" w:rsidRDefault="00CE4C07" w:rsidP="0056132D">
            <w:pPr>
              <w:pStyle w:val="a3"/>
              <w:tabs>
                <w:tab w:val="left" w:pos="227"/>
                <w:tab w:val="left" w:pos="397"/>
                <w:tab w:val="left" w:pos="567"/>
              </w:tabs>
              <w:rPr>
                <w:sz w:val="22"/>
                <w:u w:val="single"/>
                <w:rtl/>
              </w:rPr>
            </w:pPr>
          </w:p>
        </w:tc>
        <w:tc>
          <w:tcPr>
            <w:tcW w:w="142" w:type="dxa"/>
            <w:vAlign w:val="bottom"/>
          </w:tcPr>
          <w:p w14:paraId="4A097092" w14:textId="77777777" w:rsidR="00CE4C07" w:rsidRPr="0074065E" w:rsidRDefault="00CE4C07" w:rsidP="0056132D">
            <w:pPr>
              <w:spacing w:line="240" w:lineRule="exact"/>
              <w:rPr>
                <w:rtl/>
              </w:rPr>
            </w:pPr>
          </w:p>
        </w:tc>
        <w:tc>
          <w:tcPr>
            <w:tcW w:w="1132" w:type="dxa"/>
            <w:vAlign w:val="bottom"/>
          </w:tcPr>
          <w:p w14:paraId="67305B37" w14:textId="77777777" w:rsidR="00CE4C07" w:rsidRPr="0074065E" w:rsidRDefault="00CE4C07" w:rsidP="0056132D">
            <w:pPr>
              <w:spacing w:line="240" w:lineRule="exact"/>
              <w:rPr>
                <w:rtl/>
              </w:rPr>
            </w:pPr>
          </w:p>
        </w:tc>
        <w:tc>
          <w:tcPr>
            <w:tcW w:w="141" w:type="dxa"/>
            <w:vAlign w:val="bottom"/>
          </w:tcPr>
          <w:p w14:paraId="45284670" w14:textId="77777777" w:rsidR="00CE4C07" w:rsidRPr="0074065E" w:rsidRDefault="00CE4C07" w:rsidP="0056132D">
            <w:pPr>
              <w:spacing w:line="240" w:lineRule="exact"/>
              <w:rPr>
                <w:rtl/>
              </w:rPr>
            </w:pPr>
          </w:p>
        </w:tc>
        <w:tc>
          <w:tcPr>
            <w:tcW w:w="1276" w:type="dxa"/>
            <w:vAlign w:val="bottom"/>
          </w:tcPr>
          <w:p w14:paraId="35232163" w14:textId="77777777" w:rsidR="00CE4C07" w:rsidRPr="0074065E" w:rsidRDefault="00CE4C07" w:rsidP="0056132D">
            <w:pPr>
              <w:tabs>
                <w:tab w:val="decimal" w:pos="113"/>
              </w:tabs>
              <w:spacing w:line="240" w:lineRule="exact"/>
              <w:rPr>
                <w:rtl/>
              </w:rPr>
            </w:pPr>
          </w:p>
        </w:tc>
        <w:tc>
          <w:tcPr>
            <w:tcW w:w="142" w:type="dxa"/>
            <w:vAlign w:val="bottom"/>
          </w:tcPr>
          <w:p w14:paraId="1FC49F9E" w14:textId="77777777" w:rsidR="00CE4C07" w:rsidRPr="0074065E" w:rsidRDefault="00CE4C07" w:rsidP="0056132D">
            <w:pPr>
              <w:tabs>
                <w:tab w:val="decimal" w:pos="113"/>
              </w:tabs>
              <w:spacing w:line="240" w:lineRule="exact"/>
              <w:rPr>
                <w:rtl/>
              </w:rPr>
            </w:pPr>
          </w:p>
        </w:tc>
        <w:tc>
          <w:tcPr>
            <w:tcW w:w="1276" w:type="dxa"/>
            <w:vAlign w:val="bottom"/>
          </w:tcPr>
          <w:p w14:paraId="552C4345" w14:textId="77777777" w:rsidR="00CE4C07" w:rsidRPr="0074065E" w:rsidRDefault="00CE4C07" w:rsidP="0056132D">
            <w:pPr>
              <w:tabs>
                <w:tab w:val="decimal" w:pos="113"/>
              </w:tabs>
              <w:spacing w:line="240" w:lineRule="exact"/>
              <w:rPr>
                <w:rtl/>
              </w:rPr>
            </w:pPr>
          </w:p>
        </w:tc>
      </w:tr>
      <w:tr w:rsidR="00CE4C07" w:rsidRPr="00C454B8" w14:paraId="4C5F9E86" w14:textId="77777777" w:rsidTr="0056132D">
        <w:tc>
          <w:tcPr>
            <w:tcW w:w="3100" w:type="dxa"/>
            <w:vAlign w:val="bottom"/>
          </w:tcPr>
          <w:p w14:paraId="6D5867EF" w14:textId="77777777" w:rsidR="00CE4C07" w:rsidRDefault="00CE4C07" w:rsidP="0056132D">
            <w:pPr>
              <w:pStyle w:val="a3"/>
              <w:tabs>
                <w:tab w:val="left" w:pos="227"/>
                <w:tab w:val="left" w:pos="397"/>
                <w:tab w:val="left" w:pos="567"/>
              </w:tabs>
              <w:rPr>
                <w:sz w:val="22"/>
                <w:rtl/>
              </w:rPr>
            </w:pPr>
            <w:r>
              <w:rPr>
                <w:rFonts w:hint="cs"/>
                <w:sz w:val="22"/>
                <w:rtl/>
              </w:rPr>
              <w:t>מלאי</w:t>
            </w:r>
          </w:p>
        </w:tc>
        <w:tc>
          <w:tcPr>
            <w:tcW w:w="142" w:type="dxa"/>
            <w:vAlign w:val="bottom"/>
          </w:tcPr>
          <w:p w14:paraId="739833EE" w14:textId="77777777" w:rsidR="00CE4C07" w:rsidRPr="0074065E" w:rsidRDefault="00CE4C07" w:rsidP="0056132D">
            <w:pPr>
              <w:spacing w:line="240" w:lineRule="exact"/>
              <w:rPr>
                <w:rtl/>
              </w:rPr>
            </w:pPr>
          </w:p>
        </w:tc>
        <w:tc>
          <w:tcPr>
            <w:tcW w:w="1132" w:type="dxa"/>
            <w:tcBorders>
              <w:bottom w:val="double" w:sz="4" w:space="0" w:color="auto"/>
            </w:tcBorders>
            <w:vAlign w:val="bottom"/>
          </w:tcPr>
          <w:p w14:paraId="310D3842" w14:textId="77777777" w:rsidR="00CE4C07" w:rsidRPr="0074065E" w:rsidRDefault="00CE4C07" w:rsidP="0056132D">
            <w:pPr>
              <w:spacing w:line="240" w:lineRule="exact"/>
              <w:rPr>
                <w:rtl/>
              </w:rPr>
            </w:pPr>
          </w:p>
        </w:tc>
        <w:tc>
          <w:tcPr>
            <w:tcW w:w="141" w:type="dxa"/>
            <w:vAlign w:val="bottom"/>
          </w:tcPr>
          <w:p w14:paraId="63340D1F"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5EE85399" w14:textId="77777777" w:rsidR="00CE4C07" w:rsidRPr="0074065E" w:rsidRDefault="00CE4C07" w:rsidP="0056132D">
            <w:pPr>
              <w:tabs>
                <w:tab w:val="decimal" w:pos="113"/>
              </w:tabs>
              <w:spacing w:line="240" w:lineRule="exact"/>
              <w:rPr>
                <w:rtl/>
              </w:rPr>
            </w:pPr>
          </w:p>
        </w:tc>
        <w:tc>
          <w:tcPr>
            <w:tcW w:w="142" w:type="dxa"/>
            <w:vAlign w:val="bottom"/>
          </w:tcPr>
          <w:p w14:paraId="11DBFFA8" w14:textId="77777777" w:rsidR="00CE4C07" w:rsidRPr="0074065E" w:rsidRDefault="00CE4C07" w:rsidP="0056132D">
            <w:pPr>
              <w:tabs>
                <w:tab w:val="decimal" w:pos="113"/>
              </w:tabs>
              <w:spacing w:line="240" w:lineRule="exact"/>
              <w:rPr>
                <w:rtl/>
              </w:rPr>
            </w:pPr>
          </w:p>
        </w:tc>
        <w:tc>
          <w:tcPr>
            <w:tcW w:w="1276" w:type="dxa"/>
            <w:tcBorders>
              <w:bottom w:val="double" w:sz="4" w:space="0" w:color="auto"/>
            </w:tcBorders>
            <w:vAlign w:val="bottom"/>
          </w:tcPr>
          <w:p w14:paraId="3FEB9929" w14:textId="77777777" w:rsidR="00CE4C07" w:rsidRPr="0074065E" w:rsidRDefault="00CE4C07" w:rsidP="0056132D">
            <w:pPr>
              <w:tabs>
                <w:tab w:val="decimal" w:pos="113"/>
              </w:tabs>
              <w:spacing w:line="240" w:lineRule="exact"/>
              <w:rPr>
                <w:rtl/>
              </w:rPr>
            </w:pPr>
          </w:p>
        </w:tc>
      </w:tr>
      <w:tr w:rsidR="00CE4C07" w:rsidRPr="00C454B8" w14:paraId="72B6E0BF" w14:textId="77777777" w:rsidTr="0056132D">
        <w:tc>
          <w:tcPr>
            <w:tcW w:w="3100" w:type="dxa"/>
            <w:vAlign w:val="bottom"/>
          </w:tcPr>
          <w:p w14:paraId="0B515259" w14:textId="77777777" w:rsidR="00CE4C07" w:rsidRDefault="00CE4C07" w:rsidP="0056132D">
            <w:pPr>
              <w:pStyle w:val="a3"/>
              <w:tabs>
                <w:tab w:val="left" w:pos="227"/>
                <w:tab w:val="left" w:pos="397"/>
                <w:tab w:val="left" w:pos="567"/>
              </w:tabs>
              <w:rPr>
                <w:sz w:val="22"/>
                <w:rtl/>
              </w:rPr>
            </w:pPr>
            <w:r>
              <w:rPr>
                <w:rFonts w:hint="cs"/>
                <w:sz w:val="22"/>
                <w:rtl/>
              </w:rPr>
              <w:t>מסים נדחים</w:t>
            </w:r>
          </w:p>
        </w:tc>
        <w:tc>
          <w:tcPr>
            <w:tcW w:w="142" w:type="dxa"/>
            <w:vAlign w:val="bottom"/>
          </w:tcPr>
          <w:p w14:paraId="49D0E7BD" w14:textId="77777777" w:rsidR="00CE4C07" w:rsidRPr="0074065E" w:rsidRDefault="00CE4C07" w:rsidP="0056132D">
            <w:pPr>
              <w:spacing w:line="240" w:lineRule="exact"/>
              <w:rPr>
                <w:rtl/>
              </w:rPr>
            </w:pPr>
          </w:p>
        </w:tc>
        <w:tc>
          <w:tcPr>
            <w:tcW w:w="1132" w:type="dxa"/>
            <w:tcBorders>
              <w:top w:val="double" w:sz="4" w:space="0" w:color="auto"/>
              <w:bottom w:val="double" w:sz="4" w:space="0" w:color="auto"/>
            </w:tcBorders>
            <w:vAlign w:val="bottom"/>
          </w:tcPr>
          <w:p w14:paraId="6E571B78" w14:textId="77777777" w:rsidR="00CE4C07" w:rsidRPr="0074065E" w:rsidRDefault="00CE4C07" w:rsidP="0056132D">
            <w:pPr>
              <w:spacing w:line="240" w:lineRule="exact"/>
              <w:rPr>
                <w:rtl/>
              </w:rPr>
            </w:pPr>
          </w:p>
        </w:tc>
        <w:tc>
          <w:tcPr>
            <w:tcW w:w="141" w:type="dxa"/>
            <w:vAlign w:val="bottom"/>
          </w:tcPr>
          <w:p w14:paraId="1EC5B452"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21A36CA8" w14:textId="77777777" w:rsidR="00CE4C07" w:rsidRPr="0074065E" w:rsidRDefault="00CE4C07" w:rsidP="0056132D">
            <w:pPr>
              <w:tabs>
                <w:tab w:val="decimal" w:pos="113"/>
              </w:tabs>
              <w:spacing w:line="240" w:lineRule="exact"/>
              <w:rPr>
                <w:rtl/>
              </w:rPr>
            </w:pPr>
          </w:p>
        </w:tc>
        <w:tc>
          <w:tcPr>
            <w:tcW w:w="142" w:type="dxa"/>
            <w:vAlign w:val="bottom"/>
          </w:tcPr>
          <w:p w14:paraId="158C2BB8" w14:textId="77777777" w:rsidR="00CE4C07" w:rsidRPr="0074065E" w:rsidRDefault="00CE4C07" w:rsidP="0056132D">
            <w:pPr>
              <w:tabs>
                <w:tab w:val="decimal" w:pos="113"/>
              </w:tabs>
              <w:spacing w:line="240" w:lineRule="exact"/>
              <w:rPr>
                <w:rtl/>
              </w:rPr>
            </w:pPr>
          </w:p>
        </w:tc>
        <w:tc>
          <w:tcPr>
            <w:tcW w:w="1276" w:type="dxa"/>
            <w:tcBorders>
              <w:top w:val="double" w:sz="4" w:space="0" w:color="auto"/>
              <w:bottom w:val="double" w:sz="4" w:space="0" w:color="auto"/>
            </w:tcBorders>
            <w:vAlign w:val="bottom"/>
          </w:tcPr>
          <w:p w14:paraId="3D75FEA5" w14:textId="77777777" w:rsidR="00CE4C07" w:rsidRPr="0074065E" w:rsidRDefault="00CE4C07" w:rsidP="0056132D">
            <w:pPr>
              <w:tabs>
                <w:tab w:val="decimal" w:pos="113"/>
              </w:tabs>
              <w:spacing w:line="240" w:lineRule="exact"/>
              <w:rPr>
                <w:rtl/>
              </w:rPr>
            </w:pPr>
          </w:p>
        </w:tc>
      </w:tr>
      <w:tr w:rsidR="00CE4C07" w:rsidRPr="00C454B8" w14:paraId="05C407C0" w14:textId="77777777" w:rsidTr="0056132D">
        <w:tc>
          <w:tcPr>
            <w:tcW w:w="3100" w:type="dxa"/>
            <w:vAlign w:val="bottom"/>
          </w:tcPr>
          <w:p w14:paraId="6CD8F34C" w14:textId="77777777" w:rsidR="00CE4C07" w:rsidRDefault="00CE4C07" w:rsidP="0056132D">
            <w:pPr>
              <w:pStyle w:val="a3"/>
              <w:tabs>
                <w:tab w:val="left" w:pos="227"/>
                <w:tab w:val="left" w:pos="397"/>
                <w:tab w:val="left" w:pos="567"/>
              </w:tabs>
              <w:rPr>
                <w:sz w:val="22"/>
                <w:rtl/>
              </w:rPr>
            </w:pPr>
            <w:r>
              <w:rPr>
                <w:rFonts w:hint="cs"/>
                <w:sz w:val="22"/>
                <w:rtl/>
              </w:rPr>
              <w:t>יתרת רווח (הפסד)</w:t>
            </w:r>
          </w:p>
        </w:tc>
        <w:tc>
          <w:tcPr>
            <w:tcW w:w="142" w:type="dxa"/>
            <w:vAlign w:val="bottom"/>
          </w:tcPr>
          <w:p w14:paraId="59FAAACF" w14:textId="77777777" w:rsidR="00CE4C07" w:rsidRPr="0074065E" w:rsidRDefault="00CE4C07" w:rsidP="0056132D">
            <w:pPr>
              <w:spacing w:line="240" w:lineRule="exact"/>
              <w:rPr>
                <w:rtl/>
              </w:rPr>
            </w:pPr>
          </w:p>
        </w:tc>
        <w:tc>
          <w:tcPr>
            <w:tcW w:w="1132" w:type="dxa"/>
            <w:tcBorders>
              <w:top w:val="double" w:sz="4" w:space="0" w:color="auto"/>
              <w:bottom w:val="double" w:sz="4" w:space="0" w:color="auto"/>
            </w:tcBorders>
            <w:vAlign w:val="bottom"/>
          </w:tcPr>
          <w:p w14:paraId="0077BF50" w14:textId="77777777" w:rsidR="00CE4C07" w:rsidRPr="0074065E" w:rsidRDefault="00CE4C07" w:rsidP="0056132D">
            <w:pPr>
              <w:spacing w:line="240" w:lineRule="exact"/>
              <w:rPr>
                <w:rtl/>
              </w:rPr>
            </w:pPr>
          </w:p>
        </w:tc>
        <w:tc>
          <w:tcPr>
            <w:tcW w:w="141" w:type="dxa"/>
            <w:vAlign w:val="bottom"/>
          </w:tcPr>
          <w:p w14:paraId="0CF31A0F"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653B7B8D" w14:textId="77777777" w:rsidR="00CE4C07" w:rsidRPr="0074065E" w:rsidRDefault="00CE4C07" w:rsidP="0056132D">
            <w:pPr>
              <w:tabs>
                <w:tab w:val="decimal" w:pos="113"/>
              </w:tabs>
              <w:spacing w:line="240" w:lineRule="exact"/>
              <w:rPr>
                <w:rtl/>
              </w:rPr>
            </w:pPr>
          </w:p>
        </w:tc>
        <w:tc>
          <w:tcPr>
            <w:tcW w:w="142" w:type="dxa"/>
            <w:vAlign w:val="bottom"/>
          </w:tcPr>
          <w:p w14:paraId="35FFCE37" w14:textId="77777777" w:rsidR="00CE4C07" w:rsidRPr="0074065E" w:rsidRDefault="00CE4C07" w:rsidP="0056132D">
            <w:pPr>
              <w:tabs>
                <w:tab w:val="decimal" w:pos="113"/>
              </w:tabs>
              <w:spacing w:line="240" w:lineRule="exact"/>
              <w:rPr>
                <w:rtl/>
              </w:rPr>
            </w:pPr>
          </w:p>
        </w:tc>
        <w:tc>
          <w:tcPr>
            <w:tcW w:w="1276" w:type="dxa"/>
            <w:tcBorders>
              <w:top w:val="double" w:sz="4" w:space="0" w:color="auto"/>
              <w:bottom w:val="double" w:sz="4" w:space="0" w:color="auto"/>
            </w:tcBorders>
            <w:vAlign w:val="bottom"/>
          </w:tcPr>
          <w:p w14:paraId="3196EB0C" w14:textId="77777777" w:rsidR="00CE4C07" w:rsidRPr="0074065E" w:rsidRDefault="00CE4C07" w:rsidP="0056132D">
            <w:pPr>
              <w:tabs>
                <w:tab w:val="decimal" w:pos="113"/>
              </w:tabs>
              <w:spacing w:line="240" w:lineRule="exact"/>
              <w:rPr>
                <w:rtl/>
              </w:rPr>
            </w:pPr>
          </w:p>
        </w:tc>
      </w:tr>
      <w:tr w:rsidR="00CE4C07" w:rsidRPr="00C454B8" w14:paraId="2AC696A0" w14:textId="77777777" w:rsidTr="0056132D">
        <w:tc>
          <w:tcPr>
            <w:tcW w:w="3100" w:type="dxa"/>
            <w:vAlign w:val="bottom"/>
          </w:tcPr>
          <w:p w14:paraId="4C6A02CD" w14:textId="77777777" w:rsidR="00CE4C07" w:rsidRDefault="00CE4C07" w:rsidP="0056132D">
            <w:pPr>
              <w:pStyle w:val="a3"/>
              <w:tabs>
                <w:tab w:val="left" w:pos="227"/>
                <w:tab w:val="left" w:pos="397"/>
                <w:tab w:val="left" w:pos="567"/>
              </w:tabs>
              <w:rPr>
                <w:sz w:val="22"/>
                <w:rtl/>
              </w:rPr>
            </w:pPr>
            <w:r>
              <w:rPr>
                <w:rFonts w:hint="cs"/>
                <w:sz w:val="22"/>
                <w:rtl/>
              </w:rPr>
              <w:t>זכויות שאינן מקנות שליטה</w:t>
            </w:r>
          </w:p>
        </w:tc>
        <w:tc>
          <w:tcPr>
            <w:tcW w:w="142" w:type="dxa"/>
            <w:vAlign w:val="bottom"/>
          </w:tcPr>
          <w:p w14:paraId="19FA5934" w14:textId="77777777" w:rsidR="00CE4C07" w:rsidRPr="0074065E" w:rsidRDefault="00CE4C07" w:rsidP="0056132D">
            <w:pPr>
              <w:spacing w:line="240" w:lineRule="exact"/>
              <w:rPr>
                <w:rtl/>
              </w:rPr>
            </w:pPr>
          </w:p>
        </w:tc>
        <w:tc>
          <w:tcPr>
            <w:tcW w:w="1132" w:type="dxa"/>
            <w:tcBorders>
              <w:top w:val="double" w:sz="4" w:space="0" w:color="auto"/>
              <w:bottom w:val="double" w:sz="4" w:space="0" w:color="auto"/>
            </w:tcBorders>
            <w:vAlign w:val="bottom"/>
          </w:tcPr>
          <w:p w14:paraId="343CD47E" w14:textId="77777777" w:rsidR="00CE4C07" w:rsidRPr="0074065E" w:rsidRDefault="00CE4C07" w:rsidP="0056132D">
            <w:pPr>
              <w:spacing w:line="240" w:lineRule="exact"/>
              <w:rPr>
                <w:rtl/>
              </w:rPr>
            </w:pPr>
          </w:p>
        </w:tc>
        <w:tc>
          <w:tcPr>
            <w:tcW w:w="141" w:type="dxa"/>
            <w:vAlign w:val="bottom"/>
          </w:tcPr>
          <w:p w14:paraId="1CB0ACE2"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40E51C0A" w14:textId="77777777" w:rsidR="00CE4C07" w:rsidRPr="0074065E" w:rsidRDefault="00CE4C07" w:rsidP="0056132D">
            <w:pPr>
              <w:tabs>
                <w:tab w:val="decimal" w:pos="113"/>
              </w:tabs>
              <w:spacing w:line="240" w:lineRule="exact"/>
              <w:rPr>
                <w:rtl/>
              </w:rPr>
            </w:pPr>
          </w:p>
        </w:tc>
        <w:tc>
          <w:tcPr>
            <w:tcW w:w="142" w:type="dxa"/>
            <w:vAlign w:val="bottom"/>
          </w:tcPr>
          <w:p w14:paraId="30717F7B" w14:textId="77777777" w:rsidR="00CE4C07" w:rsidRPr="0074065E" w:rsidRDefault="00CE4C07" w:rsidP="0056132D">
            <w:pPr>
              <w:tabs>
                <w:tab w:val="decimal" w:pos="113"/>
              </w:tabs>
              <w:spacing w:line="240" w:lineRule="exact"/>
              <w:rPr>
                <w:rtl/>
              </w:rPr>
            </w:pPr>
          </w:p>
        </w:tc>
        <w:tc>
          <w:tcPr>
            <w:tcW w:w="1276" w:type="dxa"/>
            <w:tcBorders>
              <w:top w:val="double" w:sz="4" w:space="0" w:color="auto"/>
              <w:bottom w:val="double" w:sz="4" w:space="0" w:color="auto"/>
            </w:tcBorders>
            <w:vAlign w:val="bottom"/>
          </w:tcPr>
          <w:p w14:paraId="0D344EFA" w14:textId="77777777" w:rsidR="00CE4C07" w:rsidRPr="0074065E" w:rsidRDefault="00CE4C07" w:rsidP="0056132D">
            <w:pPr>
              <w:tabs>
                <w:tab w:val="decimal" w:pos="113"/>
              </w:tabs>
              <w:spacing w:line="240" w:lineRule="exact"/>
              <w:rPr>
                <w:rtl/>
              </w:rPr>
            </w:pPr>
          </w:p>
        </w:tc>
      </w:tr>
      <w:tr w:rsidR="00CE4C07" w:rsidRPr="00C454B8" w14:paraId="7BB113F9" w14:textId="77777777" w:rsidTr="0056132D">
        <w:tc>
          <w:tcPr>
            <w:tcW w:w="3100" w:type="dxa"/>
            <w:vAlign w:val="bottom"/>
          </w:tcPr>
          <w:p w14:paraId="1F8D4EBF" w14:textId="77777777" w:rsidR="00CE4C07" w:rsidRPr="00C454B8" w:rsidRDefault="00CE4C07" w:rsidP="0056132D">
            <w:pPr>
              <w:pStyle w:val="a3"/>
              <w:tabs>
                <w:tab w:val="left" w:pos="227"/>
                <w:tab w:val="left" w:pos="397"/>
                <w:tab w:val="left" w:pos="567"/>
              </w:tabs>
              <w:rPr>
                <w:sz w:val="22"/>
                <w:u w:val="single"/>
                <w:rtl/>
              </w:rPr>
            </w:pPr>
          </w:p>
        </w:tc>
        <w:tc>
          <w:tcPr>
            <w:tcW w:w="142" w:type="dxa"/>
            <w:vAlign w:val="bottom"/>
          </w:tcPr>
          <w:p w14:paraId="0B12A7F8" w14:textId="77777777" w:rsidR="00CE4C07" w:rsidRPr="0074065E" w:rsidRDefault="00CE4C07" w:rsidP="0056132D">
            <w:pPr>
              <w:spacing w:line="240" w:lineRule="exact"/>
              <w:rPr>
                <w:rtl/>
              </w:rPr>
            </w:pPr>
          </w:p>
        </w:tc>
        <w:tc>
          <w:tcPr>
            <w:tcW w:w="1132" w:type="dxa"/>
            <w:tcBorders>
              <w:top w:val="double" w:sz="4" w:space="0" w:color="auto"/>
            </w:tcBorders>
            <w:vAlign w:val="bottom"/>
          </w:tcPr>
          <w:p w14:paraId="65C27982" w14:textId="77777777" w:rsidR="00CE4C07" w:rsidRPr="0074065E" w:rsidRDefault="00CE4C07" w:rsidP="0056132D">
            <w:pPr>
              <w:spacing w:line="240" w:lineRule="exact"/>
              <w:rPr>
                <w:rtl/>
              </w:rPr>
            </w:pPr>
          </w:p>
        </w:tc>
        <w:tc>
          <w:tcPr>
            <w:tcW w:w="141" w:type="dxa"/>
            <w:vAlign w:val="bottom"/>
          </w:tcPr>
          <w:p w14:paraId="70BC54B4" w14:textId="77777777" w:rsidR="00CE4C07" w:rsidRPr="0074065E" w:rsidRDefault="00CE4C07" w:rsidP="0056132D">
            <w:pPr>
              <w:spacing w:line="240" w:lineRule="exact"/>
              <w:rPr>
                <w:rtl/>
              </w:rPr>
            </w:pPr>
          </w:p>
        </w:tc>
        <w:tc>
          <w:tcPr>
            <w:tcW w:w="1276" w:type="dxa"/>
            <w:tcBorders>
              <w:top w:val="double" w:sz="4" w:space="0" w:color="auto"/>
            </w:tcBorders>
            <w:vAlign w:val="bottom"/>
          </w:tcPr>
          <w:p w14:paraId="040A6D7D" w14:textId="77777777" w:rsidR="00CE4C07" w:rsidRPr="0074065E" w:rsidRDefault="00CE4C07" w:rsidP="0056132D">
            <w:pPr>
              <w:tabs>
                <w:tab w:val="decimal" w:pos="113"/>
              </w:tabs>
              <w:spacing w:line="240" w:lineRule="exact"/>
              <w:rPr>
                <w:rtl/>
              </w:rPr>
            </w:pPr>
          </w:p>
        </w:tc>
        <w:tc>
          <w:tcPr>
            <w:tcW w:w="142" w:type="dxa"/>
            <w:vAlign w:val="bottom"/>
          </w:tcPr>
          <w:p w14:paraId="1F16FDB3" w14:textId="77777777" w:rsidR="00CE4C07" w:rsidRPr="0074065E" w:rsidRDefault="00CE4C07" w:rsidP="0056132D">
            <w:pPr>
              <w:tabs>
                <w:tab w:val="decimal" w:pos="113"/>
              </w:tabs>
              <w:spacing w:line="240" w:lineRule="exact"/>
              <w:rPr>
                <w:rtl/>
              </w:rPr>
            </w:pPr>
          </w:p>
        </w:tc>
        <w:tc>
          <w:tcPr>
            <w:tcW w:w="1276" w:type="dxa"/>
            <w:tcBorders>
              <w:top w:val="double" w:sz="4" w:space="0" w:color="auto"/>
            </w:tcBorders>
            <w:vAlign w:val="bottom"/>
          </w:tcPr>
          <w:p w14:paraId="500F72B9" w14:textId="77777777" w:rsidR="00CE4C07" w:rsidRPr="0074065E" w:rsidRDefault="00CE4C07" w:rsidP="0056132D">
            <w:pPr>
              <w:tabs>
                <w:tab w:val="decimal" w:pos="113"/>
              </w:tabs>
              <w:spacing w:line="240" w:lineRule="exact"/>
              <w:rPr>
                <w:rtl/>
              </w:rPr>
            </w:pPr>
          </w:p>
        </w:tc>
      </w:tr>
    </w:tbl>
    <w:p w14:paraId="53581F75" w14:textId="77777777" w:rsidR="00CE4C07" w:rsidRDefault="00CE4C07" w:rsidP="00CE4C07">
      <w:pPr>
        <w:ind w:left="1701"/>
        <w:rPr>
          <w:rFonts w:ascii="Narkisim" w:hAnsi="Narkisim"/>
          <w:rtl/>
        </w:rPr>
      </w:pPr>
    </w:p>
    <w:p w14:paraId="76BBA9D6" w14:textId="77777777" w:rsidR="00CE4C07" w:rsidRPr="00F32493" w:rsidRDefault="00CE4C07" w:rsidP="00CE4C07">
      <w:pPr>
        <w:ind w:left="1701"/>
        <w:rPr>
          <w:rFonts w:ascii="Narkisim" w:hAnsi="Narkisim"/>
          <w:rtl/>
        </w:rPr>
      </w:pPr>
    </w:p>
    <w:p w14:paraId="186F6AE2" w14:textId="77777777" w:rsidR="00CE4C07" w:rsidRDefault="00CE4C07" w:rsidP="00CE4C07">
      <w:pPr>
        <w:pStyle w:val="41"/>
        <w:rPr>
          <w:u w:val="single"/>
          <w:rtl/>
        </w:rPr>
      </w:pPr>
    </w:p>
    <w:p w14:paraId="05642890" w14:textId="77777777" w:rsidR="00CE4C07" w:rsidRDefault="00CE4C07" w:rsidP="00CE4C07">
      <w:pPr>
        <w:pStyle w:val="41"/>
        <w:rPr>
          <w:u w:val="single"/>
          <w:rtl/>
        </w:rPr>
      </w:pPr>
    </w:p>
    <w:p w14:paraId="6E74C239" w14:textId="77777777" w:rsidR="00CE4C07" w:rsidRDefault="00CE4C07" w:rsidP="00CE4C07">
      <w:pPr>
        <w:pStyle w:val="41"/>
        <w:rPr>
          <w:u w:val="single"/>
          <w:rtl/>
        </w:rPr>
      </w:pPr>
    </w:p>
    <w:p w14:paraId="104C0177" w14:textId="77777777" w:rsidR="00CE4C07" w:rsidRDefault="00CE4C07" w:rsidP="00CE4C07">
      <w:pPr>
        <w:pStyle w:val="41"/>
        <w:rPr>
          <w:u w:val="single"/>
          <w:rtl/>
        </w:rPr>
      </w:pPr>
    </w:p>
    <w:p w14:paraId="4EE0F657" w14:textId="77777777" w:rsidR="00CE4C07" w:rsidRDefault="00CE4C07" w:rsidP="00CE4C07">
      <w:pPr>
        <w:pStyle w:val="41"/>
        <w:rPr>
          <w:u w:val="single"/>
          <w:rtl/>
        </w:rPr>
      </w:pPr>
    </w:p>
    <w:p w14:paraId="612F762B" w14:textId="77777777" w:rsidR="002B1E97" w:rsidRDefault="002B1E97" w:rsidP="00CE4C07">
      <w:pPr>
        <w:pStyle w:val="41"/>
        <w:rPr>
          <w:u w:val="single"/>
          <w:rtl/>
        </w:rPr>
      </w:pPr>
    </w:p>
    <w:p w14:paraId="74D52A48" w14:textId="77777777" w:rsidR="002B1E97" w:rsidRDefault="002B1E97" w:rsidP="00CE4C07">
      <w:pPr>
        <w:pStyle w:val="41"/>
        <w:rPr>
          <w:u w:val="single"/>
          <w:rtl/>
        </w:rPr>
      </w:pPr>
    </w:p>
    <w:p w14:paraId="30C4041E" w14:textId="77777777" w:rsidR="002B1E97" w:rsidRDefault="002B1E97" w:rsidP="00CE4C07">
      <w:pPr>
        <w:pStyle w:val="41"/>
        <w:rPr>
          <w:u w:val="single"/>
          <w:rtl/>
        </w:rPr>
      </w:pPr>
    </w:p>
    <w:p w14:paraId="6ADEC564" w14:textId="77777777" w:rsidR="002B1E97" w:rsidRDefault="002B1E97" w:rsidP="00CE4C07">
      <w:pPr>
        <w:pStyle w:val="41"/>
        <w:rPr>
          <w:u w:val="single"/>
          <w:rtl/>
        </w:rPr>
      </w:pPr>
    </w:p>
    <w:p w14:paraId="7F478D01" w14:textId="77777777" w:rsidR="002B1E97" w:rsidRDefault="002B1E97" w:rsidP="00CE4C07">
      <w:pPr>
        <w:pStyle w:val="41"/>
        <w:rPr>
          <w:u w:val="single"/>
          <w:rtl/>
        </w:rPr>
      </w:pPr>
    </w:p>
    <w:p w14:paraId="76F94CFB" w14:textId="77777777" w:rsidR="002B1E97" w:rsidRDefault="002B1E97" w:rsidP="00CE4C07">
      <w:pPr>
        <w:pStyle w:val="41"/>
        <w:rPr>
          <w:u w:val="single"/>
          <w:rtl/>
        </w:rPr>
      </w:pPr>
    </w:p>
    <w:p w14:paraId="550B2F7F" w14:textId="77777777" w:rsidR="002B1E97" w:rsidRDefault="002B1E97" w:rsidP="00CE4C07">
      <w:pPr>
        <w:pStyle w:val="41"/>
        <w:rPr>
          <w:u w:val="single"/>
          <w:rtl/>
        </w:rPr>
      </w:pPr>
    </w:p>
    <w:p w14:paraId="2929EDC9" w14:textId="77777777" w:rsidR="002B1E97" w:rsidRDefault="002B1E97" w:rsidP="00CE4C07">
      <w:pPr>
        <w:pStyle w:val="41"/>
        <w:rPr>
          <w:u w:val="single"/>
          <w:rtl/>
        </w:rPr>
      </w:pPr>
    </w:p>
    <w:p w14:paraId="4893F8E8" w14:textId="77777777" w:rsidR="002B1E97" w:rsidRDefault="002B1E97" w:rsidP="00CE4C07">
      <w:pPr>
        <w:pStyle w:val="41"/>
        <w:rPr>
          <w:u w:val="single"/>
          <w:rtl/>
        </w:rPr>
      </w:pPr>
    </w:p>
    <w:p w14:paraId="6FC0C1A8" w14:textId="77777777" w:rsidR="002B1E97" w:rsidRDefault="002B1E97" w:rsidP="00CE4C07">
      <w:pPr>
        <w:pStyle w:val="41"/>
        <w:rPr>
          <w:u w:val="single"/>
          <w:rtl/>
        </w:rPr>
      </w:pPr>
    </w:p>
    <w:p w14:paraId="50D24104" w14:textId="77777777" w:rsidR="002B1E97" w:rsidRDefault="002B1E97" w:rsidP="00CE4C07">
      <w:pPr>
        <w:pStyle w:val="41"/>
        <w:rPr>
          <w:u w:val="single"/>
          <w:rtl/>
        </w:rPr>
      </w:pPr>
    </w:p>
    <w:p w14:paraId="2D152161" w14:textId="77777777" w:rsidR="002B1E97" w:rsidRDefault="002B1E97" w:rsidP="00CE4C07">
      <w:pPr>
        <w:pStyle w:val="41"/>
        <w:rPr>
          <w:u w:val="single"/>
          <w:rtl/>
        </w:rPr>
      </w:pPr>
    </w:p>
    <w:p w14:paraId="1EAE416F" w14:textId="77777777" w:rsidR="002B1E97" w:rsidRDefault="002B1E97" w:rsidP="00CE4C07">
      <w:pPr>
        <w:pStyle w:val="41"/>
        <w:rPr>
          <w:u w:val="single"/>
          <w:rtl/>
        </w:rPr>
      </w:pPr>
    </w:p>
    <w:p w14:paraId="4063AD26" w14:textId="77777777" w:rsidR="00CE4C07" w:rsidRDefault="00CE4C07" w:rsidP="00CE4C07">
      <w:pPr>
        <w:pStyle w:val="41"/>
        <w:rPr>
          <w:u w:val="single"/>
          <w:rtl/>
        </w:rPr>
      </w:pPr>
    </w:p>
    <w:p w14:paraId="143D6ED2" w14:textId="77777777" w:rsidR="0056132D" w:rsidRPr="00351624" w:rsidRDefault="0056132D" w:rsidP="0056132D">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13D13181" w14:textId="77777777" w:rsidR="0056132D" w:rsidRPr="00351624" w:rsidRDefault="0056132D" w:rsidP="0056132D">
      <w:pPr>
        <w:tabs>
          <w:tab w:val="left" w:pos="1134"/>
        </w:tabs>
        <w:ind w:left="1134" w:hanging="1134"/>
        <w:rPr>
          <w:rtl/>
        </w:rPr>
      </w:pPr>
    </w:p>
    <w:p w14:paraId="5B64D2B7" w14:textId="0E19934D" w:rsidR="0056132D" w:rsidRPr="00ED7BA1" w:rsidRDefault="002B1E97" w:rsidP="0056132D">
      <w:pPr>
        <w:pStyle w:val="21"/>
      </w:pPr>
      <w:r>
        <w:rPr>
          <w:rFonts w:hint="cs"/>
          <w:rtl/>
        </w:rPr>
        <w:t>ד</w:t>
      </w:r>
      <w:r w:rsidR="0056132D" w:rsidRPr="00831F9D">
        <w:rPr>
          <w:rFonts w:hint="cs"/>
          <w:rtl/>
        </w:rPr>
        <w:t xml:space="preserve">. </w:t>
      </w:r>
      <w:r w:rsidR="0056132D">
        <w:rPr>
          <w:rtl/>
        </w:rPr>
        <w:tab/>
      </w:r>
      <w:r w:rsidR="0056132D" w:rsidRPr="003776A6">
        <w:rPr>
          <w:rFonts w:hint="cs"/>
          <w:u w:val="single"/>
          <w:rtl/>
        </w:rPr>
        <w:t>יישום למפרע בעקב</w:t>
      </w:r>
      <w:r w:rsidR="0056132D">
        <w:rPr>
          <w:rFonts w:hint="cs"/>
          <w:u w:val="single"/>
          <w:rtl/>
        </w:rPr>
        <w:t>ות שינוי מדיניות</w:t>
      </w:r>
      <w:r w:rsidR="0056132D">
        <w:rPr>
          <w:rFonts w:hint="cs"/>
          <w:rtl/>
        </w:rPr>
        <w:t xml:space="preserve"> (המשך)</w:t>
      </w:r>
    </w:p>
    <w:p w14:paraId="45F4A0CE" w14:textId="77777777" w:rsidR="0056132D" w:rsidRDefault="0056132D" w:rsidP="0056132D">
      <w:pPr>
        <w:pStyle w:val="30"/>
        <w:ind w:left="1701" w:firstLine="0"/>
        <w:rPr>
          <w:highlight w:val="lightGray"/>
          <w:u w:val="single"/>
          <w:rtl/>
        </w:rPr>
      </w:pPr>
    </w:p>
    <w:p w14:paraId="54C9CF02" w14:textId="77777777" w:rsidR="0056132D" w:rsidRDefault="0056132D" w:rsidP="0056132D">
      <w:pPr>
        <w:pStyle w:val="30"/>
        <w:tabs>
          <w:tab w:val="clear" w:pos="1701"/>
          <w:tab w:val="clear" w:pos="2268"/>
          <w:tab w:val="left" w:pos="1417"/>
          <w:tab w:val="left" w:pos="1842"/>
        </w:tabs>
        <w:ind w:left="1701" w:hanging="284"/>
        <w:rPr>
          <w:u w:val="single"/>
          <w:rtl/>
        </w:rPr>
      </w:pPr>
      <w:r>
        <w:rPr>
          <w:rFonts w:hint="cs"/>
          <w:rtl/>
        </w:rPr>
        <w:t>2</w:t>
      </w:r>
      <w:r w:rsidRPr="00AC6EE8">
        <w:rPr>
          <w:rtl/>
        </w:rPr>
        <w:t xml:space="preserve">.   </w:t>
      </w:r>
      <w:r>
        <w:rPr>
          <w:rtl/>
        </w:rPr>
        <w:tab/>
      </w:r>
      <w:r>
        <w:rPr>
          <w:rFonts w:hint="cs"/>
          <w:u w:val="single"/>
          <w:rtl/>
        </w:rPr>
        <w:t>שינוי מדיניות חשבונאית בנושא היוון עלויות אשראי</w:t>
      </w:r>
      <w:r w:rsidRPr="00603732">
        <w:rPr>
          <w:rFonts w:hint="cs"/>
          <w:rtl/>
        </w:rPr>
        <w:t xml:space="preserve"> (המשך)</w:t>
      </w:r>
    </w:p>
    <w:p w14:paraId="34BAB17D" w14:textId="77777777" w:rsidR="00CE4C07" w:rsidRDefault="00CE4C07" w:rsidP="00CE4C07">
      <w:pPr>
        <w:pStyle w:val="41"/>
        <w:rPr>
          <w:u w:val="single"/>
          <w:rtl/>
        </w:rPr>
      </w:pPr>
    </w:p>
    <w:p w14:paraId="7937D0A3" w14:textId="77777777" w:rsidR="00CE4C07" w:rsidRDefault="00CE4C07" w:rsidP="0056132D">
      <w:pPr>
        <w:pStyle w:val="41"/>
        <w:ind w:hanging="993"/>
        <w:rPr>
          <w:rtl/>
        </w:rPr>
      </w:pPr>
      <w:r w:rsidRPr="001958C9">
        <w:rPr>
          <w:u w:val="single"/>
          <w:rtl/>
        </w:rPr>
        <w:t>בדוח</w:t>
      </w:r>
      <w:r w:rsidRPr="001958C9">
        <w:rPr>
          <w:rFonts w:hint="eastAsia"/>
          <w:u w:val="single"/>
          <w:rtl/>
        </w:rPr>
        <w:t>ות</w:t>
      </w:r>
      <w:r w:rsidRPr="001958C9">
        <w:rPr>
          <w:u w:val="single"/>
          <w:rtl/>
        </w:rPr>
        <w:t xml:space="preserve"> </w:t>
      </w:r>
      <w:r w:rsidRPr="001958C9">
        <w:rPr>
          <w:rFonts w:hint="eastAsia"/>
          <w:u w:val="single"/>
          <w:rtl/>
        </w:rPr>
        <w:t>המאוחדים</w:t>
      </w:r>
      <w:r w:rsidRPr="001958C9">
        <w:rPr>
          <w:u w:val="single"/>
          <w:rtl/>
        </w:rPr>
        <w:t xml:space="preserve"> </w:t>
      </w:r>
      <w:r w:rsidRPr="001958C9">
        <w:rPr>
          <w:rFonts w:hint="eastAsia"/>
          <w:u w:val="single"/>
          <w:rtl/>
        </w:rPr>
        <w:t>על</w:t>
      </w:r>
      <w:r w:rsidRPr="001958C9">
        <w:rPr>
          <w:u w:val="single"/>
          <w:rtl/>
        </w:rPr>
        <w:t xml:space="preserve"> הרווח </w:t>
      </w:r>
      <w:r w:rsidRPr="001958C9">
        <w:rPr>
          <w:rFonts w:hint="cs"/>
          <w:u w:val="single"/>
          <w:rtl/>
        </w:rPr>
        <w:t xml:space="preserve">או </w:t>
      </w:r>
      <w:r w:rsidRPr="001958C9">
        <w:rPr>
          <w:rFonts w:hint="eastAsia"/>
          <w:u w:val="single"/>
          <w:rtl/>
        </w:rPr>
        <w:t>הפסד</w:t>
      </w:r>
      <w:r w:rsidRPr="001958C9">
        <w:rPr>
          <w:rFonts w:hint="cs"/>
          <w:u w:val="single"/>
          <w:rtl/>
        </w:rPr>
        <w:t xml:space="preserve"> ורווח כולל אחר</w:t>
      </w:r>
      <w:r>
        <w:rPr>
          <w:rStyle w:val="ab"/>
          <w:u w:val="single"/>
          <w:rtl/>
        </w:rPr>
        <w:footnoteReference w:id="85"/>
      </w:r>
    </w:p>
    <w:p w14:paraId="6D4C0150" w14:textId="77777777" w:rsidR="00CE4C07" w:rsidRDefault="00CE4C07" w:rsidP="00CE4C07">
      <w:pPr>
        <w:pStyle w:val="30"/>
        <w:ind w:left="1701"/>
        <w:rPr>
          <w:u w:val="single"/>
          <w:rtl/>
        </w:rPr>
      </w:pPr>
    </w:p>
    <w:tbl>
      <w:tblPr>
        <w:bidiVisual/>
        <w:tblW w:w="7405" w:type="dxa"/>
        <w:tblInd w:w="2234" w:type="dxa"/>
        <w:tblLayout w:type="fixed"/>
        <w:tblCellMar>
          <w:left w:w="0" w:type="dxa"/>
          <w:right w:w="0" w:type="dxa"/>
        </w:tblCellMar>
        <w:tblLook w:val="0000" w:firstRow="0" w:lastRow="0" w:firstColumn="0" w:lastColumn="0" w:noHBand="0" w:noVBand="0"/>
      </w:tblPr>
      <w:tblGrid>
        <w:gridCol w:w="3107"/>
        <w:gridCol w:w="126"/>
        <w:gridCol w:w="1196"/>
        <w:gridCol w:w="141"/>
        <w:gridCol w:w="1276"/>
        <w:gridCol w:w="142"/>
        <w:gridCol w:w="1397"/>
        <w:gridCol w:w="20"/>
      </w:tblGrid>
      <w:tr w:rsidR="00CE4C07" w:rsidRPr="0074065E" w14:paraId="10DD9E4A" w14:textId="77777777" w:rsidTr="0056132D">
        <w:tc>
          <w:tcPr>
            <w:tcW w:w="3107" w:type="dxa"/>
            <w:vAlign w:val="bottom"/>
          </w:tcPr>
          <w:p w14:paraId="17DB3CE5" w14:textId="77777777" w:rsidR="00CE4C07" w:rsidRPr="00C454B8" w:rsidRDefault="00CE4C07" w:rsidP="0056132D">
            <w:pPr>
              <w:pStyle w:val="a3"/>
              <w:tabs>
                <w:tab w:val="left" w:pos="227"/>
                <w:tab w:val="left" w:pos="397"/>
                <w:tab w:val="left" w:pos="567"/>
              </w:tabs>
              <w:ind w:left="227" w:hanging="170"/>
              <w:rPr>
                <w:sz w:val="22"/>
                <w:rtl/>
              </w:rPr>
            </w:pPr>
          </w:p>
        </w:tc>
        <w:tc>
          <w:tcPr>
            <w:tcW w:w="126" w:type="dxa"/>
            <w:vAlign w:val="bottom"/>
          </w:tcPr>
          <w:p w14:paraId="50BBE725" w14:textId="77777777" w:rsidR="00CE4C07" w:rsidRPr="0074065E" w:rsidRDefault="00CE4C07" w:rsidP="0056132D">
            <w:pPr>
              <w:spacing w:line="240" w:lineRule="exact"/>
              <w:jc w:val="center"/>
              <w:rPr>
                <w:rtl/>
              </w:rPr>
            </w:pPr>
          </w:p>
        </w:tc>
        <w:tc>
          <w:tcPr>
            <w:tcW w:w="1196" w:type="dxa"/>
            <w:tcBorders>
              <w:bottom w:val="single" w:sz="6" w:space="0" w:color="auto"/>
            </w:tcBorders>
            <w:shd w:val="clear" w:color="auto" w:fill="auto"/>
            <w:vAlign w:val="bottom"/>
          </w:tcPr>
          <w:p w14:paraId="539F5AFF" w14:textId="77777777" w:rsidR="00CE4C07" w:rsidRPr="0074065E" w:rsidRDefault="00CE4C07" w:rsidP="0056132D">
            <w:pPr>
              <w:spacing w:line="240" w:lineRule="exact"/>
              <w:jc w:val="center"/>
              <w:rPr>
                <w:rtl/>
              </w:rPr>
            </w:pPr>
            <w:r>
              <w:rPr>
                <w:rFonts w:hint="cs"/>
                <w:rtl/>
              </w:rPr>
              <w:t xml:space="preserve"> בהתאם למדיניות הקודמת</w:t>
            </w:r>
          </w:p>
        </w:tc>
        <w:tc>
          <w:tcPr>
            <w:tcW w:w="141" w:type="dxa"/>
            <w:vAlign w:val="bottom"/>
          </w:tcPr>
          <w:p w14:paraId="2372B956" w14:textId="77777777" w:rsidR="00CE4C07" w:rsidRPr="0074065E" w:rsidRDefault="00CE4C07" w:rsidP="0056132D">
            <w:pPr>
              <w:spacing w:line="240" w:lineRule="exact"/>
              <w:jc w:val="center"/>
              <w:rPr>
                <w:rtl/>
              </w:rPr>
            </w:pPr>
          </w:p>
        </w:tc>
        <w:tc>
          <w:tcPr>
            <w:tcW w:w="1276" w:type="dxa"/>
            <w:tcBorders>
              <w:bottom w:val="single" w:sz="6" w:space="0" w:color="auto"/>
            </w:tcBorders>
            <w:vAlign w:val="bottom"/>
          </w:tcPr>
          <w:p w14:paraId="033CE3C6" w14:textId="77777777" w:rsidR="00CE4C07" w:rsidRPr="0074065E" w:rsidRDefault="00CE4C07" w:rsidP="0056132D">
            <w:pPr>
              <w:spacing w:line="240" w:lineRule="exact"/>
              <w:jc w:val="center"/>
              <w:rPr>
                <w:rtl/>
              </w:rPr>
            </w:pPr>
            <w:r>
              <w:rPr>
                <w:rFonts w:hint="cs"/>
                <w:rtl/>
              </w:rPr>
              <w:t xml:space="preserve">השינוי </w:t>
            </w:r>
          </w:p>
        </w:tc>
        <w:tc>
          <w:tcPr>
            <w:tcW w:w="142" w:type="dxa"/>
            <w:vAlign w:val="bottom"/>
          </w:tcPr>
          <w:p w14:paraId="51FADA00" w14:textId="77777777" w:rsidR="00CE4C07" w:rsidRPr="0074065E" w:rsidRDefault="00CE4C07" w:rsidP="0056132D">
            <w:pPr>
              <w:spacing w:line="240" w:lineRule="exact"/>
              <w:jc w:val="center"/>
              <w:rPr>
                <w:rtl/>
              </w:rPr>
            </w:pPr>
          </w:p>
        </w:tc>
        <w:tc>
          <w:tcPr>
            <w:tcW w:w="1417" w:type="dxa"/>
            <w:gridSpan w:val="2"/>
            <w:tcBorders>
              <w:bottom w:val="single" w:sz="6" w:space="0" w:color="auto"/>
            </w:tcBorders>
            <w:vAlign w:val="bottom"/>
          </w:tcPr>
          <w:p w14:paraId="1F8A1F40" w14:textId="77777777" w:rsidR="00CE4C07" w:rsidRPr="0074065E" w:rsidRDefault="00CE4C07" w:rsidP="0056132D">
            <w:pPr>
              <w:spacing w:line="240" w:lineRule="exact"/>
              <w:jc w:val="center"/>
              <w:rPr>
                <w:rtl/>
              </w:rPr>
            </w:pPr>
            <w:r>
              <w:rPr>
                <w:rFonts w:hint="cs"/>
                <w:rtl/>
              </w:rPr>
              <w:t xml:space="preserve"> כמוצג בדוחות כספיים אלה</w:t>
            </w:r>
          </w:p>
        </w:tc>
      </w:tr>
      <w:tr w:rsidR="00CE4C07" w:rsidRPr="0074065E" w14:paraId="4654C619" w14:textId="77777777" w:rsidTr="0056132D">
        <w:tc>
          <w:tcPr>
            <w:tcW w:w="3107" w:type="dxa"/>
            <w:vAlign w:val="bottom"/>
          </w:tcPr>
          <w:p w14:paraId="210E2DAA" w14:textId="77777777" w:rsidR="00CE4C07" w:rsidRPr="00C454B8" w:rsidRDefault="00CE4C07" w:rsidP="0056132D">
            <w:pPr>
              <w:pStyle w:val="a3"/>
              <w:tabs>
                <w:tab w:val="left" w:pos="227"/>
                <w:tab w:val="left" w:pos="397"/>
                <w:tab w:val="left" w:pos="567"/>
              </w:tabs>
              <w:ind w:left="227" w:hanging="170"/>
              <w:rPr>
                <w:sz w:val="22"/>
                <w:rtl/>
              </w:rPr>
            </w:pPr>
          </w:p>
        </w:tc>
        <w:tc>
          <w:tcPr>
            <w:tcW w:w="126" w:type="dxa"/>
            <w:vAlign w:val="bottom"/>
          </w:tcPr>
          <w:p w14:paraId="37FA8FC0" w14:textId="77777777" w:rsidR="00CE4C07" w:rsidRPr="0074065E" w:rsidRDefault="00CE4C07" w:rsidP="0056132D">
            <w:pPr>
              <w:spacing w:line="240" w:lineRule="exact"/>
              <w:rPr>
                <w:rtl/>
              </w:rPr>
            </w:pPr>
          </w:p>
        </w:tc>
        <w:tc>
          <w:tcPr>
            <w:tcW w:w="4172" w:type="dxa"/>
            <w:gridSpan w:val="6"/>
            <w:tcBorders>
              <w:bottom w:val="single" w:sz="6" w:space="0" w:color="auto"/>
            </w:tcBorders>
            <w:shd w:val="clear" w:color="auto" w:fill="auto"/>
            <w:vAlign w:val="bottom"/>
          </w:tcPr>
          <w:p w14:paraId="22698D0C" w14:textId="77777777" w:rsidR="00CE4C07" w:rsidRPr="0074065E" w:rsidRDefault="00CE4C07" w:rsidP="0056132D">
            <w:pPr>
              <w:tabs>
                <w:tab w:val="decimal" w:pos="113"/>
              </w:tabs>
              <w:spacing w:line="240" w:lineRule="exact"/>
              <w:jc w:val="center"/>
              <w:rPr>
                <w:rtl/>
              </w:rPr>
            </w:pPr>
            <w:r w:rsidRPr="0074065E">
              <w:rPr>
                <w:rtl/>
              </w:rPr>
              <w:t>אלפי ש"ח (למעט נתוני רווח נקי (הפסד) למניה)</w:t>
            </w:r>
          </w:p>
        </w:tc>
      </w:tr>
      <w:tr w:rsidR="00CE4C07" w:rsidRPr="0074065E" w14:paraId="30894CBF" w14:textId="77777777" w:rsidTr="0056132D">
        <w:trPr>
          <w:gridAfter w:val="1"/>
          <w:wAfter w:w="20" w:type="dxa"/>
        </w:trPr>
        <w:tc>
          <w:tcPr>
            <w:tcW w:w="3107" w:type="dxa"/>
            <w:vAlign w:val="bottom"/>
          </w:tcPr>
          <w:p w14:paraId="3D408486" w14:textId="77777777" w:rsidR="00CE4C07" w:rsidRPr="00C454B8" w:rsidRDefault="00CE4C07" w:rsidP="0056132D">
            <w:pPr>
              <w:pStyle w:val="a3"/>
              <w:tabs>
                <w:tab w:val="left" w:pos="227"/>
                <w:tab w:val="left" w:pos="397"/>
                <w:tab w:val="left" w:pos="567"/>
              </w:tabs>
              <w:ind w:left="227" w:hanging="170"/>
              <w:rPr>
                <w:sz w:val="22"/>
                <w:u w:val="single"/>
                <w:rtl/>
              </w:rPr>
            </w:pPr>
            <w:r w:rsidRPr="00C454B8">
              <w:rPr>
                <w:sz w:val="22"/>
                <w:u w:val="single"/>
                <w:rtl/>
              </w:rPr>
              <w:t>ל-</w:t>
            </w:r>
            <w:r>
              <w:rPr>
                <w:rFonts w:hint="cs"/>
                <w:sz w:val="22"/>
                <w:u w:val="single"/>
                <w:rtl/>
              </w:rPr>
              <w:t>3</w:t>
            </w:r>
            <w:r w:rsidRPr="00C454B8">
              <w:rPr>
                <w:sz w:val="22"/>
                <w:u w:val="single"/>
                <w:rtl/>
              </w:rPr>
              <w:t xml:space="preserve"> החודשים שהסתיימו ביום 30 בספטמבר, </w:t>
            </w:r>
            <w:r>
              <w:rPr>
                <w:rFonts w:hint="cs"/>
                <w:sz w:val="22"/>
                <w:u w:val="single"/>
                <w:rtl/>
              </w:rPr>
              <w:t>2018</w:t>
            </w:r>
          </w:p>
        </w:tc>
        <w:tc>
          <w:tcPr>
            <w:tcW w:w="126" w:type="dxa"/>
            <w:vAlign w:val="bottom"/>
          </w:tcPr>
          <w:p w14:paraId="6F28E18B" w14:textId="77777777" w:rsidR="00CE4C07" w:rsidRPr="0074065E" w:rsidRDefault="00CE4C07" w:rsidP="0056132D">
            <w:pPr>
              <w:spacing w:line="240" w:lineRule="exact"/>
              <w:rPr>
                <w:rtl/>
              </w:rPr>
            </w:pPr>
          </w:p>
        </w:tc>
        <w:tc>
          <w:tcPr>
            <w:tcW w:w="1196" w:type="dxa"/>
            <w:vAlign w:val="bottom"/>
          </w:tcPr>
          <w:p w14:paraId="0E617BAC" w14:textId="77777777" w:rsidR="00CE4C07" w:rsidRPr="0074065E" w:rsidRDefault="00CE4C07" w:rsidP="0056132D">
            <w:pPr>
              <w:spacing w:line="240" w:lineRule="exact"/>
              <w:rPr>
                <w:rtl/>
              </w:rPr>
            </w:pPr>
          </w:p>
        </w:tc>
        <w:tc>
          <w:tcPr>
            <w:tcW w:w="141" w:type="dxa"/>
            <w:vAlign w:val="bottom"/>
          </w:tcPr>
          <w:p w14:paraId="4CD237CC" w14:textId="77777777" w:rsidR="00CE4C07" w:rsidRPr="0074065E" w:rsidRDefault="00CE4C07" w:rsidP="0056132D">
            <w:pPr>
              <w:spacing w:line="240" w:lineRule="exact"/>
              <w:rPr>
                <w:rtl/>
              </w:rPr>
            </w:pPr>
          </w:p>
        </w:tc>
        <w:tc>
          <w:tcPr>
            <w:tcW w:w="1276" w:type="dxa"/>
            <w:vAlign w:val="bottom"/>
          </w:tcPr>
          <w:p w14:paraId="37B35D6F" w14:textId="77777777" w:rsidR="00CE4C07" w:rsidRPr="0074065E" w:rsidRDefault="00CE4C07" w:rsidP="0056132D">
            <w:pPr>
              <w:tabs>
                <w:tab w:val="decimal" w:pos="113"/>
              </w:tabs>
              <w:spacing w:line="240" w:lineRule="exact"/>
              <w:rPr>
                <w:rtl/>
              </w:rPr>
            </w:pPr>
          </w:p>
        </w:tc>
        <w:tc>
          <w:tcPr>
            <w:tcW w:w="142" w:type="dxa"/>
            <w:vAlign w:val="bottom"/>
          </w:tcPr>
          <w:p w14:paraId="77143A5F" w14:textId="77777777" w:rsidR="00CE4C07" w:rsidRPr="0074065E" w:rsidRDefault="00CE4C07" w:rsidP="0056132D">
            <w:pPr>
              <w:tabs>
                <w:tab w:val="decimal" w:pos="113"/>
              </w:tabs>
              <w:spacing w:line="240" w:lineRule="exact"/>
              <w:rPr>
                <w:rtl/>
              </w:rPr>
            </w:pPr>
          </w:p>
        </w:tc>
        <w:tc>
          <w:tcPr>
            <w:tcW w:w="1397" w:type="dxa"/>
            <w:vAlign w:val="bottom"/>
          </w:tcPr>
          <w:p w14:paraId="5E10408D" w14:textId="77777777" w:rsidR="00CE4C07" w:rsidRPr="0074065E" w:rsidRDefault="00CE4C07" w:rsidP="0056132D">
            <w:pPr>
              <w:tabs>
                <w:tab w:val="decimal" w:pos="113"/>
              </w:tabs>
              <w:spacing w:line="240" w:lineRule="exact"/>
              <w:rPr>
                <w:rtl/>
              </w:rPr>
            </w:pPr>
          </w:p>
        </w:tc>
      </w:tr>
      <w:tr w:rsidR="00CE4C07" w:rsidRPr="0074065E" w14:paraId="1DF4FBDF" w14:textId="77777777" w:rsidTr="0056132D">
        <w:trPr>
          <w:gridAfter w:val="1"/>
          <w:wAfter w:w="20" w:type="dxa"/>
        </w:trPr>
        <w:tc>
          <w:tcPr>
            <w:tcW w:w="3107" w:type="dxa"/>
            <w:vAlign w:val="bottom"/>
          </w:tcPr>
          <w:p w14:paraId="1E5207F7" w14:textId="77777777" w:rsidR="00CE4C07" w:rsidRPr="00C454B8" w:rsidRDefault="00CE4C07" w:rsidP="0056132D">
            <w:pPr>
              <w:pStyle w:val="a3"/>
              <w:tabs>
                <w:tab w:val="left" w:pos="227"/>
                <w:tab w:val="left" w:pos="397"/>
                <w:tab w:val="left" w:pos="567"/>
              </w:tabs>
              <w:ind w:left="227" w:hanging="170"/>
              <w:rPr>
                <w:sz w:val="22"/>
                <w:u w:val="single"/>
                <w:rtl/>
              </w:rPr>
            </w:pPr>
            <w:r>
              <w:rPr>
                <w:rFonts w:hint="cs"/>
                <w:sz w:val="22"/>
                <w:rtl/>
              </w:rPr>
              <w:t>עלות המכירות</w:t>
            </w:r>
          </w:p>
        </w:tc>
        <w:tc>
          <w:tcPr>
            <w:tcW w:w="126" w:type="dxa"/>
            <w:vAlign w:val="bottom"/>
          </w:tcPr>
          <w:p w14:paraId="4C085AA2" w14:textId="77777777" w:rsidR="00CE4C07" w:rsidRPr="0074065E" w:rsidRDefault="00CE4C07" w:rsidP="0056132D">
            <w:pPr>
              <w:spacing w:line="240" w:lineRule="exact"/>
              <w:rPr>
                <w:rtl/>
              </w:rPr>
            </w:pPr>
          </w:p>
        </w:tc>
        <w:tc>
          <w:tcPr>
            <w:tcW w:w="1196" w:type="dxa"/>
            <w:tcBorders>
              <w:bottom w:val="double" w:sz="4" w:space="0" w:color="auto"/>
            </w:tcBorders>
            <w:vAlign w:val="bottom"/>
          </w:tcPr>
          <w:p w14:paraId="7789D2C3" w14:textId="77777777" w:rsidR="00CE4C07" w:rsidRPr="0074065E" w:rsidRDefault="00CE4C07" w:rsidP="0056132D">
            <w:pPr>
              <w:spacing w:line="240" w:lineRule="exact"/>
              <w:rPr>
                <w:rtl/>
              </w:rPr>
            </w:pPr>
          </w:p>
        </w:tc>
        <w:tc>
          <w:tcPr>
            <w:tcW w:w="141" w:type="dxa"/>
            <w:vAlign w:val="bottom"/>
          </w:tcPr>
          <w:p w14:paraId="7D6781D7"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06ED10D1" w14:textId="77777777" w:rsidR="00CE4C07" w:rsidRPr="0074065E" w:rsidRDefault="00CE4C07" w:rsidP="0056132D">
            <w:pPr>
              <w:tabs>
                <w:tab w:val="decimal" w:pos="113"/>
              </w:tabs>
              <w:spacing w:line="240" w:lineRule="exact"/>
              <w:rPr>
                <w:rtl/>
              </w:rPr>
            </w:pPr>
          </w:p>
        </w:tc>
        <w:tc>
          <w:tcPr>
            <w:tcW w:w="142" w:type="dxa"/>
            <w:vAlign w:val="bottom"/>
          </w:tcPr>
          <w:p w14:paraId="4FAAD134" w14:textId="77777777" w:rsidR="00CE4C07" w:rsidRPr="0074065E" w:rsidRDefault="00CE4C07" w:rsidP="0056132D">
            <w:pPr>
              <w:tabs>
                <w:tab w:val="decimal" w:pos="113"/>
              </w:tabs>
              <w:spacing w:line="240" w:lineRule="exact"/>
              <w:rPr>
                <w:rtl/>
              </w:rPr>
            </w:pPr>
          </w:p>
        </w:tc>
        <w:tc>
          <w:tcPr>
            <w:tcW w:w="1397" w:type="dxa"/>
            <w:tcBorders>
              <w:bottom w:val="double" w:sz="4" w:space="0" w:color="auto"/>
            </w:tcBorders>
            <w:vAlign w:val="bottom"/>
          </w:tcPr>
          <w:p w14:paraId="6728A954" w14:textId="77777777" w:rsidR="00CE4C07" w:rsidRPr="0074065E" w:rsidRDefault="00CE4C07" w:rsidP="0056132D">
            <w:pPr>
              <w:tabs>
                <w:tab w:val="decimal" w:pos="113"/>
              </w:tabs>
              <w:spacing w:line="240" w:lineRule="exact"/>
              <w:rPr>
                <w:rtl/>
              </w:rPr>
            </w:pPr>
          </w:p>
        </w:tc>
      </w:tr>
      <w:tr w:rsidR="00CE4C07" w:rsidRPr="0074065E" w14:paraId="05C01DAF" w14:textId="77777777" w:rsidTr="0056132D">
        <w:trPr>
          <w:gridAfter w:val="1"/>
          <w:wAfter w:w="20" w:type="dxa"/>
        </w:trPr>
        <w:tc>
          <w:tcPr>
            <w:tcW w:w="3107" w:type="dxa"/>
            <w:vAlign w:val="bottom"/>
          </w:tcPr>
          <w:p w14:paraId="5A6F5341" w14:textId="77777777" w:rsidR="00CE4C07" w:rsidRPr="00DD59FD" w:rsidRDefault="00CE4C07" w:rsidP="0056132D">
            <w:pPr>
              <w:pStyle w:val="a3"/>
              <w:tabs>
                <w:tab w:val="left" w:pos="227"/>
                <w:tab w:val="left" w:pos="397"/>
                <w:tab w:val="left" w:pos="567"/>
              </w:tabs>
              <w:ind w:left="227" w:hanging="170"/>
              <w:rPr>
                <w:sz w:val="22"/>
                <w:rtl/>
              </w:rPr>
            </w:pPr>
            <w:r>
              <w:rPr>
                <w:rFonts w:hint="cs"/>
                <w:b/>
                <w:bCs/>
                <w:sz w:val="22"/>
                <w:rtl/>
              </w:rPr>
              <w:t>רווח גולמי</w:t>
            </w:r>
          </w:p>
        </w:tc>
        <w:tc>
          <w:tcPr>
            <w:tcW w:w="126" w:type="dxa"/>
            <w:vAlign w:val="bottom"/>
          </w:tcPr>
          <w:p w14:paraId="7BD9DC1F" w14:textId="77777777" w:rsidR="00CE4C07" w:rsidRPr="0074065E" w:rsidRDefault="00CE4C07" w:rsidP="0056132D">
            <w:pPr>
              <w:spacing w:line="240" w:lineRule="exact"/>
              <w:rPr>
                <w:rtl/>
              </w:rPr>
            </w:pPr>
          </w:p>
        </w:tc>
        <w:tc>
          <w:tcPr>
            <w:tcW w:w="1196" w:type="dxa"/>
            <w:tcBorders>
              <w:bottom w:val="double" w:sz="4" w:space="0" w:color="auto"/>
            </w:tcBorders>
            <w:vAlign w:val="bottom"/>
          </w:tcPr>
          <w:p w14:paraId="6FDE8699" w14:textId="77777777" w:rsidR="00CE4C07" w:rsidRPr="0074065E" w:rsidRDefault="00CE4C07" w:rsidP="0056132D">
            <w:pPr>
              <w:spacing w:line="240" w:lineRule="exact"/>
              <w:rPr>
                <w:rtl/>
              </w:rPr>
            </w:pPr>
          </w:p>
        </w:tc>
        <w:tc>
          <w:tcPr>
            <w:tcW w:w="141" w:type="dxa"/>
            <w:vAlign w:val="bottom"/>
          </w:tcPr>
          <w:p w14:paraId="46DE86CE"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61E663FA" w14:textId="77777777" w:rsidR="00CE4C07" w:rsidRPr="0074065E" w:rsidRDefault="00CE4C07" w:rsidP="0056132D">
            <w:pPr>
              <w:tabs>
                <w:tab w:val="decimal" w:pos="113"/>
              </w:tabs>
              <w:spacing w:line="240" w:lineRule="exact"/>
              <w:rPr>
                <w:rtl/>
              </w:rPr>
            </w:pPr>
          </w:p>
        </w:tc>
        <w:tc>
          <w:tcPr>
            <w:tcW w:w="142" w:type="dxa"/>
            <w:vAlign w:val="bottom"/>
          </w:tcPr>
          <w:p w14:paraId="5E96512C" w14:textId="77777777" w:rsidR="00CE4C07" w:rsidRPr="0074065E" w:rsidRDefault="00CE4C07" w:rsidP="0056132D">
            <w:pPr>
              <w:tabs>
                <w:tab w:val="decimal" w:pos="113"/>
              </w:tabs>
              <w:spacing w:line="240" w:lineRule="exact"/>
              <w:rPr>
                <w:rtl/>
              </w:rPr>
            </w:pPr>
          </w:p>
        </w:tc>
        <w:tc>
          <w:tcPr>
            <w:tcW w:w="1397" w:type="dxa"/>
            <w:tcBorders>
              <w:bottom w:val="double" w:sz="4" w:space="0" w:color="auto"/>
            </w:tcBorders>
            <w:vAlign w:val="bottom"/>
          </w:tcPr>
          <w:p w14:paraId="47B4FFA4" w14:textId="77777777" w:rsidR="00CE4C07" w:rsidRPr="0074065E" w:rsidRDefault="00CE4C07" w:rsidP="0056132D">
            <w:pPr>
              <w:tabs>
                <w:tab w:val="decimal" w:pos="113"/>
              </w:tabs>
              <w:spacing w:line="240" w:lineRule="exact"/>
              <w:rPr>
                <w:rtl/>
              </w:rPr>
            </w:pPr>
          </w:p>
        </w:tc>
      </w:tr>
      <w:tr w:rsidR="00CE4C07" w:rsidRPr="0074065E" w14:paraId="0A63ABD4" w14:textId="77777777" w:rsidTr="0056132D">
        <w:trPr>
          <w:gridAfter w:val="1"/>
          <w:wAfter w:w="20" w:type="dxa"/>
        </w:trPr>
        <w:tc>
          <w:tcPr>
            <w:tcW w:w="3107" w:type="dxa"/>
            <w:vAlign w:val="bottom"/>
          </w:tcPr>
          <w:p w14:paraId="363F73A7" w14:textId="77777777" w:rsidR="00CE4C07" w:rsidRDefault="00CE4C07" w:rsidP="0056132D">
            <w:pPr>
              <w:pStyle w:val="a3"/>
              <w:tabs>
                <w:tab w:val="left" w:pos="227"/>
                <w:tab w:val="left" w:pos="397"/>
                <w:tab w:val="left" w:pos="567"/>
              </w:tabs>
              <w:ind w:left="227" w:hanging="170"/>
              <w:rPr>
                <w:sz w:val="22"/>
                <w:rtl/>
              </w:rPr>
            </w:pPr>
            <w:r>
              <w:rPr>
                <w:rFonts w:hint="cs"/>
                <w:sz w:val="22"/>
                <w:rtl/>
              </w:rPr>
              <w:t>הוצאות מימון</w:t>
            </w:r>
          </w:p>
        </w:tc>
        <w:tc>
          <w:tcPr>
            <w:tcW w:w="126" w:type="dxa"/>
            <w:vAlign w:val="bottom"/>
          </w:tcPr>
          <w:p w14:paraId="3B44A689"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53B59994" w14:textId="77777777" w:rsidR="00CE4C07" w:rsidRPr="0074065E" w:rsidRDefault="00CE4C07" w:rsidP="0056132D">
            <w:pPr>
              <w:spacing w:line="240" w:lineRule="exact"/>
              <w:rPr>
                <w:rtl/>
              </w:rPr>
            </w:pPr>
          </w:p>
        </w:tc>
        <w:tc>
          <w:tcPr>
            <w:tcW w:w="141" w:type="dxa"/>
            <w:vAlign w:val="bottom"/>
          </w:tcPr>
          <w:p w14:paraId="78D1AB5D"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1EA7FE81" w14:textId="77777777" w:rsidR="00CE4C07" w:rsidRPr="0074065E" w:rsidRDefault="00CE4C07" w:rsidP="0056132D">
            <w:pPr>
              <w:tabs>
                <w:tab w:val="decimal" w:pos="113"/>
              </w:tabs>
              <w:spacing w:line="240" w:lineRule="exact"/>
              <w:rPr>
                <w:rtl/>
              </w:rPr>
            </w:pPr>
          </w:p>
        </w:tc>
        <w:tc>
          <w:tcPr>
            <w:tcW w:w="142" w:type="dxa"/>
            <w:vAlign w:val="bottom"/>
          </w:tcPr>
          <w:p w14:paraId="2DDB6E1C"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561BFA71" w14:textId="77777777" w:rsidR="00CE4C07" w:rsidRPr="0074065E" w:rsidRDefault="00CE4C07" w:rsidP="0056132D">
            <w:pPr>
              <w:tabs>
                <w:tab w:val="decimal" w:pos="113"/>
              </w:tabs>
              <w:spacing w:line="240" w:lineRule="exact"/>
              <w:rPr>
                <w:rtl/>
              </w:rPr>
            </w:pPr>
          </w:p>
        </w:tc>
      </w:tr>
      <w:tr w:rsidR="00CE4C07" w:rsidRPr="0074065E" w14:paraId="78A66C45" w14:textId="77777777" w:rsidTr="0056132D">
        <w:trPr>
          <w:gridAfter w:val="1"/>
          <w:wAfter w:w="20" w:type="dxa"/>
        </w:trPr>
        <w:tc>
          <w:tcPr>
            <w:tcW w:w="3107" w:type="dxa"/>
            <w:vAlign w:val="bottom"/>
          </w:tcPr>
          <w:p w14:paraId="2CC39146" w14:textId="77777777" w:rsidR="00CE4C07" w:rsidRDefault="00CE4C07" w:rsidP="0056132D">
            <w:pPr>
              <w:pStyle w:val="a3"/>
              <w:tabs>
                <w:tab w:val="left" w:pos="227"/>
                <w:tab w:val="left" w:pos="397"/>
                <w:tab w:val="left" w:pos="567"/>
              </w:tabs>
              <w:ind w:left="227" w:hanging="170"/>
              <w:rPr>
                <w:sz w:val="22"/>
                <w:rtl/>
              </w:rPr>
            </w:pPr>
            <w:r>
              <w:rPr>
                <w:rFonts w:hint="cs"/>
                <w:sz w:val="22"/>
                <w:rtl/>
              </w:rPr>
              <w:t>רווח (הפסד) לפני מסים על ההכנסה</w:t>
            </w:r>
          </w:p>
        </w:tc>
        <w:tc>
          <w:tcPr>
            <w:tcW w:w="126" w:type="dxa"/>
            <w:vAlign w:val="bottom"/>
          </w:tcPr>
          <w:p w14:paraId="65A8F92D"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1E6C2FE1" w14:textId="77777777" w:rsidR="00CE4C07" w:rsidRPr="0074065E" w:rsidRDefault="00CE4C07" w:rsidP="0056132D">
            <w:pPr>
              <w:spacing w:line="240" w:lineRule="exact"/>
              <w:rPr>
                <w:rtl/>
              </w:rPr>
            </w:pPr>
          </w:p>
        </w:tc>
        <w:tc>
          <w:tcPr>
            <w:tcW w:w="141" w:type="dxa"/>
            <w:vAlign w:val="bottom"/>
          </w:tcPr>
          <w:p w14:paraId="3775A03B"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3690DAF0" w14:textId="77777777" w:rsidR="00CE4C07" w:rsidRPr="0074065E" w:rsidRDefault="00CE4C07" w:rsidP="0056132D">
            <w:pPr>
              <w:tabs>
                <w:tab w:val="decimal" w:pos="113"/>
              </w:tabs>
              <w:spacing w:line="240" w:lineRule="exact"/>
              <w:rPr>
                <w:rtl/>
              </w:rPr>
            </w:pPr>
          </w:p>
        </w:tc>
        <w:tc>
          <w:tcPr>
            <w:tcW w:w="142" w:type="dxa"/>
            <w:vAlign w:val="bottom"/>
          </w:tcPr>
          <w:p w14:paraId="6E2C0B6A"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2ABEE6BB" w14:textId="77777777" w:rsidR="00CE4C07" w:rsidRPr="0074065E" w:rsidRDefault="00CE4C07" w:rsidP="0056132D">
            <w:pPr>
              <w:tabs>
                <w:tab w:val="decimal" w:pos="113"/>
              </w:tabs>
              <w:spacing w:line="240" w:lineRule="exact"/>
              <w:rPr>
                <w:rtl/>
              </w:rPr>
            </w:pPr>
          </w:p>
        </w:tc>
      </w:tr>
      <w:tr w:rsidR="00CE4C07" w:rsidRPr="0074065E" w14:paraId="6E126A73" w14:textId="77777777" w:rsidTr="0056132D">
        <w:trPr>
          <w:gridAfter w:val="1"/>
          <w:wAfter w:w="20" w:type="dxa"/>
        </w:trPr>
        <w:tc>
          <w:tcPr>
            <w:tcW w:w="3107" w:type="dxa"/>
            <w:vAlign w:val="bottom"/>
          </w:tcPr>
          <w:p w14:paraId="23949931" w14:textId="77777777" w:rsidR="00CE4C07" w:rsidRPr="00C454B8" w:rsidRDefault="00CE4C07" w:rsidP="0056132D">
            <w:pPr>
              <w:pStyle w:val="a3"/>
              <w:tabs>
                <w:tab w:val="left" w:pos="227"/>
                <w:tab w:val="left" w:pos="397"/>
                <w:tab w:val="left" w:pos="567"/>
              </w:tabs>
              <w:ind w:left="227" w:hanging="170"/>
              <w:rPr>
                <w:sz w:val="22"/>
                <w:u w:val="single"/>
                <w:rtl/>
              </w:rPr>
            </w:pPr>
            <w:r>
              <w:rPr>
                <w:rFonts w:hint="cs"/>
                <w:sz w:val="22"/>
                <w:rtl/>
              </w:rPr>
              <w:t>מסים על ההכנסה</w:t>
            </w:r>
          </w:p>
        </w:tc>
        <w:tc>
          <w:tcPr>
            <w:tcW w:w="126" w:type="dxa"/>
            <w:vAlign w:val="bottom"/>
          </w:tcPr>
          <w:p w14:paraId="16C5A5AD"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37718C27" w14:textId="77777777" w:rsidR="00CE4C07" w:rsidRPr="0074065E" w:rsidRDefault="00CE4C07" w:rsidP="0056132D">
            <w:pPr>
              <w:spacing w:line="240" w:lineRule="exact"/>
              <w:rPr>
                <w:rtl/>
              </w:rPr>
            </w:pPr>
          </w:p>
        </w:tc>
        <w:tc>
          <w:tcPr>
            <w:tcW w:w="141" w:type="dxa"/>
            <w:vAlign w:val="bottom"/>
          </w:tcPr>
          <w:p w14:paraId="1A1A97C0"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093C6397" w14:textId="77777777" w:rsidR="00CE4C07" w:rsidRPr="0074065E" w:rsidRDefault="00CE4C07" w:rsidP="0056132D">
            <w:pPr>
              <w:tabs>
                <w:tab w:val="decimal" w:pos="113"/>
              </w:tabs>
              <w:spacing w:line="240" w:lineRule="exact"/>
              <w:rPr>
                <w:rtl/>
              </w:rPr>
            </w:pPr>
          </w:p>
        </w:tc>
        <w:tc>
          <w:tcPr>
            <w:tcW w:w="142" w:type="dxa"/>
            <w:vAlign w:val="bottom"/>
          </w:tcPr>
          <w:p w14:paraId="6CC54C3A"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680A4BFF" w14:textId="77777777" w:rsidR="00CE4C07" w:rsidRPr="0074065E" w:rsidRDefault="00CE4C07" w:rsidP="0056132D">
            <w:pPr>
              <w:tabs>
                <w:tab w:val="decimal" w:pos="113"/>
              </w:tabs>
              <w:spacing w:line="240" w:lineRule="exact"/>
              <w:rPr>
                <w:rtl/>
              </w:rPr>
            </w:pPr>
          </w:p>
        </w:tc>
      </w:tr>
      <w:tr w:rsidR="00CE4C07" w:rsidRPr="0074065E" w14:paraId="3AD457D4" w14:textId="77777777" w:rsidTr="0056132D">
        <w:trPr>
          <w:gridAfter w:val="1"/>
          <w:wAfter w:w="20" w:type="dxa"/>
        </w:trPr>
        <w:tc>
          <w:tcPr>
            <w:tcW w:w="3107" w:type="dxa"/>
            <w:vAlign w:val="bottom"/>
          </w:tcPr>
          <w:p w14:paraId="538A9E6F" w14:textId="77777777" w:rsidR="00CE4C07" w:rsidRPr="00C454B8" w:rsidRDefault="00CE4C07" w:rsidP="0056132D">
            <w:pPr>
              <w:pStyle w:val="a3"/>
              <w:tabs>
                <w:tab w:val="left" w:pos="227"/>
                <w:tab w:val="left" w:pos="397"/>
                <w:tab w:val="left" w:pos="567"/>
              </w:tabs>
              <w:ind w:left="227" w:hanging="170"/>
              <w:rPr>
                <w:sz w:val="22"/>
                <w:rtl/>
              </w:rPr>
            </w:pPr>
          </w:p>
        </w:tc>
        <w:tc>
          <w:tcPr>
            <w:tcW w:w="126" w:type="dxa"/>
            <w:vAlign w:val="bottom"/>
          </w:tcPr>
          <w:p w14:paraId="07ECEE75" w14:textId="77777777" w:rsidR="00CE4C07" w:rsidRPr="0074065E" w:rsidRDefault="00CE4C07" w:rsidP="0056132D">
            <w:pPr>
              <w:spacing w:line="240" w:lineRule="exact"/>
              <w:rPr>
                <w:rtl/>
              </w:rPr>
            </w:pPr>
          </w:p>
        </w:tc>
        <w:tc>
          <w:tcPr>
            <w:tcW w:w="1196" w:type="dxa"/>
            <w:tcBorders>
              <w:top w:val="double" w:sz="4" w:space="0" w:color="auto"/>
            </w:tcBorders>
            <w:vAlign w:val="bottom"/>
          </w:tcPr>
          <w:p w14:paraId="2784A1B9" w14:textId="77777777" w:rsidR="00CE4C07" w:rsidRPr="0074065E" w:rsidRDefault="00CE4C07" w:rsidP="0056132D">
            <w:pPr>
              <w:spacing w:line="240" w:lineRule="exact"/>
              <w:rPr>
                <w:rtl/>
              </w:rPr>
            </w:pPr>
          </w:p>
        </w:tc>
        <w:tc>
          <w:tcPr>
            <w:tcW w:w="141" w:type="dxa"/>
            <w:vAlign w:val="bottom"/>
          </w:tcPr>
          <w:p w14:paraId="263CF7EC" w14:textId="77777777" w:rsidR="00CE4C07" w:rsidRPr="0074065E" w:rsidRDefault="00CE4C07" w:rsidP="0056132D">
            <w:pPr>
              <w:spacing w:line="240" w:lineRule="exact"/>
              <w:rPr>
                <w:rtl/>
              </w:rPr>
            </w:pPr>
          </w:p>
        </w:tc>
        <w:tc>
          <w:tcPr>
            <w:tcW w:w="1276" w:type="dxa"/>
            <w:tcBorders>
              <w:top w:val="double" w:sz="4" w:space="0" w:color="auto"/>
            </w:tcBorders>
            <w:vAlign w:val="bottom"/>
          </w:tcPr>
          <w:p w14:paraId="0BFFD7AD" w14:textId="77777777" w:rsidR="00CE4C07" w:rsidRPr="0074065E" w:rsidRDefault="00CE4C07" w:rsidP="0056132D">
            <w:pPr>
              <w:tabs>
                <w:tab w:val="decimal" w:pos="113"/>
              </w:tabs>
              <w:spacing w:line="240" w:lineRule="exact"/>
              <w:rPr>
                <w:rtl/>
              </w:rPr>
            </w:pPr>
          </w:p>
        </w:tc>
        <w:tc>
          <w:tcPr>
            <w:tcW w:w="142" w:type="dxa"/>
            <w:vAlign w:val="bottom"/>
          </w:tcPr>
          <w:p w14:paraId="7101D180" w14:textId="77777777" w:rsidR="00CE4C07" w:rsidRPr="0074065E" w:rsidRDefault="00CE4C07" w:rsidP="0056132D">
            <w:pPr>
              <w:tabs>
                <w:tab w:val="decimal" w:pos="113"/>
              </w:tabs>
              <w:spacing w:line="240" w:lineRule="exact"/>
              <w:rPr>
                <w:rtl/>
              </w:rPr>
            </w:pPr>
          </w:p>
        </w:tc>
        <w:tc>
          <w:tcPr>
            <w:tcW w:w="1397" w:type="dxa"/>
            <w:tcBorders>
              <w:top w:val="double" w:sz="4" w:space="0" w:color="auto"/>
            </w:tcBorders>
            <w:vAlign w:val="bottom"/>
          </w:tcPr>
          <w:p w14:paraId="6DCF0A8B" w14:textId="77777777" w:rsidR="00CE4C07" w:rsidRPr="0074065E" w:rsidRDefault="00CE4C07" w:rsidP="0056132D">
            <w:pPr>
              <w:tabs>
                <w:tab w:val="decimal" w:pos="113"/>
              </w:tabs>
              <w:spacing w:line="240" w:lineRule="exact"/>
              <w:rPr>
                <w:rtl/>
              </w:rPr>
            </w:pPr>
          </w:p>
        </w:tc>
      </w:tr>
      <w:tr w:rsidR="00CE4C07" w:rsidRPr="0074065E" w14:paraId="2C937C2F" w14:textId="77777777" w:rsidTr="0056132D">
        <w:trPr>
          <w:gridAfter w:val="1"/>
          <w:wAfter w:w="20" w:type="dxa"/>
        </w:trPr>
        <w:tc>
          <w:tcPr>
            <w:tcW w:w="3107" w:type="dxa"/>
            <w:vAlign w:val="bottom"/>
          </w:tcPr>
          <w:p w14:paraId="7F3A380E" w14:textId="77777777" w:rsidR="00CE4C07" w:rsidRPr="00DD59FD" w:rsidRDefault="00CE4C07" w:rsidP="0056132D">
            <w:pPr>
              <w:pStyle w:val="a3"/>
              <w:tabs>
                <w:tab w:val="left" w:pos="227"/>
                <w:tab w:val="left" w:pos="397"/>
                <w:tab w:val="left" w:pos="567"/>
              </w:tabs>
              <w:ind w:left="227" w:hanging="170"/>
              <w:rPr>
                <w:sz w:val="22"/>
                <w:rtl/>
              </w:rPr>
            </w:pPr>
            <w:r>
              <w:rPr>
                <w:rFonts w:hint="cs"/>
                <w:b/>
                <w:bCs/>
                <w:sz w:val="22"/>
                <w:rtl/>
              </w:rPr>
              <w:t>רווח נקי</w:t>
            </w:r>
          </w:p>
        </w:tc>
        <w:tc>
          <w:tcPr>
            <w:tcW w:w="126" w:type="dxa"/>
            <w:vAlign w:val="bottom"/>
          </w:tcPr>
          <w:p w14:paraId="77855B55" w14:textId="77777777" w:rsidR="00CE4C07" w:rsidRPr="0074065E" w:rsidRDefault="00CE4C07" w:rsidP="0056132D">
            <w:pPr>
              <w:spacing w:line="240" w:lineRule="exact"/>
              <w:rPr>
                <w:rtl/>
              </w:rPr>
            </w:pPr>
          </w:p>
        </w:tc>
        <w:tc>
          <w:tcPr>
            <w:tcW w:w="1196" w:type="dxa"/>
            <w:tcBorders>
              <w:bottom w:val="double" w:sz="4" w:space="0" w:color="auto"/>
            </w:tcBorders>
            <w:vAlign w:val="bottom"/>
          </w:tcPr>
          <w:p w14:paraId="520DBB99" w14:textId="77777777" w:rsidR="00CE4C07" w:rsidRPr="0074065E" w:rsidRDefault="00CE4C07" w:rsidP="0056132D">
            <w:pPr>
              <w:spacing w:line="240" w:lineRule="exact"/>
              <w:rPr>
                <w:rtl/>
              </w:rPr>
            </w:pPr>
          </w:p>
        </w:tc>
        <w:tc>
          <w:tcPr>
            <w:tcW w:w="141" w:type="dxa"/>
            <w:vAlign w:val="bottom"/>
          </w:tcPr>
          <w:p w14:paraId="73E2AFD3"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5A802A49" w14:textId="77777777" w:rsidR="00CE4C07" w:rsidRPr="0074065E" w:rsidRDefault="00CE4C07" w:rsidP="0056132D">
            <w:pPr>
              <w:tabs>
                <w:tab w:val="decimal" w:pos="113"/>
              </w:tabs>
              <w:spacing w:line="240" w:lineRule="exact"/>
              <w:rPr>
                <w:rtl/>
              </w:rPr>
            </w:pPr>
          </w:p>
        </w:tc>
        <w:tc>
          <w:tcPr>
            <w:tcW w:w="142" w:type="dxa"/>
            <w:vAlign w:val="bottom"/>
          </w:tcPr>
          <w:p w14:paraId="01E31D72" w14:textId="77777777" w:rsidR="00CE4C07" w:rsidRPr="0074065E" w:rsidRDefault="00CE4C07" w:rsidP="0056132D">
            <w:pPr>
              <w:tabs>
                <w:tab w:val="decimal" w:pos="113"/>
              </w:tabs>
              <w:spacing w:line="240" w:lineRule="exact"/>
              <w:rPr>
                <w:rtl/>
              </w:rPr>
            </w:pPr>
          </w:p>
        </w:tc>
        <w:tc>
          <w:tcPr>
            <w:tcW w:w="1397" w:type="dxa"/>
            <w:tcBorders>
              <w:bottom w:val="double" w:sz="4" w:space="0" w:color="auto"/>
            </w:tcBorders>
            <w:vAlign w:val="bottom"/>
          </w:tcPr>
          <w:p w14:paraId="00ED599D" w14:textId="77777777" w:rsidR="00CE4C07" w:rsidRPr="0074065E" w:rsidRDefault="00CE4C07" w:rsidP="0056132D">
            <w:pPr>
              <w:tabs>
                <w:tab w:val="decimal" w:pos="113"/>
              </w:tabs>
              <w:spacing w:line="240" w:lineRule="exact"/>
              <w:rPr>
                <w:rtl/>
              </w:rPr>
            </w:pPr>
          </w:p>
        </w:tc>
      </w:tr>
      <w:tr w:rsidR="00CE4C07" w:rsidRPr="0074065E" w14:paraId="2B9FD323" w14:textId="77777777" w:rsidTr="0056132D">
        <w:trPr>
          <w:gridAfter w:val="1"/>
          <w:wAfter w:w="20" w:type="dxa"/>
        </w:trPr>
        <w:tc>
          <w:tcPr>
            <w:tcW w:w="3107" w:type="dxa"/>
            <w:vAlign w:val="bottom"/>
          </w:tcPr>
          <w:p w14:paraId="310FDEA0" w14:textId="77777777" w:rsidR="00CE4C07" w:rsidRPr="00C454B8" w:rsidRDefault="00CE4C07" w:rsidP="0056132D">
            <w:pPr>
              <w:pStyle w:val="a3"/>
              <w:tabs>
                <w:tab w:val="left" w:pos="227"/>
                <w:tab w:val="left" w:pos="397"/>
                <w:tab w:val="left" w:pos="567"/>
              </w:tabs>
              <w:ind w:left="227" w:hanging="170"/>
              <w:rPr>
                <w:sz w:val="22"/>
                <w:rtl/>
              </w:rPr>
            </w:pPr>
            <w:r>
              <w:rPr>
                <w:rFonts w:hint="cs"/>
                <w:sz w:val="22"/>
                <w:rtl/>
              </w:rPr>
              <w:t>מיוחס ל:</w:t>
            </w:r>
          </w:p>
        </w:tc>
        <w:tc>
          <w:tcPr>
            <w:tcW w:w="126" w:type="dxa"/>
            <w:vAlign w:val="bottom"/>
          </w:tcPr>
          <w:p w14:paraId="48DC78BA"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4D105C89" w14:textId="77777777" w:rsidR="00CE4C07" w:rsidRPr="0074065E" w:rsidRDefault="00CE4C07" w:rsidP="0056132D">
            <w:pPr>
              <w:spacing w:line="240" w:lineRule="exact"/>
              <w:rPr>
                <w:rtl/>
              </w:rPr>
            </w:pPr>
          </w:p>
        </w:tc>
        <w:tc>
          <w:tcPr>
            <w:tcW w:w="141" w:type="dxa"/>
            <w:vAlign w:val="bottom"/>
          </w:tcPr>
          <w:p w14:paraId="07BAD794"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25ECFA25" w14:textId="77777777" w:rsidR="00CE4C07" w:rsidRPr="0074065E" w:rsidRDefault="00CE4C07" w:rsidP="0056132D">
            <w:pPr>
              <w:tabs>
                <w:tab w:val="decimal" w:pos="113"/>
              </w:tabs>
              <w:spacing w:line="240" w:lineRule="exact"/>
              <w:rPr>
                <w:rtl/>
              </w:rPr>
            </w:pPr>
          </w:p>
        </w:tc>
        <w:tc>
          <w:tcPr>
            <w:tcW w:w="142" w:type="dxa"/>
            <w:vAlign w:val="bottom"/>
          </w:tcPr>
          <w:p w14:paraId="0F452BD2"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6BAECA9D" w14:textId="77777777" w:rsidR="00CE4C07" w:rsidRPr="0074065E" w:rsidRDefault="00CE4C07" w:rsidP="0056132D">
            <w:pPr>
              <w:tabs>
                <w:tab w:val="decimal" w:pos="113"/>
              </w:tabs>
              <w:spacing w:line="240" w:lineRule="exact"/>
              <w:rPr>
                <w:rtl/>
              </w:rPr>
            </w:pPr>
          </w:p>
        </w:tc>
      </w:tr>
      <w:tr w:rsidR="00CE4C07" w:rsidRPr="0074065E" w14:paraId="1ED68752" w14:textId="77777777" w:rsidTr="0056132D">
        <w:trPr>
          <w:gridAfter w:val="1"/>
          <w:wAfter w:w="20" w:type="dxa"/>
        </w:trPr>
        <w:tc>
          <w:tcPr>
            <w:tcW w:w="3107" w:type="dxa"/>
            <w:vAlign w:val="bottom"/>
          </w:tcPr>
          <w:p w14:paraId="2D73A0FC" w14:textId="77777777" w:rsidR="00CE4C07" w:rsidRPr="00C454B8" w:rsidRDefault="00CE4C07" w:rsidP="0056132D">
            <w:pPr>
              <w:pStyle w:val="a3"/>
              <w:tabs>
                <w:tab w:val="left" w:pos="227"/>
                <w:tab w:val="left" w:pos="397"/>
                <w:tab w:val="left" w:pos="567"/>
              </w:tabs>
              <w:ind w:left="227" w:hanging="170"/>
              <w:rPr>
                <w:sz w:val="22"/>
                <w:rtl/>
              </w:rPr>
            </w:pPr>
            <w:r>
              <w:rPr>
                <w:rFonts w:hint="cs"/>
                <w:sz w:val="22"/>
                <w:rtl/>
              </w:rPr>
              <w:t>בעלי מניות החברה</w:t>
            </w:r>
          </w:p>
        </w:tc>
        <w:tc>
          <w:tcPr>
            <w:tcW w:w="126" w:type="dxa"/>
            <w:vAlign w:val="bottom"/>
          </w:tcPr>
          <w:p w14:paraId="47F3B106"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6ADB05F9" w14:textId="77777777" w:rsidR="00CE4C07" w:rsidRPr="0074065E" w:rsidRDefault="00CE4C07" w:rsidP="0056132D">
            <w:pPr>
              <w:spacing w:line="240" w:lineRule="exact"/>
              <w:rPr>
                <w:rtl/>
              </w:rPr>
            </w:pPr>
          </w:p>
        </w:tc>
        <w:tc>
          <w:tcPr>
            <w:tcW w:w="141" w:type="dxa"/>
            <w:vAlign w:val="bottom"/>
          </w:tcPr>
          <w:p w14:paraId="6F8116A4"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464E9514" w14:textId="77777777" w:rsidR="00CE4C07" w:rsidRPr="0074065E" w:rsidRDefault="00CE4C07" w:rsidP="0056132D">
            <w:pPr>
              <w:tabs>
                <w:tab w:val="decimal" w:pos="113"/>
              </w:tabs>
              <w:spacing w:line="240" w:lineRule="exact"/>
              <w:rPr>
                <w:rtl/>
              </w:rPr>
            </w:pPr>
          </w:p>
        </w:tc>
        <w:tc>
          <w:tcPr>
            <w:tcW w:w="142" w:type="dxa"/>
            <w:vAlign w:val="bottom"/>
          </w:tcPr>
          <w:p w14:paraId="4FB9F1B6"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2B7ABDF7" w14:textId="77777777" w:rsidR="00CE4C07" w:rsidRPr="0074065E" w:rsidRDefault="00CE4C07" w:rsidP="0056132D">
            <w:pPr>
              <w:tabs>
                <w:tab w:val="decimal" w:pos="113"/>
              </w:tabs>
              <w:spacing w:line="240" w:lineRule="exact"/>
              <w:rPr>
                <w:rtl/>
              </w:rPr>
            </w:pPr>
          </w:p>
        </w:tc>
      </w:tr>
      <w:tr w:rsidR="00CE4C07" w:rsidRPr="0074065E" w14:paraId="4F718F2A" w14:textId="77777777" w:rsidTr="0056132D">
        <w:trPr>
          <w:gridAfter w:val="1"/>
          <w:wAfter w:w="20" w:type="dxa"/>
        </w:trPr>
        <w:tc>
          <w:tcPr>
            <w:tcW w:w="3107" w:type="dxa"/>
            <w:vAlign w:val="bottom"/>
          </w:tcPr>
          <w:p w14:paraId="27121F6B" w14:textId="77777777" w:rsidR="00CE4C07" w:rsidRPr="00C454B8" w:rsidRDefault="00CE4C07" w:rsidP="0056132D">
            <w:pPr>
              <w:pStyle w:val="a3"/>
              <w:tabs>
                <w:tab w:val="left" w:pos="227"/>
                <w:tab w:val="left" w:pos="397"/>
                <w:tab w:val="left" w:pos="567"/>
              </w:tabs>
              <w:ind w:left="227" w:hanging="170"/>
              <w:rPr>
                <w:sz w:val="22"/>
                <w:rtl/>
              </w:rPr>
            </w:pPr>
            <w:r>
              <w:rPr>
                <w:rFonts w:hint="cs"/>
                <w:sz w:val="22"/>
                <w:rtl/>
              </w:rPr>
              <w:t>זכויות שאינן מקנות שליטה</w:t>
            </w:r>
          </w:p>
        </w:tc>
        <w:tc>
          <w:tcPr>
            <w:tcW w:w="126" w:type="dxa"/>
            <w:vAlign w:val="bottom"/>
          </w:tcPr>
          <w:p w14:paraId="7D4C2269"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6CD10E7A" w14:textId="77777777" w:rsidR="00CE4C07" w:rsidRPr="0074065E" w:rsidRDefault="00CE4C07" w:rsidP="0056132D">
            <w:pPr>
              <w:spacing w:line="240" w:lineRule="exact"/>
              <w:rPr>
                <w:rtl/>
              </w:rPr>
            </w:pPr>
          </w:p>
        </w:tc>
        <w:tc>
          <w:tcPr>
            <w:tcW w:w="141" w:type="dxa"/>
            <w:vAlign w:val="bottom"/>
          </w:tcPr>
          <w:p w14:paraId="2B2553BC"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520A1F0C" w14:textId="77777777" w:rsidR="00CE4C07" w:rsidRPr="0074065E" w:rsidRDefault="00CE4C07" w:rsidP="0056132D">
            <w:pPr>
              <w:tabs>
                <w:tab w:val="decimal" w:pos="113"/>
              </w:tabs>
              <w:spacing w:line="240" w:lineRule="exact"/>
              <w:rPr>
                <w:rtl/>
              </w:rPr>
            </w:pPr>
          </w:p>
        </w:tc>
        <w:tc>
          <w:tcPr>
            <w:tcW w:w="142" w:type="dxa"/>
            <w:vAlign w:val="bottom"/>
          </w:tcPr>
          <w:p w14:paraId="695601B3"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238C10E9" w14:textId="77777777" w:rsidR="00CE4C07" w:rsidRPr="0074065E" w:rsidRDefault="00CE4C07" w:rsidP="0056132D">
            <w:pPr>
              <w:tabs>
                <w:tab w:val="decimal" w:pos="113"/>
              </w:tabs>
              <w:spacing w:line="240" w:lineRule="exact"/>
              <w:rPr>
                <w:rtl/>
              </w:rPr>
            </w:pPr>
          </w:p>
        </w:tc>
      </w:tr>
      <w:tr w:rsidR="00CE4C07" w:rsidRPr="0074065E" w14:paraId="1B1A0AC4" w14:textId="77777777" w:rsidTr="0056132D">
        <w:trPr>
          <w:gridAfter w:val="1"/>
          <w:wAfter w:w="20" w:type="dxa"/>
        </w:trPr>
        <w:tc>
          <w:tcPr>
            <w:tcW w:w="3107" w:type="dxa"/>
            <w:vAlign w:val="bottom"/>
          </w:tcPr>
          <w:p w14:paraId="528E13E6" w14:textId="77777777" w:rsidR="00CE4C07" w:rsidRPr="00C454B8" w:rsidRDefault="00CE4C07" w:rsidP="0056132D">
            <w:pPr>
              <w:pStyle w:val="a3"/>
              <w:tabs>
                <w:tab w:val="left" w:pos="227"/>
                <w:tab w:val="left" w:pos="397"/>
                <w:tab w:val="left" w:pos="567"/>
              </w:tabs>
              <w:ind w:left="227" w:hanging="170"/>
              <w:rPr>
                <w:sz w:val="22"/>
                <w:rtl/>
              </w:rPr>
            </w:pPr>
          </w:p>
        </w:tc>
        <w:tc>
          <w:tcPr>
            <w:tcW w:w="126" w:type="dxa"/>
            <w:vAlign w:val="bottom"/>
          </w:tcPr>
          <w:p w14:paraId="2F9E4FFF" w14:textId="77777777" w:rsidR="00CE4C07" w:rsidRPr="0074065E" w:rsidRDefault="00CE4C07" w:rsidP="0056132D">
            <w:pPr>
              <w:spacing w:line="240" w:lineRule="exact"/>
              <w:rPr>
                <w:rtl/>
              </w:rPr>
            </w:pPr>
          </w:p>
        </w:tc>
        <w:tc>
          <w:tcPr>
            <w:tcW w:w="1196" w:type="dxa"/>
            <w:tcBorders>
              <w:top w:val="double" w:sz="4" w:space="0" w:color="auto"/>
            </w:tcBorders>
            <w:vAlign w:val="bottom"/>
          </w:tcPr>
          <w:p w14:paraId="676FC3A0" w14:textId="77777777" w:rsidR="00CE4C07" w:rsidRPr="0074065E" w:rsidRDefault="00CE4C07" w:rsidP="0056132D">
            <w:pPr>
              <w:spacing w:line="240" w:lineRule="exact"/>
              <w:rPr>
                <w:rtl/>
              </w:rPr>
            </w:pPr>
          </w:p>
        </w:tc>
        <w:tc>
          <w:tcPr>
            <w:tcW w:w="141" w:type="dxa"/>
            <w:vAlign w:val="bottom"/>
          </w:tcPr>
          <w:p w14:paraId="45B0B0BC" w14:textId="77777777" w:rsidR="00CE4C07" w:rsidRPr="0074065E" w:rsidRDefault="00CE4C07" w:rsidP="0056132D">
            <w:pPr>
              <w:spacing w:line="240" w:lineRule="exact"/>
              <w:rPr>
                <w:rtl/>
              </w:rPr>
            </w:pPr>
          </w:p>
        </w:tc>
        <w:tc>
          <w:tcPr>
            <w:tcW w:w="1276" w:type="dxa"/>
            <w:tcBorders>
              <w:top w:val="double" w:sz="4" w:space="0" w:color="auto"/>
            </w:tcBorders>
            <w:vAlign w:val="bottom"/>
          </w:tcPr>
          <w:p w14:paraId="2678ED72" w14:textId="77777777" w:rsidR="00CE4C07" w:rsidRPr="0074065E" w:rsidRDefault="00CE4C07" w:rsidP="0056132D">
            <w:pPr>
              <w:tabs>
                <w:tab w:val="decimal" w:pos="113"/>
              </w:tabs>
              <w:spacing w:line="240" w:lineRule="exact"/>
              <w:rPr>
                <w:rtl/>
              </w:rPr>
            </w:pPr>
          </w:p>
        </w:tc>
        <w:tc>
          <w:tcPr>
            <w:tcW w:w="142" w:type="dxa"/>
            <w:vAlign w:val="bottom"/>
          </w:tcPr>
          <w:p w14:paraId="0839FD64" w14:textId="77777777" w:rsidR="00CE4C07" w:rsidRPr="0074065E" w:rsidRDefault="00CE4C07" w:rsidP="0056132D">
            <w:pPr>
              <w:tabs>
                <w:tab w:val="decimal" w:pos="113"/>
              </w:tabs>
              <w:spacing w:line="240" w:lineRule="exact"/>
              <w:rPr>
                <w:rtl/>
              </w:rPr>
            </w:pPr>
          </w:p>
        </w:tc>
        <w:tc>
          <w:tcPr>
            <w:tcW w:w="1397" w:type="dxa"/>
            <w:tcBorders>
              <w:top w:val="double" w:sz="4" w:space="0" w:color="auto"/>
            </w:tcBorders>
            <w:vAlign w:val="bottom"/>
          </w:tcPr>
          <w:p w14:paraId="33BAAA0A" w14:textId="77777777" w:rsidR="00CE4C07" w:rsidRPr="0074065E" w:rsidRDefault="00CE4C07" w:rsidP="0056132D">
            <w:pPr>
              <w:tabs>
                <w:tab w:val="decimal" w:pos="113"/>
              </w:tabs>
              <w:spacing w:line="240" w:lineRule="exact"/>
              <w:rPr>
                <w:rtl/>
              </w:rPr>
            </w:pPr>
          </w:p>
        </w:tc>
      </w:tr>
      <w:tr w:rsidR="00CE4C07" w:rsidRPr="0074065E" w14:paraId="6A12405E" w14:textId="77777777" w:rsidTr="0056132D">
        <w:trPr>
          <w:gridAfter w:val="1"/>
          <w:wAfter w:w="20" w:type="dxa"/>
        </w:trPr>
        <w:tc>
          <w:tcPr>
            <w:tcW w:w="3107" w:type="dxa"/>
            <w:vAlign w:val="bottom"/>
          </w:tcPr>
          <w:p w14:paraId="511BBF78" w14:textId="77777777" w:rsidR="00CE4C07" w:rsidRPr="00C454B8" w:rsidRDefault="00CE4C07" w:rsidP="0056132D">
            <w:pPr>
              <w:pStyle w:val="a3"/>
              <w:tabs>
                <w:tab w:val="left" w:pos="227"/>
                <w:tab w:val="left" w:pos="397"/>
                <w:tab w:val="left" w:pos="567"/>
              </w:tabs>
              <w:ind w:left="227" w:hanging="170"/>
              <w:rPr>
                <w:sz w:val="22"/>
                <w:u w:val="single"/>
                <w:rtl/>
              </w:rPr>
            </w:pPr>
            <w:r w:rsidRPr="00C454B8">
              <w:rPr>
                <w:sz w:val="22"/>
                <w:rtl/>
              </w:rPr>
              <w:t xml:space="preserve">רווח נקי (הפסד) בסיסי </w:t>
            </w:r>
            <w:r w:rsidRPr="00C454B8">
              <w:rPr>
                <w:rFonts w:hint="eastAsia"/>
                <w:sz w:val="22"/>
                <w:rtl/>
              </w:rPr>
              <w:t>למניה</w:t>
            </w:r>
            <w:r w:rsidRPr="00C454B8">
              <w:rPr>
                <w:sz w:val="22"/>
                <w:rtl/>
              </w:rPr>
              <w:t xml:space="preserve"> (בש"ח)</w:t>
            </w:r>
          </w:p>
        </w:tc>
        <w:tc>
          <w:tcPr>
            <w:tcW w:w="126" w:type="dxa"/>
            <w:vAlign w:val="bottom"/>
          </w:tcPr>
          <w:p w14:paraId="308D3643" w14:textId="77777777" w:rsidR="00CE4C07" w:rsidRPr="0074065E" w:rsidRDefault="00CE4C07" w:rsidP="0056132D">
            <w:pPr>
              <w:spacing w:line="240" w:lineRule="exact"/>
              <w:rPr>
                <w:rtl/>
              </w:rPr>
            </w:pPr>
          </w:p>
        </w:tc>
        <w:tc>
          <w:tcPr>
            <w:tcW w:w="1196" w:type="dxa"/>
            <w:tcBorders>
              <w:bottom w:val="double" w:sz="4" w:space="0" w:color="auto"/>
            </w:tcBorders>
            <w:vAlign w:val="bottom"/>
          </w:tcPr>
          <w:p w14:paraId="34676FBF" w14:textId="77777777" w:rsidR="00CE4C07" w:rsidRPr="0074065E" w:rsidRDefault="00CE4C07" w:rsidP="0056132D">
            <w:pPr>
              <w:spacing w:line="240" w:lineRule="exact"/>
              <w:rPr>
                <w:rtl/>
              </w:rPr>
            </w:pPr>
          </w:p>
        </w:tc>
        <w:tc>
          <w:tcPr>
            <w:tcW w:w="141" w:type="dxa"/>
            <w:vAlign w:val="bottom"/>
          </w:tcPr>
          <w:p w14:paraId="7F36D032"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74DDF7E3" w14:textId="77777777" w:rsidR="00CE4C07" w:rsidRPr="0074065E" w:rsidRDefault="00CE4C07" w:rsidP="0056132D">
            <w:pPr>
              <w:tabs>
                <w:tab w:val="decimal" w:pos="113"/>
              </w:tabs>
              <w:spacing w:line="240" w:lineRule="exact"/>
              <w:rPr>
                <w:rtl/>
              </w:rPr>
            </w:pPr>
          </w:p>
        </w:tc>
        <w:tc>
          <w:tcPr>
            <w:tcW w:w="142" w:type="dxa"/>
            <w:vAlign w:val="bottom"/>
          </w:tcPr>
          <w:p w14:paraId="027BA4B2" w14:textId="77777777" w:rsidR="00CE4C07" w:rsidRPr="0074065E" w:rsidRDefault="00CE4C07" w:rsidP="0056132D">
            <w:pPr>
              <w:tabs>
                <w:tab w:val="decimal" w:pos="113"/>
              </w:tabs>
              <w:spacing w:line="240" w:lineRule="exact"/>
              <w:rPr>
                <w:rtl/>
              </w:rPr>
            </w:pPr>
          </w:p>
        </w:tc>
        <w:tc>
          <w:tcPr>
            <w:tcW w:w="1397" w:type="dxa"/>
            <w:tcBorders>
              <w:bottom w:val="double" w:sz="4" w:space="0" w:color="auto"/>
            </w:tcBorders>
            <w:vAlign w:val="bottom"/>
          </w:tcPr>
          <w:p w14:paraId="5C6A036C" w14:textId="77777777" w:rsidR="00CE4C07" w:rsidRPr="0074065E" w:rsidRDefault="00CE4C07" w:rsidP="0056132D">
            <w:pPr>
              <w:tabs>
                <w:tab w:val="decimal" w:pos="113"/>
              </w:tabs>
              <w:spacing w:line="240" w:lineRule="exact"/>
              <w:rPr>
                <w:rtl/>
              </w:rPr>
            </w:pPr>
          </w:p>
        </w:tc>
      </w:tr>
      <w:tr w:rsidR="00CE4C07" w:rsidRPr="0074065E" w14:paraId="541DBD4C" w14:textId="77777777" w:rsidTr="0056132D">
        <w:trPr>
          <w:gridAfter w:val="1"/>
          <w:wAfter w:w="20" w:type="dxa"/>
        </w:trPr>
        <w:tc>
          <w:tcPr>
            <w:tcW w:w="3107" w:type="dxa"/>
            <w:vAlign w:val="bottom"/>
          </w:tcPr>
          <w:p w14:paraId="593C49D6" w14:textId="77777777" w:rsidR="00CE4C07" w:rsidRPr="00C454B8" w:rsidRDefault="00CE4C07" w:rsidP="0056132D">
            <w:pPr>
              <w:pStyle w:val="a3"/>
              <w:tabs>
                <w:tab w:val="left" w:pos="227"/>
                <w:tab w:val="left" w:pos="397"/>
                <w:tab w:val="left" w:pos="567"/>
              </w:tabs>
              <w:ind w:left="227" w:hanging="170"/>
              <w:rPr>
                <w:sz w:val="22"/>
                <w:u w:val="single"/>
                <w:rtl/>
              </w:rPr>
            </w:pPr>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p>
        </w:tc>
        <w:tc>
          <w:tcPr>
            <w:tcW w:w="126" w:type="dxa"/>
            <w:vAlign w:val="bottom"/>
          </w:tcPr>
          <w:p w14:paraId="78E981F6"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312BB7CC" w14:textId="77777777" w:rsidR="00CE4C07" w:rsidRPr="0074065E" w:rsidRDefault="00CE4C07" w:rsidP="0056132D">
            <w:pPr>
              <w:spacing w:line="240" w:lineRule="exact"/>
              <w:rPr>
                <w:rtl/>
              </w:rPr>
            </w:pPr>
          </w:p>
        </w:tc>
        <w:tc>
          <w:tcPr>
            <w:tcW w:w="141" w:type="dxa"/>
            <w:vAlign w:val="bottom"/>
          </w:tcPr>
          <w:p w14:paraId="7536E9A5"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56AE454B" w14:textId="77777777" w:rsidR="00CE4C07" w:rsidRPr="0074065E" w:rsidRDefault="00CE4C07" w:rsidP="0056132D">
            <w:pPr>
              <w:tabs>
                <w:tab w:val="decimal" w:pos="113"/>
              </w:tabs>
              <w:spacing w:line="240" w:lineRule="exact"/>
              <w:rPr>
                <w:rtl/>
              </w:rPr>
            </w:pPr>
          </w:p>
        </w:tc>
        <w:tc>
          <w:tcPr>
            <w:tcW w:w="142" w:type="dxa"/>
            <w:vAlign w:val="bottom"/>
          </w:tcPr>
          <w:p w14:paraId="76A52CE1"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39B79D63" w14:textId="77777777" w:rsidR="00CE4C07" w:rsidRPr="0074065E" w:rsidRDefault="00CE4C07" w:rsidP="0056132D">
            <w:pPr>
              <w:tabs>
                <w:tab w:val="decimal" w:pos="113"/>
              </w:tabs>
              <w:spacing w:line="240" w:lineRule="exact"/>
              <w:rPr>
                <w:rtl/>
              </w:rPr>
            </w:pPr>
          </w:p>
        </w:tc>
      </w:tr>
    </w:tbl>
    <w:p w14:paraId="13F400C0" w14:textId="77777777" w:rsidR="00CE4C07" w:rsidRDefault="00CE4C07" w:rsidP="00CE4C07">
      <w:pPr>
        <w:pStyle w:val="21"/>
        <w:ind w:left="1810"/>
        <w:rPr>
          <w:rtl/>
        </w:rPr>
      </w:pPr>
    </w:p>
    <w:tbl>
      <w:tblPr>
        <w:bidiVisual/>
        <w:tblW w:w="7405" w:type="dxa"/>
        <w:tblInd w:w="2234" w:type="dxa"/>
        <w:tblLayout w:type="fixed"/>
        <w:tblCellMar>
          <w:left w:w="0" w:type="dxa"/>
          <w:right w:w="0" w:type="dxa"/>
        </w:tblCellMar>
        <w:tblLook w:val="0000" w:firstRow="0" w:lastRow="0" w:firstColumn="0" w:lastColumn="0" w:noHBand="0" w:noVBand="0"/>
      </w:tblPr>
      <w:tblGrid>
        <w:gridCol w:w="3107"/>
        <w:gridCol w:w="126"/>
        <w:gridCol w:w="1196"/>
        <w:gridCol w:w="141"/>
        <w:gridCol w:w="1276"/>
        <w:gridCol w:w="142"/>
        <w:gridCol w:w="1397"/>
        <w:gridCol w:w="20"/>
      </w:tblGrid>
      <w:tr w:rsidR="00CE4C07" w:rsidRPr="0074065E" w14:paraId="1A6778F0" w14:textId="77777777" w:rsidTr="0056132D">
        <w:tc>
          <w:tcPr>
            <w:tcW w:w="3107" w:type="dxa"/>
            <w:vAlign w:val="bottom"/>
          </w:tcPr>
          <w:p w14:paraId="12CD8E0F" w14:textId="77777777" w:rsidR="00CE4C07" w:rsidRPr="00C454B8" w:rsidRDefault="00CE4C07" w:rsidP="0056132D">
            <w:pPr>
              <w:pStyle w:val="a3"/>
              <w:tabs>
                <w:tab w:val="left" w:pos="227"/>
                <w:tab w:val="left" w:pos="397"/>
                <w:tab w:val="left" w:pos="567"/>
              </w:tabs>
              <w:ind w:left="227" w:hanging="170"/>
              <w:rPr>
                <w:sz w:val="22"/>
                <w:rtl/>
              </w:rPr>
            </w:pPr>
          </w:p>
        </w:tc>
        <w:tc>
          <w:tcPr>
            <w:tcW w:w="126" w:type="dxa"/>
            <w:vAlign w:val="bottom"/>
          </w:tcPr>
          <w:p w14:paraId="72CF93C9" w14:textId="77777777" w:rsidR="00CE4C07" w:rsidRPr="0074065E" w:rsidRDefault="00CE4C07" w:rsidP="0056132D">
            <w:pPr>
              <w:spacing w:line="240" w:lineRule="exact"/>
              <w:jc w:val="center"/>
              <w:rPr>
                <w:rtl/>
              </w:rPr>
            </w:pPr>
          </w:p>
        </w:tc>
        <w:tc>
          <w:tcPr>
            <w:tcW w:w="1196" w:type="dxa"/>
            <w:tcBorders>
              <w:bottom w:val="single" w:sz="6" w:space="0" w:color="auto"/>
            </w:tcBorders>
            <w:shd w:val="clear" w:color="auto" w:fill="auto"/>
            <w:vAlign w:val="bottom"/>
          </w:tcPr>
          <w:p w14:paraId="20658B05" w14:textId="77777777" w:rsidR="00CE4C07" w:rsidRPr="0074065E" w:rsidRDefault="00CE4C07" w:rsidP="0056132D">
            <w:pPr>
              <w:spacing w:line="240" w:lineRule="exact"/>
              <w:jc w:val="center"/>
              <w:rPr>
                <w:rtl/>
              </w:rPr>
            </w:pPr>
            <w:r>
              <w:rPr>
                <w:rFonts w:hint="cs"/>
                <w:rtl/>
              </w:rPr>
              <w:t xml:space="preserve"> בהתאם למדיניות הקודמת</w:t>
            </w:r>
          </w:p>
        </w:tc>
        <w:tc>
          <w:tcPr>
            <w:tcW w:w="141" w:type="dxa"/>
            <w:vAlign w:val="bottom"/>
          </w:tcPr>
          <w:p w14:paraId="7293022D" w14:textId="77777777" w:rsidR="00CE4C07" w:rsidRPr="0074065E" w:rsidRDefault="00CE4C07" w:rsidP="0056132D">
            <w:pPr>
              <w:spacing w:line="240" w:lineRule="exact"/>
              <w:jc w:val="center"/>
              <w:rPr>
                <w:rtl/>
              </w:rPr>
            </w:pPr>
          </w:p>
        </w:tc>
        <w:tc>
          <w:tcPr>
            <w:tcW w:w="1276" w:type="dxa"/>
            <w:tcBorders>
              <w:bottom w:val="single" w:sz="6" w:space="0" w:color="auto"/>
            </w:tcBorders>
            <w:vAlign w:val="bottom"/>
          </w:tcPr>
          <w:p w14:paraId="0CC75D81" w14:textId="77777777" w:rsidR="00CE4C07" w:rsidRPr="0074065E" w:rsidRDefault="00CE4C07" w:rsidP="0056132D">
            <w:pPr>
              <w:spacing w:line="240" w:lineRule="exact"/>
              <w:jc w:val="center"/>
              <w:rPr>
                <w:rtl/>
              </w:rPr>
            </w:pPr>
            <w:r>
              <w:rPr>
                <w:rFonts w:hint="cs"/>
                <w:rtl/>
              </w:rPr>
              <w:t xml:space="preserve">השינוי </w:t>
            </w:r>
          </w:p>
        </w:tc>
        <w:tc>
          <w:tcPr>
            <w:tcW w:w="142" w:type="dxa"/>
            <w:vAlign w:val="bottom"/>
          </w:tcPr>
          <w:p w14:paraId="575AD9BB" w14:textId="77777777" w:rsidR="00CE4C07" w:rsidRPr="0074065E" w:rsidRDefault="00CE4C07" w:rsidP="0056132D">
            <w:pPr>
              <w:spacing w:line="240" w:lineRule="exact"/>
              <w:jc w:val="center"/>
              <w:rPr>
                <w:rtl/>
              </w:rPr>
            </w:pPr>
          </w:p>
        </w:tc>
        <w:tc>
          <w:tcPr>
            <w:tcW w:w="1417" w:type="dxa"/>
            <w:gridSpan w:val="2"/>
            <w:tcBorders>
              <w:bottom w:val="single" w:sz="6" w:space="0" w:color="auto"/>
            </w:tcBorders>
            <w:vAlign w:val="bottom"/>
          </w:tcPr>
          <w:p w14:paraId="535FB9CB" w14:textId="77777777" w:rsidR="00CE4C07" w:rsidRPr="0074065E" w:rsidRDefault="00CE4C07" w:rsidP="0056132D">
            <w:pPr>
              <w:spacing w:line="240" w:lineRule="exact"/>
              <w:jc w:val="center"/>
              <w:rPr>
                <w:rtl/>
              </w:rPr>
            </w:pPr>
            <w:r>
              <w:rPr>
                <w:rFonts w:hint="cs"/>
                <w:rtl/>
              </w:rPr>
              <w:t xml:space="preserve"> כמוצג בדוחות כספיים אלה</w:t>
            </w:r>
          </w:p>
        </w:tc>
      </w:tr>
      <w:tr w:rsidR="00CE4C07" w:rsidRPr="0074065E" w14:paraId="6D0F3B0A" w14:textId="77777777" w:rsidTr="0056132D">
        <w:tc>
          <w:tcPr>
            <w:tcW w:w="3107" w:type="dxa"/>
            <w:vAlign w:val="bottom"/>
          </w:tcPr>
          <w:p w14:paraId="0E976103" w14:textId="77777777" w:rsidR="00CE4C07" w:rsidRPr="00C454B8" w:rsidRDefault="00CE4C07" w:rsidP="0056132D">
            <w:pPr>
              <w:pStyle w:val="a3"/>
              <w:tabs>
                <w:tab w:val="left" w:pos="227"/>
                <w:tab w:val="left" w:pos="397"/>
                <w:tab w:val="left" w:pos="567"/>
              </w:tabs>
              <w:ind w:left="227" w:hanging="170"/>
              <w:rPr>
                <w:sz w:val="22"/>
                <w:rtl/>
              </w:rPr>
            </w:pPr>
          </w:p>
        </w:tc>
        <w:tc>
          <w:tcPr>
            <w:tcW w:w="126" w:type="dxa"/>
            <w:vAlign w:val="bottom"/>
          </w:tcPr>
          <w:p w14:paraId="6071710D" w14:textId="77777777" w:rsidR="00CE4C07" w:rsidRPr="0074065E" w:rsidRDefault="00CE4C07" w:rsidP="0056132D">
            <w:pPr>
              <w:spacing w:line="240" w:lineRule="exact"/>
              <w:rPr>
                <w:rtl/>
              </w:rPr>
            </w:pPr>
          </w:p>
        </w:tc>
        <w:tc>
          <w:tcPr>
            <w:tcW w:w="4172" w:type="dxa"/>
            <w:gridSpan w:val="6"/>
            <w:tcBorders>
              <w:bottom w:val="single" w:sz="6" w:space="0" w:color="auto"/>
            </w:tcBorders>
            <w:shd w:val="clear" w:color="auto" w:fill="auto"/>
            <w:vAlign w:val="bottom"/>
          </w:tcPr>
          <w:p w14:paraId="7B0AEC11" w14:textId="77777777" w:rsidR="00CE4C07" w:rsidRPr="0074065E" w:rsidRDefault="00CE4C07" w:rsidP="0056132D">
            <w:pPr>
              <w:tabs>
                <w:tab w:val="decimal" w:pos="113"/>
              </w:tabs>
              <w:spacing w:line="240" w:lineRule="exact"/>
              <w:jc w:val="center"/>
              <w:rPr>
                <w:rtl/>
              </w:rPr>
            </w:pPr>
            <w:r w:rsidRPr="0074065E">
              <w:rPr>
                <w:rtl/>
              </w:rPr>
              <w:t>אלפי ש"ח (למעט נתוני רווח נקי (הפסד) למניה)</w:t>
            </w:r>
          </w:p>
        </w:tc>
      </w:tr>
      <w:tr w:rsidR="00CE4C07" w:rsidRPr="0074065E" w14:paraId="7705F7C5" w14:textId="77777777" w:rsidTr="0056132D">
        <w:trPr>
          <w:gridAfter w:val="1"/>
          <w:wAfter w:w="20" w:type="dxa"/>
        </w:trPr>
        <w:tc>
          <w:tcPr>
            <w:tcW w:w="3107" w:type="dxa"/>
            <w:vAlign w:val="bottom"/>
          </w:tcPr>
          <w:p w14:paraId="7C58DA00" w14:textId="77777777" w:rsidR="00CE4C07" w:rsidRPr="00C454B8" w:rsidRDefault="00CE4C07" w:rsidP="0056132D">
            <w:pPr>
              <w:pStyle w:val="a3"/>
              <w:tabs>
                <w:tab w:val="left" w:pos="227"/>
                <w:tab w:val="left" w:pos="397"/>
                <w:tab w:val="left" w:pos="567"/>
              </w:tabs>
              <w:ind w:left="227" w:hanging="170"/>
              <w:rPr>
                <w:sz w:val="22"/>
                <w:u w:val="single"/>
                <w:rtl/>
              </w:rPr>
            </w:pPr>
            <w:r w:rsidRPr="00C454B8">
              <w:rPr>
                <w:sz w:val="22"/>
                <w:u w:val="single"/>
                <w:rtl/>
              </w:rPr>
              <w:t>ל-</w:t>
            </w:r>
            <w:r>
              <w:rPr>
                <w:rFonts w:hint="cs"/>
                <w:sz w:val="22"/>
                <w:u w:val="single"/>
                <w:rtl/>
              </w:rPr>
              <w:t>9</w:t>
            </w:r>
            <w:r w:rsidRPr="00C454B8">
              <w:rPr>
                <w:sz w:val="22"/>
                <w:u w:val="single"/>
                <w:rtl/>
              </w:rPr>
              <w:t xml:space="preserve"> החודשים שהסתיימו ביום 30 בספטמבר, </w:t>
            </w:r>
            <w:r>
              <w:rPr>
                <w:rFonts w:hint="cs"/>
                <w:sz w:val="22"/>
                <w:u w:val="single"/>
                <w:rtl/>
              </w:rPr>
              <w:t>2018</w:t>
            </w:r>
          </w:p>
        </w:tc>
        <w:tc>
          <w:tcPr>
            <w:tcW w:w="126" w:type="dxa"/>
            <w:vAlign w:val="bottom"/>
          </w:tcPr>
          <w:p w14:paraId="77B03D70" w14:textId="77777777" w:rsidR="00CE4C07" w:rsidRPr="0074065E" w:rsidRDefault="00CE4C07" w:rsidP="0056132D">
            <w:pPr>
              <w:spacing w:line="240" w:lineRule="exact"/>
              <w:rPr>
                <w:rtl/>
              </w:rPr>
            </w:pPr>
          </w:p>
        </w:tc>
        <w:tc>
          <w:tcPr>
            <w:tcW w:w="1196" w:type="dxa"/>
            <w:vAlign w:val="bottom"/>
          </w:tcPr>
          <w:p w14:paraId="3F31F33D" w14:textId="77777777" w:rsidR="00CE4C07" w:rsidRPr="0074065E" w:rsidRDefault="00CE4C07" w:rsidP="0056132D">
            <w:pPr>
              <w:spacing w:line="240" w:lineRule="exact"/>
              <w:rPr>
                <w:rtl/>
              </w:rPr>
            </w:pPr>
          </w:p>
        </w:tc>
        <w:tc>
          <w:tcPr>
            <w:tcW w:w="141" w:type="dxa"/>
            <w:vAlign w:val="bottom"/>
          </w:tcPr>
          <w:p w14:paraId="7A4D473E" w14:textId="77777777" w:rsidR="00CE4C07" w:rsidRPr="0074065E" w:rsidRDefault="00CE4C07" w:rsidP="0056132D">
            <w:pPr>
              <w:spacing w:line="240" w:lineRule="exact"/>
              <w:rPr>
                <w:rtl/>
              </w:rPr>
            </w:pPr>
          </w:p>
        </w:tc>
        <w:tc>
          <w:tcPr>
            <w:tcW w:w="1276" w:type="dxa"/>
            <w:vAlign w:val="bottom"/>
          </w:tcPr>
          <w:p w14:paraId="01B31ECC" w14:textId="77777777" w:rsidR="00CE4C07" w:rsidRPr="0074065E" w:rsidRDefault="00CE4C07" w:rsidP="0056132D">
            <w:pPr>
              <w:tabs>
                <w:tab w:val="decimal" w:pos="113"/>
              </w:tabs>
              <w:spacing w:line="240" w:lineRule="exact"/>
              <w:rPr>
                <w:rtl/>
              </w:rPr>
            </w:pPr>
          </w:p>
        </w:tc>
        <w:tc>
          <w:tcPr>
            <w:tcW w:w="142" w:type="dxa"/>
            <w:vAlign w:val="bottom"/>
          </w:tcPr>
          <w:p w14:paraId="4FB12298" w14:textId="77777777" w:rsidR="00CE4C07" w:rsidRPr="0074065E" w:rsidRDefault="00CE4C07" w:rsidP="0056132D">
            <w:pPr>
              <w:tabs>
                <w:tab w:val="decimal" w:pos="113"/>
              </w:tabs>
              <w:spacing w:line="240" w:lineRule="exact"/>
              <w:rPr>
                <w:rtl/>
              </w:rPr>
            </w:pPr>
          </w:p>
        </w:tc>
        <w:tc>
          <w:tcPr>
            <w:tcW w:w="1397" w:type="dxa"/>
            <w:vAlign w:val="bottom"/>
          </w:tcPr>
          <w:p w14:paraId="5988FAAF" w14:textId="77777777" w:rsidR="00CE4C07" w:rsidRPr="0074065E" w:rsidRDefault="00CE4C07" w:rsidP="0056132D">
            <w:pPr>
              <w:tabs>
                <w:tab w:val="decimal" w:pos="113"/>
              </w:tabs>
              <w:spacing w:line="240" w:lineRule="exact"/>
              <w:rPr>
                <w:rtl/>
              </w:rPr>
            </w:pPr>
          </w:p>
        </w:tc>
      </w:tr>
      <w:tr w:rsidR="00CE4C07" w:rsidRPr="0074065E" w14:paraId="297478EA" w14:textId="77777777" w:rsidTr="0056132D">
        <w:trPr>
          <w:gridAfter w:val="1"/>
          <w:wAfter w:w="20" w:type="dxa"/>
        </w:trPr>
        <w:tc>
          <w:tcPr>
            <w:tcW w:w="3107" w:type="dxa"/>
            <w:vAlign w:val="bottom"/>
          </w:tcPr>
          <w:p w14:paraId="3AFF257F" w14:textId="77777777" w:rsidR="00CE4C07" w:rsidRPr="00C454B8" w:rsidRDefault="00CE4C07" w:rsidP="0056132D">
            <w:pPr>
              <w:pStyle w:val="a3"/>
              <w:tabs>
                <w:tab w:val="left" w:pos="227"/>
                <w:tab w:val="left" w:pos="397"/>
                <w:tab w:val="left" w:pos="567"/>
              </w:tabs>
              <w:ind w:left="227" w:hanging="170"/>
              <w:rPr>
                <w:sz w:val="22"/>
                <w:u w:val="single"/>
                <w:rtl/>
              </w:rPr>
            </w:pPr>
            <w:r>
              <w:rPr>
                <w:rFonts w:hint="cs"/>
                <w:sz w:val="22"/>
                <w:rtl/>
              </w:rPr>
              <w:t>עלות המכירות</w:t>
            </w:r>
          </w:p>
        </w:tc>
        <w:tc>
          <w:tcPr>
            <w:tcW w:w="126" w:type="dxa"/>
            <w:vAlign w:val="bottom"/>
          </w:tcPr>
          <w:p w14:paraId="694E4663" w14:textId="77777777" w:rsidR="00CE4C07" w:rsidRPr="0074065E" w:rsidRDefault="00CE4C07" w:rsidP="0056132D">
            <w:pPr>
              <w:spacing w:line="240" w:lineRule="exact"/>
              <w:rPr>
                <w:rtl/>
              </w:rPr>
            </w:pPr>
          </w:p>
        </w:tc>
        <w:tc>
          <w:tcPr>
            <w:tcW w:w="1196" w:type="dxa"/>
            <w:tcBorders>
              <w:bottom w:val="double" w:sz="4" w:space="0" w:color="auto"/>
            </w:tcBorders>
            <w:vAlign w:val="bottom"/>
          </w:tcPr>
          <w:p w14:paraId="7AEF2837" w14:textId="77777777" w:rsidR="00CE4C07" w:rsidRPr="0074065E" w:rsidRDefault="00CE4C07" w:rsidP="0056132D">
            <w:pPr>
              <w:spacing w:line="240" w:lineRule="exact"/>
              <w:rPr>
                <w:rtl/>
              </w:rPr>
            </w:pPr>
          </w:p>
        </w:tc>
        <w:tc>
          <w:tcPr>
            <w:tcW w:w="141" w:type="dxa"/>
            <w:vAlign w:val="bottom"/>
          </w:tcPr>
          <w:p w14:paraId="43E6C788"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0781887F" w14:textId="77777777" w:rsidR="00CE4C07" w:rsidRPr="0074065E" w:rsidRDefault="00CE4C07" w:rsidP="0056132D">
            <w:pPr>
              <w:tabs>
                <w:tab w:val="decimal" w:pos="113"/>
              </w:tabs>
              <w:spacing w:line="240" w:lineRule="exact"/>
              <w:rPr>
                <w:rtl/>
              </w:rPr>
            </w:pPr>
          </w:p>
        </w:tc>
        <w:tc>
          <w:tcPr>
            <w:tcW w:w="142" w:type="dxa"/>
            <w:vAlign w:val="bottom"/>
          </w:tcPr>
          <w:p w14:paraId="0F5E2CAF" w14:textId="77777777" w:rsidR="00CE4C07" w:rsidRPr="0074065E" w:rsidRDefault="00CE4C07" w:rsidP="0056132D">
            <w:pPr>
              <w:tabs>
                <w:tab w:val="decimal" w:pos="113"/>
              </w:tabs>
              <w:spacing w:line="240" w:lineRule="exact"/>
              <w:rPr>
                <w:rtl/>
              </w:rPr>
            </w:pPr>
          </w:p>
        </w:tc>
        <w:tc>
          <w:tcPr>
            <w:tcW w:w="1397" w:type="dxa"/>
            <w:tcBorders>
              <w:bottom w:val="double" w:sz="4" w:space="0" w:color="auto"/>
            </w:tcBorders>
            <w:vAlign w:val="bottom"/>
          </w:tcPr>
          <w:p w14:paraId="2AE4E00F" w14:textId="77777777" w:rsidR="00CE4C07" w:rsidRPr="0074065E" w:rsidRDefault="00CE4C07" w:rsidP="0056132D">
            <w:pPr>
              <w:tabs>
                <w:tab w:val="decimal" w:pos="113"/>
              </w:tabs>
              <w:spacing w:line="240" w:lineRule="exact"/>
              <w:rPr>
                <w:rtl/>
              </w:rPr>
            </w:pPr>
          </w:p>
        </w:tc>
      </w:tr>
      <w:tr w:rsidR="00CE4C07" w:rsidRPr="0074065E" w14:paraId="5BD168DD" w14:textId="77777777" w:rsidTr="0056132D">
        <w:trPr>
          <w:gridAfter w:val="1"/>
          <w:wAfter w:w="20" w:type="dxa"/>
        </w:trPr>
        <w:tc>
          <w:tcPr>
            <w:tcW w:w="3107" w:type="dxa"/>
            <w:vAlign w:val="bottom"/>
          </w:tcPr>
          <w:p w14:paraId="744F7E33" w14:textId="77777777" w:rsidR="00CE4C07" w:rsidRPr="00DD59FD" w:rsidRDefault="00CE4C07" w:rsidP="0056132D">
            <w:pPr>
              <w:pStyle w:val="a3"/>
              <w:tabs>
                <w:tab w:val="left" w:pos="227"/>
                <w:tab w:val="left" w:pos="397"/>
                <w:tab w:val="left" w:pos="567"/>
              </w:tabs>
              <w:ind w:left="227" w:hanging="170"/>
              <w:rPr>
                <w:sz w:val="22"/>
                <w:rtl/>
              </w:rPr>
            </w:pPr>
            <w:r>
              <w:rPr>
                <w:rFonts w:hint="cs"/>
                <w:b/>
                <w:bCs/>
                <w:sz w:val="22"/>
                <w:rtl/>
              </w:rPr>
              <w:t>רווח גולמי</w:t>
            </w:r>
          </w:p>
        </w:tc>
        <w:tc>
          <w:tcPr>
            <w:tcW w:w="126" w:type="dxa"/>
            <w:vAlign w:val="bottom"/>
          </w:tcPr>
          <w:p w14:paraId="28A95886" w14:textId="77777777" w:rsidR="00CE4C07" w:rsidRPr="0074065E" w:rsidRDefault="00CE4C07" w:rsidP="0056132D">
            <w:pPr>
              <w:spacing w:line="240" w:lineRule="exact"/>
              <w:rPr>
                <w:rtl/>
              </w:rPr>
            </w:pPr>
          </w:p>
        </w:tc>
        <w:tc>
          <w:tcPr>
            <w:tcW w:w="1196" w:type="dxa"/>
            <w:tcBorders>
              <w:bottom w:val="double" w:sz="4" w:space="0" w:color="auto"/>
            </w:tcBorders>
            <w:vAlign w:val="bottom"/>
          </w:tcPr>
          <w:p w14:paraId="03B5D909" w14:textId="77777777" w:rsidR="00CE4C07" w:rsidRPr="0074065E" w:rsidRDefault="00CE4C07" w:rsidP="0056132D">
            <w:pPr>
              <w:spacing w:line="240" w:lineRule="exact"/>
              <w:rPr>
                <w:rtl/>
              </w:rPr>
            </w:pPr>
          </w:p>
        </w:tc>
        <w:tc>
          <w:tcPr>
            <w:tcW w:w="141" w:type="dxa"/>
            <w:vAlign w:val="bottom"/>
          </w:tcPr>
          <w:p w14:paraId="7253E544"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178F47FC" w14:textId="77777777" w:rsidR="00CE4C07" w:rsidRPr="0074065E" w:rsidRDefault="00CE4C07" w:rsidP="0056132D">
            <w:pPr>
              <w:tabs>
                <w:tab w:val="decimal" w:pos="113"/>
              </w:tabs>
              <w:spacing w:line="240" w:lineRule="exact"/>
              <w:rPr>
                <w:rtl/>
              </w:rPr>
            </w:pPr>
          </w:p>
        </w:tc>
        <w:tc>
          <w:tcPr>
            <w:tcW w:w="142" w:type="dxa"/>
            <w:vAlign w:val="bottom"/>
          </w:tcPr>
          <w:p w14:paraId="6EC93FC6" w14:textId="77777777" w:rsidR="00CE4C07" w:rsidRPr="0074065E" w:rsidRDefault="00CE4C07" w:rsidP="0056132D">
            <w:pPr>
              <w:tabs>
                <w:tab w:val="decimal" w:pos="113"/>
              </w:tabs>
              <w:spacing w:line="240" w:lineRule="exact"/>
              <w:rPr>
                <w:rtl/>
              </w:rPr>
            </w:pPr>
          </w:p>
        </w:tc>
        <w:tc>
          <w:tcPr>
            <w:tcW w:w="1397" w:type="dxa"/>
            <w:tcBorders>
              <w:bottom w:val="double" w:sz="4" w:space="0" w:color="auto"/>
            </w:tcBorders>
            <w:vAlign w:val="bottom"/>
          </w:tcPr>
          <w:p w14:paraId="39A075BB" w14:textId="77777777" w:rsidR="00CE4C07" w:rsidRPr="0074065E" w:rsidRDefault="00CE4C07" w:rsidP="0056132D">
            <w:pPr>
              <w:tabs>
                <w:tab w:val="decimal" w:pos="113"/>
              </w:tabs>
              <w:spacing w:line="240" w:lineRule="exact"/>
              <w:rPr>
                <w:rtl/>
              </w:rPr>
            </w:pPr>
          </w:p>
        </w:tc>
      </w:tr>
      <w:tr w:rsidR="00CE4C07" w:rsidRPr="0074065E" w14:paraId="3C66A31D" w14:textId="77777777" w:rsidTr="0056132D">
        <w:trPr>
          <w:gridAfter w:val="1"/>
          <w:wAfter w:w="20" w:type="dxa"/>
        </w:trPr>
        <w:tc>
          <w:tcPr>
            <w:tcW w:w="3107" w:type="dxa"/>
            <w:vAlign w:val="bottom"/>
          </w:tcPr>
          <w:p w14:paraId="0BB0CFA3" w14:textId="77777777" w:rsidR="00CE4C07" w:rsidRDefault="00CE4C07" w:rsidP="0056132D">
            <w:pPr>
              <w:pStyle w:val="a3"/>
              <w:tabs>
                <w:tab w:val="left" w:pos="227"/>
                <w:tab w:val="left" w:pos="397"/>
                <w:tab w:val="left" w:pos="567"/>
              </w:tabs>
              <w:ind w:left="227" w:hanging="170"/>
              <w:rPr>
                <w:sz w:val="22"/>
                <w:rtl/>
              </w:rPr>
            </w:pPr>
            <w:r>
              <w:rPr>
                <w:rFonts w:hint="cs"/>
                <w:sz w:val="22"/>
                <w:rtl/>
              </w:rPr>
              <w:t>הוצאות מימון</w:t>
            </w:r>
          </w:p>
        </w:tc>
        <w:tc>
          <w:tcPr>
            <w:tcW w:w="126" w:type="dxa"/>
            <w:vAlign w:val="bottom"/>
          </w:tcPr>
          <w:p w14:paraId="191A6287"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2442A55E" w14:textId="77777777" w:rsidR="00CE4C07" w:rsidRPr="0074065E" w:rsidRDefault="00CE4C07" w:rsidP="0056132D">
            <w:pPr>
              <w:spacing w:line="240" w:lineRule="exact"/>
              <w:rPr>
                <w:rtl/>
              </w:rPr>
            </w:pPr>
          </w:p>
        </w:tc>
        <w:tc>
          <w:tcPr>
            <w:tcW w:w="141" w:type="dxa"/>
            <w:vAlign w:val="bottom"/>
          </w:tcPr>
          <w:p w14:paraId="2BCED633"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38FC2E35" w14:textId="77777777" w:rsidR="00CE4C07" w:rsidRPr="0074065E" w:rsidRDefault="00CE4C07" w:rsidP="0056132D">
            <w:pPr>
              <w:tabs>
                <w:tab w:val="decimal" w:pos="113"/>
              </w:tabs>
              <w:spacing w:line="240" w:lineRule="exact"/>
              <w:rPr>
                <w:rtl/>
              </w:rPr>
            </w:pPr>
          </w:p>
        </w:tc>
        <w:tc>
          <w:tcPr>
            <w:tcW w:w="142" w:type="dxa"/>
            <w:vAlign w:val="bottom"/>
          </w:tcPr>
          <w:p w14:paraId="3D856C43"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42972B58" w14:textId="77777777" w:rsidR="00CE4C07" w:rsidRPr="0074065E" w:rsidRDefault="00CE4C07" w:rsidP="0056132D">
            <w:pPr>
              <w:tabs>
                <w:tab w:val="decimal" w:pos="113"/>
              </w:tabs>
              <w:spacing w:line="240" w:lineRule="exact"/>
              <w:rPr>
                <w:rtl/>
              </w:rPr>
            </w:pPr>
          </w:p>
        </w:tc>
      </w:tr>
      <w:tr w:rsidR="00CE4C07" w:rsidRPr="0074065E" w14:paraId="0E6F3DD9" w14:textId="77777777" w:rsidTr="0056132D">
        <w:trPr>
          <w:gridAfter w:val="1"/>
          <w:wAfter w:w="20" w:type="dxa"/>
        </w:trPr>
        <w:tc>
          <w:tcPr>
            <w:tcW w:w="3107" w:type="dxa"/>
            <w:vAlign w:val="bottom"/>
          </w:tcPr>
          <w:p w14:paraId="488C68B3" w14:textId="77777777" w:rsidR="00CE4C07" w:rsidRDefault="00CE4C07" w:rsidP="0056132D">
            <w:pPr>
              <w:pStyle w:val="a3"/>
              <w:tabs>
                <w:tab w:val="left" w:pos="227"/>
                <w:tab w:val="left" w:pos="397"/>
                <w:tab w:val="left" w:pos="567"/>
              </w:tabs>
              <w:ind w:left="227" w:hanging="170"/>
              <w:rPr>
                <w:sz w:val="22"/>
                <w:rtl/>
              </w:rPr>
            </w:pPr>
            <w:r>
              <w:rPr>
                <w:rFonts w:hint="cs"/>
                <w:sz w:val="22"/>
                <w:rtl/>
              </w:rPr>
              <w:t>רווח (הפסד) לפני מסים על ההכנסה</w:t>
            </w:r>
          </w:p>
        </w:tc>
        <w:tc>
          <w:tcPr>
            <w:tcW w:w="126" w:type="dxa"/>
            <w:vAlign w:val="bottom"/>
          </w:tcPr>
          <w:p w14:paraId="4D997AB6"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1405703C" w14:textId="77777777" w:rsidR="00CE4C07" w:rsidRPr="0074065E" w:rsidRDefault="00CE4C07" w:rsidP="0056132D">
            <w:pPr>
              <w:spacing w:line="240" w:lineRule="exact"/>
              <w:rPr>
                <w:rtl/>
              </w:rPr>
            </w:pPr>
          </w:p>
        </w:tc>
        <w:tc>
          <w:tcPr>
            <w:tcW w:w="141" w:type="dxa"/>
            <w:vAlign w:val="bottom"/>
          </w:tcPr>
          <w:p w14:paraId="2FAF78A7"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79B463C0" w14:textId="77777777" w:rsidR="00CE4C07" w:rsidRPr="0074065E" w:rsidRDefault="00CE4C07" w:rsidP="0056132D">
            <w:pPr>
              <w:tabs>
                <w:tab w:val="decimal" w:pos="113"/>
              </w:tabs>
              <w:spacing w:line="240" w:lineRule="exact"/>
              <w:rPr>
                <w:rtl/>
              </w:rPr>
            </w:pPr>
          </w:p>
        </w:tc>
        <w:tc>
          <w:tcPr>
            <w:tcW w:w="142" w:type="dxa"/>
            <w:vAlign w:val="bottom"/>
          </w:tcPr>
          <w:p w14:paraId="1863A8B9"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424C914E" w14:textId="77777777" w:rsidR="00CE4C07" w:rsidRPr="0074065E" w:rsidRDefault="00CE4C07" w:rsidP="0056132D">
            <w:pPr>
              <w:tabs>
                <w:tab w:val="decimal" w:pos="113"/>
              </w:tabs>
              <w:spacing w:line="240" w:lineRule="exact"/>
              <w:rPr>
                <w:rtl/>
              </w:rPr>
            </w:pPr>
          </w:p>
        </w:tc>
      </w:tr>
      <w:tr w:rsidR="00CE4C07" w:rsidRPr="0074065E" w14:paraId="72811378" w14:textId="77777777" w:rsidTr="0056132D">
        <w:trPr>
          <w:gridAfter w:val="1"/>
          <w:wAfter w:w="20" w:type="dxa"/>
        </w:trPr>
        <w:tc>
          <w:tcPr>
            <w:tcW w:w="3107" w:type="dxa"/>
            <w:vAlign w:val="bottom"/>
          </w:tcPr>
          <w:p w14:paraId="5CA45F82" w14:textId="77777777" w:rsidR="00CE4C07" w:rsidRPr="00C454B8" w:rsidRDefault="00CE4C07" w:rsidP="0056132D">
            <w:pPr>
              <w:pStyle w:val="a3"/>
              <w:tabs>
                <w:tab w:val="left" w:pos="227"/>
                <w:tab w:val="left" w:pos="397"/>
                <w:tab w:val="left" w:pos="567"/>
              </w:tabs>
              <w:ind w:left="227" w:hanging="170"/>
              <w:rPr>
                <w:sz w:val="22"/>
                <w:u w:val="single"/>
                <w:rtl/>
              </w:rPr>
            </w:pPr>
            <w:r>
              <w:rPr>
                <w:rFonts w:hint="cs"/>
                <w:sz w:val="22"/>
                <w:rtl/>
              </w:rPr>
              <w:t>מסים על ההכנסה</w:t>
            </w:r>
          </w:p>
        </w:tc>
        <w:tc>
          <w:tcPr>
            <w:tcW w:w="126" w:type="dxa"/>
            <w:vAlign w:val="bottom"/>
          </w:tcPr>
          <w:p w14:paraId="28F0E87A"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3D135987" w14:textId="77777777" w:rsidR="00CE4C07" w:rsidRPr="0074065E" w:rsidRDefault="00CE4C07" w:rsidP="0056132D">
            <w:pPr>
              <w:spacing w:line="240" w:lineRule="exact"/>
              <w:rPr>
                <w:rtl/>
              </w:rPr>
            </w:pPr>
          </w:p>
        </w:tc>
        <w:tc>
          <w:tcPr>
            <w:tcW w:w="141" w:type="dxa"/>
            <w:vAlign w:val="bottom"/>
          </w:tcPr>
          <w:p w14:paraId="2A5E5547"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7FFA5856" w14:textId="77777777" w:rsidR="00CE4C07" w:rsidRPr="0074065E" w:rsidRDefault="00CE4C07" w:rsidP="0056132D">
            <w:pPr>
              <w:tabs>
                <w:tab w:val="decimal" w:pos="113"/>
              </w:tabs>
              <w:spacing w:line="240" w:lineRule="exact"/>
              <w:rPr>
                <w:rtl/>
              </w:rPr>
            </w:pPr>
          </w:p>
        </w:tc>
        <w:tc>
          <w:tcPr>
            <w:tcW w:w="142" w:type="dxa"/>
            <w:vAlign w:val="bottom"/>
          </w:tcPr>
          <w:p w14:paraId="421BC963"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3F09B567" w14:textId="77777777" w:rsidR="00CE4C07" w:rsidRPr="0074065E" w:rsidRDefault="00CE4C07" w:rsidP="0056132D">
            <w:pPr>
              <w:tabs>
                <w:tab w:val="decimal" w:pos="113"/>
              </w:tabs>
              <w:spacing w:line="240" w:lineRule="exact"/>
              <w:rPr>
                <w:rtl/>
              </w:rPr>
            </w:pPr>
          </w:p>
        </w:tc>
      </w:tr>
      <w:tr w:rsidR="00CE4C07" w:rsidRPr="0074065E" w14:paraId="10831139" w14:textId="77777777" w:rsidTr="0056132D">
        <w:trPr>
          <w:gridAfter w:val="1"/>
          <w:wAfter w:w="20" w:type="dxa"/>
        </w:trPr>
        <w:tc>
          <w:tcPr>
            <w:tcW w:w="3107" w:type="dxa"/>
            <w:vAlign w:val="bottom"/>
          </w:tcPr>
          <w:p w14:paraId="5CD4E7BD" w14:textId="77777777" w:rsidR="00CE4C07" w:rsidRPr="00C454B8" w:rsidRDefault="00CE4C07" w:rsidP="0056132D">
            <w:pPr>
              <w:pStyle w:val="a3"/>
              <w:tabs>
                <w:tab w:val="left" w:pos="227"/>
                <w:tab w:val="left" w:pos="397"/>
                <w:tab w:val="left" w:pos="567"/>
              </w:tabs>
              <w:ind w:left="227" w:hanging="170"/>
              <w:rPr>
                <w:sz w:val="22"/>
                <w:rtl/>
              </w:rPr>
            </w:pPr>
          </w:p>
        </w:tc>
        <w:tc>
          <w:tcPr>
            <w:tcW w:w="126" w:type="dxa"/>
            <w:vAlign w:val="bottom"/>
          </w:tcPr>
          <w:p w14:paraId="6ECB3551" w14:textId="77777777" w:rsidR="00CE4C07" w:rsidRPr="0074065E" w:rsidRDefault="00CE4C07" w:rsidP="0056132D">
            <w:pPr>
              <w:spacing w:line="240" w:lineRule="exact"/>
              <w:rPr>
                <w:rtl/>
              </w:rPr>
            </w:pPr>
          </w:p>
        </w:tc>
        <w:tc>
          <w:tcPr>
            <w:tcW w:w="1196" w:type="dxa"/>
            <w:tcBorders>
              <w:top w:val="double" w:sz="4" w:space="0" w:color="auto"/>
            </w:tcBorders>
            <w:vAlign w:val="bottom"/>
          </w:tcPr>
          <w:p w14:paraId="04C967B4" w14:textId="77777777" w:rsidR="00CE4C07" w:rsidRPr="0074065E" w:rsidRDefault="00CE4C07" w:rsidP="0056132D">
            <w:pPr>
              <w:spacing w:line="240" w:lineRule="exact"/>
              <w:rPr>
                <w:rtl/>
              </w:rPr>
            </w:pPr>
          </w:p>
        </w:tc>
        <w:tc>
          <w:tcPr>
            <w:tcW w:w="141" w:type="dxa"/>
            <w:vAlign w:val="bottom"/>
          </w:tcPr>
          <w:p w14:paraId="3D9C20DC" w14:textId="77777777" w:rsidR="00CE4C07" w:rsidRPr="0074065E" w:rsidRDefault="00CE4C07" w:rsidP="0056132D">
            <w:pPr>
              <w:spacing w:line="240" w:lineRule="exact"/>
              <w:rPr>
                <w:rtl/>
              </w:rPr>
            </w:pPr>
          </w:p>
        </w:tc>
        <w:tc>
          <w:tcPr>
            <w:tcW w:w="1276" w:type="dxa"/>
            <w:tcBorders>
              <w:top w:val="double" w:sz="4" w:space="0" w:color="auto"/>
            </w:tcBorders>
            <w:vAlign w:val="bottom"/>
          </w:tcPr>
          <w:p w14:paraId="29A561CE" w14:textId="77777777" w:rsidR="00CE4C07" w:rsidRPr="0074065E" w:rsidRDefault="00CE4C07" w:rsidP="0056132D">
            <w:pPr>
              <w:tabs>
                <w:tab w:val="decimal" w:pos="113"/>
              </w:tabs>
              <w:spacing w:line="240" w:lineRule="exact"/>
              <w:rPr>
                <w:rtl/>
              </w:rPr>
            </w:pPr>
          </w:p>
        </w:tc>
        <w:tc>
          <w:tcPr>
            <w:tcW w:w="142" w:type="dxa"/>
            <w:vAlign w:val="bottom"/>
          </w:tcPr>
          <w:p w14:paraId="48A5D30F" w14:textId="77777777" w:rsidR="00CE4C07" w:rsidRPr="0074065E" w:rsidRDefault="00CE4C07" w:rsidP="0056132D">
            <w:pPr>
              <w:tabs>
                <w:tab w:val="decimal" w:pos="113"/>
              </w:tabs>
              <w:spacing w:line="240" w:lineRule="exact"/>
              <w:rPr>
                <w:rtl/>
              </w:rPr>
            </w:pPr>
          </w:p>
        </w:tc>
        <w:tc>
          <w:tcPr>
            <w:tcW w:w="1397" w:type="dxa"/>
            <w:tcBorders>
              <w:top w:val="double" w:sz="4" w:space="0" w:color="auto"/>
            </w:tcBorders>
            <w:vAlign w:val="bottom"/>
          </w:tcPr>
          <w:p w14:paraId="1C9EBB45" w14:textId="77777777" w:rsidR="00CE4C07" w:rsidRPr="0074065E" w:rsidRDefault="00CE4C07" w:rsidP="0056132D">
            <w:pPr>
              <w:tabs>
                <w:tab w:val="decimal" w:pos="113"/>
              </w:tabs>
              <w:spacing w:line="240" w:lineRule="exact"/>
              <w:rPr>
                <w:rtl/>
              </w:rPr>
            </w:pPr>
          </w:p>
        </w:tc>
      </w:tr>
      <w:tr w:rsidR="00CE4C07" w:rsidRPr="0074065E" w14:paraId="588278BC" w14:textId="77777777" w:rsidTr="0056132D">
        <w:trPr>
          <w:gridAfter w:val="1"/>
          <w:wAfter w:w="20" w:type="dxa"/>
        </w:trPr>
        <w:tc>
          <w:tcPr>
            <w:tcW w:w="3107" w:type="dxa"/>
            <w:vAlign w:val="bottom"/>
          </w:tcPr>
          <w:p w14:paraId="0F38724E" w14:textId="77777777" w:rsidR="00CE4C07" w:rsidRPr="00DD59FD" w:rsidRDefault="00CE4C07" w:rsidP="0056132D">
            <w:pPr>
              <w:pStyle w:val="a3"/>
              <w:tabs>
                <w:tab w:val="left" w:pos="227"/>
                <w:tab w:val="left" w:pos="397"/>
                <w:tab w:val="left" w:pos="567"/>
              </w:tabs>
              <w:ind w:left="227" w:hanging="170"/>
              <w:rPr>
                <w:sz w:val="22"/>
                <w:rtl/>
              </w:rPr>
            </w:pPr>
            <w:r>
              <w:rPr>
                <w:rFonts w:hint="cs"/>
                <w:b/>
                <w:bCs/>
                <w:sz w:val="22"/>
                <w:rtl/>
              </w:rPr>
              <w:t>רווח נקי</w:t>
            </w:r>
          </w:p>
        </w:tc>
        <w:tc>
          <w:tcPr>
            <w:tcW w:w="126" w:type="dxa"/>
            <w:vAlign w:val="bottom"/>
          </w:tcPr>
          <w:p w14:paraId="0385CF77" w14:textId="77777777" w:rsidR="00CE4C07" w:rsidRPr="0074065E" w:rsidRDefault="00CE4C07" w:rsidP="0056132D">
            <w:pPr>
              <w:spacing w:line="240" w:lineRule="exact"/>
              <w:rPr>
                <w:rtl/>
              </w:rPr>
            </w:pPr>
          </w:p>
        </w:tc>
        <w:tc>
          <w:tcPr>
            <w:tcW w:w="1196" w:type="dxa"/>
            <w:tcBorders>
              <w:bottom w:val="double" w:sz="4" w:space="0" w:color="auto"/>
            </w:tcBorders>
            <w:vAlign w:val="bottom"/>
          </w:tcPr>
          <w:p w14:paraId="3F74B364" w14:textId="77777777" w:rsidR="00CE4C07" w:rsidRPr="0074065E" w:rsidRDefault="00CE4C07" w:rsidP="0056132D">
            <w:pPr>
              <w:spacing w:line="240" w:lineRule="exact"/>
              <w:rPr>
                <w:rtl/>
              </w:rPr>
            </w:pPr>
          </w:p>
        </w:tc>
        <w:tc>
          <w:tcPr>
            <w:tcW w:w="141" w:type="dxa"/>
            <w:vAlign w:val="bottom"/>
          </w:tcPr>
          <w:p w14:paraId="7B12CEC7"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1B93A520" w14:textId="77777777" w:rsidR="00CE4C07" w:rsidRPr="0074065E" w:rsidRDefault="00CE4C07" w:rsidP="0056132D">
            <w:pPr>
              <w:tabs>
                <w:tab w:val="decimal" w:pos="113"/>
              </w:tabs>
              <w:spacing w:line="240" w:lineRule="exact"/>
              <w:rPr>
                <w:rtl/>
              </w:rPr>
            </w:pPr>
          </w:p>
        </w:tc>
        <w:tc>
          <w:tcPr>
            <w:tcW w:w="142" w:type="dxa"/>
            <w:vAlign w:val="bottom"/>
          </w:tcPr>
          <w:p w14:paraId="0A3287C8" w14:textId="77777777" w:rsidR="00CE4C07" w:rsidRPr="0074065E" w:rsidRDefault="00CE4C07" w:rsidP="0056132D">
            <w:pPr>
              <w:tabs>
                <w:tab w:val="decimal" w:pos="113"/>
              </w:tabs>
              <w:spacing w:line="240" w:lineRule="exact"/>
              <w:rPr>
                <w:rtl/>
              </w:rPr>
            </w:pPr>
          </w:p>
        </w:tc>
        <w:tc>
          <w:tcPr>
            <w:tcW w:w="1397" w:type="dxa"/>
            <w:tcBorders>
              <w:bottom w:val="double" w:sz="4" w:space="0" w:color="auto"/>
            </w:tcBorders>
            <w:vAlign w:val="bottom"/>
          </w:tcPr>
          <w:p w14:paraId="4F8FBE40" w14:textId="77777777" w:rsidR="00CE4C07" w:rsidRPr="0074065E" w:rsidRDefault="00CE4C07" w:rsidP="0056132D">
            <w:pPr>
              <w:tabs>
                <w:tab w:val="decimal" w:pos="113"/>
              </w:tabs>
              <w:spacing w:line="240" w:lineRule="exact"/>
              <w:rPr>
                <w:rtl/>
              </w:rPr>
            </w:pPr>
          </w:p>
        </w:tc>
      </w:tr>
      <w:tr w:rsidR="00CE4C07" w:rsidRPr="0074065E" w14:paraId="32780B66" w14:textId="77777777" w:rsidTr="0056132D">
        <w:trPr>
          <w:gridAfter w:val="1"/>
          <w:wAfter w:w="20" w:type="dxa"/>
        </w:trPr>
        <w:tc>
          <w:tcPr>
            <w:tcW w:w="3107" w:type="dxa"/>
            <w:vAlign w:val="bottom"/>
          </w:tcPr>
          <w:p w14:paraId="205EBC2F" w14:textId="77777777" w:rsidR="00CE4C07" w:rsidRPr="00C454B8" w:rsidRDefault="00CE4C07" w:rsidP="0056132D">
            <w:pPr>
              <w:pStyle w:val="a3"/>
              <w:tabs>
                <w:tab w:val="left" w:pos="227"/>
                <w:tab w:val="left" w:pos="397"/>
                <w:tab w:val="left" w:pos="567"/>
              </w:tabs>
              <w:ind w:left="227" w:hanging="170"/>
              <w:rPr>
                <w:sz w:val="22"/>
                <w:rtl/>
              </w:rPr>
            </w:pPr>
            <w:r>
              <w:rPr>
                <w:rFonts w:hint="cs"/>
                <w:sz w:val="22"/>
                <w:rtl/>
              </w:rPr>
              <w:t>מיוחס ל:</w:t>
            </w:r>
          </w:p>
        </w:tc>
        <w:tc>
          <w:tcPr>
            <w:tcW w:w="126" w:type="dxa"/>
            <w:vAlign w:val="bottom"/>
          </w:tcPr>
          <w:p w14:paraId="6D662286"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02476B84" w14:textId="77777777" w:rsidR="00CE4C07" w:rsidRPr="0074065E" w:rsidRDefault="00CE4C07" w:rsidP="0056132D">
            <w:pPr>
              <w:spacing w:line="240" w:lineRule="exact"/>
              <w:rPr>
                <w:rtl/>
              </w:rPr>
            </w:pPr>
          </w:p>
        </w:tc>
        <w:tc>
          <w:tcPr>
            <w:tcW w:w="141" w:type="dxa"/>
            <w:vAlign w:val="bottom"/>
          </w:tcPr>
          <w:p w14:paraId="08F44BBF"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1F0A98FC" w14:textId="77777777" w:rsidR="00CE4C07" w:rsidRPr="0074065E" w:rsidRDefault="00CE4C07" w:rsidP="0056132D">
            <w:pPr>
              <w:tabs>
                <w:tab w:val="decimal" w:pos="113"/>
              </w:tabs>
              <w:spacing w:line="240" w:lineRule="exact"/>
              <w:rPr>
                <w:rtl/>
              </w:rPr>
            </w:pPr>
          </w:p>
        </w:tc>
        <w:tc>
          <w:tcPr>
            <w:tcW w:w="142" w:type="dxa"/>
            <w:vAlign w:val="bottom"/>
          </w:tcPr>
          <w:p w14:paraId="749BC7A9"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1747A455" w14:textId="77777777" w:rsidR="00CE4C07" w:rsidRPr="0074065E" w:rsidRDefault="00CE4C07" w:rsidP="0056132D">
            <w:pPr>
              <w:tabs>
                <w:tab w:val="decimal" w:pos="113"/>
              </w:tabs>
              <w:spacing w:line="240" w:lineRule="exact"/>
              <w:rPr>
                <w:rtl/>
              </w:rPr>
            </w:pPr>
          </w:p>
        </w:tc>
      </w:tr>
      <w:tr w:rsidR="00CE4C07" w:rsidRPr="0074065E" w14:paraId="69F1AAA6" w14:textId="77777777" w:rsidTr="0056132D">
        <w:trPr>
          <w:gridAfter w:val="1"/>
          <w:wAfter w:w="20" w:type="dxa"/>
        </w:trPr>
        <w:tc>
          <w:tcPr>
            <w:tcW w:w="3107" w:type="dxa"/>
            <w:vAlign w:val="bottom"/>
          </w:tcPr>
          <w:p w14:paraId="425A1C93" w14:textId="77777777" w:rsidR="00CE4C07" w:rsidRPr="00C454B8" w:rsidRDefault="00CE4C07" w:rsidP="0056132D">
            <w:pPr>
              <w:pStyle w:val="a3"/>
              <w:tabs>
                <w:tab w:val="left" w:pos="227"/>
                <w:tab w:val="left" w:pos="397"/>
                <w:tab w:val="left" w:pos="567"/>
              </w:tabs>
              <w:ind w:left="227" w:hanging="170"/>
              <w:rPr>
                <w:sz w:val="22"/>
                <w:rtl/>
              </w:rPr>
            </w:pPr>
            <w:r>
              <w:rPr>
                <w:rFonts w:hint="cs"/>
                <w:sz w:val="22"/>
                <w:rtl/>
              </w:rPr>
              <w:t>בעלי מניות החברה</w:t>
            </w:r>
          </w:p>
        </w:tc>
        <w:tc>
          <w:tcPr>
            <w:tcW w:w="126" w:type="dxa"/>
            <w:vAlign w:val="bottom"/>
          </w:tcPr>
          <w:p w14:paraId="1607090C"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26F2DC70" w14:textId="77777777" w:rsidR="00CE4C07" w:rsidRPr="0074065E" w:rsidRDefault="00CE4C07" w:rsidP="0056132D">
            <w:pPr>
              <w:spacing w:line="240" w:lineRule="exact"/>
              <w:rPr>
                <w:rtl/>
              </w:rPr>
            </w:pPr>
          </w:p>
        </w:tc>
        <w:tc>
          <w:tcPr>
            <w:tcW w:w="141" w:type="dxa"/>
            <w:vAlign w:val="bottom"/>
          </w:tcPr>
          <w:p w14:paraId="4DFF8EAD"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60116274" w14:textId="77777777" w:rsidR="00CE4C07" w:rsidRPr="0074065E" w:rsidRDefault="00CE4C07" w:rsidP="0056132D">
            <w:pPr>
              <w:tabs>
                <w:tab w:val="decimal" w:pos="113"/>
              </w:tabs>
              <w:spacing w:line="240" w:lineRule="exact"/>
              <w:rPr>
                <w:rtl/>
              </w:rPr>
            </w:pPr>
          </w:p>
        </w:tc>
        <w:tc>
          <w:tcPr>
            <w:tcW w:w="142" w:type="dxa"/>
            <w:vAlign w:val="bottom"/>
          </w:tcPr>
          <w:p w14:paraId="15FAF3A7"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57621CA4" w14:textId="77777777" w:rsidR="00CE4C07" w:rsidRPr="0074065E" w:rsidRDefault="00CE4C07" w:rsidP="0056132D">
            <w:pPr>
              <w:tabs>
                <w:tab w:val="decimal" w:pos="113"/>
              </w:tabs>
              <w:spacing w:line="240" w:lineRule="exact"/>
              <w:rPr>
                <w:rtl/>
              </w:rPr>
            </w:pPr>
          </w:p>
        </w:tc>
      </w:tr>
      <w:tr w:rsidR="00CE4C07" w:rsidRPr="0074065E" w14:paraId="5F7E411F" w14:textId="77777777" w:rsidTr="0056132D">
        <w:trPr>
          <w:gridAfter w:val="1"/>
          <w:wAfter w:w="20" w:type="dxa"/>
        </w:trPr>
        <w:tc>
          <w:tcPr>
            <w:tcW w:w="3107" w:type="dxa"/>
            <w:vAlign w:val="bottom"/>
          </w:tcPr>
          <w:p w14:paraId="772C91CC" w14:textId="77777777" w:rsidR="00CE4C07" w:rsidRPr="00C454B8" w:rsidRDefault="00CE4C07" w:rsidP="0056132D">
            <w:pPr>
              <w:pStyle w:val="a3"/>
              <w:tabs>
                <w:tab w:val="left" w:pos="227"/>
                <w:tab w:val="left" w:pos="397"/>
                <w:tab w:val="left" w:pos="567"/>
              </w:tabs>
              <w:ind w:left="227" w:hanging="170"/>
              <w:rPr>
                <w:sz w:val="22"/>
                <w:rtl/>
              </w:rPr>
            </w:pPr>
            <w:r>
              <w:rPr>
                <w:rFonts w:hint="cs"/>
                <w:sz w:val="22"/>
                <w:rtl/>
              </w:rPr>
              <w:t>זכויות שאינן מקנות שליטה</w:t>
            </w:r>
          </w:p>
        </w:tc>
        <w:tc>
          <w:tcPr>
            <w:tcW w:w="126" w:type="dxa"/>
            <w:vAlign w:val="bottom"/>
          </w:tcPr>
          <w:p w14:paraId="03E223BE"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1581E167" w14:textId="77777777" w:rsidR="00CE4C07" w:rsidRPr="0074065E" w:rsidRDefault="00CE4C07" w:rsidP="0056132D">
            <w:pPr>
              <w:spacing w:line="240" w:lineRule="exact"/>
              <w:rPr>
                <w:rtl/>
              </w:rPr>
            </w:pPr>
          </w:p>
        </w:tc>
        <w:tc>
          <w:tcPr>
            <w:tcW w:w="141" w:type="dxa"/>
            <w:vAlign w:val="bottom"/>
          </w:tcPr>
          <w:p w14:paraId="32B0FACB"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4A92176F" w14:textId="77777777" w:rsidR="00CE4C07" w:rsidRPr="0074065E" w:rsidRDefault="00CE4C07" w:rsidP="0056132D">
            <w:pPr>
              <w:tabs>
                <w:tab w:val="decimal" w:pos="113"/>
              </w:tabs>
              <w:spacing w:line="240" w:lineRule="exact"/>
              <w:rPr>
                <w:rtl/>
              </w:rPr>
            </w:pPr>
          </w:p>
        </w:tc>
        <w:tc>
          <w:tcPr>
            <w:tcW w:w="142" w:type="dxa"/>
            <w:vAlign w:val="bottom"/>
          </w:tcPr>
          <w:p w14:paraId="6199E76C"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684FFBDD" w14:textId="77777777" w:rsidR="00CE4C07" w:rsidRPr="0074065E" w:rsidRDefault="00CE4C07" w:rsidP="0056132D">
            <w:pPr>
              <w:tabs>
                <w:tab w:val="decimal" w:pos="113"/>
              </w:tabs>
              <w:spacing w:line="240" w:lineRule="exact"/>
              <w:rPr>
                <w:rtl/>
              </w:rPr>
            </w:pPr>
          </w:p>
        </w:tc>
      </w:tr>
      <w:tr w:rsidR="00CE4C07" w:rsidRPr="0074065E" w14:paraId="74087BCC" w14:textId="77777777" w:rsidTr="0056132D">
        <w:trPr>
          <w:gridAfter w:val="1"/>
          <w:wAfter w:w="20" w:type="dxa"/>
        </w:trPr>
        <w:tc>
          <w:tcPr>
            <w:tcW w:w="3107" w:type="dxa"/>
            <w:vAlign w:val="bottom"/>
          </w:tcPr>
          <w:p w14:paraId="09953B6D" w14:textId="77777777" w:rsidR="00CE4C07" w:rsidRPr="00C454B8" w:rsidRDefault="00CE4C07" w:rsidP="0056132D">
            <w:pPr>
              <w:pStyle w:val="a3"/>
              <w:tabs>
                <w:tab w:val="left" w:pos="227"/>
                <w:tab w:val="left" w:pos="397"/>
                <w:tab w:val="left" w:pos="567"/>
              </w:tabs>
              <w:ind w:left="227" w:hanging="170"/>
              <w:rPr>
                <w:sz w:val="22"/>
                <w:rtl/>
              </w:rPr>
            </w:pPr>
          </w:p>
        </w:tc>
        <w:tc>
          <w:tcPr>
            <w:tcW w:w="126" w:type="dxa"/>
            <w:vAlign w:val="bottom"/>
          </w:tcPr>
          <w:p w14:paraId="3D156D0F" w14:textId="77777777" w:rsidR="00CE4C07" w:rsidRPr="0074065E" w:rsidRDefault="00CE4C07" w:rsidP="0056132D">
            <w:pPr>
              <w:spacing w:line="240" w:lineRule="exact"/>
              <w:rPr>
                <w:rtl/>
              </w:rPr>
            </w:pPr>
          </w:p>
        </w:tc>
        <w:tc>
          <w:tcPr>
            <w:tcW w:w="1196" w:type="dxa"/>
            <w:tcBorders>
              <w:top w:val="double" w:sz="4" w:space="0" w:color="auto"/>
            </w:tcBorders>
            <w:vAlign w:val="bottom"/>
          </w:tcPr>
          <w:p w14:paraId="7A05B595" w14:textId="77777777" w:rsidR="00CE4C07" w:rsidRPr="0074065E" w:rsidRDefault="00CE4C07" w:rsidP="0056132D">
            <w:pPr>
              <w:spacing w:line="240" w:lineRule="exact"/>
              <w:rPr>
                <w:rtl/>
              </w:rPr>
            </w:pPr>
          </w:p>
        </w:tc>
        <w:tc>
          <w:tcPr>
            <w:tcW w:w="141" w:type="dxa"/>
            <w:vAlign w:val="bottom"/>
          </w:tcPr>
          <w:p w14:paraId="48140CDD" w14:textId="77777777" w:rsidR="00CE4C07" w:rsidRPr="0074065E" w:rsidRDefault="00CE4C07" w:rsidP="0056132D">
            <w:pPr>
              <w:spacing w:line="240" w:lineRule="exact"/>
              <w:rPr>
                <w:rtl/>
              </w:rPr>
            </w:pPr>
          </w:p>
        </w:tc>
        <w:tc>
          <w:tcPr>
            <w:tcW w:w="1276" w:type="dxa"/>
            <w:tcBorders>
              <w:top w:val="double" w:sz="4" w:space="0" w:color="auto"/>
            </w:tcBorders>
            <w:vAlign w:val="bottom"/>
          </w:tcPr>
          <w:p w14:paraId="443E5E51" w14:textId="77777777" w:rsidR="00CE4C07" w:rsidRPr="0074065E" w:rsidRDefault="00CE4C07" w:rsidP="0056132D">
            <w:pPr>
              <w:tabs>
                <w:tab w:val="decimal" w:pos="113"/>
              </w:tabs>
              <w:spacing w:line="240" w:lineRule="exact"/>
              <w:rPr>
                <w:rtl/>
              </w:rPr>
            </w:pPr>
          </w:p>
        </w:tc>
        <w:tc>
          <w:tcPr>
            <w:tcW w:w="142" w:type="dxa"/>
            <w:vAlign w:val="bottom"/>
          </w:tcPr>
          <w:p w14:paraId="27B50FB6" w14:textId="77777777" w:rsidR="00CE4C07" w:rsidRPr="0074065E" w:rsidRDefault="00CE4C07" w:rsidP="0056132D">
            <w:pPr>
              <w:tabs>
                <w:tab w:val="decimal" w:pos="113"/>
              </w:tabs>
              <w:spacing w:line="240" w:lineRule="exact"/>
              <w:rPr>
                <w:rtl/>
              </w:rPr>
            </w:pPr>
          </w:p>
        </w:tc>
        <w:tc>
          <w:tcPr>
            <w:tcW w:w="1397" w:type="dxa"/>
            <w:tcBorders>
              <w:top w:val="double" w:sz="4" w:space="0" w:color="auto"/>
            </w:tcBorders>
            <w:vAlign w:val="bottom"/>
          </w:tcPr>
          <w:p w14:paraId="68287B20" w14:textId="77777777" w:rsidR="00CE4C07" w:rsidRPr="0074065E" w:rsidRDefault="00CE4C07" w:rsidP="0056132D">
            <w:pPr>
              <w:tabs>
                <w:tab w:val="decimal" w:pos="113"/>
              </w:tabs>
              <w:spacing w:line="240" w:lineRule="exact"/>
              <w:rPr>
                <w:rtl/>
              </w:rPr>
            </w:pPr>
          </w:p>
        </w:tc>
      </w:tr>
      <w:tr w:rsidR="00CE4C07" w:rsidRPr="0074065E" w14:paraId="26834F6E" w14:textId="77777777" w:rsidTr="0056132D">
        <w:trPr>
          <w:gridAfter w:val="1"/>
          <w:wAfter w:w="20" w:type="dxa"/>
        </w:trPr>
        <w:tc>
          <w:tcPr>
            <w:tcW w:w="3107" w:type="dxa"/>
            <w:vAlign w:val="bottom"/>
          </w:tcPr>
          <w:p w14:paraId="04824703" w14:textId="77777777" w:rsidR="00CE4C07" w:rsidRPr="00C454B8" w:rsidRDefault="00CE4C07" w:rsidP="0056132D">
            <w:pPr>
              <w:pStyle w:val="a3"/>
              <w:tabs>
                <w:tab w:val="left" w:pos="227"/>
                <w:tab w:val="left" w:pos="397"/>
                <w:tab w:val="left" w:pos="567"/>
              </w:tabs>
              <w:ind w:left="227" w:hanging="170"/>
              <w:rPr>
                <w:sz w:val="22"/>
                <w:u w:val="single"/>
                <w:rtl/>
              </w:rPr>
            </w:pPr>
            <w:r w:rsidRPr="00C454B8">
              <w:rPr>
                <w:sz w:val="22"/>
                <w:rtl/>
              </w:rPr>
              <w:t xml:space="preserve">רווח נקי (הפסד) בסיסי </w:t>
            </w:r>
            <w:r w:rsidRPr="00C454B8">
              <w:rPr>
                <w:rFonts w:hint="eastAsia"/>
                <w:sz w:val="22"/>
                <w:rtl/>
              </w:rPr>
              <w:t>למניה</w:t>
            </w:r>
            <w:r w:rsidRPr="00C454B8">
              <w:rPr>
                <w:sz w:val="22"/>
                <w:rtl/>
              </w:rPr>
              <w:t xml:space="preserve"> (בש"ח)</w:t>
            </w:r>
          </w:p>
        </w:tc>
        <w:tc>
          <w:tcPr>
            <w:tcW w:w="126" w:type="dxa"/>
            <w:vAlign w:val="bottom"/>
          </w:tcPr>
          <w:p w14:paraId="14EAE1FC" w14:textId="77777777" w:rsidR="00CE4C07" w:rsidRPr="0074065E" w:rsidRDefault="00CE4C07" w:rsidP="0056132D">
            <w:pPr>
              <w:spacing w:line="240" w:lineRule="exact"/>
              <w:rPr>
                <w:rtl/>
              </w:rPr>
            </w:pPr>
          </w:p>
        </w:tc>
        <w:tc>
          <w:tcPr>
            <w:tcW w:w="1196" w:type="dxa"/>
            <w:tcBorders>
              <w:bottom w:val="double" w:sz="4" w:space="0" w:color="auto"/>
            </w:tcBorders>
            <w:vAlign w:val="bottom"/>
          </w:tcPr>
          <w:p w14:paraId="11EC3440" w14:textId="77777777" w:rsidR="00CE4C07" w:rsidRPr="0074065E" w:rsidRDefault="00CE4C07" w:rsidP="0056132D">
            <w:pPr>
              <w:spacing w:line="240" w:lineRule="exact"/>
              <w:rPr>
                <w:rtl/>
              </w:rPr>
            </w:pPr>
          </w:p>
        </w:tc>
        <w:tc>
          <w:tcPr>
            <w:tcW w:w="141" w:type="dxa"/>
            <w:vAlign w:val="bottom"/>
          </w:tcPr>
          <w:p w14:paraId="2D9D3B77"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03FF1143" w14:textId="77777777" w:rsidR="00CE4C07" w:rsidRPr="0074065E" w:rsidRDefault="00CE4C07" w:rsidP="0056132D">
            <w:pPr>
              <w:tabs>
                <w:tab w:val="decimal" w:pos="113"/>
              </w:tabs>
              <w:spacing w:line="240" w:lineRule="exact"/>
              <w:rPr>
                <w:rtl/>
              </w:rPr>
            </w:pPr>
          </w:p>
        </w:tc>
        <w:tc>
          <w:tcPr>
            <w:tcW w:w="142" w:type="dxa"/>
            <w:vAlign w:val="bottom"/>
          </w:tcPr>
          <w:p w14:paraId="6B45E053" w14:textId="77777777" w:rsidR="00CE4C07" w:rsidRPr="0074065E" w:rsidRDefault="00CE4C07" w:rsidP="0056132D">
            <w:pPr>
              <w:tabs>
                <w:tab w:val="decimal" w:pos="113"/>
              </w:tabs>
              <w:spacing w:line="240" w:lineRule="exact"/>
              <w:rPr>
                <w:rtl/>
              </w:rPr>
            </w:pPr>
          </w:p>
        </w:tc>
        <w:tc>
          <w:tcPr>
            <w:tcW w:w="1397" w:type="dxa"/>
            <w:tcBorders>
              <w:bottom w:val="double" w:sz="4" w:space="0" w:color="auto"/>
            </w:tcBorders>
            <w:vAlign w:val="bottom"/>
          </w:tcPr>
          <w:p w14:paraId="72BBB7B3" w14:textId="77777777" w:rsidR="00CE4C07" w:rsidRPr="0074065E" w:rsidRDefault="00CE4C07" w:rsidP="0056132D">
            <w:pPr>
              <w:tabs>
                <w:tab w:val="decimal" w:pos="113"/>
              </w:tabs>
              <w:spacing w:line="240" w:lineRule="exact"/>
              <w:rPr>
                <w:rtl/>
              </w:rPr>
            </w:pPr>
          </w:p>
        </w:tc>
      </w:tr>
      <w:tr w:rsidR="00CE4C07" w:rsidRPr="0074065E" w14:paraId="1FA2A097" w14:textId="77777777" w:rsidTr="0056132D">
        <w:trPr>
          <w:gridAfter w:val="1"/>
          <w:wAfter w:w="20" w:type="dxa"/>
        </w:trPr>
        <w:tc>
          <w:tcPr>
            <w:tcW w:w="3107" w:type="dxa"/>
            <w:vAlign w:val="bottom"/>
          </w:tcPr>
          <w:p w14:paraId="168AFD1D" w14:textId="77777777" w:rsidR="00CE4C07" w:rsidRPr="00C454B8" w:rsidRDefault="00CE4C07" w:rsidP="0056132D">
            <w:pPr>
              <w:pStyle w:val="a3"/>
              <w:tabs>
                <w:tab w:val="left" w:pos="227"/>
                <w:tab w:val="left" w:pos="397"/>
                <w:tab w:val="left" w:pos="567"/>
              </w:tabs>
              <w:ind w:left="227" w:hanging="170"/>
              <w:rPr>
                <w:sz w:val="22"/>
                <w:u w:val="single"/>
                <w:rtl/>
              </w:rPr>
            </w:pPr>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p>
        </w:tc>
        <w:tc>
          <w:tcPr>
            <w:tcW w:w="126" w:type="dxa"/>
            <w:vAlign w:val="bottom"/>
          </w:tcPr>
          <w:p w14:paraId="6D1D0651"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0D8847E4" w14:textId="77777777" w:rsidR="00CE4C07" w:rsidRPr="0074065E" w:rsidRDefault="00CE4C07" w:rsidP="0056132D">
            <w:pPr>
              <w:spacing w:line="240" w:lineRule="exact"/>
              <w:rPr>
                <w:rtl/>
              </w:rPr>
            </w:pPr>
          </w:p>
        </w:tc>
        <w:tc>
          <w:tcPr>
            <w:tcW w:w="141" w:type="dxa"/>
            <w:vAlign w:val="bottom"/>
          </w:tcPr>
          <w:p w14:paraId="403AB00C"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26809B5F" w14:textId="77777777" w:rsidR="00CE4C07" w:rsidRPr="0074065E" w:rsidRDefault="00CE4C07" w:rsidP="0056132D">
            <w:pPr>
              <w:tabs>
                <w:tab w:val="decimal" w:pos="113"/>
              </w:tabs>
              <w:spacing w:line="240" w:lineRule="exact"/>
              <w:rPr>
                <w:rtl/>
              </w:rPr>
            </w:pPr>
          </w:p>
        </w:tc>
        <w:tc>
          <w:tcPr>
            <w:tcW w:w="142" w:type="dxa"/>
            <w:vAlign w:val="bottom"/>
          </w:tcPr>
          <w:p w14:paraId="2ED54B47"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47B5AC5F" w14:textId="77777777" w:rsidR="00CE4C07" w:rsidRPr="0074065E" w:rsidRDefault="00CE4C07" w:rsidP="0056132D">
            <w:pPr>
              <w:tabs>
                <w:tab w:val="decimal" w:pos="113"/>
              </w:tabs>
              <w:spacing w:line="240" w:lineRule="exact"/>
              <w:rPr>
                <w:rtl/>
              </w:rPr>
            </w:pPr>
          </w:p>
        </w:tc>
      </w:tr>
    </w:tbl>
    <w:p w14:paraId="3CF77FCC" w14:textId="77777777" w:rsidR="00CE4C07" w:rsidRDefault="00CE4C07" w:rsidP="00CE4C07">
      <w:pPr>
        <w:pStyle w:val="30"/>
        <w:tabs>
          <w:tab w:val="clear" w:pos="1701"/>
          <w:tab w:val="clear" w:pos="2268"/>
          <w:tab w:val="left" w:pos="1417"/>
          <w:tab w:val="left" w:pos="1842"/>
        </w:tabs>
        <w:ind w:left="1701" w:hanging="284"/>
        <w:rPr>
          <w:u w:val="single"/>
          <w:rtl/>
        </w:rPr>
      </w:pPr>
    </w:p>
    <w:p w14:paraId="4CF18700" w14:textId="77777777" w:rsidR="0056132D" w:rsidRPr="00351624" w:rsidRDefault="0056132D" w:rsidP="0056132D">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68D4F16D" w14:textId="77777777" w:rsidR="0056132D" w:rsidRPr="00351624" w:rsidRDefault="0056132D" w:rsidP="0056132D">
      <w:pPr>
        <w:tabs>
          <w:tab w:val="left" w:pos="1134"/>
        </w:tabs>
        <w:ind w:left="1134" w:hanging="1134"/>
        <w:rPr>
          <w:rtl/>
        </w:rPr>
      </w:pPr>
    </w:p>
    <w:p w14:paraId="4C3EC80D" w14:textId="2AE0B51C" w:rsidR="0056132D" w:rsidRPr="00ED7BA1" w:rsidRDefault="002B1E97" w:rsidP="0056132D">
      <w:pPr>
        <w:pStyle w:val="21"/>
      </w:pPr>
      <w:r>
        <w:rPr>
          <w:rFonts w:hint="cs"/>
          <w:rtl/>
        </w:rPr>
        <w:t>ד</w:t>
      </w:r>
      <w:r w:rsidR="0056132D" w:rsidRPr="00831F9D">
        <w:rPr>
          <w:rFonts w:hint="cs"/>
          <w:rtl/>
        </w:rPr>
        <w:t xml:space="preserve">. </w:t>
      </w:r>
      <w:r w:rsidR="0056132D">
        <w:rPr>
          <w:rtl/>
        </w:rPr>
        <w:tab/>
      </w:r>
      <w:r w:rsidR="0056132D" w:rsidRPr="003776A6">
        <w:rPr>
          <w:rFonts w:hint="cs"/>
          <w:u w:val="single"/>
          <w:rtl/>
        </w:rPr>
        <w:t>יישום למפרע בעקב</w:t>
      </w:r>
      <w:r w:rsidR="0056132D">
        <w:rPr>
          <w:rFonts w:hint="cs"/>
          <w:u w:val="single"/>
          <w:rtl/>
        </w:rPr>
        <w:t>ות שינוי מדיניות</w:t>
      </w:r>
      <w:r w:rsidR="0056132D">
        <w:rPr>
          <w:rFonts w:hint="cs"/>
          <w:rtl/>
        </w:rPr>
        <w:t xml:space="preserve"> (המשך)</w:t>
      </w:r>
    </w:p>
    <w:p w14:paraId="1F8D7251" w14:textId="77777777" w:rsidR="0056132D" w:rsidRDefault="0056132D" w:rsidP="0056132D">
      <w:pPr>
        <w:pStyle w:val="30"/>
        <w:ind w:left="1701" w:firstLine="0"/>
        <w:rPr>
          <w:highlight w:val="lightGray"/>
          <w:u w:val="single"/>
          <w:rtl/>
        </w:rPr>
      </w:pPr>
    </w:p>
    <w:p w14:paraId="10674DDE" w14:textId="77777777" w:rsidR="0056132D" w:rsidRDefault="0056132D" w:rsidP="0056132D">
      <w:pPr>
        <w:pStyle w:val="30"/>
        <w:tabs>
          <w:tab w:val="clear" w:pos="1701"/>
          <w:tab w:val="clear" w:pos="2268"/>
          <w:tab w:val="left" w:pos="1417"/>
          <w:tab w:val="left" w:pos="1842"/>
        </w:tabs>
        <w:ind w:left="1701" w:hanging="284"/>
        <w:rPr>
          <w:u w:val="single"/>
          <w:rtl/>
        </w:rPr>
      </w:pPr>
      <w:r>
        <w:rPr>
          <w:rFonts w:hint="cs"/>
          <w:rtl/>
        </w:rPr>
        <w:t>2</w:t>
      </w:r>
      <w:r w:rsidRPr="00AC6EE8">
        <w:rPr>
          <w:rtl/>
        </w:rPr>
        <w:t xml:space="preserve">.   </w:t>
      </w:r>
      <w:r>
        <w:rPr>
          <w:rtl/>
        </w:rPr>
        <w:tab/>
      </w:r>
      <w:r>
        <w:rPr>
          <w:rFonts w:hint="cs"/>
          <w:u w:val="single"/>
          <w:rtl/>
        </w:rPr>
        <w:t>שינוי מדיניות חשבונאית בנושא היוון עלויות אשראי</w:t>
      </w:r>
      <w:r w:rsidRPr="00603732">
        <w:rPr>
          <w:rFonts w:hint="cs"/>
          <w:rtl/>
        </w:rPr>
        <w:t xml:space="preserve"> (המשך)</w:t>
      </w:r>
    </w:p>
    <w:p w14:paraId="70AAEC95" w14:textId="77777777" w:rsidR="00CE4C07" w:rsidRPr="0034548F" w:rsidRDefault="00CE4C07" w:rsidP="00CE4C07">
      <w:pPr>
        <w:pStyle w:val="30"/>
        <w:tabs>
          <w:tab w:val="clear" w:pos="1701"/>
          <w:tab w:val="clear" w:pos="2268"/>
          <w:tab w:val="left" w:pos="1417"/>
          <w:tab w:val="left" w:pos="1842"/>
        </w:tabs>
        <w:ind w:left="1701" w:hanging="284"/>
        <w:rPr>
          <w:u w:val="single"/>
        </w:rPr>
      </w:pPr>
    </w:p>
    <w:tbl>
      <w:tblPr>
        <w:bidiVisual/>
        <w:tblW w:w="7405" w:type="dxa"/>
        <w:tblInd w:w="2234" w:type="dxa"/>
        <w:tblLayout w:type="fixed"/>
        <w:tblCellMar>
          <w:left w:w="0" w:type="dxa"/>
          <w:right w:w="0" w:type="dxa"/>
        </w:tblCellMar>
        <w:tblLook w:val="0000" w:firstRow="0" w:lastRow="0" w:firstColumn="0" w:lastColumn="0" w:noHBand="0" w:noVBand="0"/>
      </w:tblPr>
      <w:tblGrid>
        <w:gridCol w:w="3107"/>
        <w:gridCol w:w="126"/>
        <w:gridCol w:w="1196"/>
        <w:gridCol w:w="141"/>
        <w:gridCol w:w="1276"/>
        <w:gridCol w:w="142"/>
        <w:gridCol w:w="1397"/>
        <w:gridCol w:w="20"/>
      </w:tblGrid>
      <w:tr w:rsidR="00CE4C07" w:rsidRPr="0074065E" w14:paraId="53785C01" w14:textId="77777777" w:rsidTr="0056132D">
        <w:tc>
          <w:tcPr>
            <w:tcW w:w="3107" w:type="dxa"/>
            <w:vAlign w:val="bottom"/>
          </w:tcPr>
          <w:p w14:paraId="6842FB59" w14:textId="77777777" w:rsidR="00CE4C07" w:rsidRPr="00C454B8" w:rsidRDefault="00CE4C07" w:rsidP="0056132D">
            <w:pPr>
              <w:pStyle w:val="a3"/>
              <w:tabs>
                <w:tab w:val="left" w:pos="227"/>
                <w:tab w:val="left" w:pos="397"/>
                <w:tab w:val="left" w:pos="567"/>
              </w:tabs>
              <w:ind w:left="227" w:hanging="170"/>
              <w:rPr>
                <w:sz w:val="22"/>
                <w:rtl/>
              </w:rPr>
            </w:pPr>
          </w:p>
        </w:tc>
        <w:tc>
          <w:tcPr>
            <w:tcW w:w="126" w:type="dxa"/>
            <w:vAlign w:val="bottom"/>
          </w:tcPr>
          <w:p w14:paraId="6CB182D6" w14:textId="77777777" w:rsidR="00CE4C07" w:rsidRPr="0074065E" w:rsidRDefault="00CE4C07" w:rsidP="0056132D">
            <w:pPr>
              <w:spacing w:line="240" w:lineRule="exact"/>
              <w:jc w:val="center"/>
              <w:rPr>
                <w:rtl/>
              </w:rPr>
            </w:pPr>
          </w:p>
        </w:tc>
        <w:tc>
          <w:tcPr>
            <w:tcW w:w="1196" w:type="dxa"/>
            <w:tcBorders>
              <w:bottom w:val="single" w:sz="6" w:space="0" w:color="auto"/>
            </w:tcBorders>
            <w:shd w:val="clear" w:color="auto" w:fill="auto"/>
            <w:vAlign w:val="bottom"/>
          </w:tcPr>
          <w:p w14:paraId="70F52F18" w14:textId="77777777" w:rsidR="00CE4C07" w:rsidRPr="0074065E" w:rsidRDefault="00CE4C07" w:rsidP="0056132D">
            <w:pPr>
              <w:spacing w:line="240" w:lineRule="exact"/>
              <w:jc w:val="center"/>
              <w:rPr>
                <w:rtl/>
              </w:rPr>
            </w:pPr>
            <w:r>
              <w:rPr>
                <w:rFonts w:hint="cs"/>
                <w:rtl/>
              </w:rPr>
              <w:t xml:space="preserve"> בהתאם למדיניות הקודמת</w:t>
            </w:r>
          </w:p>
        </w:tc>
        <w:tc>
          <w:tcPr>
            <w:tcW w:w="141" w:type="dxa"/>
            <w:vAlign w:val="bottom"/>
          </w:tcPr>
          <w:p w14:paraId="091CA688" w14:textId="77777777" w:rsidR="00CE4C07" w:rsidRPr="0074065E" w:rsidRDefault="00CE4C07" w:rsidP="0056132D">
            <w:pPr>
              <w:spacing w:line="240" w:lineRule="exact"/>
              <w:jc w:val="center"/>
              <w:rPr>
                <w:rtl/>
              </w:rPr>
            </w:pPr>
          </w:p>
        </w:tc>
        <w:tc>
          <w:tcPr>
            <w:tcW w:w="1276" w:type="dxa"/>
            <w:tcBorders>
              <w:bottom w:val="single" w:sz="6" w:space="0" w:color="auto"/>
            </w:tcBorders>
            <w:vAlign w:val="bottom"/>
          </w:tcPr>
          <w:p w14:paraId="2B2D57CB" w14:textId="77777777" w:rsidR="00CE4C07" w:rsidRPr="0074065E" w:rsidRDefault="00CE4C07" w:rsidP="0056132D">
            <w:pPr>
              <w:spacing w:line="240" w:lineRule="exact"/>
              <w:jc w:val="center"/>
              <w:rPr>
                <w:rtl/>
              </w:rPr>
            </w:pPr>
            <w:r>
              <w:rPr>
                <w:rFonts w:hint="cs"/>
                <w:rtl/>
              </w:rPr>
              <w:t xml:space="preserve">השינוי </w:t>
            </w:r>
          </w:p>
        </w:tc>
        <w:tc>
          <w:tcPr>
            <w:tcW w:w="142" w:type="dxa"/>
            <w:vAlign w:val="bottom"/>
          </w:tcPr>
          <w:p w14:paraId="058DDCEB" w14:textId="77777777" w:rsidR="00CE4C07" w:rsidRPr="0074065E" w:rsidRDefault="00CE4C07" w:rsidP="0056132D">
            <w:pPr>
              <w:spacing w:line="240" w:lineRule="exact"/>
              <w:jc w:val="center"/>
              <w:rPr>
                <w:rtl/>
              </w:rPr>
            </w:pPr>
          </w:p>
        </w:tc>
        <w:tc>
          <w:tcPr>
            <w:tcW w:w="1417" w:type="dxa"/>
            <w:gridSpan w:val="2"/>
            <w:tcBorders>
              <w:bottom w:val="single" w:sz="6" w:space="0" w:color="auto"/>
            </w:tcBorders>
            <w:vAlign w:val="bottom"/>
          </w:tcPr>
          <w:p w14:paraId="2E60D281" w14:textId="77777777" w:rsidR="00CE4C07" w:rsidRPr="0074065E" w:rsidRDefault="00CE4C07" w:rsidP="0056132D">
            <w:pPr>
              <w:spacing w:line="240" w:lineRule="exact"/>
              <w:jc w:val="center"/>
              <w:rPr>
                <w:rtl/>
              </w:rPr>
            </w:pPr>
            <w:r>
              <w:rPr>
                <w:rFonts w:hint="cs"/>
                <w:rtl/>
              </w:rPr>
              <w:t xml:space="preserve"> כמוצג בדוחות כספיים אלה</w:t>
            </w:r>
          </w:p>
        </w:tc>
      </w:tr>
      <w:tr w:rsidR="00CE4C07" w:rsidRPr="0074065E" w14:paraId="241D0F54" w14:textId="77777777" w:rsidTr="0056132D">
        <w:tc>
          <w:tcPr>
            <w:tcW w:w="3107" w:type="dxa"/>
            <w:vAlign w:val="bottom"/>
          </w:tcPr>
          <w:p w14:paraId="4B6E7498" w14:textId="77777777" w:rsidR="00CE4C07" w:rsidRPr="00C454B8" w:rsidRDefault="00CE4C07" w:rsidP="0056132D">
            <w:pPr>
              <w:pStyle w:val="a3"/>
              <w:tabs>
                <w:tab w:val="left" w:pos="227"/>
                <w:tab w:val="left" w:pos="397"/>
                <w:tab w:val="left" w:pos="567"/>
              </w:tabs>
              <w:ind w:left="227" w:hanging="170"/>
              <w:rPr>
                <w:sz w:val="22"/>
                <w:rtl/>
              </w:rPr>
            </w:pPr>
          </w:p>
        </w:tc>
        <w:tc>
          <w:tcPr>
            <w:tcW w:w="126" w:type="dxa"/>
            <w:vAlign w:val="bottom"/>
          </w:tcPr>
          <w:p w14:paraId="677BCA13" w14:textId="77777777" w:rsidR="00CE4C07" w:rsidRPr="0074065E" w:rsidRDefault="00CE4C07" w:rsidP="0056132D">
            <w:pPr>
              <w:spacing w:line="240" w:lineRule="exact"/>
              <w:rPr>
                <w:rtl/>
              </w:rPr>
            </w:pPr>
          </w:p>
        </w:tc>
        <w:tc>
          <w:tcPr>
            <w:tcW w:w="4172" w:type="dxa"/>
            <w:gridSpan w:val="6"/>
            <w:tcBorders>
              <w:bottom w:val="single" w:sz="6" w:space="0" w:color="auto"/>
            </w:tcBorders>
            <w:shd w:val="clear" w:color="auto" w:fill="auto"/>
            <w:vAlign w:val="bottom"/>
          </w:tcPr>
          <w:p w14:paraId="13043976" w14:textId="77777777" w:rsidR="00CE4C07" w:rsidRPr="0074065E" w:rsidRDefault="00CE4C07" w:rsidP="0056132D">
            <w:pPr>
              <w:tabs>
                <w:tab w:val="decimal" w:pos="113"/>
              </w:tabs>
              <w:spacing w:line="240" w:lineRule="exact"/>
              <w:jc w:val="center"/>
              <w:rPr>
                <w:rtl/>
              </w:rPr>
            </w:pPr>
            <w:r w:rsidRPr="0074065E">
              <w:rPr>
                <w:rtl/>
              </w:rPr>
              <w:t>אלפי ש"ח (למעט נתוני רווח נקי (הפסד) למניה)</w:t>
            </w:r>
          </w:p>
        </w:tc>
      </w:tr>
      <w:tr w:rsidR="00CE4C07" w:rsidRPr="0074065E" w14:paraId="46CCA666" w14:textId="77777777" w:rsidTr="0056132D">
        <w:trPr>
          <w:gridAfter w:val="1"/>
          <w:wAfter w:w="20" w:type="dxa"/>
        </w:trPr>
        <w:tc>
          <w:tcPr>
            <w:tcW w:w="3107" w:type="dxa"/>
            <w:vAlign w:val="bottom"/>
          </w:tcPr>
          <w:p w14:paraId="09E1CA7B" w14:textId="77777777" w:rsidR="00CE4C07" w:rsidRPr="00C454B8" w:rsidRDefault="00CE4C07" w:rsidP="0056132D">
            <w:pPr>
              <w:pStyle w:val="a3"/>
              <w:tabs>
                <w:tab w:val="left" w:pos="227"/>
                <w:tab w:val="left" w:pos="397"/>
                <w:tab w:val="left" w:pos="567"/>
              </w:tabs>
              <w:ind w:left="227" w:hanging="170"/>
              <w:rPr>
                <w:sz w:val="22"/>
                <w:u w:val="single"/>
                <w:rtl/>
              </w:rPr>
            </w:pPr>
            <w:r>
              <w:rPr>
                <w:sz w:val="22"/>
                <w:u w:val="single"/>
                <w:rtl/>
              </w:rPr>
              <w:t>ל</w:t>
            </w:r>
            <w:r>
              <w:rPr>
                <w:rFonts w:hint="cs"/>
                <w:sz w:val="22"/>
                <w:u w:val="single"/>
                <w:rtl/>
              </w:rPr>
              <w:t>שנה שהסתיימה</w:t>
            </w:r>
            <w:r w:rsidRPr="00C454B8">
              <w:rPr>
                <w:sz w:val="22"/>
                <w:u w:val="single"/>
                <w:rtl/>
              </w:rPr>
              <w:t xml:space="preserve"> ביום </w:t>
            </w:r>
            <w:r>
              <w:rPr>
                <w:rFonts w:hint="cs"/>
                <w:sz w:val="22"/>
                <w:u w:val="single"/>
                <w:rtl/>
              </w:rPr>
              <w:t>31</w:t>
            </w:r>
            <w:r w:rsidRPr="00C454B8">
              <w:rPr>
                <w:sz w:val="22"/>
                <w:u w:val="single"/>
                <w:rtl/>
              </w:rPr>
              <w:t xml:space="preserve"> </w:t>
            </w:r>
            <w:r>
              <w:rPr>
                <w:rFonts w:hint="cs"/>
                <w:sz w:val="22"/>
                <w:u w:val="single"/>
                <w:rtl/>
              </w:rPr>
              <w:t>בדצמבר</w:t>
            </w:r>
            <w:r w:rsidRPr="00C454B8">
              <w:rPr>
                <w:sz w:val="22"/>
                <w:u w:val="single"/>
                <w:rtl/>
              </w:rPr>
              <w:t xml:space="preserve">, </w:t>
            </w:r>
            <w:r>
              <w:rPr>
                <w:rFonts w:hint="cs"/>
                <w:sz w:val="22"/>
                <w:u w:val="single"/>
                <w:rtl/>
              </w:rPr>
              <w:t>2018</w:t>
            </w:r>
          </w:p>
        </w:tc>
        <w:tc>
          <w:tcPr>
            <w:tcW w:w="126" w:type="dxa"/>
            <w:vAlign w:val="bottom"/>
          </w:tcPr>
          <w:p w14:paraId="362196AB" w14:textId="77777777" w:rsidR="00CE4C07" w:rsidRPr="0074065E" w:rsidRDefault="00CE4C07" w:rsidP="0056132D">
            <w:pPr>
              <w:spacing w:line="240" w:lineRule="exact"/>
              <w:rPr>
                <w:rtl/>
              </w:rPr>
            </w:pPr>
          </w:p>
        </w:tc>
        <w:tc>
          <w:tcPr>
            <w:tcW w:w="1196" w:type="dxa"/>
            <w:vAlign w:val="bottom"/>
          </w:tcPr>
          <w:p w14:paraId="419DEAA0" w14:textId="77777777" w:rsidR="00CE4C07" w:rsidRPr="0074065E" w:rsidRDefault="00CE4C07" w:rsidP="0056132D">
            <w:pPr>
              <w:spacing w:line="240" w:lineRule="exact"/>
              <w:rPr>
                <w:rtl/>
              </w:rPr>
            </w:pPr>
          </w:p>
        </w:tc>
        <w:tc>
          <w:tcPr>
            <w:tcW w:w="141" w:type="dxa"/>
            <w:vAlign w:val="bottom"/>
          </w:tcPr>
          <w:p w14:paraId="623EC10F" w14:textId="77777777" w:rsidR="00CE4C07" w:rsidRPr="0074065E" w:rsidRDefault="00CE4C07" w:rsidP="0056132D">
            <w:pPr>
              <w:spacing w:line="240" w:lineRule="exact"/>
              <w:rPr>
                <w:rtl/>
              </w:rPr>
            </w:pPr>
          </w:p>
        </w:tc>
        <w:tc>
          <w:tcPr>
            <w:tcW w:w="1276" w:type="dxa"/>
            <w:vAlign w:val="bottom"/>
          </w:tcPr>
          <w:p w14:paraId="1C813A7D" w14:textId="77777777" w:rsidR="00CE4C07" w:rsidRPr="0074065E" w:rsidRDefault="00CE4C07" w:rsidP="0056132D">
            <w:pPr>
              <w:tabs>
                <w:tab w:val="decimal" w:pos="113"/>
              </w:tabs>
              <w:spacing w:line="240" w:lineRule="exact"/>
              <w:rPr>
                <w:rtl/>
              </w:rPr>
            </w:pPr>
          </w:p>
        </w:tc>
        <w:tc>
          <w:tcPr>
            <w:tcW w:w="142" w:type="dxa"/>
            <w:vAlign w:val="bottom"/>
          </w:tcPr>
          <w:p w14:paraId="24AD7F50" w14:textId="77777777" w:rsidR="00CE4C07" w:rsidRPr="0074065E" w:rsidRDefault="00CE4C07" w:rsidP="0056132D">
            <w:pPr>
              <w:tabs>
                <w:tab w:val="decimal" w:pos="113"/>
              </w:tabs>
              <w:spacing w:line="240" w:lineRule="exact"/>
              <w:rPr>
                <w:rtl/>
              </w:rPr>
            </w:pPr>
          </w:p>
        </w:tc>
        <w:tc>
          <w:tcPr>
            <w:tcW w:w="1397" w:type="dxa"/>
            <w:vAlign w:val="bottom"/>
          </w:tcPr>
          <w:p w14:paraId="2EF9F8DB" w14:textId="77777777" w:rsidR="00CE4C07" w:rsidRPr="0074065E" w:rsidRDefault="00CE4C07" w:rsidP="0056132D">
            <w:pPr>
              <w:tabs>
                <w:tab w:val="decimal" w:pos="113"/>
              </w:tabs>
              <w:spacing w:line="240" w:lineRule="exact"/>
              <w:rPr>
                <w:rtl/>
              </w:rPr>
            </w:pPr>
          </w:p>
        </w:tc>
      </w:tr>
      <w:tr w:rsidR="00CE4C07" w:rsidRPr="0074065E" w14:paraId="1BFCBDB5" w14:textId="77777777" w:rsidTr="0056132D">
        <w:trPr>
          <w:gridAfter w:val="1"/>
          <w:wAfter w:w="20" w:type="dxa"/>
        </w:trPr>
        <w:tc>
          <w:tcPr>
            <w:tcW w:w="3107" w:type="dxa"/>
            <w:vAlign w:val="bottom"/>
          </w:tcPr>
          <w:p w14:paraId="341883C7" w14:textId="77777777" w:rsidR="00CE4C07" w:rsidRPr="00C454B8" w:rsidRDefault="00CE4C07" w:rsidP="0056132D">
            <w:pPr>
              <w:pStyle w:val="a3"/>
              <w:tabs>
                <w:tab w:val="left" w:pos="227"/>
                <w:tab w:val="left" w:pos="397"/>
                <w:tab w:val="left" w:pos="567"/>
              </w:tabs>
              <w:ind w:left="227" w:hanging="170"/>
              <w:rPr>
                <w:sz w:val="22"/>
                <w:u w:val="single"/>
                <w:rtl/>
              </w:rPr>
            </w:pPr>
            <w:r>
              <w:rPr>
                <w:rFonts w:hint="cs"/>
                <w:sz w:val="22"/>
                <w:rtl/>
              </w:rPr>
              <w:t>עלות המכירות</w:t>
            </w:r>
          </w:p>
        </w:tc>
        <w:tc>
          <w:tcPr>
            <w:tcW w:w="126" w:type="dxa"/>
            <w:vAlign w:val="bottom"/>
          </w:tcPr>
          <w:p w14:paraId="2B843246" w14:textId="77777777" w:rsidR="00CE4C07" w:rsidRPr="0074065E" w:rsidRDefault="00CE4C07" w:rsidP="0056132D">
            <w:pPr>
              <w:spacing w:line="240" w:lineRule="exact"/>
              <w:rPr>
                <w:rtl/>
              </w:rPr>
            </w:pPr>
          </w:p>
        </w:tc>
        <w:tc>
          <w:tcPr>
            <w:tcW w:w="1196" w:type="dxa"/>
            <w:tcBorders>
              <w:bottom w:val="double" w:sz="4" w:space="0" w:color="auto"/>
            </w:tcBorders>
            <w:vAlign w:val="bottom"/>
          </w:tcPr>
          <w:p w14:paraId="09897E20" w14:textId="77777777" w:rsidR="00CE4C07" w:rsidRPr="0074065E" w:rsidRDefault="00CE4C07" w:rsidP="0056132D">
            <w:pPr>
              <w:spacing w:line="240" w:lineRule="exact"/>
              <w:rPr>
                <w:rtl/>
              </w:rPr>
            </w:pPr>
          </w:p>
        </w:tc>
        <w:tc>
          <w:tcPr>
            <w:tcW w:w="141" w:type="dxa"/>
            <w:vAlign w:val="bottom"/>
          </w:tcPr>
          <w:p w14:paraId="7AB84B2B"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0B289DA5" w14:textId="77777777" w:rsidR="00CE4C07" w:rsidRPr="0074065E" w:rsidRDefault="00CE4C07" w:rsidP="0056132D">
            <w:pPr>
              <w:tabs>
                <w:tab w:val="decimal" w:pos="113"/>
              </w:tabs>
              <w:spacing w:line="240" w:lineRule="exact"/>
              <w:rPr>
                <w:rtl/>
              </w:rPr>
            </w:pPr>
          </w:p>
        </w:tc>
        <w:tc>
          <w:tcPr>
            <w:tcW w:w="142" w:type="dxa"/>
            <w:vAlign w:val="bottom"/>
          </w:tcPr>
          <w:p w14:paraId="30348182" w14:textId="77777777" w:rsidR="00CE4C07" w:rsidRPr="0074065E" w:rsidRDefault="00CE4C07" w:rsidP="0056132D">
            <w:pPr>
              <w:tabs>
                <w:tab w:val="decimal" w:pos="113"/>
              </w:tabs>
              <w:spacing w:line="240" w:lineRule="exact"/>
              <w:rPr>
                <w:rtl/>
              </w:rPr>
            </w:pPr>
          </w:p>
        </w:tc>
        <w:tc>
          <w:tcPr>
            <w:tcW w:w="1397" w:type="dxa"/>
            <w:tcBorders>
              <w:bottom w:val="double" w:sz="4" w:space="0" w:color="auto"/>
            </w:tcBorders>
            <w:vAlign w:val="bottom"/>
          </w:tcPr>
          <w:p w14:paraId="69592567" w14:textId="77777777" w:rsidR="00CE4C07" w:rsidRPr="0074065E" w:rsidRDefault="00CE4C07" w:rsidP="0056132D">
            <w:pPr>
              <w:tabs>
                <w:tab w:val="decimal" w:pos="113"/>
              </w:tabs>
              <w:spacing w:line="240" w:lineRule="exact"/>
              <w:rPr>
                <w:rtl/>
              </w:rPr>
            </w:pPr>
          </w:p>
        </w:tc>
      </w:tr>
      <w:tr w:rsidR="00CE4C07" w:rsidRPr="0074065E" w14:paraId="4E956527" w14:textId="77777777" w:rsidTr="0056132D">
        <w:trPr>
          <w:gridAfter w:val="1"/>
          <w:wAfter w:w="20" w:type="dxa"/>
        </w:trPr>
        <w:tc>
          <w:tcPr>
            <w:tcW w:w="3107" w:type="dxa"/>
            <w:vAlign w:val="bottom"/>
          </w:tcPr>
          <w:p w14:paraId="4A0681B3" w14:textId="77777777" w:rsidR="00CE4C07" w:rsidRPr="00DD59FD" w:rsidRDefault="00CE4C07" w:rsidP="0056132D">
            <w:pPr>
              <w:pStyle w:val="a3"/>
              <w:tabs>
                <w:tab w:val="left" w:pos="227"/>
                <w:tab w:val="left" w:pos="397"/>
                <w:tab w:val="left" w:pos="567"/>
              </w:tabs>
              <w:ind w:left="227" w:hanging="170"/>
              <w:rPr>
                <w:sz w:val="22"/>
                <w:rtl/>
              </w:rPr>
            </w:pPr>
            <w:r>
              <w:rPr>
                <w:rFonts w:hint="cs"/>
                <w:b/>
                <w:bCs/>
                <w:sz w:val="22"/>
                <w:rtl/>
              </w:rPr>
              <w:t>רווח גולמי</w:t>
            </w:r>
          </w:p>
        </w:tc>
        <w:tc>
          <w:tcPr>
            <w:tcW w:w="126" w:type="dxa"/>
            <w:vAlign w:val="bottom"/>
          </w:tcPr>
          <w:p w14:paraId="76AA8BA9" w14:textId="77777777" w:rsidR="00CE4C07" w:rsidRPr="0074065E" w:rsidRDefault="00CE4C07" w:rsidP="0056132D">
            <w:pPr>
              <w:spacing w:line="240" w:lineRule="exact"/>
              <w:rPr>
                <w:rtl/>
              </w:rPr>
            </w:pPr>
          </w:p>
        </w:tc>
        <w:tc>
          <w:tcPr>
            <w:tcW w:w="1196" w:type="dxa"/>
            <w:tcBorders>
              <w:bottom w:val="double" w:sz="4" w:space="0" w:color="auto"/>
            </w:tcBorders>
            <w:vAlign w:val="bottom"/>
          </w:tcPr>
          <w:p w14:paraId="07BCD838" w14:textId="77777777" w:rsidR="00CE4C07" w:rsidRPr="0074065E" w:rsidRDefault="00CE4C07" w:rsidP="0056132D">
            <w:pPr>
              <w:spacing w:line="240" w:lineRule="exact"/>
              <w:rPr>
                <w:rtl/>
              </w:rPr>
            </w:pPr>
          </w:p>
        </w:tc>
        <w:tc>
          <w:tcPr>
            <w:tcW w:w="141" w:type="dxa"/>
            <w:vAlign w:val="bottom"/>
          </w:tcPr>
          <w:p w14:paraId="72BF9FB4"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3C5EA18B" w14:textId="77777777" w:rsidR="00CE4C07" w:rsidRPr="0074065E" w:rsidRDefault="00CE4C07" w:rsidP="0056132D">
            <w:pPr>
              <w:tabs>
                <w:tab w:val="decimal" w:pos="113"/>
              </w:tabs>
              <w:spacing w:line="240" w:lineRule="exact"/>
              <w:rPr>
                <w:rtl/>
              </w:rPr>
            </w:pPr>
          </w:p>
        </w:tc>
        <w:tc>
          <w:tcPr>
            <w:tcW w:w="142" w:type="dxa"/>
            <w:vAlign w:val="bottom"/>
          </w:tcPr>
          <w:p w14:paraId="156833BB" w14:textId="77777777" w:rsidR="00CE4C07" w:rsidRPr="0074065E" w:rsidRDefault="00CE4C07" w:rsidP="0056132D">
            <w:pPr>
              <w:tabs>
                <w:tab w:val="decimal" w:pos="113"/>
              </w:tabs>
              <w:spacing w:line="240" w:lineRule="exact"/>
              <w:rPr>
                <w:rtl/>
              </w:rPr>
            </w:pPr>
          </w:p>
        </w:tc>
        <w:tc>
          <w:tcPr>
            <w:tcW w:w="1397" w:type="dxa"/>
            <w:tcBorders>
              <w:bottom w:val="double" w:sz="4" w:space="0" w:color="auto"/>
            </w:tcBorders>
            <w:vAlign w:val="bottom"/>
          </w:tcPr>
          <w:p w14:paraId="5995456E" w14:textId="77777777" w:rsidR="00CE4C07" w:rsidRPr="0074065E" w:rsidRDefault="00CE4C07" w:rsidP="0056132D">
            <w:pPr>
              <w:tabs>
                <w:tab w:val="decimal" w:pos="113"/>
              </w:tabs>
              <w:spacing w:line="240" w:lineRule="exact"/>
              <w:rPr>
                <w:rtl/>
              </w:rPr>
            </w:pPr>
          </w:p>
        </w:tc>
      </w:tr>
      <w:tr w:rsidR="00CE4C07" w:rsidRPr="0074065E" w14:paraId="6106A3F2" w14:textId="77777777" w:rsidTr="0056132D">
        <w:trPr>
          <w:gridAfter w:val="1"/>
          <w:wAfter w:w="20" w:type="dxa"/>
        </w:trPr>
        <w:tc>
          <w:tcPr>
            <w:tcW w:w="3107" w:type="dxa"/>
            <w:vAlign w:val="bottom"/>
          </w:tcPr>
          <w:p w14:paraId="54565AFD" w14:textId="77777777" w:rsidR="00CE4C07" w:rsidRDefault="00CE4C07" w:rsidP="0056132D">
            <w:pPr>
              <w:pStyle w:val="a3"/>
              <w:tabs>
                <w:tab w:val="left" w:pos="227"/>
                <w:tab w:val="left" w:pos="397"/>
                <w:tab w:val="left" w:pos="567"/>
              </w:tabs>
              <w:ind w:left="227" w:hanging="170"/>
              <w:rPr>
                <w:sz w:val="22"/>
                <w:rtl/>
              </w:rPr>
            </w:pPr>
            <w:r>
              <w:rPr>
                <w:rFonts w:hint="cs"/>
                <w:sz w:val="22"/>
                <w:rtl/>
              </w:rPr>
              <w:t>הוצאות מימון</w:t>
            </w:r>
          </w:p>
        </w:tc>
        <w:tc>
          <w:tcPr>
            <w:tcW w:w="126" w:type="dxa"/>
            <w:vAlign w:val="bottom"/>
          </w:tcPr>
          <w:p w14:paraId="0FED833D"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25D08125" w14:textId="77777777" w:rsidR="00CE4C07" w:rsidRPr="0074065E" w:rsidRDefault="00CE4C07" w:rsidP="0056132D">
            <w:pPr>
              <w:spacing w:line="240" w:lineRule="exact"/>
              <w:rPr>
                <w:rtl/>
              </w:rPr>
            </w:pPr>
          </w:p>
        </w:tc>
        <w:tc>
          <w:tcPr>
            <w:tcW w:w="141" w:type="dxa"/>
            <w:vAlign w:val="bottom"/>
          </w:tcPr>
          <w:p w14:paraId="4AF734F1"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08B6ECDA" w14:textId="77777777" w:rsidR="00CE4C07" w:rsidRPr="0074065E" w:rsidRDefault="00CE4C07" w:rsidP="0056132D">
            <w:pPr>
              <w:tabs>
                <w:tab w:val="decimal" w:pos="113"/>
              </w:tabs>
              <w:spacing w:line="240" w:lineRule="exact"/>
              <w:rPr>
                <w:rtl/>
              </w:rPr>
            </w:pPr>
          </w:p>
        </w:tc>
        <w:tc>
          <w:tcPr>
            <w:tcW w:w="142" w:type="dxa"/>
            <w:vAlign w:val="bottom"/>
          </w:tcPr>
          <w:p w14:paraId="6CA91EDD"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2F1202EA" w14:textId="77777777" w:rsidR="00CE4C07" w:rsidRPr="0074065E" w:rsidRDefault="00CE4C07" w:rsidP="0056132D">
            <w:pPr>
              <w:tabs>
                <w:tab w:val="decimal" w:pos="113"/>
              </w:tabs>
              <w:spacing w:line="240" w:lineRule="exact"/>
              <w:rPr>
                <w:rtl/>
              </w:rPr>
            </w:pPr>
          </w:p>
        </w:tc>
      </w:tr>
      <w:tr w:rsidR="00CE4C07" w:rsidRPr="0074065E" w14:paraId="0065C354" w14:textId="77777777" w:rsidTr="0056132D">
        <w:trPr>
          <w:gridAfter w:val="1"/>
          <w:wAfter w:w="20" w:type="dxa"/>
        </w:trPr>
        <w:tc>
          <w:tcPr>
            <w:tcW w:w="3107" w:type="dxa"/>
            <w:vAlign w:val="bottom"/>
          </w:tcPr>
          <w:p w14:paraId="56CC6C0E" w14:textId="77777777" w:rsidR="00CE4C07" w:rsidRDefault="00CE4C07" w:rsidP="0056132D">
            <w:pPr>
              <w:pStyle w:val="a3"/>
              <w:tabs>
                <w:tab w:val="left" w:pos="227"/>
                <w:tab w:val="left" w:pos="397"/>
                <w:tab w:val="left" w:pos="567"/>
              </w:tabs>
              <w:ind w:left="227" w:hanging="170"/>
              <w:rPr>
                <w:sz w:val="22"/>
                <w:rtl/>
              </w:rPr>
            </w:pPr>
            <w:r>
              <w:rPr>
                <w:rFonts w:hint="cs"/>
                <w:sz w:val="22"/>
                <w:rtl/>
              </w:rPr>
              <w:t>רווח (הפסד) לפני מסים על ההכנסה</w:t>
            </w:r>
          </w:p>
        </w:tc>
        <w:tc>
          <w:tcPr>
            <w:tcW w:w="126" w:type="dxa"/>
            <w:vAlign w:val="bottom"/>
          </w:tcPr>
          <w:p w14:paraId="7B5A3990"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4F5F3968" w14:textId="77777777" w:rsidR="00CE4C07" w:rsidRPr="0074065E" w:rsidRDefault="00CE4C07" w:rsidP="0056132D">
            <w:pPr>
              <w:spacing w:line="240" w:lineRule="exact"/>
              <w:rPr>
                <w:rtl/>
              </w:rPr>
            </w:pPr>
          </w:p>
        </w:tc>
        <w:tc>
          <w:tcPr>
            <w:tcW w:w="141" w:type="dxa"/>
            <w:vAlign w:val="bottom"/>
          </w:tcPr>
          <w:p w14:paraId="132A1A6F"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5144CB05" w14:textId="77777777" w:rsidR="00CE4C07" w:rsidRPr="0074065E" w:rsidRDefault="00CE4C07" w:rsidP="0056132D">
            <w:pPr>
              <w:tabs>
                <w:tab w:val="decimal" w:pos="113"/>
              </w:tabs>
              <w:spacing w:line="240" w:lineRule="exact"/>
              <w:rPr>
                <w:rtl/>
              </w:rPr>
            </w:pPr>
          </w:p>
        </w:tc>
        <w:tc>
          <w:tcPr>
            <w:tcW w:w="142" w:type="dxa"/>
            <w:vAlign w:val="bottom"/>
          </w:tcPr>
          <w:p w14:paraId="572D6F95"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051E8F22" w14:textId="77777777" w:rsidR="00CE4C07" w:rsidRPr="0074065E" w:rsidRDefault="00CE4C07" w:rsidP="0056132D">
            <w:pPr>
              <w:tabs>
                <w:tab w:val="decimal" w:pos="113"/>
              </w:tabs>
              <w:spacing w:line="240" w:lineRule="exact"/>
              <w:rPr>
                <w:rtl/>
              </w:rPr>
            </w:pPr>
          </w:p>
        </w:tc>
      </w:tr>
      <w:tr w:rsidR="00CE4C07" w:rsidRPr="0074065E" w14:paraId="0D36B1AA" w14:textId="77777777" w:rsidTr="0056132D">
        <w:trPr>
          <w:gridAfter w:val="1"/>
          <w:wAfter w:w="20" w:type="dxa"/>
        </w:trPr>
        <w:tc>
          <w:tcPr>
            <w:tcW w:w="3107" w:type="dxa"/>
            <w:vAlign w:val="bottom"/>
          </w:tcPr>
          <w:p w14:paraId="5B0314ED" w14:textId="77777777" w:rsidR="00CE4C07" w:rsidRPr="00C454B8" w:rsidRDefault="00CE4C07" w:rsidP="0056132D">
            <w:pPr>
              <w:pStyle w:val="a3"/>
              <w:tabs>
                <w:tab w:val="left" w:pos="227"/>
                <w:tab w:val="left" w:pos="397"/>
                <w:tab w:val="left" w:pos="567"/>
              </w:tabs>
              <w:ind w:left="227" w:hanging="170"/>
              <w:rPr>
                <w:sz w:val="22"/>
                <w:u w:val="single"/>
                <w:rtl/>
              </w:rPr>
            </w:pPr>
            <w:r>
              <w:rPr>
                <w:rFonts w:hint="cs"/>
                <w:sz w:val="22"/>
                <w:rtl/>
              </w:rPr>
              <w:t>מסים על ההכנסה</w:t>
            </w:r>
          </w:p>
        </w:tc>
        <w:tc>
          <w:tcPr>
            <w:tcW w:w="126" w:type="dxa"/>
            <w:vAlign w:val="bottom"/>
          </w:tcPr>
          <w:p w14:paraId="2046B6C5"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53DE704B" w14:textId="77777777" w:rsidR="00CE4C07" w:rsidRPr="0074065E" w:rsidRDefault="00CE4C07" w:rsidP="0056132D">
            <w:pPr>
              <w:spacing w:line="240" w:lineRule="exact"/>
              <w:rPr>
                <w:rtl/>
              </w:rPr>
            </w:pPr>
          </w:p>
        </w:tc>
        <w:tc>
          <w:tcPr>
            <w:tcW w:w="141" w:type="dxa"/>
            <w:vAlign w:val="bottom"/>
          </w:tcPr>
          <w:p w14:paraId="1786C717"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289068AA" w14:textId="77777777" w:rsidR="00CE4C07" w:rsidRPr="0074065E" w:rsidRDefault="00CE4C07" w:rsidP="0056132D">
            <w:pPr>
              <w:tabs>
                <w:tab w:val="decimal" w:pos="113"/>
              </w:tabs>
              <w:spacing w:line="240" w:lineRule="exact"/>
              <w:rPr>
                <w:rtl/>
              </w:rPr>
            </w:pPr>
          </w:p>
        </w:tc>
        <w:tc>
          <w:tcPr>
            <w:tcW w:w="142" w:type="dxa"/>
            <w:vAlign w:val="bottom"/>
          </w:tcPr>
          <w:p w14:paraId="470C1B26"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367A4F08" w14:textId="77777777" w:rsidR="00CE4C07" w:rsidRPr="0074065E" w:rsidRDefault="00CE4C07" w:rsidP="0056132D">
            <w:pPr>
              <w:tabs>
                <w:tab w:val="decimal" w:pos="113"/>
              </w:tabs>
              <w:spacing w:line="240" w:lineRule="exact"/>
              <w:rPr>
                <w:rtl/>
              </w:rPr>
            </w:pPr>
          </w:p>
        </w:tc>
      </w:tr>
      <w:tr w:rsidR="00CE4C07" w:rsidRPr="0074065E" w14:paraId="58C2D17F" w14:textId="77777777" w:rsidTr="0056132D">
        <w:trPr>
          <w:gridAfter w:val="1"/>
          <w:wAfter w:w="20" w:type="dxa"/>
        </w:trPr>
        <w:tc>
          <w:tcPr>
            <w:tcW w:w="3107" w:type="dxa"/>
            <w:vAlign w:val="bottom"/>
          </w:tcPr>
          <w:p w14:paraId="064A6C60" w14:textId="77777777" w:rsidR="00CE4C07" w:rsidRPr="00C454B8" w:rsidRDefault="00CE4C07" w:rsidP="0056132D">
            <w:pPr>
              <w:pStyle w:val="a3"/>
              <w:tabs>
                <w:tab w:val="left" w:pos="227"/>
                <w:tab w:val="left" w:pos="397"/>
                <w:tab w:val="left" w:pos="567"/>
              </w:tabs>
              <w:ind w:left="227" w:hanging="170"/>
              <w:rPr>
                <w:sz w:val="22"/>
                <w:rtl/>
              </w:rPr>
            </w:pPr>
          </w:p>
        </w:tc>
        <w:tc>
          <w:tcPr>
            <w:tcW w:w="126" w:type="dxa"/>
            <w:vAlign w:val="bottom"/>
          </w:tcPr>
          <w:p w14:paraId="702C5964" w14:textId="77777777" w:rsidR="00CE4C07" w:rsidRPr="0074065E" w:rsidRDefault="00CE4C07" w:rsidP="0056132D">
            <w:pPr>
              <w:spacing w:line="240" w:lineRule="exact"/>
              <w:rPr>
                <w:rtl/>
              </w:rPr>
            </w:pPr>
          </w:p>
        </w:tc>
        <w:tc>
          <w:tcPr>
            <w:tcW w:w="1196" w:type="dxa"/>
            <w:tcBorders>
              <w:top w:val="double" w:sz="4" w:space="0" w:color="auto"/>
            </w:tcBorders>
            <w:vAlign w:val="bottom"/>
          </w:tcPr>
          <w:p w14:paraId="706E4C35" w14:textId="77777777" w:rsidR="00CE4C07" w:rsidRPr="0074065E" w:rsidRDefault="00CE4C07" w:rsidP="0056132D">
            <w:pPr>
              <w:spacing w:line="240" w:lineRule="exact"/>
              <w:rPr>
                <w:rtl/>
              </w:rPr>
            </w:pPr>
          </w:p>
        </w:tc>
        <w:tc>
          <w:tcPr>
            <w:tcW w:w="141" w:type="dxa"/>
            <w:vAlign w:val="bottom"/>
          </w:tcPr>
          <w:p w14:paraId="526E8942" w14:textId="77777777" w:rsidR="00CE4C07" w:rsidRPr="0074065E" w:rsidRDefault="00CE4C07" w:rsidP="0056132D">
            <w:pPr>
              <w:spacing w:line="240" w:lineRule="exact"/>
              <w:rPr>
                <w:rtl/>
              </w:rPr>
            </w:pPr>
          </w:p>
        </w:tc>
        <w:tc>
          <w:tcPr>
            <w:tcW w:w="1276" w:type="dxa"/>
            <w:tcBorders>
              <w:top w:val="double" w:sz="4" w:space="0" w:color="auto"/>
            </w:tcBorders>
            <w:vAlign w:val="bottom"/>
          </w:tcPr>
          <w:p w14:paraId="75949A7D" w14:textId="77777777" w:rsidR="00CE4C07" w:rsidRPr="0074065E" w:rsidRDefault="00CE4C07" w:rsidP="0056132D">
            <w:pPr>
              <w:tabs>
                <w:tab w:val="decimal" w:pos="113"/>
              </w:tabs>
              <w:spacing w:line="240" w:lineRule="exact"/>
              <w:rPr>
                <w:rtl/>
              </w:rPr>
            </w:pPr>
          </w:p>
        </w:tc>
        <w:tc>
          <w:tcPr>
            <w:tcW w:w="142" w:type="dxa"/>
            <w:vAlign w:val="bottom"/>
          </w:tcPr>
          <w:p w14:paraId="60F7B4BB" w14:textId="77777777" w:rsidR="00CE4C07" w:rsidRPr="0074065E" w:rsidRDefault="00CE4C07" w:rsidP="0056132D">
            <w:pPr>
              <w:tabs>
                <w:tab w:val="decimal" w:pos="113"/>
              </w:tabs>
              <w:spacing w:line="240" w:lineRule="exact"/>
              <w:rPr>
                <w:rtl/>
              </w:rPr>
            </w:pPr>
          </w:p>
        </w:tc>
        <w:tc>
          <w:tcPr>
            <w:tcW w:w="1397" w:type="dxa"/>
            <w:tcBorders>
              <w:top w:val="double" w:sz="4" w:space="0" w:color="auto"/>
            </w:tcBorders>
            <w:vAlign w:val="bottom"/>
          </w:tcPr>
          <w:p w14:paraId="19DD4593" w14:textId="77777777" w:rsidR="00CE4C07" w:rsidRPr="0074065E" w:rsidRDefault="00CE4C07" w:rsidP="0056132D">
            <w:pPr>
              <w:tabs>
                <w:tab w:val="decimal" w:pos="113"/>
              </w:tabs>
              <w:spacing w:line="240" w:lineRule="exact"/>
              <w:rPr>
                <w:rtl/>
              </w:rPr>
            </w:pPr>
          </w:p>
        </w:tc>
      </w:tr>
      <w:tr w:rsidR="00CE4C07" w:rsidRPr="0074065E" w14:paraId="4E499D1F" w14:textId="77777777" w:rsidTr="0056132D">
        <w:trPr>
          <w:gridAfter w:val="1"/>
          <w:wAfter w:w="20" w:type="dxa"/>
        </w:trPr>
        <w:tc>
          <w:tcPr>
            <w:tcW w:w="3107" w:type="dxa"/>
            <w:vAlign w:val="bottom"/>
          </w:tcPr>
          <w:p w14:paraId="44EBDEB6" w14:textId="77777777" w:rsidR="00CE4C07" w:rsidRPr="00DD59FD" w:rsidRDefault="00CE4C07" w:rsidP="0056132D">
            <w:pPr>
              <w:pStyle w:val="a3"/>
              <w:tabs>
                <w:tab w:val="left" w:pos="227"/>
                <w:tab w:val="left" w:pos="397"/>
                <w:tab w:val="left" w:pos="567"/>
              </w:tabs>
              <w:ind w:left="227" w:hanging="170"/>
              <w:rPr>
                <w:sz w:val="22"/>
                <w:rtl/>
              </w:rPr>
            </w:pPr>
            <w:r>
              <w:rPr>
                <w:rFonts w:hint="cs"/>
                <w:b/>
                <w:bCs/>
                <w:sz w:val="22"/>
                <w:rtl/>
              </w:rPr>
              <w:t>רווח נקי</w:t>
            </w:r>
          </w:p>
        </w:tc>
        <w:tc>
          <w:tcPr>
            <w:tcW w:w="126" w:type="dxa"/>
            <w:vAlign w:val="bottom"/>
          </w:tcPr>
          <w:p w14:paraId="27CBC356" w14:textId="77777777" w:rsidR="00CE4C07" w:rsidRPr="0074065E" w:rsidRDefault="00CE4C07" w:rsidP="0056132D">
            <w:pPr>
              <w:spacing w:line="240" w:lineRule="exact"/>
              <w:rPr>
                <w:rtl/>
              </w:rPr>
            </w:pPr>
          </w:p>
        </w:tc>
        <w:tc>
          <w:tcPr>
            <w:tcW w:w="1196" w:type="dxa"/>
            <w:tcBorders>
              <w:bottom w:val="double" w:sz="4" w:space="0" w:color="auto"/>
            </w:tcBorders>
            <w:vAlign w:val="bottom"/>
          </w:tcPr>
          <w:p w14:paraId="4F117E34" w14:textId="77777777" w:rsidR="00CE4C07" w:rsidRPr="0074065E" w:rsidRDefault="00CE4C07" w:rsidP="0056132D">
            <w:pPr>
              <w:spacing w:line="240" w:lineRule="exact"/>
              <w:rPr>
                <w:rtl/>
              </w:rPr>
            </w:pPr>
          </w:p>
        </w:tc>
        <w:tc>
          <w:tcPr>
            <w:tcW w:w="141" w:type="dxa"/>
            <w:vAlign w:val="bottom"/>
          </w:tcPr>
          <w:p w14:paraId="6D236110"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014F8A4B" w14:textId="77777777" w:rsidR="00CE4C07" w:rsidRPr="0074065E" w:rsidRDefault="00CE4C07" w:rsidP="0056132D">
            <w:pPr>
              <w:tabs>
                <w:tab w:val="decimal" w:pos="113"/>
              </w:tabs>
              <w:spacing w:line="240" w:lineRule="exact"/>
              <w:rPr>
                <w:rtl/>
              </w:rPr>
            </w:pPr>
          </w:p>
        </w:tc>
        <w:tc>
          <w:tcPr>
            <w:tcW w:w="142" w:type="dxa"/>
            <w:vAlign w:val="bottom"/>
          </w:tcPr>
          <w:p w14:paraId="63790CE0" w14:textId="77777777" w:rsidR="00CE4C07" w:rsidRPr="0074065E" w:rsidRDefault="00CE4C07" w:rsidP="0056132D">
            <w:pPr>
              <w:tabs>
                <w:tab w:val="decimal" w:pos="113"/>
              </w:tabs>
              <w:spacing w:line="240" w:lineRule="exact"/>
              <w:rPr>
                <w:rtl/>
              </w:rPr>
            </w:pPr>
          </w:p>
        </w:tc>
        <w:tc>
          <w:tcPr>
            <w:tcW w:w="1397" w:type="dxa"/>
            <w:tcBorders>
              <w:bottom w:val="double" w:sz="4" w:space="0" w:color="auto"/>
            </w:tcBorders>
            <w:vAlign w:val="bottom"/>
          </w:tcPr>
          <w:p w14:paraId="35EFDEF8" w14:textId="77777777" w:rsidR="00CE4C07" w:rsidRPr="0074065E" w:rsidRDefault="00CE4C07" w:rsidP="0056132D">
            <w:pPr>
              <w:tabs>
                <w:tab w:val="decimal" w:pos="113"/>
              </w:tabs>
              <w:spacing w:line="240" w:lineRule="exact"/>
              <w:rPr>
                <w:rtl/>
              </w:rPr>
            </w:pPr>
          </w:p>
        </w:tc>
      </w:tr>
      <w:tr w:rsidR="00CE4C07" w:rsidRPr="0074065E" w14:paraId="2B8379B1" w14:textId="77777777" w:rsidTr="0056132D">
        <w:trPr>
          <w:gridAfter w:val="1"/>
          <w:wAfter w:w="20" w:type="dxa"/>
        </w:trPr>
        <w:tc>
          <w:tcPr>
            <w:tcW w:w="3107" w:type="dxa"/>
            <w:vAlign w:val="bottom"/>
          </w:tcPr>
          <w:p w14:paraId="791D7D9C" w14:textId="77777777" w:rsidR="00CE4C07" w:rsidRPr="00C454B8" w:rsidRDefault="00CE4C07" w:rsidP="0056132D">
            <w:pPr>
              <w:pStyle w:val="a3"/>
              <w:tabs>
                <w:tab w:val="left" w:pos="227"/>
                <w:tab w:val="left" w:pos="397"/>
                <w:tab w:val="left" w:pos="567"/>
              </w:tabs>
              <w:ind w:left="227" w:hanging="170"/>
              <w:rPr>
                <w:sz w:val="22"/>
                <w:rtl/>
              </w:rPr>
            </w:pPr>
            <w:r>
              <w:rPr>
                <w:rFonts w:hint="cs"/>
                <w:sz w:val="22"/>
                <w:rtl/>
              </w:rPr>
              <w:t>מיוחס ל:</w:t>
            </w:r>
          </w:p>
        </w:tc>
        <w:tc>
          <w:tcPr>
            <w:tcW w:w="126" w:type="dxa"/>
            <w:vAlign w:val="bottom"/>
          </w:tcPr>
          <w:p w14:paraId="7B68B138"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7A63B2BE" w14:textId="77777777" w:rsidR="00CE4C07" w:rsidRPr="0074065E" w:rsidRDefault="00CE4C07" w:rsidP="0056132D">
            <w:pPr>
              <w:spacing w:line="240" w:lineRule="exact"/>
              <w:rPr>
                <w:rtl/>
              </w:rPr>
            </w:pPr>
          </w:p>
        </w:tc>
        <w:tc>
          <w:tcPr>
            <w:tcW w:w="141" w:type="dxa"/>
            <w:vAlign w:val="bottom"/>
          </w:tcPr>
          <w:p w14:paraId="5DCD1789"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200CCDFF" w14:textId="77777777" w:rsidR="00CE4C07" w:rsidRPr="0074065E" w:rsidRDefault="00CE4C07" w:rsidP="0056132D">
            <w:pPr>
              <w:tabs>
                <w:tab w:val="decimal" w:pos="113"/>
              </w:tabs>
              <w:spacing w:line="240" w:lineRule="exact"/>
              <w:rPr>
                <w:rtl/>
              </w:rPr>
            </w:pPr>
          </w:p>
        </w:tc>
        <w:tc>
          <w:tcPr>
            <w:tcW w:w="142" w:type="dxa"/>
            <w:vAlign w:val="bottom"/>
          </w:tcPr>
          <w:p w14:paraId="26476058"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1B47C5FF" w14:textId="77777777" w:rsidR="00CE4C07" w:rsidRPr="0074065E" w:rsidRDefault="00CE4C07" w:rsidP="0056132D">
            <w:pPr>
              <w:tabs>
                <w:tab w:val="decimal" w:pos="113"/>
              </w:tabs>
              <w:spacing w:line="240" w:lineRule="exact"/>
              <w:rPr>
                <w:rtl/>
              </w:rPr>
            </w:pPr>
          </w:p>
        </w:tc>
      </w:tr>
      <w:tr w:rsidR="00CE4C07" w:rsidRPr="0074065E" w14:paraId="5430C1B9" w14:textId="77777777" w:rsidTr="0056132D">
        <w:trPr>
          <w:gridAfter w:val="1"/>
          <w:wAfter w:w="20" w:type="dxa"/>
        </w:trPr>
        <w:tc>
          <w:tcPr>
            <w:tcW w:w="3107" w:type="dxa"/>
            <w:vAlign w:val="bottom"/>
          </w:tcPr>
          <w:p w14:paraId="6DE03BA9" w14:textId="77777777" w:rsidR="00CE4C07" w:rsidRPr="00C454B8" w:rsidRDefault="00CE4C07" w:rsidP="0056132D">
            <w:pPr>
              <w:pStyle w:val="a3"/>
              <w:tabs>
                <w:tab w:val="left" w:pos="227"/>
                <w:tab w:val="left" w:pos="397"/>
                <w:tab w:val="left" w:pos="567"/>
              </w:tabs>
              <w:ind w:left="227" w:hanging="170"/>
              <w:rPr>
                <w:sz w:val="22"/>
                <w:rtl/>
              </w:rPr>
            </w:pPr>
            <w:r>
              <w:rPr>
                <w:rFonts w:hint="cs"/>
                <w:sz w:val="22"/>
                <w:rtl/>
              </w:rPr>
              <w:t>בעלי מניות החברה</w:t>
            </w:r>
          </w:p>
        </w:tc>
        <w:tc>
          <w:tcPr>
            <w:tcW w:w="126" w:type="dxa"/>
            <w:vAlign w:val="bottom"/>
          </w:tcPr>
          <w:p w14:paraId="4E5DC3B8"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7E2A5776" w14:textId="77777777" w:rsidR="00CE4C07" w:rsidRPr="0074065E" w:rsidRDefault="00CE4C07" w:rsidP="0056132D">
            <w:pPr>
              <w:spacing w:line="240" w:lineRule="exact"/>
              <w:rPr>
                <w:rtl/>
              </w:rPr>
            </w:pPr>
          </w:p>
        </w:tc>
        <w:tc>
          <w:tcPr>
            <w:tcW w:w="141" w:type="dxa"/>
            <w:vAlign w:val="bottom"/>
          </w:tcPr>
          <w:p w14:paraId="396A401B"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3C2A1790" w14:textId="77777777" w:rsidR="00CE4C07" w:rsidRPr="0074065E" w:rsidRDefault="00CE4C07" w:rsidP="0056132D">
            <w:pPr>
              <w:tabs>
                <w:tab w:val="decimal" w:pos="113"/>
              </w:tabs>
              <w:spacing w:line="240" w:lineRule="exact"/>
              <w:rPr>
                <w:rtl/>
              </w:rPr>
            </w:pPr>
          </w:p>
        </w:tc>
        <w:tc>
          <w:tcPr>
            <w:tcW w:w="142" w:type="dxa"/>
            <w:vAlign w:val="bottom"/>
          </w:tcPr>
          <w:p w14:paraId="35D6BB4A"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09DBE6C5" w14:textId="77777777" w:rsidR="00CE4C07" w:rsidRPr="0074065E" w:rsidRDefault="00CE4C07" w:rsidP="0056132D">
            <w:pPr>
              <w:tabs>
                <w:tab w:val="decimal" w:pos="113"/>
              </w:tabs>
              <w:spacing w:line="240" w:lineRule="exact"/>
              <w:rPr>
                <w:rtl/>
              </w:rPr>
            </w:pPr>
          </w:p>
        </w:tc>
      </w:tr>
      <w:tr w:rsidR="00CE4C07" w:rsidRPr="0074065E" w14:paraId="5F850482" w14:textId="77777777" w:rsidTr="0056132D">
        <w:trPr>
          <w:gridAfter w:val="1"/>
          <w:wAfter w:w="20" w:type="dxa"/>
        </w:trPr>
        <w:tc>
          <w:tcPr>
            <w:tcW w:w="3107" w:type="dxa"/>
            <w:vAlign w:val="bottom"/>
          </w:tcPr>
          <w:p w14:paraId="6D84ABD9" w14:textId="77777777" w:rsidR="00CE4C07" w:rsidRPr="00C454B8" w:rsidRDefault="00CE4C07" w:rsidP="0056132D">
            <w:pPr>
              <w:pStyle w:val="a3"/>
              <w:tabs>
                <w:tab w:val="left" w:pos="227"/>
                <w:tab w:val="left" w:pos="397"/>
                <w:tab w:val="left" w:pos="567"/>
              </w:tabs>
              <w:ind w:left="227" w:hanging="170"/>
              <w:rPr>
                <w:sz w:val="22"/>
                <w:rtl/>
              </w:rPr>
            </w:pPr>
            <w:r>
              <w:rPr>
                <w:rFonts w:hint="cs"/>
                <w:sz w:val="22"/>
                <w:rtl/>
              </w:rPr>
              <w:t>זכויות שאינן מקנות שליטה</w:t>
            </w:r>
          </w:p>
        </w:tc>
        <w:tc>
          <w:tcPr>
            <w:tcW w:w="126" w:type="dxa"/>
            <w:vAlign w:val="bottom"/>
          </w:tcPr>
          <w:p w14:paraId="15C19547"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3E887892" w14:textId="77777777" w:rsidR="00CE4C07" w:rsidRPr="0074065E" w:rsidRDefault="00CE4C07" w:rsidP="0056132D">
            <w:pPr>
              <w:spacing w:line="240" w:lineRule="exact"/>
              <w:rPr>
                <w:rtl/>
              </w:rPr>
            </w:pPr>
          </w:p>
        </w:tc>
        <w:tc>
          <w:tcPr>
            <w:tcW w:w="141" w:type="dxa"/>
            <w:vAlign w:val="bottom"/>
          </w:tcPr>
          <w:p w14:paraId="14864039"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7D5A939C" w14:textId="77777777" w:rsidR="00CE4C07" w:rsidRPr="0074065E" w:rsidRDefault="00CE4C07" w:rsidP="0056132D">
            <w:pPr>
              <w:tabs>
                <w:tab w:val="decimal" w:pos="113"/>
              </w:tabs>
              <w:spacing w:line="240" w:lineRule="exact"/>
              <w:rPr>
                <w:rtl/>
              </w:rPr>
            </w:pPr>
          </w:p>
        </w:tc>
        <w:tc>
          <w:tcPr>
            <w:tcW w:w="142" w:type="dxa"/>
            <w:vAlign w:val="bottom"/>
          </w:tcPr>
          <w:p w14:paraId="16DDBDC3"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53C59F81" w14:textId="77777777" w:rsidR="00CE4C07" w:rsidRPr="0074065E" w:rsidRDefault="00CE4C07" w:rsidP="0056132D">
            <w:pPr>
              <w:tabs>
                <w:tab w:val="decimal" w:pos="113"/>
              </w:tabs>
              <w:spacing w:line="240" w:lineRule="exact"/>
              <w:rPr>
                <w:rtl/>
              </w:rPr>
            </w:pPr>
          </w:p>
        </w:tc>
      </w:tr>
      <w:tr w:rsidR="00CE4C07" w:rsidRPr="0074065E" w14:paraId="6D2D1D74" w14:textId="77777777" w:rsidTr="0056132D">
        <w:trPr>
          <w:gridAfter w:val="1"/>
          <w:wAfter w:w="20" w:type="dxa"/>
        </w:trPr>
        <w:tc>
          <w:tcPr>
            <w:tcW w:w="3107" w:type="dxa"/>
            <w:vAlign w:val="bottom"/>
          </w:tcPr>
          <w:p w14:paraId="0D0AD79B" w14:textId="77777777" w:rsidR="00CE4C07" w:rsidRPr="00C454B8" w:rsidRDefault="00CE4C07" w:rsidP="0056132D">
            <w:pPr>
              <w:pStyle w:val="a3"/>
              <w:tabs>
                <w:tab w:val="left" w:pos="227"/>
                <w:tab w:val="left" w:pos="397"/>
                <w:tab w:val="left" w:pos="567"/>
              </w:tabs>
              <w:ind w:left="227" w:hanging="170"/>
              <w:rPr>
                <w:sz w:val="22"/>
                <w:rtl/>
              </w:rPr>
            </w:pPr>
          </w:p>
        </w:tc>
        <w:tc>
          <w:tcPr>
            <w:tcW w:w="126" w:type="dxa"/>
            <w:vAlign w:val="bottom"/>
          </w:tcPr>
          <w:p w14:paraId="73FE09C1" w14:textId="77777777" w:rsidR="00CE4C07" w:rsidRPr="0074065E" w:rsidRDefault="00CE4C07" w:rsidP="0056132D">
            <w:pPr>
              <w:spacing w:line="240" w:lineRule="exact"/>
              <w:rPr>
                <w:rtl/>
              </w:rPr>
            </w:pPr>
          </w:p>
        </w:tc>
        <w:tc>
          <w:tcPr>
            <w:tcW w:w="1196" w:type="dxa"/>
            <w:tcBorders>
              <w:top w:val="double" w:sz="4" w:space="0" w:color="auto"/>
            </w:tcBorders>
            <w:vAlign w:val="bottom"/>
          </w:tcPr>
          <w:p w14:paraId="73C93702" w14:textId="77777777" w:rsidR="00CE4C07" w:rsidRPr="0074065E" w:rsidRDefault="00CE4C07" w:rsidP="0056132D">
            <w:pPr>
              <w:spacing w:line="240" w:lineRule="exact"/>
              <w:rPr>
                <w:rtl/>
              </w:rPr>
            </w:pPr>
          </w:p>
        </w:tc>
        <w:tc>
          <w:tcPr>
            <w:tcW w:w="141" w:type="dxa"/>
            <w:vAlign w:val="bottom"/>
          </w:tcPr>
          <w:p w14:paraId="09503859" w14:textId="77777777" w:rsidR="00CE4C07" w:rsidRPr="0074065E" w:rsidRDefault="00CE4C07" w:rsidP="0056132D">
            <w:pPr>
              <w:spacing w:line="240" w:lineRule="exact"/>
              <w:rPr>
                <w:rtl/>
              </w:rPr>
            </w:pPr>
          </w:p>
        </w:tc>
        <w:tc>
          <w:tcPr>
            <w:tcW w:w="1276" w:type="dxa"/>
            <w:tcBorders>
              <w:top w:val="double" w:sz="4" w:space="0" w:color="auto"/>
            </w:tcBorders>
            <w:vAlign w:val="bottom"/>
          </w:tcPr>
          <w:p w14:paraId="658E621B" w14:textId="77777777" w:rsidR="00CE4C07" w:rsidRPr="0074065E" w:rsidRDefault="00CE4C07" w:rsidP="0056132D">
            <w:pPr>
              <w:tabs>
                <w:tab w:val="decimal" w:pos="113"/>
              </w:tabs>
              <w:spacing w:line="240" w:lineRule="exact"/>
              <w:rPr>
                <w:rtl/>
              </w:rPr>
            </w:pPr>
          </w:p>
        </w:tc>
        <w:tc>
          <w:tcPr>
            <w:tcW w:w="142" w:type="dxa"/>
            <w:vAlign w:val="bottom"/>
          </w:tcPr>
          <w:p w14:paraId="2256935B" w14:textId="77777777" w:rsidR="00CE4C07" w:rsidRPr="0074065E" w:rsidRDefault="00CE4C07" w:rsidP="0056132D">
            <w:pPr>
              <w:tabs>
                <w:tab w:val="decimal" w:pos="113"/>
              </w:tabs>
              <w:spacing w:line="240" w:lineRule="exact"/>
              <w:rPr>
                <w:rtl/>
              </w:rPr>
            </w:pPr>
          </w:p>
        </w:tc>
        <w:tc>
          <w:tcPr>
            <w:tcW w:w="1397" w:type="dxa"/>
            <w:tcBorders>
              <w:top w:val="double" w:sz="4" w:space="0" w:color="auto"/>
            </w:tcBorders>
            <w:vAlign w:val="bottom"/>
          </w:tcPr>
          <w:p w14:paraId="6E5FD2F6" w14:textId="77777777" w:rsidR="00CE4C07" w:rsidRPr="0074065E" w:rsidRDefault="00CE4C07" w:rsidP="0056132D">
            <w:pPr>
              <w:tabs>
                <w:tab w:val="decimal" w:pos="113"/>
              </w:tabs>
              <w:spacing w:line="240" w:lineRule="exact"/>
              <w:rPr>
                <w:rtl/>
              </w:rPr>
            </w:pPr>
          </w:p>
        </w:tc>
      </w:tr>
      <w:tr w:rsidR="00CE4C07" w:rsidRPr="0074065E" w14:paraId="11AC4C02" w14:textId="77777777" w:rsidTr="0056132D">
        <w:trPr>
          <w:gridAfter w:val="1"/>
          <w:wAfter w:w="20" w:type="dxa"/>
        </w:trPr>
        <w:tc>
          <w:tcPr>
            <w:tcW w:w="3107" w:type="dxa"/>
            <w:vAlign w:val="bottom"/>
          </w:tcPr>
          <w:p w14:paraId="76CFCF2B" w14:textId="77777777" w:rsidR="00CE4C07" w:rsidRPr="00C454B8" w:rsidRDefault="00CE4C07" w:rsidP="0056132D">
            <w:pPr>
              <w:pStyle w:val="a3"/>
              <w:tabs>
                <w:tab w:val="left" w:pos="227"/>
                <w:tab w:val="left" w:pos="397"/>
                <w:tab w:val="left" w:pos="567"/>
              </w:tabs>
              <w:ind w:left="227" w:hanging="170"/>
              <w:rPr>
                <w:sz w:val="22"/>
                <w:u w:val="single"/>
                <w:rtl/>
              </w:rPr>
            </w:pPr>
            <w:r w:rsidRPr="00C454B8">
              <w:rPr>
                <w:sz w:val="22"/>
                <w:rtl/>
              </w:rPr>
              <w:t xml:space="preserve">רווח נקי (הפסד) בסיסי </w:t>
            </w:r>
            <w:r w:rsidRPr="00C454B8">
              <w:rPr>
                <w:rFonts w:hint="eastAsia"/>
                <w:sz w:val="22"/>
                <w:rtl/>
              </w:rPr>
              <w:t>למניה</w:t>
            </w:r>
            <w:r w:rsidRPr="00C454B8">
              <w:rPr>
                <w:sz w:val="22"/>
                <w:rtl/>
              </w:rPr>
              <w:t xml:space="preserve"> (בש"ח)</w:t>
            </w:r>
          </w:p>
        </w:tc>
        <w:tc>
          <w:tcPr>
            <w:tcW w:w="126" w:type="dxa"/>
            <w:vAlign w:val="bottom"/>
          </w:tcPr>
          <w:p w14:paraId="1D4B9158" w14:textId="77777777" w:rsidR="00CE4C07" w:rsidRPr="0074065E" w:rsidRDefault="00CE4C07" w:rsidP="0056132D">
            <w:pPr>
              <w:spacing w:line="240" w:lineRule="exact"/>
              <w:rPr>
                <w:rtl/>
              </w:rPr>
            </w:pPr>
          </w:p>
        </w:tc>
        <w:tc>
          <w:tcPr>
            <w:tcW w:w="1196" w:type="dxa"/>
            <w:tcBorders>
              <w:bottom w:val="double" w:sz="4" w:space="0" w:color="auto"/>
            </w:tcBorders>
            <w:vAlign w:val="bottom"/>
          </w:tcPr>
          <w:p w14:paraId="7713A605" w14:textId="77777777" w:rsidR="00CE4C07" w:rsidRPr="0074065E" w:rsidRDefault="00CE4C07" w:rsidP="0056132D">
            <w:pPr>
              <w:spacing w:line="240" w:lineRule="exact"/>
              <w:rPr>
                <w:rtl/>
              </w:rPr>
            </w:pPr>
          </w:p>
        </w:tc>
        <w:tc>
          <w:tcPr>
            <w:tcW w:w="141" w:type="dxa"/>
            <w:vAlign w:val="bottom"/>
          </w:tcPr>
          <w:p w14:paraId="47D511D7" w14:textId="77777777" w:rsidR="00CE4C07" w:rsidRPr="0074065E" w:rsidRDefault="00CE4C07" w:rsidP="0056132D">
            <w:pPr>
              <w:spacing w:line="240" w:lineRule="exact"/>
              <w:rPr>
                <w:rtl/>
              </w:rPr>
            </w:pPr>
          </w:p>
        </w:tc>
        <w:tc>
          <w:tcPr>
            <w:tcW w:w="1276" w:type="dxa"/>
            <w:tcBorders>
              <w:bottom w:val="double" w:sz="4" w:space="0" w:color="auto"/>
            </w:tcBorders>
            <w:vAlign w:val="bottom"/>
          </w:tcPr>
          <w:p w14:paraId="541A410B" w14:textId="77777777" w:rsidR="00CE4C07" w:rsidRPr="0074065E" w:rsidRDefault="00CE4C07" w:rsidP="0056132D">
            <w:pPr>
              <w:tabs>
                <w:tab w:val="decimal" w:pos="113"/>
              </w:tabs>
              <w:spacing w:line="240" w:lineRule="exact"/>
              <w:rPr>
                <w:rtl/>
              </w:rPr>
            </w:pPr>
          </w:p>
        </w:tc>
        <w:tc>
          <w:tcPr>
            <w:tcW w:w="142" w:type="dxa"/>
            <w:vAlign w:val="bottom"/>
          </w:tcPr>
          <w:p w14:paraId="0E3E17F8" w14:textId="77777777" w:rsidR="00CE4C07" w:rsidRPr="0074065E" w:rsidRDefault="00CE4C07" w:rsidP="0056132D">
            <w:pPr>
              <w:tabs>
                <w:tab w:val="decimal" w:pos="113"/>
              </w:tabs>
              <w:spacing w:line="240" w:lineRule="exact"/>
              <w:rPr>
                <w:rtl/>
              </w:rPr>
            </w:pPr>
          </w:p>
        </w:tc>
        <w:tc>
          <w:tcPr>
            <w:tcW w:w="1397" w:type="dxa"/>
            <w:tcBorders>
              <w:bottom w:val="double" w:sz="4" w:space="0" w:color="auto"/>
            </w:tcBorders>
            <w:vAlign w:val="bottom"/>
          </w:tcPr>
          <w:p w14:paraId="7F2A37D1" w14:textId="77777777" w:rsidR="00CE4C07" w:rsidRPr="0074065E" w:rsidRDefault="00CE4C07" w:rsidP="0056132D">
            <w:pPr>
              <w:tabs>
                <w:tab w:val="decimal" w:pos="113"/>
              </w:tabs>
              <w:spacing w:line="240" w:lineRule="exact"/>
              <w:rPr>
                <w:rtl/>
              </w:rPr>
            </w:pPr>
          </w:p>
        </w:tc>
      </w:tr>
      <w:tr w:rsidR="00CE4C07" w:rsidRPr="0074065E" w14:paraId="4E82A736" w14:textId="77777777" w:rsidTr="0056132D">
        <w:trPr>
          <w:gridAfter w:val="1"/>
          <w:wAfter w:w="20" w:type="dxa"/>
        </w:trPr>
        <w:tc>
          <w:tcPr>
            <w:tcW w:w="3107" w:type="dxa"/>
            <w:vAlign w:val="bottom"/>
          </w:tcPr>
          <w:p w14:paraId="19EC9E9A" w14:textId="77777777" w:rsidR="00CE4C07" w:rsidRPr="00C454B8" w:rsidRDefault="00CE4C07" w:rsidP="0056132D">
            <w:pPr>
              <w:pStyle w:val="a3"/>
              <w:tabs>
                <w:tab w:val="left" w:pos="227"/>
                <w:tab w:val="left" w:pos="397"/>
                <w:tab w:val="left" w:pos="567"/>
              </w:tabs>
              <w:ind w:left="227" w:hanging="170"/>
              <w:rPr>
                <w:sz w:val="22"/>
                <w:u w:val="single"/>
                <w:rtl/>
              </w:rPr>
            </w:pPr>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p>
        </w:tc>
        <w:tc>
          <w:tcPr>
            <w:tcW w:w="126" w:type="dxa"/>
            <w:vAlign w:val="bottom"/>
          </w:tcPr>
          <w:p w14:paraId="258D446D" w14:textId="77777777" w:rsidR="00CE4C07" w:rsidRPr="0074065E" w:rsidRDefault="00CE4C07" w:rsidP="0056132D">
            <w:pPr>
              <w:spacing w:line="240" w:lineRule="exact"/>
              <w:rPr>
                <w:rtl/>
              </w:rPr>
            </w:pPr>
          </w:p>
        </w:tc>
        <w:tc>
          <w:tcPr>
            <w:tcW w:w="1196" w:type="dxa"/>
            <w:tcBorders>
              <w:top w:val="double" w:sz="4" w:space="0" w:color="auto"/>
              <w:bottom w:val="double" w:sz="4" w:space="0" w:color="auto"/>
            </w:tcBorders>
            <w:vAlign w:val="bottom"/>
          </w:tcPr>
          <w:p w14:paraId="3786D234" w14:textId="77777777" w:rsidR="00CE4C07" w:rsidRPr="0074065E" w:rsidRDefault="00CE4C07" w:rsidP="0056132D">
            <w:pPr>
              <w:spacing w:line="240" w:lineRule="exact"/>
              <w:rPr>
                <w:rtl/>
              </w:rPr>
            </w:pPr>
          </w:p>
        </w:tc>
        <w:tc>
          <w:tcPr>
            <w:tcW w:w="141" w:type="dxa"/>
            <w:vAlign w:val="bottom"/>
          </w:tcPr>
          <w:p w14:paraId="4A3AEF1B" w14:textId="77777777" w:rsidR="00CE4C07" w:rsidRPr="0074065E" w:rsidRDefault="00CE4C07" w:rsidP="0056132D">
            <w:pPr>
              <w:spacing w:line="240" w:lineRule="exact"/>
              <w:rPr>
                <w:rtl/>
              </w:rPr>
            </w:pPr>
          </w:p>
        </w:tc>
        <w:tc>
          <w:tcPr>
            <w:tcW w:w="1276" w:type="dxa"/>
            <w:tcBorders>
              <w:top w:val="double" w:sz="4" w:space="0" w:color="auto"/>
              <w:bottom w:val="double" w:sz="4" w:space="0" w:color="auto"/>
            </w:tcBorders>
            <w:vAlign w:val="bottom"/>
          </w:tcPr>
          <w:p w14:paraId="51F3ACF5" w14:textId="77777777" w:rsidR="00CE4C07" w:rsidRPr="0074065E" w:rsidRDefault="00CE4C07" w:rsidP="0056132D">
            <w:pPr>
              <w:tabs>
                <w:tab w:val="decimal" w:pos="113"/>
              </w:tabs>
              <w:spacing w:line="240" w:lineRule="exact"/>
              <w:rPr>
                <w:rtl/>
              </w:rPr>
            </w:pPr>
          </w:p>
        </w:tc>
        <w:tc>
          <w:tcPr>
            <w:tcW w:w="142" w:type="dxa"/>
            <w:vAlign w:val="bottom"/>
          </w:tcPr>
          <w:p w14:paraId="0C3F1E28" w14:textId="77777777" w:rsidR="00CE4C07" w:rsidRPr="0074065E" w:rsidRDefault="00CE4C07" w:rsidP="0056132D">
            <w:pPr>
              <w:tabs>
                <w:tab w:val="decimal" w:pos="113"/>
              </w:tabs>
              <w:spacing w:line="240" w:lineRule="exact"/>
              <w:rPr>
                <w:rtl/>
              </w:rPr>
            </w:pPr>
          </w:p>
        </w:tc>
        <w:tc>
          <w:tcPr>
            <w:tcW w:w="1397" w:type="dxa"/>
            <w:tcBorders>
              <w:top w:val="double" w:sz="4" w:space="0" w:color="auto"/>
              <w:bottom w:val="double" w:sz="4" w:space="0" w:color="auto"/>
            </w:tcBorders>
            <w:vAlign w:val="bottom"/>
          </w:tcPr>
          <w:p w14:paraId="6C748E44" w14:textId="77777777" w:rsidR="00CE4C07" w:rsidRPr="0074065E" w:rsidRDefault="00CE4C07" w:rsidP="0056132D">
            <w:pPr>
              <w:tabs>
                <w:tab w:val="decimal" w:pos="113"/>
              </w:tabs>
              <w:spacing w:line="240" w:lineRule="exact"/>
              <w:rPr>
                <w:rtl/>
              </w:rPr>
            </w:pPr>
          </w:p>
        </w:tc>
      </w:tr>
    </w:tbl>
    <w:p w14:paraId="05559AA9" w14:textId="77777777" w:rsidR="00CE4C07" w:rsidRDefault="00CE4C07" w:rsidP="00CE4C07">
      <w:pPr>
        <w:pStyle w:val="21"/>
        <w:ind w:left="567"/>
        <w:rPr>
          <w:rtl/>
        </w:rPr>
      </w:pPr>
    </w:p>
    <w:p w14:paraId="401B0948" w14:textId="77777777" w:rsidR="00CE4C07" w:rsidRDefault="00CE4C07" w:rsidP="00CE4C07">
      <w:pPr>
        <w:pStyle w:val="21"/>
        <w:ind w:left="567"/>
        <w:rPr>
          <w:rtl/>
        </w:rPr>
      </w:pPr>
    </w:p>
    <w:p w14:paraId="11B9E5AD" w14:textId="00831DA1" w:rsidR="0056132D" w:rsidRDefault="0056132D" w:rsidP="0056132D">
      <w:pPr>
        <w:ind w:left="1842"/>
        <w:rPr>
          <w:rFonts w:ascii="Narkisim" w:hAnsi="Narkisim"/>
          <w:rtl/>
        </w:rPr>
      </w:pPr>
      <w:r>
        <w:rPr>
          <w:rFonts w:ascii="Narkisim" w:hAnsi="Narkisim" w:hint="cs"/>
          <w:rtl/>
        </w:rPr>
        <w:t>להלן השפעות יישום שינוי המדיניות החשבונאית על הדוחות הכספיים של החברה לתקופה הנוכחית:</w:t>
      </w:r>
    </w:p>
    <w:p w14:paraId="5FDD2B30" w14:textId="77777777" w:rsidR="0056132D" w:rsidRDefault="0056132D" w:rsidP="00CE4C07">
      <w:pPr>
        <w:tabs>
          <w:tab w:val="left" w:pos="1134"/>
          <w:tab w:val="left" w:pos="1701"/>
        </w:tabs>
        <w:ind w:left="1701"/>
        <w:rPr>
          <w:rFonts w:ascii="Narkisim" w:hAnsi="Narkisim"/>
          <w:rtl/>
        </w:rPr>
      </w:pPr>
    </w:p>
    <w:p w14:paraId="42DDC540" w14:textId="77777777" w:rsidR="0056132D" w:rsidRDefault="0056132D" w:rsidP="0056132D">
      <w:pPr>
        <w:pStyle w:val="afffffa"/>
        <w:ind w:left="2268" w:hanging="426"/>
        <w:rPr>
          <w:rtl/>
        </w:rPr>
      </w:pPr>
      <w:r w:rsidRPr="004268CD">
        <w:rPr>
          <w:u w:val="single"/>
          <w:rtl/>
        </w:rPr>
        <w:t>ב</w:t>
      </w:r>
      <w:r w:rsidRPr="004268CD">
        <w:rPr>
          <w:rFonts w:hint="cs"/>
          <w:u w:val="single"/>
          <w:rtl/>
        </w:rPr>
        <w:t>דוחות המאוחדים על המצב הכספי</w:t>
      </w:r>
      <w:r>
        <w:rPr>
          <w:rStyle w:val="ab"/>
          <w:u w:val="single"/>
          <w:rtl/>
        </w:rPr>
        <w:footnoteReference w:id="86"/>
      </w:r>
    </w:p>
    <w:p w14:paraId="50E4FEF1" w14:textId="77777777" w:rsidR="0056132D" w:rsidRDefault="0056132D" w:rsidP="0056132D">
      <w:pPr>
        <w:ind w:left="1701"/>
        <w:rPr>
          <w:rFonts w:ascii="Narkisim" w:hAnsi="Narkisim"/>
          <w:rtl/>
        </w:rPr>
      </w:pPr>
    </w:p>
    <w:tbl>
      <w:tblPr>
        <w:bidiVisual/>
        <w:tblW w:w="7209" w:type="dxa"/>
        <w:tblInd w:w="2286" w:type="dxa"/>
        <w:tblLayout w:type="fixed"/>
        <w:tblCellMar>
          <w:left w:w="0" w:type="dxa"/>
          <w:right w:w="0" w:type="dxa"/>
        </w:tblCellMar>
        <w:tblLook w:val="0000" w:firstRow="0" w:lastRow="0" w:firstColumn="0" w:lastColumn="0" w:noHBand="0" w:noVBand="0"/>
      </w:tblPr>
      <w:tblGrid>
        <w:gridCol w:w="3100"/>
        <w:gridCol w:w="142"/>
        <w:gridCol w:w="1132"/>
        <w:gridCol w:w="141"/>
        <w:gridCol w:w="1276"/>
        <w:gridCol w:w="142"/>
        <w:gridCol w:w="1276"/>
      </w:tblGrid>
      <w:tr w:rsidR="0056132D" w:rsidRPr="00C454B8" w14:paraId="53FC0C49" w14:textId="77777777" w:rsidTr="0056132D">
        <w:tc>
          <w:tcPr>
            <w:tcW w:w="3100" w:type="dxa"/>
            <w:vAlign w:val="bottom"/>
          </w:tcPr>
          <w:p w14:paraId="7C154375" w14:textId="77777777" w:rsidR="0056132D" w:rsidRPr="00C454B8" w:rsidRDefault="0056132D" w:rsidP="0056132D">
            <w:pPr>
              <w:pStyle w:val="a3"/>
              <w:tabs>
                <w:tab w:val="left" w:pos="227"/>
                <w:tab w:val="left" w:pos="397"/>
                <w:tab w:val="left" w:pos="567"/>
              </w:tabs>
              <w:rPr>
                <w:sz w:val="22"/>
                <w:rtl/>
              </w:rPr>
            </w:pPr>
          </w:p>
        </w:tc>
        <w:tc>
          <w:tcPr>
            <w:tcW w:w="142" w:type="dxa"/>
            <w:vAlign w:val="bottom"/>
          </w:tcPr>
          <w:p w14:paraId="56C9CC86" w14:textId="77777777" w:rsidR="0056132D" w:rsidRPr="0074065E" w:rsidRDefault="0056132D" w:rsidP="0056132D">
            <w:pPr>
              <w:spacing w:line="240" w:lineRule="exact"/>
              <w:jc w:val="center"/>
              <w:rPr>
                <w:rtl/>
              </w:rPr>
            </w:pPr>
          </w:p>
        </w:tc>
        <w:tc>
          <w:tcPr>
            <w:tcW w:w="1132" w:type="dxa"/>
            <w:tcBorders>
              <w:bottom w:val="single" w:sz="6" w:space="0" w:color="auto"/>
            </w:tcBorders>
            <w:shd w:val="clear" w:color="auto" w:fill="auto"/>
            <w:vAlign w:val="bottom"/>
          </w:tcPr>
          <w:p w14:paraId="16B8159C" w14:textId="77777777" w:rsidR="0056132D" w:rsidRPr="0074065E" w:rsidRDefault="0056132D" w:rsidP="0056132D">
            <w:pPr>
              <w:spacing w:line="240" w:lineRule="exact"/>
              <w:jc w:val="center"/>
              <w:rPr>
                <w:rtl/>
              </w:rPr>
            </w:pPr>
            <w:r>
              <w:rPr>
                <w:rFonts w:hint="cs"/>
                <w:rtl/>
              </w:rPr>
              <w:t xml:space="preserve"> כפי שדווח בעבר</w:t>
            </w:r>
          </w:p>
        </w:tc>
        <w:tc>
          <w:tcPr>
            <w:tcW w:w="141" w:type="dxa"/>
            <w:vAlign w:val="bottom"/>
          </w:tcPr>
          <w:p w14:paraId="2F21CED9" w14:textId="77777777" w:rsidR="0056132D" w:rsidRPr="0074065E" w:rsidRDefault="0056132D" w:rsidP="0056132D">
            <w:pPr>
              <w:spacing w:line="240" w:lineRule="exact"/>
              <w:jc w:val="center"/>
              <w:rPr>
                <w:rtl/>
              </w:rPr>
            </w:pPr>
          </w:p>
        </w:tc>
        <w:tc>
          <w:tcPr>
            <w:tcW w:w="1276" w:type="dxa"/>
            <w:tcBorders>
              <w:bottom w:val="single" w:sz="6" w:space="0" w:color="auto"/>
            </w:tcBorders>
            <w:vAlign w:val="bottom"/>
          </w:tcPr>
          <w:p w14:paraId="3F09381E" w14:textId="77777777" w:rsidR="0056132D" w:rsidRPr="0074065E" w:rsidRDefault="0056132D" w:rsidP="0056132D">
            <w:pPr>
              <w:spacing w:line="240" w:lineRule="exact"/>
              <w:jc w:val="center"/>
              <w:rPr>
                <w:rtl/>
              </w:rPr>
            </w:pPr>
            <w:r>
              <w:rPr>
                <w:rFonts w:hint="cs"/>
                <w:rtl/>
              </w:rPr>
              <w:t xml:space="preserve">השינוי </w:t>
            </w:r>
          </w:p>
        </w:tc>
        <w:tc>
          <w:tcPr>
            <w:tcW w:w="142" w:type="dxa"/>
            <w:vAlign w:val="bottom"/>
          </w:tcPr>
          <w:p w14:paraId="5FBAB635" w14:textId="77777777" w:rsidR="0056132D" w:rsidRPr="0074065E" w:rsidRDefault="0056132D" w:rsidP="0056132D">
            <w:pPr>
              <w:spacing w:line="240" w:lineRule="exact"/>
              <w:jc w:val="center"/>
              <w:rPr>
                <w:rtl/>
              </w:rPr>
            </w:pPr>
          </w:p>
        </w:tc>
        <w:tc>
          <w:tcPr>
            <w:tcW w:w="1276" w:type="dxa"/>
            <w:tcBorders>
              <w:bottom w:val="single" w:sz="6" w:space="0" w:color="auto"/>
            </w:tcBorders>
            <w:vAlign w:val="bottom"/>
          </w:tcPr>
          <w:p w14:paraId="18ECEAE5" w14:textId="77777777" w:rsidR="0056132D" w:rsidRPr="0074065E" w:rsidRDefault="0056132D" w:rsidP="0056132D">
            <w:pPr>
              <w:spacing w:line="240" w:lineRule="exact"/>
              <w:jc w:val="center"/>
              <w:rPr>
                <w:rtl/>
              </w:rPr>
            </w:pPr>
            <w:r>
              <w:rPr>
                <w:rFonts w:hint="cs"/>
                <w:rtl/>
              </w:rPr>
              <w:t xml:space="preserve"> כמוצג בדוחות כספיים אלה</w:t>
            </w:r>
          </w:p>
        </w:tc>
      </w:tr>
      <w:tr w:rsidR="0056132D" w:rsidRPr="00C454B8" w14:paraId="3BC3A60E" w14:textId="77777777" w:rsidTr="0056132D">
        <w:tc>
          <w:tcPr>
            <w:tcW w:w="3100" w:type="dxa"/>
            <w:vAlign w:val="bottom"/>
          </w:tcPr>
          <w:p w14:paraId="07703619" w14:textId="77777777" w:rsidR="0056132D" w:rsidRPr="00C454B8" w:rsidRDefault="0056132D" w:rsidP="0056132D">
            <w:pPr>
              <w:pStyle w:val="a3"/>
              <w:tabs>
                <w:tab w:val="left" w:pos="227"/>
                <w:tab w:val="left" w:pos="397"/>
                <w:tab w:val="left" w:pos="567"/>
              </w:tabs>
              <w:rPr>
                <w:sz w:val="22"/>
                <w:rtl/>
              </w:rPr>
            </w:pPr>
          </w:p>
        </w:tc>
        <w:tc>
          <w:tcPr>
            <w:tcW w:w="142" w:type="dxa"/>
            <w:vAlign w:val="bottom"/>
          </w:tcPr>
          <w:p w14:paraId="76D80DEF" w14:textId="77777777" w:rsidR="0056132D" w:rsidRPr="0074065E" w:rsidRDefault="0056132D" w:rsidP="0056132D">
            <w:pPr>
              <w:spacing w:line="240" w:lineRule="exact"/>
              <w:rPr>
                <w:rtl/>
              </w:rPr>
            </w:pPr>
          </w:p>
        </w:tc>
        <w:tc>
          <w:tcPr>
            <w:tcW w:w="3967" w:type="dxa"/>
            <w:gridSpan w:val="5"/>
            <w:tcBorders>
              <w:bottom w:val="single" w:sz="6" w:space="0" w:color="auto"/>
            </w:tcBorders>
            <w:shd w:val="clear" w:color="auto" w:fill="auto"/>
            <w:vAlign w:val="bottom"/>
          </w:tcPr>
          <w:p w14:paraId="599B7425" w14:textId="77777777" w:rsidR="0056132D" w:rsidRPr="0074065E" w:rsidRDefault="0056132D" w:rsidP="0056132D">
            <w:pPr>
              <w:tabs>
                <w:tab w:val="decimal" w:pos="113"/>
              </w:tabs>
              <w:spacing w:line="240" w:lineRule="exact"/>
              <w:jc w:val="center"/>
              <w:rPr>
                <w:rtl/>
              </w:rPr>
            </w:pPr>
            <w:r>
              <w:rPr>
                <w:rFonts w:hint="cs"/>
                <w:rtl/>
              </w:rPr>
              <w:t>אלפי ש"ח</w:t>
            </w:r>
          </w:p>
        </w:tc>
      </w:tr>
      <w:tr w:rsidR="0056132D" w:rsidRPr="00C454B8" w14:paraId="01FD0848" w14:textId="77777777" w:rsidTr="0056132D">
        <w:tc>
          <w:tcPr>
            <w:tcW w:w="3100" w:type="dxa"/>
            <w:vAlign w:val="bottom"/>
          </w:tcPr>
          <w:p w14:paraId="58A461B4" w14:textId="1DCC4933" w:rsidR="0056132D" w:rsidRPr="00C00626" w:rsidRDefault="0056132D" w:rsidP="009676FA">
            <w:pPr>
              <w:pStyle w:val="a3"/>
              <w:tabs>
                <w:tab w:val="left" w:pos="227"/>
                <w:tab w:val="left" w:pos="397"/>
                <w:tab w:val="left" w:pos="567"/>
              </w:tabs>
              <w:rPr>
                <w:sz w:val="22"/>
                <w:rtl/>
              </w:rPr>
            </w:pPr>
            <w:r w:rsidRPr="00C454B8">
              <w:rPr>
                <w:sz w:val="22"/>
                <w:u w:val="single"/>
                <w:rtl/>
              </w:rPr>
              <w:t xml:space="preserve">ליום </w:t>
            </w:r>
            <w:r>
              <w:rPr>
                <w:rFonts w:hint="cs"/>
                <w:sz w:val="22"/>
                <w:u w:val="single"/>
                <w:rtl/>
              </w:rPr>
              <w:t>30</w:t>
            </w:r>
            <w:r w:rsidRPr="00C454B8">
              <w:rPr>
                <w:sz w:val="22"/>
                <w:u w:val="single"/>
                <w:rtl/>
              </w:rPr>
              <w:t xml:space="preserve"> </w:t>
            </w:r>
            <w:r>
              <w:rPr>
                <w:rFonts w:hint="cs"/>
                <w:sz w:val="22"/>
                <w:u w:val="single"/>
                <w:rtl/>
              </w:rPr>
              <w:t>בספטמבר</w:t>
            </w:r>
            <w:r w:rsidRPr="00C454B8">
              <w:rPr>
                <w:sz w:val="22"/>
                <w:u w:val="single"/>
                <w:rtl/>
              </w:rPr>
              <w:t xml:space="preserve">, </w:t>
            </w:r>
            <w:r w:rsidR="009676FA">
              <w:rPr>
                <w:rFonts w:hint="cs"/>
                <w:sz w:val="22"/>
                <w:u w:val="single"/>
                <w:rtl/>
              </w:rPr>
              <w:t>2019</w:t>
            </w:r>
          </w:p>
        </w:tc>
        <w:tc>
          <w:tcPr>
            <w:tcW w:w="142" w:type="dxa"/>
            <w:vAlign w:val="bottom"/>
          </w:tcPr>
          <w:p w14:paraId="35450F42" w14:textId="77777777" w:rsidR="0056132D" w:rsidRPr="0074065E" w:rsidRDefault="0056132D" w:rsidP="0056132D">
            <w:pPr>
              <w:spacing w:line="240" w:lineRule="exact"/>
              <w:rPr>
                <w:rtl/>
              </w:rPr>
            </w:pPr>
          </w:p>
        </w:tc>
        <w:tc>
          <w:tcPr>
            <w:tcW w:w="1132" w:type="dxa"/>
            <w:vAlign w:val="bottom"/>
          </w:tcPr>
          <w:p w14:paraId="356731CA" w14:textId="77777777" w:rsidR="0056132D" w:rsidRPr="0074065E" w:rsidRDefault="0056132D" w:rsidP="0056132D">
            <w:pPr>
              <w:spacing w:line="240" w:lineRule="exact"/>
              <w:rPr>
                <w:rtl/>
              </w:rPr>
            </w:pPr>
          </w:p>
        </w:tc>
        <w:tc>
          <w:tcPr>
            <w:tcW w:w="141" w:type="dxa"/>
            <w:vAlign w:val="bottom"/>
          </w:tcPr>
          <w:p w14:paraId="52EDF1EA" w14:textId="77777777" w:rsidR="0056132D" w:rsidRPr="0074065E" w:rsidRDefault="0056132D" w:rsidP="0056132D">
            <w:pPr>
              <w:spacing w:line="240" w:lineRule="exact"/>
              <w:rPr>
                <w:rtl/>
              </w:rPr>
            </w:pPr>
          </w:p>
        </w:tc>
        <w:tc>
          <w:tcPr>
            <w:tcW w:w="1276" w:type="dxa"/>
            <w:vAlign w:val="bottom"/>
          </w:tcPr>
          <w:p w14:paraId="0D668E8E" w14:textId="77777777" w:rsidR="0056132D" w:rsidRPr="0074065E" w:rsidRDefault="0056132D" w:rsidP="0056132D">
            <w:pPr>
              <w:tabs>
                <w:tab w:val="decimal" w:pos="113"/>
              </w:tabs>
              <w:spacing w:line="240" w:lineRule="exact"/>
              <w:rPr>
                <w:rtl/>
              </w:rPr>
            </w:pPr>
          </w:p>
        </w:tc>
        <w:tc>
          <w:tcPr>
            <w:tcW w:w="142" w:type="dxa"/>
            <w:vAlign w:val="bottom"/>
          </w:tcPr>
          <w:p w14:paraId="32778A52" w14:textId="77777777" w:rsidR="0056132D" w:rsidRPr="0074065E" w:rsidRDefault="0056132D" w:rsidP="0056132D">
            <w:pPr>
              <w:tabs>
                <w:tab w:val="decimal" w:pos="113"/>
              </w:tabs>
              <w:spacing w:line="240" w:lineRule="exact"/>
              <w:rPr>
                <w:rtl/>
              </w:rPr>
            </w:pPr>
          </w:p>
        </w:tc>
        <w:tc>
          <w:tcPr>
            <w:tcW w:w="1276" w:type="dxa"/>
            <w:vAlign w:val="bottom"/>
          </w:tcPr>
          <w:p w14:paraId="2F023020" w14:textId="77777777" w:rsidR="0056132D" w:rsidRPr="0074065E" w:rsidRDefault="0056132D" w:rsidP="0056132D">
            <w:pPr>
              <w:tabs>
                <w:tab w:val="decimal" w:pos="113"/>
              </w:tabs>
              <w:spacing w:line="240" w:lineRule="exact"/>
              <w:rPr>
                <w:rtl/>
              </w:rPr>
            </w:pPr>
          </w:p>
        </w:tc>
      </w:tr>
      <w:tr w:rsidR="0056132D" w:rsidRPr="00C454B8" w14:paraId="2A74EC20" w14:textId="77777777" w:rsidTr="0056132D">
        <w:tc>
          <w:tcPr>
            <w:tcW w:w="3100" w:type="dxa"/>
            <w:vAlign w:val="bottom"/>
          </w:tcPr>
          <w:p w14:paraId="63335EA9" w14:textId="77777777" w:rsidR="0056132D" w:rsidRPr="00C454B8" w:rsidRDefault="0056132D" w:rsidP="0056132D">
            <w:pPr>
              <w:pStyle w:val="a3"/>
              <w:tabs>
                <w:tab w:val="left" w:pos="227"/>
                <w:tab w:val="left" w:pos="397"/>
                <w:tab w:val="left" w:pos="567"/>
              </w:tabs>
              <w:rPr>
                <w:sz w:val="22"/>
                <w:u w:val="single"/>
                <w:rtl/>
              </w:rPr>
            </w:pPr>
          </w:p>
        </w:tc>
        <w:tc>
          <w:tcPr>
            <w:tcW w:w="142" w:type="dxa"/>
            <w:vAlign w:val="bottom"/>
          </w:tcPr>
          <w:p w14:paraId="44C3758E" w14:textId="77777777" w:rsidR="0056132D" w:rsidRPr="0074065E" w:rsidRDefault="0056132D" w:rsidP="0056132D">
            <w:pPr>
              <w:spacing w:line="240" w:lineRule="exact"/>
              <w:rPr>
                <w:rtl/>
              </w:rPr>
            </w:pPr>
          </w:p>
        </w:tc>
        <w:tc>
          <w:tcPr>
            <w:tcW w:w="1132" w:type="dxa"/>
            <w:vAlign w:val="bottom"/>
          </w:tcPr>
          <w:p w14:paraId="1981923E" w14:textId="77777777" w:rsidR="0056132D" w:rsidRPr="0074065E" w:rsidRDefault="0056132D" w:rsidP="0056132D">
            <w:pPr>
              <w:spacing w:line="240" w:lineRule="exact"/>
              <w:rPr>
                <w:rtl/>
              </w:rPr>
            </w:pPr>
          </w:p>
        </w:tc>
        <w:tc>
          <w:tcPr>
            <w:tcW w:w="141" w:type="dxa"/>
            <w:vAlign w:val="bottom"/>
          </w:tcPr>
          <w:p w14:paraId="1AD41D35" w14:textId="77777777" w:rsidR="0056132D" w:rsidRPr="0074065E" w:rsidRDefault="0056132D" w:rsidP="0056132D">
            <w:pPr>
              <w:spacing w:line="240" w:lineRule="exact"/>
              <w:rPr>
                <w:rtl/>
              </w:rPr>
            </w:pPr>
          </w:p>
        </w:tc>
        <w:tc>
          <w:tcPr>
            <w:tcW w:w="1276" w:type="dxa"/>
            <w:vAlign w:val="bottom"/>
          </w:tcPr>
          <w:p w14:paraId="56713512" w14:textId="77777777" w:rsidR="0056132D" w:rsidRPr="0074065E" w:rsidRDefault="0056132D" w:rsidP="0056132D">
            <w:pPr>
              <w:tabs>
                <w:tab w:val="decimal" w:pos="113"/>
              </w:tabs>
              <w:spacing w:line="240" w:lineRule="exact"/>
              <w:rPr>
                <w:rtl/>
              </w:rPr>
            </w:pPr>
          </w:p>
        </w:tc>
        <w:tc>
          <w:tcPr>
            <w:tcW w:w="142" w:type="dxa"/>
            <w:vAlign w:val="bottom"/>
          </w:tcPr>
          <w:p w14:paraId="500DE3EE" w14:textId="77777777" w:rsidR="0056132D" w:rsidRPr="0074065E" w:rsidRDefault="0056132D" w:rsidP="0056132D">
            <w:pPr>
              <w:tabs>
                <w:tab w:val="decimal" w:pos="113"/>
              </w:tabs>
              <w:spacing w:line="240" w:lineRule="exact"/>
              <w:rPr>
                <w:rtl/>
              </w:rPr>
            </w:pPr>
          </w:p>
        </w:tc>
        <w:tc>
          <w:tcPr>
            <w:tcW w:w="1276" w:type="dxa"/>
            <w:vAlign w:val="bottom"/>
          </w:tcPr>
          <w:p w14:paraId="3FEE0CFC" w14:textId="77777777" w:rsidR="0056132D" w:rsidRPr="0074065E" w:rsidRDefault="0056132D" w:rsidP="0056132D">
            <w:pPr>
              <w:tabs>
                <w:tab w:val="decimal" w:pos="113"/>
              </w:tabs>
              <w:spacing w:line="240" w:lineRule="exact"/>
              <w:rPr>
                <w:rtl/>
              </w:rPr>
            </w:pPr>
          </w:p>
        </w:tc>
      </w:tr>
      <w:tr w:rsidR="0056132D" w:rsidRPr="00C454B8" w14:paraId="21164BC5" w14:textId="77777777" w:rsidTr="0056132D">
        <w:tc>
          <w:tcPr>
            <w:tcW w:w="3100" w:type="dxa"/>
            <w:vAlign w:val="bottom"/>
          </w:tcPr>
          <w:p w14:paraId="62935387" w14:textId="77777777" w:rsidR="0056132D" w:rsidRDefault="0056132D" w:rsidP="0056132D">
            <w:pPr>
              <w:pStyle w:val="a3"/>
              <w:tabs>
                <w:tab w:val="left" w:pos="227"/>
                <w:tab w:val="left" w:pos="397"/>
                <w:tab w:val="left" w:pos="567"/>
              </w:tabs>
              <w:rPr>
                <w:sz w:val="22"/>
                <w:rtl/>
              </w:rPr>
            </w:pPr>
            <w:r>
              <w:rPr>
                <w:rFonts w:hint="cs"/>
                <w:sz w:val="22"/>
                <w:rtl/>
              </w:rPr>
              <w:t>מלאי</w:t>
            </w:r>
          </w:p>
        </w:tc>
        <w:tc>
          <w:tcPr>
            <w:tcW w:w="142" w:type="dxa"/>
            <w:vAlign w:val="bottom"/>
          </w:tcPr>
          <w:p w14:paraId="48F83BF5" w14:textId="77777777" w:rsidR="0056132D" w:rsidRPr="0074065E" w:rsidRDefault="0056132D" w:rsidP="0056132D">
            <w:pPr>
              <w:spacing w:line="240" w:lineRule="exact"/>
              <w:rPr>
                <w:rtl/>
              </w:rPr>
            </w:pPr>
          </w:p>
        </w:tc>
        <w:tc>
          <w:tcPr>
            <w:tcW w:w="1132" w:type="dxa"/>
            <w:tcBorders>
              <w:bottom w:val="double" w:sz="4" w:space="0" w:color="auto"/>
            </w:tcBorders>
            <w:vAlign w:val="bottom"/>
          </w:tcPr>
          <w:p w14:paraId="7620FEA4" w14:textId="77777777" w:rsidR="0056132D" w:rsidRPr="0074065E" w:rsidRDefault="0056132D" w:rsidP="0056132D">
            <w:pPr>
              <w:spacing w:line="240" w:lineRule="exact"/>
              <w:rPr>
                <w:rtl/>
              </w:rPr>
            </w:pPr>
          </w:p>
        </w:tc>
        <w:tc>
          <w:tcPr>
            <w:tcW w:w="141" w:type="dxa"/>
            <w:vAlign w:val="bottom"/>
          </w:tcPr>
          <w:p w14:paraId="6AD5D535" w14:textId="77777777" w:rsidR="0056132D" w:rsidRPr="0074065E" w:rsidRDefault="0056132D" w:rsidP="0056132D">
            <w:pPr>
              <w:spacing w:line="240" w:lineRule="exact"/>
              <w:rPr>
                <w:rtl/>
              </w:rPr>
            </w:pPr>
          </w:p>
        </w:tc>
        <w:tc>
          <w:tcPr>
            <w:tcW w:w="1276" w:type="dxa"/>
            <w:tcBorders>
              <w:bottom w:val="double" w:sz="4" w:space="0" w:color="auto"/>
            </w:tcBorders>
            <w:vAlign w:val="bottom"/>
          </w:tcPr>
          <w:p w14:paraId="2861475E" w14:textId="77777777" w:rsidR="0056132D" w:rsidRPr="0074065E" w:rsidRDefault="0056132D" w:rsidP="0056132D">
            <w:pPr>
              <w:tabs>
                <w:tab w:val="decimal" w:pos="113"/>
              </w:tabs>
              <w:spacing w:line="240" w:lineRule="exact"/>
              <w:rPr>
                <w:rtl/>
              </w:rPr>
            </w:pPr>
          </w:p>
        </w:tc>
        <w:tc>
          <w:tcPr>
            <w:tcW w:w="142" w:type="dxa"/>
            <w:vAlign w:val="bottom"/>
          </w:tcPr>
          <w:p w14:paraId="36FBB764" w14:textId="77777777" w:rsidR="0056132D" w:rsidRPr="0074065E" w:rsidRDefault="0056132D" w:rsidP="0056132D">
            <w:pPr>
              <w:tabs>
                <w:tab w:val="decimal" w:pos="113"/>
              </w:tabs>
              <w:spacing w:line="240" w:lineRule="exact"/>
              <w:rPr>
                <w:rtl/>
              </w:rPr>
            </w:pPr>
          </w:p>
        </w:tc>
        <w:tc>
          <w:tcPr>
            <w:tcW w:w="1276" w:type="dxa"/>
            <w:tcBorders>
              <w:bottom w:val="double" w:sz="4" w:space="0" w:color="auto"/>
            </w:tcBorders>
            <w:vAlign w:val="bottom"/>
          </w:tcPr>
          <w:p w14:paraId="71B753C9" w14:textId="77777777" w:rsidR="0056132D" w:rsidRPr="0074065E" w:rsidRDefault="0056132D" w:rsidP="0056132D">
            <w:pPr>
              <w:tabs>
                <w:tab w:val="decimal" w:pos="113"/>
              </w:tabs>
              <w:spacing w:line="240" w:lineRule="exact"/>
              <w:rPr>
                <w:rtl/>
              </w:rPr>
            </w:pPr>
          </w:p>
        </w:tc>
      </w:tr>
      <w:tr w:rsidR="0056132D" w:rsidRPr="00C454B8" w14:paraId="2F08373D" w14:textId="77777777" w:rsidTr="0056132D">
        <w:tc>
          <w:tcPr>
            <w:tcW w:w="3100" w:type="dxa"/>
            <w:vAlign w:val="bottom"/>
          </w:tcPr>
          <w:p w14:paraId="6F6580E2" w14:textId="77777777" w:rsidR="0056132D" w:rsidRDefault="0056132D" w:rsidP="0056132D">
            <w:pPr>
              <w:pStyle w:val="a3"/>
              <w:tabs>
                <w:tab w:val="left" w:pos="227"/>
                <w:tab w:val="left" w:pos="397"/>
                <w:tab w:val="left" w:pos="567"/>
              </w:tabs>
              <w:rPr>
                <w:sz w:val="22"/>
                <w:rtl/>
              </w:rPr>
            </w:pPr>
            <w:r>
              <w:rPr>
                <w:rFonts w:hint="cs"/>
                <w:sz w:val="22"/>
                <w:rtl/>
              </w:rPr>
              <w:t>מסים נדחים</w:t>
            </w:r>
          </w:p>
        </w:tc>
        <w:tc>
          <w:tcPr>
            <w:tcW w:w="142" w:type="dxa"/>
            <w:vAlign w:val="bottom"/>
          </w:tcPr>
          <w:p w14:paraId="240E4069" w14:textId="77777777" w:rsidR="0056132D" w:rsidRPr="0074065E" w:rsidRDefault="0056132D" w:rsidP="0056132D">
            <w:pPr>
              <w:spacing w:line="240" w:lineRule="exact"/>
              <w:rPr>
                <w:rtl/>
              </w:rPr>
            </w:pPr>
          </w:p>
        </w:tc>
        <w:tc>
          <w:tcPr>
            <w:tcW w:w="1132" w:type="dxa"/>
            <w:tcBorders>
              <w:top w:val="double" w:sz="4" w:space="0" w:color="auto"/>
              <w:bottom w:val="double" w:sz="4" w:space="0" w:color="auto"/>
            </w:tcBorders>
            <w:vAlign w:val="bottom"/>
          </w:tcPr>
          <w:p w14:paraId="51C9BB9C" w14:textId="77777777" w:rsidR="0056132D" w:rsidRPr="0074065E" w:rsidRDefault="0056132D" w:rsidP="0056132D">
            <w:pPr>
              <w:spacing w:line="240" w:lineRule="exact"/>
              <w:rPr>
                <w:rtl/>
              </w:rPr>
            </w:pPr>
          </w:p>
        </w:tc>
        <w:tc>
          <w:tcPr>
            <w:tcW w:w="141" w:type="dxa"/>
            <w:vAlign w:val="bottom"/>
          </w:tcPr>
          <w:p w14:paraId="432F23BE" w14:textId="77777777" w:rsidR="0056132D" w:rsidRPr="0074065E" w:rsidRDefault="0056132D" w:rsidP="0056132D">
            <w:pPr>
              <w:spacing w:line="240" w:lineRule="exact"/>
              <w:rPr>
                <w:rtl/>
              </w:rPr>
            </w:pPr>
          </w:p>
        </w:tc>
        <w:tc>
          <w:tcPr>
            <w:tcW w:w="1276" w:type="dxa"/>
            <w:tcBorders>
              <w:top w:val="double" w:sz="4" w:space="0" w:color="auto"/>
              <w:bottom w:val="double" w:sz="4" w:space="0" w:color="auto"/>
            </w:tcBorders>
            <w:vAlign w:val="bottom"/>
          </w:tcPr>
          <w:p w14:paraId="027B0239" w14:textId="77777777" w:rsidR="0056132D" w:rsidRPr="0074065E" w:rsidRDefault="0056132D" w:rsidP="0056132D">
            <w:pPr>
              <w:tabs>
                <w:tab w:val="decimal" w:pos="113"/>
              </w:tabs>
              <w:spacing w:line="240" w:lineRule="exact"/>
              <w:rPr>
                <w:rtl/>
              </w:rPr>
            </w:pPr>
          </w:p>
        </w:tc>
        <w:tc>
          <w:tcPr>
            <w:tcW w:w="142" w:type="dxa"/>
            <w:vAlign w:val="bottom"/>
          </w:tcPr>
          <w:p w14:paraId="44110226" w14:textId="77777777" w:rsidR="0056132D" w:rsidRPr="0074065E" w:rsidRDefault="0056132D" w:rsidP="0056132D">
            <w:pPr>
              <w:tabs>
                <w:tab w:val="decimal" w:pos="113"/>
              </w:tabs>
              <w:spacing w:line="240" w:lineRule="exact"/>
              <w:rPr>
                <w:rtl/>
              </w:rPr>
            </w:pPr>
          </w:p>
        </w:tc>
        <w:tc>
          <w:tcPr>
            <w:tcW w:w="1276" w:type="dxa"/>
            <w:tcBorders>
              <w:top w:val="double" w:sz="4" w:space="0" w:color="auto"/>
              <w:bottom w:val="double" w:sz="4" w:space="0" w:color="auto"/>
            </w:tcBorders>
            <w:vAlign w:val="bottom"/>
          </w:tcPr>
          <w:p w14:paraId="5B8C438C" w14:textId="77777777" w:rsidR="0056132D" w:rsidRPr="0074065E" w:rsidRDefault="0056132D" w:rsidP="0056132D">
            <w:pPr>
              <w:tabs>
                <w:tab w:val="decimal" w:pos="113"/>
              </w:tabs>
              <w:spacing w:line="240" w:lineRule="exact"/>
              <w:rPr>
                <w:rtl/>
              </w:rPr>
            </w:pPr>
          </w:p>
        </w:tc>
      </w:tr>
      <w:tr w:rsidR="0056132D" w:rsidRPr="00C454B8" w14:paraId="6D2A84DD" w14:textId="77777777" w:rsidTr="0056132D">
        <w:tc>
          <w:tcPr>
            <w:tcW w:w="3100" w:type="dxa"/>
            <w:vAlign w:val="bottom"/>
          </w:tcPr>
          <w:p w14:paraId="693BEFC8" w14:textId="77777777" w:rsidR="0056132D" w:rsidRDefault="0056132D" w:rsidP="0056132D">
            <w:pPr>
              <w:pStyle w:val="a3"/>
              <w:tabs>
                <w:tab w:val="left" w:pos="227"/>
                <w:tab w:val="left" w:pos="397"/>
                <w:tab w:val="left" w:pos="567"/>
              </w:tabs>
              <w:rPr>
                <w:sz w:val="22"/>
                <w:rtl/>
              </w:rPr>
            </w:pPr>
            <w:r>
              <w:rPr>
                <w:rFonts w:hint="cs"/>
                <w:sz w:val="22"/>
                <w:rtl/>
              </w:rPr>
              <w:t>יתרת רווח (הפסד)</w:t>
            </w:r>
          </w:p>
        </w:tc>
        <w:tc>
          <w:tcPr>
            <w:tcW w:w="142" w:type="dxa"/>
            <w:vAlign w:val="bottom"/>
          </w:tcPr>
          <w:p w14:paraId="3B6AB694" w14:textId="77777777" w:rsidR="0056132D" w:rsidRPr="0074065E" w:rsidRDefault="0056132D" w:rsidP="0056132D">
            <w:pPr>
              <w:spacing w:line="240" w:lineRule="exact"/>
              <w:rPr>
                <w:rtl/>
              </w:rPr>
            </w:pPr>
          </w:p>
        </w:tc>
        <w:tc>
          <w:tcPr>
            <w:tcW w:w="1132" w:type="dxa"/>
            <w:tcBorders>
              <w:top w:val="double" w:sz="4" w:space="0" w:color="auto"/>
              <w:bottom w:val="double" w:sz="4" w:space="0" w:color="auto"/>
            </w:tcBorders>
            <w:vAlign w:val="bottom"/>
          </w:tcPr>
          <w:p w14:paraId="07EB2D53" w14:textId="77777777" w:rsidR="0056132D" w:rsidRPr="0074065E" w:rsidRDefault="0056132D" w:rsidP="0056132D">
            <w:pPr>
              <w:spacing w:line="240" w:lineRule="exact"/>
              <w:rPr>
                <w:rtl/>
              </w:rPr>
            </w:pPr>
          </w:p>
        </w:tc>
        <w:tc>
          <w:tcPr>
            <w:tcW w:w="141" w:type="dxa"/>
            <w:vAlign w:val="bottom"/>
          </w:tcPr>
          <w:p w14:paraId="64368FA8" w14:textId="77777777" w:rsidR="0056132D" w:rsidRPr="0074065E" w:rsidRDefault="0056132D" w:rsidP="0056132D">
            <w:pPr>
              <w:spacing w:line="240" w:lineRule="exact"/>
              <w:rPr>
                <w:rtl/>
              </w:rPr>
            </w:pPr>
          </w:p>
        </w:tc>
        <w:tc>
          <w:tcPr>
            <w:tcW w:w="1276" w:type="dxa"/>
            <w:tcBorders>
              <w:top w:val="double" w:sz="4" w:space="0" w:color="auto"/>
              <w:bottom w:val="double" w:sz="4" w:space="0" w:color="auto"/>
            </w:tcBorders>
            <w:vAlign w:val="bottom"/>
          </w:tcPr>
          <w:p w14:paraId="1C321D50" w14:textId="77777777" w:rsidR="0056132D" w:rsidRPr="0074065E" w:rsidRDefault="0056132D" w:rsidP="0056132D">
            <w:pPr>
              <w:tabs>
                <w:tab w:val="decimal" w:pos="113"/>
              </w:tabs>
              <w:spacing w:line="240" w:lineRule="exact"/>
              <w:rPr>
                <w:rtl/>
              </w:rPr>
            </w:pPr>
          </w:p>
        </w:tc>
        <w:tc>
          <w:tcPr>
            <w:tcW w:w="142" w:type="dxa"/>
            <w:vAlign w:val="bottom"/>
          </w:tcPr>
          <w:p w14:paraId="499B5483" w14:textId="77777777" w:rsidR="0056132D" w:rsidRPr="0074065E" w:rsidRDefault="0056132D" w:rsidP="0056132D">
            <w:pPr>
              <w:tabs>
                <w:tab w:val="decimal" w:pos="113"/>
              </w:tabs>
              <w:spacing w:line="240" w:lineRule="exact"/>
              <w:rPr>
                <w:rtl/>
              </w:rPr>
            </w:pPr>
          </w:p>
        </w:tc>
        <w:tc>
          <w:tcPr>
            <w:tcW w:w="1276" w:type="dxa"/>
            <w:tcBorders>
              <w:top w:val="double" w:sz="4" w:space="0" w:color="auto"/>
              <w:bottom w:val="double" w:sz="4" w:space="0" w:color="auto"/>
            </w:tcBorders>
            <w:vAlign w:val="bottom"/>
          </w:tcPr>
          <w:p w14:paraId="6706063F" w14:textId="77777777" w:rsidR="0056132D" w:rsidRPr="0074065E" w:rsidRDefault="0056132D" w:rsidP="0056132D">
            <w:pPr>
              <w:tabs>
                <w:tab w:val="decimal" w:pos="113"/>
              </w:tabs>
              <w:spacing w:line="240" w:lineRule="exact"/>
              <w:rPr>
                <w:rtl/>
              </w:rPr>
            </w:pPr>
          </w:p>
        </w:tc>
      </w:tr>
      <w:tr w:rsidR="0056132D" w:rsidRPr="00C454B8" w14:paraId="46A3C6BE" w14:textId="77777777" w:rsidTr="0056132D">
        <w:tc>
          <w:tcPr>
            <w:tcW w:w="3100" w:type="dxa"/>
            <w:vAlign w:val="bottom"/>
          </w:tcPr>
          <w:p w14:paraId="1337F44B" w14:textId="77777777" w:rsidR="0056132D" w:rsidRDefault="0056132D" w:rsidP="0056132D">
            <w:pPr>
              <w:pStyle w:val="a3"/>
              <w:tabs>
                <w:tab w:val="left" w:pos="227"/>
                <w:tab w:val="left" w:pos="397"/>
                <w:tab w:val="left" w:pos="567"/>
              </w:tabs>
              <w:rPr>
                <w:sz w:val="22"/>
                <w:rtl/>
              </w:rPr>
            </w:pPr>
            <w:r>
              <w:rPr>
                <w:rFonts w:hint="cs"/>
                <w:sz w:val="22"/>
                <w:rtl/>
              </w:rPr>
              <w:t>זכויות שאינן מקנות שליטה</w:t>
            </w:r>
          </w:p>
        </w:tc>
        <w:tc>
          <w:tcPr>
            <w:tcW w:w="142" w:type="dxa"/>
            <w:vAlign w:val="bottom"/>
          </w:tcPr>
          <w:p w14:paraId="64A3AB33" w14:textId="77777777" w:rsidR="0056132D" w:rsidRPr="0074065E" w:rsidRDefault="0056132D" w:rsidP="0056132D">
            <w:pPr>
              <w:spacing w:line="240" w:lineRule="exact"/>
              <w:rPr>
                <w:rtl/>
              </w:rPr>
            </w:pPr>
          </w:p>
        </w:tc>
        <w:tc>
          <w:tcPr>
            <w:tcW w:w="1132" w:type="dxa"/>
            <w:tcBorders>
              <w:top w:val="double" w:sz="4" w:space="0" w:color="auto"/>
              <w:bottom w:val="double" w:sz="4" w:space="0" w:color="auto"/>
            </w:tcBorders>
            <w:vAlign w:val="bottom"/>
          </w:tcPr>
          <w:p w14:paraId="75EBA814" w14:textId="77777777" w:rsidR="0056132D" w:rsidRPr="0074065E" w:rsidRDefault="0056132D" w:rsidP="0056132D">
            <w:pPr>
              <w:spacing w:line="240" w:lineRule="exact"/>
              <w:rPr>
                <w:rtl/>
              </w:rPr>
            </w:pPr>
          </w:p>
        </w:tc>
        <w:tc>
          <w:tcPr>
            <w:tcW w:w="141" w:type="dxa"/>
            <w:vAlign w:val="bottom"/>
          </w:tcPr>
          <w:p w14:paraId="6C9BFE53" w14:textId="77777777" w:rsidR="0056132D" w:rsidRPr="0074065E" w:rsidRDefault="0056132D" w:rsidP="0056132D">
            <w:pPr>
              <w:spacing w:line="240" w:lineRule="exact"/>
              <w:rPr>
                <w:rtl/>
              </w:rPr>
            </w:pPr>
          </w:p>
        </w:tc>
        <w:tc>
          <w:tcPr>
            <w:tcW w:w="1276" w:type="dxa"/>
            <w:tcBorders>
              <w:top w:val="double" w:sz="4" w:space="0" w:color="auto"/>
              <w:bottom w:val="double" w:sz="4" w:space="0" w:color="auto"/>
            </w:tcBorders>
            <w:vAlign w:val="bottom"/>
          </w:tcPr>
          <w:p w14:paraId="3778A81E" w14:textId="77777777" w:rsidR="0056132D" w:rsidRPr="0074065E" w:rsidRDefault="0056132D" w:rsidP="0056132D">
            <w:pPr>
              <w:tabs>
                <w:tab w:val="decimal" w:pos="113"/>
              </w:tabs>
              <w:spacing w:line="240" w:lineRule="exact"/>
              <w:rPr>
                <w:rtl/>
              </w:rPr>
            </w:pPr>
          </w:p>
        </w:tc>
        <w:tc>
          <w:tcPr>
            <w:tcW w:w="142" w:type="dxa"/>
            <w:vAlign w:val="bottom"/>
          </w:tcPr>
          <w:p w14:paraId="2AD66B61" w14:textId="77777777" w:rsidR="0056132D" w:rsidRPr="0074065E" w:rsidRDefault="0056132D" w:rsidP="0056132D">
            <w:pPr>
              <w:tabs>
                <w:tab w:val="decimal" w:pos="113"/>
              </w:tabs>
              <w:spacing w:line="240" w:lineRule="exact"/>
              <w:rPr>
                <w:rtl/>
              </w:rPr>
            </w:pPr>
          </w:p>
        </w:tc>
        <w:tc>
          <w:tcPr>
            <w:tcW w:w="1276" w:type="dxa"/>
            <w:tcBorders>
              <w:top w:val="double" w:sz="4" w:space="0" w:color="auto"/>
              <w:bottom w:val="double" w:sz="4" w:space="0" w:color="auto"/>
            </w:tcBorders>
            <w:vAlign w:val="bottom"/>
          </w:tcPr>
          <w:p w14:paraId="7EE231F7" w14:textId="77777777" w:rsidR="0056132D" w:rsidRPr="0074065E" w:rsidRDefault="0056132D" w:rsidP="0056132D">
            <w:pPr>
              <w:tabs>
                <w:tab w:val="decimal" w:pos="113"/>
              </w:tabs>
              <w:spacing w:line="240" w:lineRule="exact"/>
              <w:rPr>
                <w:rtl/>
              </w:rPr>
            </w:pPr>
          </w:p>
        </w:tc>
      </w:tr>
      <w:tr w:rsidR="0056132D" w:rsidRPr="00C454B8" w14:paraId="01276B28" w14:textId="77777777" w:rsidTr="0056132D">
        <w:tc>
          <w:tcPr>
            <w:tcW w:w="3100" w:type="dxa"/>
            <w:vAlign w:val="bottom"/>
          </w:tcPr>
          <w:p w14:paraId="140C442A" w14:textId="77777777" w:rsidR="0056132D" w:rsidRPr="00C454B8" w:rsidRDefault="0056132D" w:rsidP="0056132D">
            <w:pPr>
              <w:pStyle w:val="a3"/>
              <w:tabs>
                <w:tab w:val="left" w:pos="227"/>
                <w:tab w:val="left" w:pos="397"/>
                <w:tab w:val="left" w:pos="567"/>
              </w:tabs>
              <w:rPr>
                <w:sz w:val="22"/>
                <w:u w:val="single"/>
                <w:rtl/>
              </w:rPr>
            </w:pPr>
          </w:p>
        </w:tc>
        <w:tc>
          <w:tcPr>
            <w:tcW w:w="142" w:type="dxa"/>
            <w:vAlign w:val="bottom"/>
          </w:tcPr>
          <w:p w14:paraId="359FAA45" w14:textId="77777777" w:rsidR="0056132D" w:rsidRPr="0074065E" w:rsidRDefault="0056132D" w:rsidP="0056132D">
            <w:pPr>
              <w:spacing w:line="240" w:lineRule="exact"/>
              <w:rPr>
                <w:rtl/>
              </w:rPr>
            </w:pPr>
          </w:p>
        </w:tc>
        <w:tc>
          <w:tcPr>
            <w:tcW w:w="1132" w:type="dxa"/>
            <w:tcBorders>
              <w:top w:val="double" w:sz="4" w:space="0" w:color="auto"/>
            </w:tcBorders>
            <w:vAlign w:val="bottom"/>
          </w:tcPr>
          <w:p w14:paraId="4953D695" w14:textId="77777777" w:rsidR="0056132D" w:rsidRPr="0074065E" w:rsidRDefault="0056132D" w:rsidP="0056132D">
            <w:pPr>
              <w:spacing w:line="240" w:lineRule="exact"/>
              <w:rPr>
                <w:rtl/>
              </w:rPr>
            </w:pPr>
          </w:p>
        </w:tc>
        <w:tc>
          <w:tcPr>
            <w:tcW w:w="141" w:type="dxa"/>
            <w:vAlign w:val="bottom"/>
          </w:tcPr>
          <w:p w14:paraId="305BF0D7" w14:textId="77777777" w:rsidR="0056132D" w:rsidRPr="0074065E" w:rsidRDefault="0056132D" w:rsidP="0056132D">
            <w:pPr>
              <w:spacing w:line="240" w:lineRule="exact"/>
              <w:rPr>
                <w:rtl/>
              </w:rPr>
            </w:pPr>
          </w:p>
        </w:tc>
        <w:tc>
          <w:tcPr>
            <w:tcW w:w="1276" w:type="dxa"/>
            <w:tcBorders>
              <w:top w:val="double" w:sz="4" w:space="0" w:color="auto"/>
            </w:tcBorders>
            <w:vAlign w:val="bottom"/>
          </w:tcPr>
          <w:p w14:paraId="5233325C" w14:textId="77777777" w:rsidR="0056132D" w:rsidRPr="0074065E" w:rsidRDefault="0056132D" w:rsidP="0056132D">
            <w:pPr>
              <w:tabs>
                <w:tab w:val="decimal" w:pos="113"/>
              </w:tabs>
              <w:spacing w:line="240" w:lineRule="exact"/>
              <w:rPr>
                <w:rtl/>
              </w:rPr>
            </w:pPr>
          </w:p>
        </w:tc>
        <w:tc>
          <w:tcPr>
            <w:tcW w:w="142" w:type="dxa"/>
            <w:vAlign w:val="bottom"/>
          </w:tcPr>
          <w:p w14:paraId="111FCD7D" w14:textId="77777777" w:rsidR="0056132D" w:rsidRPr="0074065E" w:rsidRDefault="0056132D" w:rsidP="0056132D">
            <w:pPr>
              <w:tabs>
                <w:tab w:val="decimal" w:pos="113"/>
              </w:tabs>
              <w:spacing w:line="240" w:lineRule="exact"/>
              <w:rPr>
                <w:rtl/>
              </w:rPr>
            </w:pPr>
          </w:p>
        </w:tc>
        <w:tc>
          <w:tcPr>
            <w:tcW w:w="1276" w:type="dxa"/>
            <w:tcBorders>
              <w:top w:val="double" w:sz="4" w:space="0" w:color="auto"/>
            </w:tcBorders>
            <w:vAlign w:val="bottom"/>
          </w:tcPr>
          <w:p w14:paraId="0C1AF4A1" w14:textId="77777777" w:rsidR="0056132D" w:rsidRPr="0074065E" w:rsidRDefault="0056132D" w:rsidP="0056132D">
            <w:pPr>
              <w:tabs>
                <w:tab w:val="decimal" w:pos="113"/>
              </w:tabs>
              <w:spacing w:line="240" w:lineRule="exact"/>
              <w:rPr>
                <w:rtl/>
              </w:rPr>
            </w:pPr>
          </w:p>
        </w:tc>
      </w:tr>
    </w:tbl>
    <w:p w14:paraId="60468684" w14:textId="77777777" w:rsidR="0056132D" w:rsidRDefault="0056132D" w:rsidP="0056132D">
      <w:pPr>
        <w:ind w:left="1701"/>
        <w:rPr>
          <w:rFonts w:ascii="Narkisim" w:hAnsi="Narkisim"/>
          <w:rtl/>
        </w:rPr>
      </w:pPr>
    </w:p>
    <w:p w14:paraId="79440E19" w14:textId="77777777" w:rsidR="0056132D" w:rsidRDefault="0056132D" w:rsidP="00CE4C07">
      <w:pPr>
        <w:tabs>
          <w:tab w:val="left" w:pos="1134"/>
          <w:tab w:val="left" w:pos="1701"/>
        </w:tabs>
        <w:ind w:left="1701"/>
        <w:rPr>
          <w:rFonts w:ascii="Narkisim" w:hAnsi="Narkisim"/>
          <w:rtl/>
        </w:rPr>
      </w:pPr>
    </w:p>
    <w:p w14:paraId="5C62A928" w14:textId="77777777" w:rsidR="009676FA" w:rsidRDefault="009676FA" w:rsidP="00CE4C07">
      <w:pPr>
        <w:tabs>
          <w:tab w:val="left" w:pos="1134"/>
          <w:tab w:val="left" w:pos="1701"/>
        </w:tabs>
        <w:ind w:left="1701"/>
        <w:rPr>
          <w:rFonts w:ascii="Narkisim" w:hAnsi="Narkisim"/>
          <w:rtl/>
        </w:rPr>
      </w:pPr>
    </w:p>
    <w:p w14:paraId="50004324" w14:textId="77777777" w:rsidR="009676FA" w:rsidRDefault="009676FA" w:rsidP="00CE4C07">
      <w:pPr>
        <w:tabs>
          <w:tab w:val="left" w:pos="1134"/>
          <w:tab w:val="left" w:pos="1701"/>
        </w:tabs>
        <w:ind w:left="1701"/>
        <w:rPr>
          <w:rFonts w:ascii="Narkisim" w:hAnsi="Narkisim"/>
          <w:rtl/>
        </w:rPr>
      </w:pPr>
    </w:p>
    <w:p w14:paraId="351C8D3A" w14:textId="77777777" w:rsidR="009676FA" w:rsidRDefault="009676FA" w:rsidP="00CE4C07">
      <w:pPr>
        <w:tabs>
          <w:tab w:val="left" w:pos="1134"/>
          <w:tab w:val="left" w:pos="1701"/>
        </w:tabs>
        <w:ind w:left="1701"/>
        <w:rPr>
          <w:rFonts w:ascii="Narkisim" w:hAnsi="Narkisim"/>
          <w:rtl/>
        </w:rPr>
      </w:pPr>
    </w:p>
    <w:p w14:paraId="2362B90C" w14:textId="77777777" w:rsidR="009676FA" w:rsidRDefault="009676FA" w:rsidP="00CE4C07">
      <w:pPr>
        <w:tabs>
          <w:tab w:val="left" w:pos="1134"/>
          <w:tab w:val="left" w:pos="1701"/>
        </w:tabs>
        <w:ind w:left="1701"/>
        <w:rPr>
          <w:rFonts w:ascii="Narkisim" w:hAnsi="Narkisim"/>
          <w:rtl/>
        </w:rPr>
      </w:pPr>
    </w:p>
    <w:p w14:paraId="1D61C612" w14:textId="77777777" w:rsidR="009676FA" w:rsidRDefault="009676FA" w:rsidP="00CE4C07">
      <w:pPr>
        <w:tabs>
          <w:tab w:val="left" w:pos="1134"/>
          <w:tab w:val="left" w:pos="1701"/>
        </w:tabs>
        <w:ind w:left="1701"/>
        <w:rPr>
          <w:rFonts w:ascii="Narkisim" w:hAnsi="Narkisim"/>
          <w:rtl/>
        </w:rPr>
      </w:pPr>
    </w:p>
    <w:p w14:paraId="4AF869AB" w14:textId="77777777" w:rsidR="009676FA" w:rsidRDefault="009676FA" w:rsidP="00CE4C07">
      <w:pPr>
        <w:tabs>
          <w:tab w:val="left" w:pos="1134"/>
          <w:tab w:val="left" w:pos="1701"/>
        </w:tabs>
        <w:ind w:left="1701"/>
        <w:rPr>
          <w:rFonts w:ascii="Narkisim" w:hAnsi="Narkisim"/>
          <w:rtl/>
        </w:rPr>
      </w:pPr>
    </w:p>
    <w:p w14:paraId="21345EB2" w14:textId="77777777" w:rsidR="009676FA" w:rsidRPr="00351624" w:rsidRDefault="009676FA" w:rsidP="009676FA">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712198A5" w14:textId="77777777" w:rsidR="009676FA" w:rsidRPr="00351624" w:rsidRDefault="009676FA" w:rsidP="009676FA">
      <w:pPr>
        <w:tabs>
          <w:tab w:val="left" w:pos="1134"/>
        </w:tabs>
        <w:ind w:left="1134" w:hanging="1134"/>
        <w:rPr>
          <w:rtl/>
        </w:rPr>
      </w:pPr>
    </w:p>
    <w:p w14:paraId="30E9E4CF" w14:textId="0F27AB07" w:rsidR="009676FA" w:rsidRPr="00ED7BA1" w:rsidRDefault="002B1E97" w:rsidP="009676FA">
      <w:pPr>
        <w:pStyle w:val="21"/>
      </w:pPr>
      <w:r>
        <w:rPr>
          <w:rFonts w:hint="cs"/>
          <w:rtl/>
        </w:rPr>
        <w:t>ד</w:t>
      </w:r>
      <w:r w:rsidR="009676FA" w:rsidRPr="00831F9D">
        <w:rPr>
          <w:rFonts w:hint="cs"/>
          <w:rtl/>
        </w:rPr>
        <w:t xml:space="preserve">. </w:t>
      </w:r>
      <w:r w:rsidR="009676FA">
        <w:rPr>
          <w:rtl/>
        </w:rPr>
        <w:tab/>
      </w:r>
      <w:r w:rsidR="009676FA" w:rsidRPr="003776A6">
        <w:rPr>
          <w:rFonts w:hint="cs"/>
          <w:u w:val="single"/>
          <w:rtl/>
        </w:rPr>
        <w:t>יישום למפרע בעקב</w:t>
      </w:r>
      <w:r w:rsidR="009676FA">
        <w:rPr>
          <w:rFonts w:hint="cs"/>
          <w:u w:val="single"/>
          <w:rtl/>
        </w:rPr>
        <w:t>ות שינוי מדיניות</w:t>
      </w:r>
      <w:r w:rsidR="009676FA">
        <w:rPr>
          <w:rFonts w:hint="cs"/>
          <w:rtl/>
        </w:rPr>
        <w:t xml:space="preserve"> (המשך)</w:t>
      </w:r>
    </w:p>
    <w:p w14:paraId="17FB9E36" w14:textId="77777777" w:rsidR="009676FA" w:rsidRDefault="009676FA" w:rsidP="009676FA">
      <w:pPr>
        <w:pStyle w:val="30"/>
        <w:ind w:left="1701" w:firstLine="0"/>
        <w:rPr>
          <w:highlight w:val="lightGray"/>
          <w:u w:val="single"/>
          <w:rtl/>
        </w:rPr>
      </w:pPr>
    </w:p>
    <w:p w14:paraId="2AF13C42" w14:textId="77777777" w:rsidR="009676FA" w:rsidRDefault="009676FA" w:rsidP="009676FA">
      <w:pPr>
        <w:pStyle w:val="30"/>
        <w:tabs>
          <w:tab w:val="clear" w:pos="1701"/>
          <w:tab w:val="clear" w:pos="2268"/>
          <w:tab w:val="left" w:pos="1417"/>
          <w:tab w:val="left" w:pos="1842"/>
        </w:tabs>
        <w:ind w:left="1701" w:hanging="284"/>
        <w:rPr>
          <w:u w:val="single"/>
          <w:rtl/>
        </w:rPr>
      </w:pPr>
      <w:r>
        <w:rPr>
          <w:rFonts w:hint="cs"/>
          <w:rtl/>
        </w:rPr>
        <w:t>2</w:t>
      </w:r>
      <w:r w:rsidRPr="00AC6EE8">
        <w:rPr>
          <w:rtl/>
        </w:rPr>
        <w:t xml:space="preserve">.   </w:t>
      </w:r>
      <w:r>
        <w:rPr>
          <w:rtl/>
        </w:rPr>
        <w:tab/>
      </w:r>
      <w:r>
        <w:rPr>
          <w:rFonts w:hint="cs"/>
          <w:u w:val="single"/>
          <w:rtl/>
        </w:rPr>
        <w:t>שינוי מדיניות חשבונאית בנושא היוון עלויות אשראי</w:t>
      </w:r>
      <w:r w:rsidRPr="00603732">
        <w:rPr>
          <w:rFonts w:hint="cs"/>
          <w:rtl/>
        </w:rPr>
        <w:t xml:space="preserve"> (המשך)</w:t>
      </w:r>
    </w:p>
    <w:p w14:paraId="36FAA9C0" w14:textId="77777777" w:rsidR="009676FA" w:rsidRDefault="009676FA" w:rsidP="00CE4C07">
      <w:pPr>
        <w:tabs>
          <w:tab w:val="left" w:pos="1134"/>
          <w:tab w:val="left" w:pos="1701"/>
        </w:tabs>
        <w:ind w:left="1701"/>
        <w:rPr>
          <w:rFonts w:ascii="Narkisim" w:hAnsi="Narkisim"/>
          <w:rtl/>
        </w:rPr>
      </w:pPr>
    </w:p>
    <w:p w14:paraId="771C8A46" w14:textId="77777777" w:rsidR="009676FA" w:rsidRDefault="009676FA" w:rsidP="009676FA">
      <w:pPr>
        <w:pStyle w:val="41"/>
        <w:ind w:hanging="993"/>
        <w:rPr>
          <w:rtl/>
        </w:rPr>
      </w:pPr>
      <w:r w:rsidRPr="001958C9">
        <w:rPr>
          <w:u w:val="single"/>
          <w:rtl/>
        </w:rPr>
        <w:t>בדוח</w:t>
      </w:r>
      <w:r w:rsidRPr="001958C9">
        <w:rPr>
          <w:rFonts w:hint="eastAsia"/>
          <w:u w:val="single"/>
          <w:rtl/>
        </w:rPr>
        <w:t>ות</w:t>
      </w:r>
      <w:r w:rsidRPr="001958C9">
        <w:rPr>
          <w:u w:val="single"/>
          <w:rtl/>
        </w:rPr>
        <w:t xml:space="preserve"> </w:t>
      </w:r>
      <w:r w:rsidRPr="001958C9">
        <w:rPr>
          <w:rFonts w:hint="eastAsia"/>
          <w:u w:val="single"/>
          <w:rtl/>
        </w:rPr>
        <w:t>המאוחדים</w:t>
      </w:r>
      <w:r w:rsidRPr="001958C9">
        <w:rPr>
          <w:u w:val="single"/>
          <w:rtl/>
        </w:rPr>
        <w:t xml:space="preserve"> </w:t>
      </w:r>
      <w:r w:rsidRPr="001958C9">
        <w:rPr>
          <w:rFonts w:hint="eastAsia"/>
          <w:u w:val="single"/>
          <w:rtl/>
        </w:rPr>
        <w:t>על</w:t>
      </w:r>
      <w:r w:rsidRPr="001958C9">
        <w:rPr>
          <w:u w:val="single"/>
          <w:rtl/>
        </w:rPr>
        <w:t xml:space="preserve"> הרווח </w:t>
      </w:r>
      <w:r w:rsidRPr="001958C9">
        <w:rPr>
          <w:rFonts w:hint="cs"/>
          <w:u w:val="single"/>
          <w:rtl/>
        </w:rPr>
        <w:t xml:space="preserve">או </w:t>
      </w:r>
      <w:r w:rsidRPr="001958C9">
        <w:rPr>
          <w:rFonts w:hint="eastAsia"/>
          <w:u w:val="single"/>
          <w:rtl/>
        </w:rPr>
        <w:t>הפסד</w:t>
      </w:r>
      <w:r w:rsidRPr="001958C9">
        <w:rPr>
          <w:rFonts w:hint="cs"/>
          <w:u w:val="single"/>
          <w:rtl/>
        </w:rPr>
        <w:t xml:space="preserve"> ורווח כולל אחר</w:t>
      </w:r>
      <w:r>
        <w:rPr>
          <w:rStyle w:val="ab"/>
          <w:u w:val="single"/>
          <w:rtl/>
        </w:rPr>
        <w:footnoteReference w:id="87"/>
      </w:r>
    </w:p>
    <w:p w14:paraId="1CF1A39B" w14:textId="77777777" w:rsidR="009676FA" w:rsidRDefault="009676FA" w:rsidP="009676FA">
      <w:pPr>
        <w:pStyle w:val="30"/>
        <w:ind w:left="1701"/>
        <w:rPr>
          <w:u w:val="single"/>
          <w:rtl/>
        </w:rPr>
      </w:pPr>
    </w:p>
    <w:tbl>
      <w:tblPr>
        <w:bidiVisual/>
        <w:tblW w:w="7405" w:type="dxa"/>
        <w:tblInd w:w="2234" w:type="dxa"/>
        <w:tblLayout w:type="fixed"/>
        <w:tblCellMar>
          <w:left w:w="0" w:type="dxa"/>
          <w:right w:w="0" w:type="dxa"/>
        </w:tblCellMar>
        <w:tblLook w:val="0000" w:firstRow="0" w:lastRow="0" w:firstColumn="0" w:lastColumn="0" w:noHBand="0" w:noVBand="0"/>
      </w:tblPr>
      <w:tblGrid>
        <w:gridCol w:w="3107"/>
        <w:gridCol w:w="126"/>
        <w:gridCol w:w="1196"/>
        <w:gridCol w:w="141"/>
        <w:gridCol w:w="1276"/>
        <w:gridCol w:w="142"/>
        <w:gridCol w:w="1397"/>
        <w:gridCol w:w="20"/>
      </w:tblGrid>
      <w:tr w:rsidR="009676FA" w:rsidRPr="0074065E" w14:paraId="3A0AF268" w14:textId="77777777" w:rsidTr="006B7985">
        <w:tc>
          <w:tcPr>
            <w:tcW w:w="3107" w:type="dxa"/>
            <w:vAlign w:val="bottom"/>
          </w:tcPr>
          <w:p w14:paraId="7D1E34AA" w14:textId="77777777" w:rsidR="009676FA" w:rsidRPr="00C454B8" w:rsidRDefault="009676FA" w:rsidP="006B7985">
            <w:pPr>
              <w:pStyle w:val="a3"/>
              <w:tabs>
                <w:tab w:val="left" w:pos="227"/>
                <w:tab w:val="left" w:pos="397"/>
                <w:tab w:val="left" w:pos="567"/>
              </w:tabs>
              <w:ind w:left="227" w:hanging="170"/>
              <w:rPr>
                <w:sz w:val="22"/>
                <w:rtl/>
              </w:rPr>
            </w:pPr>
          </w:p>
        </w:tc>
        <w:tc>
          <w:tcPr>
            <w:tcW w:w="126" w:type="dxa"/>
            <w:vAlign w:val="bottom"/>
          </w:tcPr>
          <w:p w14:paraId="0AD76947" w14:textId="77777777" w:rsidR="009676FA" w:rsidRPr="0074065E" w:rsidRDefault="009676FA" w:rsidP="006B7985">
            <w:pPr>
              <w:spacing w:line="240" w:lineRule="exact"/>
              <w:jc w:val="center"/>
              <w:rPr>
                <w:rtl/>
              </w:rPr>
            </w:pPr>
          </w:p>
        </w:tc>
        <w:tc>
          <w:tcPr>
            <w:tcW w:w="1196" w:type="dxa"/>
            <w:tcBorders>
              <w:bottom w:val="single" w:sz="6" w:space="0" w:color="auto"/>
            </w:tcBorders>
            <w:shd w:val="clear" w:color="auto" w:fill="auto"/>
            <w:vAlign w:val="bottom"/>
          </w:tcPr>
          <w:p w14:paraId="04EE84AA" w14:textId="77777777" w:rsidR="009676FA" w:rsidRPr="0074065E" w:rsidRDefault="009676FA" w:rsidP="006B7985">
            <w:pPr>
              <w:spacing w:line="240" w:lineRule="exact"/>
              <w:jc w:val="center"/>
              <w:rPr>
                <w:rtl/>
              </w:rPr>
            </w:pPr>
            <w:r>
              <w:rPr>
                <w:rFonts w:hint="cs"/>
                <w:rtl/>
              </w:rPr>
              <w:t xml:space="preserve"> בהתאם למדיניות הקודמת</w:t>
            </w:r>
          </w:p>
        </w:tc>
        <w:tc>
          <w:tcPr>
            <w:tcW w:w="141" w:type="dxa"/>
            <w:vAlign w:val="bottom"/>
          </w:tcPr>
          <w:p w14:paraId="4D642641" w14:textId="77777777" w:rsidR="009676FA" w:rsidRPr="0074065E" w:rsidRDefault="009676FA" w:rsidP="006B7985">
            <w:pPr>
              <w:spacing w:line="240" w:lineRule="exact"/>
              <w:jc w:val="center"/>
              <w:rPr>
                <w:rtl/>
              </w:rPr>
            </w:pPr>
          </w:p>
        </w:tc>
        <w:tc>
          <w:tcPr>
            <w:tcW w:w="1276" w:type="dxa"/>
            <w:tcBorders>
              <w:bottom w:val="single" w:sz="6" w:space="0" w:color="auto"/>
            </w:tcBorders>
            <w:vAlign w:val="bottom"/>
          </w:tcPr>
          <w:p w14:paraId="161C63CF" w14:textId="77777777" w:rsidR="009676FA" w:rsidRPr="0074065E" w:rsidRDefault="009676FA" w:rsidP="006B7985">
            <w:pPr>
              <w:spacing w:line="240" w:lineRule="exact"/>
              <w:jc w:val="center"/>
              <w:rPr>
                <w:rtl/>
              </w:rPr>
            </w:pPr>
            <w:r>
              <w:rPr>
                <w:rFonts w:hint="cs"/>
                <w:rtl/>
              </w:rPr>
              <w:t xml:space="preserve">השינוי </w:t>
            </w:r>
          </w:p>
        </w:tc>
        <w:tc>
          <w:tcPr>
            <w:tcW w:w="142" w:type="dxa"/>
            <w:vAlign w:val="bottom"/>
          </w:tcPr>
          <w:p w14:paraId="5A2DA7A8" w14:textId="77777777" w:rsidR="009676FA" w:rsidRPr="0074065E" w:rsidRDefault="009676FA" w:rsidP="006B7985">
            <w:pPr>
              <w:spacing w:line="240" w:lineRule="exact"/>
              <w:jc w:val="center"/>
              <w:rPr>
                <w:rtl/>
              </w:rPr>
            </w:pPr>
          </w:p>
        </w:tc>
        <w:tc>
          <w:tcPr>
            <w:tcW w:w="1417" w:type="dxa"/>
            <w:gridSpan w:val="2"/>
            <w:tcBorders>
              <w:bottom w:val="single" w:sz="6" w:space="0" w:color="auto"/>
            </w:tcBorders>
            <w:vAlign w:val="bottom"/>
          </w:tcPr>
          <w:p w14:paraId="2485BF5C" w14:textId="77777777" w:rsidR="009676FA" w:rsidRPr="0074065E" w:rsidRDefault="009676FA" w:rsidP="006B7985">
            <w:pPr>
              <w:spacing w:line="240" w:lineRule="exact"/>
              <w:jc w:val="center"/>
              <w:rPr>
                <w:rtl/>
              </w:rPr>
            </w:pPr>
            <w:r>
              <w:rPr>
                <w:rFonts w:hint="cs"/>
                <w:rtl/>
              </w:rPr>
              <w:t xml:space="preserve"> כמוצג בדוחות כספיים אלה</w:t>
            </w:r>
          </w:p>
        </w:tc>
      </w:tr>
      <w:tr w:rsidR="009676FA" w:rsidRPr="0074065E" w14:paraId="483A6F9D" w14:textId="77777777" w:rsidTr="006B7985">
        <w:tc>
          <w:tcPr>
            <w:tcW w:w="3107" w:type="dxa"/>
            <w:vAlign w:val="bottom"/>
          </w:tcPr>
          <w:p w14:paraId="51024C48" w14:textId="77777777" w:rsidR="009676FA" w:rsidRPr="00C454B8" w:rsidRDefault="009676FA" w:rsidP="006B7985">
            <w:pPr>
              <w:pStyle w:val="a3"/>
              <w:tabs>
                <w:tab w:val="left" w:pos="227"/>
                <w:tab w:val="left" w:pos="397"/>
                <w:tab w:val="left" w:pos="567"/>
              </w:tabs>
              <w:ind w:left="227" w:hanging="170"/>
              <w:rPr>
                <w:sz w:val="22"/>
                <w:rtl/>
              </w:rPr>
            </w:pPr>
          </w:p>
        </w:tc>
        <w:tc>
          <w:tcPr>
            <w:tcW w:w="126" w:type="dxa"/>
            <w:vAlign w:val="bottom"/>
          </w:tcPr>
          <w:p w14:paraId="60355174" w14:textId="77777777" w:rsidR="009676FA" w:rsidRPr="0074065E" w:rsidRDefault="009676FA" w:rsidP="006B7985">
            <w:pPr>
              <w:spacing w:line="240" w:lineRule="exact"/>
              <w:rPr>
                <w:rtl/>
              </w:rPr>
            </w:pPr>
          </w:p>
        </w:tc>
        <w:tc>
          <w:tcPr>
            <w:tcW w:w="4172" w:type="dxa"/>
            <w:gridSpan w:val="6"/>
            <w:tcBorders>
              <w:bottom w:val="single" w:sz="6" w:space="0" w:color="auto"/>
            </w:tcBorders>
            <w:shd w:val="clear" w:color="auto" w:fill="auto"/>
            <w:vAlign w:val="bottom"/>
          </w:tcPr>
          <w:p w14:paraId="7882AD2C" w14:textId="77777777" w:rsidR="009676FA" w:rsidRPr="0074065E" w:rsidRDefault="009676FA" w:rsidP="006B7985">
            <w:pPr>
              <w:tabs>
                <w:tab w:val="decimal" w:pos="113"/>
              </w:tabs>
              <w:spacing w:line="240" w:lineRule="exact"/>
              <w:jc w:val="center"/>
              <w:rPr>
                <w:rtl/>
              </w:rPr>
            </w:pPr>
            <w:r w:rsidRPr="0074065E">
              <w:rPr>
                <w:rtl/>
              </w:rPr>
              <w:t>אלפי ש"ח (למעט נתוני רווח נקי (הפסד) למניה)</w:t>
            </w:r>
          </w:p>
        </w:tc>
      </w:tr>
      <w:tr w:rsidR="009676FA" w:rsidRPr="0074065E" w14:paraId="6A7CF3B4" w14:textId="77777777" w:rsidTr="006B7985">
        <w:trPr>
          <w:gridAfter w:val="1"/>
          <w:wAfter w:w="20" w:type="dxa"/>
        </w:trPr>
        <w:tc>
          <w:tcPr>
            <w:tcW w:w="3107" w:type="dxa"/>
            <w:vAlign w:val="bottom"/>
          </w:tcPr>
          <w:p w14:paraId="04D8B2FB" w14:textId="1D709F49" w:rsidR="009676FA" w:rsidRPr="00C454B8" w:rsidRDefault="009676FA" w:rsidP="009676FA">
            <w:pPr>
              <w:pStyle w:val="a3"/>
              <w:tabs>
                <w:tab w:val="left" w:pos="227"/>
                <w:tab w:val="left" w:pos="397"/>
                <w:tab w:val="left" w:pos="567"/>
              </w:tabs>
              <w:ind w:left="227" w:hanging="170"/>
              <w:rPr>
                <w:sz w:val="22"/>
                <w:u w:val="single"/>
                <w:rtl/>
              </w:rPr>
            </w:pPr>
            <w:r w:rsidRPr="00C454B8">
              <w:rPr>
                <w:sz w:val="22"/>
                <w:u w:val="single"/>
                <w:rtl/>
              </w:rPr>
              <w:t>ל-</w:t>
            </w:r>
            <w:r>
              <w:rPr>
                <w:rFonts w:hint="cs"/>
                <w:sz w:val="22"/>
                <w:u w:val="single"/>
                <w:rtl/>
              </w:rPr>
              <w:t>3</w:t>
            </w:r>
            <w:r w:rsidRPr="00C454B8">
              <w:rPr>
                <w:sz w:val="22"/>
                <w:u w:val="single"/>
                <w:rtl/>
              </w:rPr>
              <w:t xml:space="preserve"> החודשים שהסתיימו ביום 30 בספטמבר, </w:t>
            </w:r>
            <w:r>
              <w:rPr>
                <w:rFonts w:hint="cs"/>
                <w:sz w:val="22"/>
                <w:u w:val="single"/>
                <w:rtl/>
              </w:rPr>
              <w:t>2019</w:t>
            </w:r>
          </w:p>
        </w:tc>
        <w:tc>
          <w:tcPr>
            <w:tcW w:w="126" w:type="dxa"/>
            <w:vAlign w:val="bottom"/>
          </w:tcPr>
          <w:p w14:paraId="0856EB9A" w14:textId="77777777" w:rsidR="009676FA" w:rsidRPr="0074065E" w:rsidRDefault="009676FA" w:rsidP="006B7985">
            <w:pPr>
              <w:spacing w:line="240" w:lineRule="exact"/>
              <w:rPr>
                <w:rtl/>
              </w:rPr>
            </w:pPr>
          </w:p>
        </w:tc>
        <w:tc>
          <w:tcPr>
            <w:tcW w:w="1196" w:type="dxa"/>
            <w:vAlign w:val="bottom"/>
          </w:tcPr>
          <w:p w14:paraId="09993111" w14:textId="77777777" w:rsidR="009676FA" w:rsidRPr="0074065E" w:rsidRDefault="009676FA" w:rsidP="006B7985">
            <w:pPr>
              <w:spacing w:line="240" w:lineRule="exact"/>
              <w:rPr>
                <w:rtl/>
              </w:rPr>
            </w:pPr>
          </w:p>
        </w:tc>
        <w:tc>
          <w:tcPr>
            <w:tcW w:w="141" w:type="dxa"/>
            <w:vAlign w:val="bottom"/>
          </w:tcPr>
          <w:p w14:paraId="54FBFC8A" w14:textId="77777777" w:rsidR="009676FA" w:rsidRPr="0074065E" w:rsidRDefault="009676FA" w:rsidP="006B7985">
            <w:pPr>
              <w:spacing w:line="240" w:lineRule="exact"/>
              <w:rPr>
                <w:rtl/>
              </w:rPr>
            </w:pPr>
          </w:p>
        </w:tc>
        <w:tc>
          <w:tcPr>
            <w:tcW w:w="1276" w:type="dxa"/>
            <w:vAlign w:val="bottom"/>
          </w:tcPr>
          <w:p w14:paraId="62143025" w14:textId="77777777" w:rsidR="009676FA" w:rsidRPr="0074065E" w:rsidRDefault="009676FA" w:rsidP="006B7985">
            <w:pPr>
              <w:tabs>
                <w:tab w:val="decimal" w:pos="113"/>
              </w:tabs>
              <w:spacing w:line="240" w:lineRule="exact"/>
              <w:rPr>
                <w:rtl/>
              </w:rPr>
            </w:pPr>
          </w:p>
        </w:tc>
        <w:tc>
          <w:tcPr>
            <w:tcW w:w="142" w:type="dxa"/>
            <w:vAlign w:val="bottom"/>
          </w:tcPr>
          <w:p w14:paraId="3B87D881" w14:textId="77777777" w:rsidR="009676FA" w:rsidRPr="0074065E" w:rsidRDefault="009676FA" w:rsidP="006B7985">
            <w:pPr>
              <w:tabs>
                <w:tab w:val="decimal" w:pos="113"/>
              </w:tabs>
              <w:spacing w:line="240" w:lineRule="exact"/>
              <w:rPr>
                <w:rtl/>
              </w:rPr>
            </w:pPr>
          </w:p>
        </w:tc>
        <w:tc>
          <w:tcPr>
            <w:tcW w:w="1397" w:type="dxa"/>
            <w:vAlign w:val="bottom"/>
          </w:tcPr>
          <w:p w14:paraId="65899744" w14:textId="77777777" w:rsidR="009676FA" w:rsidRPr="0074065E" w:rsidRDefault="009676FA" w:rsidP="006B7985">
            <w:pPr>
              <w:tabs>
                <w:tab w:val="decimal" w:pos="113"/>
              </w:tabs>
              <w:spacing w:line="240" w:lineRule="exact"/>
              <w:rPr>
                <w:rtl/>
              </w:rPr>
            </w:pPr>
          </w:p>
        </w:tc>
      </w:tr>
      <w:tr w:rsidR="009676FA" w:rsidRPr="0074065E" w14:paraId="6732D072" w14:textId="77777777" w:rsidTr="006B7985">
        <w:trPr>
          <w:gridAfter w:val="1"/>
          <w:wAfter w:w="20" w:type="dxa"/>
        </w:trPr>
        <w:tc>
          <w:tcPr>
            <w:tcW w:w="3107" w:type="dxa"/>
            <w:vAlign w:val="bottom"/>
          </w:tcPr>
          <w:p w14:paraId="569E1EB9" w14:textId="77777777" w:rsidR="009676FA" w:rsidRPr="00C454B8" w:rsidRDefault="009676FA" w:rsidP="006B7985">
            <w:pPr>
              <w:pStyle w:val="a3"/>
              <w:tabs>
                <w:tab w:val="left" w:pos="227"/>
                <w:tab w:val="left" w:pos="397"/>
                <w:tab w:val="left" w:pos="567"/>
              </w:tabs>
              <w:ind w:left="227" w:hanging="170"/>
              <w:rPr>
                <w:sz w:val="22"/>
                <w:u w:val="single"/>
                <w:rtl/>
              </w:rPr>
            </w:pPr>
            <w:r>
              <w:rPr>
                <w:rFonts w:hint="cs"/>
                <w:sz w:val="22"/>
                <w:rtl/>
              </w:rPr>
              <w:t>עלות המכירות</w:t>
            </w:r>
          </w:p>
        </w:tc>
        <w:tc>
          <w:tcPr>
            <w:tcW w:w="126" w:type="dxa"/>
            <w:vAlign w:val="bottom"/>
          </w:tcPr>
          <w:p w14:paraId="0B0D9359" w14:textId="77777777" w:rsidR="009676FA" w:rsidRPr="0074065E" w:rsidRDefault="009676FA" w:rsidP="006B7985">
            <w:pPr>
              <w:spacing w:line="240" w:lineRule="exact"/>
              <w:rPr>
                <w:rtl/>
              </w:rPr>
            </w:pPr>
          </w:p>
        </w:tc>
        <w:tc>
          <w:tcPr>
            <w:tcW w:w="1196" w:type="dxa"/>
            <w:tcBorders>
              <w:bottom w:val="double" w:sz="4" w:space="0" w:color="auto"/>
            </w:tcBorders>
            <w:vAlign w:val="bottom"/>
          </w:tcPr>
          <w:p w14:paraId="22DA85A4" w14:textId="77777777" w:rsidR="009676FA" w:rsidRPr="0074065E" w:rsidRDefault="009676FA" w:rsidP="006B7985">
            <w:pPr>
              <w:spacing w:line="240" w:lineRule="exact"/>
              <w:rPr>
                <w:rtl/>
              </w:rPr>
            </w:pPr>
          </w:p>
        </w:tc>
        <w:tc>
          <w:tcPr>
            <w:tcW w:w="141" w:type="dxa"/>
            <w:vAlign w:val="bottom"/>
          </w:tcPr>
          <w:p w14:paraId="3445A2EB" w14:textId="77777777" w:rsidR="009676FA" w:rsidRPr="0074065E" w:rsidRDefault="009676FA" w:rsidP="006B7985">
            <w:pPr>
              <w:spacing w:line="240" w:lineRule="exact"/>
              <w:rPr>
                <w:rtl/>
              </w:rPr>
            </w:pPr>
          </w:p>
        </w:tc>
        <w:tc>
          <w:tcPr>
            <w:tcW w:w="1276" w:type="dxa"/>
            <w:tcBorders>
              <w:bottom w:val="double" w:sz="4" w:space="0" w:color="auto"/>
            </w:tcBorders>
            <w:vAlign w:val="bottom"/>
          </w:tcPr>
          <w:p w14:paraId="6E87F001" w14:textId="77777777" w:rsidR="009676FA" w:rsidRPr="0074065E" w:rsidRDefault="009676FA" w:rsidP="006B7985">
            <w:pPr>
              <w:tabs>
                <w:tab w:val="decimal" w:pos="113"/>
              </w:tabs>
              <w:spacing w:line="240" w:lineRule="exact"/>
              <w:rPr>
                <w:rtl/>
              </w:rPr>
            </w:pPr>
          </w:p>
        </w:tc>
        <w:tc>
          <w:tcPr>
            <w:tcW w:w="142" w:type="dxa"/>
            <w:vAlign w:val="bottom"/>
          </w:tcPr>
          <w:p w14:paraId="700F4002" w14:textId="77777777" w:rsidR="009676FA" w:rsidRPr="0074065E" w:rsidRDefault="009676FA" w:rsidP="006B7985">
            <w:pPr>
              <w:tabs>
                <w:tab w:val="decimal" w:pos="113"/>
              </w:tabs>
              <w:spacing w:line="240" w:lineRule="exact"/>
              <w:rPr>
                <w:rtl/>
              </w:rPr>
            </w:pPr>
          </w:p>
        </w:tc>
        <w:tc>
          <w:tcPr>
            <w:tcW w:w="1397" w:type="dxa"/>
            <w:tcBorders>
              <w:bottom w:val="double" w:sz="4" w:space="0" w:color="auto"/>
            </w:tcBorders>
            <w:vAlign w:val="bottom"/>
          </w:tcPr>
          <w:p w14:paraId="1417916D" w14:textId="77777777" w:rsidR="009676FA" w:rsidRPr="0074065E" w:rsidRDefault="009676FA" w:rsidP="006B7985">
            <w:pPr>
              <w:tabs>
                <w:tab w:val="decimal" w:pos="113"/>
              </w:tabs>
              <w:spacing w:line="240" w:lineRule="exact"/>
              <w:rPr>
                <w:rtl/>
              </w:rPr>
            </w:pPr>
          </w:p>
        </w:tc>
      </w:tr>
      <w:tr w:rsidR="009676FA" w:rsidRPr="0074065E" w14:paraId="29790174" w14:textId="77777777" w:rsidTr="006B7985">
        <w:trPr>
          <w:gridAfter w:val="1"/>
          <w:wAfter w:w="20" w:type="dxa"/>
        </w:trPr>
        <w:tc>
          <w:tcPr>
            <w:tcW w:w="3107" w:type="dxa"/>
            <w:vAlign w:val="bottom"/>
          </w:tcPr>
          <w:p w14:paraId="23739B0E" w14:textId="77777777" w:rsidR="009676FA" w:rsidRPr="00DD59FD" w:rsidRDefault="009676FA" w:rsidP="006B7985">
            <w:pPr>
              <w:pStyle w:val="a3"/>
              <w:tabs>
                <w:tab w:val="left" w:pos="227"/>
                <w:tab w:val="left" w:pos="397"/>
                <w:tab w:val="left" w:pos="567"/>
              </w:tabs>
              <w:ind w:left="227" w:hanging="170"/>
              <w:rPr>
                <w:sz w:val="22"/>
                <w:rtl/>
              </w:rPr>
            </w:pPr>
            <w:r>
              <w:rPr>
                <w:rFonts w:hint="cs"/>
                <w:b/>
                <w:bCs/>
                <w:sz w:val="22"/>
                <w:rtl/>
              </w:rPr>
              <w:t>רווח גולמי</w:t>
            </w:r>
          </w:p>
        </w:tc>
        <w:tc>
          <w:tcPr>
            <w:tcW w:w="126" w:type="dxa"/>
            <w:vAlign w:val="bottom"/>
          </w:tcPr>
          <w:p w14:paraId="2510224F" w14:textId="77777777" w:rsidR="009676FA" w:rsidRPr="0074065E" w:rsidRDefault="009676FA" w:rsidP="006B7985">
            <w:pPr>
              <w:spacing w:line="240" w:lineRule="exact"/>
              <w:rPr>
                <w:rtl/>
              </w:rPr>
            </w:pPr>
          </w:p>
        </w:tc>
        <w:tc>
          <w:tcPr>
            <w:tcW w:w="1196" w:type="dxa"/>
            <w:tcBorders>
              <w:bottom w:val="double" w:sz="4" w:space="0" w:color="auto"/>
            </w:tcBorders>
            <w:vAlign w:val="bottom"/>
          </w:tcPr>
          <w:p w14:paraId="7700E958" w14:textId="77777777" w:rsidR="009676FA" w:rsidRPr="0074065E" w:rsidRDefault="009676FA" w:rsidP="006B7985">
            <w:pPr>
              <w:spacing w:line="240" w:lineRule="exact"/>
              <w:rPr>
                <w:rtl/>
              </w:rPr>
            </w:pPr>
          </w:p>
        </w:tc>
        <w:tc>
          <w:tcPr>
            <w:tcW w:w="141" w:type="dxa"/>
            <w:vAlign w:val="bottom"/>
          </w:tcPr>
          <w:p w14:paraId="7904BB18" w14:textId="77777777" w:rsidR="009676FA" w:rsidRPr="0074065E" w:rsidRDefault="009676FA" w:rsidP="006B7985">
            <w:pPr>
              <w:spacing w:line="240" w:lineRule="exact"/>
              <w:rPr>
                <w:rtl/>
              </w:rPr>
            </w:pPr>
          </w:p>
        </w:tc>
        <w:tc>
          <w:tcPr>
            <w:tcW w:w="1276" w:type="dxa"/>
            <w:tcBorders>
              <w:bottom w:val="double" w:sz="4" w:space="0" w:color="auto"/>
            </w:tcBorders>
            <w:vAlign w:val="bottom"/>
          </w:tcPr>
          <w:p w14:paraId="458A77BD" w14:textId="77777777" w:rsidR="009676FA" w:rsidRPr="0074065E" w:rsidRDefault="009676FA" w:rsidP="006B7985">
            <w:pPr>
              <w:tabs>
                <w:tab w:val="decimal" w:pos="113"/>
              </w:tabs>
              <w:spacing w:line="240" w:lineRule="exact"/>
              <w:rPr>
                <w:rtl/>
              </w:rPr>
            </w:pPr>
          </w:p>
        </w:tc>
        <w:tc>
          <w:tcPr>
            <w:tcW w:w="142" w:type="dxa"/>
            <w:vAlign w:val="bottom"/>
          </w:tcPr>
          <w:p w14:paraId="6C20566A" w14:textId="77777777" w:rsidR="009676FA" w:rsidRPr="0074065E" w:rsidRDefault="009676FA" w:rsidP="006B7985">
            <w:pPr>
              <w:tabs>
                <w:tab w:val="decimal" w:pos="113"/>
              </w:tabs>
              <w:spacing w:line="240" w:lineRule="exact"/>
              <w:rPr>
                <w:rtl/>
              </w:rPr>
            </w:pPr>
          </w:p>
        </w:tc>
        <w:tc>
          <w:tcPr>
            <w:tcW w:w="1397" w:type="dxa"/>
            <w:tcBorders>
              <w:bottom w:val="double" w:sz="4" w:space="0" w:color="auto"/>
            </w:tcBorders>
            <w:vAlign w:val="bottom"/>
          </w:tcPr>
          <w:p w14:paraId="2FA008A9" w14:textId="77777777" w:rsidR="009676FA" w:rsidRPr="0074065E" w:rsidRDefault="009676FA" w:rsidP="006B7985">
            <w:pPr>
              <w:tabs>
                <w:tab w:val="decimal" w:pos="113"/>
              </w:tabs>
              <w:spacing w:line="240" w:lineRule="exact"/>
              <w:rPr>
                <w:rtl/>
              </w:rPr>
            </w:pPr>
          </w:p>
        </w:tc>
      </w:tr>
      <w:tr w:rsidR="009676FA" w:rsidRPr="0074065E" w14:paraId="332AC488" w14:textId="77777777" w:rsidTr="006B7985">
        <w:trPr>
          <w:gridAfter w:val="1"/>
          <w:wAfter w:w="20" w:type="dxa"/>
        </w:trPr>
        <w:tc>
          <w:tcPr>
            <w:tcW w:w="3107" w:type="dxa"/>
            <w:vAlign w:val="bottom"/>
          </w:tcPr>
          <w:p w14:paraId="2239929D" w14:textId="77777777" w:rsidR="009676FA" w:rsidRDefault="009676FA" w:rsidP="006B7985">
            <w:pPr>
              <w:pStyle w:val="a3"/>
              <w:tabs>
                <w:tab w:val="left" w:pos="227"/>
                <w:tab w:val="left" w:pos="397"/>
                <w:tab w:val="left" w:pos="567"/>
              </w:tabs>
              <w:ind w:left="227" w:hanging="170"/>
              <w:rPr>
                <w:sz w:val="22"/>
                <w:rtl/>
              </w:rPr>
            </w:pPr>
            <w:r>
              <w:rPr>
                <w:rFonts w:hint="cs"/>
                <w:sz w:val="22"/>
                <w:rtl/>
              </w:rPr>
              <w:t>הוצאות מימון</w:t>
            </w:r>
          </w:p>
        </w:tc>
        <w:tc>
          <w:tcPr>
            <w:tcW w:w="126" w:type="dxa"/>
            <w:vAlign w:val="bottom"/>
          </w:tcPr>
          <w:p w14:paraId="15BA51DA"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27E2D03E" w14:textId="77777777" w:rsidR="009676FA" w:rsidRPr="0074065E" w:rsidRDefault="009676FA" w:rsidP="006B7985">
            <w:pPr>
              <w:spacing w:line="240" w:lineRule="exact"/>
              <w:rPr>
                <w:rtl/>
              </w:rPr>
            </w:pPr>
          </w:p>
        </w:tc>
        <w:tc>
          <w:tcPr>
            <w:tcW w:w="141" w:type="dxa"/>
            <w:vAlign w:val="bottom"/>
          </w:tcPr>
          <w:p w14:paraId="435BAF44"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2F5FAE41" w14:textId="77777777" w:rsidR="009676FA" w:rsidRPr="0074065E" w:rsidRDefault="009676FA" w:rsidP="006B7985">
            <w:pPr>
              <w:tabs>
                <w:tab w:val="decimal" w:pos="113"/>
              </w:tabs>
              <w:spacing w:line="240" w:lineRule="exact"/>
              <w:rPr>
                <w:rtl/>
              </w:rPr>
            </w:pPr>
          </w:p>
        </w:tc>
        <w:tc>
          <w:tcPr>
            <w:tcW w:w="142" w:type="dxa"/>
            <w:vAlign w:val="bottom"/>
          </w:tcPr>
          <w:p w14:paraId="04ACB255"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70421BA0" w14:textId="77777777" w:rsidR="009676FA" w:rsidRPr="0074065E" w:rsidRDefault="009676FA" w:rsidP="006B7985">
            <w:pPr>
              <w:tabs>
                <w:tab w:val="decimal" w:pos="113"/>
              </w:tabs>
              <w:spacing w:line="240" w:lineRule="exact"/>
              <w:rPr>
                <w:rtl/>
              </w:rPr>
            </w:pPr>
          </w:p>
        </w:tc>
      </w:tr>
      <w:tr w:rsidR="009676FA" w:rsidRPr="0074065E" w14:paraId="13DC7C31" w14:textId="77777777" w:rsidTr="006B7985">
        <w:trPr>
          <w:gridAfter w:val="1"/>
          <w:wAfter w:w="20" w:type="dxa"/>
        </w:trPr>
        <w:tc>
          <w:tcPr>
            <w:tcW w:w="3107" w:type="dxa"/>
            <w:vAlign w:val="bottom"/>
          </w:tcPr>
          <w:p w14:paraId="0AC2758B" w14:textId="77777777" w:rsidR="009676FA" w:rsidRDefault="009676FA" w:rsidP="006B7985">
            <w:pPr>
              <w:pStyle w:val="a3"/>
              <w:tabs>
                <w:tab w:val="left" w:pos="227"/>
                <w:tab w:val="left" w:pos="397"/>
                <w:tab w:val="left" w:pos="567"/>
              </w:tabs>
              <w:ind w:left="227" w:hanging="170"/>
              <w:rPr>
                <w:sz w:val="22"/>
                <w:rtl/>
              </w:rPr>
            </w:pPr>
            <w:r>
              <w:rPr>
                <w:rFonts w:hint="cs"/>
                <w:sz w:val="22"/>
                <w:rtl/>
              </w:rPr>
              <w:t>רווח (הפסד) לפני מסים על ההכנסה</w:t>
            </w:r>
          </w:p>
        </w:tc>
        <w:tc>
          <w:tcPr>
            <w:tcW w:w="126" w:type="dxa"/>
            <w:vAlign w:val="bottom"/>
          </w:tcPr>
          <w:p w14:paraId="61240AB2"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3EBB2728" w14:textId="77777777" w:rsidR="009676FA" w:rsidRPr="0074065E" w:rsidRDefault="009676FA" w:rsidP="006B7985">
            <w:pPr>
              <w:spacing w:line="240" w:lineRule="exact"/>
              <w:rPr>
                <w:rtl/>
              </w:rPr>
            </w:pPr>
          </w:p>
        </w:tc>
        <w:tc>
          <w:tcPr>
            <w:tcW w:w="141" w:type="dxa"/>
            <w:vAlign w:val="bottom"/>
          </w:tcPr>
          <w:p w14:paraId="2CD9F0DD"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3FFA2521" w14:textId="77777777" w:rsidR="009676FA" w:rsidRPr="0074065E" w:rsidRDefault="009676FA" w:rsidP="006B7985">
            <w:pPr>
              <w:tabs>
                <w:tab w:val="decimal" w:pos="113"/>
              </w:tabs>
              <w:spacing w:line="240" w:lineRule="exact"/>
              <w:rPr>
                <w:rtl/>
              </w:rPr>
            </w:pPr>
          </w:p>
        </w:tc>
        <w:tc>
          <w:tcPr>
            <w:tcW w:w="142" w:type="dxa"/>
            <w:vAlign w:val="bottom"/>
          </w:tcPr>
          <w:p w14:paraId="7A6F2A77"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15BD2260" w14:textId="77777777" w:rsidR="009676FA" w:rsidRPr="0074065E" w:rsidRDefault="009676FA" w:rsidP="006B7985">
            <w:pPr>
              <w:tabs>
                <w:tab w:val="decimal" w:pos="113"/>
              </w:tabs>
              <w:spacing w:line="240" w:lineRule="exact"/>
              <w:rPr>
                <w:rtl/>
              </w:rPr>
            </w:pPr>
          </w:p>
        </w:tc>
      </w:tr>
      <w:tr w:rsidR="009676FA" w:rsidRPr="0074065E" w14:paraId="69193115" w14:textId="77777777" w:rsidTr="006B7985">
        <w:trPr>
          <w:gridAfter w:val="1"/>
          <w:wAfter w:w="20" w:type="dxa"/>
        </w:trPr>
        <w:tc>
          <w:tcPr>
            <w:tcW w:w="3107" w:type="dxa"/>
            <w:vAlign w:val="bottom"/>
          </w:tcPr>
          <w:p w14:paraId="0C9529F0" w14:textId="77777777" w:rsidR="009676FA" w:rsidRPr="00C454B8" w:rsidRDefault="009676FA" w:rsidP="006B7985">
            <w:pPr>
              <w:pStyle w:val="a3"/>
              <w:tabs>
                <w:tab w:val="left" w:pos="227"/>
                <w:tab w:val="left" w:pos="397"/>
                <w:tab w:val="left" w:pos="567"/>
              </w:tabs>
              <w:ind w:left="227" w:hanging="170"/>
              <w:rPr>
                <w:sz w:val="22"/>
                <w:u w:val="single"/>
                <w:rtl/>
              </w:rPr>
            </w:pPr>
            <w:r>
              <w:rPr>
                <w:rFonts w:hint="cs"/>
                <w:sz w:val="22"/>
                <w:rtl/>
              </w:rPr>
              <w:t>מסים על ההכנסה</w:t>
            </w:r>
          </w:p>
        </w:tc>
        <w:tc>
          <w:tcPr>
            <w:tcW w:w="126" w:type="dxa"/>
            <w:vAlign w:val="bottom"/>
          </w:tcPr>
          <w:p w14:paraId="51769043"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4C893D65" w14:textId="77777777" w:rsidR="009676FA" w:rsidRPr="0074065E" w:rsidRDefault="009676FA" w:rsidP="006B7985">
            <w:pPr>
              <w:spacing w:line="240" w:lineRule="exact"/>
              <w:rPr>
                <w:rtl/>
              </w:rPr>
            </w:pPr>
          </w:p>
        </w:tc>
        <w:tc>
          <w:tcPr>
            <w:tcW w:w="141" w:type="dxa"/>
            <w:vAlign w:val="bottom"/>
          </w:tcPr>
          <w:p w14:paraId="48052A7A"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093B5B8C" w14:textId="77777777" w:rsidR="009676FA" w:rsidRPr="0074065E" w:rsidRDefault="009676FA" w:rsidP="006B7985">
            <w:pPr>
              <w:tabs>
                <w:tab w:val="decimal" w:pos="113"/>
              </w:tabs>
              <w:spacing w:line="240" w:lineRule="exact"/>
              <w:rPr>
                <w:rtl/>
              </w:rPr>
            </w:pPr>
          </w:p>
        </w:tc>
        <w:tc>
          <w:tcPr>
            <w:tcW w:w="142" w:type="dxa"/>
            <w:vAlign w:val="bottom"/>
          </w:tcPr>
          <w:p w14:paraId="4533B970"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6C5DE4A3" w14:textId="77777777" w:rsidR="009676FA" w:rsidRPr="0074065E" w:rsidRDefault="009676FA" w:rsidP="006B7985">
            <w:pPr>
              <w:tabs>
                <w:tab w:val="decimal" w:pos="113"/>
              </w:tabs>
              <w:spacing w:line="240" w:lineRule="exact"/>
              <w:rPr>
                <w:rtl/>
              </w:rPr>
            </w:pPr>
          </w:p>
        </w:tc>
      </w:tr>
      <w:tr w:rsidR="009676FA" w:rsidRPr="0074065E" w14:paraId="1BE70516" w14:textId="77777777" w:rsidTr="006B7985">
        <w:trPr>
          <w:gridAfter w:val="1"/>
          <w:wAfter w:w="20" w:type="dxa"/>
        </w:trPr>
        <w:tc>
          <w:tcPr>
            <w:tcW w:w="3107" w:type="dxa"/>
            <w:vAlign w:val="bottom"/>
          </w:tcPr>
          <w:p w14:paraId="067CD3D1" w14:textId="77777777" w:rsidR="009676FA" w:rsidRPr="00C454B8" w:rsidRDefault="009676FA" w:rsidP="006B7985">
            <w:pPr>
              <w:pStyle w:val="a3"/>
              <w:tabs>
                <w:tab w:val="left" w:pos="227"/>
                <w:tab w:val="left" w:pos="397"/>
                <w:tab w:val="left" w:pos="567"/>
              </w:tabs>
              <w:ind w:left="227" w:hanging="170"/>
              <w:rPr>
                <w:sz w:val="22"/>
                <w:rtl/>
              </w:rPr>
            </w:pPr>
          </w:p>
        </w:tc>
        <w:tc>
          <w:tcPr>
            <w:tcW w:w="126" w:type="dxa"/>
            <w:vAlign w:val="bottom"/>
          </w:tcPr>
          <w:p w14:paraId="7DD69C97" w14:textId="77777777" w:rsidR="009676FA" w:rsidRPr="0074065E" w:rsidRDefault="009676FA" w:rsidP="006B7985">
            <w:pPr>
              <w:spacing w:line="240" w:lineRule="exact"/>
              <w:rPr>
                <w:rtl/>
              </w:rPr>
            </w:pPr>
          </w:p>
        </w:tc>
        <w:tc>
          <w:tcPr>
            <w:tcW w:w="1196" w:type="dxa"/>
            <w:tcBorders>
              <w:top w:val="double" w:sz="4" w:space="0" w:color="auto"/>
            </w:tcBorders>
            <w:vAlign w:val="bottom"/>
          </w:tcPr>
          <w:p w14:paraId="2D423861" w14:textId="77777777" w:rsidR="009676FA" w:rsidRPr="0074065E" w:rsidRDefault="009676FA" w:rsidP="006B7985">
            <w:pPr>
              <w:spacing w:line="240" w:lineRule="exact"/>
              <w:rPr>
                <w:rtl/>
              </w:rPr>
            </w:pPr>
          </w:p>
        </w:tc>
        <w:tc>
          <w:tcPr>
            <w:tcW w:w="141" w:type="dxa"/>
            <w:vAlign w:val="bottom"/>
          </w:tcPr>
          <w:p w14:paraId="6079ADE3" w14:textId="77777777" w:rsidR="009676FA" w:rsidRPr="0074065E" w:rsidRDefault="009676FA" w:rsidP="006B7985">
            <w:pPr>
              <w:spacing w:line="240" w:lineRule="exact"/>
              <w:rPr>
                <w:rtl/>
              </w:rPr>
            </w:pPr>
          </w:p>
        </w:tc>
        <w:tc>
          <w:tcPr>
            <w:tcW w:w="1276" w:type="dxa"/>
            <w:tcBorders>
              <w:top w:val="double" w:sz="4" w:space="0" w:color="auto"/>
            </w:tcBorders>
            <w:vAlign w:val="bottom"/>
          </w:tcPr>
          <w:p w14:paraId="3710D6B3" w14:textId="77777777" w:rsidR="009676FA" w:rsidRPr="0074065E" w:rsidRDefault="009676FA" w:rsidP="006B7985">
            <w:pPr>
              <w:tabs>
                <w:tab w:val="decimal" w:pos="113"/>
              </w:tabs>
              <w:spacing w:line="240" w:lineRule="exact"/>
              <w:rPr>
                <w:rtl/>
              </w:rPr>
            </w:pPr>
          </w:p>
        </w:tc>
        <w:tc>
          <w:tcPr>
            <w:tcW w:w="142" w:type="dxa"/>
            <w:vAlign w:val="bottom"/>
          </w:tcPr>
          <w:p w14:paraId="1C0966D3" w14:textId="77777777" w:rsidR="009676FA" w:rsidRPr="0074065E" w:rsidRDefault="009676FA" w:rsidP="006B7985">
            <w:pPr>
              <w:tabs>
                <w:tab w:val="decimal" w:pos="113"/>
              </w:tabs>
              <w:spacing w:line="240" w:lineRule="exact"/>
              <w:rPr>
                <w:rtl/>
              </w:rPr>
            </w:pPr>
          </w:p>
        </w:tc>
        <w:tc>
          <w:tcPr>
            <w:tcW w:w="1397" w:type="dxa"/>
            <w:tcBorders>
              <w:top w:val="double" w:sz="4" w:space="0" w:color="auto"/>
            </w:tcBorders>
            <w:vAlign w:val="bottom"/>
          </w:tcPr>
          <w:p w14:paraId="2FBA5F4E" w14:textId="77777777" w:rsidR="009676FA" w:rsidRPr="0074065E" w:rsidRDefault="009676FA" w:rsidP="006B7985">
            <w:pPr>
              <w:tabs>
                <w:tab w:val="decimal" w:pos="113"/>
              </w:tabs>
              <w:spacing w:line="240" w:lineRule="exact"/>
              <w:rPr>
                <w:rtl/>
              </w:rPr>
            </w:pPr>
          </w:p>
        </w:tc>
      </w:tr>
      <w:tr w:rsidR="009676FA" w:rsidRPr="0074065E" w14:paraId="227041E3" w14:textId="77777777" w:rsidTr="006B7985">
        <w:trPr>
          <w:gridAfter w:val="1"/>
          <w:wAfter w:w="20" w:type="dxa"/>
        </w:trPr>
        <w:tc>
          <w:tcPr>
            <w:tcW w:w="3107" w:type="dxa"/>
            <w:vAlign w:val="bottom"/>
          </w:tcPr>
          <w:p w14:paraId="08BAD6FE" w14:textId="77777777" w:rsidR="009676FA" w:rsidRPr="00DD59FD" w:rsidRDefault="009676FA" w:rsidP="006B7985">
            <w:pPr>
              <w:pStyle w:val="a3"/>
              <w:tabs>
                <w:tab w:val="left" w:pos="227"/>
                <w:tab w:val="left" w:pos="397"/>
                <w:tab w:val="left" w:pos="567"/>
              </w:tabs>
              <w:ind w:left="227" w:hanging="170"/>
              <w:rPr>
                <w:sz w:val="22"/>
                <w:rtl/>
              </w:rPr>
            </w:pPr>
            <w:r>
              <w:rPr>
                <w:rFonts w:hint="cs"/>
                <w:b/>
                <w:bCs/>
                <w:sz w:val="22"/>
                <w:rtl/>
              </w:rPr>
              <w:t>רווח נקי</w:t>
            </w:r>
          </w:p>
        </w:tc>
        <w:tc>
          <w:tcPr>
            <w:tcW w:w="126" w:type="dxa"/>
            <w:vAlign w:val="bottom"/>
          </w:tcPr>
          <w:p w14:paraId="02D67205" w14:textId="77777777" w:rsidR="009676FA" w:rsidRPr="0074065E" w:rsidRDefault="009676FA" w:rsidP="006B7985">
            <w:pPr>
              <w:spacing w:line="240" w:lineRule="exact"/>
              <w:rPr>
                <w:rtl/>
              </w:rPr>
            </w:pPr>
          </w:p>
        </w:tc>
        <w:tc>
          <w:tcPr>
            <w:tcW w:w="1196" w:type="dxa"/>
            <w:tcBorders>
              <w:bottom w:val="double" w:sz="4" w:space="0" w:color="auto"/>
            </w:tcBorders>
            <w:vAlign w:val="bottom"/>
          </w:tcPr>
          <w:p w14:paraId="77E0CF94" w14:textId="77777777" w:rsidR="009676FA" w:rsidRPr="0074065E" w:rsidRDefault="009676FA" w:rsidP="006B7985">
            <w:pPr>
              <w:spacing w:line="240" w:lineRule="exact"/>
              <w:rPr>
                <w:rtl/>
              </w:rPr>
            </w:pPr>
          </w:p>
        </w:tc>
        <w:tc>
          <w:tcPr>
            <w:tcW w:w="141" w:type="dxa"/>
            <w:vAlign w:val="bottom"/>
          </w:tcPr>
          <w:p w14:paraId="06884F97" w14:textId="77777777" w:rsidR="009676FA" w:rsidRPr="0074065E" w:rsidRDefault="009676FA" w:rsidP="006B7985">
            <w:pPr>
              <w:spacing w:line="240" w:lineRule="exact"/>
              <w:rPr>
                <w:rtl/>
              </w:rPr>
            </w:pPr>
          </w:p>
        </w:tc>
        <w:tc>
          <w:tcPr>
            <w:tcW w:w="1276" w:type="dxa"/>
            <w:tcBorders>
              <w:bottom w:val="double" w:sz="4" w:space="0" w:color="auto"/>
            </w:tcBorders>
            <w:vAlign w:val="bottom"/>
          </w:tcPr>
          <w:p w14:paraId="366210C6" w14:textId="77777777" w:rsidR="009676FA" w:rsidRPr="0074065E" w:rsidRDefault="009676FA" w:rsidP="006B7985">
            <w:pPr>
              <w:tabs>
                <w:tab w:val="decimal" w:pos="113"/>
              </w:tabs>
              <w:spacing w:line="240" w:lineRule="exact"/>
              <w:rPr>
                <w:rtl/>
              </w:rPr>
            </w:pPr>
          </w:p>
        </w:tc>
        <w:tc>
          <w:tcPr>
            <w:tcW w:w="142" w:type="dxa"/>
            <w:vAlign w:val="bottom"/>
          </w:tcPr>
          <w:p w14:paraId="6B2A4941" w14:textId="77777777" w:rsidR="009676FA" w:rsidRPr="0074065E" w:rsidRDefault="009676FA" w:rsidP="006B7985">
            <w:pPr>
              <w:tabs>
                <w:tab w:val="decimal" w:pos="113"/>
              </w:tabs>
              <w:spacing w:line="240" w:lineRule="exact"/>
              <w:rPr>
                <w:rtl/>
              </w:rPr>
            </w:pPr>
          </w:p>
        </w:tc>
        <w:tc>
          <w:tcPr>
            <w:tcW w:w="1397" w:type="dxa"/>
            <w:tcBorders>
              <w:bottom w:val="double" w:sz="4" w:space="0" w:color="auto"/>
            </w:tcBorders>
            <w:vAlign w:val="bottom"/>
          </w:tcPr>
          <w:p w14:paraId="50492DD6" w14:textId="77777777" w:rsidR="009676FA" w:rsidRPr="0074065E" w:rsidRDefault="009676FA" w:rsidP="006B7985">
            <w:pPr>
              <w:tabs>
                <w:tab w:val="decimal" w:pos="113"/>
              </w:tabs>
              <w:spacing w:line="240" w:lineRule="exact"/>
              <w:rPr>
                <w:rtl/>
              </w:rPr>
            </w:pPr>
          </w:p>
        </w:tc>
      </w:tr>
      <w:tr w:rsidR="009676FA" w:rsidRPr="0074065E" w14:paraId="46432D48" w14:textId="77777777" w:rsidTr="006B7985">
        <w:trPr>
          <w:gridAfter w:val="1"/>
          <w:wAfter w:w="20" w:type="dxa"/>
        </w:trPr>
        <w:tc>
          <w:tcPr>
            <w:tcW w:w="3107" w:type="dxa"/>
            <w:vAlign w:val="bottom"/>
          </w:tcPr>
          <w:p w14:paraId="479C5E75" w14:textId="77777777" w:rsidR="009676FA" w:rsidRPr="00C454B8" w:rsidRDefault="009676FA" w:rsidP="006B7985">
            <w:pPr>
              <w:pStyle w:val="a3"/>
              <w:tabs>
                <w:tab w:val="left" w:pos="227"/>
                <w:tab w:val="left" w:pos="397"/>
                <w:tab w:val="left" w:pos="567"/>
              </w:tabs>
              <w:ind w:left="227" w:hanging="170"/>
              <w:rPr>
                <w:sz w:val="22"/>
                <w:rtl/>
              </w:rPr>
            </w:pPr>
            <w:r>
              <w:rPr>
                <w:rFonts w:hint="cs"/>
                <w:sz w:val="22"/>
                <w:rtl/>
              </w:rPr>
              <w:t>מיוחס ל:</w:t>
            </w:r>
          </w:p>
        </w:tc>
        <w:tc>
          <w:tcPr>
            <w:tcW w:w="126" w:type="dxa"/>
            <w:vAlign w:val="bottom"/>
          </w:tcPr>
          <w:p w14:paraId="54E082CC"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4406B336" w14:textId="77777777" w:rsidR="009676FA" w:rsidRPr="0074065E" w:rsidRDefault="009676FA" w:rsidP="006B7985">
            <w:pPr>
              <w:spacing w:line="240" w:lineRule="exact"/>
              <w:rPr>
                <w:rtl/>
              </w:rPr>
            </w:pPr>
          </w:p>
        </w:tc>
        <w:tc>
          <w:tcPr>
            <w:tcW w:w="141" w:type="dxa"/>
            <w:vAlign w:val="bottom"/>
          </w:tcPr>
          <w:p w14:paraId="5015F60F"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758D7650" w14:textId="77777777" w:rsidR="009676FA" w:rsidRPr="0074065E" w:rsidRDefault="009676FA" w:rsidP="006B7985">
            <w:pPr>
              <w:tabs>
                <w:tab w:val="decimal" w:pos="113"/>
              </w:tabs>
              <w:spacing w:line="240" w:lineRule="exact"/>
              <w:rPr>
                <w:rtl/>
              </w:rPr>
            </w:pPr>
          </w:p>
        </w:tc>
        <w:tc>
          <w:tcPr>
            <w:tcW w:w="142" w:type="dxa"/>
            <w:vAlign w:val="bottom"/>
          </w:tcPr>
          <w:p w14:paraId="4F00C53C"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6B9B7778" w14:textId="77777777" w:rsidR="009676FA" w:rsidRPr="0074065E" w:rsidRDefault="009676FA" w:rsidP="006B7985">
            <w:pPr>
              <w:tabs>
                <w:tab w:val="decimal" w:pos="113"/>
              </w:tabs>
              <w:spacing w:line="240" w:lineRule="exact"/>
              <w:rPr>
                <w:rtl/>
              </w:rPr>
            </w:pPr>
          </w:p>
        </w:tc>
      </w:tr>
      <w:tr w:rsidR="009676FA" w:rsidRPr="0074065E" w14:paraId="7F625A65" w14:textId="77777777" w:rsidTr="006B7985">
        <w:trPr>
          <w:gridAfter w:val="1"/>
          <w:wAfter w:w="20" w:type="dxa"/>
        </w:trPr>
        <w:tc>
          <w:tcPr>
            <w:tcW w:w="3107" w:type="dxa"/>
            <w:vAlign w:val="bottom"/>
          </w:tcPr>
          <w:p w14:paraId="1A2CF235" w14:textId="77777777" w:rsidR="009676FA" w:rsidRPr="00C454B8" w:rsidRDefault="009676FA" w:rsidP="006B7985">
            <w:pPr>
              <w:pStyle w:val="a3"/>
              <w:tabs>
                <w:tab w:val="left" w:pos="227"/>
                <w:tab w:val="left" w:pos="397"/>
                <w:tab w:val="left" w:pos="567"/>
              </w:tabs>
              <w:ind w:left="227" w:hanging="170"/>
              <w:rPr>
                <w:sz w:val="22"/>
                <w:rtl/>
              </w:rPr>
            </w:pPr>
            <w:r>
              <w:rPr>
                <w:rFonts w:hint="cs"/>
                <w:sz w:val="22"/>
                <w:rtl/>
              </w:rPr>
              <w:t>בעלי מניות החברה</w:t>
            </w:r>
          </w:p>
        </w:tc>
        <w:tc>
          <w:tcPr>
            <w:tcW w:w="126" w:type="dxa"/>
            <w:vAlign w:val="bottom"/>
          </w:tcPr>
          <w:p w14:paraId="4954A6EE"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4F94E3D5" w14:textId="77777777" w:rsidR="009676FA" w:rsidRPr="0074065E" w:rsidRDefault="009676FA" w:rsidP="006B7985">
            <w:pPr>
              <w:spacing w:line="240" w:lineRule="exact"/>
              <w:rPr>
                <w:rtl/>
              </w:rPr>
            </w:pPr>
          </w:p>
        </w:tc>
        <w:tc>
          <w:tcPr>
            <w:tcW w:w="141" w:type="dxa"/>
            <w:vAlign w:val="bottom"/>
          </w:tcPr>
          <w:p w14:paraId="1DF54762"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65C04EBE" w14:textId="77777777" w:rsidR="009676FA" w:rsidRPr="0074065E" w:rsidRDefault="009676FA" w:rsidP="006B7985">
            <w:pPr>
              <w:tabs>
                <w:tab w:val="decimal" w:pos="113"/>
              </w:tabs>
              <w:spacing w:line="240" w:lineRule="exact"/>
              <w:rPr>
                <w:rtl/>
              </w:rPr>
            </w:pPr>
          </w:p>
        </w:tc>
        <w:tc>
          <w:tcPr>
            <w:tcW w:w="142" w:type="dxa"/>
            <w:vAlign w:val="bottom"/>
          </w:tcPr>
          <w:p w14:paraId="1D99CE8E"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3095D6E8" w14:textId="77777777" w:rsidR="009676FA" w:rsidRPr="0074065E" w:rsidRDefault="009676FA" w:rsidP="006B7985">
            <w:pPr>
              <w:tabs>
                <w:tab w:val="decimal" w:pos="113"/>
              </w:tabs>
              <w:spacing w:line="240" w:lineRule="exact"/>
              <w:rPr>
                <w:rtl/>
              </w:rPr>
            </w:pPr>
          </w:p>
        </w:tc>
      </w:tr>
      <w:tr w:rsidR="009676FA" w:rsidRPr="0074065E" w14:paraId="638A39A1" w14:textId="77777777" w:rsidTr="006B7985">
        <w:trPr>
          <w:gridAfter w:val="1"/>
          <w:wAfter w:w="20" w:type="dxa"/>
        </w:trPr>
        <w:tc>
          <w:tcPr>
            <w:tcW w:w="3107" w:type="dxa"/>
            <w:vAlign w:val="bottom"/>
          </w:tcPr>
          <w:p w14:paraId="7B32C5E8" w14:textId="77777777" w:rsidR="009676FA" w:rsidRPr="00C454B8" w:rsidRDefault="009676FA" w:rsidP="006B7985">
            <w:pPr>
              <w:pStyle w:val="a3"/>
              <w:tabs>
                <w:tab w:val="left" w:pos="227"/>
                <w:tab w:val="left" w:pos="397"/>
                <w:tab w:val="left" w:pos="567"/>
              </w:tabs>
              <w:ind w:left="227" w:hanging="170"/>
              <w:rPr>
                <w:sz w:val="22"/>
                <w:rtl/>
              </w:rPr>
            </w:pPr>
            <w:r>
              <w:rPr>
                <w:rFonts w:hint="cs"/>
                <w:sz w:val="22"/>
                <w:rtl/>
              </w:rPr>
              <w:t>זכויות שאינן מקנות שליטה</w:t>
            </w:r>
          </w:p>
        </w:tc>
        <w:tc>
          <w:tcPr>
            <w:tcW w:w="126" w:type="dxa"/>
            <w:vAlign w:val="bottom"/>
          </w:tcPr>
          <w:p w14:paraId="65DF40CD"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40C5EB7D" w14:textId="77777777" w:rsidR="009676FA" w:rsidRPr="0074065E" w:rsidRDefault="009676FA" w:rsidP="006B7985">
            <w:pPr>
              <w:spacing w:line="240" w:lineRule="exact"/>
              <w:rPr>
                <w:rtl/>
              </w:rPr>
            </w:pPr>
          </w:p>
        </w:tc>
        <w:tc>
          <w:tcPr>
            <w:tcW w:w="141" w:type="dxa"/>
            <w:vAlign w:val="bottom"/>
          </w:tcPr>
          <w:p w14:paraId="03E7ED49"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7386B8F2" w14:textId="77777777" w:rsidR="009676FA" w:rsidRPr="0074065E" w:rsidRDefault="009676FA" w:rsidP="006B7985">
            <w:pPr>
              <w:tabs>
                <w:tab w:val="decimal" w:pos="113"/>
              </w:tabs>
              <w:spacing w:line="240" w:lineRule="exact"/>
              <w:rPr>
                <w:rtl/>
              </w:rPr>
            </w:pPr>
          </w:p>
        </w:tc>
        <w:tc>
          <w:tcPr>
            <w:tcW w:w="142" w:type="dxa"/>
            <w:vAlign w:val="bottom"/>
          </w:tcPr>
          <w:p w14:paraId="12721B4C"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3E8DDDFE" w14:textId="77777777" w:rsidR="009676FA" w:rsidRPr="0074065E" w:rsidRDefault="009676FA" w:rsidP="006B7985">
            <w:pPr>
              <w:tabs>
                <w:tab w:val="decimal" w:pos="113"/>
              </w:tabs>
              <w:spacing w:line="240" w:lineRule="exact"/>
              <w:rPr>
                <w:rtl/>
              </w:rPr>
            </w:pPr>
          </w:p>
        </w:tc>
      </w:tr>
      <w:tr w:rsidR="009676FA" w:rsidRPr="0074065E" w14:paraId="32BC7A13" w14:textId="77777777" w:rsidTr="006B7985">
        <w:trPr>
          <w:gridAfter w:val="1"/>
          <w:wAfter w:w="20" w:type="dxa"/>
        </w:trPr>
        <w:tc>
          <w:tcPr>
            <w:tcW w:w="3107" w:type="dxa"/>
            <w:vAlign w:val="bottom"/>
          </w:tcPr>
          <w:p w14:paraId="48D1C5F5" w14:textId="77777777" w:rsidR="009676FA" w:rsidRPr="00C454B8" w:rsidRDefault="009676FA" w:rsidP="006B7985">
            <w:pPr>
              <w:pStyle w:val="a3"/>
              <w:tabs>
                <w:tab w:val="left" w:pos="227"/>
                <w:tab w:val="left" w:pos="397"/>
                <w:tab w:val="left" w:pos="567"/>
              </w:tabs>
              <w:ind w:left="227" w:hanging="170"/>
              <w:rPr>
                <w:sz w:val="22"/>
                <w:rtl/>
              </w:rPr>
            </w:pPr>
          </w:p>
        </w:tc>
        <w:tc>
          <w:tcPr>
            <w:tcW w:w="126" w:type="dxa"/>
            <w:vAlign w:val="bottom"/>
          </w:tcPr>
          <w:p w14:paraId="32A41422" w14:textId="77777777" w:rsidR="009676FA" w:rsidRPr="0074065E" w:rsidRDefault="009676FA" w:rsidP="006B7985">
            <w:pPr>
              <w:spacing w:line="240" w:lineRule="exact"/>
              <w:rPr>
                <w:rtl/>
              </w:rPr>
            </w:pPr>
          </w:p>
        </w:tc>
        <w:tc>
          <w:tcPr>
            <w:tcW w:w="1196" w:type="dxa"/>
            <w:tcBorders>
              <w:top w:val="double" w:sz="4" w:space="0" w:color="auto"/>
            </w:tcBorders>
            <w:vAlign w:val="bottom"/>
          </w:tcPr>
          <w:p w14:paraId="5BA524CE" w14:textId="77777777" w:rsidR="009676FA" w:rsidRPr="0074065E" w:rsidRDefault="009676FA" w:rsidP="006B7985">
            <w:pPr>
              <w:spacing w:line="240" w:lineRule="exact"/>
              <w:rPr>
                <w:rtl/>
              </w:rPr>
            </w:pPr>
          </w:p>
        </w:tc>
        <w:tc>
          <w:tcPr>
            <w:tcW w:w="141" w:type="dxa"/>
            <w:vAlign w:val="bottom"/>
          </w:tcPr>
          <w:p w14:paraId="6981E579" w14:textId="77777777" w:rsidR="009676FA" w:rsidRPr="0074065E" w:rsidRDefault="009676FA" w:rsidP="006B7985">
            <w:pPr>
              <w:spacing w:line="240" w:lineRule="exact"/>
              <w:rPr>
                <w:rtl/>
              </w:rPr>
            </w:pPr>
          </w:p>
        </w:tc>
        <w:tc>
          <w:tcPr>
            <w:tcW w:w="1276" w:type="dxa"/>
            <w:tcBorders>
              <w:top w:val="double" w:sz="4" w:space="0" w:color="auto"/>
            </w:tcBorders>
            <w:vAlign w:val="bottom"/>
          </w:tcPr>
          <w:p w14:paraId="374D4FB7" w14:textId="77777777" w:rsidR="009676FA" w:rsidRPr="0074065E" w:rsidRDefault="009676FA" w:rsidP="006B7985">
            <w:pPr>
              <w:tabs>
                <w:tab w:val="decimal" w:pos="113"/>
              </w:tabs>
              <w:spacing w:line="240" w:lineRule="exact"/>
              <w:rPr>
                <w:rtl/>
              </w:rPr>
            </w:pPr>
          </w:p>
        </w:tc>
        <w:tc>
          <w:tcPr>
            <w:tcW w:w="142" w:type="dxa"/>
            <w:vAlign w:val="bottom"/>
          </w:tcPr>
          <w:p w14:paraId="2BF7E384" w14:textId="77777777" w:rsidR="009676FA" w:rsidRPr="0074065E" w:rsidRDefault="009676FA" w:rsidP="006B7985">
            <w:pPr>
              <w:tabs>
                <w:tab w:val="decimal" w:pos="113"/>
              </w:tabs>
              <w:spacing w:line="240" w:lineRule="exact"/>
              <w:rPr>
                <w:rtl/>
              </w:rPr>
            </w:pPr>
          </w:p>
        </w:tc>
        <w:tc>
          <w:tcPr>
            <w:tcW w:w="1397" w:type="dxa"/>
            <w:tcBorders>
              <w:top w:val="double" w:sz="4" w:space="0" w:color="auto"/>
            </w:tcBorders>
            <w:vAlign w:val="bottom"/>
          </w:tcPr>
          <w:p w14:paraId="5FE01618" w14:textId="77777777" w:rsidR="009676FA" w:rsidRPr="0074065E" w:rsidRDefault="009676FA" w:rsidP="006B7985">
            <w:pPr>
              <w:tabs>
                <w:tab w:val="decimal" w:pos="113"/>
              </w:tabs>
              <w:spacing w:line="240" w:lineRule="exact"/>
              <w:rPr>
                <w:rtl/>
              </w:rPr>
            </w:pPr>
          </w:p>
        </w:tc>
      </w:tr>
      <w:tr w:rsidR="009676FA" w:rsidRPr="0074065E" w14:paraId="5E5336AE" w14:textId="77777777" w:rsidTr="006B7985">
        <w:trPr>
          <w:gridAfter w:val="1"/>
          <w:wAfter w:w="20" w:type="dxa"/>
        </w:trPr>
        <w:tc>
          <w:tcPr>
            <w:tcW w:w="3107" w:type="dxa"/>
            <w:vAlign w:val="bottom"/>
          </w:tcPr>
          <w:p w14:paraId="03A3FF33" w14:textId="77777777" w:rsidR="009676FA" w:rsidRPr="00C454B8" w:rsidRDefault="009676FA" w:rsidP="006B7985">
            <w:pPr>
              <w:pStyle w:val="a3"/>
              <w:tabs>
                <w:tab w:val="left" w:pos="227"/>
                <w:tab w:val="left" w:pos="397"/>
                <w:tab w:val="left" w:pos="567"/>
              </w:tabs>
              <w:ind w:left="227" w:hanging="170"/>
              <w:rPr>
                <w:sz w:val="22"/>
                <w:u w:val="single"/>
                <w:rtl/>
              </w:rPr>
            </w:pPr>
            <w:r w:rsidRPr="00C454B8">
              <w:rPr>
                <w:sz w:val="22"/>
                <w:rtl/>
              </w:rPr>
              <w:t xml:space="preserve">רווח נקי (הפסד) בסיסי </w:t>
            </w:r>
            <w:r w:rsidRPr="00C454B8">
              <w:rPr>
                <w:rFonts w:hint="eastAsia"/>
                <w:sz w:val="22"/>
                <w:rtl/>
              </w:rPr>
              <w:t>למניה</w:t>
            </w:r>
            <w:r w:rsidRPr="00C454B8">
              <w:rPr>
                <w:sz w:val="22"/>
                <w:rtl/>
              </w:rPr>
              <w:t xml:space="preserve"> (בש"ח)</w:t>
            </w:r>
          </w:p>
        </w:tc>
        <w:tc>
          <w:tcPr>
            <w:tcW w:w="126" w:type="dxa"/>
            <w:vAlign w:val="bottom"/>
          </w:tcPr>
          <w:p w14:paraId="45820844" w14:textId="77777777" w:rsidR="009676FA" w:rsidRPr="0074065E" w:rsidRDefault="009676FA" w:rsidP="006B7985">
            <w:pPr>
              <w:spacing w:line="240" w:lineRule="exact"/>
              <w:rPr>
                <w:rtl/>
              </w:rPr>
            </w:pPr>
          </w:p>
        </w:tc>
        <w:tc>
          <w:tcPr>
            <w:tcW w:w="1196" w:type="dxa"/>
            <w:tcBorders>
              <w:bottom w:val="double" w:sz="4" w:space="0" w:color="auto"/>
            </w:tcBorders>
            <w:vAlign w:val="bottom"/>
          </w:tcPr>
          <w:p w14:paraId="2883F025" w14:textId="77777777" w:rsidR="009676FA" w:rsidRPr="0074065E" w:rsidRDefault="009676FA" w:rsidP="006B7985">
            <w:pPr>
              <w:spacing w:line="240" w:lineRule="exact"/>
              <w:rPr>
                <w:rtl/>
              </w:rPr>
            </w:pPr>
          </w:p>
        </w:tc>
        <w:tc>
          <w:tcPr>
            <w:tcW w:w="141" w:type="dxa"/>
            <w:vAlign w:val="bottom"/>
          </w:tcPr>
          <w:p w14:paraId="68A0944E" w14:textId="77777777" w:rsidR="009676FA" w:rsidRPr="0074065E" w:rsidRDefault="009676FA" w:rsidP="006B7985">
            <w:pPr>
              <w:spacing w:line="240" w:lineRule="exact"/>
              <w:rPr>
                <w:rtl/>
              </w:rPr>
            </w:pPr>
          </w:p>
        </w:tc>
        <w:tc>
          <w:tcPr>
            <w:tcW w:w="1276" w:type="dxa"/>
            <w:tcBorders>
              <w:bottom w:val="double" w:sz="4" w:space="0" w:color="auto"/>
            </w:tcBorders>
            <w:vAlign w:val="bottom"/>
          </w:tcPr>
          <w:p w14:paraId="73665E82" w14:textId="77777777" w:rsidR="009676FA" w:rsidRPr="0074065E" w:rsidRDefault="009676FA" w:rsidP="006B7985">
            <w:pPr>
              <w:tabs>
                <w:tab w:val="decimal" w:pos="113"/>
              </w:tabs>
              <w:spacing w:line="240" w:lineRule="exact"/>
              <w:rPr>
                <w:rtl/>
              </w:rPr>
            </w:pPr>
          </w:p>
        </w:tc>
        <w:tc>
          <w:tcPr>
            <w:tcW w:w="142" w:type="dxa"/>
            <w:vAlign w:val="bottom"/>
          </w:tcPr>
          <w:p w14:paraId="394489D4" w14:textId="77777777" w:rsidR="009676FA" w:rsidRPr="0074065E" w:rsidRDefault="009676FA" w:rsidP="006B7985">
            <w:pPr>
              <w:tabs>
                <w:tab w:val="decimal" w:pos="113"/>
              </w:tabs>
              <w:spacing w:line="240" w:lineRule="exact"/>
              <w:rPr>
                <w:rtl/>
              </w:rPr>
            </w:pPr>
          </w:p>
        </w:tc>
        <w:tc>
          <w:tcPr>
            <w:tcW w:w="1397" w:type="dxa"/>
            <w:tcBorders>
              <w:bottom w:val="double" w:sz="4" w:space="0" w:color="auto"/>
            </w:tcBorders>
            <w:vAlign w:val="bottom"/>
          </w:tcPr>
          <w:p w14:paraId="15685360" w14:textId="77777777" w:rsidR="009676FA" w:rsidRPr="0074065E" w:rsidRDefault="009676FA" w:rsidP="006B7985">
            <w:pPr>
              <w:tabs>
                <w:tab w:val="decimal" w:pos="113"/>
              </w:tabs>
              <w:spacing w:line="240" w:lineRule="exact"/>
              <w:rPr>
                <w:rtl/>
              </w:rPr>
            </w:pPr>
          </w:p>
        </w:tc>
      </w:tr>
      <w:tr w:rsidR="009676FA" w:rsidRPr="0074065E" w14:paraId="3E266605" w14:textId="77777777" w:rsidTr="006B7985">
        <w:trPr>
          <w:gridAfter w:val="1"/>
          <w:wAfter w:w="20" w:type="dxa"/>
        </w:trPr>
        <w:tc>
          <w:tcPr>
            <w:tcW w:w="3107" w:type="dxa"/>
            <w:vAlign w:val="bottom"/>
          </w:tcPr>
          <w:p w14:paraId="3965A2E1" w14:textId="77777777" w:rsidR="009676FA" w:rsidRPr="00C454B8" w:rsidRDefault="009676FA" w:rsidP="006B7985">
            <w:pPr>
              <w:pStyle w:val="a3"/>
              <w:tabs>
                <w:tab w:val="left" w:pos="227"/>
                <w:tab w:val="left" w:pos="397"/>
                <w:tab w:val="left" w:pos="567"/>
              </w:tabs>
              <w:ind w:left="227" w:hanging="170"/>
              <w:rPr>
                <w:sz w:val="22"/>
                <w:u w:val="single"/>
                <w:rtl/>
              </w:rPr>
            </w:pPr>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p>
        </w:tc>
        <w:tc>
          <w:tcPr>
            <w:tcW w:w="126" w:type="dxa"/>
            <w:vAlign w:val="bottom"/>
          </w:tcPr>
          <w:p w14:paraId="0B265A46"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5961DC4F" w14:textId="77777777" w:rsidR="009676FA" w:rsidRPr="0074065E" w:rsidRDefault="009676FA" w:rsidP="006B7985">
            <w:pPr>
              <w:spacing w:line="240" w:lineRule="exact"/>
              <w:rPr>
                <w:rtl/>
              </w:rPr>
            </w:pPr>
          </w:p>
        </w:tc>
        <w:tc>
          <w:tcPr>
            <w:tcW w:w="141" w:type="dxa"/>
            <w:vAlign w:val="bottom"/>
          </w:tcPr>
          <w:p w14:paraId="1A4DBB56"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331896A7" w14:textId="77777777" w:rsidR="009676FA" w:rsidRPr="0074065E" w:rsidRDefault="009676FA" w:rsidP="006B7985">
            <w:pPr>
              <w:tabs>
                <w:tab w:val="decimal" w:pos="113"/>
              </w:tabs>
              <w:spacing w:line="240" w:lineRule="exact"/>
              <w:rPr>
                <w:rtl/>
              </w:rPr>
            </w:pPr>
          </w:p>
        </w:tc>
        <w:tc>
          <w:tcPr>
            <w:tcW w:w="142" w:type="dxa"/>
            <w:vAlign w:val="bottom"/>
          </w:tcPr>
          <w:p w14:paraId="5158584A"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453FDDA2" w14:textId="77777777" w:rsidR="009676FA" w:rsidRPr="0074065E" w:rsidRDefault="009676FA" w:rsidP="006B7985">
            <w:pPr>
              <w:tabs>
                <w:tab w:val="decimal" w:pos="113"/>
              </w:tabs>
              <w:spacing w:line="240" w:lineRule="exact"/>
              <w:rPr>
                <w:rtl/>
              </w:rPr>
            </w:pPr>
          </w:p>
        </w:tc>
      </w:tr>
    </w:tbl>
    <w:p w14:paraId="494F026A" w14:textId="77777777" w:rsidR="009676FA" w:rsidRDefault="009676FA" w:rsidP="00CE4C07">
      <w:pPr>
        <w:tabs>
          <w:tab w:val="left" w:pos="1134"/>
          <w:tab w:val="left" w:pos="1701"/>
        </w:tabs>
        <w:ind w:left="1701"/>
        <w:rPr>
          <w:rFonts w:ascii="Narkisim" w:hAnsi="Narkisim"/>
          <w:rtl/>
        </w:rPr>
      </w:pPr>
    </w:p>
    <w:tbl>
      <w:tblPr>
        <w:bidiVisual/>
        <w:tblW w:w="7405" w:type="dxa"/>
        <w:tblInd w:w="2234" w:type="dxa"/>
        <w:tblLayout w:type="fixed"/>
        <w:tblCellMar>
          <w:left w:w="0" w:type="dxa"/>
          <w:right w:w="0" w:type="dxa"/>
        </w:tblCellMar>
        <w:tblLook w:val="0000" w:firstRow="0" w:lastRow="0" w:firstColumn="0" w:lastColumn="0" w:noHBand="0" w:noVBand="0"/>
      </w:tblPr>
      <w:tblGrid>
        <w:gridCol w:w="3107"/>
        <w:gridCol w:w="126"/>
        <w:gridCol w:w="1196"/>
        <w:gridCol w:w="141"/>
        <w:gridCol w:w="1276"/>
        <w:gridCol w:w="142"/>
        <w:gridCol w:w="1397"/>
        <w:gridCol w:w="20"/>
      </w:tblGrid>
      <w:tr w:rsidR="009676FA" w:rsidRPr="0074065E" w14:paraId="19D4CE2E" w14:textId="77777777" w:rsidTr="006B7985">
        <w:tc>
          <w:tcPr>
            <w:tcW w:w="3107" w:type="dxa"/>
            <w:vAlign w:val="bottom"/>
          </w:tcPr>
          <w:p w14:paraId="26C93FB7" w14:textId="77777777" w:rsidR="009676FA" w:rsidRPr="00C454B8" w:rsidRDefault="009676FA" w:rsidP="006B7985">
            <w:pPr>
              <w:pStyle w:val="a3"/>
              <w:tabs>
                <w:tab w:val="left" w:pos="227"/>
                <w:tab w:val="left" w:pos="397"/>
                <w:tab w:val="left" w:pos="567"/>
              </w:tabs>
              <w:ind w:left="227" w:hanging="170"/>
              <w:rPr>
                <w:sz w:val="22"/>
                <w:rtl/>
              </w:rPr>
            </w:pPr>
          </w:p>
        </w:tc>
        <w:tc>
          <w:tcPr>
            <w:tcW w:w="126" w:type="dxa"/>
            <w:vAlign w:val="bottom"/>
          </w:tcPr>
          <w:p w14:paraId="119E1072" w14:textId="77777777" w:rsidR="009676FA" w:rsidRPr="0074065E" w:rsidRDefault="009676FA" w:rsidP="006B7985">
            <w:pPr>
              <w:spacing w:line="240" w:lineRule="exact"/>
              <w:jc w:val="center"/>
              <w:rPr>
                <w:rtl/>
              </w:rPr>
            </w:pPr>
          </w:p>
        </w:tc>
        <w:tc>
          <w:tcPr>
            <w:tcW w:w="1196" w:type="dxa"/>
            <w:tcBorders>
              <w:bottom w:val="single" w:sz="6" w:space="0" w:color="auto"/>
            </w:tcBorders>
            <w:shd w:val="clear" w:color="auto" w:fill="auto"/>
            <w:vAlign w:val="bottom"/>
          </w:tcPr>
          <w:p w14:paraId="77E9AB65" w14:textId="77777777" w:rsidR="009676FA" w:rsidRPr="0074065E" w:rsidRDefault="009676FA" w:rsidP="006B7985">
            <w:pPr>
              <w:spacing w:line="240" w:lineRule="exact"/>
              <w:jc w:val="center"/>
              <w:rPr>
                <w:rtl/>
              </w:rPr>
            </w:pPr>
            <w:r>
              <w:rPr>
                <w:rFonts w:hint="cs"/>
                <w:rtl/>
              </w:rPr>
              <w:t xml:space="preserve"> בהתאם למדיניות הקודמת</w:t>
            </w:r>
          </w:p>
        </w:tc>
        <w:tc>
          <w:tcPr>
            <w:tcW w:w="141" w:type="dxa"/>
            <w:vAlign w:val="bottom"/>
          </w:tcPr>
          <w:p w14:paraId="5A61348E" w14:textId="77777777" w:rsidR="009676FA" w:rsidRPr="0074065E" w:rsidRDefault="009676FA" w:rsidP="006B7985">
            <w:pPr>
              <w:spacing w:line="240" w:lineRule="exact"/>
              <w:jc w:val="center"/>
              <w:rPr>
                <w:rtl/>
              </w:rPr>
            </w:pPr>
          </w:p>
        </w:tc>
        <w:tc>
          <w:tcPr>
            <w:tcW w:w="1276" w:type="dxa"/>
            <w:tcBorders>
              <w:bottom w:val="single" w:sz="6" w:space="0" w:color="auto"/>
            </w:tcBorders>
            <w:vAlign w:val="bottom"/>
          </w:tcPr>
          <w:p w14:paraId="5E2A16F5" w14:textId="77777777" w:rsidR="009676FA" w:rsidRPr="0074065E" w:rsidRDefault="009676FA" w:rsidP="006B7985">
            <w:pPr>
              <w:spacing w:line="240" w:lineRule="exact"/>
              <w:jc w:val="center"/>
              <w:rPr>
                <w:rtl/>
              </w:rPr>
            </w:pPr>
            <w:r>
              <w:rPr>
                <w:rFonts w:hint="cs"/>
                <w:rtl/>
              </w:rPr>
              <w:t xml:space="preserve">השינוי </w:t>
            </w:r>
          </w:p>
        </w:tc>
        <w:tc>
          <w:tcPr>
            <w:tcW w:w="142" w:type="dxa"/>
            <w:vAlign w:val="bottom"/>
          </w:tcPr>
          <w:p w14:paraId="0FBF9A03" w14:textId="77777777" w:rsidR="009676FA" w:rsidRPr="0074065E" w:rsidRDefault="009676FA" w:rsidP="006B7985">
            <w:pPr>
              <w:spacing w:line="240" w:lineRule="exact"/>
              <w:jc w:val="center"/>
              <w:rPr>
                <w:rtl/>
              </w:rPr>
            </w:pPr>
          </w:p>
        </w:tc>
        <w:tc>
          <w:tcPr>
            <w:tcW w:w="1417" w:type="dxa"/>
            <w:gridSpan w:val="2"/>
            <w:tcBorders>
              <w:bottom w:val="single" w:sz="6" w:space="0" w:color="auto"/>
            </w:tcBorders>
            <w:vAlign w:val="bottom"/>
          </w:tcPr>
          <w:p w14:paraId="448412DF" w14:textId="77777777" w:rsidR="009676FA" w:rsidRPr="0074065E" w:rsidRDefault="009676FA" w:rsidP="006B7985">
            <w:pPr>
              <w:spacing w:line="240" w:lineRule="exact"/>
              <w:jc w:val="center"/>
              <w:rPr>
                <w:rtl/>
              </w:rPr>
            </w:pPr>
            <w:r>
              <w:rPr>
                <w:rFonts w:hint="cs"/>
                <w:rtl/>
              </w:rPr>
              <w:t xml:space="preserve"> כמוצג בדוחות כספיים אלה</w:t>
            </w:r>
          </w:p>
        </w:tc>
      </w:tr>
      <w:tr w:rsidR="009676FA" w:rsidRPr="0074065E" w14:paraId="52E3526D" w14:textId="77777777" w:rsidTr="006B7985">
        <w:tc>
          <w:tcPr>
            <w:tcW w:w="3107" w:type="dxa"/>
            <w:vAlign w:val="bottom"/>
          </w:tcPr>
          <w:p w14:paraId="13F67409" w14:textId="77777777" w:rsidR="009676FA" w:rsidRPr="00C454B8" w:rsidRDefault="009676FA" w:rsidP="006B7985">
            <w:pPr>
              <w:pStyle w:val="a3"/>
              <w:tabs>
                <w:tab w:val="left" w:pos="227"/>
                <w:tab w:val="left" w:pos="397"/>
                <w:tab w:val="left" w:pos="567"/>
              </w:tabs>
              <w:ind w:left="227" w:hanging="170"/>
              <w:rPr>
                <w:sz w:val="22"/>
                <w:rtl/>
              </w:rPr>
            </w:pPr>
          </w:p>
        </w:tc>
        <w:tc>
          <w:tcPr>
            <w:tcW w:w="126" w:type="dxa"/>
            <w:vAlign w:val="bottom"/>
          </w:tcPr>
          <w:p w14:paraId="70CE2F05" w14:textId="77777777" w:rsidR="009676FA" w:rsidRPr="0074065E" w:rsidRDefault="009676FA" w:rsidP="006B7985">
            <w:pPr>
              <w:spacing w:line="240" w:lineRule="exact"/>
              <w:rPr>
                <w:rtl/>
              </w:rPr>
            </w:pPr>
          </w:p>
        </w:tc>
        <w:tc>
          <w:tcPr>
            <w:tcW w:w="4172" w:type="dxa"/>
            <w:gridSpan w:val="6"/>
            <w:tcBorders>
              <w:bottom w:val="single" w:sz="6" w:space="0" w:color="auto"/>
            </w:tcBorders>
            <w:shd w:val="clear" w:color="auto" w:fill="auto"/>
            <w:vAlign w:val="bottom"/>
          </w:tcPr>
          <w:p w14:paraId="30EEC409" w14:textId="77777777" w:rsidR="009676FA" w:rsidRPr="0074065E" w:rsidRDefault="009676FA" w:rsidP="006B7985">
            <w:pPr>
              <w:tabs>
                <w:tab w:val="decimal" w:pos="113"/>
              </w:tabs>
              <w:spacing w:line="240" w:lineRule="exact"/>
              <w:jc w:val="center"/>
              <w:rPr>
                <w:rtl/>
              </w:rPr>
            </w:pPr>
            <w:r w:rsidRPr="0074065E">
              <w:rPr>
                <w:rtl/>
              </w:rPr>
              <w:t>אלפי ש"ח (למעט נתוני רווח נקי (הפסד) למניה)</w:t>
            </w:r>
          </w:p>
        </w:tc>
      </w:tr>
      <w:tr w:rsidR="009676FA" w:rsidRPr="0074065E" w14:paraId="2F08BFBE" w14:textId="77777777" w:rsidTr="006B7985">
        <w:trPr>
          <w:gridAfter w:val="1"/>
          <w:wAfter w:w="20" w:type="dxa"/>
        </w:trPr>
        <w:tc>
          <w:tcPr>
            <w:tcW w:w="3107" w:type="dxa"/>
            <w:vAlign w:val="bottom"/>
          </w:tcPr>
          <w:p w14:paraId="75DE1289" w14:textId="4DCDE96C" w:rsidR="009676FA" w:rsidRPr="00C454B8" w:rsidRDefault="009676FA" w:rsidP="009676FA">
            <w:pPr>
              <w:pStyle w:val="a3"/>
              <w:tabs>
                <w:tab w:val="left" w:pos="227"/>
                <w:tab w:val="left" w:pos="397"/>
                <w:tab w:val="left" w:pos="567"/>
              </w:tabs>
              <w:ind w:left="227" w:hanging="170"/>
              <w:rPr>
                <w:sz w:val="22"/>
                <w:u w:val="single"/>
                <w:rtl/>
              </w:rPr>
            </w:pPr>
            <w:r w:rsidRPr="00C454B8">
              <w:rPr>
                <w:sz w:val="22"/>
                <w:u w:val="single"/>
                <w:rtl/>
              </w:rPr>
              <w:t>ל-</w:t>
            </w:r>
            <w:r>
              <w:rPr>
                <w:rFonts w:hint="cs"/>
                <w:sz w:val="22"/>
                <w:u w:val="single"/>
                <w:rtl/>
              </w:rPr>
              <w:t>9</w:t>
            </w:r>
            <w:r w:rsidRPr="00C454B8">
              <w:rPr>
                <w:sz w:val="22"/>
                <w:u w:val="single"/>
                <w:rtl/>
              </w:rPr>
              <w:t xml:space="preserve"> החודשים שהסתיימו ביום 30 בספטמבר, </w:t>
            </w:r>
            <w:r>
              <w:rPr>
                <w:rFonts w:hint="cs"/>
                <w:sz w:val="22"/>
                <w:u w:val="single"/>
                <w:rtl/>
              </w:rPr>
              <w:t>2019</w:t>
            </w:r>
          </w:p>
        </w:tc>
        <w:tc>
          <w:tcPr>
            <w:tcW w:w="126" w:type="dxa"/>
            <w:vAlign w:val="bottom"/>
          </w:tcPr>
          <w:p w14:paraId="637A0409" w14:textId="77777777" w:rsidR="009676FA" w:rsidRPr="0074065E" w:rsidRDefault="009676FA" w:rsidP="006B7985">
            <w:pPr>
              <w:spacing w:line="240" w:lineRule="exact"/>
              <w:rPr>
                <w:rtl/>
              </w:rPr>
            </w:pPr>
          </w:p>
        </w:tc>
        <w:tc>
          <w:tcPr>
            <w:tcW w:w="1196" w:type="dxa"/>
            <w:vAlign w:val="bottom"/>
          </w:tcPr>
          <w:p w14:paraId="5AF9A742" w14:textId="77777777" w:rsidR="009676FA" w:rsidRPr="0074065E" w:rsidRDefault="009676FA" w:rsidP="006B7985">
            <w:pPr>
              <w:spacing w:line="240" w:lineRule="exact"/>
              <w:rPr>
                <w:rtl/>
              </w:rPr>
            </w:pPr>
          </w:p>
        </w:tc>
        <w:tc>
          <w:tcPr>
            <w:tcW w:w="141" w:type="dxa"/>
            <w:vAlign w:val="bottom"/>
          </w:tcPr>
          <w:p w14:paraId="36926E96" w14:textId="77777777" w:rsidR="009676FA" w:rsidRPr="0074065E" w:rsidRDefault="009676FA" w:rsidP="006B7985">
            <w:pPr>
              <w:spacing w:line="240" w:lineRule="exact"/>
              <w:rPr>
                <w:rtl/>
              </w:rPr>
            </w:pPr>
          </w:p>
        </w:tc>
        <w:tc>
          <w:tcPr>
            <w:tcW w:w="1276" w:type="dxa"/>
            <w:vAlign w:val="bottom"/>
          </w:tcPr>
          <w:p w14:paraId="2AA941A4" w14:textId="77777777" w:rsidR="009676FA" w:rsidRPr="0074065E" w:rsidRDefault="009676FA" w:rsidP="006B7985">
            <w:pPr>
              <w:tabs>
                <w:tab w:val="decimal" w:pos="113"/>
              </w:tabs>
              <w:spacing w:line="240" w:lineRule="exact"/>
              <w:rPr>
                <w:rtl/>
              </w:rPr>
            </w:pPr>
          </w:p>
        </w:tc>
        <w:tc>
          <w:tcPr>
            <w:tcW w:w="142" w:type="dxa"/>
            <w:vAlign w:val="bottom"/>
          </w:tcPr>
          <w:p w14:paraId="3A47FF8E" w14:textId="77777777" w:rsidR="009676FA" w:rsidRPr="0074065E" w:rsidRDefault="009676FA" w:rsidP="006B7985">
            <w:pPr>
              <w:tabs>
                <w:tab w:val="decimal" w:pos="113"/>
              </w:tabs>
              <w:spacing w:line="240" w:lineRule="exact"/>
              <w:rPr>
                <w:rtl/>
              </w:rPr>
            </w:pPr>
          </w:p>
        </w:tc>
        <w:tc>
          <w:tcPr>
            <w:tcW w:w="1397" w:type="dxa"/>
            <w:vAlign w:val="bottom"/>
          </w:tcPr>
          <w:p w14:paraId="7723AF4B" w14:textId="77777777" w:rsidR="009676FA" w:rsidRPr="0074065E" w:rsidRDefault="009676FA" w:rsidP="006B7985">
            <w:pPr>
              <w:tabs>
                <w:tab w:val="decimal" w:pos="113"/>
              </w:tabs>
              <w:spacing w:line="240" w:lineRule="exact"/>
              <w:rPr>
                <w:rtl/>
              </w:rPr>
            </w:pPr>
          </w:p>
        </w:tc>
      </w:tr>
      <w:tr w:rsidR="009676FA" w:rsidRPr="0074065E" w14:paraId="393F6538" w14:textId="77777777" w:rsidTr="006B7985">
        <w:trPr>
          <w:gridAfter w:val="1"/>
          <w:wAfter w:w="20" w:type="dxa"/>
        </w:trPr>
        <w:tc>
          <w:tcPr>
            <w:tcW w:w="3107" w:type="dxa"/>
            <w:vAlign w:val="bottom"/>
          </w:tcPr>
          <w:p w14:paraId="7DB09A49" w14:textId="77777777" w:rsidR="009676FA" w:rsidRPr="00C454B8" w:rsidRDefault="009676FA" w:rsidP="006B7985">
            <w:pPr>
              <w:pStyle w:val="a3"/>
              <w:tabs>
                <w:tab w:val="left" w:pos="227"/>
                <w:tab w:val="left" w:pos="397"/>
                <w:tab w:val="left" w:pos="567"/>
              </w:tabs>
              <w:ind w:left="227" w:hanging="170"/>
              <w:rPr>
                <w:sz w:val="22"/>
                <w:u w:val="single"/>
                <w:rtl/>
              </w:rPr>
            </w:pPr>
            <w:r>
              <w:rPr>
                <w:rFonts w:hint="cs"/>
                <w:sz w:val="22"/>
                <w:rtl/>
              </w:rPr>
              <w:t>עלות המכירות</w:t>
            </w:r>
          </w:p>
        </w:tc>
        <w:tc>
          <w:tcPr>
            <w:tcW w:w="126" w:type="dxa"/>
            <w:vAlign w:val="bottom"/>
          </w:tcPr>
          <w:p w14:paraId="7B1BE08C" w14:textId="77777777" w:rsidR="009676FA" w:rsidRPr="0074065E" w:rsidRDefault="009676FA" w:rsidP="006B7985">
            <w:pPr>
              <w:spacing w:line="240" w:lineRule="exact"/>
              <w:rPr>
                <w:rtl/>
              </w:rPr>
            </w:pPr>
          </w:p>
        </w:tc>
        <w:tc>
          <w:tcPr>
            <w:tcW w:w="1196" w:type="dxa"/>
            <w:tcBorders>
              <w:bottom w:val="double" w:sz="4" w:space="0" w:color="auto"/>
            </w:tcBorders>
            <w:vAlign w:val="bottom"/>
          </w:tcPr>
          <w:p w14:paraId="778248C7" w14:textId="77777777" w:rsidR="009676FA" w:rsidRPr="0074065E" w:rsidRDefault="009676FA" w:rsidP="006B7985">
            <w:pPr>
              <w:spacing w:line="240" w:lineRule="exact"/>
              <w:rPr>
                <w:rtl/>
              </w:rPr>
            </w:pPr>
          </w:p>
        </w:tc>
        <w:tc>
          <w:tcPr>
            <w:tcW w:w="141" w:type="dxa"/>
            <w:vAlign w:val="bottom"/>
          </w:tcPr>
          <w:p w14:paraId="5C2EE61D" w14:textId="77777777" w:rsidR="009676FA" w:rsidRPr="0074065E" w:rsidRDefault="009676FA" w:rsidP="006B7985">
            <w:pPr>
              <w:spacing w:line="240" w:lineRule="exact"/>
              <w:rPr>
                <w:rtl/>
              </w:rPr>
            </w:pPr>
          </w:p>
        </w:tc>
        <w:tc>
          <w:tcPr>
            <w:tcW w:w="1276" w:type="dxa"/>
            <w:tcBorders>
              <w:bottom w:val="double" w:sz="4" w:space="0" w:color="auto"/>
            </w:tcBorders>
            <w:vAlign w:val="bottom"/>
          </w:tcPr>
          <w:p w14:paraId="0E3ECF10" w14:textId="77777777" w:rsidR="009676FA" w:rsidRPr="0074065E" w:rsidRDefault="009676FA" w:rsidP="006B7985">
            <w:pPr>
              <w:tabs>
                <w:tab w:val="decimal" w:pos="113"/>
              </w:tabs>
              <w:spacing w:line="240" w:lineRule="exact"/>
              <w:rPr>
                <w:rtl/>
              </w:rPr>
            </w:pPr>
          </w:p>
        </w:tc>
        <w:tc>
          <w:tcPr>
            <w:tcW w:w="142" w:type="dxa"/>
            <w:vAlign w:val="bottom"/>
          </w:tcPr>
          <w:p w14:paraId="1A9A5B34" w14:textId="77777777" w:rsidR="009676FA" w:rsidRPr="0074065E" w:rsidRDefault="009676FA" w:rsidP="006B7985">
            <w:pPr>
              <w:tabs>
                <w:tab w:val="decimal" w:pos="113"/>
              </w:tabs>
              <w:spacing w:line="240" w:lineRule="exact"/>
              <w:rPr>
                <w:rtl/>
              </w:rPr>
            </w:pPr>
          </w:p>
        </w:tc>
        <w:tc>
          <w:tcPr>
            <w:tcW w:w="1397" w:type="dxa"/>
            <w:tcBorders>
              <w:bottom w:val="double" w:sz="4" w:space="0" w:color="auto"/>
            </w:tcBorders>
            <w:vAlign w:val="bottom"/>
          </w:tcPr>
          <w:p w14:paraId="2EA98AD2" w14:textId="77777777" w:rsidR="009676FA" w:rsidRPr="0074065E" w:rsidRDefault="009676FA" w:rsidP="006B7985">
            <w:pPr>
              <w:tabs>
                <w:tab w:val="decimal" w:pos="113"/>
              </w:tabs>
              <w:spacing w:line="240" w:lineRule="exact"/>
              <w:rPr>
                <w:rtl/>
              </w:rPr>
            </w:pPr>
          </w:p>
        </w:tc>
      </w:tr>
      <w:tr w:rsidR="009676FA" w:rsidRPr="0074065E" w14:paraId="6736C326" w14:textId="77777777" w:rsidTr="006B7985">
        <w:trPr>
          <w:gridAfter w:val="1"/>
          <w:wAfter w:w="20" w:type="dxa"/>
        </w:trPr>
        <w:tc>
          <w:tcPr>
            <w:tcW w:w="3107" w:type="dxa"/>
            <w:vAlign w:val="bottom"/>
          </w:tcPr>
          <w:p w14:paraId="501AE165" w14:textId="77777777" w:rsidR="009676FA" w:rsidRPr="00DD59FD" w:rsidRDefault="009676FA" w:rsidP="006B7985">
            <w:pPr>
              <w:pStyle w:val="a3"/>
              <w:tabs>
                <w:tab w:val="left" w:pos="227"/>
                <w:tab w:val="left" w:pos="397"/>
                <w:tab w:val="left" w:pos="567"/>
              </w:tabs>
              <w:ind w:left="227" w:hanging="170"/>
              <w:rPr>
                <w:sz w:val="22"/>
                <w:rtl/>
              </w:rPr>
            </w:pPr>
            <w:r>
              <w:rPr>
                <w:rFonts w:hint="cs"/>
                <w:b/>
                <w:bCs/>
                <w:sz w:val="22"/>
                <w:rtl/>
              </w:rPr>
              <w:t>רווח גולמי</w:t>
            </w:r>
          </w:p>
        </w:tc>
        <w:tc>
          <w:tcPr>
            <w:tcW w:w="126" w:type="dxa"/>
            <w:vAlign w:val="bottom"/>
          </w:tcPr>
          <w:p w14:paraId="3245C78B" w14:textId="77777777" w:rsidR="009676FA" w:rsidRPr="0074065E" w:rsidRDefault="009676FA" w:rsidP="006B7985">
            <w:pPr>
              <w:spacing w:line="240" w:lineRule="exact"/>
              <w:rPr>
                <w:rtl/>
              </w:rPr>
            </w:pPr>
          </w:p>
        </w:tc>
        <w:tc>
          <w:tcPr>
            <w:tcW w:w="1196" w:type="dxa"/>
            <w:tcBorders>
              <w:bottom w:val="double" w:sz="4" w:space="0" w:color="auto"/>
            </w:tcBorders>
            <w:vAlign w:val="bottom"/>
          </w:tcPr>
          <w:p w14:paraId="3A04EFE5" w14:textId="77777777" w:rsidR="009676FA" w:rsidRPr="0074065E" w:rsidRDefault="009676FA" w:rsidP="006B7985">
            <w:pPr>
              <w:spacing w:line="240" w:lineRule="exact"/>
              <w:rPr>
                <w:rtl/>
              </w:rPr>
            </w:pPr>
          </w:p>
        </w:tc>
        <w:tc>
          <w:tcPr>
            <w:tcW w:w="141" w:type="dxa"/>
            <w:vAlign w:val="bottom"/>
          </w:tcPr>
          <w:p w14:paraId="6A73FA35" w14:textId="77777777" w:rsidR="009676FA" w:rsidRPr="0074065E" w:rsidRDefault="009676FA" w:rsidP="006B7985">
            <w:pPr>
              <w:spacing w:line="240" w:lineRule="exact"/>
              <w:rPr>
                <w:rtl/>
              </w:rPr>
            </w:pPr>
          </w:p>
        </w:tc>
        <w:tc>
          <w:tcPr>
            <w:tcW w:w="1276" w:type="dxa"/>
            <w:tcBorders>
              <w:bottom w:val="double" w:sz="4" w:space="0" w:color="auto"/>
            </w:tcBorders>
            <w:vAlign w:val="bottom"/>
          </w:tcPr>
          <w:p w14:paraId="7E52B12C" w14:textId="77777777" w:rsidR="009676FA" w:rsidRPr="0074065E" w:rsidRDefault="009676FA" w:rsidP="006B7985">
            <w:pPr>
              <w:tabs>
                <w:tab w:val="decimal" w:pos="113"/>
              </w:tabs>
              <w:spacing w:line="240" w:lineRule="exact"/>
              <w:rPr>
                <w:rtl/>
              </w:rPr>
            </w:pPr>
          </w:p>
        </w:tc>
        <w:tc>
          <w:tcPr>
            <w:tcW w:w="142" w:type="dxa"/>
            <w:vAlign w:val="bottom"/>
          </w:tcPr>
          <w:p w14:paraId="4563D0BB" w14:textId="77777777" w:rsidR="009676FA" w:rsidRPr="0074065E" w:rsidRDefault="009676FA" w:rsidP="006B7985">
            <w:pPr>
              <w:tabs>
                <w:tab w:val="decimal" w:pos="113"/>
              </w:tabs>
              <w:spacing w:line="240" w:lineRule="exact"/>
              <w:rPr>
                <w:rtl/>
              </w:rPr>
            </w:pPr>
          </w:p>
        </w:tc>
        <w:tc>
          <w:tcPr>
            <w:tcW w:w="1397" w:type="dxa"/>
            <w:tcBorders>
              <w:bottom w:val="double" w:sz="4" w:space="0" w:color="auto"/>
            </w:tcBorders>
            <w:vAlign w:val="bottom"/>
          </w:tcPr>
          <w:p w14:paraId="214B7791" w14:textId="77777777" w:rsidR="009676FA" w:rsidRPr="0074065E" w:rsidRDefault="009676FA" w:rsidP="006B7985">
            <w:pPr>
              <w:tabs>
                <w:tab w:val="decimal" w:pos="113"/>
              </w:tabs>
              <w:spacing w:line="240" w:lineRule="exact"/>
              <w:rPr>
                <w:rtl/>
              </w:rPr>
            </w:pPr>
          </w:p>
        </w:tc>
      </w:tr>
      <w:tr w:rsidR="009676FA" w:rsidRPr="0074065E" w14:paraId="039E89E1" w14:textId="77777777" w:rsidTr="006B7985">
        <w:trPr>
          <w:gridAfter w:val="1"/>
          <w:wAfter w:w="20" w:type="dxa"/>
        </w:trPr>
        <w:tc>
          <w:tcPr>
            <w:tcW w:w="3107" w:type="dxa"/>
            <w:vAlign w:val="bottom"/>
          </w:tcPr>
          <w:p w14:paraId="3AE981F7" w14:textId="77777777" w:rsidR="009676FA" w:rsidRDefault="009676FA" w:rsidP="006B7985">
            <w:pPr>
              <w:pStyle w:val="a3"/>
              <w:tabs>
                <w:tab w:val="left" w:pos="227"/>
                <w:tab w:val="left" w:pos="397"/>
                <w:tab w:val="left" w:pos="567"/>
              </w:tabs>
              <w:ind w:left="227" w:hanging="170"/>
              <w:rPr>
                <w:sz w:val="22"/>
                <w:rtl/>
              </w:rPr>
            </w:pPr>
            <w:r>
              <w:rPr>
                <w:rFonts w:hint="cs"/>
                <w:sz w:val="22"/>
                <w:rtl/>
              </w:rPr>
              <w:t>הוצאות מימון</w:t>
            </w:r>
          </w:p>
        </w:tc>
        <w:tc>
          <w:tcPr>
            <w:tcW w:w="126" w:type="dxa"/>
            <w:vAlign w:val="bottom"/>
          </w:tcPr>
          <w:p w14:paraId="2B2BAF8E"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45FAB7B9" w14:textId="77777777" w:rsidR="009676FA" w:rsidRPr="0074065E" w:rsidRDefault="009676FA" w:rsidP="006B7985">
            <w:pPr>
              <w:spacing w:line="240" w:lineRule="exact"/>
              <w:rPr>
                <w:rtl/>
              </w:rPr>
            </w:pPr>
          </w:p>
        </w:tc>
        <w:tc>
          <w:tcPr>
            <w:tcW w:w="141" w:type="dxa"/>
            <w:vAlign w:val="bottom"/>
          </w:tcPr>
          <w:p w14:paraId="3E670594"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114DE2A6" w14:textId="77777777" w:rsidR="009676FA" w:rsidRPr="0074065E" w:rsidRDefault="009676FA" w:rsidP="006B7985">
            <w:pPr>
              <w:tabs>
                <w:tab w:val="decimal" w:pos="113"/>
              </w:tabs>
              <w:spacing w:line="240" w:lineRule="exact"/>
              <w:rPr>
                <w:rtl/>
              </w:rPr>
            </w:pPr>
          </w:p>
        </w:tc>
        <w:tc>
          <w:tcPr>
            <w:tcW w:w="142" w:type="dxa"/>
            <w:vAlign w:val="bottom"/>
          </w:tcPr>
          <w:p w14:paraId="73FCB2A6"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405E7AEC" w14:textId="77777777" w:rsidR="009676FA" w:rsidRPr="0074065E" w:rsidRDefault="009676FA" w:rsidP="006B7985">
            <w:pPr>
              <w:tabs>
                <w:tab w:val="decimal" w:pos="113"/>
              </w:tabs>
              <w:spacing w:line="240" w:lineRule="exact"/>
              <w:rPr>
                <w:rtl/>
              </w:rPr>
            </w:pPr>
          </w:p>
        </w:tc>
      </w:tr>
      <w:tr w:rsidR="009676FA" w:rsidRPr="0074065E" w14:paraId="4A690357" w14:textId="77777777" w:rsidTr="006B7985">
        <w:trPr>
          <w:gridAfter w:val="1"/>
          <w:wAfter w:w="20" w:type="dxa"/>
        </w:trPr>
        <w:tc>
          <w:tcPr>
            <w:tcW w:w="3107" w:type="dxa"/>
            <w:vAlign w:val="bottom"/>
          </w:tcPr>
          <w:p w14:paraId="741C1D8E" w14:textId="77777777" w:rsidR="009676FA" w:rsidRDefault="009676FA" w:rsidP="006B7985">
            <w:pPr>
              <w:pStyle w:val="a3"/>
              <w:tabs>
                <w:tab w:val="left" w:pos="227"/>
                <w:tab w:val="left" w:pos="397"/>
                <w:tab w:val="left" w:pos="567"/>
              </w:tabs>
              <w:ind w:left="227" w:hanging="170"/>
              <w:rPr>
                <w:sz w:val="22"/>
                <w:rtl/>
              </w:rPr>
            </w:pPr>
            <w:r>
              <w:rPr>
                <w:rFonts w:hint="cs"/>
                <w:sz w:val="22"/>
                <w:rtl/>
              </w:rPr>
              <w:t>רווח (הפסד) לפני מסים על ההכנסה</w:t>
            </w:r>
          </w:p>
        </w:tc>
        <w:tc>
          <w:tcPr>
            <w:tcW w:w="126" w:type="dxa"/>
            <w:vAlign w:val="bottom"/>
          </w:tcPr>
          <w:p w14:paraId="75A6BFDA"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191B045C" w14:textId="77777777" w:rsidR="009676FA" w:rsidRPr="0074065E" w:rsidRDefault="009676FA" w:rsidP="006B7985">
            <w:pPr>
              <w:spacing w:line="240" w:lineRule="exact"/>
              <w:rPr>
                <w:rtl/>
              </w:rPr>
            </w:pPr>
          </w:p>
        </w:tc>
        <w:tc>
          <w:tcPr>
            <w:tcW w:w="141" w:type="dxa"/>
            <w:vAlign w:val="bottom"/>
          </w:tcPr>
          <w:p w14:paraId="3C830222"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08F59B7C" w14:textId="77777777" w:rsidR="009676FA" w:rsidRPr="0074065E" w:rsidRDefault="009676FA" w:rsidP="006B7985">
            <w:pPr>
              <w:tabs>
                <w:tab w:val="decimal" w:pos="113"/>
              </w:tabs>
              <w:spacing w:line="240" w:lineRule="exact"/>
              <w:rPr>
                <w:rtl/>
              </w:rPr>
            </w:pPr>
          </w:p>
        </w:tc>
        <w:tc>
          <w:tcPr>
            <w:tcW w:w="142" w:type="dxa"/>
            <w:vAlign w:val="bottom"/>
          </w:tcPr>
          <w:p w14:paraId="515AA250"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1D11AEBB" w14:textId="77777777" w:rsidR="009676FA" w:rsidRPr="0074065E" w:rsidRDefault="009676FA" w:rsidP="006B7985">
            <w:pPr>
              <w:tabs>
                <w:tab w:val="decimal" w:pos="113"/>
              </w:tabs>
              <w:spacing w:line="240" w:lineRule="exact"/>
              <w:rPr>
                <w:rtl/>
              </w:rPr>
            </w:pPr>
          </w:p>
        </w:tc>
      </w:tr>
      <w:tr w:rsidR="009676FA" w:rsidRPr="0074065E" w14:paraId="05E8FC64" w14:textId="77777777" w:rsidTr="006B7985">
        <w:trPr>
          <w:gridAfter w:val="1"/>
          <w:wAfter w:w="20" w:type="dxa"/>
        </w:trPr>
        <w:tc>
          <w:tcPr>
            <w:tcW w:w="3107" w:type="dxa"/>
            <w:vAlign w:val="bottom"/>
          </w:tcPr>
          <w:p w14:paraId="39B1FE6B" w14:textId="77777777" w:rsidR="009676FA" w:rsidRPr="00C454B8" w:rsidRDefault="009676FA" w:rsidP="006B7985">
            <w:pPr>
              <w:pStyle w:val="a3"/>
              <w:tabs>
                <w:tab w:val="left" w:pos="227"/>
                <w:tab w:val="left" w:pos="397"/>
                <w:tab w:val="left" w:pos="567"/>
              </w:tabs>
              <w:ind w:left="227" w:hanging="170"/>
              <w:rPr>
                <w:sz w:val="22"/>
                <w:u w:val="single"/>
                <w:rtl/>
              </w:rPr>
            </w:pPr>
            <w:r>
              <w:rPr>
                <w:rFonts w:hint="cs"/>
                <w:sz w:val="22"/>
                <w:rtl/>
              </w:rPr>
              <w:t>מסים על ההכנסה</w:t>
            </w:r>
          </w:p>
        </w:tc>
        <w:tc>
          <w:tcPr>
            <w:tcW w:w="126" w:type="dxa"/>
            <w:vAlign w:val="bottom"/>
          </w:tcPr>
          <w:p w14:paraId="7C7A123A"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721A4696" w14:textId="77777777" w:rsidR="009676FA" w:rsidRPr="0074065E" w:rsidRDefault="009676FA" w:rsidP="006B7985">
            <w:pPr>
              <w:spacing w:line="240" w:lineRule="exact"/>
              <w:rPr>
                <w:rtl/>
              </w:rPr>
            </w:pPr>
          </w:p>
        </w:tc>
        <w:tc>
          <w:tcPr>
            <w:tcW w:w="141" w:type="dxa"/>
            <w:vAlign w:val="bottom"/>
          </w:tcPr>
          <w:p w14:paraId="7512CAB8"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6CF7FA24" w14:textId="77777777" w:rsidR="009676FA" w:rsidRPr="0074065E" w:rsidRDefault="009676FA" w:rsidP="006B7985">
            <w:pPr>
              <w:tabs>
                <w:tab w:val="decimal" w:pos="113"/>
              </w:tabs>
              <w:spacing w:line="240" w:lineRule="exact"/>
              <w:rPr>
                <w:rtl/>
              </w:rPr>
            </w:pPr>
          </w:p>
        </w:tc>
        <w:tc>
          <w:tcPr>
            <w:tcW w:w="142" w:type="dxa"/>
            <w:vAlign w:val="bottom"/>
          </w:tcPr>
          <w:p w14:paraId="00441651"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4F18CFCE" w14:textId="77777777" w:rsidR="009676FA" w:rsidRPr="0074065E" w:rsidRDefault="009676FA" w:rsidP="006B7985">
            <w:pPr>
              <w:tabs>
                <w:tab w:val="decimal" w:pos="113"/>
              </w:tabs>
              <w:spacing w:line="240" w:lineRule="exact"/>
              <w:rPr>
                <w:rtl/>
              </w:rPr>
            </w:pPr>
          </w:p>
        </w:tc>
      </w:tr>
      <w:tr w:rsidR="009676FA" w:rsidRPr="0074065E" w14:paraId="017A3C46" w14:textId="77777777" w:rsidTr="006B7985">
        <w:trPr>
          <w:gridAfter w:val="1"/>
          <w:wAfter w:w="20" w:type="dxa"/>
        </w:trPr>
        <w:tc>
          <w:tcPr>
            <w:tcW w:w="3107" w:type="dxa"/>
            <w:vAlign w:val="bottom"/>
          </w:tcPr>
          <w:p w14:paraId="56272F11" w14:textId="77777777" w:rsidR="009676FA" w:rsidRPr="00C454B8" w:rsidRDefault="009676FA" w:rsidP="006B7985">
            <w:pPr>
              <w:pStyle w:val="a3"/>
              <w:tabs>
                <w:tab w:val="left" w:pos="227"/>
                <w:tab w:val="left" w:pos="397"/>
                <w:tab w:val="left" w:pos="567"/>
              </w:tabs>
              <w:ind w:left="227" w:hanging="170"/>
              <w:rPr>
                <w:sz w:val="22"/>
                <w:rtl/>
              </w:rPr>
            </w:pPr>
          </w:p>
        </w:tc>
        <w:tc>
          <w:tcPr>
            <w:tcW w:w="126" w:type="dxa"/>
            <w:vAlign w:val="bottom"/>
          </w:tcPr>
          <w:p w14:paraId="3845757E" w14:textId="77777777" w:rsidR="009676FA" w:rsidRPr="0074065E" w:rsidRDefault="009676FA" w:rsidP="006B7985">
            <w:pPr>
              <w:spacing w:line="240" w:lineRule="exact"/>
              <w:rPr>
                <w:rtl/>
              </w:rPr>
            </w:pPr>
          </w:p>
        </w:tc>
        <w:tc>
          <w:tcPr>
            <w:tcW w:w="1196" w:type="dxa"/>
            <w:tcBorders>
              <w:top w:val="double" w:sz="4" w:space="0" w:color="auto"/>
            </w:tcBorders>
            <w:vAlign w:val="bottom"/>
          </w:tcPr>
          <w:p w14:paraId="5BB94634" w14:textId="77777777" w:rsidR="009676FA" w:rsidRPr="0074065E" w:rsidRDefault="009676FA" w:rsidP="006B7985">
            <w:pPr>
              <w:spacing w:line="240" w:lineRule="exact"/>
              <w:rPr>
                <w:rtl/>
              </w:rPr>
            </w:pPr>
          </w:p>
        </w:tc>
        <w:tc>
          <w:tcPr>
            <w:tcW w:w="141" w:type="dxa"/>
            <w:vAlign w:val="bottom"/>
          </w:tcPr>
          <w:p w14:paraId="6DC71427" w14:textId="77777777" w:rsidR="009676FA" w:rsidRPr="0074065E" w:rsidRDefault="009676FA" w:rsidP="006B7985">
            <w:pPr>
              <w:spacing w:line="240" w:lineRule="exact"/>
              <w:rPr>
                <w:rtl/>
              </w:rPr>
            </w:pPr>
          </w:p>
        </w:tc>
        <w:tc>
          <w:tcPr>
            <w:tcW w:w="1276" w:type="dxa"/>
            <w:tcBorders>
              <w:top w:val="double" w:sz="4" w:space="0" w:color="auto"/>
            </w:tcBorders>
            <w:vAlign w:val="bottom"/>
          </w:tcPr>
          <w:p w14:paraId="095CFF27" w14:textId="77777777" w:rsidR="009676FA" w:rsidRPr="0074065E" w:rsidRDefault="009676FA" w:rsidP="006B7985">
            <w:pPr>
              <w:tabs>
                <w:tab w:val="decimal" w:pos="113"/>
              </w:tabs>
              <w:spacing w:line="240" w:lineRule="exact"/>
              <w:rPr>
                <w:rtl/>
              </w:rPr>
            </w:pPr>
          </w:p>
        </w:tc>
        <w:tc>
          <w:tcPr>
            <w:tcW w:w="142" w:type="dxa"/>
            <w:vAlign w:val="bottom"/>
          </w:tcPr>
          <w:p w14:paraId="4FB52CB2" w14:textId="77777777" w:rsidR="009676FA" w:rsidRPr="0074065E" w:rsidRDefault="009676FA" w:rsidP="006B7985">
            <w:pPr>
              <w:tabs>
                <w:tab w:val="decimal" w:pos="113"/>
              </w:tabs>
              <w:spacing w:line="240" w:lineRule="exact"/>
              <w:rPr>
                <w:rtl/>
              </w:rPr>
            </w:pPr>
          </w:p>
        </w:tc>
        <w:tc>
          <w:tcPr>
            <w:tcW w:w="1397" w:type="dxa"/>
            <w:tcBorders>
              <w:top w:val="double" w:sz="4" w:space="0" w:color="auto"/>
            </w:tcBorders>
            <w:vAlign w:val="bottom"/>
          </w:tcPr>
          <w:p w14:paraId="748084F9" w14:textId="77777777" w:rsidR="009676FA" w:rsidRPr="0074065E" w:rsidRDefault="009676FA" w:rsidP="006B7985">
            <w:pPr>
              <w:tabs>
                <w:tab w:val="decimal" w:pos="113"/>
              </w:tabs>
              <w:spacing w:line="240" w:lineRule="exact"/>
              <w:rPr>
                <w:rtl/>
              </w:rPr>
            </w:pPr>
          </w:p>
        </w:tc>
      </w:tr>
      <w:tr w:rsidR="009676FA" w:rsidRPr="0074065E" w14:paraId="4328AAF6" w14:textId="77777777" w:rsidTr="006B7985">
        <w:trPr>
          <w:gridAfter w:val="1"/>
          <w:wAfter w:w="20" w:type="dxa"/>
        </w:trPr>
        <w:tc>
          <w:tcPr>
            <w:tcW w:w="3107" w:type="dxa"/>
            <w:vAlign w:val="bottom"/>
          </w:tcPr>
          <w:p w14:paraId="4966E7A0" w14:textId="77777777" w:rsidR="009676FA" w:rsidRPr="00DD59FD" w:rsidRDefault="009676FA" w:rsidP="006B7985">
            <w:pPr>
              <w:pStyle w:val="a3"/>
              <w:tabs>
                <w:tab w:val="left" w:pos="227"/>
                <w:tab w:val="left" w:pos="397"/>
                <w:tab w:val="left" w:pos="567"/>
              </w:tabs>
              <w:ind w:left="227" w:hanging="170"/>
              <w:rPr>
                <w:sz w:val="22"/>
                <w:rtl/>
              </w:rPr>
            </w:pPr>
            <w:r>
              <w:rPr>
                <w:rFonts w:hint="cs"/>
                <w:b/>
                <w:bCs/>
                <w:sz w:val="22"/>
                <w:rtl/>
              </w:rPr>
              <w:t>רווח נקי</w:t>
            </w:r>
          </w:p>
        </w:tc>
        <w:tc>
          <w:tcPr>
            <w:tcW w:w="126" w:type="dxa"/>
            <w:vAlign w:val="bottom"/>
          </w:tcPr>
          <w:p w14:paraId="0BD0C6B0" w14:textId="77777777" w:rsidR="009676FA" w:rsidRPr="0074065E" w:rsidRDefault="009676FA" w:rsidP="006B7985">
            <w:pPr>
              <w:spacing w:line="240" w:lineRule="exact"/>
              <w:rPr>
                <w:rtl/>
              </w:rPr>
            </w:pPr>
          </w:p>
        </w:tc>
        <w:tc>
          <w:tcPr>
            <w:tcW w:w="1196" w:type="dxa"/>
            <w:tcBorders>
              <w:bottom w:val="double" w:sz="4" w:space="0" w:color="auto"/>
            </w:tcBorders>
            <w:vAlign w:val="bottom"/>
          </w:tcPr>
          <w:p w14:paraId="6362F98B" w14:textId="77777777" w:rsidR="009676FA" w:rsidRPr="0074065E" w:rsidRDefault="009676FA" w:rsidP="006B7985">
            <w:pPr>
              <w:spacing w:line="240" w:lineRule="exact"/>
              <w:rPr>
                <w:rtl/>
              </w:rPr>
            </w:pPr>
          </w:p>
        </w:tc>
        <w:tc>
          <w:tcPr>
            <w:tcW w:w="141" w:type="dxa"/>
            <w:vAlign w:val="bottom"/>
          </w:tcPr>
          <w:p w14:paraId="670C3EC2" w14:textId="77777777" w:rsidR="009676FA" w:rsidRPr="0074065E" w:rsidRDefault="009676FA" w:rsidP="006B7985">
            <w:pPr>
              <w:spacing w:line="240" w:lineRule="exact"/>
              <w:rPr>
                <w:rtl/>
              </w:rPr>
            </w:pPr>
          </w:p>
        </w:tc>
        <w:tc>
          <w:tcPr>
            <w:tcW w:w="1276" w:type="dxa"/>
            <w:tcBorders>
              <w:bottom w:val="double" w:sz="4" w:space="0" w:color="auto"/>
            </w:tcBorders>
            <w:vAlign w:val="bottom"/>
          </w:tcPr>
          <w:p w14:paraId="5BD07C94" w14:textId="77777777" w:rsidR="009676FA" w:rsidRPr="0074065E" w:rsidRDefault="009676FA" w:rsidP="006B7985">
            <w:pPr>
              <w:tabs>
                <w:tab w:val="decimal" w:pos="113"/>
              </w:tabs>
              <w:spacing w:line="240" w:lineRule="exact"/>
              <w:rPr>
                <w:rtl/>
              </w:rPr>
            </w:pPr>
          </w:p>
        </w:tc>
        <w:tc>
          <w:tcPr>
            <w:tcW w:w="142" w:type="dxa"/>
            <w:vAlign w:val="bottom"/>
          </w:tcPr>
          <w:p w14:paraId="68482D61" w14:textId="77777777" w:rsidR="009676FA" w:rsidRPr="0074065E" w:rsidRDefault="009676FA" w:rsidP="006B7985">
            <w:pPr>
              <w:tabs>
                <w:tab w:val="decimal" w:pos="113"/>
              </w:tabs>
              <w:spacing w:line="240" w:lineRule="exact"/>
              <w:rPr>
                <w:rtl/>
              </w:rPr>
            </w:pPr>
          </w:p>
        </w:tc>
        <w:tc>
          <w:tcPr>
            <w:tcW w:w="1397" w:type="dxa"/>
            <w:tcBorders>
              <w:bottom w:val="double" w:sz="4" w:space="0" w:color="auto"/>
            </w:tcBorders>
            <w:vAlign w:val="bottom"/>
          </w:tcPr>
          <w:p w14:paraId="3401C67E" w14:textId="77777777" w:rsidR="009676FA" w:rsidRPr="0074065E" w:rsidRDefault="009676FA" w:rsidP="006B7985">
            <w:pPr>
              <w:tabs>
                <w:tab w:val="decimal" w:pos="113"/>
              </w:tabs>
              <w:spacing w:line="240" w:lineRule="exact"/>
              <w:rPr>
                <w:rtl/>
              </w:rPr>
            </w:pPr>
          </w:p>
        </w:tc>
      </w:tr>
      <w:tr w:rsidR="009676FA" w:rsidRPr="0074065E" w14:paraId="3B8B3790" w14:textId="77777777" w:rsidTr="006B7985">
        <w:trPr>
          <w:gridAfter w:val="1"/>
          <w:wAfter w:w="20" w:type="dxa"/>
        </w:trPr>
        <w:tc>
          <w:tcPr>
            <w:tcW w:w="3107" w:type="dxa"/>
            <w:vAlign w:val="bottom"/>
          </w:tcPr>
          <w:p w14:paraId="0A337B62" w14:textId="77777777" w:rsidR="009676FA" w:rsidRPr="00C454B8" w:rsidRDefault="009676FA" w:rsidP="006B7985">
            <w:pPr>
              <w:pStyle w:val="a3"/>
              <w:tabs>
                <w:tab w:val="left" w:pos="227"/>
                <w:tab w:val="left" w:pos="397"/>
                <w:tab w:val="left" w:pos="567"/>
              </w:tabs>
              <w:ind w:left="227" w:hanging="170"/>
              <w:rPr>
                <w:sz w:val="22"/>
                <w:rtl/>
              </w:rPr>
            </w:pPr>
            <w:r>
              <w:rPr>
                <w:rFonts w:hint="cs"/>
                <w:sz w:val="22"/>
                <w:rtl/>
              </w:rPr>
              <w:t>מיוחס ל:</w:t>
            </w:r>
          </w:p>
        </w:tc>
        <w:tc>
          <w:tcPr>
            <w:tcW w:w="126" w:type="dxa"/>
            <w:vAlign w:val="bottom"/>
          </w:tcPr>
          <w:p w14:paraId="7411142C"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4E3FD751" w14:textId="77777777" w:rsidR="009676FA" w:rsidRPr="0074065E" w:rsidRDefault="009676FA" w:rsidP="006B7985">
            <w:pPr>
              <w:spacing w:line="240" w:lineRule="exact"/>
              <w:rPr>
                <w:rtl/>
              </w:rPr>
            </w:pPr>
          </w:p>
        </w:tc>
        <w:tc>
          <w:tcPr>
            <w:tcW w:w="141" w:type="dxa"/>
            <w:vAlign w:val="bottom"/>
          </w:tcPr>
          <w:p w14:paraId="023417AB"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237CBB69" w14:textId="77777777" w:rsidR="009676FA" w:rsidRPr="0074065E" w:rsidRDefault="009676FA" w:rsidP="006B7985">
            <w:pPr>
              <w:tabs>
                <w:tab w:val="decimal" w:pos="113"/>
              </w:tabs>
              <w:spacing w:line="240" w:lineRule="exact"/>
              <w:rPr>
                <w:rtl/>
              </w:rPr>
            </w:pPr>
          </w:p>
        </w:tc>
        <w:tc>
          <w:tcPr>
            <w:tcW w:w="142" w:type="dxa"/>
            <w:vAlign w:val="bottom"/>
          </w:tcPr>
          <w:p w14:paraId="032E7F25"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29D06A50" w14:textId="77777777" w:rsidR="009676FA" w:rsidRPr="0074065E" w:rsidRDefault="009676FA" w:rsidP="006B7985">
            <w:pPr>
              <w:tabs>
                <w:tab w:val="decimal" w:pos="113"/>
              </w:tabs>
              <w:spacing w:line="240" w:lineRule="exact"/>
              <w:rPr>
                <w:rtl/>
              </w:rPr>
            </w:pPr>
          </w:p>
        </w:tc>
      </w:tr>
      <w:tr w:rsidR="009676FA" w:rsidRPr="0074065E" w14:paraId="70E61B06" w14:textId="77777777" w:rsidTr="006B7985">
        <w:trPr>
          <w:gridAfter w:val="1"/>
          <w:wAfter w:w="20" w:type="dxa"/>
        </w:trPr>
        <w:tc>
          <w:tcPr>
            <w:tcW w:w="3107" w:type="dxa"/>
            <w:vAlign w:val="bottom"/>
          </w:tcPr>
          <w:p w14:paraId="66DF5824" w14:textId="77777777" w:rsidR="009676FA" w:rsidRPr="00C454B8" w:rsidRDefault="009676FA" w:rsidP="006B7985">
            <w:pPr>
              <w:pStyle w:val="a3"/>
              <w:tabs>
                <w:tab w:val="left" w:pos="227"/>
                <w:tab w:val="left" w:pos="397"/>
                <w:tab w:val="left" w:pos="567"/>
              </w:tabs>
              <w:ind w:left="227" w:hanging="170"/>
              <w:rPr>
                <w:sz w:val="22"/>
                <w:rtl/>
              </w:rPr>
            </w:pPr>
            <w:r>
              <w:rPr>
                <w:rFonts w:hint="cs"/>
                <w:sz w:val="22"/>
                <w:rtl/>
              </w:rPr>
              <w:t>בעלי מניות החברה</w:t>
            </w:r>
          </w:p>
        </w:tc>
        <w:tc>
          <w:tcPr>
            <w:tcW w:w="126" w:type="dxa"/>
            <w:vAlign w:val="bottom"/>
          </w:tcPr>
          <w:p w14:paraId="21454C33"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7A890250" w14:textId="77777777" w:rsidR="009676FA" w:rsidRPr="0074065E" w:rsidRDefault="009676FA" w:rsidP="006B7985">
            <w:pPr>
              <w:spacing w:line="240" w:lineRule="exact"/>
              <w:rPr>
                <w:rtl/>
              </w:rPr>
            </w:pPr>
          </w:p>
        </w:tc>
        <w:tc>
          <w:tcPr>
            <w:tcW w:w="141" w:type="dxa"/>
            <w:vAlign w:val="bottom"/>
          </w:tcPr>
          <w:p w14:paraId="752AA355"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7FC8DFD9" w14:textId="77777777" w:rsidR="009676FA" w:rsidRPr="0074065E" w:rsidRDefault="009676FA" w:rsidP="006B7985">
            <w:pPr>
              <w:tabs>
                <w:tab w:val="decimal" w:pos="113"/>
              </w:tabs>
              <w:spacing w:line="240" w:lineRule="exact"/>
              <w:rPr>
                <w:rtl/>
              </w:rPr>
            </w:pPr>
          </w:p>
        </w:tc>
        <w:tc>
          <w:tcPr>
            <w:tcW w:w="142" w:type="dxa"/>
            <w:vAlign w:val="bottom"/>
          </w:tcPr>
          <w:p w14:paraId="58407E4B"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3D39E3D4" w14:textId="77777777" w:rsidR="009676FA" w:rsidRPr="0074065E" w:rsidRDefault="009676FA" w:rsidP="006B7985">
            <w:pPr>
              <w:tabs>
                <w:tab w:val="decimal" w:pos="113"/>
              </w:tabs>
              <w:spacing w:line="240" w:lineRule="exact"/>
              <w:rPr>
                <w:rtl/>
              </w:rPr>
            </w:pPr>
          </w:p>
        </w:tc>
      </w:tr>
      <w:tr w:rsidR="009676FA" w:rsidRPr="0074065E" w14:paraId="3EBD4B90" w14:textId="77777777" w:rsidTr="006B7985">
        <w:trPr>
          <w:gridAfter w:val="1"/>
          <w:wAfter w:w="20" w:type="dxa"/>
        </w:trPr>
        <w:tc>
          <w:tcPr>
            <w:tcW w:w="3107" w:type="dxa"/>
            <w:vAlign w:val="bottom"/>
          </w:tcPr>
          <w:p w14:paraId="46A79B4F" w14:textId="77777777" w:rsidR="009676FA" w:rsidRPr="00C454B8" w:rsidRDefault="009676FA" w:rsidP="006B7985">
            <w:pPr>
              <w:pStyle w:val="a3"/>
              <w:tabs>
                <w:tab w:val="left" w:pos="227"/>
                <w:tab w:val="left" w:pos="397"/>
                <w:tab w:val="left" w:pos="567"/>
              </w:tabs>
              <w:ind w:left="227" w:hanging="170"/>
              <w:rPr>
                <w:sz w:val="22"/>
                <w:rtl/>
              </w:rPr>
            </w:pPr>
            <w:r>
              <w:rPr>
                <w:rFonts w:hint="cs"/>
                <w:sz w:val="22"/>
                <w:rtl/>
              </w:rPr>
              <w:t>זכויות שאינן מקנות שליטה</w:t>
            </w:r>
          </w:p>
        </w:tc>
        <w:tc>
          <w:tcPr>
            <w:tcW w:w="126" w:type="dxa"/>
            <w:vAlign w:val="bottom"/>
          </w:tcPr>
          <w:p w14:paraId="26FDEF5B"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76D43EBC" w14:textId="77777777" w:rsidR="009676FA" w:rsidRPr="0074065E" w:rsidRDefault="009676FA" w:rsidP="006B7985">
            <w:pPr>
              <w:spacing w:line="240" w:lineRule="exact"/>
              <w:rPr>
                <w:rtl/>
              </w:rPr>
            </w:pPr>
          </w:p>
        </w:tc>
        <w:tc>
          <w:tcPr>
            <w:tcW w:w="141" w:type="dxa"/>
            <w:vAlign w:val="bottom"/>
          </w:tcPr>
          <w:p w14:paraId="4777B9D8"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57215D92" w14:textId="77777777" w:rsidR="009676FA" w:rsidRPr="0074065E" w:rsidRDefault="009676FA" w:rsidP="006B7985">
            <w:pPr>
              <w:tabs>
                <w:tab w:val="decimal" w:pos="113"/>
              </w:tabs>
              <w:spacing w:line="240" w:lineRule="exact"/>
              <w:rPr>
                <w:rtl/>
              </w:rPr>
            </w:pPr>
          </w:p>
        </w:tc>
        <w:tc>
          <w:tcPr>
            <w:tcW w:w="142" w:type="dxa"/>
            <w:vAlign w:val="bottom"/>
          </w:tcPr>
          <w:p w14:paraId="360F9C88"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0FF4D5DD" w14:textId="77777777" w:rsidR="009676FA" w:rsidRPr="0074065E" w:rsidRDefault="009676FA" w:rsidP="006B7985">
            <w:pPr>
              <w:tabs>
                <w:tab w:val="decimal" w:pos="113"/>
              </w:tabs>
              <w:spacing w:line="240" w:lineRule="exact"/>
              <w:rPr>
                <w:rtl/>
              </w:rPr>
            </w:pPr>
          </w:p>
        </w:tc>
      </w:tr>
      <w:tr w:rsidR="009676FA" w:rsidRPr="0074065E" w14:paraId="48C45838" w14:textId="77777777" w:rsidTr="006B7985">
        <w:trPr>
          <w:gridAfter w:val="1"/>
          <w:wAfter w:w="20" w:type="dxa"/>
        </w:trPr>
        <w:tc>
          <w:tcPr>
            <w:tcW w:w="3107" w:type="dxa"/>
            <w:vAlign w:val="bottom"/>
          </w:tcPr>
          <w:p w14:paraId="7F08A9B4" w14:textId="77777777" w:rsidR="009676FA" w:rsidRPr="00C454B8" w:rsidRDefault="009676FA" w:rsidP="006B7985">
            <w:pPr>
              <w:pStyle w:val="a3"/>
              <w:tabs>
                <w:tab w:val="left" w:pos="227"/>
                <w:tab w:val="left" w:pos="397"/>
                <w:tab w:val="left" w:pos="567"/>
              </w:tabs>
              <w:ind w:left="227" w:hanging="170"/>
              <w:rPr>
                <w:sz w:val="22"/>
                <w:rtl/>
              </w:rPr>
            </w:pPr>
          </w:p>
        </w:tc>
        <w:tc>
          <w:tcPr>
            <w:tcW w:w="126" w:type="dxa"/>
            <w:vAlign w:val="bottom"/>
          </w:tcPr>
          <w:p w14:paraId="0A6348CB" w14:textId="77777777" w:rsidR="009676FA" w:rsidRPr="0074065E" w:rsidRDefault="009676FA" w:rsidP="006B7985">
            <w:pPr>
              <w:spacing w:line="240" w:lineRule="exact"/>
              <w:rPr>
                <w:rtl/>
              </w:rPr>
            </w:pPr>
          </w:p>
        </w:tc>
        <w:tc>
          <w:tcPr>
            <w:tcW w:w="1196" w:type="dxa"/>
            <w:tcBorders>
              <w:top w:val="double" w:sz="4" w:space="0" w:color="auto"/>
            </w:tcBorders>
            <w:vAlign w:val="bottom"/>
          </w:tcPr>
          <w:p w14:paraId="1DEC4487" w14:textId="77777777" w:rsidR="009676FA" w:rsidRPr="0074065E" w:rsidRDefault="009676FA" w:rsidP="006B7985">
            <w:pPr>
              <w:spacing w:line="240" w:lineRule="exact"/>
              <w:rPr>
                <w:rtl/>
              </w:rPr>
            </w:pPr>
          </w:p>
        </w:tc>
        <w:tc>
          <w:tcPr>
            <w:tcW w:w="141" w:type="dxa"/>
            <w:vAlign w:val="bottom"/>
          </w:tcPr>
          <w:p w14:paraId="0C0DAC0A" w14:textId="77777777" w:rsidR="009676FA" w:rsidRPr="0074065E" w:rsidRDefault="009676FA" w:rsidP="006B7985">
            <w:pPr>
              <w:spacing w:line="240" w:lineRule="exact"/>
              <w:rPr>
                <w:rtl/>
              </w:rPr>
            </w:pPr>
          </w:p>
        </w:tc>
        <w:tc>
          <w:tcPr>
            <w:tcW w:w="1276" w:type="dxa"/>
            <w:tcBorders>
              <w:top w:val="double" w:sz="4" w:space="0" w:color="auto"/>
            </w:tcBorders>
            <w:vAlign w:val="bottom"/>
          </w:tcPr>
          <w:p w14:paraId="038DA991" w14:textId="77777777" w:rsidR="009676FA" w:rsidRPr="0074065E" w:rsidRDefault="009676FA" w:rsidP="006B7985">
            <w:pPr>
              <w:tabs>
                <w:tab w:val="decimal" w:pos="113"/>
              </w:tabs>
              <w:spacing w:line="240" w:lineRule="exact"/>
              <w:rPr>
                <w:rtl/>
              </w:rPr>
            </w:pPr>
          </w:p>
        </w:tc>
        <w:tc>
          <w:tcPr>
            <w:tcW w:w="142" w:type="dxa"/>
            <w:vAlign w:val="bottom"/>
          </w:tcPr>
          <w:p w14:paraId="6CAEE069" w14:textId="77777777" w:rsidR="009676FA" w:rsidRPr="0074065E" w:rsidRDefault="009676FA" w:rsidP="006B7985">
            <w:pPr>
              <w:tabs>
                <w:tab w:val="decimal" w:pos="113"/>
              </w:tabs>
              <w:spacing w:line="240" w:lineRule="exact"/>
              <w:rPr>
                <w:rtl/>
              </w:rPr>
            </w:pPr>
          </w:p>
        </w:tc>
        <w:tc>
          <w:tcPr>
            <w:tcW w:w="1397" w:type="dxa"/>
            <w:tcBorders>
              <w:top w:val="double" w:sz="4" w:space="0" w:color="auto"/>
            </w:tcBorders>
            <w:vAlign w:val="bottom"/>
          </w:tcPr>
          <w:p w14:paraId="0BE419F4" w14:textId="77777777" w:rsidR="009676FA" w:rsidRPr="0074065E" w:rsidRDefault="009676FA" w:rsidP="006B7985">
            <w:pPr>
              <w:tabs>
                <w:tab w:val="decimal" w:pos="113"/>
              </w:tabs>
              <w:spacing w:line="240" w:lineRule="exact"/>
              <w:rPr>
                <w:rtl/>
              </w:rPr>
            </w:pPr>
          </w:p>
        </w:tc>
      </w:tr>
      <w:tr w:rsidR="009676FA" w:rsidRPr="0074065E" w14:paraId="55CB5AB7" w14:textId="77777777" w:rsidTr="006B7985">
        <w:trPr>
          <w:gridAfter w:val="1"/>
          <w:wAfter w:w="20" w:type="dxa"/>
        </w:trPr>
        <w:tc>
          <w:tcPr>
            <w:tcW w:w="3107" w:type="dxa"/>
            <w:vAlign w:val="bottom"/>
          </w:tcPr>
          <w:p w14:paraId="2F792720" w14:textId="77777777" w:rsidR="009676FA" w:rsidRPr="00C454B8" w:rsidRDefault="009676FA" w:rsidP="006B7985">
            <w:pPr>
              <w:pStyle w:val="a3"/>
              <w:tabs>
                <w:tab w:val="left" w:pos="227"/>
                <w:tab w:val="left" w:pos="397"/>
                <w:tab w:val="left" w:pos="567"/>
              </w:tabs>
              <w:ind w:left="227" w:hanging="170"/>
              <w:rPr>
                <w:sz w:val="22"/>
                <w:u w:val="single"/>
                <w:rtl/>
              </w:rPr>
            </w:pPr>
            <w:r w:rsidRPr="00C454B8">
              <w:rPr>
                <w:sz w:val="22"/>
                <w:rtl/>
              </w:rPr>
              <w:t xml:space="preserve">רווח נקי (הפסד) בסיסי </w:t>
            </w:r>
            <w:r w:rsidRPr="00C454B8">
              <w:rPr>
                <w:rFonts w:hint="eastAsia"/>
                <w:sz w:val="22"/>
                <w:rtl/>
              </w:rPr>
              <w:t>למניה</w:t>
            </w:r>
            <w:r w:rsidRPr="00C454B8">
              <w:rPr>
                <w:sz w:val="22"/>
                <w:rtl/>
              </w:rPr>
              <w:t xml:space="preserve"> (בש"ח)</w:t>
            </w:r>
          </w:p>
        </w:tc>
        <w:tc>
          <w:tcPr>
            <w:tcW w:w="126" w:type="dxa"/>
            <w:vAlign w:val="bottom"/>
          </w:tcPr>
          <w:p w14:paraId="55DEB4BD" w14:textId="77777777" w:rsidR="009676FA" w:rsidRPr="0074065E" w:rsidRDefault="009676FA" w:rsidP="006B7985">
            <w:pPr>
              <w:spacing w:line="240" w:lineRule="exact"/>
              <w:rPr>
                <w:rtl/>
              </w:rPr>
            </w:pPr>
          </w:p>
        </w:tc>
        <w:tc>
          <w:tcPr>
            <w:tcW w:w="1196" w:type="dxa"/>
            <w:tcBorders>
              <w:bottom w:val="double" w:sz="4" w:space="0" w:color="auto"/>
            </w:tcBorders>
            <w:vAlign w:val="bottom"/>
          </w:tcPr>
          <w:p w14:paraId="5BC8A6C0" w14:textId="77777777" w:rsidR="009676FA" w:rsidRPr="0074065E" w:rsidRDefault="009676FA" w:rsidP="006B7985">
            <w:pPr>
              <w:spacing w:line="240" w:lineRule="exact"/>
              <w:rPr>
                <w:rtl/>
              </w:rPr>
            </w:pPr>
          </w:p>
        </w:tc>
        <w:tc>
          <w:tcPr>
            <w:tcW w:w="141" w:type="dxa"/>
            <w:vAlign w:val="bottom"/>
          </w:tcPr>
          <w:p w14:paraId="3BB209C3" w14:textId="77777777" w:rsidR="009676FA" w:rsidRPr="0074065E" w:rsidRDefault="009676FA" w:rsidP="006B7985">
            <w:pPr>
              <w:spacing w:line="240" w:lineRule="exact"/>
              <w:rPr>
                <w:rtl/>
              </w:rPr>
            </w:pPr>
          </w:p>
        </w:tc>
        <w:tc>
          <w:tcPr>
            <w:tcW w:w="1276" w:type="dxa"/>
            <w:tcBorders>
              <w:bottom w:val="double" w:sz="4" w:space="0" w:color="auto"/>
            </w:tcBorders>
            <w:vAlign w:val="bottom"/>
          </w:tcPr>
          <w:p w14:paraId="382D5AE7" w14:textId="77777777" w:rsidR="009676FA" w:rsidRPr="0074065E" w:rsidRDefault="009676FA" w:rsidP="006B7985">
            <w:pPr>
              <w:tabs>
                <w:tab w:val="decimal" w:pos="113"/>
              </w:tabs>
              <w:spacing w:line="240" w:lineRule="exact"/>
              <w:rPr>
                <w:rtl/>
              </w:rPr>
            </w:pPr>
          </w:p>
        </w:tc>
        <w:tc>
          <w:tcPr>
            <w:tcW w:w="142" w:type="dxa"/>
            <w:vAlign w:val="bottom"/>
          </w:tcPr>
          <w:p w14:paraId="3F051A52" w14:textId="77777777" w:rsidR="009676FA" w:rsidRPr="0074065E" w:rsidRDefault="009676FA" w:rsidP="006B7985">
            <w:pPr>
              <w:tabs>
                <w:tab w:val="decimal" w:pos="113"/>
              </w:tabs>
              <w:spacing w:line="240" w:lineRule="exact"/>
              <w:rPr>
                <w:rtl/>
              </w:rPr>
            </w:pPr>
          </w:p>
        </w:tc>
        <w:tc>
          <w:tcPr>
            <w:tcW w:w="1397" w:type="dxa"/>
            <w:tcBorders>
              <w:bottom w:val="double" w:sz="4" w:space="0" w:color="auto"/>
            </w:tcBorders>
            <w:vAlign w:val="bottom"/>
          </w:tcPr>
          <w:p w14:paraId="41CFA3CA" w14:textId="77777777" w:rsidR="009676FA" w:rsidRPr="0074065E" w:rsidRDefault="009676FA" w:rsidP="006B7985">
            <w:pPr>
              <w:tabs>
                <w:tab w:val="decimal" w:pos="113"/>
              </w:tabs>
              <w:spacing w:line="240" w:lineRule="exact"/>
              <w:rPr>
                <w:rtl/>
              </w:rPr>
            </w:pPr>
          </w:p>
        </w:tc>
      </w:tr>
      <w:tr w:rsidR="009676FA" w:rsidRPr="0074065E" w14:paraId="52A9350C" w14:textId="77777777" w:rsidTr="006B7985">
        <w:trPr>
          <w:gridAfter w:val="1"/>
          <w:wAfter w:w="20" w:type="dxa"/>
        </w:trPr>
        <w:tc>
          <w:tcPr>
            <w:tcW w:w="3107" w:type="dxa"/>
            <w:vAlign w:val="bottom"/>
          </w:tcPr>
          <w:p w14:paraId="7564129E" w14:textId="77777777" w:rsidR="009676FA" w:rsidRPr="00C454B8" w:rsidRDefault="009676FA" w:rsidP="006B7985">
            <w:pPr>
              <w:pStyle w:val="a3"/>
              <w:tabs>
                <w:tab w:val="left" w:pos="227"/>
                <w:tab w:val="left" w:pos="397"/>
                <w:tab w:val="left" w:pos="567"/>
              </w:tabs>
              <w:ind w:left="227" w:hanging="170"/>
              <w:rPr>
                <w:sz w:val="22"/>
                <w:u w:val="single"/>
                <w:rtl/>
              </w:rPr>
            </w:pPr>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p>
        </w:tc>
        <w:tc>
          <w:tcPr>
            <w:tcW w:w="126" w:type="dxa"/>
            <w:vAlign w:val="bottom"/>
          </w:tcPr>
          <w:p w14:paraId="1B2B2612" w14:textId="77777777" w:rsidR="009676FA" w:rsidRPr="0074065E" w:rsidRDefault="009676FA" w:rsidP="006B7985">
            <w:pPr>
              <w:spacing w:line="240" w:lineRule="exact"/>
              <w:rPr>
                <w:rtl/>
              </w:rPr>
            </w:pPr>
          </w:p>
        </w:tc>
        <w:tc>
          <w:tcPr>
            <w:tcW w:w="1196" w:type="dxa"/>
            <w:tcBorders>
              <w:top w:val="double" w:sz="4" w:space="0" w:color="auto"/>
              <w:bottom w:val="double" w:sz="4" w:space="0" w:color="auto"/>
            </w:tcBorders>
            <w:vAlign w:val="bottom"/>
          </w:tcPr>
          <w:p w14:paraId="61603EF4" w14:textId="77777777" w:rsidR="009676FA" w:rsidRPr="0074065E" w:rsidRDefault="009676FA" w:rsidP="006B7985">
            <w:pPr>
              <w:spacing w:line="240" w:lineRule="exact"/>
              <w:rPr>
                <w:rtl/>
              </w:rPr>
            </w:pPr>
          </w:p>
        </w:tc>
        <w:tc>
          <w:tcPr>
            <w:tcW w:w="141" w:type="dxa"/>
            <w:vAlign w:val="bottom"/>
          </w:tcPr>
          <w:p w14:paraId="445BFC3E" w14:textId="77777777" w:rsidR="009676FA" w:rsidRPr="0074065E" w:rsidRDefault="009676FA" w:rsidP="006B7985">
            <w:pPr>
              <w:spacing w:line="240" w:lineRule="exact"/>
              <w:rPr>
                <w:rtl/>
              </w:rPr>
            </w:pPr>
          </w:p>
        </w:tc>
        <w:tc>
          <w:tcPr>
            <w:tcW w:w="1276" w:type="dxa"/>
            <w:tcBorders>
              <w:top w:val="double" w:sz="4" w:space="0" w:color="auto"/>
              <w:bottom w:val="double" w:sz="4" w:space="0" w:color="auto"/>
            </w:tcBorders>
            <w:vAlign w:val="bottom"/>
          </w:tcPr>
          <w:p w14:paraId="17E8BC0E" w14:textId="77777777" w:rsidR="009676FA" w:rsidRPr="0074065E" w:rsidRDefault="009676FA" w:rsidP="006B7985">
            <w:pPr>
              <w:tabs>
                <w:tab w:val="decimal" w:pos="113"/>
              </w:tabs>
              <w:spacing w:line="240" w:lineRule="exact"/>
              <w:rPr>
                <w:rtl/>
              </w:rPr>
            </w:pPr>
          </w:p>
        </w:tc>
        <w:tc>
          <w:tcPr>
            <w:tcW w:w="142" w:type="dxa"/>
            <w:vAlign w:val="bottom"/>
          </w:tcPr>
          <w:p w14:paraId="56831D48" w14:textId="77777777" w:rsidR="009676FA" w:rsidRPr="0074065E" w:rsidRDefault="009676FA" w:rsidP="006B7985">
            <w:pPr>
              <w:tabs>
                <w:tab w:val="decimal" w:pos="113"/>
              </w:tabs>
              <w:spacing w:line="240" w:lineRule="exact"/>
              <w:rPr>
                <w:rtl/>
              </w:rPr>
            </w:pPr>
          </w:p>
        </w:tc>
        <w:tc>
          <w:tcPr>
            <w:tcW w:w="1397" w:type="dxa"/>
            <w:tcBorders>
              <w:top w:val="double" w:sz="4" w:space="0" w:color="auto"/>
              <w:bottom w:val="double" w:sz="4" w:space="0" w:color="auto"/>
            </w:tcBorders>
            <w:vAlign w:val="bottom"/>
          </w:tcPr>
          <w:p w14:paraId="7F0735D5" w14:textId="77777777" w:rsidR="009676FA" w:rsidRPr="0074065E" w:rsidRDefault="009676FA" w:rsidP="006B7985">
            <w:pPr>
              <w:tabs>
                <w:tab w:val="decimal" w:pos="113"/>
              </w:tabs>
              <w:spacing w:line="240" w:lineRule="exact"/>
              <w:rPr>
                <w:rtl/>
              </w:rPr>
            </w:pPr>
          </w:p>
        </w:tc>
      </w:tr>
    </w:tbl>
    <w:p w14:paraId="6796FF33" w14:textId="77777777" w:rsidR="009676FA" w:rsidRPr="009676FA" w:rsidRDefault="009676FA" w:rsidP="00CE4C07">
      <w:pPr>
        <w:tabs>
          <w:tab w:val="left" w:pos="1134"/>
          <w:tab w:val="left" w:pos="1701"/>
        </w:tabs>
        <w:ind w:left="1701"/>
        <w:rPr>
          <w:rFonts w:ascii="Narkisim" w:hAnsi="Narkisim"/>
          <w:rtl/>
        </w:rPr>
      </w:pPr>
    </w:p>
    <w:p w14:paraId="197AEDC9" w14:textId="77777777" w:rsidR="009676FA" w:rsidRPr="00351624" w:rsidRDefault="009676FA" w:rsidP="009676FA">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2FDAA3CA" w14:textId="77777777" w:rsidR="009C33CD" w:rsidRDefault="009C33CD" w:rsidP="001958C9">
      <w:pPr>
        <w:rPr>
          <w:rtl/>
        </w:rPr>
      </w:pPr>
    </w:p>
    <w:p w14:paraId="6A7FAAAE" w14:textId="414EEDB1" w:rsidR="00831F9D" w:rsidRPr="00ED7BA1" w:rsidRDefault="002B1E97" w:rsidP="003776A6">
      <w:pPr>
        <w:pStyle w:val="21"/>
      </w:pPr>
      <w:r>
        <w:rPr>
          <w:rFonts w:hint="cs"/>
          <w:rtl/>
        </w:rPr>
        <w:t>ה</w:t>
      </w:r>
      <w:r w:rsidR="00831F9D" w:rsidRPr="00831F9D">
        <w:rPr>
          <w:rFonts w:hint="cs"/>
          <w:rtl/>
        </w:rPr>
        <w:t xml:space="preserve">. </w:t>
      </w:r>
      <w:r w:rsidR="003776A6">
        <w:rPr>
          <w:rtl/>
        </w:rPr>
        <w:tab/>
      </w:r>
      <w:r w:rsidR="00831F9D" w:rsidRPr="003776A6">
        <w:rPr>
          <w:rFonts w:hint="cs"/>
          <w:u w:val="single"/>
          <w:rtl/>
        </w:rPr>
        <w:t>הצגה מחדש בעקבות תיקון טעות ב</w:t>
      </w:r>
      <w:r w:rsidR="00831F9D">
        <w:rPr>
          <w:rFonts w:hint="cs"/>
          <w:rtl/>
        </w:rPr>
        <w:t xml:space="preserve">  </w:t>
      </w:r>
      <w:r w:rsidR="00831F9D" w:rsidRPr="009C33CD">
        <w:rPr>
          <w:rFonts w:hint="cs"/>
          <w:shd w:val="clear" w:color="auto" w:fill="D9D9D9" w:themeFill="background1" w:themeFillShade="D9"/>
          <w:rtl/>
        </w:rPr>
        <w:t>_____</w:t>
      </w:r>
    </w:p>
    <w:p w14:paraId="52142942" w14:textId="77777777" w:rsidR="00831F9D" w:rsidRPr="00831F9D" w:rsidRDefault="00831F9D" w:rsidP="001958C9">
      <w:pPr>
        <w:rPr>
          <w:rtl/>
        </w:rPr>
      </w:pPr>
    </w:p>
    <w:p w14:paraId="6CC225CD" w14:textId="06E188CF" w:rsidR="001958C9" w:rsidRDefault="009C33CD" w:rsidP="004C22FC">
      <w:pPr>
        <w:pStyle w:val="30"/>
        <w:ind w:left="1701" w:firstLine="0"/>
        <w:rPr>
          <w:sz w:val="24"/>
          <w:rtl/>
        </w:rPr>
      </w:pPr>
      <w:r w:rsidRPr="007D64FF">
        <w:rPr>
          <w:rFonts w:hint="cs"/>
          <w:rtl/>
        </w:rPr>
        <w:t>החברה</w:t>
      </w:r>
      <w:r w:rsidRPr="007D64FF">
        <w:rPr>
          <w:rtl/>
        </w:rPr>
        <w:t xml:space="preserve"> תיאמה</w:t>
      </w:r>
      <w:r w:rsidRPr="007D64FF">
        <w:rPr>
          <w:rFonts w:hint="cs"/>
          <w:rtl/>
        </w:rPr>
        <w:t>,</w:t>
      </w:r>
      <w:r w:rsidRPr="007D64FF">
        <w:rPr>
          <w:rtl/>
        </w:rPr>
        <w:t xml:space="preserve"> בדרך של הצגה מחדש</w:t>
      </w:r>
      <w:r w:rsidRPr="007D64FF">
        <w:rPr>
          <w:rFonts w:hint="cs"/>
          <w:rtl/>
        </w:rPr>
        <w:t>,</w:t>
      </w:r>
      <w:r w:rsidRPr="007D64FF">
        <w:rPr>
          <w:rtl/>
        </w:rPr>
        <w:t xml:space="preserve"> את דוחותיה הכספיים </w:t>
      </w:r>
      <w:r w:rsidRPr="007D64FF">
        <w:rPr>
          <w:rFonts w:hint="cs"/>
          <w:rtl/>
        </w:rPr>
        <w:t>לימים</w:t>
      </w:r>
      <w:r>
        <w:rPr>
          <w:rFonts w:hint="cs"/>
          <w:rtl/>
        </w:rPr>
        <w:t xml:space="preserve"> 30 בספטמבר</w:t>
      </w:r>
      <w:r w:rsidR="000A1918">
        <w:rPr>
          <w:rFonts w:hint="cs"/>
          <w:rtl/>
        </w:rPr>
        <w:t>,</w:t>
      </w:r>
      <w:r>
        <w:rPr>
          <w:rFonts w:hint="cs"/>
          <w:rtl/>
        </w:rPr>
        <w:t xml:space="preserve"> </w:t>
      </w:r>
      <w:r w:rsidR="004F7D3D">
        <w:rPr>
          <w:rFonts w:hint="cs"/>
          <w:rtl/>
        </w:rPr>
        <w:t>201</w:t>
      </w:r>
      <w:r w:rsidR="004C22FC">
        <w:rPr>
          <w:rFonts w:hint="cs"/>
          <w:rtl/>
        </w:rPr>
        <w:t>8</w:t>
      </w:r>
      <w:r>
        <w:rPr>
          <w:rFonts w:hint="cs"/>
          <w:rtl/>
        </w:rPr>
        <w:t xml:space="preserve"> ו-</w:t>
      </w:r>
      <w:r w:rsidRPr="007D64FF">
        <w:rPr>
          <w:rFonts w:hint="cs"/>
          <w:rtl/>
        </w:rPr>
        <w:t xml:space="preserve"> 31 בדצמבר, </w:t>
      </w:r>
      <w:r w:rsidR="004F7D3D">
        <w:rPr>
          <w:rFonts w:hint="cs"/>
          <w:rtl/>
        </w:rPr>
        <w:t>201</w:t>
      </w:r>
      <w:r w:rsidR="004C22FC">
        <w:rPr>
          <w:rFonts w:hint="cs"/>
          <w:rtl/>
        </w:rPr>
        <w:t>8</w:t>
      </w:r>
      <w:r w:rsidRPr="007D64FF">
        <w:rPr>
          <w:rFonts w:hint="cs"/>
          <w:rtl/>
        </w:rPr>
        <w:t xml:space="preserve"> ו</w:t>
      </w:r>
      <w:r>
        <w:rPr>
          <w:rFonts w:hint="cs"/>
          <w:rtl/>
        </w:rPr>
        <w:t>לתקופות של תשעה ושלושה חודשים שהסתיימו ביום 30 בספטמבר</w:t>
      </w:r>
      <w:r w:rsidR="000A1918">
        <w:rPr>
          <w:rFonts w:hint="cs"/>
          <w:rtl/>
        </w:rPr>
        <w:t>,</w:t>
      </w:r>
      <w:r>
        <w:rPr>
          <w:rFonts w:hint="cs"/>
          <w:rtl/>
        </w:rPr>
        <w:t xml:space="preserve"> </w:t>
      </w:r>
      <w:r w:rsidR="004F7D3D">
        <w:rPr>
          <w:rFonts w:hint="cs"/>
          <w:rtl/>
        </w:rPr>
        <w:t>201</w:t>
      </w:r>
      <w:r w:rsidR="004C22FC">
        <w:rPr>
          <w:rFonts w:hint="cs"/>
          <w:rtl/>
        </w:rPr>
        <w:t>8</w:t>
      </w:r>
      <w:r>
        <w:rPr>
          <w:rFonts w:hint="cs"/>
          <w:rtl/>
        </w:rPr>
        <w:t xml:space="preserve"> ולשנה </w:t>
      </w:r>
      <w:r w:rsidRPr="007D64FF">
        <w:rPr>
          <w:rFonts w:hint="cs"/>
          <w:rtl/>
        </w:rPr>
        <w:t>שהסתיימ</w:t>
      </w:r>
      <w:r>
        <w:rPr>
          <w:rFonts w:hint="cs"/>
          <w:rtl/>
        </w:rPr>
        <w:t>ה</w:t>
      </w:r>
      <w:r w:rsidRPr="007D64FF">
        <w:rPr>
          <w:rFonts w:hint="cs"/>
          <w:rtl/>
        </w:rPr>
        <w:t xml:space="preserve"> בי</w:t>
      </w:r>
      <w:r>
        <w:rPr>
          <w:rFonts w:hint="cs"/>
          <w:rtl/>
        </w:rPr>
        <w:t>ו</w:t>
      </w:r>
      <w:r w:rsidRPr="007D64FF">
        <w:rPr>
          <w:rFonts w:hint="cs"/>
          <w:rtl/>
        </w:rPr>
        <w:t xml:space="preserve">ם 31 בדצמבר, </w:t>
      </w:r>
      <w:r w:rsidR="004F7D3D">
        <w:rPr>
          <w:rFonts w:hint="cs"/>
          <w:rtl/>
        </w:rPr>
        <w:t>201</w:t>
      </w:r>
      <w:r w:rsidR="004C22FC">
        <w:rPr>
          <w:rFonts w:hint="cs"/>
          <w:rtl/>
        </w:rPr>
        <w:t>8</w:t>
      </w:r>
      <w:r w:rsidRPr="007D64FF">
        <w:rPr>
          <w:rtl/>
        </w:rPr>
        <w:t>,</w:t>
      </w:r>
      <w:r>
        <w:rPr>
          <w:rFonts w:hint="cs"/>
          <w:rtl/>
        </w:rPr>
        <w:t xml:space="preserve"> </w:t>
      </w:r>
      <w:r w:rsidRPr="007D64FF">
        <w:rPr>
          <w:rtl/>
        </w:rPr>
        <w:t xml:space="preserve">על מנת לשקף בהם למפרע את השפעת </w:t>
      </w:r>
      <w:r>
        <w:rPr>
          <w:rFonts w:hint="cs"/>
          <w:rtl/>
        </w:rPr>
        <w:t xml:space="preserve">תיקון הטעות. </w:t>
      </w:r>
      <w:r w:rsidRPr="007D64FF">
        <w:rPr>
          <w:rFonts w:hint="cs"/>
          <w:shd w:val="clear" w:color="auto" w:fill="D9D9D9"/>
          <w:rtl/>
        </w:rPr>
        <w:t>[יש לפרט את מהות השינוי</w:t>
      </w:r>
      <w:r w:rsidR="001503AB">
        <w:rPr>
          <w:rFonts w:hint="cs"/>
          <w:shd w:val="clear" w:color="auto" w:fill="D9D9D9"/>
          <w:rtl/>
        </w:rPr>
        <w:t xml:space="preserve"> בעקבות תיקון הטעות</w:t>
      </w:r>
      <w:r w:rsidRPr="007D64FF">
        <w:rPr>
          <w:rFonts w:hint="cs"/>
          <w:shd w:val="clear" w:color="auto" w:fill="D9D9D9"/>
          <w:rtl/>
        </w:rPr>
        <w:t>,</w:t>
      </w:r>
      <w:r>
        <w:rPr>
          <w:rFonts w:hint="cs"/>
          <w:shd w:val="clear" w:color="auto" w:fill="D9D9D9"/>
          <w:rtl/>
        </w:rPr>
        <w:t xml:space="preserve"> כיצד טופל בעבר וכיצד מטופל כעת</w:t>
      </w:r>
      <w:r w:rsidRPr="007D64FF">
        <w:rPr>
          <w:rFonts w:hint="cs"/>
          <w:shd w:val="clear" w:color="auto" w:fill="D9D9D9"/>
          <w:rtl/>
        </w:rPr>
        <w:t>]</w:t>
      </w:r>
      <w:r w:rsidRPr="007D64FF">
        <w:rPr>
          <w:shd w:val="clear" w:color="auto" w:fill="D9D9D9"/>
          <w:rtl/>
        </w:rPr>
        <w:t>.</w:t>
      </w:r>
    </w:p>
    <w:p w14:paraId="387B3096" w14:textId="77777777" w:rsidR="00DB0863" w:rsidRDefault="00DB0863" w:rsidP="001958C9">
      <w:pPr>
        <w:pStyle w:val="30"/>
        <w:ind w:left="1701" w:firstLine="0"/>
        <w:rPr>
          <w:rtl/>
        </w:rPr>
      </w:pPr>
    </w:p>
    <w:p w14:paraId="6903C348" w14:textId="77777777" w:rsidR="005B3CD0" w:rsidRPr="0074065E" w:rsidRDefault="005B3CD0" w:rsidP="001958C9">
      <w:pPr>
        <w:pStyle w:val="30"/>
        <w:ind w:left="1701" w:firstLine="0"/>
        <w:rPr>
          <w:rtl/>
        </w:rPr>
      </w:pPr>
      <w:r w:rsidRPr="0074065E">
        <w:rPr>
          <w:rFonts w:hint="eastAsia"/>
          <w:rtl/>
        </w:rPr>
        <w:t>השפעת</w:t>
      </w:r>
      <w:r w:rsidRPr="0074065E">
        <w:rPr>
          <w:rtl/>
        </w:rPr>
        <w:t xml:space="preserve"> </w:t>
      </w:r>
      <w:r w:rsidRPr="0063242C">
        <w:rPr>
          <w:highlight w:val="lightGray"/>
          <w:rtl/>
        </w:rPr>
        <w:t>השינוי</w:t>
      </w:r>
      <w:r w:rsidR="001503AB" w:rsidRPr="0063242C">
        <w:rPr>
          <w:rFonts w:hint="cs"/>
          <w:highlight w:val="lightGray"/>
          <w:rtl/>
        </w:rPr>
        <w:t>/התיקו</w:t>
      </w:r>
      <w:r w:rsidR="0063242C">
        <w:rPr>
          <w:rFonts w:hint="cs"/>
          <w:highlight w:val="lightGray"/>
          <w:rtl/>
        </w:rPr>
        <w:t>ן [יש להתאים]</w:t>
      </w:r>
      <w:r w:rsidRPr="0074065E">
        <w:rPr>
          <w:rtl/>
        </w:rPr>
        <w:t xml:space="preserve"> כאמור על הדוחות הכספיים של החברה הינה כדלקמן: </w:t>
      </w:r>
    </w:p>
    <w:p w14:paraId="5067845C" w14:textId="0677EF9E" w:rsidR="001958C9" w:rsidRDefault="001958C9" w:rsidP="00097515">
      <w:r>
        <w:rPr>
          <w:rtl/>
        </w:rPr>
        <w:br w:type="page"/>
      </w:r>
    </w:p>
    <w:p w14:paraId="4BCA8680" w14:textId="77777777" w:rsidR="001958C9" w:rsidRDefault="001958C9" w:rsidP="001958C9">
      <w:pPr>
        <w:pStyle w:val="21"/>
        <w:spacing w:line="240" w:lineRule="auto"/>
        <w:ind w:left="1134" w:firstLine="0"/>
        <w:rPr>
          <w:sz w:val="24"/>
          <w:rtl/>
        </w:rPr>
      </w:pPr>
    </w:p>
    <w:p w14:paraId="3396A7CE" w14:textId="77777777" w:rsidR="001958C9" w:rsidRDefault="001958C9" w:rsidP="001958C9">
      <w:pPr>
        <w:pStyle w:val="11"/>
        <w:spacing w:line="240" w:lineRule="auto"/>
        <w:rPr>
          <w:sz w:val="24"/>
          <w:rtl/>
        </w:rPr>
      </w:pPr>
    </w:p>
    <w:p w14:paraId="35B0525E" w14:textId="77777777" w:rsidR="001958C9" w:rsidRPr="00B35A10" w:rsidRDefault="001958C9" w:rsidP="001958C9">
      <w:pPr>
        <w:pStyle w:val="11"/>
        <w:spacing w:line="240" w:lineRule="auto"/>
        <w:rPr>
          <w:sz w:val="24"/>
          <w:rtl/>
        </w:rPr>
      </w:pPr>
      <w:r w:rsidRPr="00831F9D">
        <w:rPr>
          <w:sz w:val="24"/>
          <w:rtl/>
        </w:rPr>
        <w:t>באור 2: -</w:t>
      </w:r>
      <w:r w:rsidRPr="00831F9D">
        <w:rPr>
          <w:sz w:val="24"/>
          <w:rtl/>
        </w:rPr>
        <w:tab/>
      </w:r>
      <w:r w:rsidRPr="00831F9D">
        <w:rPr>
          <w:sz w:val="24"/>
          <w:u w:val="single"/>
          <w:rtl/>
        </w:rPr>
        <w:t>עיקרי המדיניות החשבונאית</w:t>
      </w:r>
      <w:r w:rsidRPr="00831F9D">
        <w:rPr>
          <w:sz w:val="24"/>
          <w:rtl/>
        </w:rPr>
        <w:t xml:space="preserve"> </w:t>
      </w:r>
      <w:r>
        <w:rPr>
          <w:rFonts w:hint="cs"/>
          <w:sz w:val="24"/>
          <w:rtl/>
        </w:rPr>
        <w:t>(המשך)</w:t>
      </w:r>
    </w:p>
    <w:p w14:paraId="42302364" w14:textId="77777777" w:rsidR="005B3CD0" w:rsidRDefault="005B3CD0" w:rsidP="001958C9">
      <w:pPr>
        <w:pStyle w:val="30"/>
        <w:spacing w:line="240" w:lineRule="auto"/>
        <w:ind w:left="1701" w:firstLine="0"/>
        <w:rPr>
          <w:u w:val="single"/>
          <w:rtl/>
        </w:rPr>
      </w:pPr>
    </w:p>
    <w:p w14:paraId="7A38F723" w14:textId="2E383B45" w:rsidR="001958C9" w:rsidRPr="00ED7BA1" w:rsidRDefault="002B1E97" w:rsidP="001958C9">
      <w:pPr>
        <w:pStyle w:val="21"/>
        <w:spacing w:line="240" w:lineRule="auto"/>
      </w:pPr>
      <w:r>
        <w:rPr>
          <w:rFonts w:hint="cs"/>
          <w:rtl/>
        </w:rPr>
        <w:t>ה</w:t>
      </w:r>
      <w:r w:rsidR="001958C9" w:rsidRPr="00831F9D">
        <w:rPr>
          <w:rFonts w:hint="cs"/>
          <w:rtl/>
        </w:rPr>
        <w:t xml:space="preserve">. </w:t>
      </w:r>
      <w:r w:rsidR="001958C9">
        <w:rPr>
          <w:rtl/>
        </w:rPr>
        <w:tab/>
      </w:r>
      <w:r w:rsidR="001958C9" w:rsidRPr="003776A6">
        <w:rPr>
          <w:rFonts w:hint="cs"/>
          <w:u w:val="single"/>
          <w:rtl/>
        </w:rPr>
        <w:t>הצגה מחדש בעקבות תיקון טעות ב</w:t>
      </w:r>
      <w:r w:rsidR="001958C9">
        <w:rPr>
          <w:rFonts w:hint="cs"/>
          <w:rtl/>
        </w:rPr>
        <w:t xml:space="preserve">  </w:t>
      </w:r>
      <w:r w:rsidR="001958C9" w:rsidRPr="009C33CD">
        <w:rPr>
          <w:rFonts w:hint="cs"/>
          <w:shd w:val="clear" w:color="auto" w:fill="D9D9D9" w:themeFill="background1" w:themeFillShade="D9"/>
          <w:rtl/>
        </w:rPr>
        <w:t>_____</w:t>
      </w:r>
      <w:r w:rsidR="001958C9">
        <w:rPr>
          <w:rFonts w:hint="cs"/>
          <w:rtl/>
        </w:rPr>
        <w:t>(המשך)</w:t>
      </w:r>
    </w:p>
    <w:p w14:paraId="7472FBF6" w14:textId="77777777" w:rsidR="001958C9" w:rsidRPr="001958C9" w:rsidRDefault="001958C9" w:rsidP="001958C9">
      <w:pPr>
        <w:pStyle w:val="30"/>
        <w:ind w:left="1701" w:firstLine="0"/>
        <w:rPr>
          <w:u w:val="single"/>
          <w:rtl/>
        </w:rPr>
      </w:pPr>
    </w:p>
    <w:p w14:paraId="2E4DAA25" w14:textId="77777777" w:rsidR="005B3CD0" w:rsidRPr="001958C9" w:rsidRDefault="005B3CD0" w:rsidP="001958C9">
      <w:pPr>
        <w:pStyle w:val="30"/>
        <w:spacing w:line="240" w:lineRule="auto"/>
        <w:rPr>
          <w:u w:val="single"/>
          <w:rtl/>
        </w:rPr>
      </w:pPr>
      <w:r w:rsidRPr="001958C9">
        <w:rPr>
          <w:u w:val="single"/>
          <w:rtl/>
        </w:rPr>
        <w:t>ב</w:t>
      </w:r>
      <w:r w:rsidRPr="001958C9">
        <w:rPr>
          <w:rFonts w:hint="eastAsia"/>
          <w:u w:val="single"/>
          <w:rtl/>
        </w:rPr>
        <w:t>דוחות</w:t>
      </w:r>
      <w:r w:rsidRPr="001958C9">
        <w:rPr>
          <w:u w:val="single"/>
          <w:rtl/>
        </w:rPr>
        <w:t xml:space="preserve"> </w:t>
      </w:r>
      <w:r w:rsidRPr="001958C9">
        <w:rPr>
          <w:rFonts w:hint="eastAsia"/>
          <w:u w:val="single"/>
          <w:rtl/>
        </w:rPr>
        <w:t>המאוחדים</w:t>
      </w:r>
      <w:r w:rsidRPr="001958C9">
        <w:rPr>
          <w:u w:val="single"/>
          <w:rtl/>
        </w:rPr>
        <w:t xml:space="preserve"> </w:t>
      </w:r>
      <w:r w:rsidRPr="001958C9">
        <w:rPr>
          <w:rFonts w:hint="eastAsia"/>
          <w:u w:val="single"/>
          <w:rtl/>
        </w:rPr>
        <w:t>על</w:t>
      </w:r>
      <w:r w:rsidRPr="001958C9">
        <w:rPr>
          <w:u w:val="single"/>
          <w:rtl/>
        </w:rPr>
        <w:t xml:space="preserve"> </w:t>
      </w:r>
      <w:r w:rsidRPr="001958C9">
        <w:rPr>
          <w:rFonts w:hint="eastAsia"/>
          <w:u w:val="single"/>
          <w:rtl/>
        </w:rPr>
        <w:t>המצב</w:t>
      </w:r>
      <w:r w:rsidRPr="001958C9">
        <w:rPr>
          <w:u w:val="single"/>
          <w:rtl/>
        </w:rPr>
        <w:t xml:space="preserve"> </w:t>
      </w:r>
      <w:r w:rsidRPr="001958C9">
        <w:rPr>
          <w:rFonts w:hint="eastAsia"/>
          <w:u w:val="single"/>
          <w:rtl/>
        </w:rPr>
        <w:t>הכספי</w:t>
      </w:r>
    </w:p>
    <w:tbl>
      <w:tblPr>
        <w:bidiVisual/>
        <w:tblW w:w="0" w:type="auto"/>
        <w:tblInd w:w="1726" w:type="dxa"/>
        <w:tblLayout w:type="fixed"/>
        <w:tblCellMar>
          <w:left w:w="0" w:type="dxa"/>
          <w:right w:w="0" w:type="dxa"/>
        </w:tblCellMar>
        <w:tblLook w:val="0000" w:firstRow="0" w:lastRow="0" w:firstColumn="0" w:lastColumn="0" w:noHBand="0" w:noVBand="0"/>
      </w:tblPr>
      <w:tblGrid>
        <w:gridCol w:w="3661"/>
        <w:gridCol w:w="142"/>
        <w:gridCol w:w="1103"/>
        <w:gridCol w:w="30"/>
        <w:gridCol w:w="109"/>
        <w:gridCol w:w="33"/>
        <w:gridCol w:w="1207"/>
        <w:gridCol w:w="67"/>
        <w:gridCol w:w="72"/>
        <w:gridCol w:w="70"/>
        <w:gridCol w:w="1269"/>
        <w:gridCol w:w="6"/>
      </w:tblGrid>
      <w:tr w:rsidR="004410F8" w:rsidRPr="00C454B8" w14:paraId="03B0508E" w14:textId="77777777" w:rsidTr="001958C9">
        <w:trPr>
          <w:gridAfter w:val="1"/>
          <w:wAfter w:w="6" w:type="dxa"/>
        </w:trPr>
        <w:tc>
          <w:tcPr>
            <w:tcW w:w="3661" w:type="dxa"/>
            <w:vAlign w:val="bottom"/>
          </w:tcPr>
          <w:p w14:paraId="7485166B" w14:textId="77777777" w:rsidR="004410F8" w:rsidRPr="00C454B8" w:rsidRDefault="004410F8" w:rsidP="00903B68">
            <w:pPr>
              <w:pStyle w:val="a3"/>
              <w:tabs>
                <w:tab w:val="left" w:pos="227"/>
                <w:tab w:val="left" w:pos="397"/>
                <w:tab w:val="left" w:pos="567"/>
              </w:tabs>
              <w:rPr>
                <w:sz w:val="22"/>
                <w:rtl/>
              </w:rPr>
            </w:pPr>
          </w:p>
        </w:tc>
        <w:tc>
          <w:tcPr>
            <w:tcW w:w="142" w:type="dxa"/>
            <w:vAlign w:val="bottom"/>
          </w:tcPr>
          <w:p w14:paraId="30BA03ED" w14:textId="77777777" w:rsidR="004410F8" w:rsidRPr="0074065E" w:rsidRDefault="004410F8" w:rsidP="00903B68">
            <w:pPr>
              <w:spacing w:line="240" w:lineRule="exact"/>
              <w:jc w:val="center"/>
              <w:rPr>
                <w:rtl/>
              </w:rPr>
            </w:pPr>
          </w:p>
        </w:tc>
        <w:tc>
          <w:tcPr>
            <w:tcW w:w="1103" w:type="dxa"/>
            <w:tcBorders>
              <w:bottom w:val="single" w:sz="6" w:space="0" w:color="auto"/>
            </w:tcBorders>
            <w:shd w:val="clear" w:color="auto" w:fill="auto"/>
            <w:vAlign w:val="bottom"/>
          </w:tcPr>
          <w:p w14:paraId="6B357B14" w14:textId="77777777" w:rsidR="004410F8" w:rsidRPr="0074065E" w:rsidRDefault="004410F8" w:rsidP="00903B68">
            <w:pPr>
              <w:spacing w:line="240" w:lineRule="exact"/>
              <w:jc w:val="center"/>
              <w:rPr>
                <w:rtl/>
              </w:rPr>
            </w:pPr>
            <w:r w:rsidRPr="0074065E">
              <w:rPr>
                <w:rtl/>
              </w:rPr>
              <w:t>כפי שדווח</w:t>
            </w:r>
          </w:p>
          <w:p w14:paraId="7DBFA240" w14:textId="77777777" w:rsidR="004410F8" w:rsidRPr="0074065E" w:rsidRDefault="004410F8" w:rsidP="00903B68">
            <w:pPr>
              <w:spacing w:line="240" w:lineRule="exact"/>
              <w:jc w:val="center"/>
              <w:rPr>
                <w:rtl/>
              </w:rPr>
            </w:pPr>
            <w:r w:rsidRPr="0074065E">
              <w:rPr>
                <w:rtl/>
              </w:rPr>
              <w:t>בעבר</w:t>
            </w:r>
          </w:p>
        </w:tc>
        <w:tc>
          <w:tcPr>
            <w:tcW w:w="139" w:type="dxa"/>
            <w:gridSpan w:val="2"/>
            <w:vAlign w:val="bottom"/>
          </w:tcPr>
          <w:p w14:paraId="3BC07859" w14:textId="77777777" w:rsidR="004410F8" w:rsidRPr="0074065E" w:rsidRDefault="004410F8" w:rsidP="00903B68">
            <w:pPr>
              <w:spacing w:line="240" w:lineRule="exact"/>
              <w:jc w:val="center"/>
              <w:rPr>
                <w:rtl/>
              </w:rPr>
            </w:pPr>
          </w:p>
        </w:tc>
        <w:tc>
          <w:tcPr>
            <w:tcW w:w="1240" w:type="dxa"/>
            <w:gridSpan w:val="2"/>
            <w:tcBorders>
              <w:bottom w:val="single" w:sz="6" w:space="0" w:color="auto"/>
            </w:tcBorders>
            <w:vAlign w:val="bottom"/>
          </w:tcPr>
          <w:p w14:paraId="61D5B4FD" w14:textId="77777777" w:rsidR="004410F8" w:rsidRPr="0074065E" w:rsidRDefault="004410F8" w:rsidP="00AA2FCC">
            <w:pPr>
              <w:spacing w:line="240" w:lineRule="exact"/>
              <w:jc w:val="center"/>
              <w:rPr>
                <w:rtl/>
              </w:rPr>
            </w:pPr>
            <w:r w:rsidRPr="0074065E">
              <w:rPr>
                <w:rtl/>
              </w:rPr>
              <w:t>השינוי</w:t>
            </w:r>
            <w:r w:rsidR="000A1918">
              <w:rPr>
                <w:rFonts w:hint="cs"/>
                <w:rtl/>
              </w:rPr>
              <w:t xml:space="preserve"> </w:t>
            </w:r>
            <w:r w:rsidR="00F41D45">
              <w:rPr>
                <w:rFonts w:hint="cs"/>
                <w:rtl/>
              </w:rPr>
              <w:t>/</w:t>
            </w:r>
            <w:r w:rsidR="000A1918">
              <w:rPr>
                <w:rFonts w:hint="cs"/>
                <w:rtl/>
              </w:rPr>
              <w:t xml:space="preserve"> </w:t>
            </w:r>
            <w:r w:rsidR="00F41D45">
              <w:rPr>
                <w:rFonts w:hint="cs"/>
                <w:rtl/>
              </w:rPr>
              <w:t>התיקון</w:t>
            </w:r>
          </w:p>
        </w:tc>
        <w:tc>
          <w:tcPr>
            <w:tcW w:w="139" w:type="dxa"/>
            <w:gridSpan w:val="2"/>
            <w:vAlign w:val="bottom"/>
          </w:tcPr>
          <w:p w14:paraId="5E8D32C3" w14:textId="77777777" w:rsidR="004410F8" w:rsidRPr="0074065E" w:rsidRDefault="004410F8" w:rsidP="00903B68">
            <w:pPr>
              <w:spacing w:line="240" w:lineRule="exact"/>
              <w:jc w:val="center"/>
              <w:rPr>
                <w:rtl/>
              </w:rPr>
            </w:pPr>
          </w:p>
        </w:tc>
        <w:tc>
          <w:tcPr>
            <w:tcW w:w="1339" w:type="dxa"/>
            <w:gridSpan w:val="2"/>
            <w:tcBorders>
              <w:bottom w:val="single" w:sz="6" w:space="0" w:color="auto"/>
            </w:tcBorders>
            <w:vAlign w:val="bottom"/>
          </w:tcPr>
          <w:p w14:paraId="69E14F69" w14:textId="77777777" w:rsidR="004410F8" w:rsidRPr="0074065E" w:rsidRDefault="004410F8" w:rsidP="00903B68">
            <w:pPr>
              <w:spacing w:line="240" w:lineRule="exact"/>
              <w:jc w:val="center"/>
              <w:rPr>
                <w:rtl/>
              </w:rPr>
            </w:pPr>
            <w:r w:rsidRPr="0074065E">
              <w:rPr>
                <w:rtl/>
              </w:rPr>
              <w:t>כמוצג בדוחות כספיים אלו</w:t>
            </w:r>
          </w:p>
        </w:tc>
      </w:tr>
      <w:tr w:rsidR="004410F8" w:rsidRPr="00C454B8" w14:paraId="6B9240B3" w14:textId="77777777" w:rsidTr="001958C9">
        <w:trPr>
          <w:gridAfter w:val="1"/>
          <w:wAfter w:w="6" w:type="dxa"/>
        </w:trPr>
        <w:tc>
          <w:tcPr>
            <w:tcW w:w="3661" w:type="dxa"/>
            <w:vAlign w:val="bottom"/>
          </w:tcPr>
          <w:p w14:paraId="1E0F1029" w14:textId="77777777" w:rsidR="004410F8" w:rsidRPr="00C454B8" w:rsidRDefault="004410F8" w:rsidP="00903B68">
            <w:pPr>
              <w:pStyle w:val="a3"/>
              <w:tabs>
                <w:tab w:val="left" w:pos="227"/>
                <w:tab w:val="left" w:pos="397"/>
                <w:tab w:val="left" w:pos="567"/>
              </w:tabs>
              <w:rPr>
                <w:sz w:val="22"/>
                <w:rtl/>
              </w:rPr>
            </w:pPr>
          </w:p>
        </w:tc>
        <w:tc>
          <w:tcPr>
            <w:tcW w:w="142" w:type="dxa"/>
            <w:vAlign w:val="bottom"/>
          </w:tcPr>
          <w:p w14:paraId="42EBADB1" w14:textId="77777777" w:rsidR="004410F8" w:rsidRPr="0074065E" w:rsidRDefault="004410F8" w:rsidP="00903B68">
            <w:pPr>
              <w:spacing w:line="240" w:lineRule="exact"/>
              <w:rPr>
                <w:rtl/>
              </w:rPr>
            </w:pPr>
          </w:p>
        </w:tc>
        <w:tc>
          <w:tcPr>
            <w:tcW w:w="3960" w:type="dxa"/>
            <w:gridSpan w:val="9"/>
            <w:tcBorders>
              <w:bottom w:val="single" w:sz="6" w:space="0" w:color="auto"/>
            </w:tcBorders>
            <w:shd w:val="clear" w:color="auto" w:fill="auto"/>
            <w:vAlign w:val="bottom"/>
          </w:tcPr>
          <w:p w14:paraId="66732D00" w14:textId="77777777" w:rsidR="004410F8" w:rsidRPr="0074065E" w:rsidRDefault="004410F8" w:rsidP="00903B68">
            <w:pPr>
              <w:tabs>
                <w:tab w:val="decimal" w:pos="113"/>
              </w:tabs>
              <w:spacing w:line="240" w:lineRule="exact"/>
              <w:jc w:val="center"/>
              <w:rPr>
                <w:rtl/>
              </w:rPr>
            </w:pPr>
            <w:r>
              <w:rPr>
                <w:rFonts w:hint="cs"/>
                <w:rtl/>
              </w:rPr>
              <w:t>אלפי ש"ח</w:t>
            </w:r>
          </w:p>
        </w:tc>
      </w:tr>
      <w:tr w:rsidR="004410F8" w:rsidRPr="00C454B8" w14:paraId="3BD7F664" w14:textId="77777777" w:rsidTr="001958C9">
        <w:tc>
          <w:tcPr>
            <w:tcW w:w="3661" w:type="dxa"/>
            <w:vAlign w:val="bottom"/>
          </w:tcPr>
          <w:p w14:paraId="64C8FBDA" w14:textId="564D701B" w:rsidR="004410F8" w:rsidRPr="00C454B8" w:rsidRDefault="004410F8" w:rsidP="004C22FC">
            <w:pPr>
              <w:pStyle w:val="a3"/>
              <w:tabs>
                <w:tab w:val="left" w:pos="227"/>
                <w:tab w:val="left" w:pos="397"/>
                <w:tab w:val="left" w:pos="567"/>
              </w:tabs>
              <w:rPr>
                <w:sz w:val="22"/>
                <w:rtl/>
              </w:rPr>
            </w:pPr>
            <w:r w:rsidRPr="00C454B8">
              <w:rPr>
                <w:sz w:val="22"/>
                <w:u w:val="single"/>
                <w:rtl/>
              </w:rPr>
              <w:t xml:space="preserve">ליום 31 בדצמבר, </w:t>
            </w:r>
            <w:r w:rsidR="004F7D3D">
              <w:rPr>
                <w:rFonts w:hint="cs"/>
                <w:sz w:val="22"/>
                <w:u w:val="single"/>
                <w:rtl/>
              </w:rPr>
              <w:t>201</w:t>
            </w:r>
            <w:r w:rsidR="004C22FC">
              <w:rPr>
                <w:rFonts w:hint="cs"/>
                <w:sz w:val="22"/>
                <w:u w:val="single"/>
                <w:rtl/>
              </w:rPr>
              <w:t>8</w:t>
            </w:r>
          </w:p>
        </w:tc>
        <w:tc>
          <w:tcPr>
            <w:tcW w:w="142" w:type="dxa"/>
            <w:vAlign w:val="bottom"/>
          </w:tcPr>
          <w:p w14:paraId="0D72B889" w14:textId="77777777" w:rsidR="004410F8" w:rsidRPr="0074065E" w:rsidRDefault="004410F8" w:rsidP="00903B68">
            <w:pPr>
              <w:spacing w:line="240" w:lineRule="exact"/>
              <w:rPr>
                <w:rtl/>
              </w:rPr>
            </w:pPr>
          </w:p>
        </w:tc>
        <w:tc>
          <w:tcPr>
            <w:tcW w:w="1133" w:type="dxa"/>
            <w:gridSpan w:val="2"/>
            <w:vAlign w:val="bottom"/>
          </w:tcPr>
          <w:p w14:paraId="051E0730" w14:textId="77777777" w:rsidR="004410F8" w:rsidRPr="0074065E" w:rsidRDefault="004410F8" w:rsidP="00903B68">
            <w:pPr>
              <w:spacing w:line="240" w:lineRule="exact"/>
              <w:rPr>
                <w:rtl/>
              </w:rPr>
            </w:pPr>
          </w:p>
        </w:tc>
        <w:tc>
          <w:tcPr>
            <w:tcW w:w="142" w:type="dxa"/>
            <w:gridSpan w:val="2"/>
            <w:vAlign w:val="bottom"/>
          </w:tcPr>
          <w:p w14:paraId="6C065E61" w14:textId="77777777" w:rsidR="004410F8" w:rsidRPr="0074065E" w:rsidRDefault="004410F8" w:rsidP="00903B68">
            <w:pPr>
              <w:spacing w:line="240" w:lineRule="exact"/>
              <w:rPr>
                <w:rtl/>
              </w:rPr>
            </w:pPr>
          </w:p>
        </w:tc>
        <w:tc>
          <w:tcPr>
            <w:tcW w:w="1274" w:type="dxa"/>
            <w:gridSpan w:val="2"/>
            <w:vAlign w:val="bottom"/>
          </w:tcPr>
          <w:p w14:paraId="4B5F93F1" w14:textId="77777777" w:rsidR="004410F8" w:rsidRPr="0074065E" w:rsidRDefault="004410F8" w:rsidP="00903B68">
            <w:pPr>
              <w:tabs>
                <w:tab w:val="decimal" w:pos="113"/>
              </w:tabs>
              <w:spacing w:line="240" w:lineRule="exact"/>
              <w:rPr>
                <w:rtl/>
              </w:rPr>
            </w:pPr>
          </w:p>
        </w:tc>
        <w:tc>
          <w:tcPr>
            <w:tcW w:w="142" w:type="dxa"/>
            <w:gridSpan w:val="2"/>
            <w:vAlign w:val="bottom"/>
          </w:tcPr>
          <w:p w14:paraId="2CBB6330" w14:textId="77777777" w:rsidR="004410F8" w:rsidRPr="0074065E" w:rsidRDefault="004410F8" w:rsidP="00903B68">
            <w:pPr>
              <w:tabs>
                <w:tab w:val="decimal" w:pos="113"/>
              </w:tabs>
              <w:spacing w:line="240" w:lineRule="exact"/>
              <w:rPr>
                <w:rtl/>
              </w:rPr>
            </w:pPr>
          </w:p>
        </w:tc>
        <w:tc>
          <w:tcPr>
            <w:tcW w:w="1275" w:type="dxa"/>
            <w:gridSpan w:val="2"/>
            <w:vAlign w:val="bottom"/>
          </w:tcPr>
          <w:p w14:paraId="2BD8EBBA" w14:textId="77777777" w:rsidR="004410F8" w:rsidRPr="0074065E" w:rsidRDefault="004410F8" w:rsidP="004410F8">
            <w:pPr>
              <w:tabs>
                <w:tab w:val="decimal" w:pos="113"/>
              </w:tabs>
              <w:spacing w:line="240" w:lineRule="exact"/>
              <w:rPr>
                <w:rtl/>
              </w:rPr>
            </w:pPr>
          </w:p>
        </w:tc>
      </w:tr>
      <w:tr w:rsidR="004410F8" w:rsidRPr="001A1C9B" w14:paraId="644C2E3E" w14:textId="77777777" w:rsidTr="001958C9">
        <w:tc>
          <w:tcPr>
            <w:tcW w:w="3661" w:type="dxa"/>
            <w:vAlign w:val="bottom"/>
          </w:tcPr>
          <w:p w14:paraId="67144087" w14:textId="77777777" w:rsidR="004410F8" w:rsidRPr="001A1C9B" w:rsidRDefault="004410F8" w:rsidP="001A1C9B">
            <w:pPr>
              <w:pStyle w:val="a3"/>
              <w:tabs>
                <w:tab w:val="left" w:pos="227"/>
                <w:tab w:val="left" w:pos="397"/>
                <w:tab w:val="left" w:pos="567"/>
              </w:tabs>
              <w:spacing w:line="240" w:lineRule="auto"/>
              <w:rPr>
                <w:sz w:val="16"/>
                <w:szCs w:val="18"/>
                <w:rtl/>
              </w:rPr>
            </w:pPr>
          </w:p>
        </w:tc>
        <w:tc>
          <w:tcPr>
            <w:tcW w:w="142" w:type="dxa"/>
            <w:vAlign w:val="bottom"/>
          </w:tcPr>
          <w:p w14:paraId="0EFC71F5" w14:textId="77777777" w:rsidR="004410F8" w:rsidRPr="001A1C9B" w:rsidRDefault="004410F8" w:rsidP="001A1C9B">
            <w:pPr>
              <w:spacing w:line="240" w:lineRule="auto"/>
              <w:rPr>
                <w:sz w:val="16"/>
                <w:szCs w:val="18"/>
                <w:rtl/>
              </w:rPr>
            </w:pPr>
          </w:p>
        </w:tc>
        <w:tc>
          <w:tcPr>
            <w:tcW w:w="1133" w:type="dxa"/>
            <w:gridSpan w:val="2"/>
            <w:vAlign w:val="bottom"/>
          </w:tcPr>
          <w:p w14:paraId="05AC8199" w14:textId="77777777" w:rsidR="004410F8" w:rsidRPr="001A1C9B" w:rsidRDefault="004410F8" w:rsidP="001A1C9B">
            <w:pPr>
              <w:spacing w:line="240" w:lineRule="auto"/>
              <w:rPr>
                <w:sz w:val="16"/>
                <w:szCs w:val="18"/>
                <w:rtl/>
              </w:rPr>
            </w:pPr>
          </w:p>
        </w:tc>
        <w:tc>
          <w:tcPr>
            <w:tcW w:w="142" w:type="dxa"/>
            <w:gridSpan w:val="2"/>
            <w:vAlign w:val="bottom"/>
          </w:tcPr>
          <w:p w14:paraId="45F489E5" w14:textId="77777777" w:rsidR="004410F8" w:rsidRPr="001A1C9B" w:rsidRDefault="004410F8" w:rsidP="001A1C9B">
            <w:pPr>
              <w:spacing w:line="240" w:lineRule="auto"/>
              <w:rPr>
                <w:sz w:val="16"/>
                <w:szCs w:val="18"/>
                <w:rtl/>
              </w:rPr>
            </w:pPr>
          </w:p>
        </w:tc>
        <w:tc>
          <w:tcPr>
            <w:tcW w:w="1274" w:type="dxa"/>
            <w:gridSpan w:val="2"/>
            <w:vAlign w:val="bottom"/>
          </w:tcPr>
          <w:p w14:paraId="515B02B0" w14:textId="77777777" w:rsidR="004410F8" w:rsidRPr="001A1C9B" w:rsidRDefault="004410F8" w:rsidP="001A1C9B">
            <w:pPr>
              <w:tabs>
                <w:tab w:val="decimal" w:pos="113"/>
              </w:tabs>
              <w:spacing w:line="240" w:lineRule="auto"/>
              <w:rPr>
                <w:sz w:val="16"/>
                <w:szCs w:val="18"/>
                <w:rtl/>
              </w:rPr>
            </w:pPr>
          </w:p>
        </w:tc>
        <w:tc>
          <w:tcPr>
            <w:tcW w:w="142" w:type="dxa"/>
            <w:gridSpan w:val="2"/>
            <w:vAlign w:val="bottom"/>
          </w:tcPr>
          <w:p w14:paraId="2B82F461" w14:textId="77777777" w:rsidR="004410F8" w:rsidRPr="001A1C9B" w:rsidRDefault="004410F8" w:rsidP="001A1C9B">
            <w:pPr>
              <w:tabs>
                <w:tab w:val="decimal" w:pos="113"/>
              </w:tabs>
              <w:spacing w:line="240" w:lineRule="auto"/>
              <w:rPr>
                <w:sz w:val="16"/>
                <w:szCs w:val="18"/>
                <w:rtl/>
              </w:rPr>
            </w:pPr>
          </w:p>
        </w:tc>
        <w:tc>
          <w:tcPr>
            <w:tcW w:w="1275" w:type="dxa"/>
            <w:gridSpan w:val="2"/>
            <w:vAlign w:val="bottom"/>
          </w:tcPr>
          <w:p w14:paraId="59E5E9EE" w14:textId="77777777" w:rsidR="004410F8" w:rsidRPr="001A1C9B" w:rsidRDefault="004410F8" w:rsidP="001A1C9B">
            <w:pPr>
              <w:tabs>
                <w:tab w:val="decimal" w:pos="113"/>
              </w:tabs>
              <w:spacing w:line="240" w:lineRule="auto"/>
              <w:rPr>
                <w:sz w:val="16"/>
                <w:szCs w:val="18"/>
                <w:rtl/>
              </w:rPr>
            </w:pPr>
          </w:p>
        </w:tc>
      </w:tr>
      <w:tr w:rsidR="004410F8" w:rsidRPr="00C454B8" w14:paraId="3B84D461" w14:textId="77777777" w:rsidTr="001958C9">
        <w:tc>
          <w:tcPr>
            <w:tcW w:w="3661" w:type="dxa"/>
            <w:vAlign w:val="bottom"/>
          </w:tcPr>
          <w:p w14:paraId="5996F81C" w14:textId="77777777" w:rsidR="004410F8" w:rsidRPr="00C454B8" w:rsidRDefault="004410F8" w:rsidP="00903B68">
            <w:pPr>
              <w:pStyle w:val="a3"/>
              <w:tabs>
                <w:tab w:val="left" w:pos="227"/>
                <w:tab w:val="left" w:pos="397"/>
                <w:tab w:val="left" w:pos="567"/>
              </w:tabs>
              <w:rPr>
                <w:sz w:val="22"/>
                <w:rtl/>
              </w:rPr>
            </w:pPr>
            <w:r w:rsidRPr="00C454B8">
              <w:rPr>
                <w:rFonts w:hint="eastAsia"/>
                <w:sz w:val="22"/>
                <w:rtl/>
              </w:rPr>
              <w:t>מסים</w:t>
            </w:r>
            <w:r w:rsidRPr="00C454B8">
              <w:rPr>
                <w:sz w:val="22"/>
                <w:rtl/>
              </w:rPr>
              <w:t xml:space="preserve"> </w:t>
            </w:r>
            <w:r w:rsidRPr="00C454B8">
              <w:rPr>
                <w:rFonts w:hint="eastAsia"/>
                <w:sz w:val="22"/>
                <w:rtl/>
              </w:rPr>
              <w:t>נדחים</w:t>
            </w:r>
            <w:r w:rsidRPr="00C454B8">
              <w:rPr>
                <w:sz w:val="22"/>
                <w:rtl/>
              </w:rPr>
              <w:t xml:space="preserve"> (במסגרת נכסים לא שוטפים)</w:t>
            </w:r>
          </w:p>
        </w:tc>
        <w:tc>
          <w:tcPr>
            <w:tcW w:w="142" w:type="dxa"/>
            <w:vAlign w:val="bottom"/>
          </w:tcPr>
          <w:p w14:paraId="0FB9201E" w14:textId="77777777" w:rsidR="004410F8" w:rsidRPr="0074065E" w:rsidRDefault="004410F8" w:rsidP="00903B68">
            <w:pPr>
              <w:spacing w:line="240" w:lineRule="exact"/>
              <w:rPr>
                <w:rtl/>
              </w:rPr>
            </w:pPr>
          </w:p>
        </w:tc>
        <w:tc>
          <w:tcPr>
            <w:tcW w:w="1133" w:type="dxa"/>
            <w:gridSpan w:val="2"/>
            <w:tcBorders>
              <w:bottom w:val="double" w:sz="6" w:space="0" w:color="auto"/>
            </w:tcBorders>
            <w:shd w:val="clear" w:color="auto" w:fill="auto"/>
            <w:vAlign w:val="bottom"/>
          </w:tcPr>
          <w:p w14:paraId="4C11DF7C" w14:textId="77777777" w:rsidR="004410F8" w:rsidRPr="0074065E" w:rsidRDefault="004410F8" w:rsidP="00903B68">
            <w:pPr>
              <w:spacing w:line="240" w:lineRule="exact"/>
              <w:rPr>
                <w:rtl/>
              </w:rPr>
            </w:pPr>
          </w:p>
        </w:tc>
        <w:tc>
          <w:tcPr>
            <w:tcW w:w="142" w:type="dxa"/>
            <w:gridSpan w:val="2"/>
            <w:vAlign w:val="bottom"/>
          </w:tcPr>
          <w:p w14:paraId="64B787EA" w14:textId="77777777" w:rsidR="004410F8" w:rsidRPr="0074065E" w:rsidRDefault="004410F8" w:rsidP="00903B68">
            <w:pPr>
              <w:spacing w:line="240" w:lineRule="exact"/>
              <w:rPr>
                <w:rtl/>
              </w:rPr>
            </w:pPr>
          </w:p>
        </w:tc>
        <w:tc>
          <w:tcPr>
            <w:tcW w:w="1274" w:type="dxa"/>
            <w:gridSpan w:val="2"/>
            <w:tcBorders>
              <w:bottom w:val="double" w:sz="6" w:space="0" w:color="auto"/>
            </w:tcBorders>
            <w:vAlign w:val="bottom"/>
          </w:tcPr>
          <w:p w14:paraId="6FE5FD1D" w14:textId="77777777" w:rsidR="004410F8" w:rsidRPr="0074065E" w:rsidRDefault="004410F8" w:rsidP="00903B68">
            <w:pPr>
              <w:tabs>
                <w:tab w:val="decimal" w:pos="113"/>
              </w:tabs>
              <w:spacing w:line="240" w:lineRule="exact"/>
              <w:rPr>
                <w:rtl/>
              </w:rPr>
            </w:pPr>
          </w:p>
        </w:tc>
        <w:tc>
          <w:tcPr>
            <w:tcW w:w="142" w:type="dxa"/>
            <w:gridSpan w:val="2"/>
            <w:vAlign w:val="bottom"/>
          </w:tcPr>
          <w:p w14:paraId="652C2AF5" w14:textId="77777777" w:rsidR="004410F8" w:rsidRPr="0074065E" w:rsidRDefault="004410F8" w:rsidP="00903B68">
            <w:pPr>
              <w:tabs>
                <w:tab w:val="decimal" w:pos="113"/>
              </w:tabs>
              <w:spacing w:line="240" w:lineRule="exact"/>
              <w:rPr>
                <w:rtl/>
              </w:rPr>
            </w:pPr>
          </w:p>
        </w:tc>
        <w:tc>
          <w:tcPr>
            <w:tcW w:w="1275" w:type="dxa"/>
            <w:gridSpan w:val="2"/>
            <w:tcBorders>
              <w:bottom w:val="double" w:sz="6" w:space="0" w:color="auto"/>
            </w:tcBorders>
            <w:vAlign w:val="bottom"/>
          </w:tcPr>
          <w:p w14:paraId="6A78E8B8" w14:textId="77777777" w:rsidR="004410F8" w:rsidRPr="0074065E" w:rsidRDefault="004410F8" w:rsidP="00903B68">
            <w:pPr>
              <w:tabs>
                <w:tab w:val="decimal" w:pos="113"/>
              </w:tabs>
              <w:spacing w:line="240" w:lineRule="exact"/>
              <w:rPr>
                <w:rtl/>
              </w:rPr>
            </w:pPr>
          </w:p>
        </w:tc>
      </w:tr>
      <w:tr w:rsidR="004410F8" w:rsidRPr="00C454B8" w14:paraId="1EEB9A56" w14:textId="77777777" w:rsidTr="001958C9">
        <w:tc>
          <w:tcPr>
            <w:tcW w:w="3661" w:type="dxa"/>
            <w:vAlign w:val="bottom"/>
          </w:tcPr>
          <w:p w14:paraId="71D4588A" w14:textId="77777777" w:rsidR="004410F8" w:rsidRPr="00C454B8" w:rsidRDefault="004410F8" w:rsidP="00903B68">
            <w:pPr>
              <w:pStyle w:val="a3"/>
              <w:tabs>
                <w:tab w:val="left" w:pos="227"/>
                <w:tab w:val="left" w:pos="397"/>
                <w:tab w:val="left" w:pos="567"/>
              </w:tabs>
              <w:rPr>
                <w:sz w:val="22"/>
                <w:rtl/>
              </w:rPr>
            </w:pPr>
            <w:r w:rsidRPr="00C454B8">
              <w:rPr>
                <w:rFonts w:hint="eastAsia"/>
                <w:sz w:val="22"/>
                <w:rtl/>
              </w:rPr>
              <w:t>מסים</w:t>
            </w:r>
            <w:r w:rsidRPr="00C454B8">
              <w:rPr>
                <w:sz w:val="22"/>
                <w:rtl/>
              </w:rPr>
              <w:t xml:space="preserve"> נדחים (במסגרת </w:t>
            </w:r>
            <w:r w:rsidRPr="00C454B8">
              <w:rPr>
                <w:rFonts w:hint="eastAsia"/>
                <w:sz w:val="22"/>
                <w:rtl/>
              </w:rPr>
              <w:t>התחייבויות</w:t>
            </w:r>
            <w:r w:rsidRPr="00C454B8">
              <w:rPr>
                <w:sz w:val="22"/>
                <w:rtl/>
              </w:rPr>
              <w:t xml:space="preserve"> </w:t>
            </w:r>
            <w:r w:rsidRPr="00C454B8">
              <w:rPr>
                <w:rFonts w:hint="eastAsia"/>
                <w:sz w:val="22"/>
                <w:rtl/>
              </w:rPr>
              <w:t>לא</w:t>
            </w:r>
            <w:r w:rsidRPr="00C454B8">
              <w:rPr>
                <w:sz w:val="22"/>
                <w:rtl/>
              </w:rPr>
              <w:t xml:space="preserve"> </w:t>
            </w:r>
            <w:r w:rsidRPr="00C454B8">
              <w:rPr>
                <w:rFonts w:hint="eastAsia"/>
                <w:sz w:val="22"/>
                <w:rtl/>
              </w:rPr>
              <w:t>שוטפות</w:t>
            </w:r>
            <w:r w:rsidRPr="00C454B8">
              <w:rPr>
                <w:sz w:val="22"/>
                <w:rtl/>
              </w:rPr>
              <w:t>)</w:t>
            </w:r>
          </w:p>
        </w:tc>
        <w:tc>
          <w:tcPr>
            <w:tcW w:w="142" w:type="dxa"/>
            <w:vAlign w:val="bottom"/>
          </w:tcPr>
          <w:p w14:paraId="7A559506" w14:textId="77777777" w:rsidR="004410F8" w:rsidRPr="0074065E" w:rsidRDefault="004410F8" w:rsidP="00903B68">
            <w:pPr>
              <w:spacing w:line="240" w:lineRule="exact"/>
              <w:rPr>
                <w:rtl/>
              </w:rPr>
            </w:pPr>
          </w:p>
        </w:tc>
        <w:tc>
          <w:tcPr>
            <w:tcW w:w="1133" w:type="dxa"/>
            <w:gridSpan w:val="2"/>
            <w:tcBorders>
              <w:top w:val="double" w:sz="6" w:space="0" w:color="auto"/>
              <w:bottom w:val="double" w:sz="6" w:space="0" w:color="auto"/>
            </w:tcBorders>
            <w:shd w:val="clear" w:color="auto" w:fill="auto"/>
            <w:vAlign w:val="bottom"/>
          </w:tcPr>
          <w:p w14:paraId="404300CA" w14:textId="77777777" w:rsidR="004410F8" w:rsidRPr="0074065E" w:rsidRDefault="004410F8" w:rsidP="00903B68">
            <w:pPr>
              <w:spacing w:line="240" w:lineRule="exact"/>
              <w:rPr>
                <w:rtl/>
              </w:rPr>
            </w:pPr>
          </w:p>
        </w:tc>
        <w:tc>
          <w:tcPr>
            <w:tcW w:w="142" w:type="dxa"/>
            <w:gridSpan w:val="2"/>
            <w:vAlign w:val="bottom"/>
          </w:tcPr>
          <w:p w14:paraId="658217BA" w14:textId="77777777" w:rsidR="004410F8" w:rsidRPr="0074065E" w:rsidRDefault="004410F8" w:rsidP="00903B68">
            <w:pPr>
              <w:spacing w:line="240" w:lineRule="exact"/>
              <w:rPr>
                <w:rtl/>
              </w:rPr>
            </w:pPr>
          </w:p>
        </w:tc>
        <w:tc>
          <w:tcPr>
            <w:tcW w:w="1274" w:type="dxa"/>
            <w:gridSpan w:val="2"/>
            <w:tcBorders>
              <w:bottom w:val="double" w:sz="6" w:space="0" w:color="auto"/>
            </w:tcBorders>
            <w:vAlign w:val="bottom"/>
          </w:tcPr>
          <w:p w14:paraId="4AD52C50" w14:textId="77777777" w:rsidR="004410F8" w:rsidRPr="0074065E" w:rsidRDefault="004410F8" w:rsidP="00903B68">
            <w:pPr>
              <w:tabs>
                <w:tab w:val="decimal" w:pos="113"/>
              </w:tabs>
              <w:spacing w:line="240" w:lineRule="exact"/>
              <w:rPr>
                <w:rtl/>
              </w:rPr>
            </w:pPr>
          </w:p>
        </w:tc>
        <w:tc>
          <w:tcPr>
            <w:tcW w:w="142" w:type="dxa"/>
            <w:gridSpan w:val="2"/>
            <w:vAlign w:val="bottom"/>
          </w:tcPr>
          <w:p w14:paraId="6F11C88F" w14:textId="77777777" w:rsidR="004410F8" w:rsidRPr="0074065E" w:rsidRDefault="004410F8" w:rsidP="00903B68">
            <w:pPr>
              <w:tabs>
                <w:tab w:val="decimal" w:pos="113"/>
              </w:tabs>
              <w:spacing w:line="240" w:lineRule="exact"/>
              <w:rPr>
                <w:rtl/>
              </w:rPr>
            </w:pPr>
          </w:p>
        </w:tc>
        <w:tc>
          <w:tcPr>
            <w:tcW w:w="1275" w:type="dxa"/>
            <w:gridSpan w:val="2"/>
            <w:tcBorders>
              <w:bottom w:val="double" w:sz="6" w:space="0" w:color="auto"/>
            </w:tcBorders>
            <w:vAlign w:val="bottom"/>
          </w:tcPr>
          <w:p w14:paraId="18480B71" w14:textId="77777777" w:rsidR="004410F8" w:rsidRPr="0074065E" w:rsidRDefault="004410F8" w:rsidP="00903B68">
            <w:pPr>
              <w:tabs>
                <w:tab w:val="decimal" w:pos="113"/>
              </w:tabs>
              <w:spacing w:line="240" w:lineRule="exact"/>
              <w:rPr>
                <w:rtl/>
              </w:rPr>
            </w:pPr>
          </w:p>
        </w:tc>
      </w:tr>
      <w:tr w:rsidR="004410F8" w:rsidRPr="00C454B8" w14:paraId="0EA0F5AF" w14:textId="77777777" w:rsidTr="001958C9">
        <w:tc>
          <w:tcPr>
            <w:tcW w:w="3661" w:type="dxa"/>
            <w:vAlign w:val="bottom"/>
          </w:tcPr>
          <w:p w14:paraId="4F8C9621" w14:textId="77777777" w:rsidR="004410F8" w:rsidRPr="00C454B8" w:rsidRDefault="004410F8" w:rsidP="00903B68">
            <w:pPr>
              <w:pStyle w:val="a3"/>
              <w:tabs>
                <w:tab w:val="left" w:pos="227"/>
                <w:tab w:val="left" w:pos="397"/>
                <w:tab w:val="left" w:pos="567"/>
              </w:tabs>
              <w:rPr>
                <w:sz w:val="22"/>
                <w:rtl/>
              </w:rPr>
            </w:pPr>
          </w:p>
        </w:tc>
        <w:tc>
          <w:tcPr>
            <w:tcW w:w="142" w:type="dxa"/>
            <w:vAlign w:val="bottom"/>
          </w:tcPr>
          <w:p w14:paraId="5F68555D" w14:textId="77777777" w:rsidR="004410F8" w:rsidRPr="0074065E" w:rsidRDefault="004410F8" w:rsidP="00903B68">
            <w:pPr>
              <w:spacing w:line="240" w:lineRule="exact"/>
              <w:rPr>
                <w:rtl/>
              </w:rPr>
            </w:pPr>
          </w:p>
        </w:tc>
        <w:tc>
          <w:tcPr>
            <w:tcW w:w="1133" w:type="dxa"/>
            <w:gridSpan w:val="2"/>
            <w:tcBorders>
              <w:top w:val="double" w:sz="6" w:space="0" w:color="auto"/>
            </w:tcBorders>
            <w:shd w:val="clear" w:color="auto" w:fill="auto"/>
            <w:vAlign w:val="bottom"/>
          </w:tcPr>
          <w:p w14:paraId="409FC7C6" w14:textId="77777777" w:rsidR="004410F8" w:rsidRPr="0074065E" w:rsidRDefault="004410F8" w:rsidP="00903B68">
            <w:pPr>
              <w:spacing w:line="240" w:lineRule="exact"/>
              <w:rPr>
                <w:rtl/>
              </w:rPr>
            </w:pPr>
          </w:p>
        </w:tc>
        <w:tc>
          <w:tcPr>
            <w:tcW w:w="142" w:type="dxa"/>
            <w:gridSpan w:val="2"/>
            <w:vAlign w:val="bottom"/>
          </w:tcPr>
          <w:p w14:paraId="4CBFBB7D" w14:textId="77777777" w:rsidR="004410F8" w:rsidRPr="0074065E" w:rsidRDefault="004410F8" w:rsidP="00903B68">
            <w:pPr>
              <w:spacing w:line="240" w:lineRule="exact"/>
              <w:rPr>
                <w:rtl/>
              </w:rPr>
            </w:pPr>
          </w:p>
        </w:tc>
        <w:tc>
          <w:tcPr>
            <w:tcW w:w="1274" w:type="dxa"/>
            <w:gridSpan w:val="2"/>
            <w:vAlign w:val="bottom"/>
          </w:tcPr>
          <w:p w14:paraId="72888BF7" w14:textId="77777777" w:rsidR="004410F8" w:rsidRPr="0074065E" w:rsidRDefault="004410F8" w:rsidP="00903B68">
            <w:pPr>
              <w:tabs>
                <w:tab w:val="decimal" w:pos="113"/>
              </w:tabs>
              <w:spacing w:line="240" w:lineRule="exact"/>
              <w:rPr>
                <w:rtl/>
              </w:rPr>
            </w:pPr>
          </w:p>
        </w:tc>
        <w:tc>
          <w:tcPr>
            <w:tcW w:w="142" w:type="dxa"/>
            <w:gridSpan w:val="2"/>
            <w:vAlign w:val="bottom"/>
          </w:tcPr>
          <w:p w14:paraId="7B6E6F99" w14:textId="77777777" w:rsidR="004410F8" w:rsidRPr="0074065E" w:rsidRDefault="004410F8" w:rsidP="00903B68">
            <w:pPr>
              <w:tabs>
                <w:tab w:val="decimal" w:pos="113"/>
              </w:tabs>
              <w:spacing w:line="240" w:lineRule="exact"/>
              <w:rPr>
                <w:rtl/>
              </w:rPr>
            </w:pPr>
          </w:p>
        </w:tc>
        <w:tc>
          <w:tcPr>
            <w:tcW w:w="1275" w:type="dxa"/>
            <w:gridSpan w:val="2"/>
            <w:vAlign w:val="bottom"/>
          </w:tcPr>
          <w:p w14:paraId="56BC3DF0" w14:textId="77777777" w:rsidR="004410F8" w:rsidRPr="0074065E" w:rsidRDefault="004410F8" w:rsidP="00903B68">
            <w:pPr>
              <w:tabs>
                <w:tab w:val="decimal" w:pos="113"/>
              </w:tabs>
              <w:spacing w:line="240" w:lineRule="exact"/>
              <w:rPr>
                <w:rtl/>
              </w:rPr>
            </w:pPr>
          </w:p>
        </w:tc>
      </w:tr>
      <w:tr w:rsidR="004410F8" w:rsidRPr="00C454B8" w14:paraId="34A3BA80" w14:textId="77777777" w:rsidTr="001958C9">
        <w:tc>
          <w:tcPr>
            <w:tcW w:w="3661" w:type="dxa"/>
            <w:vAlign w:val="bottom"/>
          </w:tcPr>
          <w:p w14:paraId="4FFDF7B7" w14:textId="77777777" w:rsidR="004410F8" w:rsidRPr="00C454B8" w:rsidRDefault="004410F8" w:rsidP="00903B68">
            <w:pPr>
              <w:pStyle w:val="a3"/>
              <w:tabs>
                <w:tab w:val="left" w:pos="227"/>
                <w:tab w:val="left" w:pos="397"/>
                <w:tab w:val="left" w:pos="567"/>
              </w:tabs>
              <w:rPr>
                <w:sz w:val="22"/>
                <w:rtl/>
              </w:rPr>
            </w:pPr>
            <w:r w:rsidRPr="00C454B8">
              <w:rPr>
                <w:rFonts w:hint="eastAsia"/>
                <w:sz w:val="22"/>
                <w:rtl/>
              </w:rPr>
              <w:t>יתרת</w:t>
            </w:r>
            <w:r w:rsidRPr="00C454B8">
              <w:rPr>
                <w:sz w:val="22"/>
                <w:rtl/>
              </w:rPr>
              <w:t xml:space="preserve"> </w:t>
            </w:r>
            <w:r w:rsidRPr="00C454B8">
              <w:rPr>
                <w:rFonts w:hint="eastAsia"/>
                <w:sz w:val="22"/>
                <w:rtl/>
              </w:rPr>
              <w:t>רווח</w:t>
            </w:r>
            <w:r w:rsidRPr="00C454B8">
              <w:rPr>
                <w:sz w:val="22"/>
                <w:rtl/>
              </w:rPr>
              <w:t xml:space="preserve"> (הפסד)</w:t>
            </w:r>
          </w:p>
        </w:tc>
        <w:tc>
          <w:tcPr>
            <w:tcW w:w="142" w:type="dxa"/>
            <w:vAlign w:val="bottom"/>
          </w:tcPr>
          <w:p w14:paraId="5D1509B6" w14:textId="77777777" w:rsidR="004410F8" w:rsidRPr="0074065E" w:rsidRDefault="004410F8" w:rsidP="00903B68">
            <w:pPr>
              <w:spacing w:line="240" w:lineRule="exact"/>
              <w:rPr>
                <w:rtl/>
              </w:rPr>
            </w:pPr>
          </w:p>
        </w:tc>
        <w:tc>
          <w:tcPr>
            <w:tcW w:w="1133" w:type="dxa"/>
            <w:gridSpan w:val="2"/>
            <w:tcBorders>
              <w:bottom w:val="double" w:sz="6" w:space="0" w:color="auto"/>
            </w:tcBorders>
            <w:shd w:val="clear" w:color="auto" w:fill="auto"/>
            <w:vAlign w:val="bottom"/>
          </w:tcPr>
          <w:p w14:paraId="0B2269FB" w14:textId="77777777" w:rsidR="004410F8" w:rsidRPr="0074065E" w:rsidRDefault="004410F8" w:rsidP="00903B68">
            <w:pPr>
              <w:spacing w:line="240" w:lineRule="exact"/>
              <w:rPr>
                <w:rtl/>
              </w:rPr>
            </w:pPr>
          </w:p>
        </w:tc>
        <w:tc>
          <w:tcPr>
            <w:tcW w:w="142" w:type="dxa"/>
            <w:gridSpan w:val="2"/>
            <w:vAlign w:val="bottom"/>
          </w:tcPr>
          <w:p w14:paraId="42487403" w14:textId="77777777" w:rsidR="004410F8" w:rsidRPr="0074065E" w:rsidRDefault="004410F8" w:rsidP="00903B68">
            <w:pPr>
              <w:spacing w:line="240" w:lineRule="exact"/>
              <w:rPr>
                <w:rtl/>
              </w:rPr>
            </w:pPr>
          </w:p>
        </w:tc>
        <w:tc>
          <w:tcPr>
            <w:tcW w:w="1274" w:type="dxa"/>
            <w:gridSpan w:val="2"/>
            <w:tcBorders>
              <w:bottom w:val="double" w:sz="6" w:space="0" w:color="auto"/>
            </w:tcBorders>
            <w:vAlign w:val="bottom"/>
          </w:tcPr>
          <w:p w14:paraId="709768E9" w14:textId="77777777" w:rsidR="004410F8" w:rsidRPr="0074065E" w:rsidRDefault="004410F8" w:rsidP="00903B68">
            <w:pPr>
              <w:tabs>
                <w:tab w:val="decimal" w:pos="113"/>
              </w:tabs>
              <w:spacing w:line="240" w:lineRule="exact"/>
              <w:rPr>
                <w:rtl/>
              </w:rPr>
            </w:pPr>
          </w:p>
        </w:tc>
        <w:tc>
          <w:tcPr>
            <w:tcW w:w="142" w:type="dxa"/>
            <w:gridSpan w:val="2"/>
            <w:vAlign w:val="bottom"/>
          </w:tcPr>
          <w:p w14:paraId="7BA099F8" w14:textId="77777777" w:rsidR="004410F8" w:rsidRPr="0074065E" w:rsidRDefault="004410F8" w:rsidP="00903B68">
            <w:pPr>
              <w:tabs>
                <w:tab w:val="decimal" w:pos="113"/>
              </w:tabs>
              <w:spacing w:line="240" w:lineRule="exact"/>
              <w:rPr>
                <w:rtl/>
              </w:rPr>
            </w:pPr>
          </w:p>
        </w:tc>
        <w:tc>
          <w:tcPr>
            <w:tcW w:w="1275" w:type="dxa"/>
            <w:gridSpan w:val="2"/>
            <w:tcBorders>
              <w:bottom w:val="double" w:sz="6" w:space="0" w:color="auto"/>
            </w:tcBorders>
            <w:vAlign w:val="bottom"/>
          </w:tcPr>
          <w:p w14:paraId="5B3FAB83" w14:textId="77777777" w:rsidR="004410F8" w:rsidRPr="0074065E" w:rsidRDefault="004410F8" w:rsidP="00903B68">
            <w:pPr>
              <w:tabs>
                <w:tab w:val="decimal" w:pos="113"/>
              </w:tabs>
              <w:spacing w:line="240" w:lineRule="exact"/>
              <w:rPr>
                <w:rtl/>
              </w:rPr>
            </w:pPr>
          </w:p>
        </w:tc>
      </w:tr>
      <w:tr w:rsidR="004410F8" w:rsidRPr="001A1C9B" w14:paraId="50C9E513" w14:textId="77777777" w:rsidTr="001958C9">
        <w:tc>
          <w:tcPr>
            <w:tcW w:w="3661" w:type="dxa"/>
            <w:vAlign w:val="bottom"/>
          </w:tcPr>
          <w:p w14:paraId="08368849" w14:textId="77777777" w:rsidR="004410F8" w:rsidRPr="001A1C9B" w:rsidRDefault="004410F8" w:rsidP="001A1C9B">
            <w:pPr>
              <w:pStyle w:val="a3"/>
              <w:tabs>
                <w:tab w:val="left" w:pos="227"/>
                <w:tab w:val="left" w:pos="397"/>
                <w:tab w:val="left" w:pos="567"/>
              </w:tabs>
              <w:spacing w:line="240" w:lineRule="auto"/>
              <w:rPr>
                <w:sz w:val="16"/>
                <w:szCs w:val="18"/>
                <w:u w:val="single"/>
                <w:rtl/>
              </w:rPr>
            </w:pPr>
          </w:p>
        </w:tc>
        <w:tc>
          <w:tcPr>
            <w:tcW w:w="142" w:type="dxa"/>
            <w:vAlign w:val="bottom"/>
          </w:tcPr>
          <w:p w14:paraId="2F170C72" w14:textId="77777777" w:rsidR="004410F8" w:rsidRPr="001A1C9B" w:rsidRDefault="004410F8" w:rsidP="001A1C9B">
            <w:pPr>
              <w:spacing w:line="240" w:lineRule="auto"/>
              <w:rPr>
                <w:sz w:val="16"/>
                <w:szCs w:val="18"/>
                <w:rtl/>
              </w:rPr>
            </w:pPr>
          </w:p>
        </w:tc>
        <w:tc>
          <w:tcPr>
            <w:tcW w:w="1133" w:type="dxa"/>
            <w:gridSpan w:val="2"/>
            <w:tcBorders>
              <w:top w:val="double" w:sz="6" w:space="0" w:color="auto"/>
            </w:tcBorders>
            <w:vAlign w:val="bottom"/>
          </w:tcPr>
          <w:p w14:paraId="22454689" w14:textId="77777777" w:rsidR="004410F8" w:rsidRPr="001A1C9B" w:rsidRDefault="004410F8" w:rsidP="001A1C9B">
            <w:pPr>
              <w:spacing w:line="240" w:lineRule="auto"/>
              <w:rPr>
                <w:sz w:val="16"/>
                <w:szCs w:val="18"/>
                <w:rtl/>
              </w:rPr>
            </w:pPr>
          </w:p>
        </w:tc>
        <w:tc>
          <w:tcPr>
            <w:tcW w:w="142" w:type="dxa"/>
            <w:gridSpan w:val="2"/>
            <w:vAlign w:val="bottom"/>
          </w:tcPr>
          <w:p w14:paraId="56AFB66E" w14:textId="77777777" w:rsidR="004410F8" w:rsidRPr="001A1C9B" w:rsidRDefault="004410F8" w:rsidP="001A1C9B">
            <w:pPr>
              <w:spacing w:line="240" w:lineRule="auto"/>
              <w:rPr>
                <w:sz w:val="16"/>
                <w:szCs w:val="18"/>
                <w:rtl/>
              </w:rPr>
            </w:pPr>
          </w:p>
        </w:tc>
        <w:tc>
          <w:tcPr>
            <w:tcW w:w="1274" w:type="dxa"/>
            <w:gridSpan w:val="2"/>
            <w:vAlign w:val="bottom"/>
          </w:tcPr>
          <w:p w14:paraId="2DF690CC" w14:textId="77777777" w:rsidR="004410F8" w:rsidRPr="001A1C9B" w:rsidRDefault="004410F8" w:rsidP="001A1C9B">
            <w:pPr>
              <w:tabs>
                <w:tab w:val="decimal" w:pos="113"/>
              </w:tabs>
              <w:spacing w:line="240" w:lineRule="auto"/>
              <w:rPr>
                <w:sz w:val="16"/>
                <w:szCs w:val="18"/>
                <w:rtl/>
              </w:rPr>
            </w:pPr>
          </w:p>
        </w:tc>
        <w:tc>
          <w:tcPr>
            <w:tcW w:w="142" w:type="dxa"/>
            <w:gridSpan w:val="2"/>
            <w:vAlign w:val="bottom"/>
          </w:tcPr>
          <w:p w14:paraId="671DBF18" w14:textId="77777777" w:rsidR="004410F8" w:rsidRPr="001A1C9B" w:rsidRDefault="004410F8" w:rsidP="001A1C9B">
            <w:pPr>
              <w:tabs>
                <w:tab w:val="decimal" w:pos="113"/>
              </w:tabs>
              <w:spacing w:line="240" w:lineRule="auto"/>
              <w:rPr>
                <w:sz w:val="16"/>
                <w:szCs w:val="18"/>
                <w:rtl/>
              </w:rPr>
            </w:pPr>
          </w:p>
        </w:tc>
        <w:tc>
          <w:tcPr>
            <w:tcW w:w="1275" w:type="dxa"/>
            <w:gridSpan w:val="2"/>
            <w:vAlign w:val="bottom"/>
          </w:tcPr>
          <w:p w14:paraId="7B38E584" w14:textId="77777777" w:rsidR="004410F8" w:rsidRPr="001A1C9B" w:rsidRDefault="004410F8" w:rsidP="001A1C9B">
            <w:pPr>
              <w:tabs>
                <w:tab w:val="decimal" w:pos="113"/>
              </w:tabs>
              <w:spacing w:line="240" w:lineRule="auto"/>
              <w:rPr>
                <w:sz w:val="16"/>
                <w:szCs w:val="18"/>
                <w:rtl/>
              </w:rPr>
            </w:pPr>
          </w:p>
        </w:tc>
      </w:tr>
      <w:tr w:rsidR="004410F8" w:rsidRPr="00C454B8" w14:paraId="7F6677FA" w14:textId="77777777" w:rsidTr="001958C9">
        <w:tc>
          <w:tcPr>
            <w:tcW w:w="3661" w:type="dxa"/>
            <w:vAlign w:val="bottom"/>
          </w:tcPr>
          <w:p w14:paraId="6C65E7EF" w14:textId="74336B66" w:rsidR="004410F8" w:rsidRPr="00C454B8" w:rsidRDefault="004410F8" w:rsidP="004C22FC">
            <w:pPr>
              <w:pStyle w:val="a3"/>
              <w:tabs>
                <w:tab w:val="left" w:pos="227"/>
                <w:tab w:val="left" w:pos="397"/>
                <w:tab w:val="left" w:pos="567"/>
              </w:tabs>
              <w:rPr>
                <w:sz w:val="22"/>
                <w:u w:val="single"/>
                <w:rtl/>
              </w:rPr>
            </w:pPr>
            <w:r w:rsidRPr="00C454B8">
              <w:rPr>
                <w:sz w:val="22"/>
                <w:u w:val="single"/>
                <w:rtl/>
              </w:rPr>
              <w:t xml:space="preserve">ליום 30 </w:t>
            </w:r>
            <w:r w:rsidRPr="00C454B8">
              <w:rPr>
                <w:rFonts w:hint="eastAsia"/>
                <w:sz w:val="22"/>
                <w:u w:val="single"/>
                <w:rtl/>
              </w:rPr>
              <w:t>בספטמבר</w:t>
            </w:r>
            <w:r w:rsidRPr="00C454B8">
              <w:rPr>
                <w:sz w:val="22"/>
                <w:u w:val="single"/>
                <w:rtl/>
              </w:rPr>
              <w:t xml:space="preserve">, </w:t>
            </w:r>
            <w:r w:rsidR="004F7D3D">
              <w:rPr>
                <w:sz w:val="22"/>
                <w:u w:val="single"/>
                <w:rtl/>
              </w:rPr>
              <w:t>201</w:t>
            </w:r>
            <w:r w:rsidR="004C22FC">
              <w:rPr>
                <w:rFonts w:hint="cs"/>
                <w:sz w:val="22"/>
                <w:u w:val="single"/>
                <w:rtl/>
              </w:rPr>
              <w:t>8</w:t>
            </w:r>
          </w:p>
        </w:tc>
        <w:tc>
          <w:tcPr>
            <w:tcW w:w="142" w:type="dxa"/>
            <w:vAlign w:val="bottom"/>
          </w:tcPr>
          <w:p w14:paraId="1C7FBA75" w14:textId="77777777" w:rsidR="004410F8" w:rsidRPr="0074065E" w:rsidRDefault="004410F8" w:rsidP="00903B68">
            <w:pPr>
              <w:spacing w:line="240" w:lineRule="exact"/>
              <w:rPr>
                <w:rtl/>
              </w:rPr>
            </w:pPr>
          </w:p>
        </w:tc>
        <w:tc>
          <w:tcPr>
            <w:tcW w:w="1133" w:type="dxa"/>
            <w:gridSpan w:val="2"/>
            <w:vAlign w:val="bottom"/>
          </w:tcPr>
          <w:p w14:paraId="6B20CD14" w14:textId="77777777" w:rsidR="004410F8" w:rsidRPr="0074065E" w:rsidRDefault="004410F8" w:rsidP="00903B68">
            <w:pPr>
              <w:spacing w:line="240" w:lineRule="exact"/>
              <w:rPr>
                <w:rtl/>
              </w:rPr>
            </w:pPr>
          </w:p>
        </w:tc>
        <w:tc>
          <w:tcPr>
            <w:tcW w:w="142" w:type="dxa"/>
            <w:gridSpan w:val="2"/>
            <w:vAlign w:val="bottom"/>
          </w:tcPr>
          <w:p w14:paraId="64686968" w14:textId="77777777" w:rsidR="004410F8" w:rsidRPr="0074065E" w:rsidRDefault="004410F8" w:rsidP="00903B68">
            <w:pPr>
              <w:spacing w:line="240" w:lineRule="exact"/>
              <w:rPr>
                <w:rtl/>
              </w:rPr>
            </w:pPr>
          </w:p>
        </w:tc>
        <w:tc>
          <w:tcPr>
            <w:tcW w:w="1274" w:type="dxa"/>
            <w:gridSpan w:val="2"/>
            <w:vAlign w:val="bottom"/>
          </w:tcPr>
          <w:p w14:paraId="14A09F6A" w14:textId="77777777" w:rsidR="004410F8" w:rsidRPr="0074065E" w:rsidRDefault="004410F8" w:rsidP="00903B68">
            <w:pPr>
              <w:tabs>
                <w:tab w:val="decimal" w:pos="113"/>
              </w:tabs>
              <w:spacing w:line="240" w:lineRule="exact"/>
              <w:rPr>
                <w:rtl/>
              </w:rPr>
            </w:pPr>
          </w:p>
        </w:tc>
        <w:tc>
          <w:tcPr>
            <w:tcW w:w="142" w:type="dxa"/>
            <w:gridSpan w:val="2"/>
            <w:vAlign w:val="bottom"/>
          </w:tcPr>
          <w:p w14:paraId="711056CF" w14:textId="77777777" w:rsidR="004410F8" w:rsidRPr="0074065E" w:rsidRDefault="004410F8" w:rsidP="00903B68">
            <w:pPr>
              <w:tabs>
                <w:tab w:val="decimal" w:pos="113"/>
              </w:tabs>
              <w:spacing w:line="240" w:lineRule="exact"/>
              <w:rPr>
                <w:rtl/>
              </w:rPr>
            </w:pPr>
          </w:p>
        </w:tc>
        <w:tc>
          <w:tcPr>
            <w:tcW w:w="1275" w:type="dxa"/>
            <w:gridSpan w:val="2"/>
            <w:vAlign w:val="bottom"/>
          </w:tcPr>
          <w:p w14:paraId="1ADF30F9" w14:textId="77777777" w:rsidR="004410F8" w:rsidRPr="0074065E" w:rsidRDefault="004410F8" w:rsidP="00903B68">
            <w:pPr>
              <w:tabs>
                <w:tab w:val="decimal" w:pos="113"/>
              </w:tabs>
              <w:spacing w:line="240" w:lineRule="exact"/>
              <w:rPr>
                <w:rtl/>
              </w:rPr>
            </w:pPr>
          </w:p>
        </w:tc>
      </w:tr>
      <w:tr w:rsidR="004410F8" w:rsidRPr="001A1C9B" w14:paraId="6F3C7D8D" w14:textId="77777777" w:rsidTr="001958C9">
        <w:tc>
          <w:tcPr>
            <w:tcW w:w="3661" w:type="dxa"/>
            <w:vAlign w:val="bottom"/>
          </w:tcPr>
          <w:p w14:paraId="1915A284" w14:textId="77777777" w:rsidR="004410F8" w:rsidRPr="001A1C9B" w:rsidRDefault="004410F8" w:rsidP="001A1C9B">
            <w:pPr>
              <w:pStyle w:val="a3"/>
              <w:tabs>
                <w:tab w:val="left" w:pos="227"/>
                <w:tab w:val="left" w:pos="397"/>
                <w:tab w:val="left" w:pos="567"/>
              </w:tabs>
              <w:spacing w:line="240" w:lineRule="auto"/>
              <w:rPr>
                <w:sz w:val="18"/>
                <w:szCs w:val="20"/>
                <w:rtl/>
              </w:rPr>
            </w:pPr>
          </w:p>
        </w:tc>
        <w:tc>
          <w:tcPr>
            <w:tcW w:w="142" w:type="dxa"/>
            <w:vAlign w:val="bottom"/>
          </w:tcPr>
          <w:p w14:paraId="6E085C9F" w14:textId="77777777" w:rsidR="004410F8" w:rsidRPr="001A1C9B" w:rsidRDefault="004410F8" w:rsidP="001A1C9B">
            <w:pPr>
              <w:spacing w:line="240" w:lineRule="auto"/>
              <w:rPr>
                <w:sz w:val="18"/>
                <w:szCs w:val="20"/>
                <w:rtl/>
              </w:rPr>
            </w:pPr>
          </w:p>
        </w:tc>
        <w:tc>
          <w:tcPr>
            <w:tcW w:w="1133" w:type="dxa"/>
            <w:gridSpan w:val="2"/>
            <w:vAlign w:val="bottom"/>
          </w:tcPr>
          <w:p w14:paraId="51D62237" w14:textId="77777777" w:rsidR="004410F8" w:rsidRPr="001A1C9B" w:rsidRDefault="004410F8" w:rsidP="001A1C9B">
            <w:pPr>
              <w:spacing w:line="240" w:lineRule="auto"/>
              <w:rPr>
                <w:sz w:val="18"/>
                <w:szCs w:val="20"/>
                <w:rtl/>
              </w:rPr>
            </w:pPr>
          </w:p>
        </w:tc>
        <w:tc>
          <w:tcPr>
            <w:tcW w:w="142" w:type="dxa"/>
            <w:gridSpan w:val="2"/>
            <w:vAlign w:val="bottom"/>
          </w:tcPr>
          <w:p w14:paraId="1EEB8BE6" w14:textId="77777777" w:rsidR="004410F8" w:rsidRPr="001A1C9B" w:rsidRDefault="004410F8" w:rsidP="001A1C9B">
            <w:pPr>
              <w:spacing w:line="240" w:lineRule="auto"/>
              <w:rPr>
                <w:sz w:val="18"/>
                <w:szCs w:val="20"/>
                <w:rtl/>
              </w:rPr>
            </w:pPr>
          </w:p>
        </w:tc>
        <w:tc>
          <w:tcPr>
            <w:tcW w:w="1274" w:type="dxa"/>
            <w:gridSpan w:val="2"/>
            <w:vAlign w:val="bottom"/>
          </w:tcPr>
          <w:p w14:paraId="4D62A9F4" w14:textId="77777777" w:rsidR="004410F8" w:rsidRPr="001A1C9B" w:rsidRDefault="004410F8" w:rsidP="001A1C9B">
            <w:pPr>
              <w:tabs>
                <w:tab w:val="decimal" w:pos="113"/>
              </w:tabs>
              <w:spacing w:line="240" w:lineRule="auto"/>
              <w:rPr>
                <w:sz w:val="18"/>
                <w:szCs w:val="20"/>
                <w:rtl/>
              </w:rPr>
            </w:pPr>
          </w:p>
        </w:tc>
        <w:tc>
          <w:tcPr>
            <w:tcW w:w="142" w:type="dxa"/>
            <w:gridSpan w:val="2"/>
            <w:vAlign w:val="bottom"/>
          </w:tcPr>
          <w:p w14:paraId="5D1EE6B5" w14:textId="77777777" w:rsidR="004410F8" w:rsidRPr="001A1C9B" w:rsidRDefault="004410F8" w:rsidP="001A1C9B">
            <w:pPr>
              <w:tabs>
                <w:tab w:val="decimal" w:pos="113"/>
              </w:tabs>
              <w:spacing w:line="240" w:lineRule="auto"/>
              <w:rPr>
                <w:sz w:val="18"/>
                <w:szCs w:val="20"/>
                <w:rtl/>
              </w:rPr>
            </w:pPr>
          </w:p>
        </w:tc>
        <w:tc>
          <w:tcPr>
            <w:tcW w:w="1275" w:type="dxa"/>
            <w:gridSpan w:val="2"/>
            <w:vAlign w:val="bottom"/>
          </w:tcPr>
          <w:p w14:paraId="05858B45" w14:textId="77777777" w:rsidR="004410F8" w:rsidRPr="001A1C9B" w:rsidRDefault="004410F8" w:rsidP="001A1C9B">
            <w:pPr>
              <w:tabs>
                <w:tab w:val="decimal" w:pos="113"/>
              </w:tabs>
              <w:spacing w:line="240" w:lineRule="auto"/>
              <w:rPr>
                <w:sz w:val="18"/>
                <w:szCs w:val="20"/>
                <w:rtl/>
              </w:rPr>
            </w:pPr>
          </w:p>
        </w:tc>
      </w:tr>
      <w:tr w:rsidR="004410F8" w:rsidRPr="00C454B8" w14:paraId="257028B4" w14:textId="77777777" w:rsidTr="001958C9">
        <w:tc>
          <w:tcPr>
            <w:tcW w:w="3661" w:type="dxa"/>
            <w:vAlign w:val="bottom"/>
          </w:tcPr>
          <w:p w14:paraId="7EA97FDB" w14:textId="77777777" w:rsidR="004410F8" w:rsidRPr="00C454B8" w:rsidRDefault="004410F8" w:rsidP="00903B68">
            <w:pPr>
              <w:pStyle w:val="a3"/>
              <w:tabs>
                <w:tab w:val="left" w:pos="227"/>
                <w:tab w:val="left" w:pos="397"/>
                <w:tab w:val="left" w:pos="567"/>
              </w:tabs>
              <w:rPr>
                <w:sz w:val="22"/>
                <w:rtl/>
              </w:rPr>
            </w:pPr>
            <w:r w:rsidRPr="00C454B8">
              <w:rPr>
                <w:rFonts w:hint="eastAsia"/>
                <w:sz w:val="22"/>
                <w:rtl/>
              </w:rPr>
              <w:t>מסים</w:t>
            </w:r>
            <w:r w:rsidRPr="00C454B8">
              <w:rPr>
                <w:sz w:val="22"/>
                <w:rtl/>
              </w:rPr>
              <w:t xml:space="preserve"> </w:t>
            </w:r>
            <w:r w:rsidRPr="00C454B8">
              <w:rPr>
                <w:rFonts w:hint="eastAsia"/>
                <w:sz w:val="22"/>
                <w:rtl/>
              </w:rPr>
              <w:t>נדחים</w:t>
            </w:r>
            <w:r w:rsidRPr="00C454B8">
              <w:rPr>
                <w:sz w:val="22"/>
                <w:rtl/>
              </w:rPr>
              <w:t xml:space="preserve"> (במסגרת </w:t>
            </w:r>
            <w:r w:rsidRPr="00C454B8">
              <w:rPr>
                <w:rFonts w:hint="eastAsia"/>
                <w:sz w:val="22"/>
                <w:rtl/>
              </w:rPr>
              <w:t>נכסים</w:t>
            </w:r>
            <w:r w:rsidRPr="00C454B8">
              <w:rPr>
                <w:sz w:val="22"/>
                <w:rtl/>
              </w:rPr>
              <w:t xml:space="preserve"> </w:t>
            </w:r>
            <w:r w:rsidRPr="00C454B8">
              <w:rPr>
                <w:rFonts w:hint="eastAsia"/>
                <w:sz w:val="22"/>
                <w:rtl/>
              </w:rPr>
              <w:t>לא</w:t>
            </w:r>
            <w:r w:rsidRPr="00C454B8">
              <w:rPr>
                <w:sz w:val="22"/>
                <w:rtl/>
              </w:rPr>
              <w:t xml:space="preserve"> </w:t>
            </w:r>
            <w:r w:rsidRPr="00C454B8">
              <w:rPr>
                <w:rFonts w:hint="eastAsia"/>
                <w:sz w:val="22"/>
                <w:rtl/>
              </w:rPr>
              <w:t>שוטפים</w:t>
            </w:r>
            <w:r w:rsidRPr="00C454B8">
              <w:rPr>
                <w:sz w:val="22"/>
                <w:rtl/>
              </w:rPr>
              <w:t>)</w:t>
            </w:r>
          </w:p>
        </w:tc>
        <w:tc>
          <w:tcPr>
            <w:tcW w:w="142" w:type="dxa"/>
            <w:vAlign w:val="bottom"/>
          </w:tcPr>
          <w:p w14:paraId="479AFBA7" w14:textId="77777777" w:rsidR="004410F8" w:rsidRPr="0074065E" w:rsidRDefault="004410F8" w:rsidP="00903B68">
            <w:pPr>
              <w:spacing w:line="240" w:lineRule="exact"/>
              <w:rPr>
                <w:rtl/>
              </w:rPr>
            </w:pPr>
          </w:p>
        </w:tc>
        <w:tc>
          <w:tcPr>
            <w:tcW w:w="1133" w:type="dxa"/>
            <w:gridSpan w:val="2"/>
            <w:tcBorders>
              <w:bottom w:val="double" w:sz="6" w:space="0" w:color="auto"/>
            </w:tcBorders>
            <w:shd w:val="clear" w:color="auto" w:fill="auto"/>
            <w:vAlign w:val="bottom"/>
          </w:tcPr>
          <w:p w14:paraId="1FB522B1" w14:textId="77777777" w:rsidR="004410F8" w:rsidRPr="0074065E" w:rsidRDefault="004410F8" w:rsidP="00903B68">
            <w:pPr>
              <w:spacing w:line="240" w:lineRule="exact"/>
              <w:rPr>
                <w:rtl/>
              </w:rPr>
            </w:pPr>
          </w:p>
        </w:tc>
        <w:tc>
          <w:tcPr>
            <w:tcW w:w="142" w:type="dxa"/>
            <w:gridSpan w:val="2"/>
            <w:vAlign w:val="bottom"/>
          </w:tcPr>
          <w:p w14:paraId="03009ECC" w14:textId="77777777" w:rsidR="004410F8" w:rsidRPr="0074065E" w:rsidRDefault="004410F8" w:rsidP="00903B68">
            <w:pPr>
              <w:spacing w:line="240" w:lineRule="exact"/>
              <w:rPr>
                <w:rtl/>
              </w:rPr>
            </w:pPr>
          </w:p>
        </w:tc>
        <w:tc>
          <w:tcPr>
            <w:tcW w:w="1274" w:type="dxa"/>
            <w:gridSpan w:val="2"/>
            <w:tcBorders>
              <w:bottom w:val="double" w:sz="6" w:space="0" w:color="auto"/>
            </w:tcBorders>
            <w:vAlign w:val="bottom"/>
          </w:tcPr>
          <w:p w14:paraId="49D897F4" w14:textId="77777777" w:rsidR="004410F8" w:rsidRPr="0074065E" w:rsidRDefault="004410F8" w:rsidP="00903B68">
            <w:pPr>
              <w:tabs>
                <w:tab w:val="decimal" w:pos="113"/>
              </w:tabs>
              <w:spacing w:line="240" w:lineRule="exact"/>
              <w:rPr>
                <w:rtl/>
              </w:rPr>
            </w:pPr>
          </w:p>
        </w:tc>
        <w:tc>
          <w:tcPr>
            <w:tcW w:w="142" w:type="dxa"/>
            <w:gridSpan w:val="2"/>
            <w:vAlign w:val="bottom"/>
          </w:tcPr>
          <w:p w14:paraId="154A4D0D" w14:textId="77777777" w:rsidR="004410F8" w:rsidRPr="0074065E" w:rsidRDefault="004410F8" w:rsidP="00903B68">
            <w:pPr>
              <w:tabs>
                <w:tab w:val="decimal" w:pos="113"/>
              </w:tabs>
              <w:spacing w:line="240" w:lineRule="exact"/>
              <w:rPr>
                <w:rtl/>
              </w:rPr>
            </w:pPr>
          </w:p>
        </w:tc>
        <w:tc>
          <w:tcPr>
            <w:tcW w:w="1275" w:type="dxa"/>
            <w:gridSpan w:val="2"/>
            <w:tcBorders>
              <w:bottom w:val="double" w:sz="6" w:space="0" w:color="auto"/>
            </w:tcBorders>
            <w:vAlign w:val="bottom"/>
          </w:tcPr>
          <w:p w14:paraId="5E7ABB4C" w14:textId="77777777" w:rsidR="004410F8" w:rsidRPr="0074065E" w:rsidRDefault="004410F8" w:rsidP="00903B68">
            <w:pPr>
              <w:tabs>
                <w:tab w:val="decimal" w:pos="113"/>
              </w:tabs>
              <w:spacing w:line="240" w:lineRule="exact"/>
              <w:rPr>
                <w:rtl/>
              </w:rPr>
            </w:pPr>
          </w:p>
        </w:tc>
      </w:tr>
      <w:tr w:rsidR="004410F8" w:rsidRPr="00C454B8" w14:paraId="3DEDDEDC" w14:textId="77777777" w:rsidTr="001958C9">
        <w:tc>
          <w:tcPr>
            <w:tcW w:w="3661" w:type="dxa"/>
            <w:vAlign w:val="bottom"/>
          </w:tcPr>
          <w:p w14:paraId="5AD64FEA" w14:textId="77777777" w:rsidR="004410F8" w:rsidRPr="00C454B8" w:rsidRDefault="004410F8" w:rsidP="00903B68">
            <w:pPr>
              <w:pStyle w:val="a3"/>
              <w:tabs>
                <w:tab w:val="left" w:pos="227"/>
                <w:tab w:val="left" w:pos="397"/>
                <w:tab w:val="left" w:pos="567"/>
              </w:tabs>
              <w:rPr>
                <w:sz w:val="22"/>
                <w:rtl/>
              </w:rPr>
            </w:pPr>
            <w:r w:rsidRPr="00C454B8">
              <w:rPr>
                <w:rFonts w:hint="eastAsia"/>
                <w:sz w:val="22"/>
                <w:rtl/>
              </w:rPr>
              <w:t>מסים</w:t>
            </w:r>
            <w:r w:rsidRPr="00C454B8">
              <w:rPr>
                <w:sz w:val="22"/>
                <w:rtl/>
              </w:rPr>
              <w:t xml:space="preserve"> </w:t>
            </w:r>
            <w:r w:rsidRPr="00C454B8">
              <w:rPr>
                <w:rFonts w:hint="eastAsia"/>
                <w:sz w:val="22"/>
                <w:rtl/>
              </w:rPr>
              <w:t>נדחים</w:t>
            </w:r>
            <w:r w:rsidRPr="00C454B8">
              <w:rPr>
                <w:sz w:val="22"/>
                <w:rtl/>
              </w:rPr>
              <w:t xml:space="preserve"> (במסגרת </w:t>
            </w:r>
            <w:r w:rsidRPr="00C454B8">
              <w:rPr>
                <w:rFonts w:hint="eastAsia"/>
                <w:sz w:val="22"/>
                <w:rtl/>
              </w:rPr>
              <w:t>התחייבויות</w:t>
            </w:r>
            <w:r w:rsidRPr="00C454B8">
              <w:rPr>
                <w:sz w:val="22"/>
                <w:rtl/>
              </w:rPr>
              <w:t xml:space="preserve"> </w:t>
            </w:r>
            <w:r w:rsidRPr="00C454B8">
              <w:rPr>
                <w:rFonts w:hint="eastAsia"/>
                <w:sz w:val="22"/>
                <w:rtl/>
              </w:rPr>
              <w:t>לא</w:t>
            </w:r>
            <w:r w:rsidRPr="00C454B8">
              <w:rPr>
                <w:sz w:val="22"/>
                <w:rtl/>
              </w:rPr>
              <w:t xml:space="preserve"> </w:t>
            </w:r>
            <w:r w:rsidRPr="00C454B8">
              <w:rPr>
                <w:rFonts w:hint="eastAsia"/>
                <w:sz w:val="22"/>
                <w:rtl/>
              </w:rPr>
              <w:t>שוטפות</w:t>
            </w:r>
            <w:r w:rsidRPr="00C454B8">
              <w:rPr>
                <w:sz w:val="22"/>
                <w:rtl/>
              </w:rPr>
              <w:t>)</w:t>
            </w:r>
          </w:p>
        </w:tc>
        <w:tc>
          <w:tcPr>
            <w:tcW w:w="142" w:type="dxa"/>
            <w:vAlign w:val="bottom"/>
          </w:tcPr>
          <w:p w14:paraId="6AC4ABA2" w14:textId="77777777" w:rsidR="004410F8" w:rsidRPr="0074065E" w:rsidRDefault="004410F8" w:rsidP="00903B68">
            <w:pPr>
              <w:spacing w:line="240" w:lineRule="exact"/>
              <w:rPr>
                <w:rtl/>
              </w:rPr>
            </w:pPr>
          </w:p>
        </w:tc>
        <w:tc>
          <w:tcPr>
            <w:tcW w:w="1133" w:type="dxa"/>
            <w:gridSpan w:val="2"/>
            <w:tcBorders>
              <w:top w:val="double" w:sz="6" w:space="0" w:color="auto"/>
              <w:bottom w:val="double" w:sz="6" w:space="0" w:color="auto"/>
            </w:tcBorders>
            <w:shd w:val="clear" w:color="auto" w:fill="auto"/>
            <w:vAlign w:val="bottom"/>
          </w:tcPr>
          <w:p w14:paraId="15F947B6" w14:textId="77777777" w:rsidR="004410F8" w:rsidRPr="0074065E" w:rsidRDefault="004410F8" w:rsidP="00903B68">
            <w:pPr>
              <w:spacing w:line="240" w:lineRule="exact"/>
              <w:rPr>
                <w:rtl/>
              </w:rPr>
            </w:pPr>
          </w:p>
        </w:tc>
        <w:tc>
          <w:tcPr>
            <w:tcW w:w="142" w:type="dxa"/>
            <w:gridSpan w:val="2"/>
            <w:vAlign w:val="bottom"/>
          </w:tcPr>
          <w:p w14:paraId="1740CD23" w14:textId="77777777" w:rsidR="004410F8" w:rsidRPr="0074065E" w:rsidRDefault="004410F8" w:rsidP="00903B68">
            <w:pPr>
              <w:spacing w:line="240" w:lineRule="exact"/>
              <w:rPr>
                <w:rtl/>
              </w:rPr>
            </w:pPr>
          </w:p>
        </w:tc>
        <w:tc>
          <w:tcPr>
            <w:tcW w:w="1274" w:type="dxa"/>
            <w:gridSpan w:val="2"/>
            <w:tcBorders>
              <w:bottom w:val="double" w:sz="6" w:space="0" w:color="auto"/>
            </w:tcBorders>
            <w:vAlign w:val="bottom"/>
          </w:tcPr>
          <w:p w14:paraId="2C0A7E26" w14:textId="77777777" w:rsidR="004410F8" w:rsidRPr="0074065E" w:rsidRDefault="004410F8" w:rsidP="00903B68">
            <w:pPr>
              <w:tabs>
                <w:tab w:val="decimal" w:pos="113"/>
              </w:tabs>
              <w:spacing w:line="240" w:lineRule="exact"/>
              <w:rPr>
                <w:rtl/>
              </w:rPr>
            </w:pPr>
          </w:p>
        </w:tc>
        <w:tc>
          <w:tcPr>
            <w:tcW w:w="142" w:type="dxa"/>
            <w:gridSpan w:val="2"/>
            <w:vAlign w:val="bottom"/>
          </w:tcPr>
          <w:p w14:paraId="299647C1" w14:textId="77777777" w:rsidR="004410F8" w:rsidRPr="0074065E" w:rsidRDefault="004410F8" w:rsidP="00903B68">
            <w:pPr>
              <w:tabs>
                <w:tab w:val="decimal" w:pos="113"/>
              </w:tabs>
              <w:spacing w:line="240" w:lineRule="exact"/>
              <w:rPr>
                <w:rtl/>
              </w:rPr>
            </w:pPr>
          </w:p>
        </w:tc>
        <w:tc>
          <w:tcPr>
            <w:tcW w:w="1275" w:type="dxa"/>
            <w:gridSpan w:val="2"/>
            <w:tcBorders>
              <w:bottom w:val="double" w:sz="6" w:space="0" w:color="auto"/>
            </w:tcBorders>
            <w:vAlign w:val="bottom"/>
          </w:tcPr>
          <w:p w14:paraId="054B89B0" w14:textId="77777777" w:rsidR="004410F8" w:rsidRPr="0074065E" w:rsidRDefault="004410F8" w:rsidP="00903B68">
            <w:pPr>
              <w:tabs>
                <w:tab w:val="decimal" w:pos="113"/>
              </w:tabs>
              <w:spacing w:line="240" w:lineRule="exact"/>
              <w:rPr>
                <w:rtl/>
              </w:rPr>
            </w:pPr>
          </w:p>
        </w:tc>
      </w:tr>
      <w:tr w:rsidR="004410F8" w:rsidRPr="00C454B8" w14:paraId="514881B3" w14:textId="77777777" w:rsidTr="001958C9">
        <w:tc>
          <w:tcPr>
            <w:tcW w:w="3661" w:type="dxa"/>
            <w:vAlign w:val="bottom"/>
          </w:tcPr>
          <w:p w14:paraId="698B610E" w14:textId="77777777" w:rsidR="004410F8" w:rsidRPr="00C454B8" w:rsidRDefault="004410F8" w:rsidP="00903B68">
            <w:pPr>
              <w:pStyle w:val="a3"/>
              <w:tabs>
                <w:tab w:val="left" w:pos="227"/>
                <w:tab w:val="left" w:pos="397"/>
                <w:tab w:val="left" w:pos="567"/>
              </w:tabs>
              <w:rPr>
                <w:sz w:val="22"/>
                <w:rtl/>
              </w:rPr>
            </w:pPr>
          </w:p>
        </w:tc>
        <w:tc>
          <w:tcPr>
            <w:tcW w:w="142" w:type="dxa"/>
            <w:vAlign w:val="bottom"/>
          </w:tcPr>
          <w:p w14:paraId="23174CB3" w14:textId="77777777" w:rsidR="004410F8" w:rsidRPr="0074065E" w:rsidRDefault="004410F8" w:rsidP="00903B68">
            <w:pPr>
              <w:spacing w:line="240" w:lineRule="exact"/>
              <w:rPr>
                <w:rtl/>
              </w:rPr>
            </w:pPr>
          </w:p>
        </w:tc>
        <w:tc>
          <w:tcPr>
            <w:tcW w:w="1133" w:type="dxa"/>
            <w:gridSpan w:val="2"/>
            <w:tcBorders>
              <w:top w:val="double" w:sz="6" w:space="0" w:color="auto"/>
            </w:tcBorders>
            <w:shd w:val="clear" w:color="auto" w:fill="auto"/>
            <w:vAlign w:val="bottom"/>
          </w:tcPr>
          <w:p w14:paraId="4FE6371C" w14:textId="77777777" w:rsidR="004410F8" w:rsidRPr="0074065E" w:rsidRDefault="004410F8" w:rsidP="00903B68">
            <w:pPr>
              <w:spacing w:line="240" w:lineRule="exact"/>
              <w:rPr>
                <w:rtl/>
              </w:rPr>
            </w:pPr>
          </w:p>
        </w:tc>
        <w:tc>
          <w:tcPr>
            <w:tcW w:w="142" w:type="dxa"/>
            <w:gridSpan w:val="2"/>
            <w:vAlign w:val="bottom"/>
          </w:tcPr>
          <w:p w14:paraId="4DDCFCF8" w14:textId="77777777" w:rsidR="004410F8" w:rsidRPr="0074065E" w:rsidRDefault="004410F8" w:rsidP="00903B68">
            <w:pPr>
              <w:spacing w:line="240" w:lineRule="exact"/>
              <w:rPr>
                <w:rtl/>
              </w:rPr>
            </w:pPr>
          </w:p>
        </w:tc>
        <w:tc>
          <w:tcPr>
            <w:tcW w:w="1274" w:type="dxa"/>
            <w:gridSpan w:val="2"/>
            <w:vAlign w:val="bottom"/>
          </w:tcPr>
          <w:p w14:paraId="31E1A118" w14:textId="77777777" w:rsidR="004410F8" w:rsidRPr="0074065E" w:rsidRDefault="004410F8" w:rsidP="00903B68">
            <w:pPr>
              <w:tabs>
                <w:tab w:val="decimal" w:pos="113"/>
              </w:tabs>
              <w:spacing w:line="240" w:lineRule="exact"/>
              <w:rPr>
                <w:rtl/>
              </w:rPr>
            </w:pPr>
          </w:p>
        </w:tc>
        <w:tc>
          <w:tcPr>
            <w:tcW w:w="142" w:type="dxa"/>
            <w:gridSpan w:val="2"/>
            <w:vAlign w:val="bottom"/>
          </w:tcPr>
          <w:p w14:paraId="37EDD7E2" w14:textId="77777777" w:rsidR="004410F8" w:rsidRPr="0074065E" w:rsidRDefault="004410F8" w:rsidP="00903B68">
            <w:pPr>
              <w:tabs>
                <w:tab w:val="decimal" w:pos="113"/>
              </w:tabs>
              <w:spacing w:line="240" w:lineRule="exact"/>
              <w:rPr>
                <w:rtl/>
              </w:rPr>
            </w:pPr>
          </w:p>
        </w:tc>
        <w:tc>
          <w:tcPr>
            <w:tcW w:w="1275" w:type="dxa"/>
            <w:gridSpan w:val="2"/>
            <w:vAlign w:val="bottom"/>
          </w:tcPr>
          <w:p w14:paraId="3A7FBB7D" w14:textId="77777777" w:rsidR="004410F8" w:rsidRPr="0074065E" w:rsidRDefault="004410F8" w:rsidP="00903B68">
            <w:pPr>
              <w:tabs>
                <w:tab w:val="decimal" w:pos="113"/>
              </w:tabs>
              <w:spacing w:line="240" w:lineRule="exact"/>
              <w:rPr>
                <w:rtl/>
              </w:rPr>
            </w:pPr>
          </w:p>
        </w:tc>
      </w:tr>
      <w:tr w:rsidR="004410F8" w:rsidRPr="00C454B8" w14:paraId="23F3EE12" w14:textId="77777777" w:rsidTr="001958C9">
        <w:tc>
          <w:tcPr>
            <w:tcW w:w="3661" w:type="dxa"/>
            <w:vAlign w:val="bottom"/>
          </w:tcPr>
          <w:p w14:paraId="65A4A151" w14:textId="77777777" w:rsidR="004410F8" w:rsidRPr="00C454B8" w:rsidRDefault="004410F8" w:rsidP="00903B68">
            <w:pPr>
              <w:pStyle w:val="a3"/>
              <w:tabs>
                <w:tab w:val="left" w:pos="227"/>
                <w:tab w:val="left" w:pos="397"/>
                <w:tab w:val="left" w:pos="567"/>
              </w:tabs>
              <w:rPr>
                <w:sz w:val="22"/>
                <w:rtl/>
              </w:rPr>
            </w:pPr>
            <w:r w:rsidRPr="00C454B8">
              <w:rPr>
                <w:rFonts w:hint="eastAsia"/>
                <w:sz w:val="22"/>
                <w:rtl/>
              </w:rPr>
              <w:t>יתרת</w:t>
            </w:r>
            <w:r w:rsidRPr="00C454B8">
              <w:rPr>
                <w:sz w:val="22"/>
                <w:rtl/>
              </w:rPr>
              <w:t xml:space="preserve"> </w:t>
            </w:r>
            <w:r w:rsidRPr="00C454B8">
              <w:rPr>
                <w:rFonts w:hint="eastAsia"/>
                <w:sz w:val="22"/>
                <w:rtl/>
              </w:rPr>
              <w:t>רווח</w:t>
            </w:r>
            <w:r w:rsidRPr="00C454B8">
              <w:rPr>
                <w:sz w:val="22"/>
                <w:rtl/>
              </w:rPr>
              <w:t xml:space="preserve"> (הפסד)</w:t>
            </w:r>
          </w:p>
        </w:tc>
        <w:tc>
          <w:tcPr>
            <w:tcW w:w="142" w:type="dxa"/>
            <w:vAlign w:val="bottom"/>
          </w:tcPr>
          <w:p w14:paraId="77CD92D7" w14:textId="77777777" w:rsidR="004410F8" w:rsidRPr="0074065E" w:rsidRDefault="004410F8" w:rsidP="00903B68">
            <w:pPr>
              <w:spacing w:line="240" w:lineRule="exact"/>
              <w:rPr>
                <w:rtl/>
              </w:rPr>
            </w:pPr>
          </w:p>
        </w:tc>
        <w:tc>
          <w:tcPr>
            <w:tcW w:w="1133" w:type="dxa"/>
            <w:gridSpan w:val="2"/>
            <w:tcBorders>
              <w:bottom w:val="double" w:sz="6" w:space="0" w:color="auto"/>
            </w:tcBorders>
            <w:shd w:val="clear" w:color="auto" w:fill="auto"/>
            <w:vAlign w:val="bottom"/>
          </w:tcPr>
          <w:p w14:paraId="248729F5" w14:textId="77777777" w:rsidR="004410F8" w:rsidRPr="0074065E" w:rsidRDefault="004410F8" w:rsidP="00903B68">
            <w:pPr>
              <w:spacing w:line="240" w:lineRule="exact"/>
              <w:rPr>
                <w:rtl/>
              </w:rPr>
            </w:pPr>
          </w:p>
        </w:tc>
        <w:tc>
          <w:tcPr>
            <w:tcW w:w="142" w:type="dxa"/>
            <w:gridSpan w:val="2"/>
            <w:vAlign w:val="bottom"/>
          </w:tcPr>
          <w:p w14:paraId="70616C8D" w14:textId="77777777" w:rsidR="004410F8" w:rsidRPr="0074065E" w:rsidRDefault="004410F8" w:rsidP="00903B68">
            <w:pPr>
              <w:spacing w:line="240" w:lineRule="exact"/>
              <w:rPr>
                <w:rtl/>
              </w:rPr>
            </w:pPr>
          </w:p>
        </w:tc>
        <w:tc>
          <w:tcPr>
            <w:tcW w:w="1274" w:type="dxa"/>
            <w:gridSpan w:val="2"/>
            <w:tcBorders>
              <w:bottom w:val="double" w:sz="6" w:space="0" w:color="auto"/>
            </w:tcBorders>
            <w:vAlign w:val="bottom"/>
          </w:tcPr>
          <w:p w14:paraId="648E412D" w14:textId="77777777" w:rsidR="004410F8" w:rsidRPr="0074065E" w:rsidRDefault="004410F8" w:rsidP="00903B68">
            <w:pPr>
              <w:tabs>
                <w:tab w:val="decimal" w:pos="113"/>
              </w:tabs>
              <w:spacing w:line="240" w:lineRule="exact"/>
              <w:rPr>
                <w:rtl/>
              </w:rPr>
            </w:pPr>
          </w:p>
        </w:tc>
        <w:tc>
          <w:tcPr>
            <w:tcW w:w="142" w:type="dxa"/>
            <w:gridSpan w:val="2"/>
            <w:vAlign w:val="bottom"/>
          </w:tcPr>
          <w:p w14:paraId="4067412D" w14:textId="77777777" w:rsidR="004410F8" w:rsidRPr="0074065E" w:rsidRDefault="004410F8" w:rsidP="00903B68">
            <w:pPr>
              <w:tabs>
                <w:tab w:val="decimal" w:pos="113"/>
              </w:tabs>
              <w:spacing w:line="240" w:lineRule="exact"/>
              <w:rPr>
                <w:rtl/>
              </w:rPr>
            </w:pPr>
          </w:p>
        </w:tc>
        <w:tc>
          <w:tcPr>
            <w:tcW w:w="1275" w:type="dxa"/>
            <w:gridSpan w:val="2"/>
            <w:tcBorders>
              <w:bottom w:val="double" w:sz="6" w:space="0" w:color="auto"/>
            </w:tcBorders>
            <w:vAlign w:val="bottom"/>
          </w:tcPr>
          <w:p w14:paraId="543C2F6B" w14:textId="77777777" w:rsidR="004410F8" w:rsidRPr="0074065E" w:rsidRDefault="004410F8" w:rsidP="00903B68">
            <w:pPr>
              <w:tabs>
                <w:tab w:val="decimal" w:pos="113"/>
              </w:tabs>
              <w:spacing w:line="240" w:lineRule="exact"/>
              <w:rPr>
                <w:rtl/>
              </w:rPr>
            </w:pPr>
          </w:p>
        </w:tc>
      </w:tr>
    </w:tbl>
    <w:p w14:paraId="6000E5FB" w14:textId="77777777" w:rsidR="005B3CD0" w:rsidRDefault="005B3CD0" w:rsidP="001A1C9B">
      <w:pPr>
        <w:spacing w:line="240" w:lineRule="auto"/>
        <w:rPr>
          <w:rtl/>
        </w:rPr>
      </w:pPr>
    </w:p>
    <w:p w14:paraId="1D83A5ED" w14:textId="77777777" w:rsidR="005B3CD0" w:rsidRPr="001958C9" w:rsidRDefault="005B3CD0" w:rsidP="001A1C9B">
      <w:pPr>
        <w:pStyle w:val="30"/>
        <w:spacing w:line="240" w:lineRule="auto"/>
        <w:rPr>
          <w:u w:val="single"/>
          <w:rtl/>
        </w:rPr>
      </w:pPr>
      <w:r w:rsidRPr="001958C9">
        <w:rPr>
          <w:u w:val="single"/>
          <w:rtl/>
        </w:rPr>
        <w:t>בדוח</w:t>
      </w:r>
      <w:r w:rsidRPr="001958C9">
        <w:rPr>
          <w:rFonts w:hint="eastAsia"/>
          <w:u w:val="single"/>
          <w:rtl/>
        </w:rPr>
        <w:t>ות</w:t>
      </w:r>
      <w:r w:rsidRPr="001958C9">
        <w:rPr>
          <w:u w:val="single"/>
          <w:rtl/>
        </w:rPr>
        <w:t xml:space="preserve"> </w:t>
      </w:r>
      <w:r w:rsidRPr="001958C9">
        <w:rPr>
          <w:rFonts w:hint="eastAsia"/>
          <w:u w:val="single"/>
          <w:rtl/>
        </w:rPr>
        <w:t>המאוחדים</w:t>
      </w:r>
      <w:r w:rsidRPr="001958C9">
        <w:rPr>
          <w:u w:val="single"/>
          <w:rtl/>
        </w:rPr>
        <w:t xml:space="preserve"> </w:t>
      </w:r>
      <w:r w:rsidRPr="001958C9">
        <w:rPr>
          <w:rFonts w:hint="eastAsia"/>
          <w:u w:val="single"/>
          <w:rtl/>
        </w:rPr>
        <w:t>על</w:t>
      </w:r>
      <w:r w:rsidRPr="001958C9">
        <w:rPr>
          <w:u w:val="single"/>
          <w:rtl/>
        </w:rPr>
        <w:t xml:space="preserve"> הרווח </w:t>
      </w:r>
      <w:r w:rsidRPr="001958C9">
        <w:rPr>
          <w:rFonts w:hint="cs"/>
          <w:u w:val="single"/>
          <w:rtl/>
        </w:rPr>
        <w:t xml:space="preserve">או </w:t>
      </w:r>
      <w:r w:rsidRPr="001958C9">
        <w:rPr>
          <w:rFonts w:hint="eastAsia"/>
          <w:u w:val="single"/>
          <w:rtl/>
        </w:rPr>
        <w:t>הפסד</w:t>
      </w:r>
      <w:r w:rsidRPr="001958C9">
        <w:rPr>
          <w:rStyle w:val="ab"/>
          <w:u w:val="single"/>
          <w:rtl/>
        </w:rPr>
        <w:footnoteReference w:id="88"/>
      </w:r>
    </w:p>
    <w:tbl>
      <w:tblPr>
        <w:bidiVisual/>
        <w:tblW w:w="0" w:type="auto"/>
        <w:tblInd w:w="1716" w:type="dxa"/>
        <w:tblLayout w:type="fixed"/>
        <w:tblCellMar>
          <w:left w:w="0" w:type="dxa"/>
          <w:right w:w="0" w:type="dxa"/>
        </w:tblCellMar>
        <w:tblLook w:val="0000" w:firstRow="0" w:lastRow="0" w:firstColumn="0" w:lastColumn="0" w:noHBand="0" w:noVBand="0"/>
      </w:tblPr>
      <w:tblGrid>
        <w:gridCol w:w="3625"/>
        <w:gridCol w:w="126"/>
        <w:gridCol w:w="1196"/>
        <w:gridCol w:w="141"/>
        <w:gridCol w:w="1276"/>
        <w:gridCol w:w="142"/>
        <w:gridCol w:w="1397"/>
        <w:gridCol w:w="20"/>
      </w:tblGrid>
      <w:tr w:rsidR="004410F8" w:rsidRPr="001958C9" w14:paraId="69E2924B" w14:textId="77777777" w:rsidTr="001958C9">
        <w:tc>
          <w:tcPr>
            <w:tcW w:w="3625" w:type="dxa"/>
            <w:vAlign w:val="bottom"/>
          </w:tcPr>
          <w:p w14:paraId="5E814379" w14:textId="77777777" w:rsidR="004410F8" w:rsidRPr="001958C9" w:rsidRDefault="004410F8" w:rsidP="001958C9">
            <w:pPr>
              <w:pStyle w:val="a3"/>
              <w:tabs>
                <w:tab w:val="left" w:pos="227"/>
                <w:tab w:val="left" w:pos="397"/>
                <w:tab w:val="left" w:pos="567"/>
              </w:tabs>
              <w:ind w:left="227" w:hanging="170"/>
              <w:rPr>
                <w:sz w:val="22"/>
                <w:rtl/>
              </w:rPr>
            </w:pPr>
          </w:p>
        </w:tc>
        <w:tc>
          <w:tcPr>
            <w:tcW w:w="126" w:type="dxa"/>
            <w:vAlign w:val="bottom"/>
          </w:tcPr>
          <w:p w14:paraId="200652A6" w14:textId="77777777" w:rsidR="004410F8" w:rsidRPr="001958C9" w:rsidRDefault="004410F8" w:rsidP="001958C9">
            <w:pPr>
              <w:spacing w:line="240" w:lineRule="exact"/>
              <w:jc w:val="center"/>
              <w:rPr>
                <w:sz w:val="22"/>
                <w:rtl/>
              </w:rPr>
            </w:pPr>
          </w:p>
        </w:tc>
        <w:tc>
          <w:tcPr>
            <w:tcW w:w="1196" w:type="dxa"/>
            <w:tcBorders>
              <w:bottom w:val="single" w:sz="6" w:space="0" w:color="auto"/>
            </w:tcBorders>
            <w:shd w:val="clear" w:color="auto" w:fill="auto"/>
            <w:vAlign w:val="bottom"/>
          </w:tcPr>
          <w:p w14:paraId="2D9D6E0B" w14:textId="77777777" w:rsidR="004410F8" w:rsidRPr="001958C9" w:rsidRDefault="004410F8" w:rsidP="001958C9">
            <w:pPr>
              <w:spacing w:line="240" w:lineRule="exact"/>
              <w:jc w:val="center"/>
              <w:rPr>
                <w:sz w:val="22"/>
                <w:rtl/>
              </w:rPr>
            </w:pPr>
            <w:r w:rsidRPr="001958C9">
              <w:rPr>
                <w:sz w:val="22"/>
                <w:rtl/>
              </w:rPr>
              <w:t>כפי שדווח</w:t>
            </w:r>
          </w:p>
          <w:p w14:paraId="0B935745" w14:textId="77777777" w:rsidR="004410F8" w:rsidRPr="001958C9" w:rsidRDefault="004410F8" w:rsidP="001958C9">
            <w:pPr>
              <w:spacing w:line="240" w:lineRule="exact"/>
              <w:jc w:val="center"/>
              <w:rPr>
                <w:sz w:val="22"/>
                <w:rtl/>
              </w:rPr>
            </w:pPr>
            <w:r w:rsidRPr="001958C9">
              <w:rPr>
                <w:sz w:val="22"/>
                <w:rtl/>
              </w:rPr>
              <w:t>בעבר</w:t>
            </w:r>
          </w:p>
        </w:tc>
        <w:tc>
          <w:tcPr>
            <w:tcW w:w="141" w:type="dxa"/>
            <w:vAlign w:val="bottom"/>
          </w:tcPr>
          <w:p w14:paraId="2E87992E" w14:textId="77777777" w:rsidR="004410F8" w:rsidRPr="001958C9" w:rsidRDefault="004410F8" w:rsidP="001958C9">
            <w:pPr>
              <w:spacing w:line="240" w:lineRule="exact"/>
              <w:jc w:val="center"/>
              <w:rPr>
                <w:sz w:val="22"/>
                <w:rtl/>
              </w:rPr>
            </w:pPr>
          </w:p>
        </w:tc>
        <w:tc>
          <w:tcPr>
            <w:tcW w:w="1276" w:type="dxa"/>
            <w:tcBorders>
              <w:bottom w:val="single" w:sz="6" w:space="0" w:color="auto"/>
            </w:tcBorders>
            <w:vAlign w:val="bottom"/>
          </w:tcPr>
          <w:p w14:paraId="230C4C82" w14:textId="77777777" w:rsidR="004410F8" w:rsidRPr="001958C9" w:rsidRDefault="000A1918" w:rsidP="001958C9">
            <w:pPr>
              <w:spacing w:line="240" w:lineRule="exact"/>
              <w:jc w:val="center"/>
              <w:rPr>
                <w:sz w:val="22"/>
                <w:rtl/>
              </w:rPr>
            </w:pPr>
            <w:r w:rsidRPr="001958C9">
              <w:rPr>
                <w:sz w:val="22"/>
                <w:rtl/>
              </w:rPr>
              <w:t>השינוי</w:t>
            </w:r>
            <w:r w:rsidRPr="001958C9">
              <w:rPr>
                <w:rFonts w:hint="cs"/>
                <w:sz w:val="22"/>
                <w:rtl/>
              </w:rPr>
              <w:t xml:space="preserve"> / התיקון</w:t>
            </w:r>
          </w:p>
        </w:tc>
        <w:tc>
          <w:tcPr>
            <w:tcW w:w="142" w:type="dxa"/>
            <w:vAlign w:val="bottom"/>
          </w:tcPr>
          <w:p w14:paraId="29DFE60E" w14:textId="77777777" w:rsidR="004410F8" w:rsidRPr="001958C9" w:rsidRDefault="004410F8" w:rsidP="001958C9">
            <w:pPr>
              <w:spacing w:line="240" w:lineRule="exact"/>
              <w:jc w:val="center"/>
              <w:rPr>
                <w:sz w:val="22"/>
                <w:rtl/>
              </w:rPr>
            </w:pPr>
          </w:p>
        </w:tc>
        <w:tc>
          <w:tcPr>
            <w:tcW w:w="1417" w:type="dxa"/>
            <w:gridSpan w:val="2"/>
            <w:tcBorders>
              <w:bottom w:val="single" w:sz="6" w:space="0" w:color="auto"/>
            </w:tcBorders>
            <w:vAlign w:val="bottom"/>
          </w:tcPr>
          <w:p w14:paraId="0D895DDD" w14:textId="77777777" w:rsidR="004410F8" w:rsidRPr="001958C9" w:rsidRDefault="004410F8" w:rsidP="001958C9">
            <w:pPr>
              <w:spacing w:line="240" w:lineRule="exact"/>
              <w:jc w:val="center"/>
              <w:rPr>
                <w:sz w:val="22"/>
                <w:rtl/>
              </w:rPr>
            </w:pPr>
            <w:r w:rsidRPr="001958C9">
              <w:rPr>
                <w:sz w:val="22"/>
                <w:rtl/>
              </w:rPr>
              <w:t>כמוצג בדוחות כספיים אלו</w:t>
            </w:r>
          </w:p>
        </w:tc>
      </w:tr>
      <w:tr w:rsidR="005B3CD0" w:rsidRPr="001958C9" w14:paraId="537A0C33" w14:textId="77777777" w:rsidTr="001958C9">
        <w:tc>
          <w:tcPr>
            <w:tcW w:w="3625" w:type="dxa"/>
            <w:vAlign w:val="bottom"/>
          </w:tcPr>
          <w:p w14:paraId="34132B20" w14:textId="77777777" w:rsidR="005B3CD0" w:rsidRPr="001958C9" w:rsidRDefault="005B3CD0" w:rsidP="001958C9">
            <w:pPr>
              <w:pStyle w:val="a3"/>
              <w:tabs>
                <w:tab w:val="left" w:pos="227"/>
                <w:tab w:val="left" w:pos="397"/>
                <w:tab w:val="left" w:pos="567"/>
              </w:tabs>
              <w:ind w:left="227" w:hanging="170"/>
              <w:rPr>
                <w:sz w:val="22"/>
                <w:rtl/>
              </w:rPr>
            </w:pPr>
          </w:p>
        </w:tc>
        <w:tc>
          <w:tcPr>
            <w:tcW w:w="126" w:type="dxa"/>
            <w:vAlign w:val="bottom"/>
          </w:tcPr>
          <w:p w14:paraId="5E6A4955" w14:textId="77777777" w:rsidR="005B3CD0" w:rsidRPr="001958C9" w:rsidRDefault="005B3CD0" w:rsidP="001958C9">
            <w:pPr>
              <w:spacing w:line="240" w:lineRule="exact"/>
              <w:rPr>
                <w:sz w:val="22"/>
                <w:rtl/>
              </w:rPr>
            </w:pPr>
          </w:p>
        </w:tc>
        <w:tc>
          <w:tcPr>
            <w:tcW w:w="4172" w:type="dxa"/>
            <w:gridSpan w:val="6"/>
            <w:tcBorders>
              <w:bottom w:val="single" w:sz="6" w:space="0" w:color="auto"/>
            </w:tcBorders>
            <w:shd w:val="clear" w:color="auto" w:fill="auto"/>
            <w:vAlign w:val="bottom"/>
          </w:tcPr>
          <w:p w14:paraId="2E8C327F" w14:textId="77777777" w:rsidR="005B3CD0" w:rsidRPr="001958C9" w:rsidRDefault="005B3CD0" w:rsidP="001958C9">
            <w:pPr>
              <w:tabs>
                <w:tab w:val="decimal" w:pos="113"/>
              </w:tabs>
              <w:spacing w:line="240" w:lineRule="exact"/>
              <w:jc w:val="center"/>
              <w:rPr>
                <w:sz w:val="22"/>
                <w:rtl/>
              </w:rPr>
            </w:pPr>
            <w:r w:rsidRPr="001958C9">
              <w:rPr>
                <w:sz w:val="22"/>
                <w:rtl/>
              </w:rPr>
              <w:t>אלפי ש"ח (למעט נתוני רווח נקי (הפסד) למניה)</w:t>
            </w:r>
          </w:p>
        </w:tc>
      </w:tr>
      <w:tr w:rsidR="004410F8" w:rsidRPr="001958C9" w14:paraId="27808E74" w14:textId="77777777" w:rsidTr="001958C9">
        <w:trPr>
          <w:gridAfter w:val="1"/>
          <w:wAfter w:w="20" w:type="dxa"/>
        </w:trPr>
        <w:tc>
          <w:tcPr>
            <w:tcW w:w="3625" w:type="dxa"/>
            <w:vAlign w:val="bottom"/>
          </w:tcPr>
          <w:p w14:paraId="0C32E71C" w14:textId="2F3DB5F7" w:rsidR="004410F8" w:rsidRPr="001958C9" w:rsidRDefault="004410F8" w:rsidP="004C22FC">
            <w:pPr>
              <w:pStyle w:val="a3"/>
              <w:tabs>
                <w:tab w:val="left" w:pos="227"/>
                <w:tab w:val="left" w:pos="397"/>
                <w:tab w:val="left" w:pos="567"/>
              </w:tabs>
              <w:ind w:left="227" w:hanging="170"/>
              <w:rPr>
                <w:sz w:val="22"/>
                <w:u w:val="single"/>
                <w:rtl/>
              </w:rPr>
            </w:pPr>
            <w:r w:rsidRPr="001958C9">
              <w:rPr>
                <w:sz w:val="22"/>
                <w:u w:val="single"/>
                <w:rtl/>
              </w:rPr>
              <w:t>לשנה שהסתיימה ביום 31</w:t>
            </w:r>
            <w:r w:rsidRPr="001958C9">
              <w:rPr>
                <w:rFonts w:hint="eastAsia"/>
                <w:sz w:val="22"/>
                <w:u w:val="single"/>
                <w:rtl/>
              </w:rPr>
              <w:t> </w:t>
            </w:r>
            <w:r w:rsidRPr="001958C9">
              <w:rPr>
                <w:sz w:val="22"/>
                <w:u w:val="single"/>
                <w:rtl/>
              </w:rPr>
              <w:t xml:space="preserve">בדצמבר, </w:t>
            </w:r>
            <w:r w:rsidR="004F7D3D" w:rsidRPr="001958C9">
              <w:rPr>
                <w:sz w:val="22"/>
                <w:u w:val="single"/>
                <w:rtl/>
              </w:rPr>
              <w:t>201</w:t>
            </w:r>
            <w:r w:rsidR="004C22FC">
              <w:rPr>
                <w:rFonts w:hint="cs"/>
                <w:sz w:val="22"/>
                <w:u w:val="single"/>
                <w:rtl/>
              </w:rPr>
              <w:t>8</w:t>
            </w:r>
          </w:p>
        </w:tc>
        <w:tc>
          <w:tcPr>
            <w:tcW w:w="126" w:type="dxa"/>
            <w:vAlign w:val="bottom"/>
          </w:tcPr>
          <w:p w14:paraId="17D8C3D6" w14:textId="77777777" w:rsidR="004410F8" w:rsidRPr="001958C9" w:rsidRDefault="004410F8" w:rsidP="001958C9">
            <w:pPr>
              <w:spacing w:line="240" w:lineRule="exact"/>
              <w:rPr>
                <w:sz w:val="22"/>
                <w:rtl/>
              </w:rPr>
            </w:pPr>
          </w:p>
        </w:tc>
        <w:tc>
          <w:tcPr>
            <w:tcW w:w="1196" w:type="dxa"/>
            <w:vAlign w:val="bottom"/>
          </w:tcPr>
          <w:p w14:paraId="71DDB817" w14:textId="77777777" w:rsidR="004410F8" w:rsidRPr="001958C9" w:rsidRDefault="004410F8" w:rsidP="001958C9">
            <w:pPr>
              <w:spacing w:line="240" w:lineRule="exact"/>
              <w:rPr>
                <w:sz w:val="22"/>
                <w:rtl/>
              </w:rPr>
            </w:pPr>
          </w:p>
        </w:tc>
        <w:tc>
          <w:tcPr>
            <w:tcW w:w="141" w:type="dxa"/>
            <w:vAlign w:val="bottom"/>
          </w:tcPr>
          <w:p w14:paraId="61EC31E8" w14:textId="77777777" w:rsidR="004410F8" w:rsidRPr="001958C9" w:rsidRDefault="004410F8" w:rsidP="001958C9">
            <w:pPr>
              <w:spacing w:line="240" w:lineRule="exact"/>
              <w:rPr>
                <w:sz w:val="22"/>
                <w:rtl/>
              </w:rPr>
            </w:pPr>
          </w:p>
        </w:tc>
        <w:tc>
          <w:tcPr>
            <w:tcW w:w="1276" w:type="dxa"/>
            <w:vAlign w:val="bottom"/>
          </w:tcPr>
          <w:p w14:paraId="3D436C52" w14:textId="77777777" w:rsidR="004410F8" w:rsidRPr="001958C9" w:rsidRDefault="004410F8" w:rsidP="001958C9">
            <w:pPr>
              <w:tabs>
                <w:tab w:val="decimal" w:pos="113"/>
              </w:tabs>
              <w:spacing w:line="240" w:lineRule="exact"/>
              <w:rPr>
                <w:sz w:val="22"/>
                <w:rtl/>
              </w:rPr>
            </w:pPr>
          </w:p>
        </w:tc>
        <w:tc>
          <w:tcPr>
            <w:tcW w:w="142" w:type="dxa"/>
            <w:vAlign w:val="bottom"/>
          </w:tcPr>
          <w:p w14:paraId="5E9F53DD" w14:textId="77777777" w:rsidR="004410F8" w:rsidRPr="001958C9" w:rsidRDefault="004410F8" w:rsidP="001958C9">
            <w:pPr>
              <w:tabs>
                <w:tab w:val="decimal" w:pos="113"/>
              </w:tabs>
              <w:spacing w:line="240" w:lineRule="exact"/>
              <w:rPr>
                <w:sz w:val="22"/>
                <w:rtl/>
              </w:rPr>
            </w:pPr>
          </w:p>
        </w:tc>
        <w:tc>
          <w:tcPr>
            <w:tcW w:w="1397" w:type="dxa"/>
            <w:vAlign w:val="bottom"/>
          </w:tcPr>
          <w:p w14:paraId="21612977" w14:textId="77777777" w:rsidR="004410F8" w:rsidRPr="001958C9" w:rsidRDefault="004410F8" w:rsidP="001958C9">
            <w:pPr>
              <w:tabs>
                <w:tab w:val="decimal" w:pos="113"/>
              </w:tabs>
              <w:spacing w:line="240" w:lineRule="exact"/>
              <w:rPr>
                <w:sz w:val="22"/>
                <w:rtl/>
              </w:rPr>
            </w:pPr>
          </w:p>
        </w:tc>
      </w:tr>
      <w:tr w:rsidR="004410F8" w:rsidRPr="001A1C9B" w14:paraId="47E1C0E8" w14:textId="77777777" w:rsidTr="001958C9">
        <w:trPr>
          <w:gridAfter w:val="1"/>
          <w:wAfter w:w="20" w:type="dxa"/>
        </w:trPr>
        <w:tc>
          <w:tcPr>
            <w:tcW w:w="3625" w:type="dxa"/>
            <w:vAlign w:val="bottom"/>
          </w:tcPr>
          <w:p w14:paraId="09E5B1EA" w14:textId="77777777" w:rsidR="004410F8" w:rsidRPr="001A1C9B" w:rsidRDefault="004410F8" w:rsidP="001A1C9B">
            <w:pPr>
              <w:pStyle w:val="a3"/>
              <w:tabs>
                <w:tab w:val="left" w:pos="227"/>
                <w:tab w:val="left" w:pos="397"/>
                <w:tab w:val="left" w:pos="567"/>
              </w:tabs>
              <w:spacing w:line="240" w:lineRule="auto"/>
              <w:ind w:left="227" w:hanging="170"/>
              <w:rPr>
                <w:sz w:val="16"/>
                <w:szCs w:val="18"/>
                <w:rtl/>
              </w:rPr>
            </w:pPr>
          </w:p>
        </w:tc>
        <w:tc>
          <w:tcPr>
            <w:tcW w:w="126" w:type="dxa"/>
            <w:vAlign w:val="bottom"/>
          </w:tcPr>
          <w:p w14:paraId="4BE71335" w14:textId="77777777" w:rsidR="004410F8" w:rsidRPr="001A1C9B" w:rsidRDefault="004410F8" w:rsidP="001A1C9B">
            <w:pPr>
              <w:spacing w:line="240" w:lineRule="auto"/>
              <w:rPr>
                <w:sz w:val="16"/>
                <w:szCs w:val="18"/>
                <w:rtl/>
              </w:rPr>
            </w:pPr>
          </w:p>
        </w:tc>
        <w:tc>
          <w:tcPr>
            <w:tcW w:w="1196" w:type="dxa"/>
            <w:vAlign w:val="bottom"/>
          </w:tcPr>
          <w:p w14:paraId="7AD8B0BE" w14:textId="77777777" w:rsidR="004410F8" w:rsidRPr="001A1C9B" w:rsidRDefault="004410F8" w:rsidP="001A1C9B">
            <w:pPr>
              <w:spacing w:line="240" w:lineRule="auto"/>
              <w:rPr>
                <w:sz w:val="16"/>
                <w:szCs w:val="18"/>
                <w:rtl/>
              </w:rPr>
            </w:pPr>
          </w:p>
        </w:tc>
        <w:tc>
          <w:tcPr>
            <w:tcW w:w="141" w:type="dxa"/>
            <w:vAlign w:val="bottom"/>
          </w:tcPr>
          <w:p w14:paraId="660156B7" w14:textId="77777777" w:rsidR="004410F8" w:rsidRPr="001A1C9B" w:rsidRDefault="004410F8" w:rsidP="001A1C9B">
            <w:pPr>
              <w:spacing w:line="240" w:lineRule="auto"/>
              <w:rPr>
                <w:sz w:val="16"/>
                <w:szCs w:val="18"/>
                <w:rtl/>
              </w:rPr>
            </w:pPr>
          </w:p>
        </w:tc>
        <w:tc>
          <w:tcPr>
            <w:tcW w:w="1276" w:type="dxa"/>
            <w:vAlign w:val="bottom"/>
          </w:tcPr>
          <w:p w14:paraId="5C68A7AF" w14:textId="77777777" w:rsidR="004410F8" w:rsidRPr="001A1C9B" w:rsidRDefault="004410F8" w:rsidP="001A1C9B">
            <w:pPr>
              <w:tabs>
                <w:tab w:val="decimal" w:pos="113"/>
              </w:tabs>
              <w:spacing w:line="240" w:lineRule="auto"/>
              <w:rPr>
                <w:sz w:val="16"/>
                <w:szCs w:val="18"/>
                <w:rtl/>
              </w:rPr>
            </w:pPr>
          </w:p>
        </w:tc>
        <w:tc>
          <w:tcPr>
            <w:tcW w:w="142" w:type="dxa"/>
            <w:vAlign w:val="bottom"/>
          </w:tcPr>
          <w:p w14:paraId="35F5D26C" w14:textId="77777777" w:rsidR="004410F8" w:rsidRPr="001A1C9B" w:rsidRDefault="004410F8" w:rsidP="001A1C9B">
            <w:pPr>
              <w:tabs>
                <w:tab w:val="decimal" w:pos="113"/>
              </w:tabs>
              <w:spacing w:line="240" w:lineRule="auto"/>
              <w:rPr>
                <w:sz w:val="16"/>
                <w:szCs w:val="18"/>
                <w:rtl/>
              </w:rPr>
            </w:pPr>
          </w:p>
        </w:tc>
        <w:tc>
          <w:tcPr>
            <w:tcW w:w="1397" w:type="dxa"/>
            <w:vAlign w:val="bottom"/>
          </w:tcPr>
          <w:p w14:paraId="329637A7" w14:textId="77777777" w:rsidR="004410F8" w:rsidRPr="001A1C9B" w:rsidRDefault="004410F8" w:rsidP="001A1C9B">
            <w:pPr>
              <w:tabs>
                <w:tab w:val="decimal" w:pos="113"/>
              </w:tabs>
              <w:spacing w:line="240" w:lineRule="auto"/>
              <w:rPr>
                <w:sz w:val="16"/>
                <w:szCs w:val="18"/>
                <w:rtl/>
              </w:rPr>
            </w:pPr>
          </w:p>
        </w:tc>
      </w:tr>
      <w:tr w:rsidR="004410F8" w:rsidRPr="001958C9" w14:paraId="79AAD6F3" w14:textId="77777777" w:rsidTr="001958C9">
        <w:trPr>
          <w:gridAfter w:val="1"/>
          <w:wAfter w:w="20" w:type="dxa"/>
        </w:trPr>
        <w:tc>
          <w:tcPr>
            <w:tcW w:w="3625" w:type="dxa"/>
            <w:vAlign w:val="bottom"/>
          </w:tcPr>
          <w:p w14:paraId="3AB269CF"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מסים</w:t>
            </w:r>
            <w:r w:rsidRPr="001958C9">
              <w:rPr>
                <w:sz w:val="22"/>
                <w:rtl/>
              </w:rPr>
              <w:t xml:space="preserve"> </w:t>
            </w:r>
            <w:r w:rsidRPr="001958C9">
              <w:rPr>
                <w:rFonts w:hint="eastAsia"/>
                <w:sz w:val="22"/>
                <w:rtl/>
              </w:rPr>
              <w:t>על</w:t>
            </w:r>
            <w:r w:rsidRPr="001958C9">
              <w:rPr>
                <w:sz w:val="22"/>
                <w:rtl/>
              </w:rPr>
              <w:t xml:space="preserve"> </w:t>
            </w:r>
            <w:r w:rsidRPr="001958C9">
              <w:rPr>
                <w:rFonts w:hint="eastAsia"/>
                <w:sz w:val="22"/>
                <w:rtl/>
              </w:rPr>
              <w:t>ההכנסה</w:t>
            </w:r>
            <w:r w:rsidRPr="001958C9">
              <w:rPr>
                <w:sz w:val="22"/>
                <w:rtl/>
              </w:rPr>
              <w:t xml:space="preserve"> (הטבת </w:t>
            </w:r>
            <w:r w:rsidRPr="001958C9">
              <w:rPr>
                <w:rFonts w:hint="eastAsia"/>
                <w:sz w:val="22"/>
                <w:rtl/>
              </w:rPr>
              <w:t>מס</w:t>
            </w:r>
            <w:r w:rsidRPr="001958C9">
              <w:rPr>
                <w:sz w:val="22"/>
                <w:rtl/>
              </w:rPr>
              <w:t>)</w:t>
            </w:r>
          </w:p>
        </w:tc>
        <w:tc>
          <w:tcPr>
            <w:tcW w:w="126" w:type="dxa"/>
            <w:vAlign w:val="bottom"/>
          </w:tcPr>
          <w:p w14:paraId="699208C2"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2266DD29" w14:textId="77777777" w:rsidR="004410F8" w:rsidRPr="001958C9" w:rsidRDefault="004410F8" w:rsidP="001958C9">
            <w:pPr>
              <w:spacing w:line="240" w:lineRule="exact"/>
              <w:rPr>
                <w:sz w:val="22"/>
                <w:rtl/>
              </w:rPr>
            </w:pPr>
          </w:p>
        </w:tc>
        <w:tc>
          <w:tcPr>
            <w:tcW w:w="141" w:type="dxa"/>
            <w:vAlign w:val="bottom"/>
          </w:tcPr>
          <w:p w14:paraId="5F3F29D6" w14:textId="77777777" w:rsidR="004410F8" w:rsidRPr="001958C9" w:rsidRDefault="004410F8" w:rsidP="001958C9">
            <w:pPr>
              <w:spacing w:line="240" w:lineRule="exact"/>
              <w:rPr>
                <w:sz w:val="22"/>
                <w:rtl/>
              </w:rPr>
            </w:pPr>
          </w:p>
        </w:tc>
        <w:tc>
          <w:tcPr>
            <w:tcW w:w="1276" w:type="dxa"/>
            <w:tcBorders>
              <w:bottom w:val="double" w:sz="6" w:space="0" w:color="auto"/>
            </w:tcBorders>
            <w:shd w:val="clear" w:color="auto" w:fill="auto"/>
            <w:vAlign w:val="bottom"/>
          </w:tcPr>
          <w:p w14:paraId="1534DC93" w14:textId="77777777" w:rsidR="004410F8" w:rsidRPr="001958C9" w:rsidRDefault="004410F8" w:rsidP="001958C9">
            <w:pPr>
              <w:tabs>
                <w:tab w:val="decimal" w:pos="113"/>
              </w:tabs>
              <w:spacing w:line="240" w:lineRule="exact"/>
              <w:rPr>
                <w:sz w:val="22"/>
                <w:rtl/>
              </w:rPr>
            </w:pPr>
          </w:p>
        </w:tc>
        <w:tc>
          <w:tcPr>
            <w:tcW w:w="142" w:type="dxa"/>
            <w:vAlign w:val="bottom"/>
          </w:tcPr>
          <w:p w14:paraId="27FEA11C"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shd w:val="clear" w:color="auto" w:fill="auto"/>
            <w:vAlign w:val="bottom"/>
          </w:tcPr>
          <w:p w14:paraId="6E77815E" w14:textId="77777777" w:rsidR="004410F8" w:rsidRPr="001958C9" w:rsidRDefault="004410F8" w:rsidP="001958C9">
            <w:pPr>
              <w:tabs>
                <w:tab w:val="decimal" w:pos="113"/>
              </w:tabs>
              <w:spacing w:line="240" w:lineRule="exact"/>
              <w:rPr>
                <w:sz w:val="22"/>
                <w:rtl/>
              </w:rPr>
            </w:pPr>
          </w:p>
        </w:tc>
      </w:tr>
      <w:tr w:rsidR="004410F8" w:rsidRPr="001958C9" w14:paraId="19B84ACE" w14:textId="77777777" w:rsidTr="001958C9">
        <w:trPr>
          <w:gridAfter w:val="1"/>
          <w:wAfter w:w="20" w:type="dxa"/>
        </w:trPr>
        <w:tc>
          <w:tcPr>
            <w:tcW w:w="3625" w:type="dxa"/>
            <w:vAlign w:val="bottom"/>
          </w:tcPr>
          <w:p w14:paraId="2A052662" w14:textId="77777777" w:rsidR="004410F8" w:rsidRPr="001958C9" w:rsidRDefault="004410F8" w:rsidP="001958C9">
            <w:pPr>
              <w:pStyle w:val="a3"/>
              <w:tabs>
                <w:tab w:val="left" w:pos="227"/>
                <w:tab w:val="left" w:pos="397"/>
                <w:tab w:val="left" w:pos="567"/>
              </w:tabs>
              <w:ind w:left="227" w:hanging="170"/>
              <w:rPr>
                <w:sz w:val="22"/>
                <w:rtl/>
              </w:rPr>
            </w:pPr>
          </w:p>
        </w:tc>
        <w:tc>
          <w:tcPr>
            <w:tcW w:w="126" w:type="dxa"/>
            <w:vAlign w:val="bottom"/>
          </w:tcPr>
          <w:p w14:paraId="229E4C0E" w14:textId="77777777" w:rsidR="004410F8" w:rsidRPr="001958C9" w:rsidRDefault="004410F8" w:rsidP="001958C9">
            <w:pPr>
              <w:spacing w:line="240" w:lineRule="exact"/>
              <w:rPr>
                <w:sz w:val="22"/>
                <w:rtl/>
              </w:rPr>
            </w:pPr>
          </w:p>
        </w:tc>
        <w:tc>
          <w:tcPr>
            <w:tcW w:w="1196" w:type="dxa"/>
            <w:tcBorders>
              <w:top w:val="double" w:sz="6" w:space="0" w:color="auto"/>
            </w:tcBorders>
            <w:shd w:val="clear" w:color="auto" w:fill="auto"/>
            <w:vAlign w:val="bottom"/>
          </w:tcPr>
          <w:p w14:paraId="2DD86F62" w14:textId="77777777" w:rsidR="004410F8" w:rsidRPr="001958C9" w:rsidRDefault="004410F8" w:rsidP="001958C9">
            <w:pPr>
              <w:spacing w:line="240" w:lineRule="exact"/>
              <w:rPr>
                <w:sz w:val="22"/>
                <w:rtl/>
              </w:rPr>
            </w:pPr>
          </w:p>
        </w:tc>
        <w:tc>
          <w:tcPr>
            <w:tcW w:w="141" w:type="dxa"/>
            <w:vAlign w:val="bottom"/>
          </w:tcPr>
          <w:p w14:paraId="6335C237" w14:textId="77777777" w:rsidR="004410F8" w:rsidRPr="001958C9" w:rsidRDefault="004410F8" w:rsidP="001958C9">
            <w:pPr>
              <w:spacing w:line="240" w:lineRule="exact"/>
              <w:rPr>
                <w:sz w:val="22"/>
                <w:rtl/>
              </w:rPr>
            </w:pPr>
          </w:p>
        </w:tc>
        <w:tc>
          <w:tcPr>
            <w:tcW w:w="1276" w:type="dxa"/>
            <w:tcBorders>
              <w:top w:val="double" w:sz="6" w:space="0" w:color="auto"/>
            </w:tcBorders>
            <w:vAlign w:val="bottom"/>
          </w:tcPr>
          <w:p w14:paraId="206899FD" w14:textId="77777777" w:rsidR="004410F8" w:rsidRPr="001958C9" w:rsidRDefault="004410F8" w:rsidP="001958C9">
            <w:pPr>
              <w:tabs>
                <w:tab w:val="decimal" w:pos="113"/>
              </w:tabs>
              <w:spacing w:line="240" w:lineRule="exact"/>
              <w:rPr>
                <w:sz w:val="22"/>
                <w:rtl/>
              </w:rPr>
            </w:pPr>
          </w:p>
        </w:tc>
        <w:tc>
          <w:tcPr>
            <w:tcW w:w="142" w:type="dxa"/>
            <w:vAlign w:val="bottom"/>
          </w:tcPr>
          <w:p w14:paraId="67E848DD"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tcBorders>
            <w:vAlign w:val="bottom"/>
          </w:tcPr>
          <w:p w14:paraId="55402AD7" w14:textId="77777777" w:rsidR="004410F8" w:rsidRPr="001958C9" w:rsidRDefault="004410F8" w:rsidP="001958C9">
            <w:pPr>
              <w:tabs>
                <w:tab w:val="decimal" w:pos="113"/>
              </w:tabs>
              <w:spacing w:line="240" w:lineRule="exact"/>
              <w:rPr>
                <w:sz w:val="22"/>
                <w:rtl/>
              </w:rPr>
            </w:pPr>
          </w:p>
        </w:tc>
      </w:tr>
      <w:tr w:rsidR="004410F8" w:rsidRPr="001958C9" w14:paraId="0FE9EB07" w14:textId="77777777" w:rsidTr="001958C9">
        <w:trPr>
          <w:gridAfter w:val="1"/>
          <w:wAfter w:w="20" w:type="dxa"/>
        </w:trPr>
        <w:tc>
          <w:tcPr>
            <w:tcW w:w="3625" w:type="dxa"/>
            <w:vAlign w:val="bottom"/>
          </w:tcPr>
          <w:p w14:paraId="4E1A8C5D"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סה</w:t>
            </w:r>
            <w:r w:rsidRPr="001958C9">
              <w:rPr>
                <w:sz w:val="22"/>
                <w:rtl/>
              </w:rPr>
              <w:t xml:space="preserve">"כ רווח (הפסד) </w:t>
            </w:r>
          </w:p>
        </w:tc>
        <w:tc>
          <w:tcPr>
            <w:tcW w:w="126" w:type="dxa"/>
            <w:vAlign w:val="bottom"/>
          </w:tcPr>
          <w:p w14:paraId="6B87A938"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4E73B697" w14:textId="77777777" w:rsidR="004410F8" w:rsidRPr="001958C9" w:rsidRDefault="004410F8" w:rsidP="001958C9">
            <w:pPr>
              <w:spacing w:line="240" w:lineRule="exact"/>
              <w:rPr>
                <w:sz w:val="22"/>
                <w:rtl/>
              </w:rPr>
            </w:pPr>
          </w:p>
        </w:tc>
        <w:tc>
          <w:tcPr>
            <w:tcW w:w="141" w:type="dxa"/>
            <w:vAlign w:val="bottom"/>
          </w:tcPr>
          <w:p w14:paraId="48309266" w14:textId="77777777" w:rsidR="004410F8" w:rsidRPr="001958C9" w:rsidRDefault="004410F8" w:rsidP="001958C9">
            <w:pPr>
              <w:spacing w:line="240" w:lineRule="exact"/>
              <w:rPr>
                <w:sz w:val="22"/>
                <w:rtl/>
              </w:rPr>
            </w:pPr>
          </w:p>
        </w:tc>
        <w:tc>
          <w:tcPr>
            <w:tcW w:w="1276" w:type="dxa"/>
            <w:tcBorders>
              <w:bottom w:val="double" w:sz="6" w:space="0" w:color="auto"/>
            </w:tcBorders>
            <w:vAlign w:val="bottom"/>
          </w:tcPr>
          <w:p w14:paraId="0A6D4134" w14:textId="77777777" w:rsidR="004410F8" w:rsidRPr="001958C9" w:rsidRDefault="004410F8" w:rsidP="001958C9">
            <w:pPr>
              <w:tabs>
                <w:tab w:val="decimal" w:pos="113"/>
              </w:tabs>
              <w:spacing w:line="240" w:lineRule="exact"/>
              <w:rPr>
                <w:sz w:val="22"/>
                <w:rtl/>
              </w:rPr>
            </w:pPr>
          </w:p>
        </w:tc>
        <w:tc>
          <w:tcPr>
            <w:tcW w:w="142" w:type="dxa"/>
            <w:vAlign w:val="bottom"/>
          </w:tcPr>
          <w:p w14:paraId="1C6B1BD2"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vAlign w:val="bottom"/>
          </w:tcPr>
          <w:p w14:paraId="5416F60B" w14:textId="77777777" w:rsidR="004410F8" w:rsidRPr="001958C9" w:rsidRDefault="004410F8" w:rsidP="001958C9">
            <w:pPr>
              <w:tabs>
                <w:tab w:val="decimal" w:pos="113"/>
              </w:tabs>
              <w:spacing w:line="240" w:lineRule="exact"/>
              <w:rPr>
                <w:sz w:val="22"/>
                <w:rtl/>
              </w:rPr>
            </w:pPr>
          </w:p>
        </w:tc>
      </w:tr>
      <w:tr w:rsidR="004410F8" w:rsidRPr="001958C9" w14:paraId="7E228E85" w14:textId="77777777" w:rsidTr="001958C9">
        <w:trPr>
          <w:gridAfter w:val="1"/>
          <w:wAfter w:w="20" w:type="dxa"/>
        </w:trPr>
        <w:tc>
          <w:tcPr>
            <w:tcW w:w="3625" w:type="dxa"/>
            <w:vAlign w:val="bottom"/>
          </w:tcPr>
          <w:p w14:paraId="1BEA15A8" w14:textId="77777777" w:rsidR="004410F8" w:rsidRPr="001958C9" w:rsidRDefault="004410F8" w:rsidP="001958C9">
            <w:pPr>
              <w:pStyle w:val="a3"/>
              <w:tabs>
                <w:tab w:val="left" w:pos="227"/>
                <w:tab w:val="left" w:pos="397"/>
                <w:tab w:val="left" w:pos="567"/>
              </w:tabs>
              <w:ind w:left="227" w:hanging="170"/>
              <w:rPr>
                <w:sz w:val="22"/>
                <w:rtl/>
              </w:rPr>
            </w:pPr>
            <w:r w:rsidRPr="001958C9">
              <w:rPr>
                <w:sz w:val="22"/>
                <w:rtl/>
              </w:rPr>
              <w:t xml:space="preserve">רווח נקי (הפסד) בסיסי </w:t>
            </w:r>
            <w:r w:rsidRPr="001958C9">
              <w:rPr>
                <w:rFonts w:hint="eastAsia"/>
                <w:sz w:val="22"/>
                <w:rtl/>
              </w:rPr>
              <w:t>למניה</w:t>
            </w:r>
            <w:r w:rsidRPr="001958C9">
              <w:rPr>
                <w:sz w:val="22"/>
                <w:rtl/>
              </w:rPr>
              <w:t xml:space="preserve"> (בש"ח)</w:t>
            </w:r>
          </w:p>
        </w:tc>
        <w:tc>
          <w:tcPr>
            <w:tcW w:w="126" w:type="dxa"/>
            <w:vAlign w:val="bottom"/>
          </w:tcPr>
          <w:p w14:paraId="7E4D84A7" w14:textId="77777777" w:rsidR="004410F8" w:rsidRPr="001958C9" w:rsidRDefault="004410F8" w:rsidP="001958C9">
            <w:pPr>
              <w:spacing w:line="240" w:lineRule="exact"/>
              <w:rPr>
                <w:sz w:val="22"/>
                <w:rtl/>
              </w:rPr>
            </w:pPr>
          </w:p>
        </w:tc>
        <w:tc>
          <w:tcPr>
            <w:tcW w:w="1196" w:type="dxa"/>
            <w:tcBorders>
              <w:top w:val="double" w:sz="6" w:space="0" w:color="auto"/>
              <w:bottom w:val="double" w:sz="6" w:space="0" w:color="auto"/>
            </w:tcBorders>
            <w:shd w:val="clear" w:color="auto" w:fill="auto"/>
            <w:vAlign w:val="bottom"/>
          </w:tcPr>
          <w:p w14:paraId="7EE6E477" w14:textId="77777777" w:rsidR="004410F8" w:rsidRPr="001958C9" w:rsidRDefault="004410F8" w:rsidP="001958C9">
            <w:pPr>
              <w:spacing w:line="240" w:lineRule="exact"/>
              <w:rPr>
                <w:sz w:val="22"/>
                <w:rtl/>
              </w:rPr>
            </w:pPr>
          </w:p>
        </w:tc>
        <w:tc>
          <w:tcPr>
            <w:tcW w:w="141" w:type="dxa"/>
            <w:vAlign w:val="bottom"/>
          </w:tcPr>
          <w:p w14:paraId="7AD79559" w14:textId="77777777" w:rsidR="004410F8" w:rsidRPr="001958C9" w:rsidRDefault="004410F8" w:rsidP="001958C9">
            <w:pPr>
              <w:spacing w:line="240" w:lineRule="exact"/>
              <w:rPr>
                <w:sz w:val="22"/>
                <w:rtl/>
              </w:rPr>
            </w:pPr>
          </w:p>
        </w:tc>
        <w:tc>
          <w:tcPr>
            <w:tcW w:w="1276" w:type="dxa"/>
            <w:tcBorders>
              <w:bottom w:val="double" w:sz="6" w:space="0" w:color="auto"/>
            </w:tcBorders>
            <w:vAlign w:val="bottom"/>
          </w:tcPr>
          <w:p w14:paraId="3B897BBB" w14:textId="77777777" w:rsidR="004410F8" w:rsidRPr="001958C9" w:rsidRDefault="004410F8" w:rsidP="001958C9">
            <w:pPr>
              <w:tabs>
                <w:tab w:val="decimal" w:pos="113"/>
              </w:tabs>
              <w:spacing w:line="240" w:lineRule="exact"/>
              <w:rPr>
                <w:sz w:val="22"/>
                <w:rtl/>
              </w:rPr>
            </w:pPr>
          </w:p>
        </w:tc>
        <w:tc>
          <w:tcPr>
            <w:tcW w:w="142" w:type="dxa"/>
            <w:vAlign w:val="bottom"/>
          </w:tcPr>
          <w:p w14:paraId="245C8D47"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vAlign w:val="bottom"/>
          </w:tcPr>
          <w:p w14:paraId="0DA49631" w14:textId="77777777" w:rsidR="004410F8" w:rsidRPr="001958C9" w:rsidRDefault="004410F8" w:rsidP="001958C9">
            <w:pPr>
              <w:tabs>
                <w:tab w:val="decimal" w:pos="113"/>
              </w:tabs>
              <w:spacing w:line="240" w:lineRule="exact"/>
              <w:rPr>
                <w:sz w:val="22"/>
                <w:rtl/>
              </w:rPr>
            </w:pPr>
          </w:p>
        </w:tc>
      </w:tr>
      <w:tr w:rsidR="004410F8" w:rsidRPr="001958C9" w14:paraId="61ACD7EC" w14:textId="77777777" w:rsidTr="001958C9">
        <w:trPr>
          <w:gridAfter w:val="1"/>
          <w:wAfter w:w="20" w:type="dxa"/>
        </w:trPr>
        <w:tc>
          <w:tcPr>
            <w:tcW w:w="3625" w:type="dxa"/>
            <w:vAlign w:val="bottom"/>
          </w:tcPr>
          <w:p w14:paraId="0EC2716A"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רווח</w:t>
            </w:r>
            <w:r w:rsidRPr="001958C9">
              <w:rPr>
                <w:sz w:val="22"/>
                <w:rtl/>
              </w:rPr>
              <w:t xml:space="preserve"> </w:t>
            </w:r>
            <w:r w:rsidRPr="001958C9">
              <w:rPr>
                <w:rFonts w:hint="eastAsia"/>
                <w:sz w:val="22"/>
                <w:rtl/>
              </w:rPr>
              <w:t>נקי</w:t>
            </w:r>
            <w:r w:rsidRPr="001958C9">
              <w:rPr>
                <w:sz w:val="22"/>
                <w:rtl/>
              </w:rPr>
              <w:t xml:space="preserve"> (הפסד) </w:t>
            </w:r>
            <w:r w:rsidRPr="001958C9">
              <w:rPr>
                <w:rFonts w:hint="eastAsia"/>
                <w:sz w:val="22"/>
                <w:rtl/>
              </w:rPr>
              <w:t>מדולל</w:t>
            </w:r>
            <w:r w:rsidRPr="001958C9">
              <w:rPr>
                <w:sz w:val="22"/>
                <w:rtl/>
              </w:rPr>
              <w:t xml:space="preserve"> </w:t>
            </w:r>
            <w:r w:rsidRPr="001958C9">
              <w:rPr>
                <w:rFonts w:hint="eastAsia"/>
                <w:sz w:val="22"/>
                <w:rtl/>
              </w:rPr>
              <w:t>למניה</w:t>
            </w:r>
            <w:r w:rsidRPr="001958C9">
              <w:rPr>
                <w:sz w:val="22"/>
                <w:rtl/>
              </w:rPr>
              <w:t xml:space="preserve"> (בש"ח)</w:t>
            </w:r>
          </w:p>
        </w:tc>
        <w:tc>
          <w:tcPr>
            <w:tcW w:w="126" w:type="dxa"/>
            <w:vAlign w:val="bottom"/>
          </w:tcPr>
          <w:p w14:paraId="5485B4F7" w14:textId="77777777" w:rsidR="004410F8" w:rsidRPr="001958C9" w:rsidRDefault="004410F8" w:rsidP="001958C9">
            <w:pPr>
              <w:spacing w:line="240" w:lineRule="exact"/>
              <w:rPr>
                <w:sz w:val="22"/>
                <w:rtl/>
              </w:rPr>
            </w:pPr>
          </w:p>
        </w:tc>
        <w:tc>
          <w:tcPr>
            <w:tcW w:w="1196" w:type="dxa"/>
            <w:tcBorders>
              <w:top w:val="double" w:sz="6" w:space="0" w:color="auto"/>
              <w:bottom w:val="double" w:sz="6" w:space="0" w:color="auto"/>
            </w:tcBorders>
            <w:shd w:val="clear" w:color="auto" w:fill="auto"/>
            <w:vAlign w:val="bottom"/>
          </w:tcPr>
          <w:p w14:paraId="287C502F" w14:textId="77777777" w:rsidR="004410F8" w:rsidRPr="001958C9" w:rsidRDefault="004410F8" w:rsidP="001958C9">
            <w:pPr>
              <w:spacing w:line="240" w:lineRule="exact"/>
              <w:rPr>
                <w:sz w:val="22"/>
                <w:rtl/>
              </w:rPr>
            </w:pPr>
          </w:p>
        </w:tc>
        <w:tc>
          <w:tcPr>
            <w:tcW w:w="141" w:type="dxa"/>
            <w:vAlign w:val="bottom"/>
          </w:tcPr>
          <w:p w14:paraId="441CD67E" w14:textId="77777777" w:rsidR="004410F8" w:rsidRPr="001958C9" w:rsidRDefault="004410F8" w:rsidP="001958C9">
            <w:pPr>
              <w:spacing w:line="240" w:lineRule="exact"/>
              <w:rPr>
                <w:sz w:val="22"/>
                <w:rtl/>
              </w:rPr>
            </w:pPr>
          </w:p>
        </w:tc>
        <w:tc>
          <w:tcPr>
            <w:tcW w:w="1276" w:type="dxa"/>
            <w:tcBorders>
              <w:bottom w:val="double" w:sz="6" w:space="0" w:color="auto"/>
            </w:tcBorders>
            <w:vAlign w:val="bottom"/>
          </w:tcPr>
          <w:p w14:paraId="215D7B30" w14:textId="77777777" w:rsidR="004410F8" w:rsidRPr="001958C9" w:rsidRDefault="004410F8" w:rsidP="001958C9">
            <w:pPr>
              <w:tabs>
                <w:tab w:val="decimal" w:pos="113"/>
              </w:tabs>
              <w:spacing w:line="240" w:lineRule="exact"/>
              <w:rPr>
                <w:sz w:val="22"/>
                <w:rtl/>
              </w:rPr>
            </w:pPr>
          </w:p>
        </w:tc>
        <w:tc>
          <w:tcPr>
            <w:tcW w:w="142" w:type="dxa"/>
            <w:vAlign w:val="bottom"/>
          </w:tcPr>
          <w:p w14:paraId="1A4BAAFE"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vAlign w:val="bottom"/>
          </w:tcPr>
          <w:p w14:paraId="63EBA1D8" w14:textId="77777777" w:rsidR="004410F8" w:rsidRPr="001958C9" w:rsidRDefault="004410F8" w:rsidP="001958C9">
            <w:pPr>
              <w:tabs>
                <w:tab w:val="decimal" w:pos="113"/>
              </w:tabs>
              <w:spacing w:line="240" w:lineRule="exact"/>
              <w:rPr>
                <w:sz w:val="22"/>
                <w:rtl/>
              </w:rPr>
            </w:pPr>
          </w:p>
        </w:tc>
      </w:tr>
      <w:tr w:rsidR="004410F8" w:rsidRPr="001A1C9B" w14:paraId="25C129B5" w14:textId="77777777" w:rsidTr="001958C9">
        <w:trPr>
          <w:gridAfter w:val="1"/>
          <w:wAfter w:w="20" w:type="dxa"/>
        </w:trPr>
        <w:tc>
          <w:tcPr>
            <w:tcW w:w="3625" w:type="dxa"/>
            <w:vAlign w:val="bottom"/>
          </w:tcPr>
          <w:p w14:paraId="3EE46D9F" w14:textId="77777777" w:rsidR="004410F8" w:rsidRPr="001A1C9B" w:rsidRDefault="004410F8" w:rsidP="001A1C9B">
            <w:pPr>
              <w:pStyle w:val="a3"/>
              <w:tabs>
                <w:tab w:val="left" w:pos="227"/>
                <w:tab w:val="left" w:pos="397"/>
                <w:tab w:val="left" w:pos="567"/>
              </w:tabs>
              <w:spacing w:line="240" w:lineRule="auto"/>
              <w:ind w:left="227" w:hanging="170"/>
              <w:rPr>
                <w:sz w:val="14"/>
                <w:szCs w:val="16"/>
                <w:rtl/>
              </w:rPr>
            </w:pPr>
          </w:p>
        </w:tc>
        <w:tc>
          <w:tcPr>
            <w:tcW w:w="126" w:type="dxa"/>
            <w:vAlign w:val="bottom"/>
          </w:tcPr>
          <w:p w14:paraId="5C4E5463" w14:textId="77777777" w:rsidR="004410F8" w:rsidRPr="001A1C9B" w:rsidRDefault="004410F8" w:rsidP="001A1C9B">
            <w:pPr>
              <w:spacing w:line="240" w:lineRule="auto"/>
              <w:rPr>
                <w:sz w:val="14"/>
                <w:szCs w:val="16"/>
                <w:rtl/>
              </w:rPr>
            </w:pPr>
          </w:p>
        </w:tc>
        <w:tc>
          <w:tcPr>
            <w:tcW w:w="1196" w:type="dxa"/>
            <w:tcBorders>
              <w:top w:val="double" w:sz="6" w:space="0" w:color="auto"/>
            </w:tcBorders>
            <w:vAlign w:val="bottom"/>
          </w:tcPr>
          <w:p w14:paraId="44083BD2" w14:textId="77777777" w:rsidR="004410F8" w:rsidRPr="001A1C9B" w:rsidRDefault="004410F8" w:rsidP="001A1C9B">
            <w:pPr>
              <w:spacing w:line="240" w:lineRule="auto"/>
              <w:rPr>
                <w:sz w:val="14"/>
                <w:szCs w:val="16"/>
                <w:rtl/>
              </w:rPr>
            </w:pPr>
          </w:p>
        </w:tc>
        <w:tc>
          <w:tcPr>
            <w:tcW w:w="141" w:type="dxa"/>
            <w:vAlign w:val="bottom"/>
          </w:tcPr>
          <w:p w14:paraId="0AEBC9AC" w14:textId="77777777" w:rsidR="004410F8" w:rsidRPr="001A1C9B" w:rsidRDefault="004410F8" w:rsidP="001A1C9B">
            <w:pPr>
              <w:spacing w:line="240" w:lineRule="auto"/>
              <w:rPr>
                <w:sz w:val="14"/>
                <w:szCs w:val="16"/>
                <w:rtl/>
              </w:rPr>
            </w:pPr>
          </w:p>
        </w:tc>
        <w:tc>
          <w:tcPr>
            <w:tcW w:w="1276" w:type="dxa"/>
            <w:vAlign w:val="bottom"/>
          </w:tcPr>
          <w:p w14:paraId="12A491EC" w14:textId="77777777" w:rsidR="004410F8" w:rsidRPr="001A1C9B" w:rsidRDefault="004410F8" w:rsidP="001A1C9B">
            <w:pPr>
              <w:tabs>
                <w:tab w:val="decimal" w:pos="113"/>
              </w:tabs>
              <w:spacing w:line="240" w:lineRule="auto"/>
              <w:rPr>
                <w:sz w:val="14"/>
                <w:szCs w:val="16"/>
                <w:rtl/>
              </w:rPr>
            </w:pPr>
          </w:p>
        </w:tc>
        <w:tc>
          <w:tcPr>
            <w:tcW w:w="142" w:type="dxa"/>
            <w:vAlign w:val="bottom"/>
          </w:tcPr>
          <w:p w14:paraId="4E7EB452" w14:textId="77777777" w:rsidR="004410F8" w:rsidRPr="001A1C9B" w:rsidRDefault="004410F8" w:rsidP="001A1C9B">
            <w:pPr>
              <w:tabs>
                <w:tab w:val="decimal" w:pos="113"/>
              </w:tabs>
              <w:spacing w:line="240" w:lineRule="auto"/>
              <w:rPr>
                <w:sz w:val="14"/>
                <w:szCs w:val="16"/>
                <w:rtl/>
              </w:rPr>
            </w:pPr>
          </w:p>
        </w:tc>
        <w:tc>
          <w:tcPr>
            <w:tcW w:w="1397" w:type="dxa"/>
            <w:vAlign w:val="bottom"/>
          </w:tcPr>
          <w:p w14:paraId="6DD8805C" w14:textId="77777777" w:rsidR="004410F8" w:rsidRPr="001A1C9B" w:rsidRDefault="004410F8" w:rsidP="001A1C9B">
            <w:pPr>
              <w:tabs>
                <w:tab w:val="decimal" w:pos="113"/>
              </w:tabs>
              <w:spacing w:line="240" w:lineRule="auto"/>
              <w:rPr>
                <w:sz w:val="14"/>
                <w:szCs w:val="16"/>
                <w:rtl/>
              </w:rPr>
            </w:pPr>
          </w:p>
        </w:tc>
      </w:tr>
      <w:tr w:rsidR="004410F8" w:rsidRPr="001958C9" w14:paraId="7BD25918" w14:textId="77777777" w:rsidTr="001958C9">
        <w:trPr>
          <w:gridAfter w:val="1"/>
          <w:wAfter w:w="20" w:type="dxa"/>
        </w:trPr>
        <w:tc>
          <w:tcPr>
            <w:tcW w:w="3625" w:type="dxa"/>
            <w:vAlign w:val="bottom"/>
          </w:tcPr>
          <w:p w14:paraId="7E69C7F6" w14:textId="128FAAD2" w:rsidR="004410F8" w:rsidRPr="001958C9" w:rsidRDefault="004410F8" w:rsidP="004C22FC">
            <w:pPr>
              <w:pStyle w:val="a3"/>
              <w:tabs>
                <w:tab w:val="left" w:pos="227"/>
                <w:tab w:val="left" w:pos="397"/>
                <w:tab w:val="left" w:pos="567"/>
              </w:tabs>
              <w:ind w:left="227" w:hanging="170"/>
              <w:rPr>
                <w:sz w:val="22"/>
                <w:u w:val="single"/>
                <w:rtl/>
              </w:rPr>
            </w:pPr>
            <w:r w:rsidRPr="001958C9">
              <w:rPr>
                <w:sz w:val="22"/>
                <w:u w:val="single"/>
                <w:rtl/>
              </w:rPr>
              <w:t xml:space="preserve">ל-9 </w:t>
            </w:r>
            <w:r w:rsidRPr="001958C9">
              <w:rPr>
                <w:rFonts w:hint="eastAsia"/>
                <w:sz w:val="22"/>
                <w:u w:val="single"/>
                <w:rtl/>
              </w:rPr>
              <w:t>החודשים</w:t>
            </w:r>
            <w:r w:rsidRPr="001958C9">
              <w:rPr>
                <w:sz w:val="22"/>
                <w:u w:val="single"/>
                <w:rtl/>
              </w:rPr>
              <w:t xml:space="preserve"> </w:t>
            </w:r>
            <w:r w:rsidRPr="001958C9">
              <w:rPr>
                <w:rFonts w:hint="eastAsia"/>
                <w:sz w:val="22"/>
                <w:u w:val="single"/>
                <w:rtl/>
              </w:rPr>
              <w:t>שהסתיימו</w:t>
            </w:r>
            <w:r w:rsidRPr="001958C9">
              <w:rPr>
                <w:sz w:val="22"/>
                <w:u w:val="single"/>
                <w:rtl/>
              </w:rPr>
              <w:t xml:space="preserve"> </w:t>
            </w:r>
            <w:r w:rsidRPr="001958C9">
              <w:rPr>
                <w:rFonts w:hint="eastAsia"/>
                <w:sz w:val="22"/>
                <w:u w:val="single"/>
                <w:rtl/>
              </w:rPr>
              <w:t>ביום</w:t>
            </w:r>
            <w:r w:rsidRPr="001958C9">
              <w:rPr>
                <w:sz w:val="22"/>
                <w:u w:val="single"/>
                <w:rtl/>
              </w:rPr>
              <w:t xml:space="preserve"> 30 </w:t>
            </w:r>
            <w:r w:rsidRPr="001958C9">
              <w:rPr>
                <w:rFonts w:hint="eastAsia"/>
                <w:sz w:val="22"/>
                <w:u w:val="single"/>
                <w:rtl/>
              </w:rPr>
              <w:t>בספטמבר</w:t>
            </w:r>
            <w:r w:rsidRPr="001958C9">
              <w:rPr>
                <w:sz w:val="22"/>
                <w:u w:val="single"/>
                <w:rtl/>
              </w:rPr>
              <w:t xml:space="preserve">, </w:t>
            </w:r>
            <w:r w:rsidR="004F7D3D" w:rsidRPr="001958C9">
              <w:rPr>
                <w:rFonts w:hint="cs"/>
                <w:sz w:val="22"/>
                <w:u w:val="single"/>
                <w:rtl/>
              </w:rPr>
              <w:t>201</w:t>
            </w:r>
            <w:r w:rsidR="004C22FC">
              <w:rPr>
                <w:rFonts w:hint="cs"/>
                <w:sz w:val="22"/>
                <w:u w:val="single"/>
                <w:rtl/>
              </w:rPr>
              <w:t>8</w:t>
            </w:r>
          </w:p>
        </w:tc>
        <w:tc>
          <w:tcPr>
            <w:tcW w:w="126" w:type="dxa"/>
            <w:vAlign w:val="bottom"/>
          </w:tcPr>
          <w:p w14:paraId="3B2925F3" w14:textId="77777777" w:rsidR="004410F8" w:rsidRPr="001958C9" w:rsidRDefault="004410F8" w:rsidP="001958C9">
            <w:pPr>
              <w:spacing w:line="240" w:lineRule="exact"/>
              <w:rPr>
                <w:sz w:val="22"/>
                <w:rtl/>
              </w:rPr>
            </w:pPr>
          </w:p>
        </w:tc>
        <w:tc>
          <w:tcPr>
            <w:tcW w:w="1196" w:type="dxa"/>
            <w:vAlign w:val="bottom"/>
          </w:tcPr>
          <w:p w14:paraId="34A19F3D" w14:textId="77777777" w:rsidR="004410F8" w:rsidRPr="001958C9" w:rsidRDefault="004410F8" w:rsidP="001958C9">
            <w:pPr>
              <w:spacing w:line="240" w:lineRule="exact"/>
              <w:rPr>
                <w:sz w:val="22"/>
                <w:rtl/>
              </w:rPr>
            </w:pPr>
          </w:p>
        </w:tc>
        <w:tc>
          <w:tcPr>
            <w:tcW w:w="141" w:type="dxa"/>
            <w:vAlign w:val="bottom"/>
          </w:tcPr>
          <w:p w14:paraId="3766B756" w14:textId="77777777" w:rsidR="004410F8" w:rsidRPr="001958C9" w:rsidRDefault="004410F8" w:rsidP="001958C9">
            <w:pPr>
              <w:spacing w:line="240" w:lineRule="exact"/>
              <w:rPr>
                <w:sz w:val="22"/>
                <w:rtl/>
              </w:rPr>
            </w:pPr>
          </w:p>
        </w:tc>
        <w:tc>
          <w:tcPr>
            <w:tcW w:w="1276" w:type="dxa"/>
            <w:vAlign w:val="bottom"/>
          </w:tcPr>
          <w:p w14:paraId="7A941F5A" w14:textId="77777777" w:rsidR="004410F8" w:rsidRPr="001958C9" w:rsidRDefault="004410F8" w:rsidP="001958C9">
            <w:pPr>
              <w:tabs>
                <w:tab w:val="decimal" w:pos="113"/>
              </w:tabs>
              <w:spacing w:line="240" w:lineRule="exact"/>
              <w:rPr>
                <w:sz w:val="22"/>
                <w:rtl/>
              </w:rPr>
            </w:pPr>
          </w:p>
        </w:tc>
        <w:tc>
          <w:tcPr>
            <w:tcW w:w="142" w:type="dxa"/>
            <w:vAlign w:val="bottom"/>
          </w:tcPr>
          <w:p w14:paraId="1F83B9FB" w14:textId="77777777" w:rsidR="004410F8" w:rsidRPr="001958C9" w:rsidRDefault="004410F8" w:rsidP="001958C9">
            <w:pPr>
              <w:tabs>
                <w:tab w:val="decimal" w:pos="113"/>
              </w:tabs>
              <w:spacing w:line="240" w:lineRule="exact"/>
              <w:rPr>
                <w:sz w:val="22"/>
                <w:rtl/>
              </w:rPr>
            </w:pPr>
          </w:p>
        </w:tc>
        <w:tc>
          <w:tcPr>
            <w:tcW w:w="1397" w:type="dxa"/>
            <w:vAlign w:val="bottom"/>
          </w:tcPr>
          <w:p w14:paraId="1B829672" w14:textId="77777777" w:rsidR="004410F8" w:rsidRPr="001958C9" w:rsidRDefault="004410F8" w:rsidP="001958C9">
            <w:pPr>
              <w:tabs>
                <w:tab w:val="decimal" w:pos="113"/>
              </w:tabs>
              <w:spacing w:line="240" w:lineRule="exact"/>
              <w:rPr>
                <w:sz w:val="22"/>
                <w:rtl/>
              </w:rPr>
            </w:pPr>
          </w:p>
        </w:tc>
      </w:tr>
      <w:tr w:rsidR="004410F8" w:rsidRPr="001958C9" w14:paraId="15A09AD8" w14:textId="77777777" w:rsidTr="001958C9">
        <w:trPr>
          <w:gridAfter w:val="1"/>
          <w:wAfter w:w="20" w:type="dxa"/>
        </w:trPr>
        <w:tc>
          <w:tcPr>
            <w:tcW w:w="3625" w:type="dxa"/>
            <w:vAlign w:val="bottom"/>
          </w:tcPr>
          <w:p w14:paraId="4FB0EB13" w14:textId="77777777" w:rsidR="004410F8" w:rsidRPr="001958C9" w:rsidRDefault="004410F8" w:rsidP="001958C9">
            <w:pPr>
              <w:pStyle w:val="a3"/>
              <w:tabs>
                <w:tab w:val="left" w:pos="227"/>
                <w:tab w:val="left" w:pos="397"/>
                <w:tab w:val="left" w:pos="567"/>
              </w:tabs>
              <w:ind w:left="227" w:hanging="170"/>
              <w:rPr>
                <w:sz w:val="22"/>
                <w:rtl/>
              </w:rPr>
            </w:pPr>
          </w:p>
        </w:tc>
        <w:tc>
          <w:tcPr>
            <w:tcW w:w="126" w:type="dxa"/>
            <w:vAlign w:val="bottom"/>
          </w:tcPr>
          <w:p w14:paraId="51370D65" w14:textId="77777777" w:rsidR="004410F8" w:rsidRPr="001958C9" w:rsidRDefault="004410F8" w:rsidP="001958C9">
            <w:pPr>
              <w:spacing w:line="240" w:lineRule="exact"/>
              <w:rPr>
                <w:sz w:val="22"/>
                <w:rtl/>
              </w:rPr>
            </w:pPr>
          </w:p>
        </w:tc>
        <w:tc>
          <w:tcPr>
            <w:tcW w:w="1196" w:type="dxa"/>
            <w:vAlign w:val="bottom"/>
          </w:tcPr>
          <w:p w14:paraId="4809BF32" w14:textId="77777777" w:rsidR="004410F8" w:rsidRPr="001958C9" w:rsidRDefault="004410F8" w:rsidP="001958C9">
            <w:pPr>
              <w:spacing w:line="240" w:lineRule="exact"/>
              <w:rPr>
                <w:sz w:val="22"/>
                <w:rtl/>
              </w:rPr>
            </w:pPr>
          </w:p>
        </w:tc>
        <w:tc>
          <w:tcPr>
            <w:tcW w:w="141" w:type="dxa"/>
            <w:vAlign w:val="bottom"/>
          </w:tcPr>
          <w:p w14:paraId="38F8C365" w14:textId="77777777" w:rsidR="004410F8" w:rsidRPr="001958C9" w:rsidRDefault="004410F8" w:rsidP="001958C9">
            <w:pPr>
              <w:spacing w:line="240" w:lineRule="exact"/>
              <w:rPr>
                <w:sz w:val="22"/>
                <w:rtl/>
              </w:rPr>
            </w:pPr>
          </w:p>
        </w:tc>
        <w:tc>
          <w:tcPr>
            <w:tcW w:w="1276" w:type="dxa"/>
            <w:vAlign w:val="bottom"/>
          </w:tcPr>
          <w:p w14:paraId="3A6CD88D" w14:textId="77777777" w:rsidR="004410F8" w:rsidRPr="001958C9" w:rsidRDefault="004410F8" w:rsidP="001958C9">
            <w:pPr>
              <w:tabs>
                <w:tab w:val="decimal" w:pos="113"/>
              </w:tabs>
              <w:spacing w:line="240" w:lineRule="exact"/>
              <w:rPr>
                <w:sz w:val="22"/>
                <w:rtl/>
              </w:rPr>
            </w:pPr>
          </w:p>
        </w:tc>
        <w:tc>
          <w:tcPr>
            <w:tcW w:w="142" w:type="dxa"/>
            <w:vAlign w:val="bottom"/>
          </w:tcPr>
          <w:p w14:paraId="7CBC7169" w14:textId="77777777" w:rsidR="004410F8" w:rsidRPr="001958C9" w:rsidRDefault="004410F8" w:rsidP="001958C9">
            <w:pPr>
              <w:tabs>
                <w:tab w:val="decimal" w:pos="113"/>
              </w:tabs>
              <w:spacing w:line="240" w:lineRule="exact"/>
              <w:rPr>
                <w:sz w:val="22"/>
                <w:rtl/>
              </w:rPr>
            </w:pPr>
          </w:p>
        </w:tc>
        <w:tc>
          <w:tcPr>
            <w:tcW w:w="1397" w:type="dxa"/>
            <w:vAlign w:val="bottom"/>
          </w:tcPr>
          <w:p w14:paraId="6457C154" w14:textId="77777777" w:rsidR="004410F8" w:rsidRPr="001958C9" w:rsidRDefault="004410F8" w:rsidP="001958C9">
            <w:pPr>
              <w:tabs>
                <w:tab w:val="decimal" w:pos="113"/>
              </w:tabs>
              <w:spacing w:line="240" w:lineRule="exact"/>
              <w:rPr>
                <w:sz w:val="22"/>
                <w:rtl/>
              </w:rPr>
            </w:pPr>
          </w:p>
        </w:tc>
      </w:tr>
      <w:tr w:rsidR="004410F8" w:rsidRPr="001958C9" w14:paraId="26C9DA0C" w14:textId="77777777" w:rsidTr="001958C9">
        <w:trPr>
          <w:gridAfter w:val="1"/>
          <w:wAfter w:w="20" w:type="dxa"/>
        </w:trPr>
        <w:tc>
          <w:tcPr>
            <w:tcW w:w="3625" w:type="dxa"/>
            <w:vAlign w:val="bottom"/>
          </w:tcPr>
          <w:p w14:paraId="4D611674"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מסים</w:t>
            </w:r>
            <w:r w:rsidRPr="001958C9">
              <w:rPr>
                <w:sz w:val="22"/>
                <w:rtl/>
              </w:rPr>
              <w:t xml:space="preserve"> </w:t>
            </w:r>
            <w:r w:rsidRPr="001958C9">
              <w:rPr>
                <w:rFonts w:hint="eastAsia"/>
                <w:sz w:val="22"/>
                <w:rtl/>
              </w:rPr>
              <w:t>על</w:t>
            </w:r>
            <w:r w:rsidRPr="001958C9">
              <w:rPr>
                <w:sz w:val="22"/>
                <w:rtl/>
              </w:rPr>
              <w:t xml:space="preserve"> </w:t>
            </w:r>
            <w:r w:rsidRPr="001958C9">
              <w:rPr>
                <w:rFonts w:hint="eastAsia"/>
                <w:sz w:val="22"/>
                <w:rtl/>
              </w:rPr>
              <w:t>ההכנסה</w:t>
            </w:r>
            <w:r w:rsidRPr="001958C9">
              <w:rPr>
                <w:sz w:val="22"/>
                <w:rtl/>
              </w:rPr>
              <w:t xml:space="preserve"> (הטבת </w:t>
            </w:r>
            <w:r w:rsidRPr="001958C9">
              <w:rPr>
                <w:rFonts w:hint="eastAsia"/>
                <w:sz w:val="22"/>
                <w:rtl/>
              </w:rPr>
              <w:t>מס</w:t>
            </w:r>
            <w:r w:rsidRPr="001958C9">
              <w:rPr>
                <w:sz w:val="22"/>
                <w:rtl/>
              </w:rPr>
              <w:t>)</w:t>
            </w:r>
          </w:p>
        </w:tc>
        <w:tc>
          <w:tcPr>
            <w:tcW w:w="126" w:type="dxa"/>
            <w:vAlign w:val="bottom"/>
          </w:tcPr>
          <w:p w14:paraId="20A72CA5"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48687AE0" w14:textId="77777777" w:rsidR="004410F8" w:rsidRPr="001958C9" w:rsidRDefault="004410F8" w:rsidP="001958C9">
            <w:pPr>
              <w:spacing w:line="240" w:lineRule="exact"/>
              <w:rPr>
                <w:sz w:val="22"/>
                <w:rtl/>
              </w:rPr>
            </w:pPr>
          </w:p>
        </w:tc>
        <w:tc>
          <w:tcPr>
            <w:tcW w:w="141" w:type="dxa"/>
            <w:vAlign w:val="bottom"/>
          </w:tcPr>
          <w:p w14:paraId="6B3EC168" w14:textId="77777777" w:rsidR="004410F8" w:rsidRPr="001958C9" w:rsidRDefault="004410F8" w:rsidP="001958C9">
            <w:pPr>
              <w:spacing w:line="240" w:lineRule="exact"/>
              <w:rPr>
                <w:sz w:val="22"/>
                <w:rtl/>
              </w:rPr>
            </w:pPr>
          </w:p>
        </w:tc>
        <w:tc>
          <w:tcPr>
            <w:tcW w:w="1276" w:type="dxa"/>
            <w:tcBorders>
              <w:bottom w:val="double" w:sz="6" w:space="0" w:color="auto"/>
            </w:tcBorders>
            <w:shd w:val="clear" w:color="auto" w:fill="auto"/>
            <w:vAlign w:val="bottom"/>
          </w:tcPr>
          <w:p w14:paraId="618EB169" w14:textId="77777777" w:rsidR="004410F8" w:rsidRPr="001958C9" w:rsidRDefault="004410F8" w:rsidP="001958C9">
            <w:pPr>
              <w:tabs>
                <w:tab w:val="decimal" w:pos="113"/>
              </w:tabs>
              <w:spacing w:line="240" w:lineRule="exact"/>
              <w:rPr>
                <w:sz w:val="22"/>
                <w:rtl/>
              </w:rPr>
            </w:pPr>
          </w:p>
        </w:tc>
        <w:tc>
          <w:tcPr>
            <w:tcW w:w="142" w:type="dxa"/>
            <w:vAlign w:val="bottom"/>
          </w:tcPr>
          <w:p w14:paraId="3A38E216"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shd w:val="clear" w:color="auto" w:fill="auto"/>
            <w:vAlign w:val="bottom"/>
          </w:tcPr>
          <w:p w14:paraId="334630C6" w14:textId="77777777" w:rsidR="004410F8" w:rsidRPr="001958C9" w:rsidRDefault="004410F8" w:rsidP="001958C9">
            <w:pPr>
              <w:tabs>
                <w:tab w:val="decimal" w:pos="113"/>
              </w:tabs>
              <w:spacing w:line="240" w:lineRule="exact"/>
              <w:rPr>
                <w:sz w:val="22"/>
                <w:rtl/>
              </w:rPr>
            </w:pPr>
          </w:p>
        </w:tc>
      </w:tr>
      <w:tr w:rsidR="004410F8" w:rsidRPr="001958C9" w14:paraId="50A56C1F" w14:textId="77777777" w:rsidTr="001958C9">
        <w:trPr>
          <w:gridAfter w:val="1"/>
          <w:wAfter w:w="20" w:type="dxa"/>
        </w:trPr>
        <w:tc>
          <w:tcPr>
            <w:tcW w:w="3625" w:type="dxa"/>
            <w:vAlign w:val="bottom"/>
          </w:tcPr>
          <w:p w14:paraId="28BEC817" w14:textId="77777777" w:rsidR="004410F8" w:rsidRPr="001958C9" w:rsidRDefault="004410F8" w:rsidP="001958C9">
            <w:pPr>
              <w:pStyle w:val="a3"/>
              <w:tabs>
                <w:tab w:val="left" w:pos="227"/>
                <w:tab w:val="left" w:pos="397"/>
                <w:tab w:val="left" w:pos="567"/>
              </w:tabs>
              <w:ind w:left="227" w:hanging="170"/>
              <w:rPr>
                <w:sz w:val="22"/>
                <w:rtl/>
              </w:rPr>
            </w:pPr>
          </w:p>
        </w:tc>
        <w:tc>
          <w:tcPr>
            <w:tcW w:w="126" w:type="dxa"/>
            <w:vAlign w:val="bottom"/>
          </w:tcPr>
          <w:p w14:paraId="3A0EEA01" w14:textId="77777777" w:rsidR="004410F8" w:rsidRPr="001958C9" w:rsidRDefault="004410F8" w:rsidP="001958C9">
            <w:pPr>
              <w:spacing w:line="240" w:lineRule="exact"/>
              <w:rPr>
                <w:sz w:val="22"/>
                <w:rtl/>
              </w:rPr>
            </w:pPr>
          </w:p>
        </w:tc>
        <w:tc>
          <w:tcPr>
            <w:tcW w:w="1196" w:type="dxa"/>
            <w:tcBorders>
              <w:top w:val="double" w:sz="6" w:space="0" w:color="auto"/>
            </w:tcBorders>
            <w:shd w:val="clear" w:color="auto" w:fill="auto"/>
            <w:vAlign w:val="bottom"/>
          </w:tcPr>
          <w:p w14:paraId="6934056C" w14:textId="77777777" w:rsidR="004410F8" w:rsidRPr="001958C9" w:rsidRDefault="004410F8" w:rsidP="001958C9">
            <w:pPr>
              <w:spacing w:line="240" w:lineRule="exact"/>
              <w:rPr>
                <w:sz w:val="22"/>
                <w:rtl/>
              </w:rPr>
            </w:pPr>
          </w:p>
        </w:tc>
        <w:tc>
          <w:tcPr>
            <w:tcW w:w="141" w:type="dxa"/>
            <w:vAlign w:val="bottom"/>
          </w:tcPr>
          <w:p w14:paraId="0BC0F101" w14:textId="77777777" w:rsidR="004410F8" w:rsidRPr="001958C9" w:rsidRDefault="004410F8" w:rsidP="001958C9">
            <w:pPr>
              <w:spacing w:line="240" w:lineRule="exact"/>
              <w:rPr>
                <w:sz w:val="22"/>
                <w:rtl/>
              </w:rPr>
            </w:pPr>
          </w:p>
        </w:tc>
        <w:tc>
          <w:tcPr>
            <w:tcW w:w="1276" w:type="dxa"/>
            <w:tcBorders>
              <w:top w:val="double" w:sz="6" w:space="0" w:color="auto"/>
            </w:tcBorders>
            <w:shd w:val="clear" w:color="auto" w:fill="auto"/>
            <w:vAlign w:val="bottom"/>
          </w:tcPr>
          <w:p w14:paraId="03EA7501" w14:textId="77777777" w:rsidR="004410F8" w:rsidRPr="001958C9" w:rsidRDefault="004410F8" w:rsidP="001958C9">
            <w:pPr>
              <w:tabs>
                <w:tab w:val="decimal" w:pos="113"/>
              </w:tabs>
              <w:spacing w:line="240" w:lineRule="exact"/>
              <w:rPr>
                <w:sz w:val="22"/>
                <w:rtl/>
              </w:rPr>
            </w:pPr>
          </w:p>
        </w:tc>
        <w:tc>
          <w:tcPr>
            <w:tcW w:w="142" w:type="dxa"/>
            <w:vAlign w:val="bottom"/>
          </w:tcPr>
          <w:p w14:paraId="54975F55"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tcBorders>
            <w:shd w:val="clear" w:color="auto" w:fill="auto"/>
            <w:vAlign w:val="bottom"/>
          </w:tcPr>
          <w:p w14:paraId="4E313404" w14:textId="77777777" w:rsidR="004410F8" w:rsidRPr="001958C9" w:rsidRDefault="004410F8" w:rsidP="001958C9">
            <w:pPr>
              <w:tabs>
                <w:tab w:val="decimal" w:pos="113"/>
              </w:tabs>
              <w:spacing w:line="240" w:lineRule="exact"/>
              <w:rPr>
                <w:sz w:val="22"/>
                <w:rtl/>
              </w:rPr>
            </w:pPr>
          </w:p>
        </w:tc>
      </w:tr>
      <w:tr w:rsidR="004410F8" w:rsidRPr="001958C9" w14:paraId="5308C14B" w14:textId="77777777" w:rsidTr="001958C9">
        <w:trPr>
          <w:gridAfter w:val="1"/>
          <w:wAfter w:w="20" w:type="dxa"/>
        </w:trPr>
        <w:tc>
          <w:tcPr>
            <w:tcW w:w="3625" w:type="dxa"/>
            <w:vAlign w:val="bottom"/>
          </w:tcPr>
          <w:p w14:paraId="7531C5F6"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סה</w:t>
            </w:r>
            <w:r w:rsidRPr="001958C9">
              <w:rPr>
                <w:sz w:val="22"/>
                <w:rtl/>
              </w:rPr>
              <w:t xml:space="preserve">"כ רווח (הפסד) </w:t>
            </w:r>
          </w:p>
        </w:tc>
        <w:tc>
          <w:tcPr>
            <w:tcW w:w="126" w:type="dxa"/>
            <w:vAlign w:val="bottom"/>
          </w:tcPr>
          <w:p w14:paraId="1184735E"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214AA083" w14:textId="77777777" w:rsidR="004410F8" w:rsidRPr="001958C9" w:rsidRDefault="004410F8" w:rsidP="001958C9">
            <w:pPr>
              <w:spacing w:line="240" w:lineRule="exact"/>
              <w:rPr>
                <w:sz w:val="22"/>
                <w:rtl/>
              </w:rPr>
            </w:pPr>
          </w:p>
        </w:tc>
        <w:tc>
          <w:tcPr>
            <w:tcW w:w="141" w:type="dxa"/>
            <w:vAlign w:val="bottom"/>
          </w:tcPr>
          <w:p w14:paraId="46FC8061" w14:textId="77777777" w:rsidR="004410F8" w:rsidRPr="001958C9" w:rsidRDefault="004410F8" w:rsidP="001958C9">
            <w:pPr>
              <w:spacing w:line="240" w:lineRule="exact"/>
              <w:rPr>
                <w:sz w:val="22"/>
                <w:rtl/>
              </w:rPr>
            </w:pPr>
          </w:p>
        </w:tc>
        <w:tc>
          <w:tcPr>
            <w:tcW w:w="1276" w:type="dxa"/>
            <w:tcBorders>
              <w:bottom w:val="double" w:sz="6" w:space="0" w:color="auto"/>
            </w:tcBorders>
            <w:shd w:val="clear" w:color="auto" w:fill="auto"/>
            <w:vAlign w:val="bottom"/>
          </w:tcPr>
          <w:p w14:paraId="5FD5EB51" w14:textId="77777777" w:rsidR="004410F8" w:rsidRPr="001958C9" w:rsidRDefault="004410F8" w:rsidP="001958C9">
            <w:pPr>
              <w:tabs>
                <w:tab w:val="decimal" w:pos="113"/>
              </w:tabs>
              <w:spacing w:line="240" w:lineRule="exact"/>
              <w:rPr>
                <w:sz w:val="22"/>
                <w:rtl/>
              </w:rPr>
            </w:pPr>
          </w:p>
        </w:tc>
        <w:tc>
          <w:tcPr>
            <w:tcW w:w="142" w:type="dxa"/>
            <w:vAlign w:val="bottom"/>
          </w:tcPr>
          <w:p w14:paraId="2CB179B7"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shd w:val="clear" w:color="auto" w:fill="auto"/>
            <w:vAlign w:val="bottom"/>
          </w:tcPr>
          <w:p w14:paraId="2F971B8D" w14:textId="77777777" w:rsidR="004410F8" w:rsidRPr="001958C9" w:rsidRDefault="004410F8" w:rsidP="001958C9">
            <w:pPr>
              <w:tabs>
                <w:tab w:val="decimal" w:pos="113"/>
              </w:tabs>
              <w:spacing w:line="240" w:lineRule="exact"/>
              <w:rPr>
                <w:sz w:val="22"/>
                <w:rtl/>
              </w:rPr>
            </w:pPr>
          </w:p>
        </w:tc>
      </w:tr>
      <w:tr w:rsidR="004410F8" w:rsidRPr="001958C9" w14:paraId="1E2A5D9B" w14:textId="77777777" w:rsidTr="001958C9">
        <w:trPr>
          <w:gridAfter w:val="1"/>
          <w:wAfter w:w="20" w:type="dxa"/>
        </w:trPr>
        <w:tc>
          <w:tcPr>
            <w:tcW w:w="3625" w:type="dxa"/>
            <w:vAlign w:val="bottom"/>
          </w:tcPr>
          <w:p w14:paraId="11EC489E" w14:textId="77777777" w:rsidR="004410F8" w:rsidRPr="001958C9" w:rsidRDefault="004410F8" w:rsidP="001958C9">
            <w:pPr>
              <w:pStyle w:val="a3"/>
              <w:tabs>
                <w:tab w:val="left" w:pos="227"/>
                <w:tab w:val="left" w:pos="397"/>
                <w:tab w:val="left" w:pos="567"/>
              </w:tabs>
              <w:ind w:left="227" w:hanging="170"/>
              <w:rPr>
                <w:sz w:val="22"/>
                <w:rtl/>
              </w:rPr>
            </w:pPr>
            <w:r w:rsidRPr="001958C9">
              <w:rPr>
                <w:sz w:val="22"/>
                <w:rtl/>
              </w:rPr>
              <w:t xml:space="preserve">רווח נקי (הפסד) בסיסי </w:t>
            </w:r>
            <w:r w:rsidRPr="001958C9">
              <w:rPr>
                <w:rFonts w:hint="eastAsia"/>
                <w:sz w:val="22"/>
                <w:rtl/>
              </w:rPr>
              <w:t>למניה</w:t>
            </w:r>
            <w:r w:rsidRPr="001958C9">
              <w:rPr>
                <w:sz w:val="22"/>
                <w:rtl/>
              </w:rPr>
              <w:t xml:space="preserve"> (בש"ח)</w:t>
            </w:r>
          </w:p>
        </w:tc>
        <w:tc>
          <w:tcPr>
            <w:tcW w:w="126" w:type="dxa"/>
            <w:vAlign w:val="bottom"/>
          </w:tcPr>
          <w:p w14:paraId="30AA9E3B" w14:textId="77777777" w:rsidR="004410F8" w:rsidRPr="001958C9" w:rsidRDefault="004410F8" w:rsidP="001958C9">
            <w:pPr>
              <w:spacing w:line="240" w:lineRule="exact"/>
              <w:rPr>
                <w:sz w:val="22"/>
                <w:rtl/>
              </w:rPr>
            </w:pPr>
          </w:p>
        </w:tc>
        <w:tc>
          <w:tcPr>
            <w:tcW w:w="1196" w:type="dxa"/>
            <w:tcBorders>
              <w:top w:val="double" w:sz="6" w:space="0" w:color="auto"/>
              <w:bottom w:val="double" w:sz="6" w:space="0" w:color="auto"/>
            </w:tcBorders>
            <w:shd w:val="clear" w:color="auto" w:fill="auto"/>
            <w:vAlign w:val="bottom"/>
          </w:tcPr>
          <w:p w14:paraId="1C850631" w14:textId="77777777" w:rsidR="004410F8" w:rsidRPr="001958C9" w:rsidRDefault="004410F8" w:rsidP="001958C9">
            <w:pPr>
              <w:spacing w:line="240" w:lineRule="exact"/>
              <w:rPr>
                <w:sz w:val="22"/>
                <w:rtl/>
              </w:rPr>
            </w:pPr>
          </w:p>
        </w:tc>
        <w:tc>
          <w:tcPr>
            <w:tcW w:w="141" w:type="dxa"/>
            <w:vAlign w:val="bottom"/>
          </w:tcPr>
          <w:p w14:paraId="364B4797" w14:textId="77777777" w:rsidR="004410F8" w:rsidRPr="001958C9" w:rsidRDefault="004410F8" w:rsidP="001958C9">
            <w:pPr>
              <w:spacing w:line="240" w:lineRule="exact"/>
              <w:rPr>
                <w:sz w:val="22"/>
                <w:rtl/>
              </w:rPr>
            </w:pPr>
          </w:p>
        </w:tc>
        <w:tc>
          <w:tcPr>
            <w:tcW w:w="1276" w:type="dxa"/>
            <w:tcBorders>
              <w:top w:val="double" w:sz="6" w:space="0" w:color="auto"/>
              <w:bottom w:val="double" w:sz="6" w:space="0" w:color="auto"/>
            </w:tcBorders>
            <w:shd w:val="clear" w:color="auto" w:fill="auto"/>
            <w:vAlign w:val="bottom"/>
          </w:tcPr>
          <w:p w14:paraId="010631C5" w14:textId="77777777" w:rsidR="004410F8" w:rsidRPr="001958C9" w:rsidRDefault="004410F8" w:rsidP="001958C9">
            <w:pPr>
              <w:tabs>
                <w:tab w:val="decimal" w:pos="113"/>
              </w:tabs>
              <w:spacing w:line="240" w:lineRule="exact"/>
              <w:rPr>
                <w:sz w:val="22"/>
                <w:rtl/>
              </w:rPr>
            </w:pPr>
          </w:p>
        </w:tc>
        <w:tc>
          <w:tcPr>
            <w:tcW w:w="142" w:type="dxa"/>
            <w:vAlign w:val="bottom"/>
          </w:tcPr>
          <w:p w14:paraId="65AFF1BC"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bottom w:val="double" w:sz="6" w:space="0" w:color="auto"/>
            </w:tcBorders>
            <w:shd w:val="clear" w:color="auto" w:fill="auto"/>
            <w:vAlign w:val="bottom"/>
          </w:tcPr>
          <w:p w14:paraId="29D9A8B8" w14:textId="77777777" w:rsidR="004410F8" w:rsidRPr="001958C9" w:rsidRDefault="004410F8" w:rsidP="001958C9">
            <w:pPr>
              <w:tabs>
                <w:tab w:val="decimal" w:pos="113"/>
              </w:tabs>
              <w:spacing w:line="240" w:lineRule="exact"/>
              <w:rPr>
                <w:sz w:val="22"/>
                <w:rtl/>
              </w:rPr>
            </w:pPr>
          </w:p>
        </w:tc>
      </w:tr>
      <w:tr w:rsidR="004410F8" w:rsidRPr="001958C9" w14:paraId="4A7CD2F8" w14:textId="77777777" w:rsidTr="001958C9">
        <w:trPr>
          <w:gridAfter w:val="1"/>
          <w:wAfter w:w="20" w:type="dxa"/>
        </w:trPr>
        <w:tc>
          <w:tcPr>
            <w:tcW w:w="3625" w:type="dxa"/>
            <w:vAlign w:val="bottom"/>
          </w:tcPr>
          <w:p w14:paraId="5A55D714"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רווח</w:t>
            </w:r>
            <w:r w:rsidRPr="001958C9">
              <w:rPr>
                <w:sz w:val="22"/>
                <w:rtl/>
              </w:rPr>
              <w:t xml:space="preserve"> </w:t>
            </w:r>
            <w:r w:rsidRPr="001958C9">
              <w:rPr>
                <w:rFonts w:hint="eastAsia"/>
                <w:sz w:val="22"/>
                <w:rtl/>
              </w:rPr>
              <w:t>נקי</w:t>
            </w:r>
            <w:r w:rsidRPr="001958C9">
              <w:rPr>
                <w:sz w:val="22"/>
                <w:rtl/>
              </w:rPr>
              <w:t xml:space="preserve"> (הפסד) </w:t>
            </w:r>
            <w:r w:rsidRPr="001958C9">
              <w:rPr>
                <w:rFonts w:hint="eastAsia"/>
                <w:sz w:val="22"/>
                <w:rtl/>
              </w:rPr>
              <w:t>מדולל</w:t>
            </w:r>
            <w:r w:rsidRPr="001958C9">
              <w:rPr>
                <w:sz w:val="22"/>
                <w:rtl/>
              </w:rPr>
              <w:t xml:space="preserve"> </w:t>
            </w:r>
            <w:r w:rsidRPr="001958C9">
              <w:rPr>
                <w:rFonts w:hint="eastAsia"/>
                <w:sz w:val="22"/>
                <w:rtl/>
              </w:rPr>
              <w:t>למניה</w:t>
            </w:r>
            <w:r w:rsidRPr="001958C9">
              <w:rPr>
                <w:sz w:val="22"/>
                <w:rtl/>
              </w:rPr>
              <w:t xml:space="preserve"> (בש"ח)</w:t>
            </w:r>
          </w:p>
        </w:tc>
        <w:tc>
          <w:tcPr>
            <w:tcW w:w="126" w:type="dxa"/>
            <w:vAlign w:val="bottom"/>
          </w:tcPr>
          <w:p w14:paraId="2A28F6F4" w14:textId="77777777" w:rsidR="004410F8" w:rsidRPr="001958C9" w:rsidRDefault="004410F8" w:rsidP="001958C9">
            <w:pPr>
              <w:spacing w:line="240" w:lineRule="exact"/>
              <w:rPr>
                <w:sz w:val="22"/>
                <w:rtl/>
              </w:rPr>
            </w:pPr>
          </w:p>
        </w:tc>
        <w:tc>
          <w:tcPr>
            <w:tcW w:w="1196" w:type="dxa"/>
            <w:tcBorders>
              <w:top w:val="double" w:sz="6" w:space="0" w:color="auto"/>
              <w:bottom w:val="double" w:sz="6" w:space="0" w:color="auto"/>
            </w:tcBorders>
            <w:shd w:val="clear" w:color="auto" w:fill="auto"/>
            <w:vAlign w:val="bottom"/>
          </w:tcPr>
          <w:p w14:paraId="0096BC92" w14:textId="77777777" w:rsidR="004410F8" w:rsidRPr="001958C9" w:rsidRDefault="004410F8" w:rsidP="001958C9">
            <w:pPr>
              <w:spacing w:line="240" w:lineRule="exact"/>
              <w:rPr>
                <w:sz w:val="22"/>
                <w:rtl/>
              </w:rPr>
            </w:pPr>
          </w:p>
        </w:tc>
        <w:tc>
          <w:tcPr>
            <w:tcW w:w="141" w:type="dxa"/>
            <w:vAlign w:val="bottom"/>
          </w:tcPr>
          <w:p w14:paraId="31CCDCEB" w14:textId="77777777" w:rsidR="004410F8" w:rsidRPr="001958C9" w:rsidRDefault="004410F8" w:rsidP="001958C9">
            <w:pPr>
              <w:spacing w:line="240" w:lineRule="exact"/>
              <w:rPr>
                <w:sz w:val="22"/>
                <w:rtl/>
              </w:rPr>
            </w:pPr>
          </w:p>
        </w:tc>
        <w:tc>
          <w:tcPr>
            <w:tcW w:w="1276" w:type="dxa"/>
            <w:tcBorders>
              <w:top w:val="double" w:sz="6" w:space="0" w:color="auto"/>
              <w:bottom w:val="double" w:sz="6" w:space="0" w:color="auto"/>
            </w:tcBorders>
            <w:shd w:val="clear" w:color="auto" w:fill="auto"/>
            <w:vAlign w:val="bottom"/>
          </w:tcPr>
          <w:p w14:paraId="1B43FFD6" w14:textId="77777777" w:rsidR="004410F8" w:rsidRPr="001958C9" w:rsidRDefault="004410F8" w:rsidP="001958C9">
            <w:pPr>
              <w:tabs>
                <w:tab w:val="decimal" w:pos="113"/>
              </w:tabs>
              <w:spacing w:line="240" w:lineRule="exact"/>
              <w:rPr>
                <w:sz w:val="22"/>
                <w:rtl/>
              </w:rPr>
            </w:pPr>
          </w:p>
        </w:tc>
        <w:tc>
          <w:tcPr>
            <w:tcW w:w="142" w:type="dxa"/>
            <w:vAlign w:val="bottom"/>
          </w:tcPr>
          <w:p w14:paraId="1ABA7944"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bottom w:val="double" w:sz="6" w:space="0" w:color="auto"/>
            </w:tcBorders>
            <w:shd w:val="clear" w:color="auto" w:fill="auto"/>
            <w:vAlign w:val="bottom"/>
          </w:tcPr>
          <w:p w14:paraId="7ECAF097" w14:textId="77777777" w:rsidR="004410F8" w:rsidRPr="001958C9" w:rsidRDefault="004410F8" w:rsidP="001958C9">
            <w:pPr>
              <w:tabs>
                <w:tab w:val="decimal" w:pos="113"/>
              </w:tabs>
              <w:spacing w:line="240" w:lineRule="exact"/>
              <w:rPr>
                <w:sz w:val="22"/>
                <w:rtl/>
              </w:rPr>
            </w:pPr>
          </w:p>
        </w:tc>
      </w:tr>
      <w:tr w:rsidR="004410F8" w:rsidRPr="001A1C9B" w14:paraId="33FE4E17" w14:textId="77777777" w:rsidTr="001958C9">
        <w:trPr>
          <w:gridAfter w:val="1"/>
          <w:wAfter w:w="20" w:type="dxa"/>
        </w:trPr>
        <w:tc>
          <w:tcPr>
            <w:tcW w:w="3625" w:type="dxa"/>
            <w:vAlign w:val="bottom"/>
          </w:tcPr>
          <w:p w14:paraId="31B64AF0" w14:textId="77777777" w:rsidR="004410F8" w:rsidRPr="001A1C9B" w:rsidRDefault="004410F8" w:rsidP="001A1C9B">
            <w:pPr>
              <w:pStyle w:val="a3"/>
              <w:tabs>
                <w:tab w:val="left" w:pos="227"/>
                <w:tab w:val="left" w:pos="397"/>
                <w:tab w:val="left" w:pos="567"/>
              </w:tabs>
              <w:spacing w:line="240" w:lineRule="auto"/>
              <w:ind w:left="227" w:hanging="170"/>
              <w:rPr>
                <w:sz w:val="16"/>
                <w:szCs w:val="18"/>
                <w:rtl/>
              </w:rPr>
            </w:pPr>
          </w:p>
        </w:tc>
        <w:tc>
          <w:tcPr>
            <w:tcW w:w="126" w:type="dxa"/>
            <w:vAlign w:val="bottom"/>
          </w:tcPr>
          <w:p w14:paraId="3965A0AB" w14:textId="77777777" w:rsidR="004410F8" w:rsidRPr="001A1C9B" w:rsidRDefault="004410F8" w:rsidP="001A1C9B">
            <w:pPr>
              <w:spacing w:line="240" w:lineRule="auto"/>
              <w:rPr>
                <w:sz w:val="16"/>
                <w:szCs w:val="18"/>
                <w:rtl/>
              </w:rPr>
            </w:pPr>
          </w:p>
        </w:tc>
        <w:tc>
          <w:tcPr>
            <w:tcW w:w="1196" w:type="dxa"/>
            <w:tcBorders>
              <w:top w:val="double" w:sz="6" w:space="0" w:color="auto"/>
            </w:tcBorders>
            <w:shd w:val="clear" w:color="auto" w:fill="auto"/>
            <w:vAlign w:val="bottom"/>
          </w:tcPr>
          <w:p w14:paraId="0AD1A4E7" w14:textId="77777777" w:rsidR="004410F8" w:rsidRPr="001A1C9B" w:rsidRDefault="004410F8" w:rsidP="001A1C9B">
            <w:pPr>
              <w:spacing w:line="240" w:lineRule="auto"/>
              <w:rPr>
                <w:sz w:val="16"/>
                <w:szCs w:val="18"/>
                <w:rtl/>
              </w:rPr>
            </w:pPr>
          </w:p>
        </w:tc>
        <w:tc>
          <w:tcPr>
            <w:tcW w:w="141" w:type="dxa"/>
            <w:vAlign w:val="bottom"/>
          </w:tcPr>
          <w:p w14:paraId="27AFF129" w14:textId="77777777" w:rsidR="004410F8" w:rsidRPr="001A1C9B" w:rsidRDefault="004410F8" w:rsidP="001A1C9B">
            <w:pPr>
              <w:spacing w:line="240" w:lineRule="auto"/>
              <w:rPr>
                <w:sz w:val="16"/>
                <w:szCs w:val="18"/>
                <w:rtl/>
              </w:rPr>
            </w:pPr>
          </w:p>
        </w:tc>
        <w:tc>
          <w:tcPr>
            <w:tcW w:w="1276" w:type="dxa"/>
            <w:tcBorders>
              <w:top w:val="double" w:sz="6" w:space="0" w:color="auto"/>
            </w:tcBorders>
            <w:shd w:val="clear" w:color="auto" w:fill="auto"/>
            <w:vAlign w:val="bottom"/>
          </w:tcPr>
          <w:p w14:paraId="23C37110" w14:textId="77777777" w:rsidR="004410F8" w:rsidRPr="001A1C9B" w:rsidRDefault="004410F8" w:rsidP="001A1C9B">
            <w:pPr>
              <w:tabs>
                <w:tab w:val="decimal" w:pos="113"/>
              </w:tabs>
              <w:spacing w:line="240" w:lineRule="auto"/>
              <w:rPr>
                <w:sz w:val="16"/>
                <w:szCs w:val="18"/>
                <w:rtl/>
              </w:rPr>
            </w:pPr>
          </w:p>
        </w:tc>
        <w:tc>
          <w:tcPr>
            <w:tcW w:w="142" w:type="dxa"/>
            <w:vAlign w:val="bottom"/>
          </w:tcPr>
          <w:p w14:paraId="1BD52B03" w14:textId="77777777" w:rsidR="004410F8" w:rsidRPr="001A1C9B" w:rsidRDefault="004410F8" w:rsidP="001A1C9B">
            <w:pPr>
              <w:tabs>
                <w:tab w:val="decimal" w:pos="113"/>
              </w:tabs>
              <w:spacing w:line="240" w:lineRule="auto"/>
              <w:rPr>
                <w:sz w:val="16"/>
                <w:szCs w:val="18"/>
                <w:rtl/>
              </w:rPr>
            </w:pPr>
          </w:p>
        </w:tc>
        <w:tc>
          <w:tcPr>
            <w:tcW w:w="1397" w:type="dxa"/>
            <w:tcBorders>
              <w:top w:val="double" w:sz="6" w:space="0" w:color="auto"/>
            </w:tcBorders>
            <w:shd w:val="clear" w:color="auto" w:fill="auto"/>
            <w:vAlign w:val="bottom"/>
          </w:tcPr>
          <w:p w14:paraId="5BDFCE68" w14:textId="77777777" w:rsidR="004410F8" w:rsidRPr="001A1C9B" w:rsidRDefault="004410F8" w:rsidP="001A1C9B">
            <w:pPr>
              <w:tabs>
                <w:tab w:val="decimal" w:pos="113"/>
              </w:tabs>
              <w:spacing w:line="240" w:lineRule="auto"/>
              <w:rPr>
                <w:sz w:val="16"/>
                <w:szCs w:val="18"/>
                <w:rtl/>
              </w:rPr>
            </w:pPr>
          </w:p>
        </w:tc>
      </w:tr>
      <w:tr w:rsidR="004410F8" w:rsidRPr="001958C9" w14:paraId="61FB2493" w14:textId="77777777" w:rsidTr="001958C9">
        <w:trPr>
          <w:gridAfter w:val="1"/>
          <w:wAfter w:w="20" w:type="dxa"/>
        </w:trPr>
        <w:tc>
          <w:tcPr>
            <w:tcW w:w="3625" w:type="dxa"/>
            <w:vAlign w:val="bottom"/>
          </w:tcPr>
          <w:p w14:paraId="3E0687D2" w14:textId="021447CF" w:rsidR="004410F8" w:rsidRPr="001958C9" w:rsidRDefault="004410F8" w:rsidP="004C22FC">
            <w:pPr>
              <w:pStyle w:val="a3"/>
              <w:tabs>
                <w:tab w:val="left" w:pos="227"/>
                <w:tab w:val="left" w:pos="397"/>
                <w:tab w:val="left" w:pos="567"/>
              </w:tabs>
              <w:ind w:left="227" w:hanging="170"/>
              <w:rPr>
                <w:sz w:val="22"/>
                <w:rtl/>
              </w:rPr>
            </w:pPr>
            <w:r w:rsidRPr="001958C9">
              <w:rPr>
                <w:sz w:val="22"/>
                <w:u w:val="single"/>
                <w:rtl/>
              </w:rPr>
              <w:t xml:space="preserve">ל-3 החודשים שהסתיימו ביום 30 בספטמבר, </w:t>
            </w:r>
            <w:r w:rsidR="004F7D3D" w:rsidRPr="001958C9">
              <w:rPr>
                <w:rFonts w:hint="cs"/>
                <w:sz w:val="22"/>
                <w:u w:val="single"/>
                <w:rtl/>
              </w:rPr>
              <w:t>201</w:t>
            </w:r>
            <w:r w:rsidR="004C22FC">
              <w:rPr>
                <w:rFonts w:hint="cs"/>
                <w:sz w:val="22"/>
                <w:u w:val="single"/>
                <w:rtl/>
              </w:rPr>
              <w:t>8</w:t>
            </w:r>
          </w:p>
        </w:tc>
        <w:tc>
          <w:tcPr>
            <w:tcW w:w="126" w:type="dxa"/>
            <w:vAlign w:val="bottom"/>
          </w:tcPr>
          <w:p w14:paraId="1B95575C"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4B45369E" w14:textId="77777777" w:rsidR="004410F8" w:rsidRPr="001958C9" w:rsidRDefault="004410F8" w:rsidP="001958C9">
            <w:pPr>
              <w:spacing w:line="240" w:lineRule="exact"/>
              <w:rPr>
                <w:sz w:val="22"/>
                <w:rtl/>
              </w:rPr>
            </w:pPr>
          </w:p>
        </w:tc>
        <w:tc>
          <w:tcPr>
            <w:tcW w:w="141" w:type="dxa"/>
            <w:vAlign w:val="bottom"/>
          </w:tcPr>
          <w:p w14:paraId="394D2F34" w14:textId="77777777" w:rsidR="004410F8" w:rsidRPr="001958C9" w:rsidRDefault="004410F8" w:rsidP="001958C9">
            <w:pPr>
              <w:spacing w:line="240" w:lineRule="exact"/>
              <w:rPr>
                <w:sz w:val="22"/>
                <w:rtl/>
              </w:rPr>
            </w:pPr>
          </w:p>
        </w:tc>
        <w:tc>
          <w:tcPr>
            <w:tcW w:w="1276" w:type="dxa"/>
            <w:tcBorders>
              <w:bottom w:val="double" w:sz="6" w:space="0" w:color="auto"/>
            </w:tcBorders>
            <w:shd w:val="clear" w:color="auto" w:fill="auto"/>
            <w:vAlign w:val="bottom"/>
          </w:tcPr>
          <w:p w14:paraId="6118B5A1" w14:textId="77777777" w:rsidR="004410F8" w:rsidRPr="001958C9" w:rsidRDefault="004410F8" w:rsidP="001958C9">
            <w:pPr>
              <w:tabs>
                <w:tab w:val="decimal" w:pos="113"/>
              </w:tabs>
              <w:spacing w:line="240" w:lineRule="exact"/>
              <w:rPr>
                <w:sz w:val="22"/>
                <w:rtl/>
              </w:rPr>
            </w:pPr>
          </w:p>
        </w:tc>
        <w:tc>
          <w:tcPr>
            <w:tcW w:w="142" w:type="dxa"/>
            <w:vAlign w:val="bottom"/>
          </w:tcPr>
          <w:p w14:paraId="0BFCD63B"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shd w:val="clear" w:color="auto" w:fill="auto"/>
            <w:vAlign w:val="bottom"/>
          </w:tcPr>
          <w:p w14:paraId="7DB348C2" w14:textId="77777777" w:rsidR="004410F8" w:rsidRPr="001958C9" w:rsidRDefault="004410F8" w:rsidP="001958C9">
            <w:pPr>
              <w:tabs>
                <w:tab w:val="decimal" w:pos="113"/>
              </w:tabs>
              <w:spacing w:line="240" w:lineRule="exact"/>
              <w:rPr>
                <w:sz w:val="22"/>
                <w:rtl/>
              </w:rPr>
            </w:pPr>
          </w:p>
        </w:tc>
      </w:tr>
      <w:tr w:rsidR="004410F8" w:rsidRPr="001958C9" w14:paraId="7CCB334E" w14:textId="77777777" w:rsidTr="001958C9">
        <w:trPr>
          <w:gridAfter w:val="1"/>
          <w:wAfter w:w="20" w:type="dxa"/>
        </w:trPr>
        <w:tc>
          <w:tcPr>
            <w:tcW w:w="3625" w:type="dxa"/>
            <w:vAlign w:val="bottom"/>
          </w:tcPr>
          <w:p w14:paraId="7AB6FD08" w14:textId="77777777" w:rsidR="004410F8" w:rsidRPr="001958C9" w:rsidRDefault="004410F8" w:rsidP="001958C9">
            <w:pPr>
              <w:pStyle w:val="a3"/>
              <w:tabs>
                <w:tab w:val="left" w:pos="227"/>
                <w:tab w:val="left" w:pos="397"/>
                <w:tab w:val="left" w:pos="567"/>
              </w:tabs>
              <w:ind w:left="227" w:hanging="170"/>
              <w:rPr>
                <w:sz w:val="22"/>
                <w:rtl/>
              </w:rPr>
            </w:pPr>
          </w:p>
        </w:tc>
        <w:tc>
          <w:tcPr>
            <w:tcW w:w="126" w:type="dxa"/>
            <w:vAlign w:val="bottom"/>
          </w:tcPr>
          <w:p w14:paraId="59160FBF" w14:textId="77777777" w:rsidR="004410F8" w:rsidRPr="001958C9" w:rsidRDefault="004410F8" w:rsidP="001958C9">
            <w:pPr>
              <w:spacing w:line="240" w:lineRule="exact"/>
              <w:rPr>
                <w:sz w:val="22"/>
                <w:rtl/>
              </w:rPr>
            </w:pPr>
          </w:p>
        </w:tc>
        <w:tc>
          <w:tcPr>
            <w:tcW w:w="1196" w:type="dxa"/>
            <w:tcBorders>
              <w:top w:val="double" w:sz="6" w:space="0" w:color="auto"/>
            </w:tcBorders>
            <w:shd w:val="clear" w:color="auto" w:fill="auto"/>
            <w:vAlign w:val="bottom"/>
          </w:tcPr>
          <w:p w14:paraId="3E66E555" w14:textId="77777777" w:rsidR="004410F8" w:rsidRPr="001958C9" w:rsidRDefault="004410F8" w:rsidP="001958C9">
            <w:pPr>
              <w:spacing w:line="240" w:lineRule="exact"/>
              <w:rPr>
                <w:sz w:val="22"/>
                <w:rtl/>
              </w:rPr>
            </w:pPr>
          </w:p>
        </w:tc>
        <w:tc>
          <w:tcPr>
            <w:tcW w:w="141" w:type="dxa"/>
            <w:vAlign w:val="bottom"/>
          </w:tcPr>
          <w:p w14:paraId="0C78CAA5" w14:textId="77777777" w:rsidR="004410F8" w:rsidRPr="001958C9" w:rsidRDefault="004410F8" w:rsidP="001958C9">
            <w:pPr>
              <w:spacing w:line="240" w:lineRule="exact"/>
              <w:rPr>
                <w:sz w:val="22"/>
                <w:rtl/>
              </w:rPr>
            </w:pPr>
          </w:p>
        </w:tc>
        <w:tc>
          <w:tcPr>
            <w:tcW w:w="1276" w:type="dxa"/>
            <w:tcBorders>
              <w:top w:val="double" w:sz="6" w:space="0" w:color="auto"/>
            </w:tcBorders>
            <w:shd w:val="clear" w:color="auto" w:fill="auto"/>
            <w:vAlign w:val="bottom"/>
          </w:tcPr>
          <w:p w14:paraId="1102CA7A" w14:textId="77777777" w:rsidR="004410F8" w:rsidRPr="001958C9" w:rsidRDefault="004410F8" w:rsidP="001958C9">
            <w:pPr>
              <w:tabs>
                <w:tab w:val="decimal" w:pos="113"/>
              </w:tabs>
              <w:spacing w:line="240" w:lineRule="exact"/>
              <w:rPr>
                <w:sz w:val="22"/>
                <w:rtl/>
              </w:rPr>
            </w:pPr>
          </w:p>
        </w:tc>
        <w:tc>
          <w:tcPr>
            <w:tcW w:w="142" w:type="dxa"/>
            <w:vAlign w:val="bottom"/>
          </w:tcPr>
          <w:p w14:paraId="331E5614"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tcBorders>
            <w:shd w:val="clear" w:color="auto" w:fill="auto"/>
            <w:vAlign w:val="bottom"/>
          </w:tcPr>
          <w:p w14:paraId="2DD91A1A" w14:textId="77777777" w:rsidR="004410F8" w:rsidRPr="001958C9" w:rsidRDefault="004410F8" w:rsidP="001958C9">
            <w:pPr>
              <w:tabs>
                <w:tab w:val="decimal" w:pos="113"/>
              </w:tabs>
              <w:spacing w:line="240" w:lineRule="exact"/>
              <w:rPr>
                <w:sz w:val="22"/>
                <w:rtl/>
              </w:rPr>
            </w:pPr>
          </w:p>
        </w:tc>
      </w:tr>
      <w:tr w:rsidR="004410F8" w:rsidRPr="001958C9" w14:paraId="61AC5807" w14:textId="77777777" w:rsidTr="001958C9">
        <w:trPr>
          <w:gridAfter w:val="1"/>
          <w:wAfter w:w="20" w:type="dxa"/>
        </w:trPr>
        <w:tc>
          <w:tcPr>
            <w:tcW w:w="3625" w:type="dxa"/>
            <w:vAlign w:val="bottom"/>
          </w:tcPr>
          <w:p w14:paraId="1A7C2BB4"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מסים</w:t>
            </w:r>
            <w:r w:rsidRPr="001958C9">
              <w:rPr>
                <w:sz w:val="22"/>
                <w:rtl/>
              </w:rPr>
              <w:t xml:space="preserve"> </w:t>
            </w:r>
            <w:r w:rsidRPr="001958C9">
              <w:rPr>
                <w:rFonts w:hint="eastAsia"/>
                <w:sz w:val="22"/>
                <w:rtl/>
              </w:rPr>
              <w:t>על</w:t>
            </w:r>
            <w:r w:rsidRPr="001958C9">
              <w:rPr>
                <w:sz w:val="22"/>
                <w:rtl/>
              </w:rPr>
              <w:t xml:space="preserve"> </w:t>
            </w:r>
            <w:r w:rsidRPr="001958C9">
              <w:rPr>
                <w:rFonts w:hint="eastAsia"/>
                <w:sz w:val="22"/>
                <w:rtl/>
              </w:rPr>
              <w:t>ההכנסה</w:t>
            </w:r>
            <w:r w:rsidRPr="001958C9">
              <w:rPr>
                <w:sz w:val="22"/>
                <w:rtl/>
              </w:rPr>
              <w:t xml:space="preserve"> (הטבת </w:t>
            </w:r>
            <w:r w:rsidRPr="001958C9">
              <w:rPr>
                <w:rFonts w:hint="eastAsia"/>
                <w:sz w:val="22"/>
                <w:rtl/>
              </w:rPr>
              <w:t>מס</w:t>
            </w:r>
            <w:r w:rsidRPr="001958C9">
              <w:rPr>
                <w:sz w:val="22"/>
                <w:rtl/>
              </w:rPr>
              <w:t>)</w:t>
            </w:r>
          </w:p>
        </w:tc>
        <w:tc>
          <w:tcPr>
            <w:tcW w:w="126" w:type="dxa"/>
            <w:vAlign w:val="bottom"/>
          </w:tcPr>
          <w:p w14:paraId="28A54F51"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68E08F5E" w14:textId="77777777" w:rsidR="004410F8" w:rsidRPr="001958C9" w:rsidRDefault="004410F8" w:rsidP="001958C9">
            <w:pPr>
              <w:spacing w:line="240" w:lineRule="exact"/>
              <w:rPr>
                <w:sz w:val="22"/>
                <w:rtl/>
              </w:rPr>
            </w:pPr>
          </w:p>
        </w:tc>
        <w:tc>
          <w:tcPr>
            <w:tcW w:w="141" w:type="dxa"/>
            <w:vAlign w:val="bottom"/>
          </w:tcPr>
          <w:p w14:paraId="09E90B27" w14:textId="77777777" w:rsidR="004410F8" w:rsidRPr="001958C9" w:rsidRDefault="004410F8" w:rsidP="001958C9">
            <w:pPr>
              <w:spacing w:line="240" w:lineRule="exact"/>
              <w:rPr>
                <w:sz w:val="22"/>
                <w:rtl/>
              </w:rPr>
            </w:pPr>
          </w:p>
        </w:tc>
        <w:tc>
          <w:tcPr>
            <w:tcW w:w="1276" w:type="dxa"/>
            <w:tcBorders>
              <w:bottom w:val="double" w:sz="6" w:space="0" w:color="auto"/>
            </w:tcBorders>
            <w:shd w:val="clear" w:color="auto" w:fill="auto"/>
            <w:vAlign w:val="bottom"/>
          </w:tcPr>
          <w:p w14:paraId="4C5D9043" w14:textId="77777777" w:rsidR="004410F8" w:rsidRPr="001958C9" w:rsidRDefault="004410F8" w:rsidP="001958C9">
            <w:pPr>
              <w:tabs>
                <w:tab w:val="decimal" w:pos="113"/>
              </w:tabs>
              <w:spacing w:line="240" w:lineRule="exact"/>
              <w:rPr>
                <w:sz w:val="22"/>
                <w:rtl/>
              </w:rPr>
            </w:pPr>
          </w:p>
        </w:tc>
        <w:tc>
          <w:tcPr>
            <w:tcW w:w="142" w:type="dxa"/>
            <w:vAlign w:val="bottom"/>
          </w:tcPr>
          <w:p w14:paraId="3C7443EA"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shd w:val="clear" w:color="auto" w:fill="auto"/>
            <w:vAlign w:val="bottom"/>
          </w:tcPr>
          <w:p w14:paraId="535E3F39" w14:textId="77777777" w:rsidR="004410F8" w:rsidRPr="001958C9" w:rsidRDefault="004410F8" w:rsidP="001958C9">
            <w:pPr>
              <w:tabs>
                <w:tab w:val="decimal" w:pos="113"/>
              </w:tabs>
              <w:spacing w:line="240" w:lineRule="exact"/>
              <w:rPr>
                <w:sz w:val="22"/>
                <w:rtl/>
              </w:rPr>
            </w:pPr>
          </w:p>
        </w:tc>
      </w:tr>
      <w:tr w:rsidR="004410F8" w:rsidRPr="001958C9" w14:paraId="7B435EFD" w14:textId="77777777" w:rsidTr="001958C9">
        <w:trPr>
          <w:gridAfter w:val="1"/>
          <w:wAfter w:w="20" w:type="dxa"/>
        </w:trPr>
        <w:tc>
          <w:tcPr>
            <w:tcW w:w="3625" w:type="dxa"/>
            <w:vAlign w:val="bottom"/>
          </w:tcPr>
          <w:p w14:paraId="2BB9FB15" w14:textId="77777777" w:rsidR="004410F8" w:rsidRPr="001958C9" w:rsidRDefault="004410F8" w:rsidP="001958C9">
            <w:pPr>
              <w:pStyle w:val="a3"/>
              <w:tabs>
                <w:tab w:val="left" w:pos="227"/>
                <w:tab w:val="left" w:pos="397"/>
                <w:tab w:val="left" w:pos="567"/>
              </w:tabs>
              <w:ind w:left="227" w:hanging="170"/>
              <w:rPr>
                <w:sz w:val="22"/>
                <w:rtl/>
              </w:rPr>
            </w:pPr>
          </w:p>
        </w:tc>
        <w:tc>
          <w:tcPr>
            <w:tcW w:w="126" w:type="dxa"/>
            <w:vAlign w:val="bottom"/>
          </w:tcPr>
          <w:p w14:paraId="18E215BF" w14:textId="77777777" w:rsidR="004410F8" w:rsidRPr="001958C9" w:rsidRDefault="004410F8" w:rsidP="001958C9">
            <w:pPr>
              <w:spacing w:line="240" w:lineRule="exact"/>
              <w:rPr>
                <w:sz w:val="22"/>
                <w:rtl/>
              </w:rPr>
            </w:pPr>
          </w:p>
        </w:tc>
        <w:tc>
          <w:tcPr>
            <w:tcW w:w="1196" w:type="dxa"/>
            <w:tcBorders>
              <w:top w:val="double" w:sz="6" w:space="0" w:color="auto"/>
            </w:tcBorders>
            <w:shd w:val="clear" w:color="auto" w:fill="auto"/>
            <w:vAlign w:val="bottom"/>
          </w:tcPr>
          <w:p w14:paraId="3468EDF2" w14:textId="77777777" w:rsidR="004410F8" w:rsidRPr="001958C9" w:rsidRDefault="004410F8" w:rsidP="001958C9">
            <w:pPr>
              <w:spacing w:line="240" w:lineRule="exact"/>
              <w:rPr>
                <w:sz w:val="22"/>
                <w:rtl/>
              </w:rPr>
            </w:pPr>
          </w:p>
        </w:tc>
        <w:tc>
          <w:tcPr>
            <w:tcW w:w="141" w:type="dxa"/>
            <w:vAlign w:val="bottom"/>
          </w:tcPr>
          <w:p w14:paraId="387D212D" w14:textId="77777777" w:rsidR="004410F8" w:rsidRPr="001958C9" w:rsidRDefault="004410F8" w:rsidP="001958C9">
            <w:pPr>
              <w:spacing w:line="240" w:lineRule="exact"/>
              <w:rPr>
                <w:sz w:val="22"/>
                <w:rtl/>
              </w:rPr>
            </w:pPr>
          </w:p>
        </w:tc>
        <w:tc>
          <w:tcPr>
            <w:tcW w:w="1276" w:type="dxa"/>
            <w:tcBorders>
              <w:top w:val="double" w:sz="6" w:space="0" w:color="auto"/>
            </w:tcBorders>
            <w:shd w:val="clear" w:color="auto" w:fill="auto"/>
            <w:vAlign w:val="bottom"/>
          </w:tcPr>
          <w:p w14:paraId="336E8108" w14:textId="77777777" w:rsidR="004410F8" w:rsidRPr="001958C9" w:rsidRDefault="004410F8" w:rsidP="001958C9">
            <w:pPr>
              <w:tabs>
                <w:tab w:val="decimal" w:pos="113"/>
              </w:tabs>
              <w:spacing w:line="240" w:lineRule="exact"/>
              <w:rPr>
                <w:sz w:val="22"/>
                <w:rtl/>
              </w:rPr>
            </w:pPr>
          </w:p>
        </w:tc>
        <w:tc>
          <w:tcPr>
            <w:tcW w:w="142" w:type="dxa"/>
            <w:vAlign w:val="bottom"/>
          </w:tcPr>
          <w:p w14:paraId="3158E6E6"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tcBorders>
            <w:shd w:val="clear" w:color="auto" w:fill="auto"/>
            <w:vAlign w:val="bottom"/>
          </w:tcPr>
          <w:p w14:paraId="3A9EDAF9" w14:textId="77777777" w:rsidR="004410F8" w:rsidRPr="001958C9" w:rsidRDefault="004410F8" w:rsidP="001958C9">
            <w:pPr>
              <w:tabs>
                <w:tab w:val="decimal" w:pos="113"/>
              </w:tabs>
              <w:spacing w:line="240" w:lineRule="exact"/>
              <w:rPr>
                <w:sz w:val="22"/>
                <w:rtl/>
              </w:rPr>
            </w:pPr>
          </w:p>
        </w:tc>
      </w:tr>
      <w:tr w:rsidR="004410F8" w:rsidRPr="001958C9" w14:paraId="68807B58" w14:textId="77777777" w:rsidTr="001958C9">
        <w:trPr>
          <w:gridAfter w:val="1"/>
          <w:wAfter w:w="20" w:type="dxa"/>
        </w:trPr>
        <w:tc>
          <w:tcPr>
            <w:tcW w:w="3625" w:type="dxa"/>
            <w:vAlign w:val="bottom"/>
          </w:tcPr>
          <w:p w14:paraId="62A01CA0"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סה</w:t>
            </w:r>
            <w:r w:rsidRPr="001958C9">
              <w:rPr>
                <w:sz w:val="22"/>
                <w:rtl/>
              </w:rPr>
              <w:t xml:space="preserve">"כ רווח (הפסד) </w:t>
            </w:r>
          </w:p>
        </w:tc>
        <w:tc>
          <w:tcPr>
            <w:tcW w:w="126" w:type="dxa"/>
            <w:vAlign w:val="bottom"/>
          </w:tcPr>
          <w:p w14:paraId="337704C3"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77FE701F" w14:textId="77777777" w:rsidR="004410F8" w:rsidRPr="001958C9" w:rsidRDefault="004410F8" w:rsidP="001958C9">
            <w:pPr>
              <w:spacing w:line="240" w:lineRule="exact"/>
              <w:rPr>
                <w:sz w:val="22"/>
                <w:rtl/>
              </w:rPr>
            </w:pPr>
          </w:p>
        </w:tc>
        <w:tc>
          <w:tcPr>
            <w:tcW w:w="141" w:type="dxa"/>
            <w:vAlign w:val="bottom"/>
          </w:tcPr>
          <w:p w14:paraId="772059CF" w14:textId="77777777" w:rsidR="004410F8" w:rsidRPr="001958C9" w:rsidRDefault="004410F8" w:rsidP="001958C9">
            <w:pPr>
              <w:spacing w:line="240" w:lineRule="exact"/>
              <w:rPr>
                <w:sz w:val="22"/>
                <w:rtl/>
              </w:rPr>
            </w:pPr>
          </w:p>
        </w:tc>
        <w:tc>
          <w:tcPr>
            <w:tcW w:w="1276" w:type="dxa"/>
            <w:tcBorders>
              <w:bottom w:val="double" w:sz="6" w:space="0" w:color="auto"/>
            </w:tcBorders>
            <w:shd w:val="clear" w:color="auto" w:fill="auto"/>
            <w:vAlign w:val="bottom"/>
          </w:tcPr>
          <w:p w14:paraId="2F22407A" w14:textId="77777777" w:rsidR="004410F8" w:rsidRPr="001958C9" w:rsidRDefault="004410F8" w:rsidP="001958C9">
            <w:pPr>
              <w:tabs>
                <w:tab w:val="decimal" w:pos="113"/>
              </w:tabs>
              <w:spacing w:line="240" w:lineRule="exact"/>
              <w:rPr>
                <w:sz w:val="22"/>
                <w:rtl/>
              </w:rPr>
            </w:pPr>
          </w:p>
        </w:tc>
        <w:tc>
          <w:tcPr>
            <w:tcW w:w="142" w:type="dxa"/>
            <w:vAlign w:val="bottom"/>
          </w:tcPr>
          <w:p w14:paraId="50105FE9"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shd w:val="clear" w:color="auto" w:fill="auto"/>
            <w:vAlign w:val="bottom"/>
          </w:tcPr>
          <w:p w14:paraId="1F3C5473" w14:textId="77777777" w:rsidR="004410F8" w:rsidRPr="001958C9" w:rsidRDefault="004410F8" w:rsidP="001958C9">
            <w:pPr>
              <w:tabs>
                <w:tab w:val="decimal" w:pos="113"/>
              </w:tabs>
              <w:spacing w:line="240" w:lineRule="exact"/>
              <w:rPr>
                <w:sz w:val="22"/>
                <w:rtl/>
              </w:rPr>
            </w:pPr>
          </w:p>
        </w:tc>
      </w:tr>
      <w:tr w:rsidR="004410F8" w:rsidRPr="001958C9" w14:paraId="3FDC0A78" w14:textId="77777777" w:rsidTr="001958C9">
        <w:trPr>
          <w:gridAfter w:val="1"/>
          <w:wAfter w:w="20" w:type="dxa"/>
        </w:trPr>
        <w:tc>
          <w:tcPr>
            <w:tcW w:w="3625" w:type="dxa"/>
            <w:vAlign w:val="bottom"/>
          </w:tcPr>
          <w:p w14:paraId="2408C852" w14:textId="77777777" w:rsidR="004410F8" w:rsidRPr="001958C9" w:rsidRDefault="004410F8" w:rsidP="001958C9">
            <w:pPr>
              <w:pStyle w:val="a3"/>
              <w:tabs>
                <w:tab w:val="left" w:pos="227"/>
                <w:tab w:val="left" w:pos="397"/>
                <w:tab w:val="left" w:pos="567"/>
              </w:tabs>
              <w:ind w:left="227" w:hanging="170"/>
              <w:rPr>
                <w:sz w:val="22"/>
                <w:rtl/>
              </w:rPr>
            </w:pPr>
            <w:r w:rsidRPr="001958C9">
              <w:rPr>
                <w:sz w:val="22"/>
                <w:rtl/>
              </w:rPr>
              <w:t xml:space="preserve">רווח נקי (הפסד) בסיסי </w:t>
            </w:r>
            <w:r w:rsidRPr="001958C9">
              <w:rPr>
                <w:rFonts w:hint="eastAsia"/>
                <w:sz w:val="22"/>
                <w:rtl/>
              </w:rPr>
              <w:t>למניה</w:t>
            </w:r>
            <w:r w:rsidRPr="001958C9">
              <w:rPr>
                <w:sz w:val="22"/>
                <w:rtl/>
              </w:rPr>
              <w:t xml:space="preserve"> (בש"ח)</w:t>
            </w:r>
          </w:p>
        </w:tc>
        <w:tc>
          <w:tcPr>
            <w:tcW w:w="126" w:type="dxa"/>
            <w:vAlign w:val="bottom"/>
          </w:tcPr>
          <w:p w14:paraId="7FF9B419" w14:textId="77777777" w:rsidR="004410F8" w:rsidRPr="001958C9" w:rsidRDefault="004410F8" w:rsidP="001958C9">
            <w:pPr>
              <w:spacing w:line="240" w:lineRule="exact"/>
              <w:rPr>
                <w:sz w:val="22"/>
                <w:rtl/>
              </w:rPr>
            </w:pPr>
          </w:p>
        </w:tc>
        <w:tc>
          <w:tcPr>
            <w:tcW w:w="1196" w:type="dxa"/>
            <w:tcBorders>
              <w:top w:val="double" w:sz="6" w:space="0" w:color="auto"/>
              <w:bottom w:val="double" w:sz="6" w:space="0" w:color="auto"/>
            </w:tcBorders>
            <w:shd w:val="clear" w:color="auto" w:fill="auto"/>
            <w:vAlign w:val="bottom"/>
          </w:tcPr>
          <w:p w14:paraId="297F19C5" w14:textId="77777777" w:rsidR="004410F8" w:rsidRPr="001958C9" w:rsidRDefault="004410F8" w:rsidP="001958C9">
            <w:pPr>
              <w:spacing w:line="240" w:lineRule="exact"/>
              <w:rPr>
                <w:sz w:val="22"/>
                <w:rtl/>
              </w:rPr>
            </w:pPr>
          </w:p>
        </w:tc>
        <w:tc>
          <w:tcPr>
            <w:tcW w:w="141" w:type="dxa"/>
            <w:vAlign w:val="bottom"/>
          </w:tcPr>
          <w:p w14:paraId="0C0C699F" w14:textId="77777777" w:rsidR="004410F8" w:rsidRPr="001958C9" w:rsidRDefault="004410F8" w:rsidP="001958C9">
            <w:pPr>
              <w:spacing w:line="240" w:lineRule="exact"/>
              <w:rPr>
                <w:sz w:val="22"/>
                <w:rtl/>
              </w:rPr>
            </w:pPr>
          </w:p>
        </w:tc>
        <w:tc>
          <w:tcPr>
            <w:tcW w:w="1276" w:type="dxa"/>
            <w:tcBorders>
              <w:top w:val="double" w:sz="6" w:space="0" w:color="auto"/>
              <w:bottom w:val="double" w:sz="6" w:space="0" w:color="auto"/>
            </w:tcBorders>
            <w:shd w:val="clear" w:color="auto" w:fill="auto"/>
            <w:vAlign w:val="bottom"/>
          </w:tcPr>
          <w:p w14:paraId="533C9E13" w14:textId="77777777" w:rsidR="004410F8" w:rsidRPr="001958C9" w:rsidRDefault="004410F8" w:rsidP="001958C9">
            <w:pPr>
              <w:tabs>
                <w:tab w:val="decimal" w:pos="113"/>
              </w:tabs>
              <w:spacing w:line="240" w:lineRule="exact"/>
              <w:rPr>
                <w:sz w:val="22"/>
                <w:rtl/>
              </w:rPr>
            </w:pPr>
          </w:p>
        </w:tc>
        <w:tc>
          <w:tcPr>
            <w:tcW w:w="142" w:type="dxa"/>
            <w:vAlign w:val="bottom"/>
          </w:tcPr>
          <w:p w14:paraId="57892A46"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bottom w:val="double" w:sz="6" w:space="0" w:color="auto"/>
            </w:tcBorders>
            <w:shd w:val="clear" w:color="auto" w:fill="auto"/>
            <w:vAlign w:val="bottom"/>
          </w:tcPr>
          <w:p w14:paraId="4427A46F" w14:textId="77777777" w:rsidR="004410F8" w:rsidRPr="001958C9" w:rsidRDefault="004410F8" w:rsidP="001958C9">
            <w:pPr>
              <w:tabs>
                <w:tab w:val="decimal" w:pos="113"/>
              </w:tabs>
              <w:spacing w:line="240" w:lineRule="exact"/>
              <w:rPr>
                <w:sz w:val="22"/>
                <w:rtl/>
              </w:rPr>
            </w:pPr>
          </w:p>
        </w:tc>
      </w:tr>
      <w:tr w:rsidR="004410F8" w:rsidRPr="001958C9" w14:paraId="0680691D" w14:textId="77777777" w:rsidTr="001958C9">
        <w:trPr>
          <w:gridAfter w:val="1"/>
          <w:wAfter w:w="20" w:type="dxa"/>
        </w:trPr>
        <w:tc>
          <w:tcPr>
            <w:tcW w:w="3625" w:type="dxa"/>
            <w:vAlign w:val="bottom"/>
          </w:tcPr>
          <w:p w14:paraId="778A76C1"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רווח</w:t>
            </w:r>
            <w:r w:rsidRPr="001958C9">
              <w:rPr>
                <w:sz w:val="22"/>
                <w:rtl/>
              </w:rPr>
              <w:t xml:space="preserve"> </w:t>
            </w:r>
            <w:r w:rsidRPr="001958C9">
              <w:rPr>
                <w:rFonts w:hint="eastAsia"/>
                <w:sz w:val="22"/>
                <w:rtl/>
              </w:rPr>
              <w:t>נקי</w:t>
            </w:r>
            <w:r w:rsidRPr="001958C9">
              <w:rPr>
                <w:sz w:val="22"/>
                <w:rtl/>
              </w:rPr>
              <w:t xml:space="preserve"> (הפסד) </w:t>
            </w:r>
            <w:r w:rsidRPr="001958C9">
              <w:rPr>
                <w:rFonts w:hint="eastAsia"/>
                <w:sz w:val="22"/>
                <w:rtl/>
              </w:rPr>
              <w:t>מדולל</w:t>
            </w:r>
            <w:r w:rsidRPr="001958C9">
              <w:rPr>
                <w:sz w:val="22"/>
                <w:rtl/>
              </w:rPr>
              <w:t xml:space="preserve"> </w:t>
            </w:r>
            <w:r w:rsidRPr="001958C9">
              <w:rPr>
                <w:rFonts w:hint="eastAsia"/>
                <w:sz w:val="22"/>
                <w:rtl/>
              </w:rPr>
              <w:t>למניה</w:t>
            </w:r>
            <w:r w:rsidRPr="001958C9">
              <w:rPr>
                <w:sz w:val="22"/>
                <w:rtl/>
              </w:rPr>
              <w:t xml:space="preserve"> (בש"ח)</w:t>
            </w:r>
          </w:p>
        </w:tc>
        <w:tc>
          <w:tcPr>
            <w:tcW w:w="126" w:type="dxa"/>
            <w:vAlign w:val="bottom"/>
          </w:tcPr>
          <w:p w14:paraId="15FAD02A" w14:textId="77777777" w:rsidR="004410F8" w:rsidRPr="001958C9" w:rsidRDefault="004410F8" w:rsidP="001958C9">
            <w:pPr>
              <w:spacing w:line="240" w:lineRule="exact"/>
              <w:rPr>
                <w:sz w:val="22"/>
                <w:rtl/>
              </w:rPr>
            </w:pPr>
          </w:p>
        </w:tc>
        <w:tc>
          <w:tcPr>
            <w:tcW w:w="1196" w:type="dxa"/>
            <w:tcBorders>
              <w:top w:val="double" w:sz="6" w:space="0" w:color="auto"/>
              <w:bottom w:val="double" w:sz="6" w:space="0" w:color="auto"/>
            </w:tcBorders>
            <w:shd w:val="clear" w:color="auto" w:fill="auto"/>
            <w:vAlign w:val="bottom"/>
          </w:tcPr>
          <w:p w14:paraId="52108D16" w14:textId="77777777" w:rsidR="004410F8" w:rsidRPr="001958C9" w:rsidRDefault="004410F8" w:rsidP="001958C9">
            <w:pPr>
              <w:spacing w:line="240" w:lineRule="exact"/>
              <w:rPr>
                <w:sz w:val="22"/>
                <w:rtl/>
              </w:rPr>
            </w:pPr>
          </w:p>
        </w:tc>
        <w:tc>
          <w:tcPr>
            <w:tcW w:w="141" w:type="dxa"/>
            <w:vAlign w:val="bottom"/>
          </w:tcPr>
          <w:p w14:paraId="600156D0" w14:textId="77777777" w:rsidR="004410F8" w:rsidRPr="001958C9" w:rsidRDefault="004410F8" w:rsidP="001958C9">
            <w:pPr>
              <w:spacing w:line="240" w:lineRule="exact"/>
              <w:rPr>
                <w:sz w:val="22"/>
                <w:rtl/>
              </w:rPr>
            </w:pPr>
          </w:p>
        </w:tc>
        <w:tc>
          <w:tcPr>
            <w:tcW w:w="1276" w:type="dxa"/>
            <w:tcBorders>
              <w:top w:val="double" w:sz="6" w:space="0" w:color="auto"/>
              <w:bottom w:val="double" w:sz="6" w:space="0" w:color="auto"/>
            </w:tcBorders>
            <w:shd w:val="clear" w:color="auto" w:fill="auto"/>
            <w:vAlign w:val="bottom"/>
          </w:tcPr>
          <w:p w14:paraId="2E6C50E4" w14:textId="77777777" w:rsidR="004410F8" w:rsidRPr="001958C9" w:rsidRDefault="004410F8" w:rsidP="001958C9">
            <w:pPr>
              <w:tabs>
                <w:tab w:val="decimal" w:pos="113"/>
              </w:tabs>
              <w:spacing w:line="240" w:lineRule="exact"/>
              <w:rPr>
                <w:sz w:val="22"/>
                <w:rtl/>
              </w:rPr>
            </w:pPr>
          </w:p>
        </w:tc>
        <w:tc>
          <w:tcPr>
            <w:tcW w:w="142" w:type="dxa"/>
            <w:vAlign w:val="bottom"/>
          </w:tcPr>
          <w:p w14:paraId="0C6800D1"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bottom w:val="double" w:sz="6" w:space="0" w:color="auto"/>
            </w:tcBorders>
            <w:shd w:val="clear" w:color="auto" w:fill="auto"/>
            <w:vAlign w:val="bottom"/>
          </w:tcPr>
          <w:p w14:paraId="0CF3F811" w14:textId="77777777" w:rsidR="004410F8" w:rsidRPr="001958C9" w:rsidRDefault="004410F8" w:rsidP="001958C9">
            <w:pPr>
              <w:tabs>
                <w:tab w:val="decimal" w:pos="113"/>
              </w:tabs>
              <w:spacing w:line="240" w:lineRule="exact"/>
              <w:rPr>
                <w:sz w:val="22"/>
                <w:rtl/>
              </w:rPr>
            </w:pPr>
          </w:p>
        </w:tc>
      </w:tr>
    </w:tbl>
    <w:p w14:paraId="074D3536" w14:textId="77777777" w:rsidR="00C22BA0" w:rsidRDefault="00F87AEB" w:rsidP="00F87AEB">
      <w:pPr>
        <w:pStyle w:val="30"/>
        <w:ind w:left="567"/>
        <w:rPr>
          <w:sz w:val="24"/>
          <w:rtl/>
        </w:rPr>
      </w:pPr>
      <w:r>
        <w:rPr>
          <w:sz w:val="4"/>
          <w:szCs w:val="8"/>
          <w:rtl/>
        </w:rPr>
        <w:br w:type="page"/>
      </w:r>
    </w:p>
    <w:p w14:paraId="14E10AB3" w14:textId="77777777" w:rsidR="001A1C9B" w:rsidRDefault="001A1C9B" w:rsidP="00C22BA0">
      <w:pPr>
        <w:pStyle w:val="11"/>
        <w:rPr>
          <w:sz w:val="24"/>
          <w:rtl/>
        </w:rPr>
      </w:pPr>
    </w:p>
    <w:p w14:paraId="0EE3529B" w14:textId="77777777" w:rsidR="00A56010" w:rsidRDefault="00A56010" w:rsidP="00C22BA0">
      <w:pPr>
        <w:pStyle w:val="11"/>
        <w:rPr>
          <w:sz w:val="24"/>
          <w:rtl/>
        </w:rPr>
      </w:pPr>
    </w:p>
    <w:p w14:paraId="0B241404" w14:textId="6B82CF56" w:rsidR="00C22BA0" w:rsidRPr="00B35A10" w:rsidRDefault="00C22BA0" w:rsidP="00D0555E">
      <w:pPr>
        <w:pStyle w:val="11"/>
        <w:rPr>
          <w:sz w:val="24"/>
          <w:rtl/>
        </w:rPr>
      </w:pPr>
      <w:r w:rsidRPr="00831F9D">
        <w:rPr>
          <w:sz w:val="24"/>
          <w:rtl/>
        </w:rPr>
        <w:t>באור 2: -</w:t>
      </w:r>
      <w:r w:rsidRPr="00831F9D">
        <w:rPr>
          <w:sz w:val="24"/>
          <w:rtl/>
        </w:rPr>
        <w:tab/>
      </w:r>
      <w:r w:rsidRPr="00831F9D">
        <w:rPr>
          <w:sz w:val="24"/>
          <w:u w:val="single"/>
          <w:rtl/>
        </w:rPr>
        <w:t>עיקרי המדיניות החשבונאית</w:t>
      </w:r>
      <w:r w:rsidRPr="00831F9D">
        <w:rPr>
          <w:sz w:val="24"/>
          <w:rtl/>
        </w:rPr>
        <w:t xml:space="preserve"> </w:t>
      </w:r>
      <w:r w:rsidR="00076ED5">
        <w:rPr>
          <w:rFonts w:hint="cs"/>
          <w:sz w:val="24"/>
          <w:rtl/>
        </w:rPr>
        <w:t>(המשך)</w:t>
      </w:r>
    </w:p>
    <w:p w14:paraId="0220A3D1" w14:textId="77777777" w:rsidR="005B3CD0" w:rsidRPr="001A1C9B" w:rsidRDefault="005B3CD0" w:rsidP="001A1C9B">
      <w:pPr>
        <w:rPr>
          <w:u w:val="single"/>
          <w:rtl/>
        </w:rPr>
      </w:pPr>
    </w:p>
    <w:p w14:paraId="39392B8B" w14:textId="77777777" w:rsidR="005B3CD0" w:rsidRPr="001A1C9B" w:rsidRDefault="005B3CD0" w:rsidP="001A1C9B">
      <w:pPr>
        <w:pStyle w:val="30"/>
        <w:rPr>
          <w:u w:val="single"/>
          <w:rtl/>
        </w:rPr>
      </w:pPr>
      <w:r w:rsidRPr="001A1C9B">
        <w:rPr>
          <w:rFonts w:hint="eastAsia"/>
          <w:u w:val="single"/>
          <w:rtl/>
        </w:rPr>
        <w:t>בדוח</w:t>
      </w:r>
      <w:r w:rsidRPr="001A1C9B">
        <w:rPr>
          <w:u w:val="single"/>
          <w:rtl/>
        </w:rPr>
        <w:t xml:space="preserve"> </w:t>
      </w:r>
      <w:r w:rsidRPr="001A1C9B">
        <w:rPr>
          <w:rFonts w:hint="eastAsia"/>
          <w:u w:val="single"/>
          <w:rtl/>
        </w:rPr>
        <w:t>על</w:t>
      </w:r>
      <w:r w:rsidRPr="001A1C9B">
        <w:rPr>
          <w:u w:val="single"/>
          <w:rtl/>
        </w:rPr>
        <w:t xml:space="preserve"> </w:t>
      </w:r>
      <w:r w:rsidRPr="001A1C9B">
        <w:rPr>
          <w:rFonts w:hint="eastAsia"/>
          <w:u w:val="single"/>
          <w:rtl/>
        </w:rPr>
        <w:t>השינויים</w:t>
      </w:r>
      <w:r w:rsidRPr="001A1C9B">
        <w:rPr>
          <w:u w:val="single"/>
          <w:rtl/>
        </w:rPr>
        <w:t xml:space="preserve"> </w:t>
      </w:r>
      <w:r w:rsidRPr="001A1C9B">
        <w:rPr>
          <w:rFonts w:hint="eastAsia"/>
          <w:u w:val="single"/>
          <w:rtl/>
        </w:rPr>
        <w:t>בהון</w:t>
      </w:r>
    </w:p>
    <w:tbl>
      <w:tblPr>
        <w:bidiVisual/>
        <w:tblW w:w="0" w:type="auto"/>
        <w:tblInd w:w="1702" w:type="dxa"/>
        <w:tblLayout w:type="fixed"/>
        <w:tblCellMar>
          <w:left w:w="0" w:type="dxa"/>
          <w:right w:w="0" w:type="dxa"/>
        </w:tblCellMar>
        <w:tblLook w:val="0000" w:firstRow="0" w:lastRow="0" w:firstColumn="0" w:lastColumn="0" w:noHBand="0" w:noVBand="0"/>
      </w:tblPr>
      <w:tblGrid>
        <w:gridCol w:w="3685"/>
        <w:gridCol w:w="113"/>
        <w:gridCol w:w="1134"/>
        <w:gridCol w:w="226"/>
        <w:gridCol w:w="1134"/>
        <w:gridCol w:w="227"/>
        <w:gridCol w:w="1278"/>
      </w:tblGrid>
      <w:tr w:rsidR="004410F8" w:rsidRPr="00F87AEB" w14:paraId="6F3E6322" w14:textId="77777777" w:rsidTr="001A1C9B">
        <w:tc>
          <w:tcPr>
            <w:tcW w:w="3685" w:type="dxa"/>
            <w:vAlign w:val="bottom"/>
          </w:tcPr>
          <w:p w14:paraId="61484A30" w14:textId="77777777" w:rsidR="004410F8" w:rsidRPr="00F87AEB" w:rsidRDefault="004410F8" w:rsidP="00F87AEB">
            <w:pPr>
              <w:pStyle w:val="a3"/>
              <w:tabs>
                <w:tab w:val="left" w:pos="227"/>
                <w:tab w:val="left" w:pos="397"/>
                <w:tab w:val="left" w:pos="567"/>
              </w:tabs>
              <w:ind w:left="227" w:hanging="170"/>
              <w:rPr>
                <w:sz w:val="22"/>
                <w:rtl/>
              </w:rPr>
            </w:pPr>
          </w:p>
        </w:tc>
        <w:tc>
          <w:tcPr>
            <w:tcW w:w="113" w:type="dxa"/>
            <w:vAlign w:val="bottom"/>
          </w:tcPr>
          <w:p w14:paraId="2D530A5A" w14:textId="77777777" w:rsidR="004410F8" w:rsidRPr="00F87AEB" w:rsidRDefault="004410F8" w:rsidP="00F87AEB">
            <w:pPr>
              <w:spacing w:line="240" w:lineRule="exact"/>
              <w:jc w:val="center"/>
              <w:rPr>
                <w:sz w:val="22"/>
                <w:rtl/>
              </w:rPr>
            </w:pPr>
          </w:p>
        </w:tc>
        <w:tc>
          <w:tcPr>
            <w:tcW w:w="1134" w:type="dxa"/>
            <w:tcBorders>
              <w:bottom w:val="single" w:sz="6" w:space="0" w:color="auto"/>
            </w:tcBorders>
            <w:shd w:val="clear" w:color="auto" w:fill="auto"/>
            <w:vAlign w:val="bottom"/>
          </w:tcPr>
          <w:p w14:paraId="65C0DC49" w14:textId="77777777" w:rsidR="004410F8" w:rsidRPr="00F87AEB" w:rsidRDefault="004410F8" w:rsidP="00F87AEB">
            <w:pPr>
              <w:spacing w:line="240" w:lineRule="exact"/>
              <w:jc w:val="center"/>
              <w:rPr>
                <w:sz w:val="22"/>
                <w:rtl/>
              </w:rPr>
            </w:pPr>
            <w:r w:rsidRPr="00F87AEB">
              <w:rPr>
                <w:sz w:val="22"/>
                <w:rtl/>
              </w:rPr>
              <w:t>כפי שדווח</w:t>
            </w:r>
          </w:p>
          <w:p w14:paraId="32CFC233" w14:textId="77777777" w:rsidR="004410F8" w:rsidRPr="00F87AEB" w:rsidRDefault="004410F8" w:rsidP="00F87AEB">
            <w:pPr>
              <w:spacing w:line="240" w:lineRule="exact"/>
              <w:jc w:val="center"/>
              <w:rPr>
                <w:sz w:val="22"/>
                <w:rtl/>
              </w:rPr>
            </w:pPr>
            <w:r w:rsidRPr="00F87AEB">
              <w:rPr>
                <w:sz w:val="22"/>
                <w:rtl/>
              </w:rPr>
              <w:t>בעבר</w:t>
            </w:r>
          </w:p>
        </w:tc>
        <w:tc>
          <w:tcPr>
            <w:tcW w:w="226" w:type="dxa"/>
            <w:vAlign w:val="bottom"/>
          </w:tcPr>
          <w:p w14:paraId="6759E4A8" w14:textId="77777777" w:rsidR="004410F8" w:rsidRPr="00F87AEB" w:rsidRDefault="004410F8" w:rsidP="00F87AEB">
            <w:pPr>
              <w:spacing w:line="240" w:lineRule="exact"/>
              <w:jc w:val="center"/>
              <w:rPr>
                <w:sz w:val="22"/>
                <w:rtl/>
              </w:rPr>
            </w:pPr>
          </w:p>
        </w:tc>
        <w:tc>
          <w:tcPr>
            <w:tcW w:w="1134" w:type="dxa"/>
            <w:tcBorders>
              <w:bottom w:val="single" w:sz="6" w:space="0" w:color="auto"/>
            </w:tcBorders>
            <w:vAlign w:val="bottom"/>
          </w:tcPr>
          <w:p w14:paraId="7EA601D4" w14:textId="77777777" w:rsidR="004410F8" w:rsidRPr="00F87AEB" w:rsidRDefault="000A1918" w:rsidP="00F87AEB">
            <w:pPr>
              <w:spacing w:line="240" w:lineRule="exact"/>
              <w:jc w:val="center"/>
              <w:rPr>
                <w:sz w:val="22"/>
                <w:rtl/>
              </w:rPr>
            </w:pPr>
            <w:r w:rsidRPr="00F87AEB">
              <w:rPr>
                <w:sz w:val="22"/>
                <w:rtl/>
              </w:rPr>
              <w:t>השינוי</w:t>
            </w:r>
            <w:r w:rsidRPr="00F87AEB">
              <w:rPr>
                <w:rFonts w:hint="cs"/>
                <w:sz w:val="22"/>
                <w:rtl/>
              </w:rPr>
              <w:t xml:space="preserve"> / התיקון</w:t>
            </w:r>
          </w:p>
        </w:tc>
        <w:tc>
          <w:tcPr>
            <w:tcW w:w="227" w:type="dxa"/>
            <w:vAlign w:val="bottom"/>
          </w:tcPr>
          <w:p w14:paraId="41A12B6F" w14:textId="77777777" w:rsidR="004410F8" w:rsidRPr="00F87AEB" w:rsidRDefault="004410F8" w:rsidP="00F87AEB">
            <w:pPr>
              <w:spacing w:line="240" w:lineRule="exact"/>
              <w:jc w:val="center"/>
              <w:rPr>
                <w:sz w:val="22"/>
                <w:rtl/>
              </w:rPr>
            </w:pPr>
          </w:p>
        </w:tc>
        <w:tc>
          <w:tcPr>
            <w:tcW w:w="1278" w:type="dxa"/>
            <w:tcBorders>
              <w:bottom w:val="single" w:sz="6" w:space="0" w:color="auto"/>
            </w:tcBorders>
            <w:vAlign w:val="bottom"/>
          </w:tcPr>
          <w:p w14:paraId="5F0C2042" w14:textId="77777777" w:rsidR="004410F8" w:rsidRPr="00F87AEB" w:rsidRDefault="004410F8" w:rsidP="00F87AEB">
            <w:pPr>
              <w:spacing w:line="240" w:lineRule="exact"/>
              <w:jc w:val="center"/>
              <w:rPr>
                <w:sz w:val="22"/>
                <w:rtl/>
              </w:rPr>
            </w:pPr>
            <w:r w:rsidRPr="00F87AEB">
              <w:rPr>
                <w:sz w:val="22"/>
                <w:rtl/>
              </w:rPr>
              <w:t>כמוצג בדוחות כספיים אלו</w:t>
            </w:r>
          </w:p>
        </w:tc>
      </w:tr>
      <w:tr w:rsidR="005B3CD0" w:rsidRPr="00F87AEB" w14:paraId="0980226B" w14:textId="77777777" w:rsidTr="001A1C9B">
        <w:tc>
          <w:tcPr>
            <w:tcW w:w="3685" w:type="dxa"/>
            <w:vAlign w:val="bottom"/>
          </w:tcPr>
          <w:p w14:paraId="476E036A" w14:textId="77777777" w:rsidR="005B3CD0" w:rsidRPr="00F87AEB" w:rsidRDefault="005B3CD0" w:rsidP="00F87AEB">
            <w:pPr>
              <w:pStyle w:val="a3"/>
              <w:tabs>
                <w:tab w:val="left" w:pos="227"/>
                <w:tab w:val="left" w:pos="397"/>
                <w:tab w:val="left" w:pos="567"/>
              </w:tabs>
              <w:ind w:left="227" w:hanging="170"/>
              <w:rPr>
                <w:sz w:val="22"/>
                <w:rtl/>
              </w:rPr>
            </w:pPr>
          </w:p>
        </w:tc>
        <w:tc>
          <w:tcPr>
            <w:tcW w:w="113" w:type="dxa"/>
            <w:vAlign w:val="bottom"/>
          </w:tcPr>
          <w:p w14:paraId="6285E148" w14:textId="77777777" w:rsidR="005B3CD0" w:rsidRPr="00F87AEB" w:rsidRDefault="005B3CD0" w:rsidP="00F87AEB">
            <w:pPr>
              <w:spacing w:line="240" w:lineRule="exact"/>
              <w:rPr>
                <w:sz w:val="22"/>
                <w:rtl/>
              </w:rPr>
            </w:pPr>
          </w:p>
        </w:tc>
        <w:tc>
          <w:tcPr>
            <w:tcW w:w="3999" w:type="dxa"/>
            <w:gridSpan w:val="5"/>
            <w:tcBorders>
              <w:bottom w:val="single" w:sz="6" w:space="0" w:color="auto"/>
            </w:tcBorders>
            <w:shd w:val="clear" w:color="auto" w:fill="auto"/>
            <w:vAlign w:val="bottom"/>
          </w:tcPr>
          <w:p w14:paraId="452076F3" w14:textId="77777777" w:rsidR="005B3CD0" w:rsidRPr="00F87AEB" w:rsidRDefault="005B3CD0" w:rsidP="00F87AEB">
            <w:pPr>
              <w:tabs>
                <w:tab w:val="decimal" w:pos="113"/>
              </w:tabs>
              <w:spacing w:line="240" w:lineRule="exact"/>
              <w:jc w:val="center"/>
              <w:rPr>
                <w:sz w:val="22"/>
                <w:rtl/>
              </w:rPr>
            </w:pPr>
            <w:r w:rsidRPr="00F87AEB">
              <w:rPr>
                <w:sz w:val="22"/>
                <w:rtl/>
              </w:rPr>
              <w:t>אלפי ש"ח</w:t>
            </w:r>
          </w:p>
        </w:tc>
      </w:tr>
      <w:tr w:rsidR="004410F8" w:rsidRPr="00F87AEB" w14:paraId="644B207B" w14:textId="77777777" w:rsidTr="001A1C9B">
        <w:tc>
          <w:tcPr>
            <w:tcW w:w="3685" w:type="dxa"/>
            <w:vAlign w:val="bottom"/>
          </w:tcPr>
          <w:p w14:paraId="13B52A0E" w14:textId="77777777" w:rsidR="004410F8" w:rsidRPr="00F87AEB" w:rsidRDefault="004410F8" w:rsidP="00F87AEB">
            <w:pPr>
              <w:pStyle w:val="a3"/>
              <w:tabs>
                <w:tab w:val="left" w:pos="227"/>
                <w:tab w:val="left" w:pos="397"/>
                <w:tab w:val="left" w:pos="567"/>
              </w:tabs>
              <w:ind w:left="227" w:hanging="170"/>
              <w:rPr>
                <w:sz w:val="22"/>
                <w:rtl/>
              </w:rPr>
            </w:pPr>
          </w:p>
        </w:tc>
        <w:tc>
          <w:tcPr>
            <w:tcW w:w="113" w:type="dxa"/>
            <w:vAlign w:val="bottom"/>
          </w:tcPr>
          <w:p w14:paraId="281B23FE" w14:textId="77777777" w:rsidR="004410F8" w:rsidRPr="00F87AEB" w:rsidRDefault="004410F8" w:rsidP="00F87AEB">
            <w:pPr>
              <w:spacing w:line="240" w:lineRule="exact"/>
              <w:rPr>
                <w:sz w:val="22"/>
                <w:rtl/>
              </w:rPr>
            </w:pPr>
          </w:p>
        </w:tc>
        <w:tc>
          <w:tcPr>
            <w:tcW w:w="1134" w:type="dxa"/>
            <w:vAlign w:val="bottom"/>
          </w:tcPr>
          <w:p w14:paraId="34409700" w14:textId="77777777" w:rsidR="004410F8" w:rsidRPr="00F87AEB" w:rsidRDefault="004410F8" w:rsidP="00F87AEB">
            <w:pPr>
              <w:spacing w:line="240" w:lineRule="exact"/>
              <w:rPr>
                <w:sz w:val="22"/>
                <w:rtl/>
              </w:rPr>
            </w:pPr>
          </w:p>
        </w:tc>
        <w:tc>
          <w:tcPr>
            <w:tcW w:w="226" w:type="dxa"/>
            <w:vAlign w:val="bottom"/>
          </w:tcPr>
          <w:p w14:paraId="2CED98AB" w14:textId="77777777" w:rsidR="004410F8" w:rsidRPr="00F87AEB" w:rsidRDefault="004410F8" w:rsidP="00F87AEB">
            <w:pPr>
              <w:spacing w:line="240" w:lineRule="exact"/>
              <w:rPr>
                <w:sz w:val="22"/>
                <w:rtl/>
              </w:rPr>
            </w:pPr>
          </w:p>
        </w:tc>
        <w:tc>
          <w:tcPr>
            <w:tcW w:w="1134" w:type="dxa"/>
            <w:vAlign w:val="bottom"/>
          </w:tcPr>
          <w:p w14:paraId="32069E68" w14:textId="77777777" w:rsidR="004410F8" w:rsidRPr="00F87AEB" w:rsidRDefault="004410F8" w:rsidP="00F87AEB">
            <w:pPr>
              <w:tabs>
                <w:tab w:val="decimal" w:pos="113"/>
              </w:tabs>
              <w:spacing w:line="240" w:lineRule="exact"/>
              <w:rPr>
                <w:sz w:val="22"/>
                <w:rtl/>
              </w:rPr>
            </w:pPr>
          </w:p>
        </w:tc>
        <w:tc>
          <w:tcPr>
            <w:tcW w:w="227" w:type="dxa"/>
            <w:vAlign w:val="bottom"/>
          </w:tcPr>
          <w:p w14:paraId="42F7BDCB" w14:textId="77777777" w:rsidR="004410F8" w:rsidRPr="00F87AEB" w:rsidRDefault="004410F8" w:rsidP="00F87AEB">
            <w:pPr>
              <w:tabs>
                <w:tab w:val="decimal" w:pos="113"/>
              </w:tabs>
              <w:spacing w:line="240" w:lineRule="exact"/>
              <w:rPr>
                <w:sz w:val="22"/>
                <w:rtl/>
              </w:rPr>
            </w:pPr>
          </w:p>
        </w:tc>
        <w:tc>
          <w:tcPr>
            <w:tcW w:w="1278" w:type="dxa"/>
            <w:vAlign w:val="bottom"/>
          </w:tcPr>
          <w:p w14:paraId="3538EF8F" w14:textId="77777777" w:rsidR="004410F8" w:rsidRPr="00F87AEB" w:rsidRDefault="004410F8" w:rsidP="00F87AEB">
            <w:pPr>
              <w:tabs>
                <w:tab w:val="decimal" w:pos="113"/>
              </w:tabs>
              <w:spacing w:line="240" w:lineRule="exact"/>
              <w:rPr>
                <w:sz w:val="22"/>
                <w:rtl/>
              </w:rPr>
            </w:pPr>
          </w:p>
        </w:tc>
      </w:tr>
      <w:tr w:rsidR="004410F8" w:rsidRPr="00F87AEB" w14:paraId="64FB964D" w14:textId="77777777" w:rsidTr="001A1C9B">
        <w:tc>
          <w:tcPr>
            <w:tcW w:w="3685" w:type="dxa"/>
            <w:vAlign w:val="bottom"/>
          </w:tcPr>
          <w:p w14:paraId="3129FF3A" w14:textId="7FCFDBA7" w:rsidR="004410F8" w:rsidRPr="00F87AEB" w:rsidRDefault="004410F8" w:rsidP="00A56010">
            <w:pPr>
              <w:pStyle w:val="a3"/>
              <w:tabs>
                <w:tab w:val="left" w:pos="227"/>
                <w:tab w:val="left" w:pos="397"/>
                <w:tab w:val="left" w:pos="567"/>
              </w:tabs>
              <w:rPr>
                <w:sz w:val="22"/>
                <w:u w:val="single"/>
                <w:rtl/>
              </w:rPr>
            </w:pPr>
            <w:r w:rsidRPr="00F87AEB">
              <w:rPr>
                <w:rFonts w:hint="eastAsia"/>
                <w:sz w:val="22"/>
                <w:u w:val="single"/>
                <w:rtl/>
              </w:rPr>
              <w:t>ליום</w:t>
            </w:r>
            <w:r w:rsidRPr="00F87AEB">
              <w:rPr>
                <w:sz w:val="22"/>
                <w:u w:val="single"/>
                <w:rtl/>
              </w:rPr>
              <w:t xml:space="preserve"> 1 בינואר, </w:t>
            </w:r>
            <w:r w:rsidR="004F7D3D">
              <w:rPr>
                <w:rFonts w:hint="cs"/>
                <w:sz w:val="22"/>
                <w:u w:val="single"/>
                <w:rtl/>
              </w:rPr>
              <w:t>201</w:t>
            </w:r>
            <w:r w:rsidR="00A56010">
              <w:rPr>
                <w:rFonts w:hint="cs"/>
                <w:sz w:val="22"/>
                <w:u w:val="single"/>
                <w:rtl/>
              </w:rPr>
              <w:t>8</w:t>
            </w:r>
          </w:p>
        </w:tc>
        <w:tc>
          <w:tcPr>
            <w:tcW w:w="113" w:type="dxa"/>
            <w:vAlign w:val="bottom"/>
          </w:tcPr>
          <w:p w14:paraId="3331272B" w14:textId="77777777" w:rsidR="004410F8" w:rsidRPr="00F87AEB" w:rsidRDefault="004410F8" w:rsidP="00F87AEB">
            <w:pPr>
              <w:spacing w:line="240" w:lineRule="exact"/>
              <w:rPr>
                <w:sz w:val="22"/>
                <w:rtl/>
              </w:rPr>
            </w:pPr>
          </w:p>
        </w:tc>
        <w:tc>
          <w:tcPr>
            <w:tcW w:w="1134" w:type="dxa"/>
            <w:vAlign w:val="bottom"/>
          </w:tcPr>
          <w:p w14:paraId="7FB860F4" w14:textId="77777777" w:rsidR="004410F8" w:rsidRPr="00F87AEB" w:rsidRDefault="004410F8" w:rsidP="00F87AEB">
            <w:pPr>
              <w:spacing w:line="240" w:lineRule="exact"/>
              <w:rPr>
                <w:sz w:val="22"/>
                <w:rtl/>
              </w:rPr>
            </w:pPr>
          </w:p>
        </w:tc>
        <w:tc>
          <w:tcPr>
            <w:tcW w:w="226" w:type="dxa"/>
            <w:vAlign w:val="bottom"/>
          </w:tcPr>
          <w:p w14:paraId="5F6C63A7" w14:textId="77777777" w:rsidR="004410F8" w:rsidRPr="00F87AEB" w:rsidRDefault="004410F8" w:rsidP="00F87AEB">
            <w:pPr>
              <w:spacing w:line="240" w:lineRule="exact"/>
              <w:rPr>
                <w:sz w:val="22"/>
                <w:rtl/>
              </w:rPr>
            </w:pPr>
          </w:p>
        </w:tc>
        <w:tc>
          <w:tcPr>
            <w:tcW w:w="1134" w:type="dxa"/>
            <w:vAlign w:val="bottom"/>
          </w:tcPr>
          <w:p w14:paraId="5C37F6FA" w14:textId="77777777" w:rsidR="004410F8" w:rsidRPr="00F87AEB" w:rsidRDefault="004410F8" w:rsidP="00F87AEB">
            <w:pPr>
              <w:tabs>
                <w:tab w:val="decimal" w:pos="113"/>
              </w:tabs>
              <w:spacing w:line="240" w:lineRule="exact"/>
              <w:rPr>
                <w:sz w:val="22"/>
                <w:rtl/>
              </w:rPr>
            </w:pPr>
          </w:p>
        </w:tc>
        <w:tc>
          <w:tcPr>
            <w:tcW w:w="227" w:type="dxa"/>
            <w:vAlign w:val="bottom"/>
          </w:tcPr>
          <w:p w14:paraId="6A0AB194" w14:textId="77777777" w:rsidR="004410F8" w:rsidRPr="00F87AEB" w:rsidRDefault="004410F8" w:rsidP="00F87AEB">
            <w:pPr>
              <w:tabs>
                <w:tab w:val="decimal" w:pos="113"/>
              </w:tabs>
              <w:spacing w:line="240" w:lineRule="exact"/>
              <w:rPr>
                <w:sz w:val="22"/>
                <w:rtl/>
              </w:rPr>
            </w:pPr>
          </w:p>
        </w:tc>
        <w:tc>
          <w:tcPr>
            <w:tcW w:w="1278" w:type="dxa"/>
            <w:vAlign w:val="bottom"/>
          </w:tcPr>
          <w:p w14:paraId="374B7606" w14:textId="77777777" w:rsidR="004410F8" w:rsidRPr="00F87AEB" w:rsidRDefault="004410F8" w:rsidP="00F87AEB">
            <w:pPr>
              <w:tabs>
                <w:tab w:val="decimal" w:pos="113"/>
              </w:tabs>
              <w:spacing w:line="240" w:lineRule="exact"/>
              <w:rPr>
                <w:sz w:val="22"/>
                <w:rtl/>
              </w:rPr>
            </w:pPr>
          </w:p>
        </w:tc>
      </w:tr>
      <w:tr w:rsidR="004410F8" w:rsidRPr="00F87AEB" w14:paraId="5781C9A2" w14:textId="77777777" w:rsidTr="001A1C9B">
        <w:tc>
          <w:tcPr>
            <w:tcW w:w="3685" w:type="dxa"/>
            <w:vAlign w:val="bottom"/>
          </w:tcPr>
          <w:p w14:paraId="60553026" w14:textId="77777777" w:rsidR="004410F8" w:rsidRPr="00F87AEB" w:rsidRDefault="004410F8" w:rsidP="00F87AEB">
            <w:pPr>
              <w:pStyle w:val="a3"/>
              <w:tabs>
                <w:tab w:val="left" w:pos="227"/>
                <w:tab w:val="left" w:pos="397"/>
                <w:tab w:val="left" w:pos="567"/>
              </w:tabs>
              <w:rPr>
                <w:sz w:val="22"/>
                <w:rtl/>
              </w:rPr>
            </w:pPr>
            <w:r w:rsidRPr="00F87AEB">
              <w:rPr>
                <w:rFonts w:hint="eastAsia"/>
                <w:sz w:val="22"/>
                <w:rtl/>
              </w:rPr>
              <w:t>יתרת</w:t>
            </w:r>
            <w:r w:rsidRPr="00F87AEB">
              <w:rPr>
                <w:sz w:val="22"/>
                <w:rtl/>
              </w:rPr>
              <w:t xml:space="preserve"> רווח (הפסד)</w:t>
            </w:r>
          </w:p>
        </w:tc>
        <w:tc>
          <w:tcPr>
            <w:tcW w:w="113" w:type="dxa"/>
            <w:vAlign w:val="bottom"/>
          </w:tcPr>
          <w:p w14:paraId="3F250A54" w14:textId="77777777" w:rsidR="004410F8" w:rsidRPr="00F87AEB" w:rsidRDefault="004410F8" w:rsidP="00F87AEB">
            <w:pPr>
              <w:spacing w:line="240" w:lineRule="exact"/>
              <w:rPr>
                <w:sz w:val="22"/>
                <w:rtl/>
              </w:rPr>
            </w:pPr>
          </w:p>
        </w:tc>
        <w:tc>
          <w:tcPr>
            <w:tcW w:w="1134" w:type="dxa"/>
            <w:tcBorders>
              <w:bottom w:val="double" w:sz="6" w:space="0" w:color="auto"/>
            </w:tcBorders>
            <w:shd w:val="clear" w:color="auto" w:fill="auto"/>
            <w:vAlign w:val="bottom"/>
          </w:tcPr>
          <w:p w14:paraId="0B0A2145" w14:textId="77777777" w:rsidR="004410F8" w:rsidRPr="00F87AEB" w:rsidRDefault="004410F8" w:rsidP="00F87AEB">
            <w:pPr>
              <w:spacing w:line="240" w:lineRule="exact"/>
              <w:rPr>
                <w:sz w:val="22"/>
                <w:rtl/>
              </w:rPr>
            </w:pPr>
          </w:p>
        </w:tc>
        <w:tc>
          <w:tcPr>
            <w:tcW w:w="226" w:type="dxa"/>
            <w:vAlign w:val="bottom"/>
          </w:tcPr>
          <w:p w14:paraId="1EAB04FF" w14:textId="77777777" w:rsidR="004410F8" w:rsidRPr="00F87AEB" w:rsidRDefault="004410F8" w:rsidP="00F87AEB">
            <w:pPr>
              <w:spacing w:line="240" w:lineRule="exact"/>
              <w:rPr>
                <w:sz w:val="22"/>
                <w:rtl/>
              </w:rPr>
            </w:pPr>
          </w:p>
        </w:tc>
        <w:tc>
          <w:tcPr>
            <w:tcW w:w="1134" w:type="dxa"/>
            <w:tcBorders>
              <w:bottom w:val="double" w:sz="6" w:space="0" w:color="auto"/>
            </w:tcBorders>
            <w:shd w:val="clear" w:color="auto" w:fill="auto"/>
            <w:vAlign w:val="bottom"/>
          </w:tcPr>
          <w:p w14:paraId="21EB7591" w14:textId="77777777" w:rsidR="004410F8" w:rsidRPr="00F87AEB" w:rsidRDefault="004410F8" w:rsidP="00F87AEB">
            <w:pPr>
              <w:tabs>
                <w:tab w:val="decimal" w:pos="113"/>
              </w:tabs>
              <w:spacing w:line="240" w:lineRule="exact"/>
              <w:rPr>
                <w:sz w:val="22"/>
                <w:rtl/>
              </w:rPr>
            </w:pPr>
          </w:p>
        </w:tc>
        <w:tc>
          <w:tcPr>
            <w:tcW w:w="227" w:type="dxa"/>
            <w:vAlign w:val="bottom"/>
          </w:tcPr>
          <w:p w14:paraId="610A07BA" w14:textId="77777777" w:rsidR="004410F8" w:rsidRPr="00F87AEB" w:rsidRDefault="004410F8" w:rsidP="00F87AEB">
            <w:pPr>
              <w:tabs>
                <w:tab w:val="decimal" w:pos="113"/>
              </w:tabs>
              <w:spacing w:line="240" w:lineRule="exact"/>
              <w:rPr>
                <w:sz w:val="22"/>
                <w:rtl/>
              </w:rPr>
            </w:pPr>
          </w:p>
        </w:tc>
        <w:tc>
          <w:tcPr>
            <w:tcW w:w="1278" w:type="dxa"/>
            <w:tcBorders>
              <w:bottom w:val="double" w:sz="6" w:space="0" w:color="auto"/>
            </w:tcBorders>
            <w:shd w:val="clear" w:color="auto" w:fill="auto"/>
            <w:vAlign w:val="bottom"/>
          </w:tcPr>
          <w:p w14:paraId="58D7526B" w14:textId="77777777" w:rsidR="004410F8" w:rsidRPr="00F87AEB" w:rsidRDefault="004410F8" w:rsidP="00F87AEB">
            <w:pPr>
              <w:tabs>
                <w:tab w:val="decimal" w:pos="113"/>
              </w:tabs>
              <w:spacing w:line="240" w:lineRule="exact"/>
              <w:rPr>
                <w:sz w:val="22"/>
                <w:rtl/>
              </w:rPr>
            </w:pPr>
          </w:p>
        </w:tc>
      </w:tr>
      <w:tr w:rsidR="004410F8" w:rsidRPr="00F87AEB" w14:paraId="3EEC1F96" w14:textId="77777777" w:rsidTr="001A1C9B">
        <w:tc>
          <w:tcPr>
            <w:tcW w:w="3685" w:type="dxa"/>
            <w:vAlign w:val="bottom"/>
          </w:tcPr>
          <w:p w14:paraId="292121DF" w14:textId="77777777" w:rsidR="004410F8" w:rsidRPr="00F87AEB" w:rsidRDefault="004410F8" w:rsidP="00F87AEB">
            <w:pPr>
              <w:pStyle w:val="a3"/>
              <w:tabs>
                <w:tab w:val="left" w:pos="227"/>
                <w:tab w:val="left" w:pos="397"/>
                <w:tab w:val="left" w:pos="567"/>
              </w:tabs>
              <w:rPr>
                <w:sz w:val="22"/>
                <w:u w:val="single"/>
                <w:rtl/>
              </w:rPr>
            </w:pPr>
          </w:p>
        </w:tc>
        <w:tc>
          <w:tcPr>
            <w:tcW w:w="113" w:type="dxa"/>
            <w:vAlign w:val="bottom"/>
          </w:tcPr>
          <w:p w14:paraId="771D2F91" w14:textId="77777777" w:rsidR="004410F8" w:rsidRPr="00F87AEB" w:rsidRDefault="004410F8" w:rsidP="00F87AEB">
            <w:pPr>
              <w:spacing w:line="240" w:lineRule="exact"/>
              <w:rPr>
                <w:sz w:val="22"/>
                <w:rtl/>
              </w:rPr>
            </w:pPr>
          </w:p>
        </w:tc>
        <w:tc>
          <w:tcPr>
            <w:tcW w:w="1134" w:type="dxa"/>
            <w:vAlign w:val="bottom"/>
          </w:tcPr>
          <w:p w14:paraId="35B6B96C" w14:textId="77777777" w:rsidR="004410F8" w:rsidRPr="00F87AEB" w:rsidRDefault="004410F8" w:rsidP="00F87AEB">
            <w:pPr>
              <w:spacing w:line="240" w:lineRule="exact"/>
              <w:rPr>
                <w:sz w:val="22"/>
                <w:rtl/>
              </w:rPr>
            </w:pPr>
          </w:p>
        </w:tc>
        <w:tc>
          <w:tcPr>
            <w:tcW w:w="226" w:type="dxa"/>
            <w:vAlign w:val="bottom"/>
          </w:tcPr>
          <w:p w14:paraId="3DF445DE" w14:textId="77777777" w:rsidR="004410F8" w:rsidRPr="00F87AEB" w:rsidRDefault="004410F8" w:rsidP="00F87AEB">
            <w:pPr>
              <w:spacing w:line="240" w:lineRule="exact"/>
              <w:rPr>
                <w:sz w:val="22"/>
                <w:rtl/>
              </w:rPr>
            </w:pPr>
          </w:p>
        </w:tc>
        <w:tc>
          <w:tcPr>
            <w:tcW w:w="1134" w:type="dxa"/>
            <w:vAlign w:val="bottom"/>
          </w:tcPr>
          <w:p w14:paraId="5F29231F" w14:textId="77777777" w:rsidR="004410F8" w:rsidRPr="00F87AEB" w:rsidRDefault="004410F8" w:rsidP="00F87AEB">
            <w:pPr>
              <w:tabs>
                <w:tab w:val="decimal" w:pos="113"/>
              </w:tabs>
              <w:spacing w:line="240" w:lineRule="exact"/>
              <w:rPr>
                <w:sz w:val="22"/>
                <w:rtl/>
              </w:rPr>
            </w:pPr>
          </w:p>
        </w:tc>
        <w:tc>
          <w:tcPr>
            <w:tcW w:w="227" w:type="dxa"/>
            <w:vAlign w:val="bottom"/>
          </w:tcPr>
          <w:p w14:paraId="4835556C" w14:textId="77777777" w:rsidR="004410F8" w:rsidRPr="00F87AEB" w:rsidRDefault="004410F8" w:rsidP="00F87AEB">
            <w:pPr>
              <w:tabs>
                <w:tab w:val="decimal" w:pos="113"/>
              </w:tabs>
              <w:spacing w:line="240" w:lineRule="exact"/>
              <w:rPr>
                <w:sz w:val="22"/>
                <w:rtl/>
              </w:rPr>
            </w:pPr>
          </w:p>
        </w:tc>
        <w:tc>
          <w:tcPr>
            <w:tcW w:w="1278" w:type="dxa"/>
            <w:vAlign w:val="bottom"/>
          </w:tcPr>
          <w:p w14:paraId="411ADF0F" w14:textId="77777777" w:rsidR="004410F8" w:rsidRPr="00F87AEB" w:rsidRDefault="004410F8" w:rsidP="00F87AEB">
            <w:pPr>
              <w:tabs>
                <w:tab w:val="decimal" w:pos="113"/>
              </w:tabs>
              <w:spacing w:line="240" w:lineRule="exact"/>
              <w:rPr>
                <w:sz w:val="22"/>
                <w:rtl/>
              </w:rPr>
            </w:pPr>
          </w:p>
        </w:tc>
      </w:tr>
      <w:tr w:rsidR="004410F8" w:rsidRPr="00F87AEB" w14:paraId="341B5E04" w14:textId="77777777" w:rsidTr="008D610F">
        <w:tc>
          <w:tcPr>
            <w:tcW w:w="3685" w:type="dxa"/>
            <w:vAlign w:val="bottom"/>
          </w:tcPr>
          <w:p w14:paraId="03848EDE" w14:textId="4EDBB3BE" w:rsidR="004410F8" w:rsidRPr="00F87AEB" w:rsidRDefault="004410F8" w:rsidP="00A56010">
            <w:pPr>
              <w:pStyle w:val="a3"/>
              <w:tabs>
                <w:tab w:val="left" w:pos="227"/>
                <w:tab w:val="left" w:pos="397"/>
                <w:tab w:val="left" w:pos="567"/>
              </w:tabs>
              <w:rPr>
                <w:sz w:val="22"/>
                <w:u w:val="single"/>
                <w:rtl/>
              </w:rPr>
            </w:pPr>
            <w:r w:rsidRPr="00F87AEB">
              <w:rPr>
                <w:rFonts w:hint="eastAsia"/>
                <w:sz w:val="22"/>
                <w:u w:val="single"/>
                <w:rtl/>
              </w:rPr>
              <w:t>ליום</w:t>
            </w:r>
            <w:r w:rsidRPr="00F87AEB">
              <w:rPr>
                <w:sz w:val="22"/>
                <w:u w:val="single"/>
                <w:rtl/>
              </w:rPr>
              <w:t xml:space="preserve"> 1 בי</w:t>
            </w:r>
            <w:r w:rsidRPr="00F87AEB">
              <w:rPr>
                <w:rFonts w:hint="cs"/>
                <w:sz w:val="22"/>
                <w:u w:val="single"/>
                <w:rtl/>
              </w:rPr>
              <w:t>ולי</w:t>
            </w:r>
            <w:r w:rsidRPr="00F87AEB">
              <w:rPr>
                <w:sz w:val="22"/>
                <w:u w:val="single"/>
                <w:rtl/>
              </w:rPr>
              <w:t xml:space="preserve">, </w:t>
            </w:r>
            <w:r w:rsidR="004F7D3D">
              <w:rPr>
                <w:rFonts w:hint="cs"/>
                <w:sz w:val="22"/>
                <w:u w:val="single"/>
                <w:rtl/>
              </w:rPr>
              <w:t>201</w:t>
            </w:r>
            <w:r w:rsidR="00A56010">
              <w:rPr>
                <w:rFonts w:hint="cs"/>
                <w:sz w:val="22"/>
                <w:u w:val="single"/>
                <w:rtl/>
              </w:rPr>
              <w:t>8</w:t>
            </w:r>
          </w:p>
        </w:tc>
        <w:tc>
          <w:tcPr>
            <w:tcW w:w="113" w:type="dxa"/>
            <w:vAlign w:val="bottom"/>
          </w:tcPr>
          <w:p w14:paraId="0F69982B" w14:textId="77777777" w:rsidR="004410F8" w:rsidRPr="00F87AEB" w:rsidRDefault="004410F8" w:rsidP="00F87AEB">
            <w:pPr>
              <w:spacing w:line="240" w:lineRule="exact"/>
              <w:rPr>
                <w:sz w:val="22"/>
                <w:rtl/>
              </w:rPr>
            </w:pPr>
          </w:p>
        </w:tc>
        <w:tc>
          <w:tcPr>
            <w:tcW w:w="1134" w:type="dxa"/>
            <w:vAlign w:val="bottom"/>
          </w:tcPr>
          <w:p w14:paraId="60FF61F7" w14:textId="77777777" w:rsidR="004410F8" w:rsidRPr="00F87AEB" w:rsidRDefault="004410F8" w:rsidP="00F87AEB">
            <w:pPr>
              <w:spacing w:line="240" w:lineRule="exact"/>
              <w:rPr>
                <w:sz w:val="22"/>
                <w:rtl/>
              </w:rPr>
            </w:pPr>
          </w:p>
        </w:tc>
        <w:tc>
          <w:tcPr>
            <w:tcW w:w="226" w:type="dxa"/>
            <w:vAlign w:val="bottom"/>
          </w:tcPr>
          <w:p w14:paraId="405E3159" w14:textId="77777777" w:rsidR="004410F8" w:rsidRPr="00F87AEB" w:rsidRDefault="004410F8" w:rsidP="00F87AEB">
            <w:pPr>
              <w:spacing w:line="240" w:lineRule="exact"/>
              <w:rPr>
                <w:sz w:val="22"/>
                <w:rtl/>
              </w:rPr>
            </w:pPr>
          </w:p>
        </w:tc>
        <w:tc>
          <w:tcPr>
            <w:tcW w:w="1134" w:type="dxa"/>
            <w:vAlign w:val="bottom"/>
          </w:tcPr>
          <w:p w14:paraId="7897FD65" w14:textId="77777777" w:rsidR="004410F8" w:rsidRPr="00F87AEB" w:rsidRDefault="004410F8" w:rsidP="00F87AEB">
            <w:pPr>
              <w:tabs>
                <w:tab w:val="decimal" w:pos="113"/>
              </w:tabs>
              <w:spacing w:line="240" w:lineRule="exact"/>
              <w:rPr>
                <w:sz w:val="22"/>
                <w:rtl/>
              </w:rPr>
            </w:pPr>
          </w:p>
        </w:tc>
        <w:tc>
          <w:tcPr>
            <w:tcW w:w="227" w:type="dxa"/>
            <w:vAlign w:val="bottom"/>
          </w:tcPr>
          <w:p w14:paraId="79E0F244" w14:textId="77777777" w:rsidR="004410F8" w:rsidRPr="00F87AEB" w:rsidRDefault="004410F8" w:rsidP="00F87AEB">
            <w:pPr>
              <w:tabs>
                <w:tab w:val="decimal" w:pos="113"/>
              </w:tabs>
              <w:spacing w:line="240" w:lineRule="exact"/>
              <w:rPr>
                <w:sz w:val="22"/>
                <w:rtl/>
              </w:rPr>
            </w:pPr>
          </w:p>
        </w:tc>
        <w:tc>
          <w:tcPr>
            <w:tcW w:w="1278" w:type="dxa"/>
            <w:vAlign w:val="bottom"/>
          </w:tcPr>
          <w:p w14:paraId="45BB0E2B" w14:textId="77777777" w:rsidR="004410F8" w:rsidRPr="00F87AEB" w:rsidRDefault="004410F8" w:rsidP="00F87AEB">
            <w:pPr>
              <w:tabs>
                <w:tab w:val="decimal" w:pos="113"/>
              </w:tabs>
              <w:spacing w:line="240" w:lineRule="exact"/>
              <w:rPr>
                <w:sz w:val="22"/>
                <w:rtl/>
              </w:rPr>
            </w:pPr>
          </w:p>
        </w:tc>
      </w:tr>
      <w:tr w:rsidR="004410F8" w:rsidRPr="00F87AEB" w14:paraId="5A6F6C97" w14:textId="77777777" w:rsidTr="001A1C9B">
        <w:tc>
          <w:tcPr>
            <w:tcW w:w="3685" w:type="dxa"/>
            <w:vAlign w:val="bottom"/>
          </w:tcPr>
          <w:p w14:paraId="7E6E3D6C" w14:textId="77777777" w:rsidR="004410F8" w:rsidRPr="00F87AEB" w:rsidRDefault="004410F8" w:rsidP="00F87AEB">
            <w:pPr>
              <w:pStyle w:val="a3"/>
              <w:tabs>
                <w:tab w:val="left" w:pos="227"/>
                <w:tab w:val="left" w:pos="397"/>
                <w:tab w:val="left" w:pos="567"/>
              </w:tabs>
              <w:rPr>
                <w:sz w:val="22"/>
                <w:rtl/>
              </w:rPr>
            </w:pPr>
            <w:r w:rsidRPr="00F87AEB">
              <w:rPr>
                <w:rFonts w:hint="eastAsia"/>
                <w:sz w:val="22"/>
                <w:rtl/>
              </w:rPr>
              <w:t>יתרת</w:t>
            </w:r>
            <w:r w:rsidRPr="00F87AEB">
              <w:rPr>
                <w:sz w:val="22"/>
                <w:rtl/>
              </w:rPr>
              <w:t xml:space="preserve"> רווח (הפסד)</w:t>
            </w:r>
          </w:p>
        </w:tc>
        <w:tc>
          <w:tcPr>
            <w:tcW w:w="113" w:type="dxa"/>
            <w:vAlign w:val="bottom"/>
          </w:tcPr>
          <w:p w14:paraId="663747F3" w14:textId="77777777" w:rsidR="004410F8" w:rsidRPr="00F87AEB" w:rsidRDefault="004410F8" w:rsidP="00F87AEB">
            <w:pPr>
              <w:spacing w:line="240" w:lineRule="exact"/>
              <w:rPr>
                <w:sz w:val="22"/>
                <w:rtl/>
              </w:rPr>
            </w:pPr>
          </w:p>
        </w:tc>
        <w:tc>
          <w:tcPr>
            <w:tcW w:w="1134" w:type="dxa"/>
            <w:tcBorders>
              <w:bottom w:val="double" w:sz="6" w:space="0" w:color="auto"/>
            </w:tcBorders>
            <w:shd w:val="clear" w:color="auto" w:fill="auto"/>
            <w:vAlign w:val="bottom"/>
          </w:tcPr>
          <w:p w14:paraId="71D02EE2" w14:textId="77777777" w:rsidR="004410F8" w:rsidRPr="00F87AEB" w:rsidRDefault="004410F8" w:rsidP="00F87AEB">
            <w:pPr>
              <w:spacing w:line="240" w:lineRule="exact"/>
              <w:rPr>
                <w:sz w:val="22"/>
                <w:rtl/>
              </w:rPr>
            </w:pPr>
          </w:p>
        </w:tc>
        <w:tc>
          <w:tcPr>
            <w:tcW w:w="226" w:type="dxa"/>
            <w:vAlign w:val="bottom"/>
          </w:tcPr>
          <w:p w14:paraId="5AA38CBC" w14:textId="77777777" w:rsidR="004410F8" w:rsidRPr="00F87AEB" w:rsidRDefault="004410F8" w:rsidP="00F87AEB">
            <w:pPr>
              <w:spacing w:line="240" w:lineRule="exact"/>
              <w:rPr>
                <w:sz w:val="22"/>
                <w:rtl/>
              </w:rPr>
            </w:pPr>
          </w:p>
        </w:tc>
        <w:tc>
          <w:tcPr>
            <w:tcW w:w="1134" w:type="dxa"/>
            <w:tcBorders>
              <w:bottom w:val="double" w:sz="6" w:space="0" w:color="auto"/>
            </w:tcBorders>
            <w:shd w:val="clear" w:color="auto" w:fill="auto"/>
            <w:vAlign w:val="bottom"/>
          </w:tcPr>
          <w:p w14:paraId="4F5AF338" w14:textId="77777777" w:rsidR="004410F8" w:rsidRPr="00F87AEB" w:rsidRDefault="004410F8" w:rsidP="00F87AEB">
            <w:pPr>
              <w:tabs>
                <w:tab w:val="decimal" w:pos="113"/>
              </w:tabs>
              <w:spacing w:line="240" w:lineRule="exact"/>
              <w:rPr>
                <w:sz w:val="22"/>
                <w:rtl/>
              </w:rPr>
            </w:pPr>
          </w:p>
        </w:tc>
        <w:tc>
          <w:tcPr>
            <w:tcW w:w="227" w:type="dxa"/>
            <w:vAlign w:val="bottom"/>
          </w:tcPr>
          <w:p w14:paraId="6F318CE6" w14:textId="77777777" w:rsidR="004410F8" w:rsidRPr="00F87AEB" w:rsidRDefault="004410F8" w:rsidP="00F87AEB">
            <w:pPr>
              <w:tabs>
                <w:tab w:val="decimal" w:pos="113"/>
              </w:tabs>
              <w:spacing w:line="240" w:lineRule="exact"/>
              <w:rPr>
                <w:sz w:val="22"/>
                <w:rtl/>
              </w:rPr>
            </w:pPr>
          </w:p>
        </w:tc>
        <w:tc>
          <w:tcPr>
            <w:tcW w:w="1278" w:type="dxa"/>
            <w:tcBorders>
              <w:bottom w:val="double" w:sz="6" w:space="0" w:color="auto"/>
            </w:tcBorders>
            <w:shd w:val="clear" w:color="auto" w:fill="auto"/>
            <w:vAlign w:val="bottom"/>
          </w:tcPr>
          <w:p w14:paraId="5AF7406D" w14:textId="77777777" w:rsidR="004410F8" w:rsidRPr="00F87AEB" w:rsidRDefault="004410F8" w:rsidP="00F87AEB">
            <w:pPr>
              <w:tabs>
                <w:tab w:val="decimal" w:pos="113"/>
              </w:tabs>
              <w:spacing w:line="240" w:lineRule="exact"/>
              <w:rPr>
                <w:sz w:val="22"/>
                <w:rtl/>
              </w:rPr>
            </w:pPr>
          </w:p>
        </w:tc>
      </w:tr>
    </w:tbl>
    <w:p w14:paraId="7FA5B245" w14:textId="77777777" w:rsidR="00EB2BF4" w:rsidRPr="001A1C9B" w:rsidRDefault="00EB2BF4" w:rsidP="001A1C9B">
      <w:pPr>
        <w:spacing w:line="240" w:lineRule="auto"/>
        <w:rPr>
          <w:sz w:val="10"/>
          <w:szCs w:val="14"/>
        </w:rPr>
      </w:pPr>
    </w:p>
    <w:p w14:paraId="09610F3D" w14:textId="487E8860" w:rsidR="00C543AC" w:rsidRPr="001A1C9B" w:rsidRDefault="00C543AC" w:rsidP="00A56010">
      <w:pPr>
        <w:pStyle w:val="30"/>
        <w:ind w:left="1701" w:firstLine="0"/>
        <w:rPr>
          <w:u w:val="single"/>
        </w:rPr>
      </w:pPr>
      <w:r w:rsidRPr="001A1C9B">
        <w:rPr>
          <w:rFonts w:hint="cs"/>
          <w:u w:val="single"/>
          <w:rtl/>
        </w:rPr>
        <w:t>להלן השפעת השינוי על הדוחות הכספיים של החברה ליום 30 בספטמבר 201</w:t>
      </w:r>
      <w:r w:rsidR="00A56010">
        <w:rPr>
          <w:rFonts w:hint="cs"/>
          <w:u w:val="single"/>
          <w:rtl/>
        </w:rPr>
        <w:t>9</w:t>
      </w:r>
      <w:r w:rsidRPr="001A1C9B">
        <w:rPr>
          <w:rFonts w:hint="cs"/>
          <w:u w:val="single"/>
          <w:rtl/>
        </w:rPr>
        <w:t xml:space="preserve"> ולתקופות של תשעה ושלושה חודשים שהסתיימו באותו תאריך, בהנחה והמדיניות הקודמת הייתה ממשיכה</w:t>
      </w:r>
      <w:r w:rsidR="000E0DCB" w:rsidRPr="001A1C9B">
        <w:rPr>
          <w:rFonts w:hint="cs"/>
          <w:u w:val="single"/>
          <w:rtl/>
        </w:rPr>
        <w:t xml:space="preserve"> להיות מיושמת</w:t>
      </w:r>
      <w:r w:rsidRPr="001A1C9B">
        <w:rPr>
          <w:rFonts w:hint="cs"/>
          <w:u w:val="single"/>
          <w:rtl/>
        </w:rPr>
        <w:t xml:space="preserve"> בשנה זו:</w:t>
      </w:r>
    </w:p>
    <w:p w14:paraId="6B924384" w14:textId="77777777" w:rsidR="00C543AC" w:rsidRPr="001A1C9B" w:rsidRDefault="00C543AC" w:rsidP="001A1C9B">
      <w:pPr>
        <w:pStyle w:val="30"/>
        <w:ind w:left="1701" w:firstLine="0"/>
        <w:rPr>
          <w:u w:val="single"/>
        </w:rPr>
      </w:pPr>
    </w:p>
    <w:p w14:paraId="64285514" w14:textId="77777777" w:rsidR="00D0555E" w:rsidRPr="001A1C9B" w:rsidRDefault="00D0555E" w:rsidP="001A1C9B">
      <w:pPr>
        <w:pStyle w:val="30"/>
        <w:ind w:left="1701" w:firstLine="0"/>
        <w:rPr>
          <w:u w:val="single"/>
          <w:rtl/>
        </w:rPr>
      </w:pPr>
      <w:r w:rsidRPr="001A1C9B">
        <w:rPr>
          <w:u w:val="single"/>
          <w:rtl/>
        </w:rPr>
        <w:t>ב</w:t>
      </w:r>
      <w:r w:rsidRPr="001A1C9B">
        <w:rPr>
          <w:rFonts w:hint="eastAsia"/>
          <w:u w:val="single"/>
          <w:rtl/>
        </w:rPr>
        <w:t>דוחות</w:t>
      </w:r>
      <w:r w:rsidRPr="001A1C9B">
        <w:rPr>
          <w:u w:val="single"/>
          <w:rtl/>
        </w:rPr>
        <w:t xml:space="preserve"> </w:t>
      </w:r>
      <w:r w:rsidRPr="001A1C9B">
        <w:rPr>
          <w:rFonts w:hint="eastAsia"/>
          <w:u w:val="single"/>
          <w:rtl/>
        </w:rPr>
        <w:t>המאוחדים</w:t>
      </w:r>
      <w:r w:rsidRPr="001A1C9B">
        <w:rPr>
          <w:u w:val="single"/>
          <w:rtl/>
        </w:rPr>
        <w:t xml:space="preserve"> </w:t>
      </w:r>
      <w:r w:rsidRPr="001A1C9B">
        <w:rPr>
          <w:rFonts w:hint="eastAsia"/>
          <w:u w:val="single"/>
          <w:rtl/>
        </w:rPr>
        <w:t>על</w:t>
      </w:r>
      <w:r w:rsidRPr="001A1C9B">
        <w:rPr>
          <w:u w:val="single"/>
          <w:rtl/>
        </w:rPr>
        <w:t xml:space="preserve"> </w:t>
      </w:r>
      <w:r w:rsidRPr="001A1C9B">
        <w:rPr>
          <w:rFonts w:hint="eastAsia"/>
          <w:u w:val="single"/>
          <w:rtl/>
        </w:rPr>
        <w:t>המצב</w:t>
      </w:r>
      <w:r w:rsidRPr="001A1C9B">
        <w:rPr>
          <w:u w:val="single"/>
          <w:rtl/>
        </w:rPr>
        <w:t xml:space="preserve"> </w:t>
      </w:r>
      <w:r w:rsidRPr="001A1C9B">
        <w:rPr>
          <w:rFonts w:hint="eastAsia"/>
          <w:u w:val="single"/>
          <w:rtl/>
        </w:rPr>
        <w:t>הכספי</w:t>
      </w:r>
    </w:p>
    <w:tbl>
      <w:tblPr>
        <w:bidiVisual/>
        <w:tblW w:w="0" w:type="auto"/>
        <w:tblInd w:w="1684" w:type="dxa"/>
        <w:tblLayout w:type="fixed"/>
        <w:tblCellMar>
          <w:left w:w="0" w:type="dxa"/>
          <w:right w:w="0" w:type="dxa"/>
        </w:tblCellMar>
        <w:tblLook w:val="0000" w:firstRow="0" w:lastRow="0" w:firstColumn="0" w:lastColumn="0" w:noHBand="0" w:noVBand="0"/>
      </w:tblPr>
      <w:tblGrid>
        <w:gridCol w:w="3703"/>
        <w:gridCol w:w="142"/>
        <w:gridCol w:w="1103"/>
        <w:gridCol w:w="30"/>
        <w:gridCol w:w="109"/>
        <w:gridCol w:w="33"/>
        <w:gridCol w:w="1207"/>
        <w:gridCol w:w="67"/>
        <w:gridCol w:w="72"/>
        <w:gridCol w:w="70"/>
        <w:gridCol w:w="1269"/>
        <w:gridCol w:w="6"/>
      </w:tblGrid>
      <w:tr w:rsidR="00D0555E" w:rsidRPr="00C454B8" w14:paraId="0882F8FC" w14:textId="77777777" w:rsidTr="001A1C9B">
        <w:trPr>
          <w:gridAfter w:val="1"/>
          <w:wAfter w:w="6" w:type="dxa"/>
        </w:trPr>
        <w:tc>
          <w:tcPr>
            <w:tcW w:w="3703" w:type="dxa"/>
            <w:vAlign w:val="bottom"/>
          </w:tcPr>
          <w:p w14:paraId="6EA18ACA" w14:textId="77777777" w:rsidR="00D0555E" w:rsidRPr="00C454B8" w:rsidRDefault="00D0555E" w:rsidP="00D404A7">
            <w:pPr>
              <w:pStyle w:val="a3"/>
              <w:tabs>
                <w:tab w:val="left" w:pos="227"/>
                <w:tab w:val="left" w:pos="397"/>
                <w:tab w:val="left" w:pos="567"/>
              </w:tabs>
              <w:rPr>
                <w:sz w:val="22"/>
                <w:rtl/>
              </w:rPr>
            </w:pPr>
          </w:p>
        </w:tc>
        <w:tc>
          <w:tcPr>
            <w:tcW w:w="142" w:type="dxa"/>
            <w:vAlign w:val="bottom"/>
          </w:tcPr>
          <w:p w14:paraId="4656506F" w14:textId="77777777" w:rsidR="00D0555E" w:rsidRPr="0074065E" w:rsidRDefault="00D0555E" w:rsidP="00D404A7">
            <w:pPr>
              <w:spacing w:line="240" w:lineRule="exact"/>
              <w:jc w:val="center"/>
              <w:rPr>
                <w:rtl/>
              </w:rPr>
            </w:pPr>
          </w:p>
        </w:tc>
        <w:tc>
          <w:tcPr>
            <w:tcW w:w="1103" w:type="dxa"/>
            <w:tcBorders>
              <w:bottom w:val="single" w:sz="6" w:space="0" w:color="auto"/>
            </w:tcBorders>
            <w:shd w:val="clear" w:color="auto" w:fill="auto"/>
            <w:vAlign w:val="bottom"/>
          </w:tcPr>
          <w:p w14:paraId="76178F2C" w14:textId="11D49263" w:rsidR="00D0555E" w:rsidRPr="0074065E" w:rsidRDefault="00D0555E" w:rsidP="00D404A7">
            <w:pPr>
              <w:spacing w:line="240" w:lineRule="exact"/>
              <w:jc w:val="center"/>
              <w:rPr>
                <w:rtl/>
              </w:rPr>
            </w:pPr>
            <w:r>
              <w:rPr>
                <w:rFonts w:hint="cs"/>
                <w:rtl/>
              </w:rPr>
              <w:t>בהתאם למדיניות הקודמת</w:t>
            </w:r>
          </w:p>
        </w:tc>
        <w:tc>
          <w:tcPr>
            <w:tcW w:w="139" w:type="dxa"/>
            <w:gridSpan w:val="2"/>
            <w:vAlign w:val="bottom"/>
          </w:tcPr>
          <w:p w14:paraId="00DC76CF" w14:textId="77777777" w:rsidR="00D0555E" w:rsidRPr="0074065E" w:rsidRDefault="00D0555E" w:rsidP="00D404A7">
            <w:pPr>
              <w:spacing w:line="240" w:lineRule="exact"/>
              <w:jc w:val="center"/>
              <w:rPr>
                <w:rtl/>
              </w:rPr>
            </w:pPr>
          </w:p>
        </w:tc>
        <w:tc>
          <w:tcPr>
            <w:tcW w:w="1240" w:type="dxa"/>
            <w:gridSpan w:val="2"/>
            <w:tcBorders>
              <w:bottom w:val="single" w:sz="6" w:space="0" w:color="auto"/>
            </w:tcBorders>
            <w:vAlign w:val="bottom"/>
          </w:tcPr>
          <w:p w14:paraId="24C6A55D" w14:textId="4EF89035" w:rsidR="00D0555E" w:rsidRPr="0074065E" w:rsidRDefault="00D0555E" w:rsidP="00D0555E">
            <w:pPr>
              <w:spacing w:line="240" w:lineRule="exact"/>
              <w:jc w:val="center"/>
              <w:rPr>
                <w:rtl/>
              </w:rPr>
            </w:pPr>
            <w:r w:rsidRPr="0074065E">
              <w:rPr>
                <w:rtl/>
              </w:rPr>
              <w:t>השינוי</w:t>
            </w:r>
            <w:r>
              <w:rPr>
                <w:rFonts w:hint="cs"/>
                <w:rtl/>
              </w:rPr>
              <w:t xml:space="preserve"> </w:t>
            </w:r>
          </w:p>
        </w:tc>
        <w:tc>
          <w:tcPr>
            <w:tcW w:w="139" w:type="dxa"/>
            <w:gridSpan w:val="2"/>
            <w:vAlign w:val="bottom"/>
          </w:tcPr>
          <w:p w14:paraId="73C2A32C" w14:textId="77777777" w:rsidR="00D0555E" w:rsidRPr="0074065E" w:rsidRDefault="00D0555E" w:rsidP="00D404A7">
            <w:pPr>
              <w:spacing w:line="240" w:lineRule="exact"/>
              <w:jc w:val="center"/>
              <w:rPr>
                <w:rtl/>
              </w:rPr>
            </w:pPr>
          </w:p>
        </w:tc>
        <w:tc>
          <w:tcPr>
            <w:tcW w:w="1339" w:type="dxa"/>
            <w:gridSpan w:val="2"/>
            <w:tcBorders>
              <w:bottom w:val="single" w:sz="6" w:space="0" w:color="auto"/>
            </w:tcBorders>
            <w:vAlign w:val="bottom"/>
          </w:tcPr>
          <w:p w14:paraId="0CFAB1C8" w14:textId="77777777" w:rsidR="00D0555E" w:rsidRPr="0074065E" w:rsidRDefault="00D0555E" w:rsidP="00D404A7">
            <w:pPr>
              <w:spacing w:line="240" w:lineRule="exact"/>
              <w:jc w:val="center"/>
              <w:rPr>
                <w:rtl/>
              </w:rPr>
            </w:pPr>
            <w:r w:rsidRPr="0074065E">
              <w:rPr>
                <w:rtl/>
              </w:rPr>
              <w:t>כמוצג בדוחות כספיים אלו</w:t>
            </w:r>
          </w:p>
        </w:tc>
      </w:tr>
      <w:tr w:rsidR="00D0555E" w:rsidRPr="00C454B8" w14:paraId="1D7CB2B8" w14:textId="77777777" w:rsidTr="001A1C9B">
        <w:trPr>
          <w:gridAfter w:val="1"/>
          <w:wAfter w:w="6" w:type="dxa"/>
        </w:trPr>
        <w:tc>
          <w:tcPr>
            <w:tcW w:w="3703" w:type="dxa"/>
            <w:vAlign w:val="bottom"/>
          </w:tcPr>
          <w:p w14:paraId="23969F49" w14:textId="77777777" w:rsidR="00D0555E" w:rsidRPr="00C454B8" w:rsidRDefault="00D0555E" w:rsidP="00D404A7">
            <w:pPr>
              <w:pStyle w:val="a3"/>
              <w:tabs>
                <w:tab w:val="left" w:pos="227"/>
                <w:tab w:val="left" w:pos="397"/>
                <w:tab w:val="left" w:pos="567"/>
              </w:tabs>
              <w:rPr>
                <w:sz w:val="22"/>
                <w:rtl/>
              </w:rPr>
            </w:pPr>
          </w:p>
        </w:tc>
        <w:tc>
          <w:tcPr>
            <w:tcW w:w="142" w:type="dxa"/>
            <w:vAlign w:val="bottom"/>
          </w:tcPr>
          <w:p w14:paraId="64696EC9" w14:textId="77777777" w:rsidR="00D0555E" w:rsidRPr="0074065E" w:rsidRDefault="00D0555E" w:rsidP="00D404A7">
            <w:pPr>
              <w:spacing w:line="240" w:lineRule="exact"/>
              <w:rPr>
                <w:rtl/>
              </w:rPr>
            </w:pPr>
          </w:p>
        </w:tc>
        <w:tc>
          <w:tcPr>
            <w:tcW w:w="3960" w:type="dxa"/>
            <w:gridSpan w:val="9"/>
            <w:tcBorders>
              <w:bottom w:val="single" w:sz="6" w:space="0" w:color="auto"/>
            </w:tcBorders>
            <w:shd w:val="clear" w:color="auto" w:fill="auto"/>
            <w:vAlign w:val="bottom"/>
          </w:tcPr>
          <w:p w14:paraId="3BCC08DC" w14:textId="77777777" w:rsidR="00D0555E" w:rsidRPr="0074065E" w:rsidRDefault="00D0555E" w:rsidP="00D404A7">
            <w:pPr>
              <w:tabs>
                <w:tab w:val="decimal" w:pos="113"/>
              </w:tabs>
              <w:spacing w:line="240" w:lineRule="exact"/>
              <w:jc w:val="center"/>
              <w:rPr>
                <w:rtl/>
              </w:rPr>
            </w:pPr>
            <w:r>
              <w:rPr>
                <w:rFonts w:hint="cs"/>
                <w:rtl/>
              </w:rPr>
              <w:t>אלפי ש"ח</w:t>
            </w:r>
          </w:p>
        </w:tc>
      </w:tr>
      <w:tr w:rsidR="00D0555E" w:rsidRPr="00C454B8" w14:paraId="032B4DC1" w14:textId="77777777" w:rsidTr="001A1C9B">
        <w:tc>
          <w:tcPr>
            <w:tcW w:w="3703" w:type="dxa"/>
            <w:vAlign w:val="bottom"/>
          </w:tcPr>
          <w:p w14:paraId="53E10BAB" w14:textId="4E22E1BA" w:rsidR="00D0555E" w:rsidRPr="00C454B8" w:rsidRDefault="00D0555E" w:rsidP="00A56010">
            <w:pPr>
              <w:pStyle w:val="a3"/>
              <w:tabs>
                <w:tab w:val="left" w:pos="227"/>
                <w:tab w:val="left" w:pos="397"/>
                <w:tab w:val="left" w:pos="567"/>
              </w:tabs>
              <w:rPr>
                <w:sz w:val="22"/>
                <w:rtl/>
              </w:rPr>
            </w:pPr>
            <w:r w:rsidRPr="00C454B8">
              <w:rPr>
                <w:sz w:val="22"/>
                <w:u w:val="single"/>
                <w:rtl/>
              </w:rPr>
              <w:t xml:space="preserve">ליום </w:t>
            </w:r>
            <w:r>
              <w:rPr>
                <w:rFonts w:hint="cs"/>
                <w:sz w:val="22"/>
                <w:u w:val="single"/>
                <w:rtl/>
              </w:rPr>
              <w:t>30</w:t>
            </w:r>
            <w:r w:rsidRPr="00C454B8">
              <w:rPr>
                <w:sz w:val="22"/>
                <w:u w:val="single"/>
                <w:rtl/>
              </w:rPr>
              <w:t xml:space="preserve"> </w:t>
            </w:r>
            <w:r>
              <w:rPr>
                <w:rFonts w:hint="cs"/>
                <w:sz w:val="22"/>
                <w:u w:val="single"/>
                <w:rtl/>
              </w:rPr>
              <w:t>בספטמבר</w:t>
            </w:r>
            <w:r w:rsidRPr="00C454B8">
              <w:rPr>
                <w:sz w:val="22"/>
                <w:u w:val="single"/>
                <w:rtl/>
              </w:rPr>
              <w:t xml:space="preserve">, </w:t>
            </w:r>
            <w:r>
              <w:rPr>
                <w:rFonts w:hint="cs"/>
                <w:sz w:val="22"/>
                <w:u w:val="single"/>
                <w:rtl/>
              </w:rPr>
              <w:t>201</w:t>
            </w:r>
            <w:r w:rsidR="00A56010">
              <w:rPr>
                <w:rFonts w:hint="cs"/>
                <w:sz w:val="22"/>
                <w:u w:val="single"/>
                <w:rtl/>
              </w:rPr>
              <w:t>9</w:t>
            </w:r>
          </w:p>
        </w:tc>
        <w:tc>
          <w:tcPr>
            <w:tcW w:w="142" w:type="dxa"/>
            <w:vAlign w:val="bottom"/>
          </w:tcPr>
          <w:p w14:paraId="7B897C41" w14:textId="77777777" w:rsidR="00D0555E" w:rsidRPr="0074065E" w:rsidRDefault="00D0555E" w:rsidP="00D404A7">
            <w:pPr>
              <w:spacing w:line="240" w:lineRule="exact"/>
              <w:rPr>
                <w:rtl/>
              </w:rPr>
            </w:pPr>
          </w:p>
        </w:tc>
        <w:tc>
          <w:tcPr>
            <w:tcW w:w="1133" w:type="dxa"/>
            <w:gridSpan w:val="2"/>
            <w:vAlign w:val="bottom"/>
          </w:tcPr>
          <w:p w14:paraId="6470C159" w14:textId="77777777" w:rsidR="00D0555E" w:rsidRPr="0074065E" w:rsidRDefault="00D0555E" w:rsidP="00D404A7">
            <w:pPr>
              <w:spacing w:line="240" w:lineRule="exact"/>
              <w:rPr>
                <w:rtl/>
              </w:rPr>
            </w:pPr>
          </w:p>
        </w:tc>
        <w:tc>
          <w:tcPr>
            <w:tcW w:w="142" w:type="dxa"/>
            <w:gridSpan w:val="2"/>
            <w:vAlign w:val="bottom"/>
          </w:tcPr>
          <w:p w14:paraId="54B6575C" w14:textId="77777777" w:rsidR="00D0555E" w:rsidRPr="0074065E" w:rsidRDefault="00D0555E" w:rsidP="00D404A7">
            <w:pPr>
              <w:spacing w:line="240" w:lineRule="exact"/>
              <w:rPr>
                <w:rtl/>
              </w:rPr>
            </w:pPr>
          </w:p>
        </w:tc>
        <w:tc>
          <w:tcPr>
            <w:tcW w:w="1274" w:type="dxa"/>
            <w:gridSpan w:val="2"/>
            <w:vAlign w:val="bottom"/>
          </w:tcPr>
          <w:p w14:paraId="72425111" w14:textId="77777777" w:rsidR="00D0555E" w:rsidRPr="0074065E" w:rsidRDefault="00D0555E" w:rsidP="00D404A7">
            <w:pPr>
              <w:tabs>
                <w:tab w:val="decimal" w:pos="113"/>
              </w:tabs>
              <w:spacing w:line="240" w:lineRule="exact"/>
              <w:rPr>
                <w:rtl/>
              </w:rPr>
            </w:pPr>
          </w:p>
        </w:tc>
        <w:tc>
          <w:tcPr>
            <w:tcW w:w="142" w:type="dxa"/>
            <w:gridSpan w:val="2"/>
            <w:vAlign w:val="bottom"/>
          </w:tcPr>
          <w:p w14:paraId="752CE18C" w14:textId="77777777" w:rsidR="00D0555E" w:rsidRPr="0074065E" w:rsidRDefault="00D0555E" w:rsidP="00D404A7">
            <w:pPr>
              <w:tabs>
                <w:tab w:val="decimal" w:pos="113"/>
              </w:tabs>
              <w:spacing w:line="240" w:lineRule="exact"/>
              <w:rPr>
                <w:rtl/>
              </w:rPr>
            </w:pPr>
          </w:p>
        </w:tc>
        <w:tc>
          <w:tcPr>
            <w:tcW w:w="1275" w:type="dxa"/>
            <w:gridSpan w:val="2"/>
            <w:vAlign w:val="bottom"/>
          </w:tcPr>
          <w:p w14:paraId="55D5B91C" w14:textId="77777777" w:rsidR="00D0555E" w:rsidRPr="0074065E" w:rsidRDefault="00D0555E" w:rsidP="00D404A7">
            <w:pPr>
              <w:tabs>
                <w:tab w:val="decimal" w:pos="113"/>
              </w:tabs>
              <w:spacing w:line="240" w:lineRule="exact"/>
              <w:rPr>
                <w:rtl/>
              </w:rPr>
            </w:pPr>
          </w:p>
        </w:tc>
      </w:tr>
      <w:tr w:rsidR="00D0555E" w:rsidRPr="001A1C9B" w14:paraId="50BD6F42" w14:textId="77777777" w:rsidTr="001A1C9B">
        <w:tc>
          <w:tcPr>
            <w:tcW w:w="3703" w:type="dxa"/>
            <w:vAlign w:val="bottom"/>
          </w:tcPr>
          <w:p w14:paraId="2F528BC7" w14:textId="77777777" w:rsidR="00D0555E" w:rsidRPr="001A1C9B" w:rsidRDefault="00D0555E" w:rsidP="001A1C9B">
            <w:pPr>
              <w:pStyle w:val="a3"/>
              <w:tabs>
                <w:tab w:val="left" w:pos="227"/>
                <w:tab w:val="left" w:pos="397"/>
                <w:tab w:val="left" w:pos="567"/>
              </w:tabs>
              <w:spacing w:line="240" w:lineRule="auto"/>
              <w:rPr>
                <w:sz w:val="18"/>
                <w:szCs w:val="20"/>
                <w:rtl/>
              </w:rPr>
            </w:pPr>
          </w:p>
        </w:tc>
        <w:tc>
          <w:tcPr>
            <w:tcW w:w="142" w:type="dxa"/>
            <w:vAlign w:val="bottom"/>
          </w:tcPr>
          <w:p w14:paraId="0CC920A6" w14:textId="77777777" w:rsidR="00D0555E" w:rsidRPr="001A1C9B" w:rsidRDefault="00D0555E" w:rsidP="001A1C9B">
            <w:pPr>
              <w:spacing w:line="240" w:lineRule="auto"/>
              <w:rPr>
                <w:sz w:val="18"/>
                <w:szCs w:val="20"/>
                <w:rtl/>
              </w:rPr>
            </w:pPr>
          </w:p>
        </w:tc>
        <w:tc>
          <w:tcPr>
            <w:tcW w:w="1133" w:type="dxa"/>
            <w:gridSpan w:val="2"/>
            <w:vAlign w:val="bottom"/>
          </w:tcPr>
          <w:p w14:paraId="1AF63222" w14:textId="77777777" w:rsidR="00D0555E" w:rsidRPr="001A1C9B" w:rsidRDefault="00D0555E" w:rsidP="001A1C9B">
            <w:pPr>
              <w:spacing w:line="240" w:lineRule="auto"/>
              <w:rPr>
                <w:sz w:val="18"/>
                <w:szCs w:val="20"/>
                <w:rtl/>
              </w:rPr>
            </w:pPr>
          </w:p>
        </w:tc>
        <w:tc>
          <w:tcPr>
            <w:tcW w:w="142" w:type="dxa"/>
            <w:gridSpan w:val="2"/>
            <w:vAlign w:val="bottom"/>
          </w:tcPr>
          <w:p w14:paraId="71EE142C" w14:textId="77777777" w:rsidR="00D0555E" w:rsidRPr="001A1C9B" w:rsidRDefault="00D0555E" w:rsidP="001A1C9B">
            <w:pPr>
              <w:spacing w:line="240" w:lineRule="auto"/>
              <w:rPr>
                <w:sz w:val="18"/>
                <w:szCs w:val="20"/>
                <w:rtl/>
              </w:rPr>
            </w:pPr>
          </w:p>
        </w:tc>
        <w:tc>
          <w:tcPr>
            <w:tcW w:w="1274" w:type="dxa"/>
            <w:gridSpan w:val="2"/>
            <w:vAlign w:val="bottom"/>
          </w:tcPr>
          <w:p w14:paraId="5588C34F" w14:textId="77777777" w:rsidR="00D0555E" w:rsidRPr="001A1C9B" w:rsidRDefault="00D0555E" w:rsidP="001A1C9B">
            <w:pPr>
              <w:tabs>
                <w:tab w:val="decimal" w:pos="113"/>
              </w:tabs>
              <w:spacing w:line="240" w:lineRule="auto"/>
              <w:rPr>
                <w:sz w:val="18"/>
                <w:szCs w:val="20"/>
                <w:rtl/>
              </w:rPr>
            </w:pPr>
          </w:p>
        </w:tc>
        <w:tc>
          <w:tcPr>
            <w:tcW w:w="142" w:type="dxa"/>
            <w:gridSpan w:val="2"/>
            <w:vAlign w:val="bottom"/>
          </w:tcPr>
          <w:p w14:paraId="7AB99A1E" w14:textId="77777777" w:rsidR="00D0555E" w:rsidRPr="001A1C9B" w:rsidRDefault="00D0555E" w:rsidP="001A1C9B">
            <w:pPr>
              <w:tabs>
                <w:tab w:val="decimal" w:pos="113"/>
              </w:tabs>
              <w:spacing w:line="240" w:lineRule="auto"/>
              <w:rPr>
                <w:sz w:val="18"/>
                <w:szCs w:val="20"/>
                <w:rtl/>
              </w:rPr>
            </w:pPr>
          </w:p>
        </w:tc>
        <w:tc>
          <w:tcPr>
            <w:tcW w:w="1275" w:type="dxa"/>
            <w:gridSpan w:val="2"/>
            <w:vAlign w:val="bottom"/>
          </w:tcPr>
          <w:p w14:paraId="3D5A6ABB" w14:textId="77777777" w:rsidR="00D0555E" w:rsidRPr="001A1C9B" w:rsidRDefault="00D0555E" w:rsidP="001A1C9B">
            <w:pPr>
              <w:tabs>
                <w:tab w:val="decimal" w:pos="113"/>
              </w:tabs>
              <w:spacing w:line="240" w:lineRule="auto"/>
              <w:rPr>
                <w:sz w:val="18"/>
                <w:szCs w:val="20"/>
                <w:rtl/>
              </w:rPr>
            </w:pPr>
          </w:p>
        </w:tc>
      </w:tr>
      <w:tr w:rsidR="00D0555E" w:rsidRPr="00C454B8" w14:paraId="18CBE58F" w14:textId="77777777" w:rsidTr="001A1C9B">
        <w:tc>
          <w:tcPr>
            <w:tcW w:w="3703" w:type="dxa"/>
            <w:vAlign w:val="bottom"/>
          </w:tcPr>
          <w:p w14:paraId="0E622354" w14:textId="77777777" w:rsidR="00D0555E" w:rsidRPr="00C454B8" w:rsidRDefault="00D0555E" w:rsidP="00D404A7">
            <w:pPr>
              <w:pStyle w:val="a3"/>
              <w:tabs>
                <w:tab w:val="left" w:pos="227"/>
                <w:tab w:val="left" w:pos="397"/>
                <w:tab w:val="left" w:pos="567"/>
              </w:tabs>
              <w:rPr>
                <w:sz w:val="22"/>
                <w:rtl/>
              </w:rPr>
            </w:pPr>
            <w:r w:rsidRPr="00C454B8">
              <w:rPr>
                <w:rFonts w:hint="eastAsia"/>
                <w:sz w:val="22"/>
                <w:rtl/>
              </w:rPr>
              <w:t>מסים</w:t>
            </w:r>
            <w:r w:rsidRPr="00C454B8">
              <w:rPr>
                <w:sz w:val="22"/>
                <w:rtl/>
              </w:rPr>
              <w:t xml:space="preserve"> </w:t>
            </w:r>
            <w:r w:rsidRPr="00C454B8">
              <w:rPr>
                <w:rFonts w:hint="eastAsia"/>
                <w:sz w:val="22"/>
                <w:rtl/>
              </w:rPr>
              <w:t>נדחים</w:t>
            </w:r>
            <w:r w:rsidRPr="00C454B8">
              <w:rPr>
                <w:sz w:val="22"/>
                <w:rtl/>
              </w:rPr>
              <w:t xml:space="preserve"> (במסגרת נכסים לא שוטפים)</w:t>
            </w:r>
          </w:p>
        </w:tc>
        <w:tc>
          <w:tcPr>
            <w:tcW w:w="142" w:type="dxa"/>
            <w:vAlign w:val="bottom"/>
          </w:tcPr>
          <w:p w14:paraId="65F1F3A7" w14:textId="77777777" w:rsidR="00D0555E" w:rsidRPr="0074065E" w:rsidRDefault="00D0555E" w:rsidP="00D404A7">
            <w:pPr>
              <w:spacing w:line="240" w:lineRule="exact"/>
              <w:rPr>
                <w:rtl/>
              </w:rPr>
            </w:pPr>
          </w:p>
        </w:tc>
        <w:tc>
          <w:tcPr>
            <w:tcW w:w="1133" w:type="dxa"/>
            <w:gridSpan w:val="2"/>
            <w:tcBorders>
              <w:bottom w:val="double" w:sz="6" w:space="0" w:color="auto"/>
            </w:tcBorders>
            <w:shd w:val="clear" w:color="auto" w:fill="auto"/>
            <w:vAlign w:val="bottom"/>
          </w:tcPr>
          <w:p w14:paraId="0E1D38F8" w14:textId="77777777" w:rsidR="00D0555E" w:rsidRPr="0074065E" w:rsidRDefault="00D0555E" w:rsidP="00D404A7">
            <w:pPr>
              <w:spacing w:line="240" w:lineRule="exact"/>
              <w:rPr>
                <w:rtl/>
              </w:rPr>
            </w:pPr>
          </w:p>
        </w:tc>
        <w:tc>
          <w:tcPr>
            <w:tcW w:w="142" w:type="dxa"/>
            <w:gridSpan w:val="2"/>
            <w:vAlign w:val="bottom"/>
          </w:tcPr>
          <w:p w14:paraId="121F39C5" w14:textId="77777777" w:rsidR="00D0555E" w:rsidRPr="0074065E" w:rsidRDefault="00D0555E" w:rsidP="00D404A7">
            <w:pPr>
              <w:spacing w:line="240" w:lineRule="exact"/>
              <w:rPr>
                <w:rtl/>
              </w:rPr>
            </w:pPr>
          </w:p>
        </w:tc>
        <w:tc>
          <w:tcPr>
            <w:tcW w:w="1274" w:type="dxa"/>
            <w:gridSpan w:val="2"/>
            <w:tcBorders>
              <w:bottom w:val="double" w:sz="6" w:space="0" w:color="auto"/>
            </w:tcBorders>
            <w:vAlign w:val="bottom"/>
          </w:tcPr>
          <w:p w14:paraId="52F7EC78" w14:textId="77777777" w:rsidR="00D0555E" w:rsidRPr="0074065E" w:rsidRDefault="00D0555E" w:rsidP="00D404A7">
            <w:pPr>
              <w:tabs>
                <w:tab w:val="decimal" w:pos="113"/>
              </w:tabs>
              <w:spacing w:line="240" w:lineRule="exact"/>
              <w:rPr>
                <w:rtl/>
              </w:rPr>
            </w:pPr>
          </w:p>
        </w:tc>
        <w:tc>
          <w:tcPr>
            <w:tcW w:w="142" w:type="dxa"/>
            <w:gridSpan w:val="2"/>
            <w:vAlign w:val="bottom"/>
          </w:tcPr>
          <w:p w14:paraId="0C379063" w14:textId="77777777" w:rsidR="00D0555E" w:rsidRPr="0074065E" w:rsidRDefault="00D0555E" w:rsidP="00D404A7">
            <w:pPr>
              <w:tabs>
                <w:tab w:val="decimal" w:pos="113"/>
              </w:tabs>
              <w:spacing w:line="240" w:lineRule="exact"/>
              <w:rPr>
                <w:rtl/>
              </w:rPr>
            </w:pPr>
          </w:p>
        </w:tc>
        <w:tc>
          <w:tcPr>
            <w:tcW w:w="1275" w:type="dxa"/>
            <w:gridSpan w:val="2"/>
            <w:tcBorders>
              <w:bottom w:val="double" w:sz="6" w:space="0" w:color="auto"/>
            </w:tcBorders>
            <w:vAlign w:val="bottom"/>
          </w:tcPr>
          <w:p w14:paraId="4AAAE2CE" w14:textId="77777777" w:rsidR="00D0555E" w:rsidRPr="0074065E" w:rsidRDefault="00D0555E" w:rsidP="00D404A7">
            <w:pPr>
              <w:tabs>
                <w:tab w:val="decimal" w:pos="113"/>
              </w:tabs>
              <w:spacing w:line="240" w:lineRule="exact"/>
              <w:rPr>
                <w:rtl/>
              </w:rPr>
            </w:pPr>
          </w:p>
        </w:tc>
      </w:tr>
      <w:tr w:rsidR="00D0555E" w:rsidRPr="00C454B8" w14:paraId="2C937048" w14:textId="77777777" w:rsidTr="001A1C9B">
        <w:tc>
          <w:tcPr>
            <w:tcW w:w="3703" w:type="dxa"/>
            <w:vAlign w:val="bottom"/>
          </w:tcPr>
          <w:p w14:paraId="613267ED" w14:textId="77777777" w:rsidR="00D0555E" w:rsidRPr="00C454B8" w:rsidRDefault="00D0555E" w:rsidP="00D404A7">
            <w:pPr>
              <w:pStyle w:val="a3"/>
              <w:tabs>
                <w:tab w:val="left" w:pos="227"/>
                <w:tab w:val="left" w:pos="397"/>
                <w:tab w:val="left" w:pos="567"/>
              </w:tabs>
              <w:rPr>
                <w:sz w:val="22"/>
                <w:rtl/>
              </w:rPr>
            </w:pPr>
            <w:r w:rsidRPr="00C454B8">
              <w:rPr>
                <w:rFonts w:hint="eastAsia"/>
                <w:sz w:val="22"/>
                <w:rtl/>
              </w:rPr>
              <w:t>מסים</w:t>
            </w:r>
            <w:r w:rsidRPr="00C454B8">
              <w:rPr>
                <w:sz w:val="22"/>
                <w:rtl/>
              </w:rPr>
              <w:t xml:space="preserve"> נדחים (במסגרת </w:t>
            </w:r>
            <w:r w:rsidRPr="00C454B8">
              <w:rPr>
                <w:rFonts w:hint="eastAsia"/>
                <w:sz w:val="22"/>
                <w:rtl/>
              </w:rPr>
              <w:t>התחייבויות</w:t>
            </w:r>
            <w:r w:rsidRPr="00C454B8">
              <w:rPr>
                <w:sz w:val="22"/>
                <w:rtl/>
              </w:rPr>
              <w:t xml:space="preserve"> </w:t>
            </w:r>
            <w:r w:rsidRPr="00C454B8">
              <w:rPr>
                <w:rFonts w:hint="eastAsia"/>
                <w:sz w:val="22"/>
                <w:rtl/>
              </w:rPr>
              <w:t>לא</w:t>
            </w:r>
            <w:r w:rsidRPr="00C454B8">
              <w:rPr>
                <w:sz w:val="22"/>
                <w:rtl/>
              </w:rPr>
              <w:t xml:space="preserve"> </w:t>
            </w:r>
            <w:r w:rsidRPr="00C454B8">
              <w:rPr>
                <w:rFonts w:hint="eastAsia"/>
                <w:sz w:val="22"/>
                <w:rtl/>
              </w:rPr>
              <w:t>שוטפות</w:t>
            </w:r>
            <w:r w:rsidRPr="00C454B8">
              <w:rPr>
                <w:sz w:val="22"/>
                <w:rtl/>
              </w:rPr>
              <w:t>)</w:t>
            </w:r>
          </w:p>
        </w:tc>
        <w:tc>
          <w:tcPr>
            <w:tcW w:w="142" w:type="dxa"/>
            <w:vAlign w:val="bottom"/>
          </w:tcPr>
          <w:p w14:paraId="65C9EC27" w14:textId="77777777" w:rsidR="00D0555E" w:rsidRPr="0074065E" w:rsidRDefault="00D0555E" w:rsidP="00D404A7">
            <w:pPr>
              <w:spacing w:line="240" w:lineRule="exact"/>
              <w:rPr>
                <w:rtl/>
              </w:rPr>
            </w:pPr>
          </w:p>
        </w:tc>
        <w:tc>
          <w:tcPr>
            <w:tcW w:w="1133" w:type="dxa"/>
            <w:gridSpan w:val="2"/>
            <w:tcBorders>
              <w:top w:val="double" w:sz="6" w:space="0" w:color="auto"/>
              <w:bottom w:val="double" w:sz="6" w:space="0" w:color="auto"/>
            </w:tcBorders>
            <w:shd w:val="clear" w:color="auto" w:fill="auto"/>
            <w:vAlign w:val="bottom"/>
          </w:tcPr>
          <w:p w14:paraId="0E757414" w14:textId="77777777" w:rsidR="00D0555E" w:rsidRPr="0074065E" w:rsidRDefault="00D0555E" w:rsidP="00D404A7">
            <w:pPr>
              <w:spacing w:line="240" w:lineRule="exact"/>
              <w:rPr>
                <w:rtl/>
              </w:rPr>
            </w:pPr>
          </w:p>
        </w:tc>
        <w:tc>
          <w:tcPr>
            <w:tcW w:w="142" w:type="dxa"/>
            <w:gridSpan w:val="2"/>
            <w:vAlign w:val="bottom"/>
          </w:tcPr>
          <w:p w14:paraId="4AF2E9EC" w14:textId="77777777" w:rsidR="00D0555E" w:rsidRPr="0074065E" w:rsidRDefault="00D0555E" w:rsidP="00D404A7">
            <w:pPr>
              <w:spacing w:line="240" w:lineRule="exact"/>
              <w:rPr>
                <w:rtl/>
              </w:rPr>
            </w:pPr>
          </w:p>
        </w:tc>
        <w:tc>
          <w:tcPr>
            <w:tcW w:w="1274" w:type="dxa"/>
            <w:gridSpan w:val="2"/>
            <w:tcBorders>
              <w:bottom w:val="double" w:sz="6" w:space="0" w:color="auto"/>
            </w:tcBorders>
            <w:vAlign w:val="bottom"/>
          </w:tcPr>
          <w:p w14:paraId="6404E796" w14:textId="77777777" w:rsidR="00D0555E" w:rsidRPr="0074065E" w:rsidRDefault="00D0555E" w:rsidP="00D404A7">
            <w:pPr>
              <w:tabs>
                <w:tab w:val="decimal" w:pos="113"/>
              </w:tabs>
              <w:spacing w:line="240" w:lineRule="exact"/>
              <w:rPr>
                <w:rtl/>
              </w:rPr>
            </w:pPr>
          </w:p>
        </w:tc>
        <w:tc>
          <w:tcPr>
            <w:tcW w:w="142" w:type="dxa"/>
            <w:gridSpan w:val="2"/>
            <w:vAlign w:val="bottom"/>
          </w:tcPr>
          <w:p w14:paraId="2B355211" w14:textId="77777777" w:rsidR="00D0555E" w:rsidRPr="0074065E" w:rsidRDefault="00D0555E" w:rsidP="00D404A7">
            <w:pPr>
              <w:tabs>
                <w:tab w:val="decimal" w:pos="113"/>
              </w:tabs>
              <w:spacing w:line="240" w:lineRule="exact"/>
              <w:rPr>
                <w:rtl/>
              </w:rPr>
            </w:pPr>
          </w:p>
        </w:tc>
        <w:tc>
          <w:tcPr>
            <w:tcW w:w="1275" w:type="dxa"/>
            <w:gridSpan w:val="2"/>
            <w:tcBorders>
              <w:bottom w:val="double" w:sz="6" w:space="0" w:color="auto"/>
            </w:tcBorders>
            <w:vAlign w:val="bottom"/>
          </w:tcPr>
          <w:p w14:paraId="379A1138" w14:textId="77777777" w:rsidR="00D0555E" w:rsidRPr="0074065E" w:rsidRDefault="00D0555E" w:rsidP="00D404A7">
            <w:pPr>
              <w:tabs>
                <w:tab w:val="decimal" w:pos="113"/>
              </w:tabs>
              <w:spacing w:line="240" w:lineRule="exact"/>
              <w:rPr>
                <w:rtl/>
              </w:rPr>
            </w:pPr>
          </w:p>
        </w:tc>
      </w:tr>
      <w:tr w:rsidR="00D0555E" w:rsidRPr="001A1C9B" w14:paraId="22C1B305" w14:textId="77777777" w:rsidTr="001A1C9B">
        <w:tc>
          <w:tcPr>
            <w:tcW w:w="3703" w:type="dxa"/>
            <w:vAlign w:val="bottom"/>
          </w:tcPr>
          <w:p w14:paraId="2F4732F4" w14:textId="77777777" w:rsidR="00D0555E" w:rsidRPr="001A1C9B" w:rsidRDefault="00D0555E" w:rsidP="001A1C9B">
            <w:pPr>
              <w:pStyle w:val="a3"/>
              <w:tabs>
                <w:tab w:val="left" w:pos="227"/>
                <w:tab w:val="left" w:pos="397"/>
                <w:tab w:val="left" w:pos="567"/>
              </w:tabs>
              <w:spacing w:line="240" w:lineRule="auto"/>
              <w:rPr>
                <w:sz w:val="18"/>
                <w:szCs w:val="20"/>
                <w:rtl/>
              </w:rPr>
            </w:pPr>
          </w:p>
        </w:tc>
        <w:tc>
          <w:tcPr>
            <w:tcW w:w="142" w:type="dxa"/>
            <w:vAlign w:val="bottom"/>
          </w:tcPr>
          <w:p w14:paraId="597A8857" w14:textId="77777777" w:rsidR="00D0555E" w:rsidRPr="001A1C9B" w:rsidRDefault="00D0555E" w:rsidP="001A1C9B">
            <w:pPr>
              <w:spacing w:line="240" w:lineRule="auto"/>
              <w:rPr>
                <w:sz w:val="18"/>
                <w:szCs w:val="20"/>
                <w:rtl/>
              </w:rPr>
            </w:pPr>
          </w:p>
        </w:tc>
        <w:tc>
          <w:tcPr>
            <w:tcW w:w="1133" w:type="dxa"/>
            <w:gridSpan w:val="2"/>
            <w:tcBorders>
              <w:top w:val="double" w:sz="6" w:space="0" w:color="auto"/>
            </w:tcBorders>
            <w:shd w:val="clear" w:color="auto" w:fill="auto"/>
            <w:vAlign w:val="bottom"/>
          </w:tcPr>
          <w:p w14:paraId="4CCD594E" w14:textId="77777777" w:rsidR="00D0555E" w:rsidRPr="001A1C9B" w:rsidRDefault="00D0555E" w:rsidP="001A1C9B">
            <w:pPr>
              <w:spacing w:line="240" w:lineRule="auto"/>
              <w:rPr>
                <w:sz w:val="18"/>
                <w:szCs w:val="20"/>
                <w:rtl/>
              </w:rPr>
            </w:pPr>
          </w:p>
        </w:tc>
        <w:tc>
          <w:tcPr>
            <w:tcW w:w="142" w:type="dxa"/>
            <w:gridSpan w:val="2"/>
            <w:vAlign w:val="bottom"/>
          </w:tcPr>
          <w:p w14:paraId="7CE7EE28" w14:textId="77777777" w:rsidR="00D0555E" w:rsidRPr="001A1C9B" w:rsidRDefault="00D0555E" w:rsidP="001A1C9B">
            <w:pPr>
              <w:spacing w:line="240" w:lineRule="auto"/>
              <w:rPr>
                <w:sz w:val="18"/>
                <w:szCs w:val="20"/>
                <w:rtl/>
              </w:rPr>
            </w:pPr>
          </w:p>
        </w:tc>
        <w:tc>
          <w:tcPr>
            <w:tcW w:w="1274" w:type="dxa"/>
            <w:gridSpan w:val="2"/>
            <w:vAlign w:val="bottom"/>
          </w:tcPr>
          <w:p w14:paraId="68A87927" w14:textId="77777777" w:rsidR="00D0555E" w:rsidRPr="001A1C9B" w:rsidRDefault="00D0555E" w:rsidP="001A1C9B">
            <w:pPr>
              <w:tabs>
                <w:tab w:val="decimal" w:pos="113"/>
              </w:tabs>
              <w:spacing w:line="240" w:lineRule="auto"/>
              <w:rPr>
                <w:sz w:val="18"/>
                <w:szCs w:val="20"/>
                <w:rtl/>
              </w:rPr>
            </w:pPr>
          </w:p>
        </w:tc>
        <w:tc>
          <w:tcPr>
            <w:tcW w:w="142" w:type="dxa"/>
            <w:gridSpan w:val="2"/>
            <w:vAlign w:val="bottom"/>
          </w:tcPr>
          <w:p w14:paraId="223CBA7E" w14:textId="77777777" w:rsidR="00D0555E" w:rsidRPr="001A1C9B" w:rsidRDefault="00D0555E" w:rsidP="001A1C9B">
            <w:pPr>
              <w:tabs>
                <w:tab w:val="decimal" w:pos="113"/>
              </w:tabs>
              <w:spacing w:line="240" w:lineRule="auto"/>
              <w:rPr>
                <w:sz w:val="18"/>
                <w:szCs w:val="20"/>
                <w:rtl/>
              </w:rPr>
            </w:pPr>
          </w:p>
        </w:tc>
        <w:tc>
          <w:tcPr>
            <w:tcW w:w="1275" w:type="dxa"/>
            <w:gridSpan w:val="2"/>
            <w:vAlign w:val="bottom"/>
          </w:tcPr>
          <w:p w14:paraId="0ECB27C7" w14:textId="77777777" w:rsidR="00D0555E" w:rsidRPr="001A1C9B" w:rsidRDefault="00D0555E" w:rsidP="001A1C9B">
            <w:pPr>
              <w:tabs>
                <w:tab w:val="decimal" w:pos="113"/>
              </w:tabs>
              <w:spacing w:line="240" w:lineRule="auto"/>
              <w:rPr>
                <w:sz w:val="18"/>
                <w:szCs w:val="20"/>
                <w:rtl/>
              </w:rPr>
            </w:pPr>
          </w:p>
        </w:tc>
      </w:tr>
      <w:tr w:rsidR="00D0555E" w:rsidRPr="00C454B8" w14:paraId="29C75929" w14:textId="77777777" w:rsidTr="001A1C9B">
        <w:tc>
          <w:tcPr>
            <w:tcW w:w="3703" w:type="dxa"/>
            <w:vAlign w:val="bottom"/>
          </w:tcPr>
          <w:p w14:paraId="7BFD835B" w14:textId="77777777" w:rsidR="00D0555E" w:rsidRPr="00C454B8" w:rsidRDefault="00D0555E" w:rsidP="00D404A7">
            <w:pPr>
              <w:pStyle w:val="a3"/>
              <w:tabs>
                <w:tab w:val="left" w:pos="227"/>
                <w:tab w:val="left" w:pos="397"/>
                <w:tab w:val="left" w:pos="567"/>
              </w:tabs>
              <w:rPr>
                <w:sz w:val="22"/>
                <w:rtl/>
              </w:rPr>
            </w:pPr>
            <w:r w:rsidRPr="00C454B8">
              <w:rPr>
                <w:rFonts w:hint="eastAsia"/>
                <w:sz w:val="22"/>
                <w:rtl/>
              </w:rPr>
              <w:t>יתרת</w:t>
            </w:r>
            <w:r w:rsidRPr="00C454B8">
              <w:rPr>
                <w:sz w:val="22"/>
                <w:rtl/>
              </w:rPr>
              <w:t xml:space="preserve"> </w:t>
            </w:r>
            <w:r w:rsidRPr="00C454B8">
              <w:rPr>
                <w:rFonts w:hint="eastAsia"/>
                <w:sz w:val="22"/>
                <w:rtl/>
              </w:rPr>
              <w:t>רווח</w:t>
            </w:r>
            <w:r w:rsidRPr="00C454B8">
              <w:rPr>
                <w:sz w:val="22"/>
                <w:rtl/>
              </w:rPr>
              <w:t xml:space="preserve"> (הפסד)</w:t>
            </w:r>
          </w:p>
        </w:tc>
        <w:tc>
          <w:tcPr>
            <w:tcW w:w="142" w:type="dxa"/>
            <w:vAlign w:val="bottom"/>
          </w:tcPr>
          <w:p w14:paraId="47A53145" w14:textId="77777777" w:rsidR="00D0555E" w:rsidRPr="0074065E" w:rsidRDefault="00D0555E" w:rsidP="00D404A7">
            <w:pPr>
              <w:spacing w:line="240" w:lineRule="exact"/>
              <w:rPr>
                <w:rtl/>
              </w:rPr>
            </w:pPr>
          </w:p>
        </w:tc>
        <w:tc>
          <w:tcPr>
            <w:tcW w:w="1133" w:type="dxa"/>
            <w:gridSpan w:val="2"/>
            <w:tcBorders>
              <w:bottom w:val="double" w:sz="6" w:space="0" w:color="auto"/>
            </w:tcBorders>
            <w:shd w:val="clear" w:color="auto" w:fill="auto"/>
            <w:vAlign w:val="bottom"/>
          </w:tcPr>
          <w:p w14:paraId="275FFD9C" w14:textId="77777777" w:rsidR="00D0555E" w:rsidRPr="0074065E" w:rsidRDefault="00D0555E" w:rsidP="00D404A7">
            <w:pPr>
              <w:spacing w:line="240" w:lineRule="exact"/>
              <w:rPr>
                <w:rtl/>
              </w:rPr>
            </w:pPr>
          </w:p>
        </w:tc>
        <w:tc>
          <w:tcPr>
            <w:tcW w:w="142" w:type="dxa"/>
            <w:gridSpan w:val="2"/>
            <w:vAlign w:val="bottom"/>
          </w:tcPr>
          <w:p w14:paraId="2890FF79" w14:textId="77777777" w:rsidR="00D0555E" w:rsidRPr="0074065E" w:rsidRDefault="00D0555E" w:rsidP="00D404A7">
            <w:pPr>
              <w:spacing w:line="240" w:lineRule="exact"/>
              <w:rPr>
                <w:rtl/>
              </w:rPr>
            </w:pPr>
          </w:p>
        </w:tc>
        <w:tc>
          <w:tcPr>
            <w:tcW w:w="1274" w:type="dxa"/>
            <w:gridSpan w:val="2"/>
            <w:tcBorders>
              <w:bottom w:val="double" w:sz="6" w:space="0" w:color="auto"/>
            </w:tcBorders>
            <w:vAlign w:val="bottom"/>
          </w:tcPr>
          <w:p w14:paraId="5DA58877" w14:textId="77777777" w:rsidR="00D0555E" w:rsidRPr="0074065E" w:rsidRDefault="00D0555E" w:rsidP="00D404A7">
            <w:pPr>
              <w:tabs>
                <w:tab w:val="decimal" w:pos="113"/>
              </w:tabs>
              <w:spacing w:line="240" w:lineRule="exact"/>
              <w:rPr>
                <w:rtl/>
              </w:rPr>
            </w:pPr>
          </w:p>
        </w:tc>
        <w:tc>
          <w:tcPr>
            <w:tcW w:w="142" w:type="dxa"/>
            <w:gridSpan w:val="2"/>
            <w:vAlign w:val="bottom"/>
          </w:tcPr>
          <w:p w14:paraId="32713052" w14:textId="77777777" w:rsidR="00D0555E" w:rsidRPr="0074065E" w:rsidRDefault="00D0555E" w:rsidP="00D404A7">
            <w:pPr>
              <w:tabs>
                <w:tab w:val="decimal" w:pos="113"/>
              </w:tabs>
              <w:spacing w:line="240" w:lineRule="exact"/>
              <w:rPr>
                <w:rtl/>
              </w:rPr>
            </w:pPr>
          </w:p>
        </w:tc>
        <w:tc>
          <w:tcPr>
            <w:tcW w:w="1275" w:type="dxa"/>
            <w:gridSpan w:val="2"/>
            <w:tcBorders>
              <w:bottom w:val="double" w:sz="6" w:space="0" w:color="auto"/>
            </w:tcBorders>
            <w:vAlign w:val="bottom"/>
          </w:tcPr>
          <w:p w14:paraId="3B5793A1" w14:textId="77777777" w:rsidR="00D0555E" w:rsidRPr="0074065E" w:rsidRDefault="00D0555E" w:rsidP="00D404A7">
            <w:pPr>
              <w:tabs>
                <w:tab w:val="decimal" w:pos="113"/>
              </w:tabs>
              <w:spacing w:line="240" w:lineRule="exact"/>
              <w:rPr>
                <w:rtl/>
              </w:rPr>
            </w:pPr>
          </w:p>
        </w:tc>
      </w:tr>
    </w:tbl>
    <w:p w14:paraId="20DAD61E" w14:textId="77777777" w:rsidR="001A1C9B" w:rsidRDefault="001A1C9B" w:rsidP="001A1C9B">
      <w:pPr>
        <w:pStyle w:val="30"/>
        <w:rPr>
          <w:u w:val="single"/>
          <w:rtl/>
        </w:rPr>
      </w:pPr>
    </w:p>
    <w:p w14:paraId="02744017" w14:textId="77777777" w:rsidR="00D0555E" w:rsidRPr="001A1C9B" w:rsidRDefault="00D0555E" w:rsidP="001A1C9B">
      <w:pPr>
        <w:pStyle w:val="30"/>
        <w:rPr>
          <w:rtl/>
        </w:rPr>
      </w:pPr>
      <w:r w:rsidRPr="001A1C9B">
        <w:rPr>
          <w:u w:val="single"/>
          <w:rtl/>
        </w:rPr>
        <w:t>בדוח</w:t>
      </w:r>
      <w:r w:rsidRPr="001A1C9B">
        <w:rPr>
          <w:rFonts w:hint="eastAsia"/>
          <w:u w:val="single"/>
          <w:rtl/>
        </w:rPr>
        <w:t>ות</w:t>
      </w:r>
      <w:r w:rsidRPr="001A1C9B">
        <w:rPr>
          <w:u w:val="single"/>
          <w:rtl/>
        </w:rPr>
        <w:t xml:space="preserve"> </w:t>
      </w:r>
      <w:r w:rsidRPr="001A1C9B">
        <w:rPr>
          <w:rFonts w:hint="eastAsia"/>
          <w:u w:val="single"/>
          <w:rtl/>
        </w:rPr>
        <w:t>המאוחדים</w:t>
      </w:r>
      <w:r w:rsidRPr="001A1C9B">
        <w:rPr>
          <w:u w:val="single"/>
          <w:rtl/>
        </w:rPr>
        <w:t xml:space="preserve"> </w:t>
      </w:r>
      <w:r w:rsidRPr="001A1C9B">
        <w:rPr>
          <w:rFonts w:hint="eastAsia"/>
          <w:u w:val="single"/>
          <w:rtl/>
        </w:rPr>
        <w:t>על</w:t>
      </w:r>
      <w:r w:rsidRPr="001A1C9B">
        <w:rPr>
          <w:u w:val="single"/>
          <w:rtl/>
        </w:rPr>
        <w:t xml:space="preserve"> הרווח </w:t>
      </w:r>
      <w:r w:rsidRPr="001A1C9B">
        <w:rPr>
          <w:rFonts w:hint="cs"/>
          <w:u w:val="single"/>
          <w:rtl/>
        </w:rPr>
        <w:t xml:space="preserve">או </w:t>
      </w:r>
      <w:r w:rsidRPr="001A1C9B">
        <w:rPr>
          <w:rFonts w:hint="eastAsia"/>
          <w:u w:val="single"/>
          <w:rtl/>
        </w:rPr>
        <w:t>הפסד</w:t>
      </w:r>
      <w:r w:rsidRPr="001A1C9B">
        <w:rPr>
          <w:rStyle w:val="ab"/>
          <w:rtl/>
        </w:rPr>
        <w:footnoteReference w:id="89"/>
      </w:r>
    </w:p>
    <w:tbl>
      <w:tblPr>
        <w:bidiVisual/>
        <w:tblW w:w="0" w:type="auto"/>
        <w:tblInd w:w="1646" w:type="dxa"/>
        <w:tblLayout w:type="fixed"/>
        <w:tblCellMar>
          <w:left w:w="0" w:type="dxa"/>
          <w:right w:w="0" w:type="dxa"/>
        </w:tblCellMar>
        <w:tblLook w:val="0000" w:firstRow="0" w:lastRow="0" w:firstColumn="0" w:lastColumn="0" w:noHBand="0" w:noVBand="0"/>
      </w:tblPr>
      <w:tblGrid>
        <w:gridCol w:w="3695"/>
        <w:gridCol w:w="126"/>
        <w:gridCol w:w="1196"/>
        <w:gridCol w:w="141"/>
        <w:gridCol w:w="1276"/>
        <w:gridCol w:w="142"/>
        <w:gridCol w:w="1397"/>
        <w:gridCol w:w="20"/>
      </w:tblGrid>
      <w:tr w:rsidR="00D0555E" w:rsidRPr="00C454B8" w14:paraId="2F879E84" w14:textId="77777777" w:rsidTr="001A1C9B">
        <w:tc>
          <w:tcPr>
            <w:tcW w:w="3695" w:type="dxa"/>
            <w:vAlign w:val="bottom"/>
          </w:tcPr>
          <w:p w14:paraId="1722FC4C" w14:textId="77777777" w:rsidR="00D0555E" w:rsidRPr="00C454B8" w:rsidRDefault="00D0555E" w:rsidP="00D404A7">
            <w:pPr>
              <w:pStyle w:val="a3"/>
              <w:tabs>
                <w:tab w:val="left" w:pos="227"/>
                <w:tab w:val="left" w:pos="397"/>
                <w:tab w:val="left" w:pos="567"/>
              </w:tabs>
              <w:ind w:left="227" w:hanging="170"/>
              <w:rPr>
                <w:sz w:val="22"/>
                <w:rtl/>
              </w:rPr>
            </w:pPr>
          </w:p>
        </w:tc>
        <w:tc>
          <w:tcPr>
            <w:tcW w:w="126" w:type="dxa"/>
            <w:vAlign w:val="bottom"/>
          </w:tcPr>
          <w:p w14:paraId="3435AABB" w14:textId="77777777" w:rsidR="00D0555E" w:rsidRPr="0074065E" w:rsidRDefault="00D0555E" w:rsidP="00D404A7">
            <w:pPr>
              <w:spacing w:line="240" w:lineRule="exact"/>
              <w:jc w:val="center"/>
              <w:rPr>
                <w:rtl/>
              </w:rPr>
            </w:pPr>
          </w:p>
        </w:tc>
        <w:tc>
          <w:tcPr>
            <w:tcW w:w="1196" w:type="dxa"/>
            <w:tcBorders>
              <w:bottom w:val="single" w:sz="6" w:space="0" w:color="auto"/>
            </w:tcBorders>
            <w:shd w:val="clear" w:color="auto" w:fill="auto"/>
            <w:vAlign w:val="bottom"/>
          </w:tcPr>
          <w:p w14:paraId="78D107FE" w14:textId="18E3D993" w:rsidR="00D0555E" w:rsidRPr="0074065E" w:rsidRDefault="00D0555E" w:rsidP="00D404A7">
            <w:pPr>
              <w:spacing w:line="240" w:lineRule="exact"/>
              <w:jc w:val="center"/>
              <w:rPr>
                <w:rtl/>
              </w:rPr>
            </w:pPr>
            <w:r>
              <w:rPr>
                <w:rFonts w:hint="cs"/>
                <w:rtl/>
              </w:rPr>
              <w:t>בהתאם למדיניות הקודמת</w:t>
            </w:r>
          </w:p>
        </w:tc>
        <w:tc>
          <w:tcPr>
            <w:tcW w:w="141" w:type="dxa"/>
            <w:vAlign w:val="bottom"/>
          </w:tcPr>
          <w:p w14:paraId="062C8FB7" w14:textId="77777777" w:rsidR="00D0555E" w:rsidRPr="0074065E" w:rsidRDefault="00D0555E" w:rsidP="00D404A7">
            <w:pPr>
              <w:spacing w:line="240" w:lineRule="exact"/>
              <w:jc w:val="center"/>
              <w:rPr>
                <w:rtl/>
              </w:rPr>
            </w:pPr>
          </w:p>
        </w:tc>
        <w:tc>
          <w:tcPr>
            <w:tcW w:w="1276" w:type="dxa"/>
            <w:tcBorders>
              <w:bottom w:val="single" w:sz="6" w:space="0" w:color="auto"/>
            </w:tcBorders>
            <w:vAlign w:val="bottom"/>
          </w:tcPr>
          <w:p w14:paraId="76921D71" w14:textId="781EA514" w:rsidR="00D0555E" w:rsidRPr="0074065E" w:rsidRDefault="00D0555E" w:rsidP="00D0555E">
            <w:pPr>
              <w:spacing w:line="240" w:lineRule="exact"/>
              <w:jc w:val="center"/>
              <w:rPr>
                <w:rtl/>
              </w:rPr>
            </w:pPr>
            <w:r w:rsidRPr="0074065E">
              <w:rPr>
                <w:rtl/>
              </w:rPr>
              <w:t>השינוי</w:t>
            </w:r>
          </w:p>
        </w:tc>
        <w:tc>
          <w:tcPr>
            <w:tcW w:w="142" w:type="dxa"/>
            <w:vAlign w:val="bottom"/>
          </w:tcPr>
          <w:p w14:paraId="5E808092" w14:textId="77777777" w:rsidR="00D0555E" w:rsidRPr="0074065E" w:rsidRDefault="00D0555E" w:rsidP="00D404A7">
            <w:pPr>
              <w:spacing w:line="240" w:lineRule="exact"/>
              <w:jc w:val="center"/>
              <w:rPr>
                <w:rtl/>
              </w:rPr>
            </w:pPr>
          </w:p>
        </w:tc>
        <w:tc>
          <w:tcPr>
            <w:tcW w:w="1417" w:type="dxa"/>
            <w:gridSpan w:val="2"/>
            <w:tcBorders>
              <w:bottom w:val="single" w:sz="6" w:space="0" w:color="auto"/>
            </w:tcBorders>
            <w:vAlign w:val="bottom"/>
          </w:tcPr>
          <w:p w14:paraId="02D13915" w14:textId="77777777" w:rsidR="00D0555E" w:rsidRPr="0074065E" w:rsidRDefault="00D0555E" w:rsidP="00D404A7">
            <w:pPr>
              <w:spacing w:line="240" w:lineRule="exact"/>
              <w:jc w:val="center"/>
              <w:rPr>
                <w:rtl/>
              </w:rPr>
            </w:pPr>
            <w:r w:rsidRPr="0074065E">
              <w:rPr>
                <w:rtl/>
              </w:rPr>
              <w:t>כמוצג בדוחות כספיים אלו</w:t>
            </w:r>
          </w:p>
        </w:tc>
      </w:tr>
      <w:tr w:rsidR="00D0555E" w:rsidRPr="00C454B8" w14:paraId="3B15757D" w14:textId="77777777" w:rsidTr="001A1C9B">
        <w:tc>
          <w:tcPr>
            <w:tcW w:w="3695" w:type="dxa"/>
            <w:vAlign w:val="bottom"/>
          </w:tcPr>
          <w:p w14:paraId="00D8F72A" w14:textId="77777777" w:rsidR="00D0555E" w:rsidRPr="00C454B8" w:rsidRDefault="00D0555E" w:rsidP="00D404A7">
            <w:pPr>
              <w:pStyle w:val="a3"/>
              <w:tabs>
                <w:tab w:val="left" w:pos="227"/>
                <w:tab w:val="left" w:pos="397"/>
                <w:tab w:val="left" w:pos="567"/>
              </w:tabs>
              <w:ind w:left="227" w:hanging="170"/>
              <w:rPr>
                <w:sz w:val="22"/>
                <w:rtl/>
              </w:rPr>
            </w:pPr>
          </w:p>
        </w:tc>
        <w:tc>
          <w:tcPr>
            <w:tcW w:w="126" w:type="dxa"/>
            <w:vAlign w:val="bottom"/>
          </w:tcPr>
          <w:p w14:paraId="1E8EBC22" w14:textId="77777777" w:rsidR="00D0555E" w:rsidRPr="0074065E" w:rsidRDefault="00D0555E" w:rsidP="00D404A7">
            <w:pPr>
              <w:spacing w:line="240" w:lineRule="exact"/>
              <w:rPr>
                <w:rtl/>
              </w:rPr>
            </w:pPr>
          </w:p>
        </w:tc>
        <w:tc>
          <w:tcPr>
            <w:tcW w:w="4172" w:type="dxa"/>
            <w:gridSpan w:val="6"/>
            <w:tcBorders>
              <w:bottom w:val="single" w:sz="6" w:space="0" w:color="auto"/>
            </w:tcBorders>
            <w:shd w:val="clear" w:color="auto" w:fill="auto"/>
            <w:vAlign w:val="bottom"/>
          </w:tcPr>
          <w:p w14:paraId="64D42ED4" w14:textId="77777777" w:rsidR="00D0555E" w:rsidRPr="0074065E" w:rsidRDefault="00D0555E" w:rsidP="00D404A7">
            <w:pPr>
              <w:tabs>
                <w:tab w:val="decimal" w:pos="113"/>
              </w:tabs>
              <w:spacing w:line="240" w:lineRule="exact"/>
              <w:jc w:val="center"/>
              <w:rPr>
                <w:rtl/>
              </w:rPr>
            </w:pPr>
            <w:r w:rsidRPr="0074065E">
              <w:rPr>
                <w:rtl/>
              </w:rPr>
              <w:t>אלפי ש"ח (למעט נתוני רווח נקי (הפסד) למניה)</w:t>
            </w:r>
          </w:p>
        </w:tc>
      </w:tr>
      <w:tr w:rsidR="00D0555E" w:rsidRPr="00C454B8" w14:paraId="563A5A3E" w14:textId="77777777" w:rsidTr="001A1C9B">
        <w:trPr>
          <w:gridAfter w:val="1"/>
          <w:wAfter w:w="20" w:type="dxa"/>
        </w:trPr>
        <w:tc>
          <w:tcPr>
            <w:tcW w:w="3695" w:type="dxa"/>
            <w:vAlign w:val="bottom"/>
          </w:tcPr>
          <w:p w14:paraId="4C30E88A" w14:textId="7EDA34EC" w:rsidR="00D0555E" w:rsidRPr="00C454B8" w:rsidRDefault="00D0555E" w:rsidP="00A56010">
            <w:pPr>
              <w:pStyle w:val="a3"/>
              <w:tabs>
                <w:tab w:val="left" w:pos="227"/>
                <w:tab w:val="left" w:pos="397"/>
                <w:tab w:val="left" w:pos="567"/>
              </w:tabs>
              <w:ind w:left="227" w:hanging="170"/>
              <w:rPr>
                <w:sz w:val="22"/>
                <w:u w:val="single"/>
                <w:rtl/>
              </w:rPr>
            </w:pPr>
            <w:r w:rsidRPr="00C454B8">
              <w:rPr>
                <w:sz w:val="22"/>
                <w:u w:val="single"/>
                <w:rtl/>
              </w:rPr>
              <w:t xml:space="preserve">ל-9 </w:t>
            </w:r>
            <w:r w:rsidRPr="00C454B8">
              <w:rPr>
                <w:rFonts w:hint="eastAsia"/>
                <w:sz w:val="22"/>
                <w:u w:val="single"/>
                <w:rtl/>
              </w:rPr>
              <w:t>החודשים</w:t>
            </w:r>
            <w:r w:rsidRPr="00C454B8">
              <w:rPr>
                <w:sz w:val="22"/>
                <w:u w:val="single"/>
                <w:rtl/>
              </w:rPr>
              <w:t xml:space="preserve"> </w:t>
            </w:r>
            <w:r w:rsidRPr="00C454B8">
              <w:rPr>
                <w:rFonts w:hint="eastAsia"/>
                <w:sz w:val="22"/>
                <w:u w:val="single"/>
                <w:rtl/>
              </w:rPr>
              <w:t>שהסתיימו</w:t>
            </w:r>
            <w:r w:rsidRPr="00C454B8">
              <w:rPr>
                <w:sz w:val="22"/>
                <w:u w:val="single"/>
                <w:rtl/>
              </w:rPr>
              <w:t xml:space="preserve"> </w:t>
            </w:r>
            <w:r w:rsidRPr="00C454B8">
              <w:rPr>
                <w:rFonts w:hint="eastAsia"/>
                <w:sz w:val="22"/>
                <w:u w:val="single"/>
                <w:rtl/>
              </w:rPr>
              <w:t>ביום</w:t>
            </w:r>
            <w:r w:rsidRPr="00C454B8">
              <w:rPr>
                <w:sz w:val="22"/>
                <w:u w:val="single"/>
                <w:rtl/>
              </w:rPr>
              <w:t xml:space="preserve"> 30 </w:t>
            </w:r>
            <w:r w:rsidRPr="00C454B8">
              <w:rPr>
                <w:rFonts w:hint="eastAsia"/>
                <w:sz w:val="22"/>
                <w:u w:val="single"/>
                <w:rtl/>
              </w:rPr>
              <w:t>בספטמבר</w:t>
            </w:r>
            <w:r w:rsidRPr="00C454B8">
              <w:rPr>
                <w:sz w:val="22"/>
                <w:u w:val="single"/>
                <w:rtl/>
              </w:rPr>
              <w:t xml:space="preserve">, </w:t>
            </w:r>
            <w:r>
              <w:rPr>
                <w:rFonts w:hint="cs"/>
                <w:sz w:val="22"/>
                <w:u w:val="single"/>
                <w:rtl/>
              </w:rPr>
              <w:t>201</w:t>
            </w:r>
            <w:r w:rsidR="00A56010">
              <w:rPr>
                <w:rFonts w:hint="cs"/>
                <w:sz w:val="22"/>
                <w:u w:val="single"/>
                <w:rtl/>
              </w:rPr>
              <w:t>9</w:t>
            </w:r>
          </w:p>
        </w:tc>
        <w:tc>
          <w:tcPr>
            <w:tcW w:w="126" w:type="dxa"/>
            <w:vAlign w:val="bottom"/>
          </w:tcPr>
          <w:p w14:paraId="0B55CC61" w14:textId="77777777" w:rsidR="00D0555E" w:rsidRPr="0074065E" w:rsidRDefault="00D0555E" w:rsidP="00D404A7">
            <w:pPr>
              <w:spacing w:line="240" w:lineRule="exact"/>
              <w:rPr>
                <w:rtl/>
              </w:rPr>
            </w:pPr>
          </w:p>
        </w:tc>
        <w:tc>
          <w:tcPr>
            <w:tcW w:w="1196" w:type="dxa"/>
            <w:vAlign w:val="bottom"/>
          </w:tcPr>
          <w:p w14:paraId="758E5B55" w14:textId="77777777" w:rsidR="00D0555E" w:rsidRPr="0074065E" w:rsidRDefault="00D0555E" w:rsidP="00D404A7">
            <w:pPr>
              <w:spacing w:line="240" w:lineRule="exact"/>
              <w:rPr>
                <w:rtl/>
              </w:rPr>
            </w:pPr>
          </w:p>
        </w:tc>
        <w:tc>
          <w:tcPr>
            <w:tcW w:w="141" w:type="dxa"/>
            <w:vAlign w:val="bottom"/>
          </w:tcPr>
          <w:p w14:paraId="7152D1A0" w14:textId="77777777" w:rsidR="00D0555E" w:rsidRPr="0074065E" w:rsidRDefault="00D0555E" w:rsidP="00D404A7">
            <w:pPr>
              <w:spacing w:line="240" w:lineRule="exact"/>
              <w:rPr>
                <w:rtl/>
              </w:rPr>
            </w:pPr>
          </w:p>
        </w:tc>
        <w:tc>
          <w:tcPr>
            <w:tcW w:w="1276" w:type="dxa"/>
            <w:vAlign w:val="bottom"/>
          </w:tcPr>
          <w:p w14:paraId="1140C9CF" w14:textId="77777777" w:rsidR="00D0555E" w:rsidRPr="0074065E" w:rsidRDefault="00D0555E" w:rsidP="00D404A7">
            <w:pPr>
              <w:tabs>
                <w:tab w:val="decimal" w:pos="113"/>
              </w:tabs>
              <w:spacing w:line="240" w:lineRule="exact"/>
              <w:rPr>
                <w:rtl/>
              </w:rPr>
            </w:pPr>
          </w:p>
        </w:tc>
        <w:tc>
          <w:tcPr>
            <w:tcW w:w="142" w:type="dxa"/>
            <w:vAlign w:val="bottom"/>
          </w:tcPr>
          <w:p w14:paraId="7D8AC637" w14:textId="77777777" w:rsidR="00D0555E" w:rsidRPr="0074065E" w:rsidRDefault="00D0555E" w:rsidP="00D404A7">
            <w:pPr>
              <w:tabs>
                <w:tab w:val="decimal" w:pos="113"/>
              </w:tabs>
              <w:spacing w:line="240" w:lineRule="exact"/>
              <w:rPr>
                <w:rtl/>
              </w:rPr>
            </w:pPr>
          </w:p>
        </w:tc>
        <w:tc>
          <w:tcPr>
            <w:tcW w:w="1397" w:type="dxa"/>
            <w:vAlign w:val="bottom"/>
          </w:tcPr>
          <w:p w14:paraId="4FE318C7" w14:textId="77777777" w:rsidR="00D0555E" w:rsidRPr="0074065E" w:rsidRDefault="00D0555E" w:rsidP="00D404A7">
            <w:pPr>
              <w:tabs>
                <w:tab w:val="decimal" w:pos="113"/>
              </w:tabs>
              <w:spacing w:line="240" w:lineRule="exact"/>
              <w:rPr>
                <w:rtl/>
              </w:rPr>
            </w:pPr>
          </w:p>
        </w:tc>
      </w:tr>
      <w:tr w:rsidR="00D0555E" w:rsidRPr="001A1C9B" w14:paraId="4B2ED05D" w14:textId="77777777" w:rsidTr="001A1C9B">
        <w:trPr>
          <w:gridAfter w:val="1"/>
          <w:wAfter w:w="20" w:type="dxa"/>
        </w:trPr>
        <w:tc>
          <w:tcPr>
            <w:tcW w:w="3695" w:type="dxa"/>
            <w:vAlign w:val="bottom"/>
          </w:tcPr>
          <w:p w14:paraId="17A4CF19" w14:textId="77777777" w:rsidR="00D0555E" w:rsidRPr="001A1C9B" w:rsidRDefault="00D0555E" w:rsidP="001A1C9B">
            <w:pPr>
              <w:pStyle w:val="a3"/>
              <w:tabs>
                <w:tab w:val="left" w:pos="227"/>
                <w:tab w:val="left" w:pos="397"/>
                <w:tab w:val="left" w:pos="567"/>
              </w:tabs>
              <w:spacing w:line="240" w:lineRule="auto"/>
              <w:ind w:left="227" w:hanging="170"/>
              <w:rPr>
                <w:sz w:val="18"/>
                <w:szCs w:val="20"/>
                <w:rtl/>
              </w:rPr>
            </w:pPr>
          </w:p>
        </w:tc>
        <w:tc>
          <w:tcPr>
            <w:tcW w:w="126" w:type="dxa"/>
            <w:vAlign w:val="bottom"/>
          </w:tcPr>
          <w:p w14:paraId="28A9AC01" w14:textId="77777777" w:rsidR="00D0555E" w:rsidRPr="001A1C9B" w:rsidRDefault="00D0555E" w:rsidP="001A1C9B">
            <w:pPr>
              <w:spacing w:line="240" w:lineRule="auto"/>
              <w:rPr>
                <w:sz w:val="18"/>
                <w:szCs w:val="20"/>
                <w:rtl/>
              </w:rPr>
            </w:pPr>
          </w:p>
        </w:tc>
        <w:tc>
          <w:tcPr>
            <w:tcW w:w="1196" w:type="dxa"/>
            <w:vAlign w:val="bottom"/>
          </w:tcPr>
          <w:p w14:paraId="10386581" w14:textId="77777777" w:rsidR="00D0555E" w:rsidRPr="001A1C9B" w:rsidRDefault="00D0555E" w:rsidP="001A1C9B">
            <w:pPr>
              <w:spacing w:line="240" w:lineRule="auto"/>
              <w:rPr>
                <w:sz w:val="18"/>
                <w:szCs w:val="20"/>
                <w:rtl/>
              </w:rPr>
            </w:pPr>
          </w:p>
        </w:tc>
        <w:tc>
          <w:tcPr>
            <w:tcW w:w="141" w:type="dxa"/>
            <w:vAlign w:val="bottom"/>
          </w:tcPr>
          <w:p w14:paraId="5E9AAFBF" w14:textId="77777777" w:rsidR="00D0555E" w:rsidRPr="001A1C9B" w:rsidRDefault="00D0555E" w:rsidP="001A1C9B">
            <w:pPr>
              <w:spacing w:line="240" w:lineRule="auto"/>
              <w:rPr>
                <w:sz w:val="18"/>
                <w:szCs w:val="20"/>
                <w:rtl/>
              </w:rPr>
            </w:pPr>
          </w:p>
        </w:tc>
        <w:tc>
          <w:tcPr>
            <w:tcW w:w="1276" w:type="dxa"/>
            <w:vAlign w:val="bottom"/>
          </w:tcPr>
          <w:p w14:paraId="6F5520D4" w14:textId="77777777" w:rsidR="00D0555E" w:rsidRPr="001A1C9B" w:rsidRDefault="00D0555E" w:rsidP="001A1C9B">
            <w:pPr>
              <w:tabs>
                <w:tab w:val="decimal" w:pos="113"/>
              </w:tabs>
              <w:spacing w:line="240" w:lineRule="auto"/>
              <w:rPr>
                <w:sz w:val="18"/>
                <w:szCs w:val="20"/>
                <w:rtl/>
              </w:rPr>
            </w:pPr>
          </w:p>
        </w:tc>
        <w:tc>
          <w:tcPr>
            <w:tcW w:w="142" w:type="dxa"/>
            <w:vAlign w:val="bottom"/>
          </w:tcPr>
          <w:p w14:paraId="2FD95B2E" w14:textId="77777777" w:rsidR="00D0555E" w:rsidRPr="001A1C9B" w:rsidRDefault="00D0555E" w:rsidP="001A1C9B">
            <w:pPr>
              <w:tabs>
                <w:tab w:val="decimal" w:pos="113"/>
              </w:tabs>
              <w:spacing w:line="240" w:lineRule="auto"/>
              <w:rPr>
                <w:sz w:val="18"/>
                <w:szCs w:val="20"/>
                <w:rtl/>
              </w:rPr>
            </w:pPr>
          </w:p>
        </w:tc>
        <w:tc>
          <w:tcPr>
            <w:tcW w:w="1397" w:type="dxa"/>
            <w:vAlign w:val="bottom"/>
          </w:tcPr>
          <w:p w14:paraId="408BB86C" w14:textId="77777777" w:rsidR="00D0555E" w:rsidRPr="001A1C9B" w:rsidRDefault="00D0555E" w:rsidP="001A1C9B">
            <w:pPr>
              <w:tabs>
                <w:tab w:val="decimal" w:pos="113"/>
              </w:tabs>
              <w:spacing w:line="240" w:lineRule="auto"/>
              <w:rPr>
                <w:sz w:val="18"/>
                <w:szCs w:val="20"/>
                <w:rtl/>
              </w:rPr>
            </w:pPr>
          </w:p>
        </w:tc>
      </w:tr>
      <w:tr w:rsidR="00D0555E" w:rsidRPr="00C454B8" w14:paraId="181D2C89" w14:textId="77777777" w:rsidTr="001A1C9B">
        <w:trPr>
          <w:gridAfter w:val="1"/>
          <w:wAfter w:w="20" w:type="dxa"/>
        </w:trPr>
        <w:tc>
          <w:tcPr>
            <w:tcW w:w="3695" w:type="dxa"/>
            <w:vAlign w:val="bottom"/>
          </w:tcPr>
          <w:p w14:paraId="5DFC646A" w14:textId="77777777" w:rsidR="00D0555E" w:rsidRPr="00C454B8" w:rsidRDefault="00D0555E" w:rsidP="00D404A7">
            <w:pPr>
              <w:pStyle w:val="a3"/>
              <w:tabs>
                <w:tab w:val="left" w:pos="227"/>
                <w:tab w:val="left" w:pos="397"/>
                <w:tab w:val="left" w:pos="567"/>
              </w:tabs>
              <w:ind w:left="227" w:hanging="170"/>
              <w:rPr>
                <w:sz w:val="22"/>
                <w:rtl/>
              </w:rPr>
            </w:pPr>
            <w:r w:rsidRPr="00C454B8">
              <w:rPr>
                <w:rFonts w:hint="eastAsia"/>
                <w:sz w:val="22"/>
                <w:rtl/>
              </w:rPr>
              <w:t>מסים</w:t>
            </w:r>
            <w:r w:rsidRPr="00C454B8">
              <w:rPr>
                <w:sz w:val="22"/>
                <w:rtl/>
              </w:rPr>
              <w:t xml:space="preserve"> </w:t>
            </w:r>
            <w:r w:rsidRPr="00C454B8">
              <w:rPr>
                <w:rFonts w:hint="eastAsia"/>
                <w:sz w:val="22"/>
                <w:rtl/>
              </w:rPr>
              <w:t>על</w:t>
            </w:r>
            <w:r w:rsidRPr="00C454B8">
              <w:rPr>
                <w:sz w:val="22"/>
                <w:rtl/>
              </w:rPr>
              <w:t xml:space="preserve"> </w:t>
            </w:r>
            <w:r w:rsidRPr="00C454B8">
              <w:rPr>
                <w:rFonts w:hint="eastAsia"/>
                <w:sz w:val="22"/>
                <w:rtl/>
              </w:rPr>
              <w:t>ההכנסה</w:t>
            </w:r>
            <w:r w:rsidRPr="00C454B8">
              <w:rPr>
                <w:sz w:val="22"/>
                <w:rtl/>
              </w:rPr>
              <w:t xml:space="preserve"> (הטבת </w:t>
            </w:r>
            <w:r w:rsidRPr="00C454B8">
              <w:rPr>
                <w:rFonts w:hint="eastAsia"/>
                <w:sz w:val="22"/>
                <w:rtl/>
              </w:rPr>
              <w:t>מס</w:t>
            </w:r>
            <w:r w:rsidRPr="00C454B8">
              <w:rPr>
                <w:sz w:val="22"/>
                <w:rtl/>
              </w:rPr>
              <w:t>)</w:t>
            </w:r>
          </w:p>
        </w:tc>
        <w:tc>
          <w:tcPr>
            <w:tcW w:w="126" w:type="dxa"/>
            <w:vAlign w:val="bottom"/>
          </w:tcPr>
          <w:p w14:paraId="36A50E2D" w14:textId="77777777" w:rsidR="00D0555E" w:rsidRPr="0074065E" w:rsidRDefault="00D0555E" w:rsidP="00D404A7">
            <w:pPr>
              <w:spacing w:line="240" w:lineRule="exact"/>
              <w:rPr>
                <w:rtl/>
              </w:rPr>
            </w:pPr>
          </w:p>
        </w:tc>
        <w:tc>
          <w:tcPr>
            <w:tcW w:w="1196" w:type="dxa"/>
            <w:tcBorders>
              <w:bottom w:val="double" w:sz="6" w:space="0" w:color="auto"/>
            </w:tcBorders>
            <w:shd w:val="clear" w:color="auto" w:fill="auto"/>
            <w:vAlign w:val="bottom"/>
          </w:tcPr>
          <w:p w14:paraId="751D9BC0" w14:textId="77777777" w:rsidR="00D0555E" w:rsidRPr="0074065E" w:rsidRDefault="00D0555E" w:rsidP="00D404A7">
            <w:pPr>
              <w:spacing w:line="240" w:lineRule="exact"/>
              <w:rPr>
                <w:rtl/>
              </w:rPr>
            </w:pPr>
          </w:p>
        </w:tc>
        <w:tc>
          <w:tcPr>
            <w:tcW w:w="141" w:type="dxa"/>
            <w:vAlign w:val="bottom"/>
          </w:tcPr>
          <w:p w14:paraId="0BED18ED" w14:textId="77777777" w:rsidR="00D0555E" w:rsidRPr="0074065E" w:rsidRDefault="00D0555E" w:rsidP="00D404A7">
            <w:pPr>
              <w:spacing w:line="240" w:lineRule="exact"/>
              <w:rPr>
                <w:rtl/>
              </w:rPr>
            </w:pPr>
          </w:p>
        </w:tc>
        <w:tc>
          <w:tcPr>
            <w:tcW w:w="1276" w:type="dxa"/>
            <w:tcBorders>
              <w:bottom w:val="double" w:sz="6" w:space="0" w:color="auto"/>
            </w:tcBorders>
            <w:shd w:val="clear" w:color="auto" w:fill="auto"/>
            <w:vAlign w:val="bottom"/>
          </w:tcPr>
          <w:p w14:paraId="21E1FF76" w14:textId="77777777" w:rsidR="00D0555E" w:rsidRPr="0074065E" w:rsidRDefault="00D0555E" w:rsidP="00D404A7">
            <w:pPr>
              <w:tabs>
                <w:tab w:val="decimal" w:pos="113"/>
              </w:tabs>
              <w:spacing w:line="240" w:lineRule="exact"/>
              <w:rPr>
                <w:rtl/>
              </w:rPr>
            </w:pPr>
          </w:p>
        </w:tc>
        <w:tc>
          <w:tcPr>
            <w:tcW w:w="142" w:type="dxa"/>
            <w:vAlign w:val="bottom"/>
          </w:tcPr>
          <w:p w14:paraId="761210A7" w14:textId="77777777" w:rsidR="00D0555E" w:rsidRPr="0074065E" w:rsidRDefault="00D0555E" w:rsidP="00D404A7">
            <w:pPr>
              <w:tabs>
                <w:tab w:val="decimal" w:pos="113"/>
              </w:tabs>
              <w:spacing w:line="240" w:lineRule="exact"/>
              <w:rPr>
                <w:rtl/>
              </w:rPr>
            </w:pPr>
          </w:p>
        </w:tc>
        <w:tc>
          <w:tcPr>
            <w:tcW w:w="1397" w:type="dxa"/>
            <w:tcBorders>
              <w:bottom w:val="double" w:sz="6" w:space="0" w:color="auto"/>
            </w:tcBorders>
            <w:shd w:val="clear" w:color="auto" w:fill="auto"/>
            <w:vAlign w:val="bottom"/>
          </w:tcPr>
          <w:p w14:paraId="2E15DF1D" w14:textId="77777777" w:rsidR="00D0555E" w:rsidRPr="0074065E" w:rsidRDefault="00D0555E" w:rsidP="00D404A7">
            <w:pPr>
              <w:tabs>
                <w:tab w:val="decimal" w:pos="113"/>
              </w:tabs>
              <w:spacing w:line="240" w:lineRule="exact"/>
              <w:rPr>
                <w:rtl/>
              </w:rPr>
            </w:pPr>
          </w:p>
        </w:tc>
      </w:tr>
      <w:tr w:rsidR="00D0555E" w:rsidRPr="001A1C9B" w14:paraId="31034987" w14:textId="77777777" w:rsidTr="001A1C9B">
        <w:trPr>
          <w:gridAfter w:val="1"/>
          <w:wAfter w:w="20" w:type="dxa"/>
        </w:trPr>
        <w:tc>
          <w:tcPr>
            <w:tcW w:w="3695" w:type="dxa"/>
            <w:vAlign w:val="bottom"/>
          </w:tcPr>
          <w:p w14:paraId="324244CF" w14:textId="77777777" w:rsidR="00D0555E" w:rsidRPr="001A1C9B" w:rsidRDefault="00D0555E" w:rsidP="001A1C9B">
            <w:pPr>
              <w:pStyle w:val="a3"/>
              <w:tabs>
                <w:tab w:val="left" w:pos="227"/>
                <w:tab w:val="left" w:pos="397"/>
                <w:tab w:val="left" w:pos="567"/>
              </w:tabs>
              <w:spacing w:line="240" w:lineRule="auto"/>
              <w:ind w:left="227" w:hanging="170"/>
              <w:rPr>
                <w:sz w:val="16"/>
                <w:szCs w:val="18"/>
                <w:rtl/>
              </w:rPr>
            </w:pPr>
          </w:p>
        </w:tc>
        <w:tc>
          <w:tcPr>
            <w:tcW w:w="126" w:type="dxa"/>
            <w:vAlign w:val="bottom"/>
          </w:tcPr>
          <w:p w14:paraId="33568627" w14:textId="77777777" w:rsidR="00D0555E" w:rsidRPr="001A1C9B" w:rsidRDefault="00D0555E" w:rsidP="001A1C9B">
            <w:pPr>
              <w:spacing w:line="240" w:lineRule="auto"/>
              <w:rPr>
                <w:sz w:val="16"/>
                <w:szCs w:val="18"/>
                <w:rtl/>
              </w:rPr>
            </w:pPr>
          </w:p>
        </w:tc>
        <w:tc>
          <w:tcPr>
            <w:tcW w:w="1196" w:type="dxa"/>
            <w:tcBorders>
              <w:top w:val="double" w:sz="6" w:space="0" w:color="auto"/>
            </w:tcBorders>
            <w:shd w:val="clear" w:color="auto" w:fill="auto"/>
            <w:vAlign w:val="bottom"/>
          </w:tcPr>
          <w:p w14:paraId="19654E8D" w14:textId="77777777" w:rsidR="00D0555E" w:rsidRPr="001A1C9B" w:rsidRDefault="00D0555E" w:rsidP="001A1C9B">
            <w:pPr>
              <w:spacing w:line="240" w:lineRule="auto"/>
              <w:rPr>
                <w:sz w:val="16"/>
                <w:szCs w:val="18"/>
                <w:rtl/>
              </w:rPr>
            </w:pPr>
          </w:p>
        </w:tc>
        <w:tc>
          <w:tcPr>
            <w:tcW w:w="141" w:type="dxa"/>
            <w:vAlign w:val="bottom"/>
          </w:tcPr>
          <w:p w14:paraId="5E833C88" w14:textId="77777777" w:rsidR="00D0555E" w:rsidRPr="001A1C9B" w:rsidRDefault="00D0555E" w:rsidP="001A1C9B">
            <w:pPr>
              <w:spacing w:line="240" w:lineRule="auto"/>
              <w:rPr>
                <w:sz w:val="16"/>
                <w:szCs w:val="18"/>
                <w:rtl/>
              </w:rPr>
            </w:pPr>
          </w:p>
        </w:tc>
        <w:tc>
          <w:tcPr>
            <w:tcW w:w="1276" w:type="dxa"/>
            <w:tcBorders>
              <w:top w:val="double" w:sz="6" w:space="0" w:color="auto"/>
            </w:tcBorders>
            <w:shd w:val="clear" w:color="auto" w:fill="auto"/>
            <w:vAlign w:val="bottom"/>
          </w:tcPr>
          <w:p w14:paraId="6BB607EB" w14:textId="77777777" w:rsidR="00D0555E" w:rsidRPr="001A1C9B" w:rsidRDefault="00D0555E" w:rsidP="001A1C9B">
            <w:pPr>
              <w:tabs>
                <w:tab w:val="decimal" w:pos="113"/>
              </w:tabs>
              <w:spacing w:line="240" w:lineRule="auto"/>
              <w:rPr>
                <w:sz w:val="16"/>
                <w:szCs w:val="18"/>
                <w:rtl/>
              </w:rPr>
            </w:pPr>
          </w:p>
        </w:tc>
        <w:tc>
          <w:tcPr>
            <w:tcW w:w="142" w:type="dxa"/>
            <w:vAlign w:val="bottom"/>
          </w:tcPr>
          <w:p w14:paraId="415AAC65" w14:textId="77777777" w:rsidR="00D0555E" w:rsidRPr="001A1C9B" w:rsidRDefault="00D0555E" w:rsidP="001A1C9B">
            <w:pPr>
              <w:tabs>
                <w:tab w:val="decimal" w:pos="113"/>
              </w:tabs>
              <w:spacing w:line="240" w:lineRule="auto"/>
              <w:rPr>
                <w:sz w:val="16"/>
                <w:szCs w:val="18"/>
                <w:rtl/>
              </w:rPr>
            </w:pPr>
          </w:p>
        </w:tc>
        <w:tc>
          <w:tcPr>
            <w:tcW w:w="1397" w:type="dxa"/>
            <w:tcBorders>
              <w:top w:val="double" w:sz="6" w:space="0" w:color="auto"/>
            </w:tcBorders>
            <w:shd w:val="clear" w:color="auto" w:fill="auto"/>
            <w:vAlign w:val="bottom"/>
          </w:tcPr>
          <w:p w14:paraId="4E94796E" w14:textId="77777777" w:rsidR="00D0555E" w:rsidRPr="001A1C9B" w:rsidRDefault="00D0555E" w:rsidP="001A1C9B">
            <w:pPr>
              <w:tabs>
                <w:tab w:val="decimal" w:pos="113"/>
              </w:tabs>
              <w:spacing w:line="240" w:lineRule="auto"/>
              <w:rPr>
                <w:sz w:val="16"/>
                <w:szCs w:val="18"/>
                <w:rtl/>
              </w:rPr>
            </w:pPr>
          </w:p>
        </w:tc>
      </w:tr>
      <w:tr w:rsidR="00D0555E" w:rsidRPr="00C454B8" w14:paraId="2C99EEAE" w14:textId="77777777" w:rsidTr="001A1C9B">
        <w:trPr>
          <w:gridAfter w:val="1"/>
          <w:wAfter w:w="20" w:type="dxa"/>
        </w:trPr>
        <w:tc>
          <w:tcPr>
            <w:tcW w:w="3695" w:type="dxa"/>
            <w:vAlign w:val="bottom"/>
          </w:tcPr>
          <w:p w14:paraId="66288E57" w14:textId="77777777" w:rsidR="00D0555E" w:rsidRPr="00C454B8" w:rsidRDefault="00D0555E" w:rsidP="00D404A7">
            <w:pPr>
              <w:pStyle w:val="a3"/>
              <w:tabs>
                <w:tab w:val="left" w:pos="227"/>
                <w:tab w:val="left" w:pos="397"/>
                <w:tab w:val="left" w:pos="567"/>
              </w:tabs>
              <w:ind w:left="227" w:hanging="170"/>
              <w:rPr>
                <w:sz w:val="22"/>
                <w:rtl/>
              </w:rPr>
            </w:pPr>
            <w:r w:rsidRPr="00C454B8">
              <w:rPr>
                <w:rFonts w:hint="eastAsia"/>
                <w:sz w:val="22"/>
                <w:rtl/>
              </w:rPr>
              <w:t>סה</w:t>
            </w:r>
            <w:r w:rsidRPr="00C454B8">
              <w:rPr>
                <w:sz w:val="22"/>
                <w:rtl/>
              </w:rPr>
              <w:t xml:space="preserve">"כ רווח (הפסד) </w:t>
            </w:r>
          </w:p>
        </w:tc>
        <w:tc>
          <w:tcPr>
            <w:tcW w:w="126" w:type="dxa"/>
            <w:vAlign w:val="bottom"/>
          </w:tcPr>
          <w:p w14:paraId="3CE998B1" w14:textId="77777777" w:rsidR="00D0555E" w:rsidRPr="0074065E" w:rsidRDefault="00D0555E" w:rsidP="00D404A7">
            <w:pPr>
              <w:spacing w:line="240" w:lineRule="exact"/>
              <w:rPr>
                <w:rtl/>
              </w:rPr>
            </w:pPr>
          </w:p>
        </w:tc>
        <w:tc>
          <w:tcPr>
            <w:tcW w:w="1196" w:type="dxa"/>
            <w:tcBorders>
              <w:bottom w:val="double" w:sz="6" w:space="0" w:color="auto"/>
            </w:tcBorders>
            <w:shd w:val="clear" w:color="auto" w:fill="auto"/>
            <w:vAlign w:val="bottom"/>
          </w:tcPr>
          <w:p w14:paraId="68938628" w14:textId="77777777" w:rsidR="00D0555E" w:rsidRPr="0074065E" w:rsidRDefault="00D0555E" w:rsidP="00D404A7">
            <w:pPr>
              <w:spacing w:line="240" w:lineRule="exact"/>
              <w:rPr>
                <w:rtl/>
              </w:rPr>
            </w:pPr>
          </w:p>
        </w:tc>
        <w:tc>
          <w:tcPr>
            <w:tcW w:w="141" w:type="dxa"/>
            <w:vAlign w:val="bottom"/>
          </w:tcPr>
          <w:p w14:paraId="7E8E8DC9" w14:textId="77777777" w:rsidR="00D0555E" w:rsidRPr="0074065E" w:rsidRDefault="00D0555E" w:rsidP="00D404A7">
            <w:pPr>
              <w:spacing w:line="240" w:lineRule="exact"/>
              <w:rPr>
                <w:rtl/>
              </w:rPr>
            </w:pPr>
          </w:p>
        </w:tc>
        <w:tc>
          <w:tcPr>
            <w:tcW w:w="1276" w:type="dxa"/>
            <w:tcBorders>
              <w:bottom w:val="double" w:sz="6" w:space="0" w:color="auto"/>
            </w:tcBorders>
            <w:shd w:val="clear" w:color="auto" w:fill="auto"/>
            <w:vAlign w:val="bottom"/>
          </w:tcPr>
          <w:p w14:paraId="3DE24F61" w14:textId="77777777" w:rsidR="00D0555E" w:rsidRPr="0074065E" w:rsidRDefault="00D0555E" w:rsidP="00D404A7">
            <w:pPr>
              <w:tabs>
                <w:tab w:val="decimal" w:pos="113"/>
              </w:tabs>
              <w:spacing w:line="240" w:lineRule="exact"/>
              <w:rPr>
                <w:rtl/>
              </w:rPr>
            </w:pPr>
          </w:p>
        </w:tc>
        <w:tc>
          <w:tcPr>
            <w:tcW w:w="142" w:type="dxa"/>
            <w:vAlign w:val="bottom"/>
          </w:tcPr>
          <w:p w14:paraId="2E0C23B7" w14:textId="77777777" w:rsidR="00D0555E" w:rsidRPr="0074065E" w:rsidRDefault="00D0555E" w:rsidP="00D404A7">
            <w:pPr>
              <w:tabs>
                <w:tab w:val="decimal" w:pos="113"/>
              </w:tabs>
              <w:spacing w:line="240" w:lineRule="exact"/>
              <w:rPr>
                <w:rtl/>
              </w:rPr>
            </w:pPr>
          </w:p>
        </w:tc>
        <w:tc>
          <w:tcPr>
            <w:tcW w:w="1397" w:type="dxa"/>
            <w:tcBorders>
              <w:bottom w:val="double" w:sz="6" w:space="0" w:color="auto"/>
            </w:tcBorders>
            <w:shd w:val="clear" w:color="auto" w:fill="auto"/>
            <w:vAlign w:val="bottom"/>
          </w:tcPr>
          <w:p w14:paraId="22C2F767" w14:textId="77777777" w:rsidR="00D0555E" w:rsidRPr="0074065E" w:rsidRDefault="00D0555E" w:rsidP="00D404A7">
            <w:pPr>
              <w:tabs>
                <w:tab w:val="decimal" w:pos="113"/>
              </w:tabs>
              <w:spacing w:line="240" w:lineRule="exact"/>
              <w:rPr>
                <w:rtl/>
              </w:rPr>
            </w:pPr>
          </w:p>
        </w:tc>
      </w:tr>
      <w:tr w:rsidR="00D0555E" w:rsidRPr="00C454B8" w14:paraId="0240AC1B" w14:textId="77777777" w:rsidTr="001A1C9B">
        <w:trPr>
          <w:gridAfter w:val="1"/>
          <w:wAfter w:w="20" w:type="dxa"/>
        </w:trPr>
        <w:tc>
          <w:tcPr>
            <w:tcW w:w="3695" w:type="dxa"/>
            <w:vAlign w:val="bottom"/>
          </w:tcPr>
          <w:p w14:paraId="28664EE5" w14:textId="77777777" w:rsidR="00D0555E" w:rsidRPr="00C454B8" w:rsidRDefault="00D0555E" w:rsidP="00D404A7">
            <w:pPr>
              <w:pStyle w:val="a3"/>
              <w:tabs>
                <w:tab w:val="left" w:pos="227"/>
                <w:tab w:val="left" w:pos="397"/>
                <w:tab w:val="left" w:pos="567"/>
              </w:tabs>
              <w:ind w:left="227" w:hanging="170"/>
              <w:rPr>
                <w:sz w:val="22"/>
                <w:rtl/>
              </w:rPr>
            </w:pPr>
            <w:r w:rsidRPr="00C454B8">
              <w:rPr>
                <w:sz w:val="22"/>
                <w:rtl/>
              </w:rPr>
              <w:t xml:space="preserve">רווח נקי (הפסד) בסיסי </w:t>
            </w:r>
            <w:r w:rsidRPr="00C454B8">
              <w:rPr>
                <w:rFonts w:hint="eastAsia"/>
                <w:sz w:val="22"/>
                <w:rtl/>
              </w:rPr>
              <w:t>למניה</w:t>
            </w:r>
            <w:r w:rsidRPr="00C454B8">
              <w:rPr>
                <w:sz w:val="22"/>
                <w:rtl/>
              </w:rPr>
              <w:t xml:space="preserve"> (בש"ח)</w:t>
            </w:r>
          </w:p>
        </w:tc>
        <w:tc>
          <w:tcPr>
            <w:tcW w:w="126" w:type="dxa"/>
            <w:vAlign w:val="bottom"/>
          </w:tcPr>
          <w:p w14:paraId="77ED7E2E" w14:textId="77777777" w:rsidR="00D0555E" w:rsidRPr="0074065E" w:rsidRDefault="00D0555E" w:rsidP="00D404A7">
            <w:pPr>
              <w:spacing w:line="240" w:lineRule="exact"/>
              <w:rPr>
                <w:rtl/>
              </w:rPr>
            </w:pPr>
          </w:p>
        </w:tc>
        <w:tc>
          <w:tcPr>
            <w:tcW w:w="1196" w:type="dxa"/>
            <w:tcBorders>
              <w:top w:val="double" w:sz="6" w:space="0" w:color="auto"/>
              <w:bottom w:val="double" w:sz="6" w:space="0" w:color="auto"/>
            </w:tcBorders>
            <w:shd w:val="clear" w:color="auto" w:fill="auto"/>
            <w:vAlign w:val="bottom"/>
          </w:tcPr>
          <w:p w14:paraId="6D0EA67D" w14:textId="77777777" w:rsidR="00D0555E" w:rsidRPr="0074065E" w:rsidRDefault="00D0555E" w:rsidP="00D404A7">
            <w:pPr>
              <w:spacing w:line="240" w:lineRule="exact"/>
              <w:rPr>
                <w:rtl/>
              </w:rPr>
            </w:pPr>
          </w:p>
        </w:tc>
        <w:tc>
          <w:tcPr>
            <w:tcW w:w="141" w:type="dxa"/>
            <w:vAlign w:val="bottom"/>
          </w:tcPr>
          <w:p w14:paraId="66160C4F" w14:textId="77777777" w:rsidR="00D0555E" w:rsidRPr="0074065E" w:rsidRDefault="00D0555E" w:rsidP="00D404A7">
            <w:pPr>
              <w:spacing w:line="240" w:lineRule="exact"/>
              <w:rPr>
                <w:rtl/>
              </w:rPr>
            </w:pPr>
          </w:p>
        </w:tc>
        <w:tc>
          <w:tcPr>
            <w:tcW w:w="1276" w:type="dxa"/>
            <w:tcBorders>
              <w:top w:val="double" w:sz="6" w:space="0" w:color="auto"/>
              <w:bottom w:val="double" w:sz="6" w:space="0" w:color="auto"/>
            </w:tcBorders>
            <w:shd w:val="clear" w:color="auto" w:fill="auto"/>
            <w:vAlign w:val="bottom"/>
          </w:tcPr>
          <w:p w14:paraId="76E31920" w14:textId="77777777" w:rsidR="00D0555E" w:rsidRPr="0074065E" w:rsidRDefault="00D0555E" w:rsidP="00D404A7">
            <w:pPr>
              <w:tabs>
                <w:tab w:val="decimal" w:pos="113"/>
              </w:tabs>
              <w:spacing w:line="240" w:lineRule="exact"/>
              <w:rPr>
                <w:rtl/>
              </w:rPr>
            </w:pPr>
          </w:p>
        </w:tc>
        <w:tc>
          <w:tcPr>
            <w:tcW w:w="142" w:type="dxa"/>
            <w:vAlign w:val="bottom"/>
          </w:tcPr>
          <w:p w14:paraId="0147C615" w14:textId="77777777" w:rsidR="00D0555E" w:rsidRPr="0074065E" w:rsidRDefault="00D0555E" w:rsidP="00D404A7">
            <w:pPr>
              <w:tabs>
                <w:tab w:val="decimal" w:pos="113"/>
              </w:tabs>
              <w:spacing w:line="240" w:lineRule="exact"/>
              <w:rPr>
                <w:rtl/>
              </w:rPr>
            </w:pPr>
          </w:p>
        </w:tc>
        <w:tc>
          <w:tcPr>
            <w:tcW w:w="1397" w:type="dxa"/>
            <w:tcBorders>
              <w:top w:val="double" w:sz="6" w:space="0" w:color="auto"/>
              <w:bottom w:val="double" w:sz="6" w:space="0" w:color="auto"/>
            </w:tcBorders>
            <w:shd w:val="clear" w:color="auto" w:fill="auto"/>
            <w:vAlign w:val="bottom"/>
          </w:tcPr>
          <w:p w14:paraId="3986C502" w14:textId="77777777" w:rsidR="00D0555E" w:rsidRPr="0074065E" w:rsidRDefault="00D0555E" w:rsidP="00D404A7">
            <w:pPr>
              <w:tabs>
                <w:tab w:val="decimal" w:pos="113"/>
              </w:tabs>
              <w:spacing w:line="240" w:lineRule="exact"/>
              <w:rPr>
                <w:rtl/>
              </w:rPr>
            </w:pPr>
          </w:p>
        </w:tc>
      </w:tr>
      <w:tr w:rsidR="00D0555E" w:rsidRPr="00C454B8" w14:paraId="2E9A1415" w14:textId="77777777" w:rsidTr="001A1C9B">
        <w:trPr>
          <w:gridAfter w:val="1"/>
          <w:wAfter w:w="20" w:type="dxa"/>
        </w:trPr>
        <w:tc>
          <w:tcPr>
            <w:tcW w:w="3695" w:type="dxa"/>
            <w:vAlign w:val="bottom"/>
          </w:tcPr>
          <w:p w14:paraId="0617469A" w14:textId="77777777" w:rsidR="00D0555E" w:rsidRPr="00C454B8" w:rsidRDefault="00D0555E" w:rsidP="00D404A7">
            <w:pPr>
              <w:pStyle w:val="a3"/>
              <w:tabs>
                <w:tab w:val="left" w:pos="227"/>
                <w:tab w:val="left" w:pos="397"/>
                <w:tab w:val="left" w:pos="567"/>
              </w:tabs>
              <w:ind w:left="227" w:hanging="170"/>
              <w:rPr>
                <w:sz w:val="22"/>
                <w:rtl/>
              </w:rPr>
            </w:pPr>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p>
        </w:tc>
        <w:tc>
          <w:tcPr>
            <w:tcW w:w="126" w:type="dxa"/>
            <w:vAlign w:val="bottom"/>
          </w:tcPr>
          <w:p w14:paraId="45FC3DAA" w14:textId="77777777" w:rsidR="00D0555E" w:rsidRPr="0074065E" w:rsidRDefault="00D0555E" w:rsidP="00D404A7">
            <w:pPr>
              <w:spacing w:line="240" w:lineRule="exact"/>
              <w:rPr>
                <w:rtl/>
              </w:rPr>
            </w:pPr>
          </w:p>
        </w:tc>
        <w:tc>
          <w:tcPr>
            <w:tcW w:w="1196" w:type="dxa"/>
            <w:tcBorders>
              <w:top w:val="double" w:sz="6" w:space="0" w:color="auto"/>
              <w:bottom w:val="double" w:sz="6" w:space="0" w:color="auto"/>
            </w:tcBorders>
            <w:shd w:val="clear" w:color="auto" w:fill="auto"/>
            <w:vAlign w:val="bottom"/>
          </w:tcPr>
          <w:p w14:paraId="78D68AAC" w14:textId="77777777" w:rsidR="00D0555E" w:rsidRPr="0074065E" w:rsidRDefault="00D0555E" w:rsidP="00D404A7">
            <w:pPr>
              <w:spacing w:line="240" w:lineRule="exact"/>
              <w:rPr>
                <w:rtl/>
              </w:rPr>
            </w:pPr>
          </w:p>
        </w:tc>
        <w:tc>
          <w:tcPr>
            <w:tcW w:w="141" w:type="dxa"/>
            <w:vAlign w:val="bottom"/>
          </w:tcPr>
          <w:p w14:paraId="5992D6ED" w14:textId="77777777" w:rsidR="00D0555E" w:rsidRPr="0074065E" w:rsidRDefault="00D0555E" w:rsidP="00D404A7">
            <w:pPr>
              <w:spacing w:line="240" w:lineRule="exact"/>
              <w:rPr>
                <w:rtl/>
              </w:rPr>
            </w:pPr>
          </w:p>
        </w:tc>
        <w:tc>
          <w:tcPr>
            <w:tcW w:w="1276" w:type="dxa"/>
            <w:tcBorders>
              <w:top w:val="double" w:sz="6" w:space="0" w:color="auto"/>
              <w:bottom w:val="double" w:sz="6" w:space="0" w:color="auto"/>
            </w:tcBorders>
            <w:shd w:val="clear" w:color="auto" w:fill="auto"/>
            <w:vAlign w:val="bottom"/>
          </w:tcPr>
          <w:p w14:paraId="714C3868" w14:textId="77777777" w:rsidR="00D0555E" w:rsidRPr="0074065E" w:rsidRDefault="00D0555E" w:rsidP="00D404A7">
            <w:pPr>
              <w:tabs>
                <w:tab w:val="decimal" w:pos="113"/>
              </w:tabs>
              <w:spacing w:line="240" w:lineRule="exact"/>
              <w:rPr>
                <w:rtl/>
              </w:rPr>
            </w:pPr>
          </w:p>
        </w:tc>
        <w:tc>
          <w:tcPr>
            <w:tcW w:w="142" w:type="dxa"/>
            <w:vAlign w:val="bottom"/>
          </w:tcPr>
          <w:p w14:paraId="141CE6B8" w14:textId="77777777" w:rsidR="00D0555E" w:rsidRPr="0074065E" w:rsidRDefault="00D0555E" w:rsidP="00D404A7">
            <w:pPr>
              <w:tabs>
                <w:tab w:val="decimal" w:pos="113"/>
              </w:tabs>
              <w:spacing w:line="240" w:lineRule="exact"/>
              <w:rPr>
                <w:rtl/>
              </w:rPr>
            </w:pPr>
          </w:p>
        </w:tc>
        <w:tc>
          <w:tcPr>
            <w:tcW w:w="1397" w:type="dxa"/>
            <w:tcBorders>
              <w:top w:val="double" w:sz="6" w:space="0" w:color="auto"/>
              <w:bottom w:val="double" w:sz="6" w:space="0" w:color="auto"/>
            </w:tcBorders>
            <w:shd w:val="clear" w:color="auto" w:fill="auto"/>
            <w:vAlign w:val="bottom"/>
          </w:tcPr>
          <w:p w14:paraId="33CBDAEA" w14:textId="77777777" w:rsidR="00D0555E" w:rsidRPr="0074065E" w:rsidRDefault="00D0555E" w:rsidP="00D404A7">
            <w:pPr>
              <w:tabs>
                <w:tab w:val="decimal" w:pos="113"/>
              </w:tabs>
              <w:spacing w:line="240" w:lineRule="exact"/>
              <w:rPr>
                <w:rtl/>
              </w:rPr>
            </w:pPr>
          </w:p>
        </w:tc>
      </w:tr>
      <w:tr w:rsidR="00D0555E" w:rsidRPr="001A1C9B" w14:paraId="7149FA8C" w14:textId="77777777" w:rsidTr="001A1C9B">
        <w:trPr>
          <w:gridAfter w:val="1"/>
          <w:wAfter w:w="20" w:type="dxa"/>
        </w:trPr>
        <w:tc>
          <w:tcPr>
            <w:tcW w:w="3695" w:type="dxa"/>
            <w:vAlign w:val="bottom"/>
          </w:tcPr>
          <w:p w14:paraId="680131A2" w14:textId="77777777" w:rsidR="00D0555E" w:rsidRPr="001A1C9B" w:rsidRDefault="00D0555E" w:rsidP="001A1C9B">
            <w:pPr>
              <w:pStyle w:val="a3"/>
              <w:tabs>
                <w:tab w:val="left" w:pos="227"/>
                <w:tab w:val="left" w:pos="397"/>
                <w:tab w:val="left" w:pos="567"/>
              </w:tabs>
              <w:spacing w:line="240" w:lineRule="auto"/>
              <w:ind w:left="227" w:hanging="170"/>
              <w:rPr>
                <w:sz w:val="16"/>
                <w:szCs w:val="18"/>
                <w:rtl/>
              </w:rPr>
            </w:pPr>
          </w:p>
        </w:tc>
        <w:tc>
          <w:tcPr>
            <w:tcW w:w="126" w:type="dxa"/>
            <w:vAlign w:val="bottom"/>
          </w:tcPr>
          <w:p w14:paraId="10DA030C" w14:textId="77777777" w:rsidR="00D0555E" w:rsidRPr="001A1C9B" w:rsidRDefault="00D0555E" w:rsidP="001A1C9B">
            <w:pPr>
              <w:spacing w:line="240" w:lineRule="auto"/>
              <w:rPr>
                <w:sz w:val="16"/>
                <w:szCs w:val="18"/>
                <w:rtl/>
              </w:rPr>
            </w:pPr>
          </w:p>
        </w:tc>
        <w:tc>
          <w:tcPr>
            <w:tcW w:w="1196" w:type="dxa"/>
            <w:tcBorders>
              <w:top w:val="double" w:sz="6" w:space="0" w:color="auto"/>
            </w:tcBorders>
            <w:shd w:val="clear" w:color="auto" w:fill="auto"/>
            <w:vAlign w:val="bottom"/>
          </w:tcPr>
          <w:p w14:paraId="16B3AC1E" w14:textId="77777777" w:rsidR="00D0555E" w:rsidRPr="001A1C9B" w:rsidRDefault="00D0555E" w:rsidP="001A1C9B">
            <w:pPr>
              <w:spacing w:line="240" w:lineRule="auto"/>
              <w:rPr>
                <w:sz w:val="16"/>
                <w:szCs w:val="18"/>
                <w:rtl/>
              </w:rPr>
            </w:pPr>
          </w:p>
        </w:tc>
        <w:tc>
          <w:tcPr>
            <w:tcW w:w="141" w:type="dxa"/>
            <w:vAlign w:val="bottom"/>
          </w:tcPr>
          <w:p w14:paraId="05DEBCB0" w14:textId="77777777" w:rsidR="00D0555E" w:rsidRPr="001A1C9B" w:rsidRDefault="00D0555E" w:rsidP="001A1C9B">
            <w:pPr>
              <w:spacing w:line="240" w:lineRule="auto"/>
              <w:rPr>
                <w:sz w:val="16"/>
                <w:szCs w:val="18"/>
                <w:rtl/>
              </w:rPr>
            </w:pPr>
          </w:p>
        </w:tc>
        <w:tc>
          <w:tcPr>
            <w:tcW w:w="1276" w:type="dxa"/>
            <w:tcBorders>
              <w:top w:val="double" w:sz="6" w:space="0" w:color="auto"/>
            </w:tcBorders>
            <w:shd w:val="clear" w:color="auto" w:fill="auto"/>
            <w:vAlign w:val="bottom"/>
          </w:tcPr>
          <w:p w14:paraId="4CF971D8" w14:textId="77777777" w:rsidR="00D0555E" w:rsidRPr="001A1C9B" w:rsidRDefault="00D0555E" w:rsidP="001A1C9B">
            <w:pPr>
              <w:tabs>
                <w:tab w:val="decimal" w:pos="113"/>
              </w:tabs>
              <w:spacing w:line="240" w:lineRule="auto"/>
              <w:rPr>
                <w:sz w:val="16"/>
                <w:szCs w:val="18"/>
                <w:rtl/>
              </w:rPr>
            </w:pPr>
          </w:p>
        </w:tc>
        <w:tc>
          <w:tcPr>
            <w:tcW w:w="142" w:type="dxa"/>
            <w:vAlign w:val="bottom"/>
          </w:tcPr>
          <w:p w14:paraId="1891575E" w14:textId="77777777" w:rsidR="00D0555E" w:rsidRPr="001A1C9B" w:rsidRDefault="00D0555E" w:rsidP="001A1C9B">
            <w:pPr>
              <w:tabs>
                <w:tab w:val="decimal" w:pos="113"/>
              </w:tabs>
              <w:spacing w:line="240" w:lineRule="auto"/>
              <w:rPr>
                <w:sz w:val="16"/>
                <w:szCs w:val="18"/>
                <w:rtl/>
              </w:rPr>
            </w:pPr>
          </w:p>
        </w:tc>
        <w:tc>
          <w:tcPr>
            <w:tcW w:w="1397" w:type="dxa"/>
            <w:tcBorders>
              <w:top w:val="double" w:sz="6" w:space="0" w:color="auto"/>
            </w:tcBorders>
            <w:shd w:val="clear" w:color="auto" w:fill="auto"/>
            <w:vAlign w:val="bottom"/>
          </w:tcPr>
          <w:p w14:paraId="1AD17A35" w14:textId="77777777" w:rsidR="00D0555E" w:rsidRPr="001A1C9B" w:rsidRDefault="00D0555E" w:rsidP="001A1C9B">
            <w:pPr>
              <w:tabs>
                <w:tab w:val="decimal" w:pos="113"/>
              </w:tabs>
              <w:spacing w:line="240" w:lineRule="auto"/>
              <w:rPr>
                <w:sz w:val="16"/>
                <w:szCs w:val="18"/>
                <w:rtl/>
              </w:rPr>
            </w:pPr>
          </w:p>
        </w:tc>
      </w:tr>
      <w:tr w:rsidR="00D0555E" w:rsidRPr="00C454B8" w14:paraId="57563FDF" w14:textId="77777777" w:rsidTr="001A1C9B">
        <w:trPr>
          <w:gridAfter w:val="1"/>
          <w:wAfter w:w="20" w:type="dxa"/>
        </w:trPr>
        <w:tc>
          <w:tcPr>
            <w:tcW w:w="3695" w:type="dxa"/>
            <w:vAlign w:val="bottom"/>
          </w:tcPr>
          <w:p w14:paraId="3E1DCF03" w14:textId="272207B1" w:rsidR="00D0555E" w:rsidRPr="00C454B8" w:rsidRDefault="00D0555E" w:rsidP="00A56010">
            <w:pPr>
              <w:pStyle w:val="a3"/>
              <w:tabs>
                <w:tab w:val="left" w:pos="227"/>
                <w:tab w:val="left" w:pos="397"/>
                <w:tab w:val="left" w:pos="567"/>
              </w:tabs>
              <w:ind w:left="227" w:hanging="170"/>
              <w:rPr>
                <w:sz w:val="22"/>
                <w:rtl/>
              </w:rPr>
            </w:pPr>
            <w:r w:rsidRPr="00C454B8">
              <w:rPr>
                <w:sz w:val="22"/>
                <w:u w:val="single"/>
                <w:rtl/>
              </w:rPr>
              <w:t xml:space="preserve">ל-3 החודשים שהסתיימו ביום 30 בספטמבר, </w:t>
            </w:r>
            <w:r>
              <w:rPr>
                <w:rFonts w:hint="cs"/>
                <w:sz w:val="22"/>
                <w:u w:val="single"/>
                <w:rtl/>
              </w:rPr>
              <w:t>201</w:t>
            </w:r>
            <w:r w:rsidR="00A56010">
              <w:rPr>
                <w:rFonts w:hint="cs"/>
                <w:sz w:val="22"/>
                <w:u w:val="single"/>
                <w:rtl/>
              </w:rPr>
              <w:t>9</w:t>
            </w:r>
          </w:p>
        </w:tc>
        <w:tc>
          <w:tcPr>
            <w:tcW w:w="126" w:type="dxa"/>
            <w:vAlign w:val="bottom"/>
          </w:tcPr>
          <w:p w14:paraId="189B6D33" w14:textId="77777777" w:rsidR="00D0555E" w:rsidRPr="0074065E" w:rsidRDefault="00D0555E" w:rsidP="00D404A7">
            <w:pPr>
              <w:spacing w:line="240" w:lineRule="exact"/>
              <w:rPr>
                <w:rtl/>
              </w:rPr>
            </w:pPr>
          </w:p>
        </w:tc>
        <w:tc>
          <w:tcPr>
            <w:tcW w:w="1196" w:type="dxa"/>
            <w:tcBorders>
              <w:bottom w:val="double" w:sz="6" w:space="0" w:color="auto"/>
            </w:tcBorders>
            <w:shd w:val="clear" w:color="auto" w:fill="auto"/>
            <w:vAlign w:val="bottom"/>
          </w:tcPr>
          <w:p w14:paraId="1DB8FF77" w14:textId="77777777" w:rsidR="00D0555E" w:rsidRPr="0074065E" w:rsidRDefault="00D0555E" w:rsidP="00D404A7">
            <w:pPr>
              <w:spacing w:line="240" w:lineRule="exact"/>
              <w:rPr>
                <w:rtl/>
              </w:rPr>
            </w:pPr>
          </w:p>
        </w:tc>
        <w:tc>
          <w:tcPr>
            <w:tcW w:w="141" w:type="dxa"/>
            <w:vAlign w:val="bottom"/>
          </w:tcPr>
          <w:p w14:paraId="5D2D4C13" w14:textId="77777777" w:rsidR="00D0555E" w:rsidRPr="0074065E" w:rsidRDefault="00D0555E" w:rsidP="00D404A7">
            <w:pPr>
              <w:spacing w:line="240" w:lineRule="exact"/>
              <w:rPr>
                <w:rtl/>
              </w:rPr>
            </w:pPr>
          </w:p>
        </w:tc>
        <w:tc>
          <w:tcPr>
            <w:tcW w:w="1276" w:type="dxa"/>
            <w:tcBorders>
              <w:bottom w:val="double" w:sz="6" w:space="0" w:color="auto"/>
            </w:tcBorders>
            <w:shd w:val="clear" w:color="auto" w:fill="auto"/>
            <w:vAlign w:val="bottom"/>
          </w:tcPr>
          <w:p w14:paraId="2DCC588F" w14:textId="77777777" w:rsidR="00D0555E" w:rsidRPr="0074065E" w:rsidRDefault="00D0555E" w:rsidP="00D404A7">
            <w:pPr>
              <w:tabs>
                <w:tab w:val="decimal" w:pos="113"/>
              </w:tabs>
              <w:spacing w:line="240" w:lineRule="exact"/>
              <w:rPr>
                <w:rtl/>
              </w:rPr>
            </w:pPr>
          </w:p>
        </w:tc>
        <w:tc>
          <w:tcPr>
            <w:tcW w:w="142" w:type="dxa"/>
            <w:vAlign w:val="bottom"/>
          </w:tcPr>
          <w:p w14:paraId="136E2FC2" w14:textId="77777777" w:rsidR="00D0555E" w:rsidRPr="0074065E" w:rsidRDefault="00D0555E" w:rsidP="00D404A7">
            <w:pPr>
              <w:tabs>
                <w:tab w:val="decimal" w:pos="113"/>
              </w:tabs>
              <w:spacing w:line="240" w:lineRule="exact"/>
              <w:rPr>
                <w:rtl/>
              </w:rPr>
            </w:pPr>
          </w:p>
        </w:tc>
        <w:tc>
          <w:tcPr>
            <w:tcW w:w="1397" w:type="dxa"/>
            <w:tcBorders>
              <w:bottom w:val="double" w:sz="6" w:space="0" w:color="auto"/>
            </w:tcBorders>
            <w:shd w:val="clear" w:color="auto" w:fill="auto"/>
            <w:vAlign w:val="bottom"/>
          </w:tcPr>
          <w:p w14:paraId="052AD5BC" w14:textId="77777777" w:rsidR="00D0555E" w:rsidRPr="0074065E" w:rsidRDefault="00D0555E" w:rsidP="00D404A7">
            <w:pPr>
              <w:tabs>
                <w:tab w:val="decimal" w:pos="113"/>
              </w:tabs>
              <w:spacing w:line="240" w:lineRule="exact"/>
              <w:rPr>
                <w:rtl/>
              </w:rPr>
            </w:pPr>
          </w:p>
        </w:tc>
      </w:tr>
      <w:tr w:rsidR="00D0555E" w:rsidRPr="001A1C9B" w14:paraId="7FBDDB64" w14:textId="77777777" w:rsidTr="001A1C9B">
        <w:trPr>
          <w:gridAfter w:val="1"/>
          <w:wAfter w:w="20" w:type="dxa"/>
        </w:trPr>
        <w:tc>
          <w:tcPr>
            <w:tcW w:w="3695" w:type="dxa"/>
            <w:vAlign w:val="bottom"/>
          </w:tcPr>
          <w:p w14:paraId="22DD3F28" w14:textId="77777777" w:rsidR="00D0555E" w:rsidRPr="001A1C9B" w:rsidRDefault="00D0555E" w:rsidP="001A1C9B">
            <w:pPr>
              <w:pStyle w:val="a3"/>
              <w:tabs>
                <w:tab w:val="left" w:pos="227"/>
                <w:tab w:val="left" w:pos="397"/>
                <w:tab w:val="left" w:pos="567"/>
              </w:tabs>
              <w:spacing w:line="240" w:lineRule="auto"/>
              <w:ind w:left="227" w:hanging="170"/>
              <w:rPr>
                <w:sz w:val="16"/>
                <w:szCs w:val="18"/>
                <w:rtl/>
              </w:rPr>
            </w:pPr>
          </w:p>
        </w:tc>
        <w:tc>
          <w:tcPr>
            <w:tcW w:w="126" w:type="dxa"/>
            <w:vAlign w:val="bottom"/>
          </w:tcPr>
          <w:p w14:paraId="1CCC9FA6" w14:textId="77777777" w:rsidR="00D0555E" w:rsidRPr="001A1C9B" w:rsidRDefault="00D0555E" w:rsidP="001A1C9B">
            <w:pPr>
              <w:spacing w:line="240" w:lineRule="auto"/>
              <w:rPr>
                <w:sz w:val="16"/>
                <w:szCs w:val="18"/>
                <w:rtl/>
              </w:rPr>
            </w:pPr>
          </w:p>
        </w:tc>
        <w:tc>
          <w:tcPr>
            <w:tcW w:w="1196" w:type="dxa"/>
            <w:tcBorders>
              <w:top w:val="double" w:sz="6" w:space="0" w:color="auto"/>
            </w:tcBorders>
            <w:shd w:val="clear" w:color="auto" w:fill="auto"/>
            <w:vAlign w:val="bottom"/>
          </w:tcPr>
          <w:p w14:paraId="71156D08" w14:textId="77777777" w:rsidR="00D0555E" w:rsidRPr="001A1C9B" w:rsidRDefault="00D0555E" w:rsidP="001A1C9B">
            <w:pPr>
              <w:spacing w:line="240" w:lineRule="auto"/>
              <w:rPr>
                <w:sz w:val="16"/>
                <w:szCs w:val="18"/>
                <w:rtl/>
              </w:rPr>
            </w:pPr>
          </w:p>
        </w:tc>
        <w:tc>
          <w:tcPr>
            <w:tcW w:w="141" w:type="dxa"/>
            <w:vAlign w:val="bottom"/>
          </w:tcPr>
          <w:p w14:paraId="5E04C1EB" w14:textId="77777777" w:rsidR="00D0555E" w:rsidRPr="001A1C9B" w:rsidRDefault="00D0555E" w:rsidP="001A1C9B">
            <w:pPr>
              <w:spacing w:line="240" w:lineRule="auto"/>
              <w:rPr>
                <w:sz w:val="16"/>
                <w:szCs w:val="18"/>
                <w:rtl/>
              </w:rPr>
            </w:pPr>
          </w:p>
        </w:tc>
        <w:tc>
          <w:tcPr>
            <w:tcW w:w="1276" w:type="dxa"/>
            <w:tcBorders>
              <w:top w:val="double" w:sz="6" w:space="0" w:color="auto"/>
            </w:tcBorders>
            <w:shd w:val="clear" w:color="auto" w:fill="auto"/>
            <w:vAlign w:val="bottom"/>
          </w:tcPr>
          <w:p w14:paraId="77903181" w14:textId="77777777" w:rsidR="00D0555E" w:rsidRPr="001A1C9B" w:rsidRDefault="00D0555E" w:rsidP="001A1C9B">
            <w:pPr>
              <w:tabs>
                <w:tab w:val="decimal" w:pos="113"/>
              </w:tabs>
              <w:spacing w:line="240" w:lineRule="auto"/>
              <w:rPr>
                <w:sz w:val="16"/>
                <w:szCs w:val="18"/>
                <w:rtl/>
              </w:rPr>
            </w:pPr>
          </w:p>
        </w:tc>
        <w:tc>
          <w:tcPr>
            <w:tcW w:w="142" w:type="dxa"/>
            <w:vAlign w:val="bottom"/>
          </w:tcPr>
          <w:p w14:paraId="71C81999" w14:textId="77777777" w:rsidR="00D0555E" w:rsidRPr="001A1C9B" w:rsidRDefault="00D0555E" w:rsidP="001A1C9B">
            <w:pPr>
              <w:tabs>
                <w:tab w:val="decimal" w:pos="113"/>
              </w:tabs>
              <w:spacing w:line="240" w:lineRule="auto"/>
              <w:rPr>
                <w:sz w:val="16"/>
                <w:szCs w:val="18"/>
                <w:rtl/>
              </w:rPr>
            </w:pPr>
          </w:p>
        </w:tc>
        <w:tc>
          <w:tcPr>
            <w:tcW w:w="1397" w:type="dxa"/>
            <w:tcBorders>
              <w:top w:val="double" w:sz="6" w:space="0" w:color="auto"/>
            </w:tcBorders>
            <w:shd w:val="clear" w:color="auto" w:fill="auto"/>
            <w:vAlign w:val="bottom"/>
          </w:tcPr>
          <w:p w14:paraId="248AE69D" w14:textId="77777777" w:rsidR="00D0555E" w:rsidRPr="001A1C9B" w:rsidRDefault="00D0555E" w:rsidP="001A1C9B">
            <w:pPr>
              <w:tabs>
                <w:tab w:val="decimal" w:pos="113"/>
              </w:tabs>
              <w:spacing w:line="240" w:lineRule="auto"/>
              <w:rPr>
                <w:sz w:val="16"/>
                <w:szCs w:val="18"/>
                <w:rtl/>
              </w:rPr>
            </w:pPr>
          </w:p>
        </w:tc>
      </w:tr>
      <w:tr w:rsidR="00D0555E" w:rsidRPr="00C454B8" w14:paraId="76FCCAE8" w14:textId="77777777" w:rsidTr="001A1C9B">
        <w:trPr>
          <w:gridAfter w:val="1"/>
          <w:wAfter w:w="20" w:type="dxa"/>
        </w:trPr>
        <w:tc>
          <w:tcPr>
            <w:tcW w:w="3695" w:type="dxa"/>
            <w:vAlign w:val="bottom"/>
          </w:tcPr>
          <w:p w14:paraId="31967AAC" w14:textId="77777777" w:rsidR="00D0555E" w:rsidRPr="00C454B8" w:rsidRDefault="00D0555E" w:rsidP="00D404A7">
            <w:pPr>
              <w:pStyle w:val="a3"/>
              <w:tabs>
                <w:tab w:val="left" w:pos="227"/>
                <w:tab w:val="left" w:pos="397"/>
                <w:tab w:val="left" w:pos="567"/>
              </w:tabs>
              <w:ind w:left="227" w:hanging="170"/>
              <w:rPr>
                <w:sz w:val="22"/>
                <w:rtl/>
              </w:rPr>
            </w:pPr>
            <w:r w:rsidRPr="00C454B8">
              <w:rPr>
                <w:rFonts w:hint="eastAsia"/>
                <w:sz w:val="22"/>
                <w:rtl/>
              </w:rPr>
              <w:t>מסים</w:t>
            </w:r>
            <w:r w:rsidRPr="00C454B8">
              <w:rPr>
                <w:sz w:val="22"/>
                <w:rtl/>
              </w:rPr>
              <w:t xml:space="preserve"> </w:t>
            </w:r>
            <w:r w:rsidRPr="00C454B8">
              <w:rPr>
                <w:rFonts w:hint="eastAsia"/>
                <w:sz w:val="22"/>
                <w:rtl/>
              </w:rPr>
              <w:t>על</w:t>
            </w:r>
            <w:r w:rsidRPr="00C454B8">
              <w:rPr>
                <w:sz w:val="22"/>
                <w:rtl/>
              </w:rPr>
              <w:t xml:space="preserve"> </w:t>
            </w:r>
            <w:r w:rsidRPr="00C454B8">
              <w:rPr>
                <w:rFonts w:hint="eastAsia"/>
                <w:sz w:val="22"/>
                <w:rtl/>
              </w:rPr>
              <w:t>ההכנסה</w:t>
            </w:r>
            <w:r w:rsidRPr="00C454B8">
              <w:rPr>
                <w:sz w:val="22"/>
                <w:rtl/>
              </w:rPr>
              <w:t xml:space="preserve"> (הטבת </w:t>
            </w:r>
            <w:r w:rsidRPr="00C454B8">
              <w:rPr>
                <w:rFonts w:hint="eastAsia"/>
                <w:sz w:val="22"/>
                <w:rtl/>
              </w:rPr>
              <w:t>מס</w:t>
            </w:r>
            <w:r w:rsidRPr="00C454B8">
              <w:rPr>
                <w:sz w:val="22"/>
                <w:rtl/>
              </w:rPr>
              <w:t>)</w:t>
            </w:r>
          </w:p>
        </w:tc>
        <w:tc>
          <w:tcPr>
            <w:tcW w:w="126" w:type="dxa"/>
            <w:vAlign w:val="bottom"/>
          </w:tcPr>
          <w:p w14:paraId="74ECEF53" w14:textId="77777777" w:rsidR="00D0555E" w:rsidRPr="0074065E" w:rsidRDefault="00D0555E" w:rsidP="00D404A7">
            <w:pPr>
              <w:spacing w:line="240" w:lineRule="exact"/>
              <w:rPr>
                <w:rtl/>
              </w:rPr>
            </w:pPr>
          </w:p>
        </w:tc>
        <w:tc>
          <w:tcPr>
            <w:tcW w:w="1196" w:type="dxa"/>
            <w:tcBorders>
              <w:bottom w:val="double" w:sz="6" w:space="0" w:color="auto"/>
            </w:tcBorders>
            <w:shd w:val="clear" w:color="auto" w:fill="auto"/>
            <w:vAlign w:val="bottom"/>
          </w:tcPr>
          <w:p w14:paraId="40A630FF" w14:textId="77777777" w:rsidR="00D0555E" w:rsidRPr="0074065E" w:rsidRDefault="00D0555E" w:rsidP="00D404A7">
            <w:pPr>
              <w:spacing w:line="240" w:lineRule="exact"/>
              <w:rPr>
                <w:rtl/>
              </w:rPr>
            </w:pPr>
          </w:p>
        </w:tc>
        <w:tc>
          <w:tcPr>
            <w:tcW w:w="141" w:type="dxa"/>
            <w:vAlign w:val="bottom"/>
          </w:tcPr>
          <w:p w14:paraId="42B28B91" w14:textId="77777777" w:rsidR="00D0555E" w:rsidRPr="0074065E" w:rsidRDefault="00D0555E" w:rsidP="00D404A7">
            <w:pPr>
              <w:spacing w:line="240" w:lineRule="exact"/>
              <w:rPr>
                <w:rtl/>
              </w:rPr>
            </w:pPr>
          </w:p>
        </w:tc>
        <w:tc>
          <w:tcPr>
            <w:tcW w:w="1276" w:type="dxa"/>
            <w:tcBorders>
              <w:bottom w:val="double" w:sz="6" w:space="0" w:color="auto"/>
            </w:tcBorders>
            <w:shd w:val="clear" w:color="auto" w:fill="auto"/>
            <w:vAlign w:val="bottom"/>
          </w:tcPr>
          <w:p w14:paraId="56A106DA" w14:textId="77777777" w:rsidR="00D0555E" w:rsidRPr="0074065E" w:rsidRDefault="00D0555E" w:rsidP="00D404A7">
            <w:pPr>
              <w:tabs>
                <w:tab w:val="decimal" w:pos="113"/>
              </w:tabs>
              <w:spacing w:line="240" w:lineRule="exact"/>
              <w:rPr>
                <w:rtl/>
              </w:rPr>
            </w:pPr>
          </w:p>
        </w:tc>
        <w:tc>
          <w:tcPr>
            <w:tcW w:w="142" w:type="dxa"/>
            <w:vAlign w:val="bottom"/>
          </w:tcPr>
          <w:p w14:paraId="7A90B67A" w14:textId="77777777" w:rsidR="00D0555E" w:rsidRPr="0074065E" w:rsidRDefault="00D0555E" w:rsidP="00D404A7">
            <w:pPr>
              <w:tabs>
                <w:tab w:val="decimal" w:pos="113"/>
              </w:tabs>
              <w:spacing w:line="240" w:lineRule="exact"/>
              <w:rPr>
                <w:rtl/>
              </w:rPr>
            </w:pPr>
          </w:p>
        </w:tc>
        <w:tc>
          <w:tcPr>
            <w:tcW w:w="1397" w:type="dxa"/>
            <w:tcBorders>
              <w:bottom w:val="double" w:sz="6" w:space="0" w:color="auto"/>
            </w:tcBorders>
            <w:shd w:val="clear" w:color="auto" w:fill="auto"/>
            <w:vAlign w:val="bottom"/>
          </w:tcPr>
          <w:p w14:paraId="1CB56BFF" w14:textId="77777777" w:rsidR="00D0555E" w:rsidRPr="0074065E" w:rsidRDefault="00D0555E" w:rsidP="00D404A7">
            <w:pPr>
              <w:tabs>
                <w:tab w:val="decimal" w:pos="113"/>
              </w:tabs>
              <w:spacing w:line="240" w:lineRule="exact"/>
              <w:rPr>
                <w:rtl/>
              </w:rPr>
            </w:pPr>
          </w:p>
        </w:tc>
      </w:tr>
      <w:tr w:rsidR="00D0555E" w:rsidRPr="001A1C9B" w14:paraId="39A9C31F" w14:textId="77777777" w:rsidTr="001A1C9B">
        <w:trPr>
          <w:gridAfter w:val="1"/>
          <w:wAfter w:w="20" w:type="dxa"/>
        </w:trPr>
        <w:tc>
          <w:tcPr>
            <w:tcW w:w="3695" w:type="dxa"/>
            <w:vAlign w:val="bottom"/>
          </w:tcPr>
          <w:p w14:paraId="5B012C1A" w14:textId="77777777" w:rsidR="00D0555E" w:rsidRPr="001A1C9B" w:rsidRDefault="00D0555E" w:rsidP="001A1C9B">
            <w:pPr>
              <w:pStyle w:val="a3"/>
              <w:tabs>
                <w:tab w:val="left" w:pos="227"/>
                <w:tab w:val="left" w:pos="397"/>
                <w:tab w:val="left" w:pos="567"/>
              </w:tabs>
              <w:spacing w:line="240" w:lineRule="auto"/>
              <w:ind w:left="227" w:hanging="170"/>
              <w:rPr>
                <w:sz w:val="16"/>
                <w:szCs w:val="18"/>
                <w:rtl/>
              </w:rPr>
            </w:pPr>
          </w:p>
        </w:tc>
        <w:tc>
          <w:tcPr>
            <w:tcW w:w="126" w:type="dxa"/>
            <w:vAlign w:val="bottom"/>
          </w:tcPr>
          <w:p w14:paraId="5705CB2B" w14:textId="77777777" w:rsidR="00D0555E" w:rsidRPr="001A1C9B" w:rsidRDefault="00D0555E" w:rsidP="001A1C9B">
            <w:pPr>
              <w:spacing w:line="240" w:lineRule="auto"/>
              <w:rPr>
                <w:sz w:val="16"/>
                <w:szCs w:val="18"/>
                <w:rtl/>
              </w:rPr>
            </w:pPr>
          </w:p>
        </w:tc>
        <w:tc>
          <w:tcPr>
            <w:tcW w:w="1196" w:type="dxa"/>
            <w:tcBorders>
              <w:top w:val="double" w:sz="6" w:space="0" w:color="auto"/>
            </w:tcBorders>
            <w:shd w:val="clear" w:color="auto" w:fill="auto"/>
            <w:vAlign w:val="bottom"/>
          </w:tcPr>
          <w:p w14:paraId="145015C7" w14:textId="77777777" w:rsidR="00D0555E" w:rsidRPr="001A1C9B" w:rsidRDefault="00D0555E" w:rsidP="001A1C9B">
            <w:pPr>
              <w:spacing w:line="240" w:lineRule="auto"/>
              <w:rPr>
                <w:sz w:val="16"/>
                <w:szCs w:val="18"/>
                <w:rtl/>
              </w:rPr>
            </w:pPr>
          </w:p>
        </w:tc>
        <w:tc>
          <w:tcPr>
            <w:tcW w:w="141" w:type="dxa"/>
            <w:vAlign w:val="bottom"/>
          </w:tcPr>
          <w:p w14:paraId="5F602F02" w14:textId="77777777" w:rsidR="00D0555E" w:rsidRPr="001A1C9B" w:rsidRDefault="00D0555E" w:rsidP="001A1C9B">
            <w:pPr>
              <w:spacing w:line="240" w:lineRule="auto"/>
              <w:rPr>
                <w:sz w:val="16"/>
                <w:szCs w:val="18"/>
                <w:rtl/>
              </w:rPr>
            </w:pPr>
          </w:p>
        </w:tc>
        <w:tc>
          <w:tcPr>
            <w:tcW w:w="1276" w:type="dxa"/>
            <w:tcBorders>
              <w:top w:val="double" w:sz="6" w:space="0" w:color="auto"/>
            </w:tcBorders>
            <w:shd w:val="clear" w:color="auto" w:fill="auto"/>
            <w:vAlign w:val="bottom"/>
          </w:tcPr>
          <w:p w14:paraId="07F85704" w14:textId="77777777" w:rsidR="00D0555E" w:rsidRPr="001A1C9B" w:rsidRDefault="00D0555E" w:rsidP="001A1C9B">
            <w:pPr>
              <w:tabs>
                <w:tab w:val="decimal" w:pos="113"/>
              </w:tabs>
              <w:spacing w:line="240" w:lineRule="auto"/>
              <w:rPr>
                <w:sz w:val="16"/>
                <w:szCs w:val="18"/>
                <w:rtl/>
              </w:rPr>
            </w:pPr>
          </w:p>
        </w:tc>
        <w:tc>
          <w:tcPr>
            <w:tcW w:w="142" w:type="dxa"/>
            <w:vAlign w:val="bottom"/>
          </w:tcPr>
          <w:p w14:paraId="5D2EEE85" w14:textId="77777777" w:rsidR="00D0555E" w:rsidRPr="001A1C9B" w:rsidRDefault="00D0555E" w:rsidP="001A1C9B">
            <w:pPr>
              <w:tabs>
                <w:tab w:val="decimal" w:pos="113"/>
              </w:tabs>
              <w:spacing w:line="240" w:lineRule="auto"/>
              <w:rPr>
                <w:sz w:val="16"/>
                <w:szCs w:val="18"/>
                <w:rtl/>
              </w:rPr>
            </w:pPr>
          </w:p>
        </w:tc>
        <w:tc>
          <w:tcPr>
            <w:tcW w:w="1397" w:type="dxa"/>
            <w:tcBorders>
              <w:top w:val="double" w:sz="6" w:space="0" w:color="auto"/>
            </w:tcBorders>
            <w:shd w:val="clear" w:color="auto" w:fill="auto"/>
            <w:vAlign w:val="bottom"/>
          </w:tcPr>
          <w:p w14:paraId="6C815BC0" w14:textId="77777777" w:rsidR="00D0555E" w:rsidRPr="001A1C9B" w:rsidRDefault="00D0555E" w:rsidP="001A1C9B">
            <w:pPr>
              <w:tabs>
                <w:tab w:val="decimal" w:pos="113"/>
              </w:tabs>
              <w:spacing w:line="240" w:lineRule="auto"/>
              <w:rPr>
                <w:sz w:val="16"/>
                <w:szCs w:val="18"/>
                <w:rtl/>
              </w:rPr>
            </w:pPr>
          </w:p>
        </w:tc>
      </w:tr>
      <w:tr w:rsidR="00D0555E" w:rsidRPr="00C454B8" w14:paraId="3DA63B53" w14:textId="77777777" w:rsidTr="001A1C9B">
        <w:trPr>
          <w:gridAfter w:val="1"/>
          <w:wAfter w:w="20" w:type="dxa"/>
        </w:trPr>
        <w:tc>
          <w:tcPr>
            <w:tcW w:w="3695" w:type="dxa"/>
            <w:vAlign w:val="bottom"/>
          </w:tcPr>
          <w:p w14:paraId="40AF452B" w14:textId="77777777" w:rsidR="00D0555E" w:rsidRPr="00C454B8" w:rsidRDefault="00D0555E" w:rsidP="00D404A7">
            <w:pPr>
              <w:pStyle w:val="a3"/>
              <w:tabs>
                <w:tab w:val="left" w:pos="227"/>
                <w:tab w:val="left" w:pos="397"/>
                <w:tab w:val="left" w:pos="567"/>
              </w:tabs>
              <w:ind w:left="227" w:hanging="170"/>
              <w:rPr>
                <w:sz w:val="22"/>
                <w:rtl/>
              </w:rPr>
            </w:pPr>
            <w:r w:rsidRPr="00C454B8">
              <w:rPr>
                <w:rFonts w:hint="eastAsia"/>
                <w:sz w:val="22"/>
                <w:rtl/>
              </w:rPr>
              <w:t>סה</w:t>
            </w:r>
            <w:r w:rsidRPr="00C454B8">
              <w:rPr>
                <w:sz w:val="22"/>
                <w:rtl/>
              </w:rPr>
              <w:t xml:space="preserve">"כ רווח (הפסד) </w:t>
            </w:r>
          </w:p>
        </w:tc>
        <w:tc>
          <w:tcPr>
            <w:tcW w:w="126" w:type="dxa"/>
            <w:vAlign w:val="bottom"/>
          </w:tcPr>
          <w:p w14:paraId="1EFD5259" w14:textId="77777777" w:rsidR="00D0555E" w:rsidRPr="0074065E" w:rsidRDefault="00D0555E" w:rsidP="00D404A7">
            <w:pPr>
              <w:spacing w:line="240" w:lineRule="exact"/>
              <w:rPr>
                <w:rtl/>
              </w:rPr>
            </w:pPr>
          </w:p>
        </w:tc>
        <w:tc>
          <w:tcPr>
            <w:tcW w:w="1196" w:type="dxa"/>
            <w:tcBorders>
              <w:bottom w:val="double" w:sz="6" w:space="0" w:color="auto"/>
            </w:tcBorders>
            <w:shd w:val="clear" w:color="auto" w:fill="auto"/>
            <w:vAlign w:val="bottom"/>
          </w:tcPr>
          <w:p w14:paraId="774CDDFF" w14:textId="77777777" w:rsidR="00D0555E" w:rsidRPr="0074065E" w:rsidRDefault="00D0555E" w:rsidP="00D404A7">
            <w:pPr>
              <w:spacing w:line="240" w:lineRule="exact"/>
              <w:rPr>
                <w:rtl/>
              </w:rPr>
            </w:pPr>
          </w:p>
        </w:tc>
        <w:tc>
          <w:tcPr>
            <w:tcW w:w="141" w:type="dxa"/>
            <w:vAlign w:val="bottom"/>
          </w:tcPr>
          <w:p w14:paraId="5AED6C48" w14:textId="77777777" w:rsidR="00D0555E" w:rsidRPr="0074065E" w:rsidRDefault="00D0555E" w:rsidP="00D404A7">
            <w:pPr>
              <w:spacing w:line="240" w:lineRule="exact"/>
              <w:rPr>
                <w:rtl/>
              </w:rPr>
            </w:pPr>
          </w:p>
        </w:tc>
        <w:tc>
          <w:tcPr>
            <w:tcW w:w="1276" w:type="dxa"/>
            <w:tcBorders>
              <w:bottom w:val="double" w:sz="6" w:space="0" w:color="auto"/>
            </w:tcBorders>
            <w:shd w:val="clear" w:color="auto" w:fill="auto"/>
            <w:vAlign w:val="bottom"/>
          </w:tcPr>
          <w:p w14:paraId="615FEEAE" w14:textId="77777777" w:rsidR="00D0555E" w:rsidRPr="0074065E" w:rsidRDefault="00D0555E" w:rsidP="00D404A7">
            <w:pPr>
              <w:tabs>
                <w:tab w:val="decimal" w:pos="113"/>
              </w:tabs>
              <w:spacing w:line="240" w:lineRule="exact"/>
              <w:rPr>
                <w:rtl/>
              </w:rPr>
            </w:pPr>
          </w:p>
        </w:tc>
        <w:tc>
          <w:tcPr>
            <w:tcW w:w="142" w:type="dxa"/>
            <w:vAlign w:val="bottom"/>
          </w:tcPr>
          <w:p w14:paraId="385471F6" w14:textId="77777777" w:rsidR="00D0555E" w:rsidRPr="0074065E" w:rsidRDefault="00D0555E" w:rsidP="00D404A7">
            <w:pPr>
              <w:tabs>
                <w:tab w:val="decimal" w:pos="113"/>
              </w:tabs>
              <w:spacing w:line="240" w:lineRule="exact"/>
              <w:rPr>
                <w:rtl/>
              </w:rPr>
            </w:pPr>
          </w:p>
        </w:tc>
        <w:tc>
          <w:tcPr>
            <w:tcW w:w="1397" w:type="dxa"/>
            <w:tcBorders>
              <w:bottom w:val="double" w:sz="6" w:space="0" w:color="auto"/>
            </w:tcBorders>
            <w:shd w:val="clear" w:color="auto" w:fill="auto"/>
            <w:vAlign w:val="bottom"/>
          </w:tcPr>
          <w:p w14:paraId="1AA4C1A9" w14:textId="77777777" w:rsidR="00D0555E" w:rsidRPr="0074065E" w:rsidRDefault="00D0555E" w:rsidP="00D404A7">
            <w:pPr>
              <w:tabs>
                <w:tab w:val="decimal" w:pos="113"/>
              </w:tabs>
              <w:spacing w:line="240" w:lineRule="exact"/>
              <w:rPr>
                <w:rtl/>
              </w:rPr>
            </w:pPr>
          </w:p>
        </w:tc>
      </w:tr>
      <w:tr w:rsidR="00D0555E" w:rsidRPr="00C454B8" w14:paraId="24ED3223" w14:textId="77777777" w:rsidTr="001A1C9B">
        <w:trPr>
          <w:gridAfter w:val="1"/>
          <w:wAfter w:w="20" w:type="dxa"/>
        </w:trPr>
        <w:tc>
          <w:tcPr>
            <w:tcW w:w="3695" w:type="dxa"/>
            <w:vAlign w:val="bottom"/>
          </w:tcPr>
          <w:p w14:paraId="2D3EAB35" w14:textId="77777777" w:rsidR="00D0555E" w:rsidRPr="00C454B8" w:rsidRDefault="00D0555E" w:rsidP="00D404A7">
            <w:pPr>
              <w:pStyle w:val="a3"/>
              <w:tabs>
                <w:tab w:val="left" w:pos="227"/>
                <w:tab w:val="left" w:pos="397"/>
                <w:tab w:val="left" w:pos="567"/>
              </w:tabs>
              <w:ind w:left="227" w:hanging="170"/>
              <w:rPr>
                <w:sz w:val="22"/>
                <w:rtl/>
              </w:rPr>
            </w:pPr>
            <w:r w:rsidRPr="00C454B8">
              <w:rPr>
                <w:sz w:val="22"/>
                <w:rtl/>
              </w:rPr>
              <w:t xml:space="preserve">רווח נקי (הפסד) בסיסי </w:t>
            </w:r>
            <w:r w:rsidRPr="00C454B8">
              <w:rPr>
                <w:rFonts w:hint="eastAsia"/>
                <w:sz w:val="22"/>
                <w:rtl/>
              </w:rPr>
              <w:t>למניה</w:t>
            </w:r>
            <w:r w:rsidRPr="00C454B8">
              <w:rPr>
                <w:sz w:val="22"/>
                <w:rtl/>
              </w:rPr>
              <w:t xml:space="preserve"> (בש"ח)</w:t>
            </w:r>
          </w:p>
        </w:tc>
        <w:tc>
          <w:tcPr>
            <w:tcW w:w="126" w:type="dxa"/>
            <w:vAlign w:val="bottom"/>
          </w:tcPr>
          <w:p w14:paraId="583AD1BD" w14:textId="77777777" w:rsidR="00D0555E" w:rsidRPr="0074065E" w:rsidRDefault="00D0555E" w:rsidP="00D404A7">
            <w:pPr>
              <w:spacing w:line="240" w:lineRule="exact"/>
              <w:rPr>
                <w:rtl/>
              </w:rPr>
            </w:pPr>
          </w:p>
        </w:tc>
        <w:tc>
          <w:tcPr>
            <w:tcW w:w="1196" w:type="dxa"/>
            <w:tcBorders>
              <w:top w:val="double" w:sz="6" w:space="0" w:color="auto"/>
              <w:bottom w:val="double" w:sz="6" w:space="0" w:color="auto"/>
            </w:tcBorders>
            <w:shd w:val="clear" w:color="auto" w:fill="auto"/>
            <w:vAlign w:val="bottom"/>
          </w:tcPr>
          <w:p w14:paraId="638D366B" w14:textId="77777777" w:rsidR="00D0555E" w:rsidRPr="0074065E" w:rsidRDefault="00D0555E" w:rsidP="00D404A7">
            <w:pPr>
              <w:spacing w:line="240" w:lineRule="exact"/>
              <w:rPr>
                <w:rtl/>
              </w:rPr>
            </w:pPr>
          </w:p>
        </w:tc>
        <w:tc>
          <w:tcPr>
            <w:tcW w:w="141" w:type="dxa"/>
            <w:vAlign w:val="bottom"/>
          </w:tcPr>
          <w:p w14:paraId="3B6DA341" w14:textId="77777777" w:rsidR="00D0555E" w:rsidRPr="0074065E" w:rsidRDefault="00D0555E" w:rsidP="00D404A7">
            <w:pPr>
              <w:spacing w:line="240" w:lineRule="exact"/>
              <w:rPr>
                <w:rtl/>
              </w:rPr>
            </w:pPr>
          </w:p>
        </w:tc>
        <w:tc>
          <w:tcPr>
            <w:tcW w:w="1276" w:type="dxa"/>
            <w:tcBorders>
              <w:top w:val="double" w:sz="6" w:space="0" w:color="auto"/>
              <w:bottom w:val="double" w:sz="6" w:space="0" w:color="auto"/>
            </w:tcBorders>
            <w:shd w:val="clear" w:color="auto" w:fill="auto"/>
            <w:vAlign w:val="bottom"/>
          </w:tcPr>
          <w:p w14:paraId="781CBC2B" w14:textId="77777777" w:rsidR="00D0555E" w:rsidRPr="0074065E" w:rsidRDefault="00D0555E" w:rsidP="00D404A7">
            <w:pPr>
              <w:tabs>
                <w:tab w:val="decimal" w:pos="113"/>
              </w:tabs>
              <w:spacing w:line="240" w:lineRule="exact"/>
              <w:rPr>
                <w:rtl/>
              </w:rPr>
            </w:pPr>
          </w:p>
        </w:tc>
        <w:tc>
          <w:tcPr>
            <w:tcW w:w="142" w:type="dxa"/>
            <w:vAlign w:val="bottom"/>
          </w:tcPr>
          <w:p w14:paraId="016BA95F" w14:textId="77777777" w:rsidR="00D0555E" w:rsidRPr="0074065E" w:rsidRDefault="00D0555E" w:rsidP="00D404A7">
            <w:pPr>
              <w:tabs>
                <w:tab w:val="decimal" w:pos="113"/>
              </w:tabs>
              <w:spacing w:line="240" w:lineRule="exact"/>
              <w:rPr>
                <w:rtl/>
              </w:rPr>
            </w:pPr>
          </w:p>
        </w:tc>
        <w:tc>
          <w:tcPr>
            <w:tcW w:w="1397" w:type="dxa"/>
            <w:tcBorders>
              <w:top w:val="double" w:sz="6" w:space="0" w:color="auto"/>
              <w:bottom w:val="double" w:sz="6" w:space="0" w:color="auto"/>
            </w:tcBorders>
            <w:shd w:val="clear" w:color="auto" w:fill="auto"/>
            <w:vAlign w:val="bottom"/>
          </w:tcPr>
          <w:p w14:paraId="1A4D5CC8" w14:textId="77777777" w:rsidR="00D0555E" w:rsidRPr="0074065E" w:rsidRDefault="00D0555E" w:rsidP="00D404A7">
            <w:pPr>
              <w:tabs>
                <w:tab w:val="decimal" w:pos="113"/>
              </w:tabs>
              <w:spacing w:line="240" w:lineRule="exact"/>
              <w:rPr>
                <w:rtl/>
              </w:rPr>
            </w:pPr>
          </w:p>
        </w:tc>
      </w:tr>
      <w:tr w:rsidR="00D0555E" w:rsidRPr="00C454B8" w14:paraId="58F42BE5" w14:textId="77777777" w:rsidTr="001A1C9B">
        <w:trPr>
          <w:gridAfter w:val="1"/>
          <w:wAfter w:w="20" w:type="dxa"/>
        </w:trPr>
        <w:tc>
          <w:tcPr>
            <w:tcW w:w="3695" w:type="dxa"/>
            <w:vAlign w:val="bottom"/>
          </w:tcPr>
          <w:p w14:paraId="3AA920A6" w14:textId="77777777" w:rsidR="00D0555E" w:rsidRPr="00C454B8" w:rsidRDefault="00D0555E" w:rsidP="00D404A7">
            <w:pPr>
              <w:pStyle w:val="a3"/>
              <w:tabs>
                <w:tab w:val="left" w:pos="227"/>
                <w:tab w:val="left" w:pos="397"/>
                <w:tab w:val="left" w:pos="567"/>
              </w:tabs>
              <w:ind w:left="227" w:hanging="170"/>
              <w:rPr>
                <w:sz w:val="22"/>
                <w:rtl/>
              </w:rPr>
            </w:pPr>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p>
        </w:tc>
        <w:tc>
          <w:tcPr>
            <w:tcW w:w="126" w:type="dxa"/>
            <w:vAlign w:val="bottom"/>
          </w:tcPr>
          <w:p w14:paraId="05565DC8" w14:textId="77777777" w:rsidR="00D0555E" w:rsidRPr="0074065E" w:rsidRDefault="00D0555E" w:rsidP="00D404A7">
            <w:pPr>
              <w:spacing w:line="240" w:lineRule="exact"/>
              <w:rPr>
                <w:rtl/>
              </w:rPr>
            </w:pPr>
          </w:p>
        </w:tc>
        <w:tc>
          <w:tcPr>
            <w:tcW w:w="1196" w:type="dxa"/>
            <w:tcBorders>
              <w:top w:val="double" w:sz="6" w:space="0" w:color="auto"/>
              <w:bottom w:val="double" w:sz="6" w:space="0" w:color="auto"/>
            </w:tcBorders>
            <w:shd w:val="clear" w:color="auto" w:fill="auto"/>
            <w:vAlign w:val="bottom"/>
          </w:tcPr>
          <w:p w14:paraId="5D5878CD" w14:textId="77777777" w:rsidR="00D0555E" w:rsidRPr="0074065E" w:rsidRDefault="00D0555E" w:rsidP="00D404A7">
            <w:pPr>
              <w:spacing w:line="240" w:lineRule="exact"/>
              <w:rPr>
                <w:rtl/>
              </w:rPr>
            </w:pPr>
          </w:p>
        </w:tc>
        <w:tc>
          <w:tcPr>
            <w:tcW w:w="141" w:type="dxa"/>
            <w:vAlign w:val="bottom"/>
          </w:tcPr>
          <w:p w14:paraId="261F44B0" w14:textId="77777777" w:rsidR="00D0555E" w:rsidRPr="0074065E" w:rsidRDefault="00D0555E" w:rsidP="00D404A7">
            <w:pPr>
              <w:spacing w:line="240" w:lineRule="exact"/>
              <w:rPr>
                <w:rtl/>
              </w:rPr>
            </w:pPr>
          </w:p>
        </w:tc>
        <w:tc>
          <w:tcPr>
            <w:tcW w:w="1276" w:type="dxa"/>
            <w:tcBorders>
              <w:top w:val="double" w:sz="6" w:space="0" w:color="auto"/>
              <w:bottom w:val="double" w:sz="6" w:space="0" w:color="auto"/>
            </w:tcBorders>
            <w:shd w:val="clear" w:color="auto" w:fill="auto"/>
            <w:vAlign w:val="bottom"/>
          </w:tcPr>
          <w:p w14:paraId="189AE337" w14:textId="77777777" w:rsidR="00D0555E" w:rsidRPr="0074065E" w:rsidRDefault="00D0555E" w:rsidP="00D404A7">
            <w:pPr>
              <w:tabs>
                <w:tab w:val="decimal" w:pos="113"/>
              </w:tabs>
              <w:spacing w:line="240" w:lineRule="exact"/>
              <w:rPr>
                <w:rtl/>
              </w:rPr>
            </w:pPr>
          </w:p>
        </w:tc>
        <w:tc>
          <w:tcPr>
            <w:tcW w:w="142" w:type="dxa"/>
            <w:vAlign w:val="bottom"/>
          </w:tcPr>
          <w:p w14:paraId="090B6F34" w14:textId="77777777" w:rsidR="00D0555E" w:rsidRPr="0074065E" w:rsidRDefault="00D0555E" w:rsidP="00D404A7">
            <w:pPr>
              <w:tabs>
                <w:tab w:val="decimal" w:pos="113"/>
              </w:tabs>
              <w:spacing w:line="240" w:lineRule="exact"/>
              <w:rPr>
                <w:rtl/>
              </w:rPr>
            </w:pPr>
          </w:p>
        </w:tc>
        <w:tc>
          <w:tcPr>
            <w:tcW w:w="1397" w:type="dxa"/>
            <w:tcBorders>
              <w:top w:val="double" w:sz="6" w:space="0" w:color="auto"/>
              <w:bottom w:val="double" w:sz="6" w:space="0" w:color="auto"/>
            </w:tcBorders>
            <w:shd w:val="clear" w:color="auto" w:fill="auto"/>
            <w:vAlign w:val="bottom"/>
          </w:tcPr>
          <w:p w14:paraId="16B5D68A" w14:textId="77777777" w:rsidR="00D0555E" w:rsidRPr="0074065E" w:rsidRDefault="00D0555E" w:rsidP="00D404A7">
            <w:pPr>
              <w:tabs>
                <w:tab w:val="decimal" w:pos="113"/>
              </w:tabs>
              <w:spacing w:line="240" w:lineRule="exact"/>
              <w:rPr>
                <w:rtl/>
              </w:rPr>
            </w:pPr>
          </w:p>
        </w:tc>
      </w:tr>
    </w:tbl>
    <w:p w14:paraId="015123E6" w14:textId="77777777" w:rsidR="001A1C9B" w:rsidRPr="001A1C9B" w:rsidRDefault="001A1C9B" w:rsidP="001A1C9B">
      <w:pPr>
        <w:spacing w:line="240" w:lineRule="auto"/>
        <w:rPr>
          <w:sz w:val="10"/>
          <w:szCs w:val="14"/>
          <w:rtl/>
        </w:rPr>
      </w:pPr>
      <w:r w:rsidRPr="001A1C9B">
        <w:rPr>
          <w:sz w:val="10"/>
          <w:szCs w:val="14"/>
          <w:rtl/>
        </w:rPr>
        <w:br w:type="page"/>
      </w:r>
    </w:p>
    <w:p w14:paraId="410FC784" w14:textId="77777777" w:rsidR="00D0555E" w:rsidRDefault="00D0555E" w:rsidP="00C543AC">
      <w:pPr>
        <w:pStyle w:val="21"/>
        <w:ind w:left="1122" w:firstLine="0"/>
        <w:rPr>
          <w:u w:val="single"/>
          <w:rtl/>
        </w:rPr>
      </w:pPr>
    </w:p>
    <w:p w14:paraId="1CF551AB" w14:textId="77777777" w:rsidR="001A1C9B" w:rsidRDefault="001A1C9B" w:rsidP="00C543AC">
      <w:pPr>
        <w:pStyle w:val="21"/>
        <w:ind w:left="1122" w:firstLine="0"/>
        <w:rPr>
          <w:u w:val="single"/>
          <w:rtl/>
        </w:rPr>
      </w:pPr>
    </w:p>
    <w:p w14:paraId="6E442FA9" w14:textId="7EB6A14F" w:rsidR="00D0555E" w:rsidRPr="00B35A10" w:rsidRDefault="00D0555E" w:rsidP="00D0555E">
      <w:pPr>
        <w:pStyle w:val="11"/>
        <w:rPr>
          <w:sz w:val="24"/>
          <w:rtl/>
        </w:rPr>
      </w:pPr>
      <w:r w:rsidRPr="00831F9D">
        <w:rPr>
          <w:sz w:val="24"/>
          <w:rtl/>
        </w:rPr>
        <w:t>באור 2: -</w:t>
      </w:r>
      <w:r w:rsidRPr="00831F9D">
        <w:rPr>
          <w:sz w:val="24"/>
          <w:rtl/>
        </w:rPr>
        <w:tab/>
      </w:r>
      <w:r w:rsidRPr="00831F9D">
        <w:rPr>
          <w:sz w:val="24"/>
          <w:u w:val="single"/>
          <w:rtl/>
        </w:rPr>
        <w:t>עיקרי המדיניות החשבונאית</w:t>
      </w:r>
      <w:r w:rsidRPr="00831F9D">
        <w:rPr>
          <w:sz w:val="24"/>
          <w:rtl/>
        </w:rPr>
        <w:t xml:space="preserve"> </w:t>
      </w:r>
      <w:r w:rsidR="00076ED5">
        <w:rPr>
          <w:rFonts w:hint="cs"/>
          <w:sz w:val="24"/>
          <w:rtl/>
        </w:rPr>
        <w:t>(המשך)</w:t>
      </w:r>
    </w:p>
    <w:p w14:paraId="7AEA3BB7" w14:textId="77777777" w:rsidR="00D0555E" w:rsidRDefault="00D0555E" w:rsidP="00C543AC">
      <w:pPr>
        <w:pStyle w:val="21"/>
        <w:ind w:left="1122" w:firstLine="0"/>
        <w:rPr>
          <w:u w:val="single"/>
          <w:rtl/>
        </w:rPr>
      </w:pPr>
    </w:p>
    <w:p w14:paraId="18935D11" w14:textId="35BF20F9" w:rsidR="00831F9D" w:rsidRPr="00ED7BA1" w:rsidRDefault="002B1E97" w:rsidP="003776A6">
      <w:pPr>
        <w:pStyle w:val="21"/>
      </w:pPr>
      <w:r>
        <w:rPr>
          <w:rFonts w:hint="cs"/>
          <w:rtl/>
        </w:rPr>
        <w:t>ו</w:t>
      </w:r>
      <w:r w:rsidR="00831F9D" w:rsidRPr="00831F9D">
        <w:rPr>
          <w:rFonts w:hint="cs"/>
          <w:rtl/>
        </w:rPr>
        <w:t xml:space="preserve">. </w:t>
      </w:r>
      <w:r w:rsidR="003776A6">
        <w:rPr>
          <w:rtl/>
        </w:rPr>
        <w:tab/>
      </w:r>
      <w:r w:rsidR="00831F9D" w:rsidRPr="003776A6">
        <w:rPr>
          <w:rFonts w:hint="cs"/>
          <w:u w:val="single"/>
          <w:rtl/>
        </w:rPr>
        <w:t>התאמה לא מהותית של מספרי השוואה</w:t>
      </w:r>
      <w:r w:rsidR="00831F9D">
        <w:rPr>
          <w:rStyle w:val="ab"/>
          <w:rtl/>
        </w:rPr>
        <w:footnoteReference w:id="90"/>
      </w:r>
    </w:p>
    <w:p w14:paraId="62775F64" w14:textId="77777777" w:rsidR="00831F9D" w:rsidRPr="00831F9D" w:rsidRDefault="00831F9D" w:rsidP="001A1C9B">
      <w:pPr>
        <w:pStyle w:val="30"/>
        <w:ind w:left="1701" w:firstLine="0"/>
      </w:pPr>
    </w:p>
    <w:p w14:paraId="754740FB" w14:textId="075D5E68" w:rsidR="001503AB" w:rsidRDefault="001503AB" w:rsidP="008D610F">
      <w:pPr>
        <w:pStyle w:val="30"/>
        <w:ind w:left="1701" w:firstLine="0"/>
        <w:rPr>
          <w:rtl/>
        </w:rPr>
      </w:pPr>
      <w:r>
        <w:rPr>
          <w:rFonts w:hint="cs"/>
          <w:rtl/>
        </w:rPr>
        <w:t xml:space="preserve">בתקופת הדוח, נמצאה טעות בדוחות הכספיים המאוחדים לשנת </w:t>
      </w:r>
      <w:r w:rsidR="003139A7">
        <w:rPr>
          <w:rFonts w:hint="cs"/>
          <w:rtl/>
        </w:rPr>
        <w:t>201</w:t>
      </w:r>
      <w:r w:rsidR="008D610F">
        <w:rPr>
          <w:rFonts w:hint="cs"/>
          <w:rtl/>
        </w:rPr>
        <w:t>8</w:t>
      </w:r>
      <w:r>
        <w:rPr>
          <w:rFonts w:hint="cs"/>
          <w:rtl/>
        </w:rPr>
        <w:t xml:space="preserve"> באשר לאופן הטיפול החשבונאי ב</w:t>
      </w:r>
      <w:r w:rsidRPr="00AF6E83">
        <w:rPr>
          <w:rFonts w:hint="cs"/>
          <w:shd w:val="clear" w:color="auto" w:fill="D9D9D9" w:themeFill="background1" w:themeFillShade="D9"/>
          <w:rtl/>
        </w:rPr>
        <w:t>[</w:t>
      </w:r>
      <w:r w:rsidRPr="00F2465B">
        <w:rPr>
          <w:rFonts w:hint="cs"/>
          <w:shd w:val="clear" w:color="auto" w:fill="D9D9D9" w:themeFill="background1" w:themeFillShade="D9"/>
          <w:rtl/>
        </w:rPr>
        <w:t>יש לפרט]</w:t>
      </w:r>
      <w:r>
        <w:rPr>
          <w:rFonts w:hint="cs"/>
          <w:rtl/>
        </w:rPr>
        <w:t xml:space="preserve">. החברה בחנה את מהותיות הטעות שנתגלתה בדוחותיה הכספיים ביחס לתקופת הדיווח הנ"ל, ולאחר בחינת הפרמטרים הכמותיים והאיכותיים הגיעה החברה למסקנה כי לא מדובר בטעות מהותית המצריכה פרסום מחדש של דוחות כספיים מאוחדים מתוקנים של החברה לשנת </w:t>
      </w:r>
      <w:r w:rsidR="004F7D3D">
        <w:rPr>
          <w:rFonts w:hint="cs"/>
          <w:rtl/>
        </w:rPr>
        <w:t>201</w:t>
      </w:r>
      <w:r w:rsidR="008D610F">
        <w:rPr>
          <w:rFonts w:hint="cs"/>
          <w:rtl/>
        </w:rPr>
        <w:t>8</w:t>
      </w:r>
      <w:r>
        <w:rPr>
          <w:rFonts w:hint="cs"/>
          <w:rtl/>
        </w:rPr>
        <w:t>.</w:t>
      </w:r>
    </w:p>
    <w:p w14:paraId="4994DB23" w14:textId="01D17C14" w:rsidR="001503AB" w:rsidRDefault="001503AB" w:rsidP="008D610F">
      <w:pPr>
        <w:pStyle w:val="30"/>
        <w:ind w:left="1701" w:firstLine="0"/>
        <w:rPr>
          <w:rtl/>
        </w:rPr>
      </w:pPr>
      <w:r>
        <w:rPr>
          <w:rFonts w:hint="cs"/>
          <w:rtl/>
        </w:rPr>
        <w:t xml:space="preserve">השפעות תיקון הטעות האמורה על הדוח על המצב הכספי ליום 31 בדצמבר, </w:t>
      </w:r>
      <w:r w:rsidR="004F7D3D">
        <w:rPr>
          <w:rFonts w:hint="cs"/>
          <w:rtl/>
        </w:rPr>
        <w:t>201</w:t>
      </w:r>
      <w:r w:rsidR="008D610F">
        <w:rPr>
          <w:rFonts w:hint="cs"/>
          <w:rtl/>
        </w:rPr>
        <w:t>8</w:t>
      </w:r>
      <w:r w:rsidR="00725D44">
        <w:rPr>
          <w:rFonts w:hint="cs"/>
          <w:rtl/>
        </w:rPr>
        <w:t xml:space="preserve"> </w:t>
      </w:r>
      <w:r>
        <w:rPr>
          <w:rFonts w:hint="cs"/>
          <w:rtl/>
        </w:rPr>
        <w:t xml:space="preserve">הינן גידול של ___ אלפי ש"ח ביתרת ___, קיטון של ___ אלפי ש"ח ביתרת ____ וגידול בסך של ___ אלפי ש"ח ביתרת הרווח. השפעת התיקון על הרווח או ההפסד לשנה שהסתיימה ביום 31 בדצמבר, </w:t>
      </w:r>
      <w:r w:rsidR="004F7D3D">
        <w:rPr>
          <w:rFonts w:hint="cs"/>
          <w:rtl/>
        </w:rPr>
        <w:t>201</w:t>
      </w:r>
      <w:r w:rsidR="008D610F">
        <w:rPr>
          <w:rFonts w:hint="cs"/>
          <w:rtl/>
        </w:rPr>
        <w:t>8</w:t>
      </w:r>
      <w:r w:rsidR="00C9566A">
        <w:rPr>
          <w:rFonts w:hint="cs"/>
          <w:rtl/>
        </w:rPr>
        <w:t xml:space="preserve"> </w:t>
      </w:r>
      <w:r>
        <w:rPr>
          <w:rFonts w:hint="cs"/>
          <w:rtl/>
        </w:rPr>
        <w:t xml:space="preserve">הינה קיטון ב-___ בסך של ___ אלפי ש"ח. </w:t>
      </w:r>
    </w:p>
    <w:p w14:paraId="6EA7B497" w14:textId="77777777" w:rsidR="001503AB" w:rsidRDefault="001503AB" w:rsidP="001A1C9B">
      <w:pPr>
        <w:pStyle w:val="30"/>
        <w:ind w:left="1701" w:firstLine="0"/>
        <w:rPr>
          <w:rtl/>
        </w:rPr>
      </w:pPr>
    </w:p>
    <w:p w14:paraId="32C7EDC2" w14:textId="77777777" w:rsidR="001503AB" w:rsidRDefault="001503AB" w:rsidP="001A1C9B">
      <w:pPr>
        <w:pStyle w:val="30"/>
        <w:ind w:left="1701" w:firstLine="0"/>
        <w:rPr>
          <w:rtl/>
        </w:rPr>
      </w:pPr>
      <w:r>
        <w:rPr>
          <w:rFonts w:hint="cs"/>
          <w:rtl/>
        </w:rPr>
        <w:t>התיקון האמור נכלל במסגרת מספרי ההשוואה בדוחות כספיים אלו בדרך של סימון סעיפי הדוח המתוקנים כ"התאמה לא מהותית של מספרי השוואה".</w:t>
      </w:r>
    </w:p>
    <w:p w14:paraId="3AF8EA58" w14:textId="77777777" w:rsidR="005B3CD0" w:rsidRDefault="005B3CD0" w:rsidP="00EA10D0">
      <w:pPr>
        <w:pStyle w:val="11"/>
        <w:rPr>
          <w:sz w:val="24"/>
          <w:rtl/>
        </w:rPr>
      </w:pPr>
    </w:p>
    <w:p w14:paraId="3CA84BB4" w14:textId="77777777" w:rsidR="003776A6" w:rsidRDefault="003776A6" w:rsidP="00752D5A">
      <w:pPr>
        <w:pStyle w:val="11"/>
        <w:rPr>
          <w:sz w:val="24"/>
          <w:rtl/>
        </w:rPr>
      </w:pPr>
    </w:p>
    <w:p w14:paraId="0F393FF0" w14:textId="1570716A" w:rsidR="00752D5A" w:rsidRDefault="00752D5A" w:rsidP="00256FB0">
      <w:pPr>
        <w:pStyle w:val="11"/>
        <w:rPr>
          <w:rtl/>
        </w:rPr>
      </w:pPr>
      <w:r w:rsidRPr="00831F9D">
        <w:rPr>
          <w:sz w:val="24"/>
          <w:rtl/>
        </w:rPr>
        <w:t xml:space="preserve">באור </w:t>
      </w:r>
      <w:r w:rsidRPr="00831F9D">
        <w:rPr>
          <w:rFonts w:hint="cs"/>
          <w:sz w:val="24"/>
          <w:rtl/>
        </w:rPr>
        <w:t>3</w:t>
      </w:r>
      <w:r w:rsidRPr="00831F9D">
        <w:rPr>
          <w:sz w:val="24"/>
          <w:rtl/>
        </w:rPr>
        <w:t>: -</w:t>
      </w:r>
      <w:r w:rsidRPr="00831F9D">
        <w:rPr>
          <w:sz w:val="24"/>
          <w:rtl/>
        </w:rPr>
        <w:tab/>
      </w:r>
      <w:r w:rsidRPr="00831F9D">
        <w:rPr>
          <w:rFonts w:hint="cs"/>
          <w:u w:val="single"/>
          <w:rtl/>
        </w:rPr>
        <w:t xml:space="preserve">גילוי לתקני </w:t>
      </w:r>
      <w:r w:rsidRPr="00831F9D">
        <w:rPr>
          <w:rFonts w:hint="cs"/>
          <w:u w:val="single"/>
        </w:rPr>
        <w:t>IFRS</w:t>
      </w:r>
      <w:r w:rsidRPr="00831F9D">
        <w:rPr>
          <w:rFonts w:hint="cs"/>
          <w:u w:val="single"/>
          <w:rtl/>
        </w:rPr>
        <w:t xml:space="preserve"> חדשים בתקופה שלפני יישומם</w:t>
      </w:r>
    </w:p>
    <w:p w14:paraId="2D83F3E7" w14:textId="4723EA6F" w:rsidR="009F6A1C" w:rsidRDefault="009F6A1C" w:rsidP="005C7519">
      <w:pPr>
        <w:pStyle w:val="21"/>
        <w:ind w:left="1134" w:firstLine="0"/>
        <w:rPr>
          <w:rtl/>
        </w:rPr>
      </w:pPr>
      <w:r>
        <w:rPr>
          <w:rFonts w:hint="cs"/>
          <w:rtl/>
        </w:rPr>
        <w:t xml:space="preserve"> </w:t>
      </w:r>
    </w:p>
    <w:p w14:paraId="3FF605EC" w14:textId="77777777" w:rsidR="00752D5A" w:rsidRDefault="00752D5A" w:rsidP="00752D5A">
      <w:pPr>
        <w:pStyle w:val="30"/>
        <w:ind w:left="1134" w:firstLine="0"/>
        <w:rPr>
          <w:rtl/>
        </w:rPr>
      </w:pPr>
    </w:p>
    <w:p w14:paraId="25445AF6" w14:textId="77777777" w:rsidR="00C22BA0" w:rsidRDefault="00C22BA0">
      <w:pPr>
        <w:pStyle w:val="11"/>
        <w:rPr>
          <w:rtl/>
        </w:rPr>
      </w:pPr>
      <w:bookmarkStart w:id="48" w:name="_Toc290213626"/>
    </w:p>
    <w:p w14:paraId="4A624850" w14:textId="77777777" w:rsidR="003D46A8" w:rsidRDefault="00AB7D68">
      <w:pPr>
        <w:pStyle w:val="11"/>
        <w:rPr>
          <w:u w:val="single"/>
          <w:rtl/>
        </w:rPr>
      </w:pPr>
      <w:r>
        <w:rPr>
          <w:rFonts w:hint="cs"/>
          <w:rtl/>
        </w:rPr>
        <w:t xml:space="preserve">באור </w:t>
      </w:r>
      <w:r w:rsidR="00DB3160">
        <w:rPr>
          <w:rFonts w:hint="cs"/>
          <w:rtl/>
        </w:rPr>
        <w:t>4</w:t>
      </w:r>
      <w:r>
        <w:rPr>
          <w:rFonts w:hint="cs"/>
          <w:rtl/>
        </w:rPr>
        <w:t>: -</w:t>
      </w:r>
      <w:r>
        <w:rPr>
          <w:rFonts w:hint="cs"/>
          <w:rtl/>
        </w:rPr>
        <w:tab/>
      </w:r>
      <w:r>
        <w:rPr>
          <w:rFonts w:hint="cs"/>
          <w:u w:val="single"/>
          <w:rtl/>
        </w:rPr>
        <w:t>עונתיות</w:t>
      </w:r>
      <w:bookmarkEnd w:id="48"/>
    </w:p>
    <w:p w14:paraId="377D00B3" w14:textId="77777777" w:rsidR="00225232" w:rsidRDefault="00225232">
      <w:pPr>
        <w:spacing w:line="240" w:lineRule="auto"/>
        <w:rPr>
          <w:rtl/>
        </w:rPr>
      </w:pPr>
    </w:p>
    <w:tbl>
      <w:tblPr>
        <w:tblStyle w:val="af6"/>
        <w:bidiVisual/>
        <w:tblW w:w="9617" w:type="dxa"/>
        <w:tblInd w:w="20" w:type="dxa"/>
        <w:tblLayout w:type="fixed"/>
        <w:tblCellMar>
          <w:left w:w="0" w:type="dxa"/>
          <w:right w:w="0" w:type="dxa"/>
        </w:tblCellMar>
        <w:tblLook w:val="04A0" w:firstRow="1" w:lastRow="0" w:firstColumn="1" w:lastColumn="0" w:noHBand="0" w:noVBand="1"/>
      </w:tblPr>
      <w:tblGrid>
        <w:gridCol w:w="1094"/>
        <w:gridCol w:w="8523"/>
      </w:tblGrid>
      <w:tr w:rsidR="00BA425D" w14:paraId="4E4F32FA" w14:textId="77777777" w:rsidTr="00BA425D">
        <w:tc>
          <w:tcPr>
            <w:tcW w:w="1094" w:type="dxa"/>
            <w:tcBorders>
              <w:top w:val="nil"/>
              <w:left w:val="nil"/>
              <w:bottom w:val="single" w:sz="4" w:space="0" w:color="auto"/>
              <w:right w:val="single" w:sz="4" w:space="0" w:color="auto"/>
            </w:tcBorders>
            <w:vAlign w:val="center"/>
          </w:tcPr>
          <w:p w14:paraId="5190B27C" w14:textId="77777777" w:rsidR="00BA425D" w:rsidRPr="00F71E33" w:rsidRDefault="00BA425D" w:rsidP="00BA425D">
            <w:pPr>
              <w:bidi w:val="0"/>
              <w:jc w:val="right"/>
              <w:rPr>
                <w:i/>
                <w:iCs/>
                <w:sz w:val="13"/>
                <w:szCs w:val="13"/>
              </w:rPr>
            </w:pPr>
            <w:r>
              <w:rPr>
                <w:i/>
                <w:iCs/>
                <w:sz w:val="13"/>
                <w:szCs w:val="13"/>
              </w:rPr>
              <w:t>IAS 34.16A(b)</w:t>
            </w:r>
          </w:p>
        </w:tc>
        <w:tc>
          <w:tcPr>
            <w:tcW w:w="8523" w:type="dxa"/>
            <w:tcBorders>
              <w:top w:val="nil"/>
              <w:left w:val="single" w:sz="4" w:space="0" w:color="auto"/>
              <w:bottom w:val="nil"/>
              <w:right w:val="nil"/>
            </w:tcBorders>
          </w:tcPr>
          <w:p w14:paraId="371C289F" w14:textId="77777777" w:rsidR="00225232" w:rsidRDefault="00BA425D">
            <w:pPr>
              <w:rPr>
                <w:rtl/>
              </w:rPr>
            </w:pPr>
            <w:r>
              <w:rPr>
                <w:rFonts w:hint="cs"/>
                <w:rtl/>
              </w:rPr>
              <w:t>פעילות החברה מושפעת מעונתיות בהתאם לעונות הקיץ והחורף ותקופות החגים. עיקר המכירות מתבצעות בשלושת החודשים הראשונים של הקיץ והחורף ובסמוך לתקופות החגים (בדרך כלל ברבעונים השני והרביעי של השנה בתלות בעיתוי מועד תקופות החגים).</w:t>
            </w:r>
          </w:p>
        </w:tc>
      </w:tr>
    </w:tbl>
    <w:p w14:paraId="4F638B25" w14:textId="77777777" w:rsidR="004C5745" w:rsidRDefault="004C5745">
      <w:pPr>
        <w:spacing w:line="240" w:lineRule="auto"/>
        <w:rPr>
          <w:rtl/>
        </w:rPr>
      </w:pPr>
    </w:p>
    <w:p w14:paraId="38DDDA9E" w14:textId="77777777" w:rsidR="00B83964" w:rsidRDefault="00B83964">
      <w:pPr>
        <w:pStyle w:val="11"/>
        <w:rPr>
          <w:rtl/>
        </w:rPr>
      </w:pPr>
      <w:bookmarkStart w:id="49" w:name="_Toc290213627"/>
    </w:p>
    <w:p w14:paraId="3218A083" w14:textId="77777777" w:rsidR="00C22BA0" w:rsidRDefault="00C22BA0">
      <w:pPr>
        <w:pStyle w:val="11"/>
        <w:rPr>
          <w:rtl/>
        </w:rPr>
      </w:pPr>
      <w:r>
        <w:rPr>
          <w:rtl/>
        </w:rPr>
        <w:br w:type="page"/>
      </w:r>
    </w:p>
    <w:p w14:paraId="15A95508" w14:textId="77777777" w:rsidR="005C7519" w:rsidRDefault="005C7519" w:rsidP="0085697A">
      <w:pPr>
        <w:pStyle w:val="11"/>
        <w:rPr>
          <w:rtl/>
        </w:rPr>
      </w:pPr>
    </w:p>
    <w:p w14:paraId="6A481EF4" w14:textId="77777777" w:rsidR="003D46A8" w:rsidRDefault="00086F23" w:rsidP="0085697A">
      <w:pPr>
        <w:pStyle w:val="11"/>
        <w:rPr>
          <w:u w:val="single"/>
          <w:rtl/>
        </w:rPr>
      </w:pPr>
      <w:r>
        <w:rPr>
          <w:rFonts w:hint="cs"/>
          <w:rtl/>
        </w:rPr>
        <w:t xml:space="preserve">באור </w:t>
      </w:r>
      <w:r w:rsidR="00DB3160">
        <w:rPr>
          <w:rFonts w:hint="cs"/>
          <w:rtl/>
        </w:rPr>
        <w:t>5</w:t>
      </w:r>
      <w:r>
        <w:rPr>
          <w:rFonts w:hint="cs"/>
          <w:rtl/>
        </w:rPr>
        <w:t>: -</w:t>
      </w:r>
      <w:r>
        <w:rPr>
          <w:rFonts w:hint="cs"/>
          <w:rtl/>
        </w:rPr>
        <w:tab/>
      </w:r>
      <w:r w:rsidR="000C4C0E" w:rsidRPr="000C4C0E">
        <w:rPr>
          <w:rFonts w:hint="eastAsia"/>
          <w:u w:val="single"/>
          <w:rtl/>
        </w:rPr>
        <w:t>אירועים</w:t>
      </w:r>
      <w:r w:rsidR="000C4C0E" w:rsidRPr="000C4C0E">
        <w:rPr>
          <w:u w:val="single"/>
          <w:rtl/>
        </w:rPr>
        <w:t xml:space="preserve"> </w:t>
      </w:r>
      <w:r w:rsidR="000C4C0E" w:rsidRPr="000C4C0E">
        <w:rPr>
          <w:rFonts w:hint="eastAsia"/>
          <w:u w:val="single"/>
          <w:rtl/>
        </w:rPr>
        <w:t>משמעותיים</w:t>
      </w:r>
      <w:r w:rsidR="00F31E98">
        <w:rPr>
          <w:rFonts w:hint="cs"/>
          <w:u w:val="single"/>
          <w:rtl/>
        </w:rPr>
        <w:t xml:space="preserve"> </w:t>
      </w:r>
      <w:r>
        <w:rPr>
          <w:rFonts w:hint="cs"/>
          <w:u w:val="single"/>
          <w:rtl/>
        </w:rPr>
        <w:t>בתקופת הדיווח</w:t>
      </w:r>
      <w:bookmarkEnd w:id="49"/>
    </w:p>
    <w:p w14:paraId="6BD85499" w14:textId="77777777" w:rsidR="008142C3" w:rsidRDefault="008142C3">
      <w:pPr>
        <w:ind w:left="1701" w:hanging="567"/>
        <w:rPr>
          <w:rtl/>
        </w:rPr>
      </w:pPr>
    </w:p>
    <w:p w14:paraId="6532693E" w14:textId="77777777" w:rsidR="00264F64" w:rsidRDefault="00AB7D68">
      <w:pPr>
        <w:ind w:left="1701" w:hanging="567"/>
        <w:rPr>
          <w:rtl/>
        </w:rPr>
      </w:pPr>
      <w:r>
        <w:rPr>
          <w:rFonts w:hint="cs"/>
          <w:rtl/>
        </w:rPr>
        <w:t xml:space="preserve">הוסף אם </w:t>
      </w:r>
      <w:r w:rsidR="007A7F64">
        <w:rPr>
          <w:rFonts w:hint="cs"/>
          <w:rtl/>
        </w:rPr>
        <w:t xml:space="preserve">רלוונטי </w:t>
      </w:r>
      <w:r>
        <w:rPr>
          <w:rFonts w:hint="cs"/>
          <w:rtl/>
        </w:rPr>
        <w:t>למקרה הנדון, פרטים על:</w:t>
      </w:r>
    </w:p>
    <w:p w14:paraId="59FC4C82" w14:textId="77777777" w:rsidR="00225232" w:rsidRDefault="00225232">
      <w:pPr>
        <w:spacing w:line="240" w:lineRule="auto"/>
        <w:ind w:left="1701" w:hanging="567"/>
        <w:rPr>
          <w:rtl/>
        </w:rPr>
      </w:pPr>
    </w:p>
    <w:tbl>
      <w:tblPr>
        <w:tblStyle w:val="af6"/>
        <w:bidiVisual/>
        <w:tblW w:w="9604" w:type="dxa"/>
        <w:tblInd w:w="60" w:type="dxa"/>
        <w:tblLayout w:type="fixed"/>
        <w:tblLook w:val="04A0" w:firstRow="1" w:lastRow="0" w:firstColumn="1" w:lastColumn="0" w:noHBand="0" w:noVBand="1"/>
      </w:tblPr>
      <w:tblGrid>
        <w:gridCol w:w="1095"/>
        <w:gridCol w:w="238"/>
        <w:gridCol w:w="8271"/>
      </w:tblGrid>
      <w:tr w:rsidR="00097EE3" w14:paraId="4153F41F" w14:textId="77777777" w:rsidTr="006E6BFC">
        <w:tc>
          <w:tcPr>
            <w:tcW w:w="1094" w:type="dxa"/>
            <w:tcBorders>
              <w:left w:val="nil"/>
              <w:right w:val="single" w:sz="4" w:space="0" w:color="auto"/>
            </w:tcBorders>
            <w:tcMar>
              <w:left w:w="0" w:type="dxa"/>
              <w:right w:w="0" w:type="dxa"/>
            </w:tcMar>
            <w:vAlign w:val="center"/>
          </w:tcPr>
          <w:p w14:paraId="3F100107" w14:textId="77777777" w:rsidR="00097EE3" w:rsidRPr="008A7508" w:rsidRDefault="00097EE3" w:rsidP="00BE3388">
            <w:pPr>
              <w:bidi w:val="0"/>
              <w:jc w:val="right"/>
              <w:rPr>
                <w:i/>
                <w:iCs/>
                <w:sz w:val="13"/>
                <w:szCs w:val="13"/>
              </w:rPr>
            </w:pPr>
            <w:r w:rsidRPr="008A7508">
              <w:rPr>
                <w:i/>
                <w:iCs/>
                <w:sz w:val="13"/>
                <w:szCs w:val="13"/>
              </w:rPr>
              <w:t>IAS 34.16A(</w:t>
            </w:r>
            <w:r w:rsidR="00BE3388">
              <w:rPr>
                <w:i/>
                <w:iCs/>
                <w:sz w:val="13"/>
                <w:szCs w:val="13"/>
              </w:rPr>
              <w:t>a</w:t>
            </w:r>
            <w:r w:rsidRPr="008A7508">
              <w:rPr>
                <w:i/>
                <w:iCs/>
                <w:sz w:val="13"/>
                <w:szCs w:val="13"/>
              </w:rPr>
              <w:t>)</w:t>
            </w:r>
          </w:p>
        </w:tc>
        <w:tc>
          <w:tcPr>
            <w:tcW w:w="238" w:type="dxa"/>
            <w:tcBorders>
              <w:top w:val="nil"/>
              <w:left w:val="single" w:sz="4" w:space="0" w:color="auto"/>
              <w:bottom w:val="nil"/>
              <w:right w:val="nil"/>
            </w:tcBorders>
          </w:tcPr>
          <w:p w14:paraId="64042F4D" w14:textId="77777777" w:rsidR="00097EE3" w:rsidRPr="00340B02" w:rsidRDefault="00F47322">
            <w:pPr>
              <w:widowControl/>
              <w:spacing w:line="240" w:lineRule="auto"/>
              <w:jc w:val="center"/>
              <w:rPr>
                <w:rtl/>
              </w:rPr>
            </w:pPr>
            <w:r>
              <w:rPr>
                <w:rFonts w:hint="cs"/>
                <w:rtl/>
              </w:rPr>
              <w:t>-</w:t>
            </w:r>
          </w:p>
        </w:tc>
        <w:tc>
          <w:tcPr>
            <w:tcW w:w="8267" w:type="dxa"/>
            <w:tcBorders>
              <w:top w:val="nil"/>
              <w:left w:val="nil"/>
              <w:bottom w:val="nil"/>
              <w:right w:val="nil"/>
            </w:tcBorders>
          </w:tcPr>
          <w:p w14:paraId="0F977AF0" w14:textId="77777777" w:rsidR="008D22FA" w:rsidRDefault="006F2EAD">
            <w:pPr>
              <w:widowControl/>
              <w:spacing w:line="240" w:lineRule="auto"/>
              <w:ind w:leftChars="10" w:left="20"/>
              <w:rPr>
                <w:rtl/>
              </w:rPr>
            </w:pPr>
            <w:r>
              <w:rPr>
                <w:rFonts w:hint="cs"/>
                <w:rtl/>
              </w:rPr>
              <w:t>יישום למפרע עקב שינוי מדיניות חשבונאית</w:t>
            </w:r>
            <w:r w:rsidR="00097EE3">
              <w:rPr>
                <w:rFonts w:hint="cs"/>
                <w:rtl/>
              </w:rPr>
              <w:t>.</w:t>
            </w:r>
          </w:p>
        </w:tc>
      </w:tr>
      <w:tr w:rsidR="00097EE3" w14:paraId="272E136C" w14:textId="77777777" w:rsidTr="006E6BFC">
        <w:tc>
          <w:tcPr>
            <w:tcW w:w="1094" w:type="dxa"/>
            <w:tcBorders>
              <w:left w:val="nil"/>
              <w:right w:val="single" w:sz="4" w:space="0" w:color="auto"/>
            </w:tcBorders>
            <w:tcMar>
              <w:left w:w="0" w:type="dxa"/>
              <w:right w:w="0" w:type="dxa"/>
            </w:tcMar>
          </w:tcPr>
          <w:p w14:paraId="4CC9262C" w14:textId="77777777" w:rsidR="00097EE3" w:rsidRPr="008A7508" w:rsidRDefault="00097EE3" w:rsidP="008A7508">
            <w:pPr>
              <w:bidi w:val="0"/>
              <w:jc w:val="right"/>
              <w:rPr>
                <w:sz w:val="13"/>
                <w:szCs w:val="13"/>
              </w:rPr>
            </w:pPr>
            <w:r w:rsidRPr="008A7508">
              <w:rPr>
                <w:i/>
                <w:iCs/>
                <w:sz w:val="13"/>
                <w:szCs w:val="13"/>
              </w:rPr>
              <w:t>IAS 34.1</w:t>
            </w:r>
            <w:r>
              <w:rPr>
                <w:i/>
                <w:iCs/>
                <w:sz w:val="13"/>
                <w:szCs w:val="13"/>
              </w:rPr>
              <w:t>5B</w:t>
            </w:r>
            <w:r w:rsidRPr="008A7508">
              <w:rPr>
                <w:i/>
                <w:iCs/>
                <w:sz w:val="13"/>
                <w:szCs w:val="13"/>
              </w:rPr>
              <w:t>(</w:t>
            </w:r>
            <w:r>
              <w:rPr>
                <w:i/>
                <w:iCs/>
                <w:sz w:val="13"/>
                <w:szCs w:val="13"/>
              </w:rPr>
              <w:t>g</w:t>
            </w:r>
            <w:r w:rsidRPr="008A7508">
              <w:rPr>
                <w:i/>
                <w:iCs/>
                <w:sz w:val="13"/>
                <w:szCs w:val="13"/>
              </w:rPr>
              <w:t>)</w:t>
            </w:r>
          </w:p>
        </w:tc>
        <w:tc>
          <w:tcPr>
            <w:tcW w:w="238" w:type="dxa"/>
            <w:tcBorders>
              <w:top w:val="nil"/>
              <w:left w:val="single" w:sz="4" w:space="0" w:color="auto"/>
              <w:bottom w:val="nil"/>
              <w:right w:val="nil"/>
            </w:tcBorders>
          </w:tcPr>
          <w:p w14:paraId="5BCA48D0"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7A5843CD" w14:textId="77777777" w:rsidR="008D22FA" w:rsidRDefault="00097EE3">
            <w:pPr>
              <w:widowControl/>
              <w:spacing w:line="240" w:lineRule="auto"/>
              <w:ind w:leftChars="10" w:left="20"/>
              <w:rPr>
                <w:rtl/>
              </w:rPr>
            </w:pPr>
            <w:r>
              <w:rPr>
                <w:rFonts w:hint="cs"/>
                <w:rtl/>
              </w:rPr>
              <w:t>הצגה מחדש.</w:t>
            </w:r>
          </w:p>
        </w:tc>
      </w:tr>
      <w:tr w:rsidR="00097EE3" w14:paraId="78141696" w14:textId="77777777" w:rsidTr="006E6BFC">
        <w:tc>
          <w:tcPr>
            <w:tcW w:w="1094" w:type="dxa"/>
            <w:tcBorders>
              <w:left w:val="nil"/>
              <w:right w:val="single" w:sz="4" w:space="0" w:color="auto"/>
            </w:tcBorders>
            <w:tcMar>
              <w:left w:w="0" w:type="dxa"/>
              <w:right w:w="0" w:type="dxa"/>
            </w:tcMar>
          </w:tcPr>
          <w:p w14:paraId="2DABEB21" w14:textId="77777777" w:rsidR="00097EE3" w:rsidRPr="008A7508" w:rsidRDefault="00097EE3" w:rsidP="008A7508">
            <w:pPr>
              <w:bidi w:val="0"/>
              <w:jc w:val="right"/>
              <w:rPr>
                <w:i/>
                <w:iCs/>
                <w:sz w:val="13"/>
                <w:szCs w:val="13"/>
              </w:rPr>
            </w:pPr>
            <w:r w:rsidRPr="008A7508">
              <w:rPr>
                <w:i/>
                <w:iCs/>
                <w:sz w:val="13"/>
                <w:szCs w:val="13"/>
              </w:rPr>
              <w:t>IAS 34.16A(d)</w:t>
            </w:r>
          </w:p>
        </w:tc>
        <w:tc>
          <w:tcPr>
            <w:tcW w:w="238" w:type="dxa"/>
            <w:tcBorders>
              <w:top w:val="nil"/>
              <w:left w:val="single" w:sz="4" w:space="0" w:color="auto"/>
              <w:bottom w:val="nil"/>
              <w:right w:val="nil"/>
            </w:tcBorders>
          </w:tcPr>
          <w:p w14:paraId="3768231C"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3117C602" w14:textId="77777777" w:rsidR="008D22FA" w:rsidRDefault="00097EE3">
            <w:pPr>
              <w:widowControl/>
              <w:spacing w:line="240" w:lineRule="auto"/>
              <w:ind w:leftChars="10" w:left="20"/>
              <w:rPr>
                <w:rtl/>
              </w:rPr>
            </w:pPr>
            <w:r>
              <w:rPr>
                <w:rFonts w:hint="cs"/>
                <w:rtl/>
              </w:rPr>
              <w:t>שינוי אומדן.</w:t>
            </w:r>
          </w:p>
        </w:tc>
      </w:tr>
      <w:tr w:rsidR="00097EE3" w14:paraId="50DC90EE" w14:textId="77777777" w:rsidTr="006E6BFC">
        <w:tc>
          <w:tcPr>
            <w:tcW w:w="1094" w:type="dxa"/>
            <w:tcBorders>
              <w:left w:val="nil"/>
              <w:right w:val="single" w:sz="4" w:space="0" w:color="auto"/>
            </w:tcBorders>
            <w:tcMar>
              <w:left w:w="0" w:type="dxa"/>
              <w:right w:w="0" w:type="dxa"/>
            </w:tcMar>
            <w:vAlign w:val="center"/>
          </w:tcPr>
          <w:p w14:paraId="35B36CDB" w14:textId="77777777" w:rsidR="00097EE3" w:rsidRPr="008A7508" w:rsidRDefault="00097EE3" w:rsidP="00CD7B48">
            <w:pPr>
              <w:bidi w:val="0"/>
              <w:jc w:val="right"/>
              <w:rPr>
                <w:sz w:val="13"/>
                <w:szCs w:val="13"/>
              </w:rPr>
            </w:pPr>
            <w:r w:rsidRPr="008A7508">
              <w:rPr>
                <w:i/>
                <w:iCs/>
                <w:sz w:val="13"/>
                <w:szCs w:val="13"/>
              </w:rPr>
              <w:t>IAS 34.1</w:t>
            </w:r>
            <w:r>
              <w:rPr>
                <w:i/>
                <w:iCs/>
                <w:sz w:val="13"/>
                <w:szCs w:val="13"/>
              </w:rPr>
              <w:t>5B</w:t>
            </w:r>
            <w:r w:rsidRPr="008A7508">
              <w:rPr>
                <w:i/>
                <w:iCs/>
                <w:sz w:val="13"/>
                <w:szCs w:val="13"/>
              </w:rPr>
              <w:t>(</w:t>
            </w:r>
            <w:r>
              <w:rPr>
                <w:i/>
                <w:iCs/>
                <w:sz w:val="13"/>
                <w:szCs w:val="13"/>
              </w:rPr>
              <w:t>a</w:t>
            </w:r>
            <w:r w:rsidRPr="008A7508">
              <w:rPr>
                <w:i/>
                <w:iCs/>
                <w:sz w:val="13"/>
                <w:szCs w:val="13"/>
              </w:rPr>
              <w:t>)</w:t>
            </w:r>
            <w:r>
              <w:rPr>
                <w:i/>
                <w:iCs/>
                <w:sz w:val="13"/>
                <w:szCs w:val="13"/>
              </w:rPr>
              <w:t>, (b); IAS 34.16A(c)</w:t>
            </w:r>
          </w:p>
        </w:tc>
        <w:tc>
          <w:tcPr>
            <w:tcW w:w="238" w:type="dxa"/>
            <w:tcBorders>
              <w:top w:val="nil"/>
              <w:left w:val="single" w:sz="4" w:space="0" w:color="auto"/>
              <w:bottom w:val="nil"/>
              <w:right w:val="nil"/>
            </w:tcBorders>
          </w:tcPr>
          <w:p w14:paraId="3F63EAD8"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77353FC6" w14:textId="77777777" w:rsidR="008D22FA" w:rsidRDefault="00097EE3">
            <w:pPr>
              <w:widowControl/>
              <w:spacing w:line="240" w:lineRule="auto"/>
              <w:ind w:leftChars="10" w:left="20"/>
              <w:rPr>
                <w:rtl/>
              </w:rPr>
            </w:pPr>
            <w:r>
              <w:rPr>
                <w:rFonts w:hint="cs"/>
                <w:rtl/>
              </w:rPr>
              <w:t xml:space="preserve">פריטים בלתי רגילים בשל מהותם, גודלם או שכיחותם (לדוגמה, הפרשה לירידת </w:t>
            </w:r>
            <w:r w:rsidRPr="000C4C0E">
              <w:rPr>
                <w:rFonts w:hint="eastAsia"/>
                <w:rtl/>
              </w:rPr>
              <w:t>ערך</w:t>
            </w:r>
            <w:r w:rsidRPr="000C4C0E">
              <w:rPr>
                <w:rtl/>
              </w:rPr>
              <w:t xml:space="preserve"> </w:t>
            </w:r>
            <w:r>
              <w:rPr>
                <w:rFonts w:hint="cs"/>
                <w:rtl/>
              </w:rPr>
              <w:t xml:space="preserve">נכסים </w:t>
            </w:r>
            <w:r w:rsidRPr="000C4C0E">
              <w:rPr>
                <w:rFonts w:hint="eastAsia"/>
                <w:rtl/>
              </w:rPr>
              <w:t>או</w:t>
            </w:r>
            <w:r w:rsidRPr="000C4C0E">
              <w:rPr>
                <w:rtl/>
              </w:rPr>
              <w:t xml:space="preserve"> </w:t>
            </w:r>
            <w:r w:rsidRPr="000C4C0E">
              <w:rPr>
                <w:rFonts w:hint="eastAsia"/>
                <w:rtl/>
              </w:rPr>
              <w:t>ביטולה</w:t>
            </w:r>
            <w:r>
              <w:rPr>
                <w:rFonts w:hint="cs"/>
                <w:rtl/>
              </w:rPr>
              <w:t xml:space="preserve">, ירידות ערך </w:t>
            </w:r>
            <w:r w:rsidRPr="000C4C0E">
              <w:rPr>
                <w:rFonts w:hint="eastAsia"/>
                <w:rtl/>
              </w:rPr>
              <w:t>מלאי</w:t>
            </w:r>
            <w:r w:rsidRPr="000C4C0E">
              <w:rPr>
                <w:rtl/>
              </w:rPr>
              <w:t xml:space="preserve"> </w:t>
            </w:r>
            <w:r w:rsidRPr="000C4C0E">
              <w:rPr>
                <w:rFonts w:hint="eastAsia"/>
                <w:rtl/>
              </w:rPr>
              <w:t>או</w:t>
            </w:r>
            <w:r w:rsidRPr="000C4C0E">
              <w:rPr>
                <w:rtl/>
              </w:rPr>
              <w:t xml:space="preserve"> </w:t>
            </w:r>
            <w:r w:rsidRPr="000C4C0E">
              <w:rPr>
                <w:rFonts w:hint="eastAsia"/>
                <w:rtl/>
              </w:rPr>
              <w:t>ביטולן</w:t>
            </w:r>
            <w:r>
              <w:rPr>
                <w:rFonts w:hint="cs"/>
                <w:rtl/>
              </w:rPr>
              <w:t xml:space="preserve"> וכו').</w:t>
            </w:r>
          </w:p>
        </w:tc>
      </w:tr>
      <w:tr w:rsidR="00097EE3" w14:paraId="299C5897" w14:textId="77777777" w:rsidTr="006E6BFC">
        <w:tc>
          <w:tcPr>
            <w:tcW w:w="1094" w:type="dxa"/>
            <w:tcBorders>
              <w:left w:val="nil"/>
              <w:bottom w:val="single" w:sz="4" w:space="0" w:color="auto"/>
              <w:right w:val="single" w:sz="4" w:space="0" w:color="auto"/>
            </w:tcBorders>
            <w:tcMar>
              <w:left w:w="0" w:type="dxa"/>
              <w:right w:w="0" w:type="dxa"/>
            </w:tcMar>
          </w:tcPr>
          <w:p w14:paraId="38B0D9FF" w14:textId="77777777" w:rsidR="00097EE3" w:rsidRPr="008A7508" w:rsidRDefault="00097EE3" w:rsidP="008A7508">
            <w:pPr>
              <w:bidi w:val="0"/>
              <w:jc w:val="right"/>
              <w:rPr>
                <w:i/>
                <w:iCs/>
                <w:sz w:val="13"/>
                <w:szCs w:val="13"/>
              </w:rPr>
            </w:pPr>
            <w:r w:rsidRPr="008A7508">
              <w:rPr>
                <w:i/>
                <w:iCs/>
                <w:sz w:val="13"/>
                <w:szCs w:val="13"/>
              </w:rPr>
              <w:t>IAS 34.16A(e)</w:t>
            </w:r>
          </w:p>
        </w:tc>
        <w:tc>
          <w:tcPr>
            <w:tcW w:w="238" w:type="dxa"/>
            <w:tcBorders>
              <w:top w:val="nil"/>
              <w:left w:val="single" w:sz="4" w:space="0" w:color="auto"/>
              <w:bottom w:val="nil"/>
              <w:right w:val="nil"/>
            </w:tcBorders>
          </w:tcPr>
          <w:p w14:paraId="73A7D5D0"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08C28606" w14:textId="77777777" w:rsidR="008D22FA" w:rsidRDefault="00097EE3">
            <w:pPr>
              <w:widowControl/>
              <w:spacing w:line="240" w:lineRule="auto"/>
              <w:ind w:leftChars="10" w:left="20"/>
              <w:rPr>
                <w:rtl/>
              </w:rPr>
            </w:pPr>
            <w:r>
              <w:rPr>
                <w:rFonts w:hint="cs"/>
                <w:rtl/>
              </w:rPr>
              <w:t>הנפקות, רכישות עצמיות ופרעון ניירות ערך המהווים חוב או הון.</w:t>
            </w:r>
          </w:p>
        </w:tc>
      </w:tr>
      <w:tr w:rsidR="00097EE3" w14:paraId="5CC06831" w14:textId="77777777" w:rsidTr="006E6BFC">
        <w:tc>
          <w:tcPr>
            <w:tcW w:w="1094" w:type="dxa"/>
            <w:tcBorders>
              <w:left w:val="nil"/>
              <w:bottom w:val="nil"/>
              <w:right w:val="single" w:sz="4" w:space="0" w:color="auto"/>
            </w:tcBorders>
            <w:tcMar>
              <w:left w:w="0" w:type="dxa"/>
              <w:right w:w="0" w:type="dxa"/>
            </w:tcMar>
          </w:tcPr>
          <w:p w14:paraId="6DFF6C79" w14:textId="77777777" w:rsidR="00097EE3" w:rsidRPr="008A7508" w:rsidRDefault="00097EE3" w:rsidP="008A7508">
            <w:pPr>
              <w:bidi w:val="0"/>
              <w:jc w:val="right"/>
              <w:rPr>
                <w:i/>
                <w:iCs/>
                <w:sz w:val="13"/>
                <w:szCs w:val="13"/>
              </w:rPr>
            </w:pPr>
            <w:r>
              <w:rPr>
                <w:i/>
                <w:iCs/>
                <w:sz w:val="13"/>
                <w:szCs w:val="13"/>
              </w:rPr>
              <w:t>IAS 34.16A(f)</w:t>
            </w:r>
          </w:p>
        </w:tc>
        <w:tc>
          <w:tcPr>
            <w:tcW w:w="238" w:type="dxa"/>
            <w:tcBorders>
              <w:top w:val="nil"/>
              <w:left w:val="single" w:sz="4" w:space="0" w:color="auto"/>
              <w:bottom w:val="nil"/>
              <w:right w:val="nil"/>
            </w:tcBorders>
          </w:tcPr>
          <w:p w14:paraId="7AF15311"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170CAFC9" w14:textId="77777777" w:rsidR="008D22FA" w:rsidRDefault="00097EE3">
            <w:pPr>
              <w:widowControl/>
              <w:spacing w:line="240" w:lineRule="auto"/>
              <w:ind w:leftChars="10" w:left="20"/>
              <w:rPr>
                <w:rtl/>
              </w:rPr>
            </w:pPr>
            <w:r>
              <w:rPr>
                <w:rFonts w:hint="cs"/>
                <w:rtl/>
              </w:rPr>
              <w:t>דיבידנדים ששולמו או הוכרזו.</w:t>
            </w:r>
          </w:p>
        </w:tc>
      </w:tr>
      <w:tr w:rsidR="00097EE3" w14:paraId="083B8DAB" w14:textId="77777777" w:rsidTr="006E6BFC">
        <w:tc>
          <w:tcPr>
            <w:tcW w:w="1094" w:type="dxa"/>
            <w:vMerge w:val="restart"/>
            <w:tcBorders>
              <w:left w:val="nil"/>
              <w:right w:val="single" w:sz="4" w:space="0" w:color="auto"/>
            </w:tcBorders>
            <w:tcMar>
              <w:left w:w="0" w:type="dxa"/>
              <w:right w:w="0" w:type="dxa"/>
            </w:tcMar>
            <w:vAlign w:val="center"/>
          </w:tcPr>
          <w:p w14:paraId="5C6A0627" w14:textId="77777777" w:rsidR="00097EE3" w:rsidRPr="008A7508" w:rsidRDefault="00097EE3" w:rsidP="008A7508">
            <w:pPr>
              <w:bidi w:val="0"/>
              <w:jc w:val="right"/>
              <w:rPr>
                <w:i/>
                <w:iCs/>
                <w:sz w:val="13"/>
                <w:szCs w:val="13"/>
              </w:rPr>
            </w:pPr>
            <w:r>
              <w:rPr>
                <w:i/>
                <w:iCs/>
                <w:sz w:val="13"/>
                <w:szCs w:val="13"/>
              </w:rPr>
              <w:t>IAS 34.16A(i)</w:t>
            </w:r>
          </w:p>
        </w:tc>
        <w:tc>
          <w:tcPr>
            <w:tcW w:w="238" w:type="dxa"/>
            <w:tcBorders>
              <w:top w:val="nil"/>
              <w:left w:val="single" w:sz="4" w:space="0" w:color="auto"/>
              <w:bottom w:val="nil"/>
              <w:right w:val="nil"/>
            </w:tcBorders>
          </w:tcPr>
          <w:p w14:paraId="6A7AE4A6"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07A2B662" w14:textId="77777777" w:rsidR="008D22FA" w:rsidRDefault="00097EE3">
            <w:pPr>
              <w:widowControl/>
              <w:spacing w:line="240" w:lineRule="auto"/>
              <w:ind w:leftChars="10" w:left="20"/>
              <w:rPr>
                <w:rtl/>
              </w:rPr>
            </w:pPr>
            <w:r>
              <w:rPr>
                <w:rFonts w:hint="cs"/>
                <w:rtl/>
              </w:rPr>
              <w:t>פעילות שהופסקה.</w:t>
            </w:r>
          </w:p>
        </w:tc>
      </w:tr>
      <w:tr w:rsidR="00097EE3" w14:paraId="2FE7F1E4" w14:textId="77777777" w:rsidTr="006E6BFC">
        <w:tc>
          <w:tcPr>
            <w:tcW w:w="1094" w:type="dxa"/>
            <w:vMerge/>
            <w:tcBorders>
              <w:left w:val="nil"/>
              <w:right w:val="single" w:sz="4" w:space="0" w:color="auto"/>
            </w:tcBorders>
            <w:tcMar>
              <w:left w:w="0" w:type="dxa"/>
              <w:right w:w="0" w:type="dxa"/>
            </w:tcMar>
          </w:tcPr>
          <w:p w14:paraId="6FB69835" w14:textId="77777777" w:rsidR="00097EE3" w:rsidRPr="008A7508" w:rsidRDefault="00097EE3" w:rsidP="008A7508">
            <w:pPr>
              <w:bidi w:val="0"/>
              <w:jc w:val="right"/>
              <w:rPr>
                <w:i/>
                <w:iCs/>
                <w:sz w:val="13"/>
                <w:szCs w:val="13"/>
              </w:rPr>
            </w:pPr>
          </w:p>
        </w:tc>
        <w:tc>
          <w:tcPr>
            <w:tcW w:w="238" w:type="dxa"/>
            <w:tcBorders>
              <w:top w:val="nil"/>
              <w:left w:val="single" w:sz="4" w:space="0" w:color="auto"/>
              <w:bottom w:val="nil"/>
              <w:right w:val="nil"/>
            </w:tcBorders>
          </w:tcPr>
          <w:p w14:paraId="4AFA2735"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79BF0321" w14:textId="77777777" w:rsidR="008D22FA" w:rsidRDefault="00097EE3">
            <w:pPr>
              <w:widowControl/>
              <w:spacing w:line="240" w:lineRule="auto"/>
              <w:ind w:leftChars="10" w:left="20"/>
              <w:rPr>
                <w:rtl/>
              </w:rPr>
            </w:pPr>
            <w:r>
              <w:rPr>
                <w:rFonts w:hint="cs"/>
                <w:rtl/>
              </w:rPr>
              <w:t>צירופי עסקים.</w:t>
            </w:r>
          </w:p>
        </w:tc>
      </w:tr>
      <w:tr w:rsidR="00097EE3" w14:paraId="61B6A2AF" w14:textId="77777777" w:rsidTr="006E6BFC">
        <w:tc>
          <w:tcPr>
            <w:tcW w:w="1094" w:type="dxa"/>
            <w:vMerge/>
            <w:tcBorders>
              <w:left w:val="nil"/>
              <w:right w:val="single" w:sz="4" w:space="0" w:color="auto"/>
            </w:tcBorders>
            <w:tcMar>
              <w:left w:w="0" w:type="dxa"/>
              <w:right w:w="0" w:type="dxa"/>
            </w:tcMar>
          </w:tcPr>
          <w:p w14:paraId="703776B1" w14:textId="77777777" w:rsidR="00097EE3" w:rsidRPr="008A7508" w:rsidRDefault="00097EE3" w:rsidP="008A7508">
            <w:pPr>
              <w:bidi w:val="0"/>
              <w:jc w:val="right"/>
              <w:rPr>
                <w:i/>
                <w:iCs/>
                <w:sz w:val="13"/>
                <w:szCs w:val="13"/>
              </w:rPr>
            </w:pPr>
          </w:p>
        </w:tc>
        <w:tc>
          <w:tcPr>
            <w:tcW w:w="238" w:type="dxa"/>
            <w:tcBorders>
              <w:top w:val="nil"/>
              <w:left w:val="single" w:sz="4" w:space="0" w:color="auto"/>
              <w:bottom w:val="nil"/>
              <w:right w:val="nil"/>
            </w:tcBorders>
          </w:tcPr>
          <w:p w14:paraId="1AD14D5A"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6A9142A5" w14:textId="77777777" w:rsidR="008D22FA" w:rsidRDefault="00097EE3">
            <w:pPr>
              <w:widowControl/>
              <w:spacing w:line="240" w:lineRule="auto"/>
              <w:ind w:leftChars="10" w:left="20"/>
              <w:rPr>
                <w:rtl/>
              </w:rPr>
            </w:pPr>
            <w:r>
              <w:rPr>
                <w:rFonts w:hint="cs"/>
                <w:rtl/>
              </w:rPr>
              <w:t>רכישות או מימושים של חברות בנות.</w:t>
            </w:r>
          </w:p>
        </w:tc>
      </w:tr>
      <w:tr w:rsidR="00097EE3" w14:paraId="6FB43EED" w14:textId="77777777" w:rsidTr="006E6BFC">
        <w:tc>
          <w:tcPr>
            <w:tcW w:w="1094" w:type="dxa"/>
            <w:vMerge/>
            <w:tcBorders>
              <w:left w:val="nil"/>
              <w:right w:val="single" w:sz="4" w:space="0" w:color="auto"/>
            </w:tcBorders>
            <w:tcMar>
              <w:left w:w="0" w:type="dxa"/>
              <w:right w:w="0" w:type="dxa"/>
            </w:tcMar>
          </w:tcPr>
          <w:p w14:paraId="368BFF3F" w14:textId="77777777" w:rsidR="00097EE3" w:rsidRPr="008A7508" w:rsidRDefault="00097EE3" w:rsidP="008A7508">
            <w:pPr>
              <w:bidi w:val="0"/>
              <w:jc w:val="right"/>
              <w:rPr>
                <w:i/>
                <w:iCs/>
                <w:sz w:val="13"/>
                <w:szCs w:val="13"/>
              </w:rPr>
            </w:pPr>
          </w:p>
        </w:tc>
        <w:tc>
          <w:tcPr>
            <w:tcW w:w="238" w:type="dxa"/>
            <w:tcBorders>
              <w:top w:val="nil"/>
              <w:left w:val="single" w:sz="4" w:space="0" w:color="auto"/>
              <w:bottom w:val="nil"/>
              <w:right w:val="nil"/>
            </w:tcBorders>
          </w:tcPr>
          <w:p w14:paraId="33CBEE67"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3185A914" w14:textId="77777777" w:rsidR="008D22FA" w:rsidRDefault="00097EE3">
            <w:pPr>
              <w:widowControl/>
              <w:spacing w:line="240" w:lineRule="auto"/>
              <w:ind w:leftChars="10" w:left="20"/>
              <w:rPr>
                <w:rtl/>
              </w:rPr>
            </w:pPr>
            <w:r>
              <w:rPr>
                <w:rFonts w:hint="cs"/>
                <w:rtl/>
              </w:rPr>
              <w:t>רכישות או מימושים של השקעות לזמן ארוך.</w:t>
            </w:r>
          </w:p>
        </w:tc>
      </w:tr>
      <w:tr w:rsidR="00097EE3" w14:paraId="678A6A8F" w14:textId="77777777" w:rsidTr="006E6BFC">
        <w:tc>
          <w:tcPr>
            <w:tcW w:w="1094" w:type="dxa"/>
            <w:tcBorders>
              <w:left w:val="nil"/>
              <w:right w:val="single" w:sz="4" w:space="0" w:color="auto"/>
            </w:tcBorders>
            <w:tcMar>
              <w:left w:w="0" w:type="dxa"/>
              <w:right w:w="0" w:type="dxa"/>
            </w:tcMar>
          </w:tcPr>
          <w:p w14:paraId="70DF020E" w14:textId="77777777" w:rsidR="00097EE3" w:rsidRPr="008A7508" w:rsidRDefault="00097EE3" w:rsidP="00CD7B48">
            <w:pPr>
              <w:bidi w:val="0"/>
              <w:jc w:val="right"/>
              <w:rPr>
                <w:i/>
                <w:iCs/>
                <w:sz w:val="13"/>
                <w:szCs w:val="13"/>
              </w:rPr>
            </w:pPr>
            <w:r>
              <w:rPr>
                <w:i/>
                <w:iCs/>
                <w:sz w:val="13"/>
                <w:szCs w:val="13"/>
              </w:rPr>
              <w:t>IAS 34.15B(f)</w:t>
            </w:r>
          </w:p>
        </w:tc>
        <w:tc>
          <w:tcPr>
            <w:tcW w:w="238" w:type="dxa"/>
            <w:tcBorders>
              <w:top w:val="nil"/>
              <w:left w:val="single" w:sz="4" w:space="0" w:color="auto"/>
              <w:bottom w:val="nil"/>
              <w:right w:val="nil"/>
            </w:tcBorders>
          </w:tcPr>
          <w:p w14:paraId="365ECBF2"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6DC2DC4D" w14:textId="77777777" w:rsidR="008D22FA" w:rsidRDefault="00097EE3">
            <w:pPr>
              <w:widowControl/>
              <w:spacing w:line="240" w:lineRule="auto"/>
              <w:ind w:leftChars="10" w:left="20"/>
              <w:rPr>
                <w:rtl/>
              </w:rPr>
            </w:pPr>
            <w:r>
              <w:rPr>
                <w:rFonts w:hint="cs"/>
                <w:rtl/>
              </w:rPr>
              <w:t>שינויים לרבות יישוב תביעות משפטיות.</w:t>
            </w:r>
          </w:p>
        </w:tc>
      </w:tr>
      <w:tr w:rsidR="00097EE3" w14:paraId="6EA87E3D" w14:textId="77777777" w:rsidTr="006E6BFC">
        <w:tc>
          <w:tcPr>
            <w:tcW w:w="1094" w:type="dxa"/>
            <w:tcBorders>
              <w:left w:val="nil"/>
              <w:right w:val="single" w:sz="4" w:space="0" w:color="auto"/>
            </w:tcBorders>
            <w:tcMar>
              <w:left w:w="0" w:type="dxa"/>
              <w:right w:w="0" w:type="dxa"/>
            </w:tcMar>
          </w:tcPr>
          <w:p w14:paraId="4426E211" w14:textId="77777777" w:rsidR="00097EE3" w:rsidRPr="008A7508" w:rsidRDefault="00097EE3" w:rsidP="008A7508">
            <w:pPr>
              <w:bidi w:val="0"/>
              <w:jc w:val="right"/>
              <w:rPr>
                <w:i/>
                <w:iCs/>
                <w:sz w:val="13"/>
                <w:szCs w:val="13"/>
              </w:rPr>
            </w:pPr>
            <w:r>
              <w:rPr>
                <w:i/>
                <w:iCs/>
                <w:sz w:val="13"/>
                <w:szCs w:val="13"/>
              </w:rPr>
              <w:t>IAS 34.15B(m)</w:t>
            </w:r>
          </w:p>
        </w:tc>
        <w:tc>
          <w:tcPr>
            <w:tcW w:w="238" w:type="dxa"/>
            <w:tcBorders>
              <w:top w:val="nil"/>
              <w:left w:val="single" w:sz="4" w:space="0" w:color="auto"/>
              <w:bottom w:val="nil"/>
              <w:right w:val="nil"/>
            </w:tcBorders>
          </w:tcPr>
          <w:p w14:paraId="22BB7228"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0C17230E" w14:textId="77777777" w:rsidR="008D22FA" w:rsidRDefault="00097EE3">
            <w:pPr>
              <w:widowControl/>
              <w:spacing w:line="240" w:lineRule="auto"/>
              <w:ind w:leftChars="10" w:left="20"/>
              <w:rPr>
                <w:rtl/>
              </w:rPr>
            </w:pPr>
            <w:r w:rsidRPr="00DB102C">
              <w:rPr>
                <w:rFonts w:hint="cs"/>
                <w:rtl/>
              </w:rPr>
              <w:t>שינויים בהתחייבויות תלויות ובנכסים תלויים.</w:t>
            </w:r>
          </w:p>
        </w:tc>
      </w:tr>
      <w:tr w:rsidR="00097EE3" w14:paraId="168155F5" w14:textId="77777777" w:rsidTr="006E6BFC">
        <w:tc>
          <w:tcPr>
            <w:tcW w:w="1094" w:type="dxa"/>
            <w:tcBorders>
              <w:left w:val="nil"/>
              <w:right w:val="single" w:sz="4" w:space="0" w:color="auto"/>
            </w:tcBorders>
            <w:tcMar>
              <w:left w:w="0" w:type="dxa"/>
              <w:right w:w="0" w:type="dxa"/>
            </w:tcMar>
          </w:tcPr>
          <w:p w14:paraId="50FFE62A" w14:textId="77777777" w:rsidR="00097EE3" w:rsidRPr="008A7508" w:rsidRDefault="00097EE3" w:rsidP="008A7508">
            <w:pPr>
              <w:bidi w:val="0"/>
              <w:jc w:val="right"/>
              <w:rPr>
                <w:i/>
                <w:iCs/>
                <w:sz w:val="13"/>
                <w:szCs w:val="13"/>
              </w:rPr>
            </w:pPr>
            <w:r>
              <w:rPr>
                <w:i/>
                <w:iCs/>
                <w:sz w:val="13"/>
                <w:szCs w:val="13"/>
              </w:rPr>
              <w:t>IAS 34.16A(i); IAS 34.15B(c)</w:t>
            </w:r>
          </w:p>
        </w:tc>
        <w:tc>
          <w:tcPr>
            <w:tcW w:w="238" w:type="dxa"/>
            <w:tcBorders>
              <w:top w:val="nil"/>
              <w:left w:val="single" w:sz="4" w:space="0" w:color="auto"/>
              <w:bottom w:val="nil"/>
              <w:right w:val="nil"/>
            </w:tcBorders>
          </w:tcPr>
          <w:p w14:paraId="042DCAC7"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6BC8EEE2" w14:textId="77777777" w:rsidR="00B83964" w:rsidRDefault="00097EE3" w:rsidP="00B83964">
            <w:pPr>
              <w:widowControl/>
              <w:spacing w:line="240" w:lineRule="auto"/>
              <w:ind w:leftChars="10" w:left="20"/>
              <w:rPr>
                <w:rtl/>
              </w:rPr>
            </w:pPr>
            <w:r w:rsidRPr="00DB102C">
              <w:rPr>
                <w:rFonts w:hint="cs"/>
                <w:rtl/>
              </w:rPr>
              <w:t>שינויים מבניים.</w:t>
            </w:r>
          </w:p>
        </w:tc>
      </w:tr>
      <w:tr w:rsidR="00097EE3" w14:paraId="1EB456B3" w14:textId="77777777" w:rsidTr="006E6BFC">
        <w:tc>
          <w:tcPr>
            <w:tcW w:w="1094" w:type="dxa"/>
            <w:tcBorders>
              <w:left w:val="nil"/>
              <w:right w:val="single" w:sz="4" w:space="0" w:color="auto"/>
            </w:tcBorders>
            <w:tcMar>
              <w:left w:w="0" w:type="dxa"/>
              <w:right w:w="0" w:type="dxa"/>
            </w:tcMar>
          </w:tcPr>
          <w:p w14:paraId="7ACB433C" w14:textId="77777777" w:rsidR="00097EE3" w:rsidRPr="008A7508" w:rsidRDefault="00097EE3" w:rsidP="008A7508">
            <w:pPr>
              <w:bidi w:val="0"/>
              <w:jc w:val="right"/>
              <w:rPr>
                <w:i/>
                <w:iCs/>
                <w:sz w:val="13"/>
                <w:szCs w:val="13"/>
              </w:rPr>
            </w:pPr>
            <w:r>
              <w:rPr>
                <w:i/>
                <w:iCs/>
                <w:sz w:val="13"/>
                <w:szCs w:val="13"/>
              </w:rPr>
              <w:t>IAS 34.15B(i)</w:t>
            </w:r>
          </w:p>
        </w:tc>
        <w:tc>
          <w:tcPr>
            <w:tcW w:w="238" w:type="dxa"/>
            <w:tcBorders>
              <w:top w:val="nil"/>
              <w:left w:val="single" w:sz="4" w:space="0" w:color="auto"/>
              <w:bottom w:val="nil"/>
              <w:right w:val="nil"/>
            </w:tcBorders>
          </w:tcPr>
          <w:p w14:paraId="62DF4D94"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2BB01F7A" w14:textId="77777777" w:rsidR="008D22FA" w:rsidRDefault="00097EE3" w:rsidP="00B83964">
            <w:pPr>
              <w:widowControl/>
              <w:spacing w:line="240" w:lineRule="auto"/>
              <w:rPr>
                <w:rtl/>
              </w:rPr>
            </w:pPr>
            <w:r w:rsidRPr="00DB102C">
              <w:rPr>
                <w:rFonts w:hint="cs"/>
                <w:rtl/>
              </w:rPr>
              <w:t>הפרת אמות מידה פיננסיות, שלא תוקנה עד למועד הדיווח.</w:t>
            </w:r>
          </w:p>
        </w:tc>
      </w:tr>
      <w:tr w:rsidR="00097EE3" w14:paraId="58AC05F4" w14:textId="77777777" w:rsidTr="006E6BFC">
        <w:tc>
          <w:tcPr>
            <w:tcW w:w="1094" w:type="dxa"/>
            <w:tcBorders>
              <w:left w:val="nil"/>
              <w:right w:val="single" w:sz="4" w:space="0" w:color="auto"/>
            </w:tcBorders>
            <w:tcMar>
              <w:left w:w="0" w:type="dxa"/>
              <w:right w:w="0" w:type="dxa"/>
            </w:tcMar>
          </w:tcPr>
          <w:p w14:paraId="076EE088" w14:textId="77777777" w:rsidR="00097EE3" w:rsidRPr="008A7508" w:rsidRDefault="00097EE3" w:rsidP="008A7508">
            <w:pPr>
              <w:bidi w:val="0"/>
              <w:jc w:val="right"/>
              <w:rPr>
                <w:i/>
                <w:iCs/>
                <w:sz w:val="13"/>
                <w:szCs w:val="13"/>
              </w:rPr>
            </w:pPr>
            <w:r>
              <w:rPr>
                <w:i/>
                <w:iCs/>
                <w:sz w:val="13"/>
                <w:szCs w:val="13"/>
              </w:rPr>
              <w:t>IAS 34.15B(j)</w:t>
            </w:r>
          </w:p>
        </w:tc>
        <w:tc>
          <w:tcPr>
            <w:tcW w:w="238" w:type="dxa"/>
            <w:tcBorders>
              <w:top w:val="nil"/>
              <w:left w:val="single" w:sz="4" w:space="0" w:color="auto"/>
              <w:bottom w:val="nil"/>
              <w:right w:val="nil"/>
            </w:tcBorders>
          </w:tcPr>
          <w:p w14:paraId="43A86A2B"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2EFDC645" w14:textId="77777777" w:rsidR="008D22FA" w:rsidRDefault="00097EE3">
            <w:pPr>
              <w:widowControl/>
              <w:spacing w:line="240" w:lineRule="auto"/>
              <w:ind w:leftChars="10" w:left="20"/>
              <w:rPr>
                <w:rtl/>
              </w:rPr>
            </w:pPr>
            <w:r w:rsidRPr="00DB102C">
              <w:rPr>
                <w:rFonts w:hint="eastAsia"/>
                <w:rtl/>
              </w:rPr>
              <w:t>עסקאות</w:t>
            </w:r>
            <w:r w:rsidRPr="00DB102C">
              <w:rPr>
                <w:rtl/>
              </w:rPr>
              <w:t xml:space="preserve"> </w:t>
            </w:r>
            <w:r w:rsidRPr="00DB102C">
              <w:rPr>
                <w:rFonts w:hint="eastAsia"/>
                <w:rtl/>
              </w:rPr>
              <w:t>מהותיות</w:t>
            </w:r>
            <w:r w:rsidRPr="00DB102C">
              <w:rPr>
                <w:rtl/>
              </w:rPr>
              <w:t xml:space="preserve"> ומשמעותיות </w:t>
            </w:r>
            <w:r w:rsidRPr="00DB102C">
              <w:rPr>
                <w:rFonts w:hint="eastAsia"/>
                <w:rtl/>
              </w:rPr>
              <w:t>עם</w:t>
            </w:r>
            <w:r w:rsidRPr="00DB102C">
              <w:rPr>
                <w:rtl/>
              </w:rPr>
              <w:t xml:space="preserve"> </w:t>
            </w:r>
            <w:r w:rsidRPr="00DB102C">
              <w:rPr>
                <w:rFonts w:hint="eastAsia"/>
                <w:rtl/>
              </w:rPr>
              <w:t>צדדים</w:t>
            </w:r>
            <w:r w:rsidRPr="00DB102C">
              <w:rPr>
                <w:rtl/>
              </w:rPr>
              <w:t xml:space="preserve"> </w:t>
            </w:r>
            <w:r w:rsidRPr="00DB102C">
              <w:rPr>
                <w:rFonts w:hint="eastAsia"/>
                <w:rtl/>
              </w:rPr>
              <w:t>קשורים</w:t>
            </w:r>
            <w:r w:rsidRPr="00DB102C">
              <w:rPr>
                <w:rtl/>
              </w:rPr>
              <w:t>.</w:t>
            </w:r>
          </w:p>
        </w:tc>
      </w:tr>
      <w:tr w:rsidR="00097EE3" w14:paraId="3710BC3B" w14:textId="77777777" w:rsidTr="006E6BFC">
        <w:tc>
          <w:tcPr>
            <w:tcW w:w="1094" w:type="dxa"/>
            <w:tcBorders>
              <w:left w:val="nil"/>
              <w:right w:val="single" w:sz="4" w:space="0" w:color="auto"/>
            </w:tcBorders>
            <w:tcMar>
              <w:left w:w="0" w:type="dxa"/>
              <w:right w:w="0" w:type="dxa"/>
            </w:tcMar>
          </w:tcPr>
          <w:p w14:paraId="5A6D4704" w14:textId="77777777" w:rsidR="00097EE3" w:rsidRPr="008A7508" w:rsidRDefault="00097EE3" w:rsidP="008A7508">
            <w:pPr>
              <w:bidi w:val="0"/>
              <w:jc w:val="right"/>
              <w:rPr>
                <w:i/>
                <w:iCs/>
                <w:sz w:val="13"/>
                <w:szCs w:val="13"/>
              </w:rPr>
            </w:pPr>
            <w:r>
              <w:rPr>
                <w:i/>
                <w:iCs/>
                <w:sz w:val="13"/>
                <w:szCs w:val="13"/>
              </w:rPr>
              <w:t>IAS 34.15B(d)</w:t>
            </w:r>
          </w:p>
        </w:tc>
        <w:tc>
          <w:tcPr>
            <w:tcW w:w="238" w:type="dxa"/>
            <w:tcBorders>
              <w:top w:val="nil"/>
              <w:left w:val="single" w:sz="4" w:space="0" w:color="auto"/>
              <w:bottom w:val="nil"/>
              <w:right w:val="nil"/>
            </w:tcBorders>
          </w:tcPr>
          <w:p w14:paraId="2D4A5B71"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18A2C29D" w14:textId="77777777" w:rsidR="008D22FA" w:rsidRDefault="00097EE3">
            <w:pPr>
              <w:widowControl/>
              <w:spacing w:line="240" w:lineRule="auto"/>
              <w:ind w:leftChars="10" w:left="20"/>
              <w:rPr>
                <w:rtl/>
              </w:rPr>
            </w:pPr>
            <w:r w:rsidRPr="00DB102C">
              <w:rPr>
                <w:rFonts w:hint="eastAsia"/>
                <w:rtl/>
              </w:rPr>
              <w:t>רכישות</w:t>
            </w:r>
            <w:r w:rsidRPr="00DB102C">
              <w:rPr>
                <w:rtl/>
              </w:rPr>
              <w:t xml:space="preserve"> </w:t>
            </w:r>
            <w:r>
              <w:rPr>
                <w:rFonts w:hint="cs"/>
                <w:rtl/>
              </w:rPr>
              <w:t>א</w:t>
            </w:r>
            <w:r w:rsidRPr="00DB102C">
              <w:rPr>
                <w:rFonts w:hint="eastAsia"/>
                <w:rtl/>
              </w:rPr>
              <w:t>ו</w:t>
            </w:r>
            <w:r>
              <w:rPr>
                <w:rFonts w:hint="cs"/>
                <w:rtl/>
              </w:rPr>
              <w:t xml:space="preserve"> </w:t>
            </w:r>
            <w:r w:rsidRPr="00DB102C">
              <w:rPr>
                <w:rFonts w:hint="eastAsia"/>
                <w:rtl/>
              </w:rPr>
              <w:t>מימושים</w:t>
            </w:r>
            <w:r w:rsidRPr="00DB102C">
              <w:rPr>
                <w:rtl/>
              </w:rPr>
              <w:t xml:space="preserve"> </w:t>
            </w:r>
            <w:r w:rsidRPr="00DB102C">
              <w:rPr>
                <w:rFonts w:hint="eastAsia"/>
                <w:rtl/>
              </w:rPr>
              <w:t>של</w:t>
            </w:r>
            <w:r w:rsidRPr="00DB102C">
              <w:rPr>
                <w:rtl/>
              </w:rPr>
              <w:t xml:space="preserve"> </w:t>
            </w:r>
            <w:r w:rsidRPr="00DB102C">
              <w:rPr>
                <w:rFonts w:hint="eastAsia"/>
                <w:rtl/>
              </w:rPr>
              <w:t>פריטי</w:t>
            </w:r>
            <w:r w:rsidRPr="00DB102C">
              <w:rPr>
                <w:rtl/>
              </w:rPr>
              <w:t xml:space="preserve"> </w:t>
            </w:r>
            <w:r w:rsidRPr="00DB102C">
              <w:rPr>
                <w:rFonts w:hint="eastAsia"/>
                <w:rtl/>
              </w:rPr>
              <w:t>רכוש</w:t>
            </w:r>
            <w:r w:rsidRPr="00DB102C">
              <w:rPr>
                <w:rtl/>
              </w:rPr>
              <w:t xml:space="preserve"> </w:t>
            </w:r>
            <w:r w:rsidRPr="00DB102C">
              <w:rPr>
                <w:rFonts w:hint="eastAsia"/>
                <w:rtl/>
              </w:rPr>
              <w:t>קבוע</w:t>
            </w:r>
            <w:r w:rsidRPr="00DB102C">
              <w:rPr>
                <w:rtl/>
              </w:rPr>
              <w:t>.</w:t>
            </w:r>
          </w:p>
        </w:tc>
      </w:tr>
      <w:tr w:rsidR="00097EE3" w14:paraId="122F09A9" w14:textId="77777777" w:rsidTr="006E6BFC">
        <w:tc>
          <w:tcPr>
            <w:tcW w:w="1094" w:type="dxa"/>
            <w:tcBorders>
              <w:left w:val="nil"/>
              <w:right w:val="single" w:sz="4" w:space="0" w:color="auto"/>
            </w:tcBorders>
            <w:tcMar>
              <w:left w:w="0" w:type="dxa"/>
              <w:right w:w="0" w:type="dxa"/>
            </w:tcMar>
          </w:tcPr>
          <w:p w14:paraId="1811E9F2" w14:textId="77777777" w:rsidR="00097EE3" w:rsidRPr="008A7508" w:rsidRDefault="00097EE3" w:rsidP="00CD7B48">
            <w:pPr>
              <w:bidi w:val="0"/>
              <w:jc w:val="right"/>
              <w:rPr>
                <w:i/>
                <w:iCs/>
                <w:sz w:val="13"/>
                <w:szCs w:val="13"/>
              </w:rPr>
            </w:pPr>
            <w:r>
              <w:rPr>
                <w:i/>
                <w:iCs/>
                <w:sz w:val="13"/>
                <w:szCs w:val="13"/>
              </w:rPr>
              <w:t>IAS 34.15B(e)</w:t>
            </w:r>
          </w:p>
        </w:tc>
        <w:tc>
          <w:tcPr>
            <w:tcW w:w="238" w:type="dxa"/>
            <w:tcBorders>
              <w:top w:val="nil"/>
              <w:left w:val="single" w:sz="4" w:space="0" w:color="auto"/>
              <w:bottom w:val="nil"/>
              <w:right w:val="nil"/>
            </w:tcBorders>
          </w:tcPr>
          <w:p w14:paraId="02489979"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36345F0B" w14:textId="77777777" w:rsidR="008D22FA" w:rsidRDefault="00097EE3">
            <w:pPr>
              <w:widowControl/>
              <w:spacing w:line="240" w:lineRule="auto"/>
              <w:ind w:leftChars="10" w:left="20"/>
              <w:rPr>
                <w:rtl/>
              </w:rPr>
            </w:pPr>
            <w:r w:rsidRPr="00DB102C">
              <w:rPr>
                <w:rFonts w:hint="eastAsia"/>
                <w:rtl/>
              </w:rPr>
              <w:t>התקשרויות</w:t>
            </w:r>
            <w:r w:rsidRPr="00DB102C">
              <w:rPr>
                <w:rtl/>
              </w:rPr>
              <w:t xml:space="preserve"> </w:t>
            </w:r>
            <w:r w:rsidRPr="00DB102C">
              <w:rPr>
                <w:rFonts w:hint="eastAsia"/>
                <w:rtl/>
              </w:rPr>
              <w:t>לרכישת</w:t>
            </w:r>
            <w:r w:rsidRPr="00DB102C">
              <w:rPr>
                <w:rtl/>
              </w:rPr>
              <w:t xml:space="preserve"> </w:t>
            </w:r>
            <w:r w:rsidRPr="00DB102C">
              <w:rPr>
                <w:rFonts w:hint="eastAsia"/>
                <w:rtl/>
              </w:rPr>
              <w:t>רכוש</w:t>
            </w:r>
            <w:r w:rsidRPr="00DB102C">
              <w:rPr>
                <w:rtl/>
              </w:rPr>
              <w:t xml:space="preserve"> </w:t>
            </w:r>
            <w:r w:rsidRPr="00DB102C">
              <w:rPr>
                <w:rFonts w:hint="eastAsia"/>
                <w:rtl/>
              </w:rPr>
              <w:t>קבוע</w:t>
            </w:r>
            <w:r w:rsidRPr="00DB102C">
              <w:rPr>
                <w:rtl/>
              </w:rPr>
              <w:t>.</w:t>
            </w:r>
          </w:p>
        </w:tc>
      </w:tr>
      <w:tr w:rsidR="00097EE3" w14:paraId="084A763E" w14:textId="77777777" w:rsidTr="006E6BFC">
        <w:tc>
          <w:tcPr>
            <w:tcW w:w="1094" w:type="dxa"/>
            <w:tcBorders>
              <w:left w:val="nil"/>
              <w:bottom w:val="single" w:sz="4" w:space="0" w:color="auto"/>
              <w:right w:val="single" w:sz="4" w:space="0" w:color="auto"/>
            </w:tcBorders>
            <w:tcMar>
              <w:left w:w="0" w:type="dxa"/>
              <w:right w:w="0" w:type="dxa"/>
            </w:tcMar>
            <w:vAlign w:val="center"/>
          </w:tcPr>
          <w:p w14:paraId="319248A6" w14:textId="77777777" w:rsidR="00097EE3" w:rsidRPr="008A7508" w:rsidRDefault="00097EE3" w:rsidP="008A7508">
            <w:pPr>
              <w:bidi w:val="0"/>
              <w:jc w:val="right"/>
              <w:rPr>
                <w:i/>
                <w:iCs/>
                <w:sz w:val="13"/>
                <w:szCs w:val="13"/>
              </w:rPr>
            </w:pPr>
            <w:r>
              <w:rPr>
                <w:i/>
                <w:iCs/>
                <w:sz w:val="13"/>
                <w:szCs w:val="13"/>
              </w:rPr>
              <w:t>IAS 34.15B(h)</w:t>
            </w:r>
          </w:p>
        </w:tc>
        <w:tc>
          <w:tcPr>
            <w:tcW w:w="238" w:type="dxa"/>
            <w:tcBorders>
              <w:top w:val="nil"/>
              <w:left w:val="single" w:sz="4" w:space="0" w:color="auto"/>
              <w:bottom w:val="nil"/>
              <w:right w:val="nil"/>
            </w:tcBorders>
          </w:tcPr>
          <w:p w14:paraId="53F9E13E"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3442F8AB" w14:textId="77777777" w:rsidR="008D22FA" w:rsidRDefault="00F2585A">
            <w:pPr>
              <w:widowControl/>
              <w:spacing w:line="240" w:lineRule="auto"/>
              <w:ind w:leftChars="10" w:left="20"/>
              <w:rPr>
                <w:rtl/>
              </w:rPr>
            </w:pPr>
            <w:r w:rsidRPr="00F2585A">
              <w:rPr>
                <w:rFonts w:hint="eastAsia"/>
                <w:rtl/>
              </w:rPr>
              <w:t>שינויים</w:t>
            </w:r>
            <w:r w:rsidRPr="00F2585A">
              <w:rPr>
                <w:rtl/>
              </w:rPr>
              <w:t xml:space="preserve"> בנסיבות העסקיות או הכלכליות שמשפיעים על השווי ההוגן של הנכסים הפיננסיים וההתחייבויות הפיננסיות (</w:t>
            </w:r>
            <w:r w:rsidRPr="00F2585A">
              <w:rPr>
                <w:rFonts w:hint="eastAsia"/>
                <w:rtl/>
              </w:rPr>
              <w:t>בין</w:t>
            </w:r>
            <w:r w:rsidRPr="00F2585A">
              <w:rPr>
                <w:rtl/>
              </w:rPr>
              <w:t xml:space="preserve"> אם מכשירים אלה נמדדים בשווי הוגן ו</w:t>
            </w:r>
            <w:r w:rsidRPr="00F2585A">
              <w:rPr>
                <w:rFonts w:hint="eastAsia"/>
                <w:rtl/>
              </w:rPr>
              <w:t>בין</w:t>
            </w:r>
            <w:r w:rsidRPr="00F2585A">
              <w:rPr>
                <w:rtl/>
              </w:rPr>
              <w:t xml:space="preserve"> אם בעלות מופחתת).</w:t>
            </w:r>
          </w:p>
        </w:tc>
      </w:tr>
      <w:tr w:rsidR="00097EE3" w14:paraId="1B382C02" w14:textId="77777777" w:rsidTr="006E6BFC">
        <w:tc>
          <w:tcPr>
            <w:tcW w:w="1094" w:type="dxa"/>
            <w:tcBorders>
              <w:left w:val="nil"/>
              <w:bottom w:val="single" w:sz="4" w:space="0" w:color="auto"/>
              <w:right w:val="single" w:sz="4" w:space="0" w:color="auto"/>
            </w:tcBorders>
            <w:tcMar>
              <w:left w:w="0" w:type="dxa"/>
              <w:right w:w="0" w:type="dxa"/>
            </w:tcMar>
          </w:tcPr>
          <w:p w14:paraId="2BA6CBE4" w14:textId="77777777" w:rsidR="00097EE3" w:rsidRPr="008A7508" w:rsidRDefault="00097EE3" w:rsidP="008A7508">
            <w:pPr>
              <w:bidi w:val="0"/>
              <w:jc w:val="right"/>
              <w:rPr>
                <w:i/>
                <w:iCs/>
                <w:sz w:val="13"/>
                <w:szCs w:val="13"/>
              </w:rPr>
            </w:pPr>
            <w:r>
              <w:rPr>
                <w:i/>
                <w:iCs/>
                <w:sz w:val="13"/>
                <w:szCs w:val="13"/>
              </w:rPr>
              <w:t>IAS 34.15B(k)</w:t>
            </w:r>
          </w:p>
        </w:tc>
        <w:tc>
          <w:tcPr>
            <w:tcW w:w="238" w:type="dxa"/>
            <w:tcBorders>
              <w:top w:val="nil"/>
              <w:left w:val="single" w:sz="4" w:space="0" w:color="auto"/>
              <w:bottom w:val="nil"/>
              <w:right w:val="nil"/>
            </w:tcBorders>
          </w:tcPr>
          <w:p w14:paraId="38E8B97A"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53205A61" w14:textId="77777777" w:rsidR="008D22FA" w:rsidRDefault="00F2585A">
            <w:pPr>
              <w:widowControl/>
              <w:spacing w:line="240" w:lineRule="auto"/>
              <w:ind w:leftChars="10" w:left="20"/>
              <w:rPr>
                <w:rtl/>
              </w:rPr>
            </w:pPr>
            <w:r w:rsidRPr="00F2585A">
              <w:rPr>
                <w:rFonts w:hint="eastAsia"/>
                <w:rtl/>
              </w:rPr>
              <w:t>העברות</w:t>
            </w:r>
            <w:r w:rsidRPr="00F2585A">
              <w:rPr>
                <w:rtl/>
              </w:rPr>
              <w:t xml:space="preserve"> </w:t>
            </w:r>
            <w:r w:rsidRPr="00F2585A">
              <w:rPr>
                <w:rFonts w:hint="eastAsia"/>
                <w:rtl/>
              </w:rPr>
              <w:t>של</w:t>
            </w:r>
            <w:r w:rsidRPr="00F2585A">
              <w:rPr>
                <w:rtl/>
              </w:rPr>
              <w:t xml:space="preserve"> </w:t>
            </w:r>
            <w:r w:rsidRPr="00F2585A">
              <w:rPr>
                <w:rFonts w:hint="eastAsia"/>
                <w:rtl/>
              </w:rPr>
              <w:t>מכשירים</w:t>
            </w:r>
            <w:r w:rsidRPr="00F2585A">
              <w:rPr>
                <w:rtl/>
              </w:rPr>
              <w:t xml:space="preserve"> </w:t>
            </w:r>
            <w:r w:rsidRPr="00F2585A">
              <w:rPr>
                <w:rFonts w:hint="eastAsia"/>
                <w:rtl/>
              </w:rPr>
              <w:t>פיננסיים</w:t>
            </w:r>
            <w:r w:rsidRPr="00F2585A">
              <w:rPr>
                <w:rtl/>
              </w:rPr>
              <w:t xml:space="preserve"> </w:t>
            </w:r>
            <w:r w:rsidRPr="00F2585A">
              <w:rPr>
                <w:rFonts w:hint="eastAsia"/>
                <w:rtl/>
              </w:rPr>
              <w:t>בין</w:t>
            </w:r>
            <w:r w:rsidRPr="00F2585A">
              <w:rPr>
                <w:rtl/>
              </w:rPr>
              <w:t xml:space="preserve"> </w:t>
            </w:r>
            <w:r w:rsidRPr="00F2585A">
              <w:rPr>
                <w:rFonts w:hint="eastAsia"/>
                <w:rtl/>
              </w:rPr>
              <w:t>רמות</w:t>
            </w:r>
            <w:r w:rsidRPr="00F2585A">
              <w:rPr>
                <w:rtl/>
              </w:rPr>
              <w:t xml:space="preserve"> </w:t>
            </w:r>
            <w:r w:rsidRPr="00F2585A">
              <w:rPr>
                <w:rFonts w:hint="eastAsia"/>
                <w:rtl/>
              </w:rPr>
              <w:t>מדרג</w:t>
            </w:r>
            <w:r w:rsidRPr="00F2585A">
              <w:rPr>
                <w:rtl/>
              </w:rPr>
              <w:t xml:space="preserve"> </w:t>
            </w:r>
            <w:r w:rsidRPr="00F2585A">
              <w:rPr>
                <w:rFonts w:hint="eastAsia"/>
                <w:rtl/>
              </w:rPr>
              <w:t>השווי</w:t>
            </w:r>
            <w:r w:rsidRPr="00F2585A">
              <w:rPr>
                <w:rtl/>
              </w:rPr>
              <w:t xml:space="preserve"> </w:t>
            </w:r>
            <w:r w:rsidRPr="00F2585A">
              <w:rPr>
                <w:rFonts w:hint="eastAsia"/>
                <w:rtl/>
              </w:rPr>
              <w:t>ההוגן</w:t>
            </w:r>
            <w:r w:rsidRPr="00F2585A">
              <w:rPr>
                <w:rtl/>
              </w:rPr>
              <w:t>.</w:t>
            </w:r>
            <w:r w:rsidR="004F048E">
              <w:rPr>
                <w:rStyle w:val="ab"/>
                <w:bCs w:val="0"/>
                <w:rtl/>
              </w:rPr>
              <w:footnoteReference w:id="91"/>
            </w:r>
          </w:p>
        </w:tc>
      </w:tr>
      <w:tr w:rsidR="00097EE3" w14:paraId="6259FEF0" w14:textId="77777777" w:rsidTr="006E6BFC">
        <w:tc>
          <w:tcPr>
            <w:tcW w:w="1094" w:type="dxa"/>
            <w:tcBorders>
              <w:top w:val="single" w:sz="4" w:space="0" w:color="auto"/>
              <w:left w:val="nil"/>
              <w:bottom w:val="single" w:sz="4" w:space="0" w:color="auto"/>
              <w:right w:val="single" w:sz="4" w:space="0" w:color="auto"/>
            </w:tcBorders>
            <w:tcMar>
              <w:left w:w="0" w:type="dxa"/>
              <w:right w:w="0" w:type="dxa"/>
            </w:tcMar>
            <w:vAlign w:val="center"/>
          </w:tcPr>
          <w:p w14:paraId="54FD0A5D" w14:textId="77777777" w:rsidR="00097EE3" w:rsidRPr="008A7508" w:rsidRDefault="00097EE3" w:rsidP="00CD7B48">
            <w:pPr>
              <w:bidi w:val="0"/>
              <w:jc w:val="right"/>
              <w:rPr>
                <w:i/>
                <w:iCs/>
                <w:sz w:val="13"/>
                <w:szCs w:val="13"/>
              </w:rPr>
            </w:pPr>
            <w:r>
              <w:rPr>
                <w:i/>
                <w:iCs/>
                <w:sz w:val="13"/>
                <w:szCs w:val="13"/>
              </w:rPr>
              <w:t>IAS 34.15B(l)</w:t>
            </w:r>
          </w:p>
        </w:tc>
        <w:tc>
          <w:tcPr>
            <w:tcW w:w="238" w:type="dxa"/>
            <w:tcBorders>
              <w:top w:val="nil"/>
              <w:left w:val="single" w:sz="4" w:space="0" w:color="auto"/>
              <w:bottom w:val="nil"/>
              <w:right w:val="nil"/>
            </w:tcBorders>
          </w:tcPr>
          <w:p w14:paraId="0A837020"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6F712309" w14:textId="77777777" w:rsidR="00736AF1" w:rsidRDefault="00F2585A">
            <w:pPr>
              <w:widowControl/>
              <w:spacing w:line="240" w:lineRule="auto"/>
              <w:ind w:leftChars="10" w:left="20"/>
              <w:rPr>
                <w:rtl/>
              </w:rPr>
            </w:pPr>
            <w:r w:rsidRPr="00F2585A">
              <w:rPr>
                <w:rFonts w:hint="eastAsia"/>
                <w:rtl/>
              </w:rPr>
              <w:t>שינויים</w:t>
            </w:r>
            <w:r w:rsidRPr="00F2585A">
              <w:rPr>
                <w:rtl/>
              </w:rPr>
              <w:t xml:space="preserve"> </w:t>
            </w:r>
            <w:r w:rsidRPr="00F2585A">
              <w:rPr>
                <w:rFonts w:hint="eastAsia"/>
                <w:rtl/>
              </w:rPr>
              <w:t>בסיווג</w:t>
            </w:r>
            <w:r w:rsidRPr="00F2585A">
              <w:rPr>
                <w:rtl/>
              </w:rPr>
              <w:t xml:space="preserve"> </w:t>
            </w:r>
            <w:r w:rsidRPr="00F2585A">
              <w:rPr>
                <w:rFonts w:hint="eastAsia"/>
                <w:rtl/>
              </w:rPr>
              <w:t>של</w:t>
            </w:r>
            <w:r w:rsidRPr="00F2585A">
              <w:rPr>
                <w:rtl/>
              </w:rPr>
              <w:t xml:space="preserve"> </w:t>
            </w:r>
            <w:r w:rsidRPr="00F2585A">
              <w:rPr>
                <w:rFonts w:hint="eastAsia"/>
                <w:rtl/>
              </w:rPr>
              <w:t>נכסים</w:t>
            </w:r>
            <w:r w:rsidRPr="00F2585A">
              <w:rPr>
                <w:rtl/>
              </w:rPr>
              <w:t xml:space="preserve"> </w:t>
            </w:r>
            <w:r w:rsidRPr="00F2585A">
              <w:rPr>
                <w:rFonts w:hint="eastAsia"/>
                <w:rtl/>
              </w:rPr>
              <w:t>פיננסיים</w:t>
            </w:r>
            <w:r w:rsidRPr="00F2585A">
              <w:rPr>
                <w:rtl/>
              </w:rPr>
              <w:t xml:space="preserve"> </w:t>
            </w:r>
            <w:r w:rsidRPr="00F2585A">
              <w:rPr>
                <w:rFonts w:hint="eastAsia"/>
                <w:rtl/>
              </w:rPr>
              <w:t>כתוצאה</w:t>
            </w:r>
            <w:r w:rsidRPr="00F2585A">
              <w:rPr>
                <w:rtl/>
              </w:rPr>
              <w:t xml:space="preserve"> </w:t>
            </w:r>
            <w:r w:rsidRPr="00F2585A">
              <w:rPr>
                <w:rFonts w:hint="eastAsia"/>
                <w:rtl/>
              </w:rPr>
              <w:t>משינוי</w:t>
            </w:r>
            <w:r w:rsidRPr="00F2585A">
              <w:rPr>
                <w:rtl/>
              </w:rPr>
              <w:t xml:space="preserve"> </w:t>
            </w:r>
            <w:r w:rsidRPr="00F2585A">
              <w:rPr>
                <w:rFonts w:hint="eastAsia"/>
                <w:rtl/>
              </w:rPr>
              <w:t>בשימוש</w:t>
            </w:r>
            <w:r w:rsidRPr="00F2585A">
              <w:rPr>
                <w:rtl/>
              </w:rPr>
              <w:t xml:space="preserve"> </w:t>
            </w:r>
            <w:r w:rsidRPr="00F2585A">
              <w:rPr>
                <w:rFonts w:hint="eastAsia"/>
                <w:rtl/>
              </w:rPr>
              <w:t>או</w:t>
            </w:r>
            <w:r w:rsidRPr="00F2585A">
              <w:rPr>
                <w:rtl/>
              </w:rPr>
              <w:t xml:space="preserve"> </w:t>
            </w:r>
            <w:r w:rsidRPr="00F2585A">
              <w:rPr>
                <w:rFonts w:hint="eastAsia"/>
                <w:rtl/>
              </w:rPr>
              <w:t>במטרה</w:t>
            </w:r>
            <w:r w:rsidRPr="00F2585A">
              <w:rPr>
                <w:rtl/>
              </w:rPr>
              <w:t xml:space="preserve"> </w:t>
            </w:r>
            <w:r w:rsidRPr="00F2585A">
              <w:rPr>
                <w:rFonts w:hint="eastAsia"/>
                <w:rtl/>
              </w:rPr>
              <w:t>לשמם</w:t>
            </w:r>
            <w:r w:rsidRPr="00F2585A">
              <w:rPr>
                <w:rtl/>
              </w:rPr>
              <w:t xml:space="preserve"> </w:t>
            </w:r>
            <w:r w:rsidRPr="00F2585A">
              <w:rPr>
                <w:rFonts w:hint="eastAsia"/>
                <w:rtl/>
              </w:rPr>
              <w:t>מוחזקים</w:t>
            </w:r>
            <w:r w:rsidRPr="00F2585A">
              <w:rPr>
                <w:rtl/>
              </w:rPr>
              <w:t xml:space="preserve"> </w:t>
            </w:r>
            <w:r w:rsidRPr="00F2585A">
              <w:rPr>
                <w:rFonts w:hint="eastAsia"/>
                <w:rtl/>
              </w:rPr>
              <w:t>הנכסים</w:t>
            </w:r>
            <w:r w:rsidRPr="00F2585A">
              <w:rPr>
                <w:rtl/>
              </w:rPr>
              <w:t>.</w:t>
            </w:r>
          </w:p>
        </w:tc>
      </w:tr>
      <w:tr w:rsidR="002E7D41" w14:paraId="3F4705DC" w14:textId="77777777" w:rsidTr="006E6BFC">
        <w:tc>
          <w:tcPr>
            <w:tcW w:w="1094" w:type="dxa"/>
            <w:tcBorders>
              <w:top w:val="single" w:sz="4" w:space="0" w:color="auto"/>
              <w:left w:val="nil"/>
              <w:bottom w:val="nil"/>
              <w:right w:val="nil"/>
            </w:tcBorders>
            <w:tcMar>
              <w:left w:w="0" w:type="dxa"/>
              <w:right w:w="0" w:type="dxa"/>
            </w:tcMar>
            <w:vAlign w:val="center"/>
          </w:tcPr>
          <w:p w14:paraId="1C7B18CF" w14:textId="2246FD1E" w:rsidR="002E7D41" w:rsidRDefault="002E7D41" w:rsidP="002E7D41">
            <w:pPr>
              <w:bidi w:val="0"/>
              <w:jc w:val="right"/>
              <w:rPr>
                <w:i/>
                <w:iCs/>
                <w:sz w:val="13"/>
                <w:szCs w:val="13"/>
              </w:rPr>
            </w:pPr>
            <w:r>
              <w:rPr>
                <w:i/>
                <w:iCs/>
                <w:sz w:val="13"/>
                <w:szCs w:val="13"/>
              </w:rPr>
              <w:t>IAS 34.15</w:t>
            </w:r>
          </w:p>
        </w:tc>
        <w:tc>
          <w:tcPr>
            <w:tcW w:w="238" w:type="dxa"/>
            <w:tcBorders>
              <w:top w:val="nil"/>
              <w:left w:val="nil"/>
              <w:bottom w:val="nil"/>
              <w:right w:val="nil"/>
            </w:tcBorders>
          </w:tcPr>
          <w:p w14:paraId="39736DD4" w14:textId="77777777" w:rsidR="002E7D41" w:rsidRDefault="002E7D41">
            <w:pPr>
              <w:widowControl/>
              <w:spacing w:line="240" w:lineRule="auto"/>
              <w:jc w:val="center"/>
              <w:rPr>
                <w:rtl/>
              </w:rPr>
            </w:pPr>
          </w:p>
        </w:tc>
        <w:tc>
          <w:tcPr>
            <w:tcW w:w="8267" w:type="dxa"/>
            <w:tcBorders>
              <w:top w:val="nil"/>
              <w:left w:val="nil"/>
              <w:bottom w:val="nil"/>
              <w:right w:val="nil"/>
            </w:tcBorders>
          </w:tcPr>
          <w:p w14:paraId="1C493370" w14:textId="3A8B4C43" w:rsidR="002E7D41" w:rsidRPr="006F2EAD" w:rsidRDefault="002E7D41">
            <w:pPr>
              <w:widowControl/>
              <w:spacing w:line="240" w:lineRule="auto"/>
              <w:ind w:leftChars="10" w:left="20"/>
              <w:rPr>
                <w:highlight w:val="lightGray"/>
                <w:rtl/>
              </w:rPr>
            </w:pPr>
            <w:r>
              <w:rPr>
                <w:rFonts w:hint="cs"/>
                <w:highlight w:val="lightGray"/>
                <w:rtl/>
              </w:rPr>
              <w:t xml:space="preserve">פרטים על הוצאות שהוכרו בגין יישום </w:t>
            </w:r>
            <w:r>
              <w:rPr>
                <w:rFonts w:hint="cs"/>
                <w:highlight w:val="lightGray"/>
              </w:rPr>
              <w:t>IFRS 16</w:t>
            </w:r>
            <w:r>
              <w:rPr>
                <w:rFonts w:hint="cs"/>
                <w:highlight w:val="lightGray"/>
                <w:rtl/>
              </w:rPr>
              <w:t xml:space="preserve"> (כגון: פחת בגין נכסי זכות שימוש, מימון על התחייבויות בגין חכירה, הוצאות בדבר דמי חכירה משתנים וכו').</w:t>
            </w:r>
          </w:p>
        </w:tc>
      </w:tr>
      <w:tr w:rsidR="00D157A9" w14:paraId="4063E457" w14:textId="77777777" w:rsidTr="006E6BFC">
        <w:tc>
          <w:tcPr>
            <w:tcW w:w="1094" w:type="dxa"/>
            <w:tcBorders>
              <w:top w:val="single" w:sz="4" w:space="0" w:color="auto"/>
              <w:left w:val="nil"/>
              <w:bottom w:val="nil"/>
              <w:right w:val="nil"/>
            </w:tcBorders>
            <w:tcMar>
              <w:left w:w="0" w:type="dxa"/>
              <w:right w:w="0" w:type="dxa"/>
            </w:tcMar>
            <w:vAlign w:val="center"/>
          </w:tcPr>
          <w:p w14:paraId="319621F8" w14:textId="77777777" w:rsidR="00D157A9" w:rsidRDefault="00D157A9" w:rsidP="00CD7B48">
            <w:pPr>
              <w:bidi w:val="0"/>
              <w:jc w:val="right"/>
              <w:rPr>
                <w:i/>
                <w:iCs/>
                <w:sz w:val="13"/>
                <w:szCs w:val="13"/>
              </w:rPr>
            </w:pPr>
          </w:p>
        </w:tc>
        <w:tc>
          <w:tcPr>
            <w:tcW w:w="238" w:type="dxa"/>
            <w:tcBorders>
              <w:top w:val="nil"/>
              <w:left w:val="nil"/>
              <w:bottom w:val="nil"/>
              <w:right w:val="nil"/>
            </w:tcBorders>
          </w:tcPr>
          <w:p w14:paraId="67A1E655" w14:textId="77777777" w:rsidR="00D157A9" w:rsidRPr="00340B02" w:rsidRDefault="00D157A9">
            <w:pPr>
              <w:widowControl/>
              <w:spacing w:line="240" w:lineRule="auto"/>
              <w:jc w:val="center"/>
              <w:rPr>
                <w:rtl/>
              </w:rPr>
            </w:pPr>
            <w:r>
              <w:rPr>
                <w:rFonts w:hint="cs"/>
                <w:rtl/>
              </w:rPr>
              <w:t>-</w:t>
            </w:r>
          </w:p>
        </w:tc>
        <w:tc>
          <w:tcPr>
            <w:tcW w:w="8267" w:type="dxa"/>
            <w:tcBorders>
              <w:top w:val="nil"/>
              <w:left w:val="nil"/>
              <w:bottom w:val="nil"/>
              <w:right w:val="nil"/>
            </w:tcBorders>
          </w:tcPr>
          <w:p w14:paraId="490E3068" w14:textId="77777777" w:rsidR="009034A6" w:rsidRDefault="00C8390C">
            <w:pPr>
              <w:widowControl/>
              <w:spacing w:line="240" w:lineRule="auto"/>
              <w:ind w:leftChars="10" w:left="20"/>
              <w:rPr>
                <w:rtl/>
              </w:rPr>
            </w:pPr>
            <w:r w:rsidRPr="006F2EAD">
              <w:rPr>
                <w:rFonts w:hint="eastAsia"/>
                <w:highlight w:val="lightGray"/>
                <w:rtl/>
              </w:rPr>
              <w:t>באור</w:t>
            </w:r>
            <w:r w:rsidRPr="006F2EAD">
              <w:rPr>
                <w:highlight w:val="lightGray"/>
                <w:rtl/>
              </w:rPr>
              <w:t xml:space="preserve"> פרופורמה כתוצאה </w:t>
            </w:r>
            <w:r w:rsidR="004D64F3" w:rsidRPr="006F2EAD">
              <w:rPr>
                <w:rFonts w:hint="cs"/>
                <w:highlight w:val="lightGray"/>
                <w:rtl/>
              </w:rPr>
              <w:t>מ</w:t>
            </w:r>
            <w:r w:rsidRPr="006F2EAD">
              <w:rPr>
                <w:rFonts w:hint="eastAsia"/>
                <w:highlight w:val="lightGray"/>
                <w:rtl/>
              </w:rPr>
              <w:t>התקשרות</w:t>
            </w:r>
            <w:r w:rsidRPr="006F2EAD">
              <w:rPr>
                <w:highlight w:val="lightGray"/>
                <w:rtl/>
              </w:rPr>
              <w:t xml:space="preserve"> נמשכת בתמורה שונה </w:t>
            </w:r>
            <w:r w:rsidRPr="006F2EAD">
              <w:rPr>
                <w:rFonts w:hint="eastAsia"/>
                <w:highlight w:val="lightGray"/>
                <w:rtl/>
              </w:rPr>
              <w:t>עם</w:t>
            </w:r>
            <w:r w:rsidRPr="006F2EAD">
              <w:rPr>
                <w:highlight w:val="lightGray"/>
                <w:rtl/>
              </w:rPr>
              <w:t xml:space="preserve"> </w:t>
            </w:r>
            <w:r w:rsidRPr="006F2EAD">
              <w:rPr>
                <w:rFonts w:hint="eastAsia"/>
                <w:highlight w:val="lightGray"/>
                <w:rtl/>
              </w:rPr>
              <w:t>בעל</w:t>
            </w:r>
            <w:r w:rsidRPr="006F2EAD">
              <w:rPr>
                <w:highlight w:val="lightGray"/>
                <w:rtl/>
              </w:rPr>
              <w:t xml:space="preserve"> </w:t>
            </w:r>
            <w:r w:rsidRPr="006F2EAD">
              <w:rPr>
                <w:rFonts w:hint="eastAsia"/>
                <w:highlight w:val="lightGray"/>
                <w:rtl/>
              </w:rPr>
              <w:t>שליטה</w:t>
            </w:r>
            <w:r w:rsidR="00BC12DE" w:rsidRPr="006F2EAD">
              <w:rPr>
                <w:rStyle w:val="ab"/>
                <w:highlight w:val="lightGray"/>
                <w:rtl/>
              </w:rPr>
              <w:footnoteReference w:id="92"/>
            </w:r>
            <w:r w:rsidR="004D64F3" w:rsidRPr="006F2EAD">
              <w:rPr>
                <w:rFonts w:hint="cs"/>
                <w:highlight w:val="lightGray"/>
                <w:rtl/>
              </w:rPr>
              <w:t>.</w:t>
            </w:r>
            <w:r w:rsidR="004D64F3">
              <w:rPr>
                <w:rFonts w:hint="cs"/>
                <w:rtl/>
              </w:rPr>
              <w:t xml:space="preserve"> </w:t>
            </w:r>
          </w:p>
        </w:tc>
      </w:tr>
    </w:tbl>
    <w:p w14:paraId="533BC049" w14:textId="77777777" w:rsidR="00225232" w:rsidRDefault="00225232">
      <w:pPr>
        <w:spacing w:line="240" w:lineRule="auto"/>
        <w:ind w:left="1701" w:hanging="567"/>
        <w:rPr>
          <w:sz w:val="2"/>
          <w:szCs w:val="6"/>
          <w:rtl/>
        </w:rPr>
      </w:pPr>
    </w:p>
    <w:p w14:paraId="364C92D4" w14:textId="77777777" w:rsidR="00CD7B48" w:rsidRDefault="00CD7B48" w:rsidP="003776A6">
      <w:pPr>
        <w:rPr>
          <w:rtl/>
        </w:rPr>
      </w:pPr>
    </w:p>
    <w:p w14:paraId="366412FA" w14:textId="77777777" w:rsidR="003776A6" w:rsidRPr="00E700A9" w:rsidRDefault="003776A6" w:rsidP="003776A6">
      <w:pPr>
        <w:rPr>
          <w:rtl/>
        </w:rPr>
      </w:pPr>
    </w:p>
    <w:tbl>
      <w:tblPr>
        <w:tblStyle w:val="af6"/>
        <w:bidiVisual/>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4678"/>
        <w:gridCol w:w="1134"/>
      </w:tblGrid>
      <w:tr w:rsidR="00CD7B48" w:rsidRPr="008A7508" w14:paraId="46FB5881" w14:textId="77777777" w:rsidTr="003776A6">
        <w:tc>
          <w:tcPr>
            <w:tcW w:w="1178" w:type="dxa"/>
            <w:tcMar>
              <w:left w:w="0" w:type="dxa"/>
              <w:right w:w="0" w:type="dxa"/>
            </w:tcMar>
          </w:tcPr>
          <w:p w14:paraId="32A98E7B" w14:textId="77777777" w:rsidR="003D46A8" w:rsidRDefault="00CD7B48">
            <w:pPr>
              <w:pStyle w:val="11"/>
              <w:rPr>
                <w:rtl/>
              </w:rPr>
            </w:pPr>
            <w:r w:rsidRPr="008A7508">
              <w:rPr>
                <w:rtl/>
              </w:rPr>
              <w:t xml:space="preserve">באור </w:t>
            </w:r>
            <w:r w:rsidR="00DB3160">
              <w:rPr>
                <w:rFonts w:hint="cs"/>
                <w:rtl/>
              </w:rPr>
              <w:t>6</w:t>
            </w:r>
            <w:r w:rsidRPr="008A7508">
              <w:rPr>
                <w:rtl/>
              </w:rPr>
              <w:t>: -</w:t>
            </w:r>
          </w:p>
        </w:tc>
        <w:tc>
          <w:tcPr>
            <w:tcW w:w="4678" w:type="dxa"/>
          </w:tcPr>
          <w:p w14:paraId="2DCBD8C1" w14:textId="77777777" w:rsidR="00225232" w:rsidRDefault="00CD7B48">
            <w:pPr>
              <w:pStyle w:val="11"/>
              <w:tabs>
                <w:tab w:val="clear" w:pos="1134"/>
              </w:tabs>
              <w:ind w:left="-57" w:firstLine="0"/>
              <w:rPr>
                <w:sz w:val="24"/>
                <w:rtl/>
              </w:rPr>
            </w:pPr>
            <w:r w:rsidRPr="000C4C0E">
              <w:rPr>
                <w:rFonts w:hint="eastAsia"/>
                <w:u w:val="single"/>
                <w:rtl/>
              </w:rPr>
              <w:t>השפעת</w:t>
            </w:r>
            <w:r w:rsidRPr="000C4C0E">
              <w:rPr>
                <w:u w:val="single"/>
                <w:rtl/>
              </w:rPr>
              <w:t xml:space="preserve"> </w:t>
            </w:r>
            <w:r w:rsidRPr="000C4C0E">
              <w:rPr>
                <w:rFonts w:hint="eastAsia"/>
                <w:u w:val="single"/>
                <w:rtl/>
              </w:rPr>
              <w:t>השינויים</w:t>
            </w:r>
            <w:r w:rsidRPr="000C4C0E">
              <w:rPr>
                <w:u w:val="single"/>
                <w:rtl/>
              </w:rPr>
              <w:t xml:space="preserve"> </w:t>
            </w:r>
            <w:r w:rsidRPr="000C4C0E">
              <w:rPr>
                <w:rFonts w:hint="eastAsia"/>
                <w:u w:val="single"/>
                <w:rtl/>
              </w:rPr>
              <w:t>בשערי</w:t>
            </w:r>
            <w:r w:rsidRPr="000C4C0E">
              <w:rPr>
                <w:u w:val="single"/>
                <w:rtl/>
              </w:rPr>
              <w:t xml:space="preserve"> </w:t>
            </w:r>
            <w:r w:rsidRPr="000C4C0E">
              <w:rPr>
                <w:rFonts w:hint="eastAsia"/>
                <w:u w:val="single"/>
                <w:rtl/>
              </w:rPr>
              <w:t>החליפין</w:t>
            </w:r>
            <w:r w:rsidRPr="000C4C0E">
              <w:rPr>
                <w:u w:val="single"/>
                <w:rtl/>
              </w:rPr>
              <w:t xml:space="preserve"> </w:t>
            </w:r>
            <w:r w:rsidRPr="000C4C0E">
              <w:rPr>
                <w:rFonts w:hint="eastAsia"/>
                <w:u w:val="single"/>
                <w:rtl/>
              </w:rPr>
              <w:t>של</w:t>
            </w:r>
            <w:r w:rsidRPr="000C4C0E">
              <w:rPr>
                <w:u w:val="single"/>
                <w:rtl/>
              </w:rPr>
              <w:t xml:space="preserve"> </w:t>
            </w:r>
            <w:r w:rsidRPr="000C4C0E">
              <w:rPr>
                <w:rFonts w:hint="eastAsia"/>
                <w:u w:val="single"/>
                <w:rtl/>
              </w:rPr>
              <w:t>מטבע</w:t>
            </w:r>
            <w:r w:rsidRPr="000C4C0E">
              <w:rPr>
                <w:u w:val="single"/>
                <w:rtl/>
              </w:rPr>
              <w:t xml:space="preserve"> </w:t>
            </w:r>
            <w:r w:rsidRPr="000C4C0E">
              <w:rPr>
                <w:rFonts w:hint="eastAsia"/>
                <w:u w:val="single"/>
                <w:rtl/>
              </w:rPr>
              <w:t>חוץ</w:t>
            </w:r>
          </w:p>
        </w:tc>
        <w:tc>
          <w:tcPr>
            <w:tcW w:w="1134" w:type="dxa"/>
            <w:tcBorders>
              <w:bottom w:val="single" w:sz="4" w:space="0" w:color="auto"/>
              <w:right w:val="single" w:sz="4" w:space="0" w:color="auto"/>
            </w:tcBorders>
            <w:vAlign w:val="center"/>
          </w:tcPr>
          <w:p w14:paraId="00473650" w14:textId="77777777" w:rsidR="00CD7B48" w:rsidRPr="008A7508" w:rsidRDefault="00CD7B48" w:rsidP="00AB072A">
            <w:pPr>
              <w:pStyle w:val="11"/>
              <w:tabs>
                <w:tab w:val="clear" w:pos="1134"/>
              </w:tabs>
              <w:bidi w:val="0"/>
              <w:ind w:left="4" w:firstLine="0"/>
              <w:jc w:val="right"/>
              <w:rPr>
                <w:i/>
                <w:iCs/>
                <w:sz w:val="13"/>
                <w:szCs w:val="13"/>
              </w:rPr>
            </w:pPr>
            <w:r>
              <w:rPr>
                <w:i/>
                <w:iCs/>
                <w:sz w:val="13"/>
                <w:szCs w:val="13"/>
              </w:rPr>
              <w:t>IAS 34.</w:t>
            </w:r>
            <w:r w:rsidR="00AB072A">
              <w:rPr>
                <w:i/>
                <w:iCs/>
                <w:sz w:val="13"/>
                <w:szCs w:val="13"/>
              </w:rPr>
              <w:t>15</w:t>
            </w:r>
          </w:p>
        </w:tc>
      </w:tr>
    </w:tbl>
    <w:p w14:paraId="337F249B" w14:textId="77777777" w:rsidR="00005660" w:rsidRPr="00EC010A" w:rsidRDefault="00005660" w:rsidP="00005660">
      <w:pPr>
        <w:pStyle w:val="21"/>
        <w:rPr>
          <w:u w:val="single"/>
          <w:rtl/>
        </w:rPr>
      </w:pPr>
    </w:p>
    <w:p w14:paraId="2FAC2B12" w14:textId="3DE2EDE4" w:rsidR="008D22FA" w:rsidRDefault="000C4C0E" w:rsidP="00414876">
      <w:pPr>
        <w:pStyle w:val="21"/>
        <w:ind w:left="1134" w:firstLine="0"/>
        <w:rPr>
          <w:rtl/>
        </w:rPr>
      </w:pPr>
      <w:r w:rsidRPr="000C4C0E">
        <w:rPr>
          <w:rFonts w:hint="eastAsia"/>
          <w:rtl/>
        </w:rPr>
        <w:t>בתקופת</w:t>
      </w:r>
      <w:r w:rsidRPr="000C4C0E">
        <w:rPr>
          <w:rtl/>
        </w:rPr>
        <w:t xml:space="preserve"> הדיווח חלו שינויים משמעותיים בשערי החליפין של מטבעות חוץ אליהם חשופה החברה בעקבות היחלשותם של מטבעות אלה, בעיקר האירו </w:t>
      </w:r>
      <w:r w:rsidRPr="000C4C0E">
        <w:rPr>
          <w:shd w:val="clear" w:color="auto" w:fill="BFBFBF"/>
          <w:rtl/>
        </w:rPr>
        <w:t xml:space="preserve">[יש </w:t>
      </w:r>
      <w:r w:rsidRPr="000C4C0E">
        <w:rPr>
          <w:rFonts w:hint="eastAsia"/>
          <w:shd w:val="clear" w:color="auto" w:fill="BFBFBF"/>
          <w:rtl/>
        </w:rPr>
        <w:t>להתאים</w:t>
      </w:r>
      <w:r w:rsidRPr="000C4C0E">
        <w:rPr>
          <w:rtl/>
        </w:rPr>
        <w:t xml:space="preserve">], מול </w:t>
      </w:r>
      <w:r w:rsidRPr="000C4C0E">
        <w:rPr>
          <w:rFonts w:hint="eastAsia"/>
          <w:rtl/>
        </w:rPr>
        <w:t>הש</w:t>
      </w:r>
      <w:r w:rsidRPr="000C4C0E">
        <w:rPr>
          <w:rtl/>
        </w:rPr>
        <w:t xml:space="preserve">"ח, מטבע הפעילות של החברה </w:t>
      </w:r>
      <w:r w:rsidRPr="000C4C0E">
        <w:rPr>
          <w:shd w:val="clear" w:color="auto" w:fill="BFBFBF"/>
          <w:rtl/>
        </w:rPr>
        <w:t xml:space="preserve">[להשלים </w:t>
      </w:r>
      <w:r w:rsidRPr="000C4C0E">
        <w:rPr>
          <w:rFonts w:hint="eastAsia"/>
          <w:shd w:val="clear" w:color="auto" w:fill="BFBFBF"/>
          <w:rtl/>
        </w:rPr>
        <w:t>ולציין</w:t>
      </w:r>
      <w:r w:rsidRPr="000C4C0E">
        <w:rPr>
          <w:shd w:val="clear" w:color="auto" w:fill="BFBFBF"/>
          <w:rtl/>
        </w:rPr>
        <w:t xml:space="preserve"> </w:t>
      </w:r>
      <w:r w:rsidRPr="000C4C0E">
        <w:rPr>
          <w:rFonts w:hint="eastAsia"/>
          <w:shd w:val="clear" w:color="auto" w:fill="BFBFBF"/>
          <w:rtl/>
        </w:rPr>
        <w:t>אם</w:t>
      </w:r>
      <w:r w:rsidRPr="000C4C0E">
        <w:rPr>
          <w:shd w:val="clear" w:color="auto" w:fill="BFBFBF"/>
          <w:rtl/>
        </w:rPr>
        <w:t xml:space="preserve"> </w:t>
      </w:r>
      <w:r w:rsidRPr="000C4C0E">
        <w:rPr>
          <w:rFonts w:hint="eastAsia"/>
          <w:shd w:val="clear" w:color="auto" w:fill="BFBFBF"/>
          <w:rtl/>
        </w:rPr>
        <w:t>קיימות</w:t>
      </w:r>
      <w:r w:rsidRPr="000C4C0E">
        <w:rPr>
          <w:shd w:val="clear" w:color="auto" w:fill="BFBFBF"/>
          <w:rtl/>
        </w:rPr>
        <w:t xml:space="preserve"> </w:t>
      </w:r>
      <w:r w:rsidRPr="000C4C0E">
        <w:rPr>
          <w:rFonts w:hint="eastAsia"/>
          <w:shd w:val="clear" w:color="auto" w:fill="BFBFBF"/>
          <w:rtl/>
        </w:rPr>
        <w:t>חברות</w:t>
      </w:r>
      <w:r w:rsidRPr="000C4C0E">
        <w:rPr>
          <w:shd w:val="clear" w:color="auto" w:fill="BFBFBF"/>
          <w:rtl/>
        </w:rPr>
        <w:t xml:space="preserve"> </w:t>
      </w:r>
      <w:r w:rsidRPr="000C4C0E">
        <w:rPr>
          <w:rFonts w:hint="eastAsia"/>
          <w:shd w:val="clear" w:color="auto" w:fill="BFBFBF"/>
          <w:rtl/>
        </w:rPr>
        <w:t>בנות</w:t>
      </w:r>
      <w:r w:rsidRPr="000C4C0E">
        <w:rPr>
          <w:shd w:val="clear" w:color="auto" w:fill="BFBFBF"/>
          <w:rtl/>
        </w:rPr>
        <w:t xml:space="preserve"> </w:t>
      </w:r>
      <w:r w:rsidRPr="000C4C0E">
        <w:rPr>
          <w:rFonts w:hint="eastAsia"/>
          <w:shd w:val="clear" w:color="auto" w:fill="BFBFBF"/>
          <w:rtl/>
        </w:rPr>
        <w:t>עם</w:t>
      </w:r>
      <w:r w:rsidRPr="000C4C0E">
        <w:rPr>
          <w:shd w:val="clear" w:color="auto" w:fill="BFBFBF"/>
          <w:rtl/>
        </w:rPr>
        <w:t xml:space="preserve"> </w:t>
      </w:r>
      <w:r w:rsidRPr="000C4C0E">
        <w:rPr>
          <w:rFonts w:hint="eastAsia"/>
          <w:shd w:val="clear" w:color="auto" w:fill="BFBFBF"/>
          <w:rtl/>
        </w:rPr>
        <w:t>חשיפה</w:t>
      </w:r>
      <w:r w:rsidRPr="000C4C0E">
        <w:rPr>
          <w:shd w:val="clear" w:color="auto" w:fill="BFBFBF"/>
          <w:rtl/>
        </w:rPr>
        <w:t xml:space="preserve"> </w:t>
      </w:r>
      <w:r w:rsidRPr="000C4C0E">
        <w:rPr>
          <w:rFonts w:hint="eastAsia"/>
          <w:shd w:val="clear" w:color="auto" w:fill="BFBFBF"/>
          <w:rtl/>
        </w:rPr>
        <w:t>זהה</w:t>
      </w:r>
      <w:r w:rsidRPr="000C4C0E">
        <w:rPr>
          <w:rtl/>
        </w:rPr>
        <w:t xml:space="preserve">]. עיקר החשיפה </w:t>
      </w:r>
      <w:r w:rsidR="00DB102C">
        <w:rPr>
          <w:rFonts w:hint="cs"/>
          <w:rtl/>
        </w:rPr>
        <w:t>נובעת</w:t>
      </w:r>
      <w:r w:rsidRPr="000C4C0E">
        <w:rPr>
          <w:rtl/>
        </w:rPr>
        <w:t xml:space="preserve"> מפעילויות חוץ שמטבע הפעילות שלהן הינו האירו ואשר בגינן נזקף הפסד כולל אחר בסך של כ-______ אלפי ש"ח </w:t>
      </w:r>
      <w:r w:rsidRPr="000C4C0E">
        <w:rPr>
          <w:rFonts w:hint="eastAsia"/>
          <w:rtl/>
        </w:rPr>
        <w:t>וכ</w:t>
      </w:r>
      <w:r w:rsidRPr="000C4C0E">
        <w:rPr>
          <w:rtl/>
        </w:rPr>
        <w:t xml:space="preserve">-_______ אלפי ש"ח לתקופות של תשעה ושלושה חודשים שהסתיימו ביום 30 בספטמבר, </w:t>
      </w:r>
      <w:r w:rsidR="00414876">
        <w:rPr>
          <w:rFonts w:hint="cs"/>
          <w:rtl/>
        </w:rPr>
        <w:t>2019</w:t>
      </w:r>
      <w:r w:rsidRPr="000C4C0E">
        <w:rPr>
          <w:rtl/>
        </w:rPr>
        <w:t xml:space="preserve">, </w:t>
      </w:r>
      <w:r w:rsidRPr="000C4C0E">
        <w:rPr>
          <w:rFonts w:hint="eastAsia"/>
          <w:rtl/>
        </w:rPr>
        <w:t>בהתאמה</w:t>
      </w:r>
      <w:r w:rsidRPr="000C4C0E">
        <w:rPr>
          <w:rtl/>
        </w:rPr>
        <w:t xml:space="preserve">, </w:t>
      </w:r>
      <w:r w:rsidRPr="000C4C0E">
        <w:rPr>
          <w:rFonts w:hint="eastAsia"/>
          <w:rtl/>
        </w:rPr>
        <w:t>מעסקאות</w:t>
      </w:r>
      <w:r w:rsidRPr="000C4C0E">
        <w:rPr>
          <w:rtl/>
        </w:rPr>
        <w:t xml:space="preserve"> </w:t>
      </w:r>
      <w:r w:rsidRPr="000C4C0E">
        <w:rPr>
          <w:rFonts w:hint="eastAsia"/>
          <w:rtl/>
        </w:rPr>
        <w:t>מכירה</w:t>
      </w:r>
      <w:r w:rsidRPr="000C4C0E">
        <w:rPr>
          <w:rtl/>
        </w:rPr>
        <w:t xml:space="preserve"> </w:t>
      </w:r>
      <w:r w:rsidRPr="000C4C0E">
        <w:rPr>
          <w:rFonts w:hint="eastAsia"/>
          <w:rtl/>
        </w:rPr>
        <w:t>הנקובות</w:t>
      </w:r>
      <w:r w:rsidRPr="000C4C0E">
        <w:rPr>
          <w:rtl/>
        </w:rPr>
        <w:t xml:space="preserve"> </w:t>
      </w:r>
      <w:r w:rsidRPr="000C4C0E">
        <w:rPr>
          <w:rFonts w:hint="eastAsia"/>
          <w:rtl/>
        </w:rPr>
        <w:t>במטבע</w:t>
      </w:r>
      <w:r w:rsidRPr="000C4C0E">
        <w:rPr>
          <w:rtl/>
        </w:rPr>
        <w:t xml:space="preserve"> </w:t>
      </w:r>
      <w:r w:rsidRPr="000C4C0E">
        <w:rPr>
          <w:rFonts w:hint="eastAsia"/>
          <w:rtl/>
        </w:rPr>
        <w:t>האירו</w:t>
      </w:r>
      <w:r w:rsidRPr="000C4C0E">
        <w:rPr>
          <w:rtl/>
        </w:rPr>
        <w:t xml:space="preserve"> </w:t>
      </w:r>
      <w:r w:rsidRPr="000C4C0E">
        <w:rPr>
          <w:rFonts w:hint="eastAsia"/>
          <w:rtl/>
        </w:rPr>
        <w:t>ויתרת</w:t>
      </w:r>
      <w:r w:rsidRPr="000C4C0E">
        <w:rPr>
          <w:rtl/>
        </w:rPr>
        <w:t xml:space="preserve"> </w:t>
      </w:r>
      <w:r w:rsidRPr="000C4C0E">
        <w:rPr>
          <w:rFonts w:hint="eastAsia"/>
          <w:rtl/>
        </w:rPr>
        <w:t>הלקוחות</w:t>
      </w:r>
      <w:r w:rsidRPr="000C4C0E">
        <w:rPr>
          <w:rtl/>
        </w:rPr>
        <w:t xml:space="preserve"> </w:t>
      </w:r>
      <w:r w:rsidRPr="000C4C0E">
        <w:rPr>
          <w:rFonts w:hint="eastAsia"/>
          <w:rtl/>
        </w:rPr>
        <w:t>בגינן</w:t>
      </w:r>
      <w:r w:rsidRPr="000C4C0E">
        <w:rPr>
          <w:rtl/>
        </w:rPr>
        <w:t xml:space="preserve"> [</w:t>
      </w:r>
      <w:r w:rsidRPr="000C4C0E">
        <w:rPr>
          <w:rFonts w:hint="eastAsia"/>
          <w:shd w:val="clear" w:color="auto" w:fill="BFBFBF"/>
          <w:rtl/>
        </w:rPr>
        <w:t>יש</w:t>
      </w:r>
      <w:r w:rsidRPr="000C4C0E">
        <w:rPr>
          <w:shd w:val="clear" w:color="auto" w:fill="BFBFBF"/>
          <w:rtl/>
        </w:rPr>
        <w:t xml:space="preserve"> </w:t>
      </w:r>
      <w:r w:rsidRPr="000C4C0E">
        <w:rPr>
          <w:rFonts w:hint="eastAsia"/>
          <w:shd w:val="clear" w:color="auto" w:fill="BFBFBF"/>
          <w:rtl/>
        </w:rPr>
        <w:t>להתאים</w:t>
      </w:r>
      <w:r w:rsidRPr="000C4C0E">
        <w:rPr>
          <w:rtl/>
        </w:rPr>
        <w:t xml:space="preserve">] </w:t>
      </w:r>
      <w:r w:rsidRPr="000C4C0E">
        <w:rPr>
          <w:rFonts w:hint="eastAsia"/>
          <w:rtl/>
        </w:rPr>
        <w:t>וכן</w:t>
      </w:r>
      <w:r w:rsidRPr="000C4C0E">
        <w:rPr>
          <w:rtl/>
        </w:rPr>
        <w:t xml:space="preserve"> </w:t>
      </w:r>
      <w:r w:rsidRPr="000C4C0E">
        <w:rPr>
          <w:rFonts w:hint="eastAsia"/>
          <w:rtl/>
        </w:rPr>
        <w:t>מעסקאות</w:t>
      </w:r>
      <w:r w:rsidRPr="000C4C0E">
        <w:rPr>
          <w:rtl/>
        </w:rPr>
        <w:t xml:space="preserve"> </w:t>
      </w:r>
      <w:r w:rsidRPr="000C4C0E">
        <w:rPr>
          <w:rFonts w:hint="eastAsia"/>
          <w:rtl/>
        </w:rPr>
        <w:t>מטבע</w:t>
      </w:r>
      <w:r w:rsidRPr="000C4C0E">
        <w:rPr>
          <w:rtl/>
        </w:rPr>
        <w:t xml:space="preserve"> </w:t>
      </w:r>
      <w:r w:rsidRPr="000C4C0E">
        <w:rPr>
          <w:rFonts w:hint="eastAsia"/>
          <w:rtl/>
        </w:rPr>
        <w:t>חוץ</w:t>
      </w:r>
      <w:r w:rsidRPr="000C4C0E">
        <w:rPr>
          <w:rtl/>
        </w:rPr>
        <w:t xml:space="preserve"> </w:t>
      </w:r>
      <w:r w:rsidRPr="000C4C0E">
        <w:rPr>
          <w:rFonts w:hint="eastAsia"/>
          <w:rtl/>
        </w:rPr>
        <w:t>בנגזרים</w:t>
      </w:r>
      <w:r w:rsidRPr="000C4C0E">
        <w:rPr>
          <w:rtl/>
        </w:rPr>
        <w:t xml:space="preserve"> </w:t>
      </w:r>
      <w:r w:rsidRPr="000C4C0E">
        <w:rPr>
          <w:rFonts w:hint="eastAsia"/>
          <w:rtl/>
        </w:rPr>
        <w:t>פיננסיים</w:t>
      </w:r>
      <w:r w:rsidRPr="000C4C0E">
        <w:rPr>
          <w:rtl/>
        </w:rPr>
        <w:t xml:space="preserve"> </w:t>
      </w:r>
      <w:r w:rsidRPr="000C4C0E">
        <w:rPr>
          <w:rFonts w:hint="eastAsia"/>
          <w:rtl/>
        </w:rPr>
        <w:t>שמעורב</w:t>
      </w:r>
      <w:r w:rsidRPr="000C4C0E">
        <w:rPr>
          <w:rtl/>
        </w:rPr>
        <w:t xml:space="preserve"> </w:t>
      </w:r>
      <w:r w:rsidRPr="000C4C0E">
        <w:rPr>
          <w:rFonts w:hint="eastAsia"/>
          <w:rtl/>
        </w:rPr>
        <w:t>בהן</w:t>
      </w:r>
      <w:r w:rsidRPr="000C4C0E">
        <w:rPr>
          <w:rtl/>
        </w:rPr>
        <w:t xml:space="preserve"> </w:t>
      </w:r>
      <w:r w:rsidRPr="000C4C0E">
        <w:rPr>
          <w:rFonts w:hint="eastAsia"/>
          <w:rtl/>
        </w:rPr>
        <w:t>האירו</w:t>
      </w:r>
      <w:r w:rsidRPr="000C4C0E">
        <w:rPr>
          <w:rtl/>
        </w:rPr>
        <w:t>. [</w:t>
      </w:r>
      <w:r w:rsidRPr="000C4C0E">
        <w:rPr>
          <w:rFonts w:hint="eastAsia"/>
          <w:shd w:val="clear" w:color="auto" w:fill="BFBFBF"/>
          <w:rtl/>
        </w:rPr>
        <w:t>יש</w:t>
      </w:r>
      <w:r w:rsidRPr="000C4C0E">
        <w:rPr>
          <w:shd w:val="clear" w:color="auto" w:fill="BFBFBF"/>
          <w:rtl/>
        </w:rPr>
        <w:t xml:space="preserve"> </w:t>
      </w:r>
      <w:r w:rsidRPr="000C4C0E">
        <w:rPr>
          <w:rFonts w:hint="eastAsia"/>
          <w:shd w:val="clear" w:color="auto" w:fill="BFBFBF"/>
          <w:rtl/>
        </w:rPr>
        <w:t>להתאים</w:t>
      </w:r>
      <w:r w:rsidRPr="000C4C0E">
        <w:rPr>
          <w:rtl/>
        </w:rPr>
        <w:t>].</w:t>
      </w:r>
    </w:p>
    <w:p w14:paraId="7AFD266E" w14:textId="77777777" w:rsidR="00EA10D0" w:rsidRDefault="00EA10D0">
      <w:pPr>
        <w:widowControl/>
        <w:overflowPunct/>
        <w:autoSpaceDE/>
        <w:autoSpaceDN/>
        <w:bidi w:val="0"/>
        <w:adjustRightInd/>
        <w:spacing w:line="240" w:lineRule="auto"/>
        <w:jc w:val="left"/>
        <w:textAlignment w:val="auto"/>
      </w:pPr>
      <w:r>
        <w:rPr>
          <w:rtl/>
        </w:rPr>
        <w:br w:type="page"/>
      </w:r>
    </w:p>
    <w:p w14:paraId="5CB84272" w14:textId="77777777" w:rsidR="006E6BFC" w:rsidRPr="00414876" w:rsidRDefault="006E6BFC">
      <w:pPr>
        <w:ind w:left="1701" w:hanging="567"/>
        <w:rPr>
          <w:rtl/>
        </w:rPr>
      </w:pPr>
    </w:p>
    <w:p w14:paraId="23D9EC41" w14:textId="77777777" w:rsidR="003139A7" w:rsidRPr="003139A7" w:rsidRDefault="003139A7">
      <w:pPr>
        <w:ind w:left="1701" w:hanging="567"/>
        <w:rPr>
          <w:rtl/>
        </w:rPr>
      </w:pPr>
    </w:p>
    <w:tbl>
      <w:tblPr>
        <w:tblStyle w:val="af6"/>
        <w:bidiVisual/>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1586"/>
        <w:gridCol w:w="1344"/>
      </w:tblGrid>
      <w:tr w:rsidR="008A7508" w:rsidRPr="008A7508" w14:paraId="7BD96A64" w14:textId="77777777" w:rsidTr="00A6569A">
        <w:tc>
          <w:tcPr>
            <w:tcW w:w="1168" w:type="dxa"/>
            <w:tcMar>
              <w:left w:w="0" w:type="dxa"/>
              <w:right w:w="0" w:type="dxa"/>
            </w:tcMar>
          </w:tcPr>
          <w:p w14:paraId="7A492F1C" w14:textId="77777777" w:rsidR="003D46A8" w:rsidRDefault="008A7508">
            <w:pPr>
              <w:pStyle w:val="11"/>
              <w:rPr>
                <w:rtl/>
              </w:rPr>
            </w:pPr>
            <w:bookmarkStart w:id="50" w:name="_Toc290213629"/>
            <w:r w:rsidRPr="008A7508">
              <w:rPr>
                <w:rtl/>
              </w:rPr>
              <w:t xml:space="preserve">באור </w:t>
            </w:r>
            <w:r w:rsidR="00DB3160">
              <w:rPr>
                <w:rFonts w:hint="cs"/>
                <w:rtl/>
              </w:rPr>
              <w:t>7</w:t>
            </w:r>
            <w:r w:rsidRPr="008A7508">
              <w:rPr>
                <w:rtl/>
              </w:rPr>
              <w:t>: -</w:t>
            </w:r>
          </w:p>
        </w:tc>
        <w:tc>
          <w:tcPr>
            <w:tcW w:w="1586" w:type="dxa"/>
          </w:tcPr>
          <w:p w14:paraId="64A13989" w14:textId="77777777" w:rsidR="00225232" w:rsidRDefault="008A7508">
            <w:pPr>
              <w:pStyle w:val="11"/>
              <w:tabs>
                <w:tab w:val="clear" w:pos="1134"/>
              </w:tabs>
              <w:ind w:left="-57" w:firstLine="0"/>
              <w:rPr>
                <w:sz w:val="24"/>
                <w:rtl/>
              </w:rPr>
            </w:pPr>
            <w:r w:rsidRPr="008A7508">
              <w:rPr>
                <w:rFonts w:hint="cs"/>
                <w:sz w:val="24"/>
                <w:u w:val="single"/>
                <w:rtl/>
              </w:rPr>
              <w:t>צירופי עסקים</w:t>
            </w:r>
            <w:bookmarkEnd w:id="50"/>
          </w:p>
        </w:tc>
        <w:tc>
          <w:tcPr>
            <w:tcW w:w="1344" w:type="dxa"/>
            <w:tcBorders>
              <w:bottom w:val="single" w:sz="4" w:space="0" w:color="auto"/>
              <w:right w:val="single" w:sz="4" w:space="0" w:color="auto"/>
            </w:tcBorders>
            <w:vAlign w:val="center"/>
          </w:tcPr>
          <w:p w14:paraId="18291A0F" w14:textId="77777777" w:rsidR="008A7508" w:rsidRPr="008A7508" w:rsidRDefault="008A7508" w:rsidP="008A7508">
            <w:pPr>
              <w:pStyle w:val="11"/>
              <w:tabs>
                <w:tab w:val="clear" w:pos="1134"/>
              </w:tabs>
              <w:bidi w:val="0"/>
              <w:ind w:left="4" w:firstLine="0"/>
              <w:jc w:val="right"/>
              <w:rPr>
                <w:i/>
                <w:iCs/>
                <w:sz w:val="13"/>
                <w:szCs w:val="13"/>
              </w:rPr>
            </w:pPr>
            <w:r w:rsidRPr="008A7508">
              <w:rPr>
                <w:i/>
                <w:iCs/>
                <w:sz w:val="13"/>
                <w:szCs w:val="13"/>
              </w:rPr>
              <w:t>IAS </w:t>
            </w:r>
            <w:r w:rsidR="00CD7B48">
              <w:rPr>
                <w:i/>
                <w:iCs/>
                <w:sz w:val="13"/>
                <w:szCs w:val="13"/>
              </w:rPr>
              <w:t>3</w:t>
            </w:r>
            <w:r w:rsidRPr="008A7508">
              <w:rPr>
                <w:i/>
                <w:iCs/>
                <w:sz w:val="13"/>
                <w:szCs w:val="13"/>
              </w:rPr>
              <w:t>4.16A(i)</w:t>
            </w:r>
          </w:p>
        </w:tc>
      </w:tr>
    </w:tbl>
    <w:p w14:paraId="5ED38054" w14:textId="77777777" w:rsidR="006C3028" w:rsidRDefault="006C3028" w:rsidP="0076297A">
      <w:pPr>
        <w:pStyle w:val="21"/>
        <w:ind w:left="1134" w:firstLine="0"/>
        <w:rPr>
          <w:rtl/>
        </w:rPr>
      </w:pPr>
    </w:p>
    <w:p w14:paraId="72EEF60C" w14:textId="77777777" w:rsidR="00034083" w:rsidRPr="007D64FF" w:rsidRDefault="00034083" w:rsidP="00034083">
      <w:pPr>
        <w:pStyle w:val="21"/>
        <w:shd w:val="clear" w:color="auto" w:fill="E0E0E0"/>
        <w:ind w:left="1134" w:firstLine="0"/>
        <w:rPr>
          <w:szCs w:val="22"/>
          <w:u w:val="single"/>
          <w:rtl/>
        </w:rPr>
      </w:pPr>
      <w:r w:rsidRPr="007D64FF">
        <w:rPr>
          <w:rFonts w:hint="cs"/>
          <w:szCs w:val="22"/>
          <w:u w:val="single"/>
          <w:rtl/>
        </w:rPr>
        <w:t>הערה</w:t>
      </w:r>
    </w:p>
    <w:p w14:paraId="54621AE7" w14:textId="77777777" w:rsidR="008D22FA" w:rsidRDefault="00034083">
      <w:pPr>
        <w:pStyle w:val="21"/>
        <w:shd w:val="clear" w:color="auto" w:fill="E0E0E0"/>
        <w:ind w:left="1134" w:firstLine="0"/>
        <w:rPr>
          <w:szCs w:val="22"/>
          <w:rtl/>
        </w:rPr>
      </w:pPr>
      <w:r>
        <w:rPr>
          <w:rFonts w:hint="cs"/>
          <w:szCs w:val="22"/>
          <w:rtl/>
        </w:rPr>
        <w:t xml:space="preserve">אם </w:t>
      </w:r>
      <w:r w:rsidRPr="007D64FF">
        <w:rPr>
          <w:rFonts w:hint="cs"/>
          <w:szCs w:val="22"/>
          <w:rtl/>
        </w:rPr>
        <w:t>החברה/החברה המאוחדת ביצעה צירו</w:t>
      </w:r>
      <w:r w:rsidR="0047314C">
        <w:rPr>
          <w:rFonts w:hint="cs"/>
          <w:szCs w:val="22"/>
          <w:rtl/>
        </w:rPr>
        <w:t>ף</w:t>
      </w:r>
      <w:r w:rsidRPr="007D64FF">
        <w:rPr>
          <w:rFonts w:hint="cs"/>
          <w:szCs w:val="22"/>
          <w:rtl/>
        </w:rPr>
        <w:t xml:space="preserve"> עסקים לאחר תאריך </w:t>
      </w:r>
      <w:r>
        <w:rPr>
          <w:rFonts w:hint="cs"/>
          <w:szCs w:val="22"/>
          <w:rtl/>
        </w:rPr>
        <w:t>הדיווח</w:t>
      </w:r>
      <w:r w:rsidRPr="007D64FF">
        <w:rPr>
          <w:rFonts w:hint="cs"/>
          <w:szCs w:val="22"/>
          <w:rtl/>
        </w:rPr>
        <w:t>, אך לפני אישור הדוחות הכספיים לפרסום, עליה לתת גילוי דומה לגילוי שניתן בגין צירוף עסקים בתקופת הד</w:t>
      </w:r>
      <w:r>
        <w:rPr>
          <w:rFonts w:hint="cs"/>
          <w:szCs w:val="22"/>
          <w:rtl/>
        </w:rPr>
        <w:t>יו</w:t>
      </w:r>
      <w:r w:rsidRPr="007D64FF">
        <w:rPr>
          <w:rFonts w:hint="cs"/>
          <w:szCs w:val="22"/>
          <w:rtl/>
        </w:rPr>
        <w:t>וח</w:t>
      </w:r>
      <w:r w:rsidR="0047314C">
        <w:rPr>
          <w:rFonts w:hint="cs"/>
          <w:szCs w:val="22"/>
          <w:rtl/>
        </w:rPr>
        <w:t>,</w:t>
      </w:r>
      <w:r w:rsidRPr="007D64FF">
        <w:rPr>
          <w:rFonts w:hint="cs"/>
          <w:szCs w:val="22"/>
          <w:rtl/>
        </w:rPr>
        <w:t xml:space="preserve"> אלא אם מתן גילוי כאמור אינו מעשי, ואז יש לציין את הסיבה לאי הצגת הגילוי הנ</w:t>
      </w:r>
      <w:r w:rsidRPr="007D64FF">
        <w:rPr>
          <w:szCs w:val="22"/>
          <w:rtl/>
        </w:rPr>
        <w:t>"</w:t>
      </w:r>
      <w:r w:rsidRPr="007D64FF">
        <w:rPr>
          <w:rFonts w:hint="cs"/>
          <w:szCs w:val="22"/>
          <w:rtl/>
        </w:rPr>
        <w:t>ל.</w:t>
      </w:r>
    </w:p>
    <w:p w14:paraId="52AEE32A" w14:textId="77777777" w:rsidR="00034083" w:rsidRDefault="00034083" w:rsidP="0076297A">
      <w:pPr>
        <w:pStyle w:val="21"/>
        <w:ind w:left="1134" w:firstLine="0"/>
        <w:rPr>
          <w:rtl/>
        </w:rPr>
      </w:pPr>
    </w:p>
    <w:tbl>
      <w:tblPr>
        <w:tblStyle w:val="af6"/>
        <w:bidiVisual/>
        <w:tblW w:w="9704" w:type="dxa"/>
        <w:tblInd w:w="-57" w:type="dxa"/>
        <w:tblLayout w:type="fixed"/>
        <w:tblCellMar>
          <w:left w:w="0" w:type="dxa"/>
          <w:right w:w="0" w:type="dxa"/>
        </w:tblCellMar>
        <w:tblLook w:val="04A0" w:firstRow="1" w:lastRow="0" w:firstColumn="1" w:lastColumn="0" w:noHBand="0" w:noVBand="1"/>
      </w:tblPr>
      <w:tblGrid>
        <w:gridCol w:w="1181"/>
        <w:gridCol w:w="8523"/>
      </w:tblGrid>
      <w:tr w:rsidR="00272F95" w14:paraId="3AE1CA8C" w14:textId="77777777" w:rsidTr="0002270D">
        <w:tc>
          <w:tcPr>
            <w:tcW w:w="1181" w:type="dxa"/>
            <w:tcBorders>
              <w:top w:val="nil"/>
              <w:left w:val="nil"/>
              <w:bottom w:val="single" w:sz="4" w:space="0" w:color="auto"/>
              <w:right w:val="single" w:sz="4" w:space="0" w:color="auto"/>
            </w:tcBorders>
            <w:vAlign w:val="center"/>
          </w:tcPr>
          <w:p w14:paraId="1A4D9488" w14:textId="77777777" w:rsidR="00272F95" w:rsidRPr="00F71E33" w:rsidRDefault="00272F95" w:rsidP="00272F95">
            <w:pPr>
              <w:bidi w:val="0"/>
              <w:jc w:val="right"/>
              <w:rPr>
                <w:i/>
                <w:iCs/>
                <w:sz w:val="13"/>
                <w:szCs w:val="13"/>
              </w:rPr>
            </w:pPr>
            <w:r>
              <w:rPr>
                <w:i/>
                <w:iCs/>
                <w:sz w:val="13"/>
                <w:szCs w:val="13"/>
              </w:rPr>
              <w:t>IFRS 3.B64(a),(b),(c);IFRS 3.59</w:t>
            </w:r>
          </w:p>
        </w:tc>
        <w:tc>
          <w:tcPr>
            <w:tcW w:w="8523" w:type="dxa"/>
            <w:tcBorders>
              <w:top w:val="nil"/>
              <w:left w:val="single" w:sz="4" w:space="0" w:color="auto"/>
              <w:bottom w:val="nil"/>
              <w:right w:val="nil"/>
            </w:tcBorders>
          </w:tcPr>
          <w:p w14:paraId="2D47E9D1" w14:textId="075C01DC" w:rsidR="008D22FA" w:rsidRDefault="00272F95" w:rsidP="00414876">
            <w:pPr>
              <w:rPr>
                <w:rtl/>
              </w:rPr>
            </w:pPr>
            <w:r w:rsidRPr="007D64FF">
              <w:rPr>
                <w:rFonts w:hint="cs"/>
                <w:rtl/>
              </w:rPr>
              <w:t>החברה החזיקה במניות של חברת _____ בשיעור של כ-%___ אשר טופלו עד למועד הרכישה ותחילת האיחוד כהשקעה בנכס פיננסי</w:t>
            </w:r>
            <w:r w:rsidRPr="00DB102C">
              <w:rPr>
                <w:rStyle w:val="ab"/>
                <w:rtl/>
              </w:rPr>
              <w:footnoteReference w:id="93"/>
            </w:r>
            <w:r w:rsidRPr="007D64FF">
              <w:rPr>
                <w:rFonts w:hint="cs"/>
                <w:rtl/>
              </w:rPr>
              <w:t xml:space="preserve"> הנמדד בשווי הוגן דרך רווח או הפסד בהתאם ל-9 </w:t>
            </w:r>
            <w:r w:rsidR="00414876">
              <w:t>IFRS</w:t>
            </w:r>
            <w:r w:rsidRPr="00DB102C">
              <w:rPr>
                <w:rFonts w:hint="cs"/>
                <w:rtl/>
              </w:rPr>
              <w:t>. ל</w:t>
            </w:r>
            <w:r w:rsidRPr="007D64FF">
              <w:rPr>
                <w:rFonts w:hint="cs"/>
                <w:rtl/>
              </w:rPr>
              <w:t>פיכך, במועד הרכישה לא נדרשו התאמות לערך ההשקעה אשר מהווה את התמורה ברכישה בסך של ______ אלפי ש"ח.</w:t>
            </w:r>
          </w:p>
        </w:tc>
      </w:tr>
    </w:tbl>
    <w:p w14:paraId="03242B9D" w14:textId="77777777" w:rsidR="00272F95" w:rsidRDefault="00272F95" w:rsidP="0076297A">
      <w:pPr>
        <w:pStyle w:val="21"/>
        <w:ind w:left="1134" w:firstLine="0"/>
        <w:rPr>
          <w:rtl/>
        </w:rPr>
      </w:pPr>
    </w:p>
    <w:tbl>
      <w:tblPr>
        <w:tblStyle w:val="af6"/>
        <w:bidiVisual/>
        <w:tblW w:w="9718" w:type="dxa"/>
        <w:tblInd w:w="-71" w:type="dxa"/>
        <w:tblLayout w:type="fixed"/>
        <w:tblCellMar>
          <w:left w:w="0" w:type="dxa"/>
          <w:right w:w="0" w:type="dxa"/>
        </w:tblCellMar>
        <w:tblLook w:val="04A0" w:firstRow="1" w:lastRow="0" w:firstColumn="1" w:lastColumn="0" w:noHBand="0" w:noVBand="1"/>
      </w:tblPr>
      <w:tblGrid>
        <w:gridCol w:w="1195"/>
        <w:gridCol w:w="8523"/>
      </w:tblGrid>
      <w:tr w:rsidR="00272F95" w14:paraId="4208DE17" w14:textId="77777777" w:rsidTr="0002270D">
        <w:tc>
          <w:tcPr>
            <w:tcW w:w="1195" w:type="dxa"/>
            <w:tcBorders>
              <w:top w:val="nil"/>
              <w:left w:val="nil"/>
              <w:bottom w:val="single" w:sz="4" w:space="0" w:color="auto"/>
              <w:right w:val="single" w:sz="4" w:space="0" w:color="auto"/>
            </w:tcBorders>
            <w:vAlign w:val="center"/>
          </w:tcPr>
          <w:p w14:paraId="1DA9D5D8" w14:textId="77777777" w:rsidR="00272F95" w:rsidRPr="00F71E33" w:rsidRDefault="00272F95" w:rsidP="005C7A74">
            <w:pPr>
              <w:bidi w:val="0"/>
              <w:jc w:val="right"/>
              <w:rPr>
                <w:i/>
                <w:iCs/>
                <w:sz w:val="13"/>
                <w:szCs w:val="13"/>
              </w:rPr>
            </w:pPr>
            <w:r>
              <w:rPr>
                <w:rFonts w:hint="cs"/>
                <w:i/>
                <w:iCs/>
                <w:sz w:val="13"/>
                <w:szCs w:val="13"/>
              </w:rPr>
              <w:t>IFRS </w:t>
            </w:r>
            <w:r>
              <w:rPr>
                <w:i/>
                <w:iCs/>
                <w:sz w:val="13"/>
                <w:szCs w:val="13"/>
              </w:rPr>
              <w:t>3.19</w:t>
            </w:r>
          </w:p>
        </w:tc>
        <w:tc>
          <w:tcPr>
            <w:tcW w:w="8523" w:type="dxa"/>
            <w:tcBorders>
              <w:top w:val="nil"/>
              <w:left w:val="single" w:sz="4" w:space="0" w:color="auto"/>
              <w:bottom w:val="nil"/>
              <w:right w:val="nil"/>
            </w:tcBorders>
          </w:tcPr>
          <w:p w14:paraId="177D6E9B" w14:textId="77777777" w:rsidR="00225232" w:rsidRDefault="00272F95" w:rsidP="006C26D6">
            <w:pPr>
              <w:rPr>
                <w:rtl/>
              </w:rPr>
            </w:pPr>
            <w:r w:rsidRPr="007D64FF">
              <w:rPr>
                <w:rFonts w:hint="cs"/>
                <w:rtl/>
              </w:rPr>
              <w:t xml:space="preserve">הקבוצה בחרה למדוד את הזכויות שאינן מקנות </w:t>
            </w:r>
            <w:r w:rsidRPr="000C4C0E">
              <w:rPr>
                <w:rFonts w:hint="eastAsia"/>
                <w:rtl/>
              </w:rPr>
              <w:t>שליטה</w:t>
            </w:r>
            <w:r w:rsidRPr="000C4C0E">
              <w:rPr>
                <w:rtl/>
              </w:rPr>
              <w:t xml:space="preserve"> </w:t>
            </w:r>
            <w:r w:rsidRPr="000C4C0E">
              <w:rPr>
                <w:rFonts w:hint="eastAsia"/>
                <w:rtl/>
              </w:rPr>
              <w:t>בחברה</w:t>
            </w:r>
            <w:r w:rsidRPr="000C4C0E">
              <w:rPr>
                <w:rtl/>
              </w:rPr>
              <w:t xml:space="preserve"> </w:t>
            </w:r>
            <w:r w:rsidRPr="000C4C0E">
              <w:rPr>
                <w:rFonts w:hint="eastAsia"/>
                <w:rtl/>
              </w:rPr>
              <w:t>הנרכשת</w:t>
            </w:r>
            <w:r w:rsidRPr="000C4C0E">
              <w:rPr>
                <w:rtl/>
              </w:rPr>
              <w:t xml:space="preserve"> לפי </w:t>
            </w:r>
            <w:r w:rsidRPr="000C4C0E">
              <w:rPr>
                <w:rFonts w:hint="eastAsia"/>
                <w:rtl/>
              </w:rPr>
              <w:t>שווי</w:t>
            </w:r>
            <w:r w:rsidRPr="000C4C0E">
              <w:rPr>
                <w:rtl/>
              </w:rPr>
              <w:t xml:space="preserve"> </w:t>
            </w:r>
            <w:r w:rsidRPr="000C4C0E">
              <w:rPr>
                <w:rFonts w:hint="eastAsia"/>
                <w:rtl/>
              </w:rPr>
              <w:t>הוגן</w:t>
            </w:r>
            <w:r w:rsidRPr="000C4C0E">
              <w:rPr>
                <w:rtl/>
              </w:rPr>
              <w:t>/</w:t>
            </w:r>
            <w:r w:rsidRPr="000C4C0E">
              <w:rPr>
                <w:rFonts w:hint="eastAsia"/>
                <w:rtl/>
              </w:rPr>
              <w:t>לפי</w:t>
            </w:r>
            <w:r w:rsidRPr="007D64FF">
              <w:rPr>
                <w:rFonts w:hint="cs"/>
                <w:rtl/>
              </w:rPr>
              <w:t xml:space="preserve"> החלק היחסי של הזכויות שאינן מקנות שליטה ב</w:t>
            </w:r>
            <w:r>
              <w:rPr>
                <w:rFonts w:hint="cs"/>
                <w:rtl/>
              </w:rPr>
              <w:t xml:space="preserve">שווי ההוגן של </w:t>
            </w:r>
            <w:r w:rsidRPr="000C4C0E">
              <w:rPr>
                <w:rFonts w:hint="eastAsia"/>
                <w:rtl/>
              </w:rPr>
              <w:t>הנכסים</w:t>
            </w:r>
            <w:r w:rsidRPr="000C4C0E">
              <w:rPr>
                <w:rtl/>
              </w:rPr>
              <w:t xml:space="preserve"> </w:t>
            </w:r>
            <w:r w:rsidRPr="000C4C0E">
              <w:rPr>
                <w:rFonts w:hint="eastAsia"/>
                <w:rtl/>
              </w:rPr>
              <w:t>המזוהים</w:t>
            </w:r>
            <w:r>
              <w:rPr>
                <w:rFonts w:hint="cs"/>
                <w:rtl/>
              </w:rPr>
              <w:t xml:space="preserve"> </w:t>
            </w:r>
            <w:r w:rsidRPr="007D64FF">
              <w:rPr>
                <w:rFonts w:hint="cs"/>
                <w:rtl/>
              </w:rPr>
              <w:t xml:space="preserve">נטו של </w:t>
            </w:r>
            <w:r>
              <w:rPr>
                <w:rFonts w:hint="cs"/>
                <w:rtl/>
              </w:rPr>
              <w:t xml:space="preserve">החברה </w:t>
            </w:r>
            <w:r w:rsidRPr="007D64FF">
              <w:rPr>
                <w:rFonts w:hint="cs"/>
                <w:rtl/>
              </w:rPr>
              <w:t>הנרכש</w:t>
            </w:r>
            <w:r>
              <w:rPr>
                <w:rFonts w:hint="cs"/>
                <w:rtl/>
              </w:rPr>
              <w:t>ת</w:t>
            </w:r>
            <w:r>
              <w:rPr>
                <w:rStyle w:val="ab"/>
                <w:rtl/>
              </w:rPr>
              <w:footnoteReference w:id="94"/>
            </w:r>
            <w:r w:rsidRPr="007D64FF">
              <w:rPr>
                <w:rFonts w:hint="cs"/>
                <w:rtl/>
              </w:rPr>
              <w:t>.</w:t>
            </w:r>
          </w:p>
        </w:tc>
      </w:tr>
    </w:tbl>
    <w:p w14:paraId="620A5B00" w14:textId="77777777" w:rsidR="004C5745" w:rsidRDefault="004C5745" w:rsidP="004C5745">
      <w:pPr>
        <w:rPr>
          <w:rtl/>
        </w:rPr>
      </w:pPr>
    </w:p>
    <w:p w14:paraId="4251E71E" w14:textId="77777777" w:rsidR="005063E4" w:rsidRDefault="005063E4" w:rsidP="005063E4">
      <w:pPr>
        <w:pStyle w:val="21"/>
        <w:shd w:val="clear" w:color="auto" w:fill="D9D9D9" w:themeFill="background1" w:themeFillShade="D9"/>
        <w:ind w:left="1134" w:firstLine="0"/>
        <w:rPr>
          <w:rtl/>
        </w:rPr>
      </w:pPr>
      <w:r w:rsidRPr="00F47322">
        <w:rPr>
          <w:rFonts w:hint="eastAsia"/>
          <w:shd w:val="pct10" w:color="auto" w:fill="auto"/>
          <w:rtl/>
        </w:rPr>
        <w:t>הקטע</w:t>
      </w:r>
      <w:r w:rsidRPr="00F47322">
        <w:rPr>
          <w:shd w:val="pct10" w:color="auto" w:fill="auto"/>
          <w:rtl/>
        </w:rPr>
        <w:t xml:space="preserve"> </w:t>
      </w:r>
      <w:r w:rsidRPr="00F47322">
        <w:rPr>
          <w:rFonts w:hint="eastAsia"/>
          <w:shd w:val="pct10" w:color="auto" w:fill="auto"/>
          <w:rtl/>
        </w:rPr>
        <w:t>הבא</w:t>
      </w:r>
      <w:r w:rsidRPr="00F47322">
        <w:rPr>
          <w:shd w:val="pct10" w:color="auto" w:fill="auto"/>
          <w:rtl/>
        </w:rPr>
        <w:t xml:space="preserve"> </w:t>
      </w:r>
      <w:r w:rsidRPr="00F47322">
        <w:rPr>
          <w:rFonts w:hint="eastAsia"/>
          <w:shd w:val="pct10" w:color="auto" w:fill="auto"/>
          <w:rtl/>
        </w:rPr>
        <w:t>ייכלל</w:t>
      </w:r>
      <w:r w:rsidRPr="00F47322">
        <w:rPr>
          <w:shd w:val="pct10" w:color="auto" w:fill="auto"/>
          <w:rtl/>
        </w:rPr>
        <w:t xml:space="preserve"> </w:t>
      </w:r>
      <w:r w:rsidRPr="00F47322">
        <w:rPr>
          <w:rFonts w:hint="eastAsia"/>
          <w:shd w:val="pct10" w:color="auto" w:fill="auto"/>
          <w:rtl/>
        </w:rPr>
        <w:t>אם</w:t>
      </w:r>
      <w:r w:rsidRPr="00F47322">
        <w:rPr>
          <w:shd w:val="pct10" w:color="auto" w:fill="auto"/>
          <w:rtl/>
        </w:rPr>
        <w:t xml:space="preserve"> </w:t>
      </w:r>
      <w:r w:rsidRPr="00F47322">
        <w:rPr>
          <w:rFonts w:hint="eastAsia"/>
          <w:shd w:val="pct10" w:color="auto" w:fill="auto"/>
          <w:rtl/>
        </w:rPr>
        <w:t>ה</w:t>
      </w:r>
      <w:r w:rsidRPr="00F47322">
        <w:rPr>
          <w:rFonts w:hint="cs"/>
          <w:shd w:val="pct10" w:color="auto" w:fill="auto"/>
          <w:rtl/>
        </w:rPr>
        <w:t>קבוצ</w:t>
      </w:r>
      <w:r w:rsidRPr="00F47322">
        <w:rPr>
          <w:rFonts w:hint="eastAsia"/>
          <w:shd w:val="pct10" w:color="auto" w:fill="auto"/>
          <w:rtl/>
        </w:rPr>
        <w:t>ה</w:t>
      </w:r>
      <w:r w:rsidRPr="00F47322">
        <w:rPr>
          <w:shd w:val="pct10" w:color="auto" w:fill="auto"/>
          <w:rtl/>
        </w:rPr>
        <w:t xml:space="preserve"> </w:t>
      </w:r>
      <w:r w:rsidRPr="00F47322">
        <w:rPr>
          <w:rFonts w:hint="eastAsia"/>
          <w:shd w:val="pct10" w:color="auto" w:fill="auto"/>
          <w:rtl/>
        </w:rPr>
        <w:t>בחרה</w:t>
      </w:r>
      <w:r w:rsidRPr="00F47322">
        <w:rPr>
          <w:shd w:val="pct10" w:color="auto" w:fill="auto"/>
          <w:rtl/>
        </w:rPr>
        <w:t xml:space="preserve"> </w:t>
      </w:r>
      <w:r w:rsidRPr="00F47322">
        <w:rPr>
          <w:rFonts w:hint="eastAsia"/>
          <w:shd w:val="pct10" w:color="auto" w:fill="auto"/>
          <w:rtl/>
        </w:rPr>
        <w:t>למדוד</w:t>
      </w:r>
      <w:r w:rsidRPr="00F47322">
        <w:rPr>
          <w:shd w:val="pct10" w:color="auto" w:fill="auto"/>
          <w:rtl/>
        </w:rPr>
        <w:t xml:space="preserve"> </w:t>
      </w:r>
      <w:r w:rsidRPr="00F47322">
        <w:rPr>
          <w:rFonts w:hint="eastAsia"/>
          <w:shd w:val="pct10" w:color="auto" w:fill="auto"/>
          <w:rtl/>
        </w:rPr>
        <w:t>את</w:t>
      </w:r>
      <w:r w:rsidRPr="00F47322">
        <w:rPr>
          <w:shd w:val="pct10" w:color="auto" w:fill="auto"/>
          <w:rtl/>
        </w:rPr>
        <w:t xml:space="preserve"> </w:t>
      </w:r>
      <w:r w:rsidRPr="00F47322">
        <w:rPr>
          <w:rFonts w:hint="eastAsia"/>
          <w:shd w:val="pct10" w:color="auto" w:fill="auto"/>
          <w:rtl/>
        </w:rPr>
        <w:t>הזכויות</w:t>
      </w:r>
      <w:r w:rsidRPr="00F47322">
        <w:rPr>
          <w:shd w:val="pct10" w:color="auto" w:fill="auto"/>
          <w:rtl/>
        </w:rPr>
        <w:t xml:space="preserve"> </w:t>
      </w:r>
      <w:r w:rsidRPr="00F47322">
        <w:rPr>
          <w:rFonts w:hint="eastAsia"/>
          <w:shd w:val="pct10" w:color="auto" w:fill="auto"/>
          <w:rtl/>
        </w:rPr>
        <w:t>שאינן</w:t>
      </w:r>
      <w:r w:rsidRPr="00F47322">
        <w:rPr>
          <w:shd w:val="pct10" w:color="auto" w:fill="auto"/>
          <w:rtl/>
        </w:rPr>
        <w:t xml:space="preserve"> </w:t>
      </w:r>
      <w:r w:rsidRPr="00F47322">
        <w:rPr>
          <w:rFonts w:hint="eastAsia"/>
          <w:shd w:val="pct10" w:color="auto" w:fill="auto"/>
          <w:rtl/>
        </w:rPr>
        <w:t>מקנות</w:t>
      </w:r>
      <w:r w:rsidRPr="00F47322">
        <w:rPr>
          <w:shd w:val="pct10" w:color="auto" w:fill="auto"/>
          <w:rtl/>
        </w:rPr>
        <w:t xml:space="preserve"> </w:t>
      </w:r>
      <w:r w:rsidRPr="00F47322">
        <w:rPr>
          <w:rFonts w:hint="eastAsia"/>
          <w:shd w:val="pct10" w:color="auto" w:fill="auto"/>
          <w:rtl/>
        </w:rPr>
        <w:t>שליטה</w:t>
      </w:r>
      <w:r w:rsidRPr="00F47322">
        <w:rPr>
          <w:shd w:val="pct10" w:color="auto" w:fill="auto"/>
          <w:rtl/>
        </w:rPr>
        <w:t xml:space="preserve"> </w:t>
      </w:r>
      <w:r w:rsidRPr="00F47322">
        <w:rPr>
          <w:rFonts w:hint="eastAsia"/>
          <w:shd w:val="pct10" w:color="auto" w:fill="auto"/>
          <w:rtl/>
        </w:rPr>
        <w:t>לפי</w:t>
      </w:r>
      <w:r w:rsidRPr="00F47322">
        <w:rPr>
          <w:shd w:val="pct10" w:color="auto" w:fill="auto"/>
          <w:rtl/>
        </w:rPr>
        <w:t xml:space="preserve"> </w:t>
      </w:r>
      <w:r w:rsidRPr="00F47322">
        <w:rPr>
          <w:rFonts w:hint="eastAsia"/>
          <w:shd w:val="pct10" w:color="auto" w:fill="auto"/>
          <w:rtl/>
        </w:rPr>
        <w:t>שוויין</w:t>
      </w:r>
      <w:r w:rsidRPr="00F47322">
        <w:rPr>
          <w:shd w:val="pct10" w:color="auto" w:fill="auto"/>
          <w:rtl/>
        </w:rPr>
        <w:t xml:space="preserve"> </w:t>
      </w:r>
      <w:r w:rsidRPr="00F47322">
        <w:rPr>
          <w:rFonts w:hint="eastAsia"/>
          <w:shd w:val="pct10" w:color="auto" w:fill="auto"/>
          <w:rtl/>
        </w:rPr>
        <w:t>ההוגן</w:t>
      </w:r>
      <w:r w:rsidRPr="00F47322">
        <w:rPr>
          <w:shd w:val="pct10" w:color="auto" w:fill="auto"/>
          <w:rtl/>
        </w:rPr>
        <w:t xml:space="preserve"> </w:t>
      </w:r>
      <w:r w:rsidRPr="00F47322">
        <w:rPr>
          <w:rFonts w:hint="eastAsia"/>
          <w:shd w:val="pct10" w:color="auto" w:fill="auto"/>
          <w:rtl/>
        </w:rPr>
        <w:t>בצירוף</w:t>
      </w:r>
      <w:r w:rsidRPr="00F47322">
        <w:rPr>
          <w:shd w:val="pct10" w:color="auto" w:fill="auto"/>
          <w:rtl/>
        </w:rPr>
        <w:t xml:space="preserve"> </w:t>
      </w:r>
      <w:r w:rsidRPr="00F47322">
        <w:rPr>
          <w:rFonts w:hint="eastAsia"/>
          <w:shd w:val="pct10" w:color="auto" w:fill="auto"/>
          <w:rtl/>
        </w:rPr>
        <w:t>העסקים</w:t>
      </w:r>
      <w:r w:rsidRPr="00F47322">
        <w:rPr>
          <w:shd w:val="pct10" w:color="auto" w:fill="auto"/>
          <w:rtl/>
        </w:rPr>
        <w:t xml:space="preserve"> </w:t>
      </w:r>
      <w:r w:rsidRPr="00F47322">
        <w:rPr>
          <w:rFonts w:hint="eastAsia"/>
          <w:shd w:val="pct10" w:color="auto" w:fill="auto"/>
          <w:rtl/>
        </w:rPr>
        <w:t>הרלוונטי</w:t>
      </w:r>
      <w:r w:rsidRPr="00F47322">
        <w:rPr>
          <w:shd w:val="pct10" w:color="auto" w:fill="auto"/>
          <w:rtl/>
        </w:rPr>
        <w:t>.</w:t>
      </w:r>
    </w:p>
    <w:p w14:paraId="5B1C34C0" w14:textId="77777777" w:rsidR="00264F64" w:rsidRDefault="00264F64" w:rsidP="005063E4">
      <w:pPr>
        <w:shd w:val="clear" w:color="auto" w:fill="D9D9D9" w:themeFill="background1" w:themeFillShade="D9"/>
        <w:ind w:left="1134"/>
        <w:rPr>
          <w:rtl/>
        </w:rPr>
      </w:pPr>
    </w:p>
    <w:tbl>
      <w:tblPr>
        <w:tblStyle w:val="af6"/>
        <w:bidiVisual/>
        <w:tblW w:w="9732" w:type="dxa"/>
        <w:tblInd w:w="-85" w:type="dxa"/>
        <w:tblLayout w:type="fixed"/>
        <w:tblCellMar>
          <w:left w:w="0" w:type="dxa"/>
          <w:right w:w="0" w:type="dxa"/>
        </w:tblCellMar>
        <w:tblLook w:val="04A0" w:firstRow="1" w:lastRow="0" w:firstColumn="1" w:lastColumn="0" w:noHBand="0" w:noVBand="1"/>
      </w:tblPr>
      <w:tblGrid>
        <w:gridCol w:w="1209"/>
        <w:gridCol w:w="8523"/>
      </w:tblGrid>
      <w:tr w:rsidR="00272F95" w14:paraId="45EE4168" w14:textId="77777777" w:rsidTr="0002270D">
        <w:tc>
          <w:tcPr>
            <w:tcW w:w="1209" w:type="dxa"/>
            <w:tcBorders>
              <w:top w:val="nil"/>
              <w:left w:val="nil"/>
              <w:bottom w:val="single" w:sz="4" w:space="0" w:color="auto"/>
              <w:right w:val="single" w:sz="4" w:space="0" w:color="auto"/>
            </w:tcBorders>
            <w:vAlign w:val="center"/>
          </w:tcPr>
          <w:p w14:paraId="64209532" w14:textId="77777777" w:rsidR="00272F95" w:rsidRPr="00F71E33" w:rsidRDefault="00272F95" w:rsidP="00CD7B48">
            <w:pPr>
              <w:bidi w:val="0"/>
              <w:jc w:val="right"/>
              <w:rPr>
                <w:i/>
                <w:iCs/>
                <w:sz w:val="13"/>
                <w:szCs w:val="13"/>
              </w:rPr>
            </w:pPr>
            <w:r>
              <w:rPr>
                <w:i/>
                <w:iCs/>
                <w:sz w:val="13"/>
                <w:szCs w:val="13"/>
              </w:rPr>
              <w:t>IFRS 3.B64(</w:t>
            </w:r>
            <w:r w:rsidR="00CD7B48">
              <w:rPr>
                <w:i/>
                <w:iCs/>
                <w:sz w:val="13"/>
                <w:szCs w:val="13"/>
              </w:rPr>
              <w:t>o</w:t>
            </w:r>
            <w:r>
              <w:rPr>
                <w:i/>
                <w:iCs/>
                <w:sz w:val="13"/>
                <w:szCs w:val="13"/>
              </w:rPr>
              <w:t>)(ii)</w:t>
            </w:r>
          </w:p>
        </w:tc>
        <w:tc>
          <w:tcPr>
            <w:tcW w:w="8523" w:type="dxa"/>
            <w:tcBorders>
              <w:top w:val="nil"/>
              <w:left w:val="single" w:sz="4" w:space="0" w:color="auto"/>
              <w:bottom w:val="nil"/>
              <w:right w:val="nil"/>
            </w:tcBorders>
            <w:shd w:val="clear" w:color="auto" w:fill="D9D9D9" w:themeFill="background1" w:themeFillShade="D9"/>
          </w:tcPr>
          <w:p w14:paraId="51088B23" w14:textId="77777777" w:rsidR="00225232" w:rsidRDefault="00272F95" w:rsidP="00F47322">
            <w:pPr>
              <w:rPr>
                <w:rtl/>
              </w:rPr>
            </w:pPr>
            <w:r w:rsidRPr="000C4C0E">
              <w:rPr>
                <w:rFonts w:hint="eastAsia"/>
                <w:rtl/>
              </w:rPr>
              <w:t>השווי</w:t>
            </w:r>
            <w:r w:rsidRPr="000C4C0E">
              <w:rPr>
                <w:rtl/>
              </w:rPr>
              <w:t xml:space="preserve"> ההוגן של הזכויות שאינן מקנות שליטה בחברת ______ נאמד באמצעות היוון תזרימי המזומנים. חברת </w:t>
            </w:r>
            <w:r w:rsidRPr="000C4C0E">
              <w:t>_____</w:t>
            </w:r>
            <w:r w:rsidRPr="000C4C0E">
              <w:rPr>
                <w:rtl/>
              </w:rPr>
              <w:t xml:space="preserve"> הינה חברה פרטית, ולכן מחירי שוק מצוטטים של מניותיה לא היו זמינים. </w:t>
            </w:r>
          </w:p>
          <w:p w14:paraId="4FCE8DBD" w14:textId="77777777" w:rsidR="00225232" w:rsidRDefault="00225232" w:rsidP="00F47322">
            <w:pPr>
              <w:rPr>
                <w:rtl/>
              </w:rPr>
            </w:pPr>
          </w:p>
          <w:p w14:paraId="42206533" w14:textId="77777777" w:rsidR="00225232" w:rsidRDefault="00272F95" w:rsidP="00F47322">
            <w:pPr>
              <w:rPr>
                <w:rtl/>
              </w:rPr>
            </w:pPr>
            <w:r w:rsidRPr="000C4C0E">
              <w:rPr>
                <w:rFonts w:hint="eastAsia"/>
                <w:rtl/>
              </w:rPr>
              <w:t>אומדן</w:t>
            </w:r>
            <w:r w:rsidRPr="000C4C0E">
              <w:rPr>
                <w:rtl/>
              </w:rPr>
              <w:t xml:space="preserve"> </w:t>
            </w:r>
            <w:r w:rsidRPr="000C4C0E">
              <w:rPr>
                <w:rFonts w:hint="eastAsia"/>
                <w:rtl/>
              </w:rPr>
              <w:t>השווי</w:t>
            </w:r>
            <w:r w:rsidRPr="000C4C0E">
              <w:rPr>
                <w:rtl/>
              </w:rPr>
              <w:t xml:space="preserve"> </w:t>
            </w:r>
            <w:r w:rsidRPr="000C4C0E">
              <w:rPr>
                <w:rFonts w:hint="eastAsia"/>
                <w:rtl/>
              </w:rPr>
              <w:t>ההוגן</w:t>
            </w:r>
            <w:r w:rsidRPr="000C4C0E">
              <w:rPr>
                <w:rtl/>
              </w:rPr>
              <w:t xml:space="preserve"> </w:t>
            </w:r>
            <w:r w:rsidRPr="000C4C0E">
              <w:rPr>
                <w:rFonts w:hint="eastAsia"/>
                <w:rtl/>
              </w:rPr>
              <w:t>מבוסס</w:t>
            </w:r>
            <w:r w:rsidRPr="000C4C0E">
              <w:rPr>
                <w:rtl/>
              </w:rPr>
              <w:t xml:space="preserve"> </w:t>
            </w:r>
            <w:r w:rsidRPr="000C4C0E">
              <w:rPr>
                <w:rFonts w:hint="eastAsia"/>
                <w:rtl/>
              </w:rPr>
              <w:t>על</w:t>
            </w:r>
            <w:r w:rsidRPr="000C4C0E">
              <w:rPr>
                <w:rtl/>
              </w:rPr>
              <w:t>:</w:t>
            </w:r>
          </w:p>
          <w:p w14:paraId="6FD731B0" w14:textId="77777777" w:rsidR="00225232" w:rsidRDefault="00225232" w:rsidP="00F47322">
            <w:pPr>
              <w:rPr>
                <w:rtl/>
              </w:rPr>
            </w:pPr>
          </w:p>
          <w:p w14:paraId="2D9A16D0" w14:textId="77777777" w:rsidR="00225232" w:rsidRDefault="00272F95" w:rsidP="00F47322">
            <w:r w:rsidRPr="000C4C0E">
              <w:rPr>
                <w:rtl/>
              </w:rPr>
              <w:t>-</w:t>
            </w:r>
            <w:r w:rsidRPr="000C4C0E">
              <w:rPr>
                <w:rtl/>
              </w:rPr>
              <w:tab/>
            </w:r>
            <w:r w:rsidRPr="000C4C0E">
              <w:rPr>
                <w:rFonts w:hint="eastAsia"/>
                <w:rtl/>
              </w:rPr>
              <w:t>שיעור</w:t>
            </w:r>
            <w:r w:rsidRPr="000C4C0E">
              <w:rPr>
                <w:rtl/>
              </w:rPr>
              <w:t xml:space="preserve"> </w:t>
            </w:r>
            <w:r w:rsidRPr="000C4C0E">
              <w:rPr>
                <w:rFonts w:hint="eastAsia"/>
                <w:rtl/>
              </w:rPr>
              <w:t>היוון</w:t>
            </w:r>
            <w:r w:rsidRPr="000C4C0E">
              <w:rPr>
                <w:rtl/>
              </w:rPr>
              <w:t xml:space="preserve"> </w:t>
            </w:r>
            <w:r w:rsidRPr="000C4C0E">
              <w:rPr>
                <w:rFonts w:hint="eastAsia"/>
                <w:rtl/>
              </w:rPr>
              <w:t>צפוי</w:t>
            </w:r>
            <w:r w:rsidRPr="000C4C0E">
              <w:rPr>
                <w:rtl/>
              </w:rPr>
              <w:t xml:space="preserve"> </w:t>
            </w:r>
            <w:r w:rsidRPr="000C4C0E">
              <w:rPr>
                <w:rFonts w:hint="eastAsia"/>
                <w:rtl/>
              </w:rPr>
              <w:t>של</w:t>
            </w:r>
            <w:r w:rsidRPr="000C4C0E">
              <w:rPr>
                <w:rtl/>
              </w:rPr>
              <w:t xml:space="preserve"> %__.</w:t>
            </w:r>
          </w:p>
          <w:p w14:paraId="0B69F65E" w14:textId="77777777" w:rsidR="00225232" w:rsidRDefault="00225232" w:rsidP="00F47322">
            <w:pPr>
              <w:rPr>
                <w:rtl/>
              </w:rPr>
            </w:pPr>
          </w:p>
          <w:p w14:paraId="7B1D2E97" w14:textId="77777777" w:rsidR="00225232" w:rsidRDefault="00272F95" w:rsidP="003F6B85">
            <w:pPr>
              <w:ind w:left="567" w:hanging="567"/>
            </w:pPr>
            <w:r w:rsidRPr="000C4C0E">
              <w:rPr>
                <w:rtl/>
              </w:rPr>
              <w:t>-</w:t>
            </w:r>
            <w:r w:rsidRPr="000C4C0E">
              <w:rPr>
                <w:rtl/>
              </w:rPr>
              <w:tab/>
            </w:r>
            <w:r w:rsidRPr="000C4C0E">
              <w:rPr>
                <w:rFonts w:hint="eastAsia"/>
                <w:rtl/>
              </w:rPr>
              <w:t>ערך</w:t>
            </w:r>
            <w:r w:rsidRPr="000C4C0E">
              <w:rPr>
                <w:rtl/>
              </w:rPr>
              <w:t xml:space="preserve"> </w:t>
            </w:r>
            <w:r w:rsidRPr="000C4C0E">
              <w:rPr>
                <w:rFonts w:hint="eastAsia"/>
                <w:rtl/>
              </w:rPr>
              <w:t>שאריתי</w:t>
            </w:r>
            <w:r w:rsidRPr="000C4C0E">
              <w:rPr>
                <w:rtl/>
              </w:rPr>
              <w:t xml:space="preserve">, </w:t>
            </w:r>
            <w:r w:rsidRPr="000C4C0E">
              <w:rPr>
                <w:rFonts w:hint="eastAsia"/>
                <w:rtl/>
              </w:rPr>
              <w:t>שחושב</w:t>
            </w:r>
            <w:r w:rsidRPr="000C4C0E">
              <w:rPr>
                <w:rtl/>
              </w:rPr>
              <w:t xml:space="preserve"> </w:t>
            </w:r>
            <w:r w:rsidRPr="000C4C0E">
              <w:rPr>
                <w:rFonts w:hint="eastAsia"/>
                <w:rtl/>
              </w:rPr>
              <w:t>בהתבסס</w:t>
            </w:r>
            <w:r w:rsidRPr="000C4C0E">
              <w:rPr>
                <w:rtl/>
              </w:rPr>
              <w:t xml:space="preserve"> </w:t>
            </w:r>
            <w:r w:rsidRPr="000C4C0E">
              <w:rPr>
                <w:rFonts w:hint="eastAsia"/>
                <w:rtl/>
              </w:rPr>
              <w:t>על</w:t>
            </w:r>
            <w:r w:rsidRPr="000C4C0E">
              <w:rPr>
                <w:rtl/>
              </w:rPr>
              <w:t xml:space="preserve"> </w:t>
            </w:r>
            <w:r w:rsidRPr="000C4C0E">
              <w:rPr>
                <w:rFonts w:hint="eastAsia"/>
                <w:rtl/>
              </w:rPr>
              <w:t>שיעור</w:t>
            </w:r>
            <w:r w:rsidRPr="000C4C0E">
              <w:rPr>
                <w:rtl/>
              </w:rPr>
              <w:t xml:space="preserve"> </w:t>
            </w:r>
            <w:r w:rsidRPr="000C4C0E">
              <w:rPr>
                <w:rFonts w:hint="eastAsia"/>
                <w:rtl/>
              </w:rPr>
              <w:t>צמיחה</w:t>
            </w:r>
            <w:r w:rsidRPr="000C4C0E">
              <w:rPr>
                <w:rtl/>
              </w:rPr>
              <w:t xml:space="preserve"> </w:t>
            </w:r>
            <w:r w:rsidRPr="000C4C0E">
              <w:rPr>
                <w:rFonts w:hint="eastAsia"/>
                <w:rtl/>
              </w:rPr>
              <w:t>של</w:t>
            </w:r>
            <w:r w:rsidRPr="000C4C0E">
              <w:rPr>
                <w:rtl/>
              </w:rPr>
              <w:t xml:space="preserve"> </w:t>
            </w:r>
            <w:r w:rsidRPr="000C4C0E">
              <w:rPr>
                <w:rFonts w:hint="eastAsia"/>
                <w:rtl/>
              </w:rPr>
              <w:t>הענף</w:t>
            </w:r>
            <w:r w:rsidRPr="000C4C0E">
              <w:rPr>
                <w:rtl/>
              </w:rPr>
              <w:t xml:space="preserve"> </w:t>
            </w:r>
            <w:r w:rsidRPr="000C4C0E">
              <w:rPr>
                <w:rFonts w:hint="eastAsia"/>
                <w:rtl/>
              </w:rPr>
              <w:t>בטווח</w:t>
            </w:r>
            <w:r w:rsidRPr="000C4C0E">
              <w:rPr>
                <w:rtl/>
              </w:rPr>
              <w:t xml:space="preserve"> </w:t>
            </w:r>
            <w:r w:rsidRPr="000C4C0E">
              <w:rPr>
                <w:rFonts w:hint="eastAsia"/>
                <w:rtl/>
              </w:rPr>
              <w:t>הארוך</w:t>
            </w:r>
            <w:r w:rsidRPr="000C4C0E">
              <w:rPr>
                <w:rtl/>
              </w:rPr>
              <w:t xml:space="preserve"> </w:t>
            </w:r>
            <w:r w:rsidRPr="000C4C0E">
              <w:rPr>
                <w:rFonts w:hint="eastAsia"/>
                <w:rtl/>
              </w:rPr>
              <w:t>שנע</w:t>
            </w:r>
            <w:r w:rsidRPr="000C4C0E">
              <w:rPr>
                <w:rtl/>
              </w:rPr>
              <w:t xml:space="preserve"> </w:t>
            </w:r>
            <w:r w:rsidRPr="000C4C0E">
              <w:rPr>
                <w:rFonts w:hint="eastAsia"/>
                <w:rtl/>
              </w:rPr>
              <w:t>בין</w:t>
            </w:r>
            <w:r w:rsidRPr="000C4C0E">
              <w:rPr>
                <w:rtl/>
              </w:rPr>
              <w:t xml:space="preserve"> %__ </w:t>
            </w:r>
            <w:r w:rsidRPr="000C4C0E">
              <w:rPr>
                <w:rFonts w:hint="eastAsia"/>
                <w:rtl/>
              </w:rPr>
              <w:t>לבין</w:t>
            </w:r>
            <w:r w:rsidRPr="000C4C0E">
              <w:rPr>
                <w:rtl/>
              </w:rPr>
              <w:t xml:space="preserve"> %__. </w:t>
            </w:r>
            <w:r w:rsidRPr="000C4C0E">
              <w:rPr>
                <w:rFonts w:hint="eastAsia"/>
                <w:rtl/>
              </w:rPr>
              <w:t>שיעור</w:t>
            </w:r>
            <w:r w:rsidRPr="000C4C0E">
              <w:rPr>
                <w:rtl/>
              </w:rPr>
              <w:t xml:space="preserve"> </w:t>
            </w:r>
            <w:r w:rsidRPr="000C4C0E">
              <w:rPr>
                <w:rFonts w:hint="eastAsia"/>
                <w:rtl/>
              </w:rPr>
              <w:t>צמיחה</w:t>
            </w:r>
            <w:r w:rsidRPr="000C4C0E">
              <w:rPr>
                <w:rtl/>
              </w:rPr>
              <w:t xml:space="preserve"> </w:t>
            </w:r>
            <w:r w:rsidRPr="000C4C0E">
              <w:rPr>
                <w:rFonts w:hint="eastAsia"/>
                <w:rtl/>
              </w:rPr>
              <w:t>זה</w:t>
            </w:r>
            <w:r w:rsidRPr="000C4C0E">
              <w:rPr>
                <w:rtl/>
              </w:rPr>
              <w:t xml:space="preserve"> </w:t>
            </w:r>
            <w:r w:rsidRPr="000C4C0E">
              <w:rPr>
                <w:rFonts w:hint="eastAsia"/>
                <w:rtl/>
              </w:rPr>
              <w:t>שימש</w:t>
            </w:r>
            <w:r w:rsidRPr="000C4C0E">
              <w:rPr>
                <w:rtl/>
              </w:rPr>
              <w:t xml:space="preserve"> </w:t>
            </w:r>
            <w:r w:rsidRPr="000C4C0E">
              <w:rPr>
                <w:rFonts w:hint="eastAsia"/>
                <w:rtl/>
              </w:rPr>
              <w:t>כדי</w:t>
            </w:r>
            <w:r w:rsidRPr="000C4C0E">
              <w:rPr>
                <w:rtl/>
              </w:rPr>
              <w:t xml:space="preserve"> </w:t>
            </w:r>
            <w:r w:rsidRPr="000C4C0E">
              <w:rPr>
                <w:rFonts w:hint="eastAsia"/>
                <w:rtl/>
              </w:rPr>
              <w:t>לקבוע</w:t>
            </w:r>
            <w:r w:rsidRPr="000C4C0E">
              <w:rPr>
                <w:rtl/>
              </w:rPr>
              <w:t xml:space="preserve"> </w:t>
            </w:r>
            <w:r w:rsidRPr="000C4C0E">
              <w:rPr>
                <w:rFonts w:hint="eastAsia"/>
                <w:rtl/>
              </w:rPr>
              <w:t>את</w:t>
            </w:r>
            <w:r w:rsidRPr="000C4C0E">
              <w:rPr>
                <w:rtl/>
              </w:rPr>
              <w:t xml:space="preserve"> </w:t>
            </w:r>
            <w:r w:rsidRPr="000C4C0E">
              <w:rPr>
                <w:rFonts w:hint="eastAsia"/>
                <w:rtl/>
              </w:rPr>
              <w:t>תחזית</w:t>
            </w:r>
            <w:r w:rsidRPr="000C4C0E">
              <w:rPr>
                <w:rtl/>
              </w:rPr>
              <w:t xml:space="preserve"> </w:t>
            </w:r>
            <w:r w:rsidRPr="000C4C0E">
              <w:rPr>
                <w:rFonts w:hint="eastAsia"/>
                <w:rtl/>
              </w:rPr>
              <w:t>ההכנסה</w:t>
            </w:r>
            <w:r w:rsidRPr="000C4C0E">
              <w:rPr>
                <w:rtl/>
              </w:rPr>
              <w:t xml:space="preserve"> </w:t>
            </w:r>
            <w:r w:rsidRPr="000C4C0E">
              <w:rPr>
                <w:rFonts w:hint="eastAsia"/>
                <w:rtl/>
              </w:rPr>
              <w:t>לשנים</w:t>
            </w:r>
            <w:r w:rsidRPr="000C4C0E">
              <w:rPr>
                <w:rtl/>
              </w:rPr>
              <w:t xml:space="preserve"> </w:t>
            </w:r>
            <w:r w:rsidRPr="000C4C0E">
              <w:rPr>
                <w:rFonts w:hint="eastAsia"/>
                <w:rtl/>
              </w:rPr>
              <w:t>העתידיות</w:t>
            </w:r>
            <w:r w:rsidRPr="000C4C0E">
              <w:rPr>
                <w:rtl/>
              </w:rPr>
              <w:t>.</w:t>
            </w:r>
          </w:p>
          <w:p w14:paraId="29914AC5" w14:textId="77777777" w:rsidR="00225232" w:rsidRDefault="00272F95" w:rsidP="00F47322">
            <w:pPr>
              <w:rPr>
                <w:rtl/>
              </w:rPr>
            </w:pPr>
            <w:r w:rsidRPr="000C4C0E">
              <w:rPr>
                <w:rtl/>
              </w:rPr>
              <w:t>-</w:t>
            </w:r>
            <w:r w:rsidRPr="000C4C0E">
              <w:rPr>
                <w:rtl/>
              </w:rPr>
              <w:tab/>
            </w:r>
            <w:r w:rsidRPr="000C4C0E">
              <w:rPr>
                <w:rFonts w:hint="eastAsia"/>
                <w:rtl/>
              </w:rPr>
              <w:t>יחס</w:t>
            </w:r>
            <w:r w:rsidRPr="000C4C0E">
              <w:rPr>
                <w:rtl/>
              </w:rPr>
              <w:t xml:space="preserve"> השקעה חוזרת של %___ מהרווחים.</w:t>
            </w:r>
          </w:p>
        </w:tc>
      </w:tr>
    </w:tbl>
    <w:p w14:paraId="60500474" w14:textId="77777777" w:rsidR="00B83964" w:rsidRDefault="00B83964">
      <w:pPr>
        <w:pStyle w:val="21"/>
        <w:ind w:left="1134" w:firstLine="0"/>
        <w:rPr>
          <w:rtl/>
        </w:rPr>
      </w:pPr>
    </w:p>
    <w:tbl>
      <w:tblPr>
        <w:tblStyle w:val="af6"/>
        <w:bidiVisual/>
        <w:tblW w:w="9713" w:type="dxa"/>
        <w:tblInd w:w="-66" w:type="dxa"/>
        <w:tblLayout w:type="fixed"/>
        <w:tblCellMar>
          <w:left w:w="0" w:type="dxa"/>
          <w:right w:w="0" w:type="dxa"/>
        </w:tblCellMar>
        <w:tblLook w:val="04A0" w:firstRow="1" w:lastRow="0" w:firstColumn="1" w:lastColumn="0" w:noHBand="0" w:noVBand="1"/>
      </w:tblPr>
      <w:tblGrid>
        <w:gridCol w:w="1190"/>
        <w:gridCol w:w="8523"/>
      </w:tblGrid>
      <w:tr w:rsidR="00272F95" w14:paraId="35288C9B" w14:textId="77777777" w:rsidTr="000847CE">
        <w:tc>
          <w:tcPr>
            <w:tcW w:w="1190" w:type="dxa"/>
            <w:tcBorders>
              <w:top w:val="nil"/>
              <w:left w:val="nil"/>
              <w:bottom w:val="single" w:sz="4" w:space="0" w:color="auto"/>
              <w:right w:val="single" w:sz="4" w:space="0" w:color="auto"/>
            </w:tcBorders>
            <w:vAlign w:val="center"/>
          </w:tcPr>
          <w:p w14:paraId="78C7AF87" w14:textId="77777777" w:rsidR="00272F95" w:rsidRPr="00F71E33" w:rsidRDefault="00272F95" w:rsidP="00CD7B48">
            <w:pPr>
              <w:bidi w:val="0"/>
              <w:jc w:val="right"/>
              <w:rPr>
                <w:i/>
                <w:iCs/>
                <w:sz w:val="13"/>
                <w:szCs w:val="13"/>
              </w:rPr>
            </w:pPr>
            <w:r>
              <w:rPr>
                <w:rFonts w:hint="cs"/>
                <w:i/>
                <w:iCs/>
                <w:sz w:val="13"/>
                <w:szCs w:val="13"/>
              </w:rPr>
              <w:t>IFRS </w:t>
            </w:r>
            <w:r>
              <w:rPr>
                <w:i/>
                <w:iCs/>
                <w:sz w:val="13"/>
                <w:szCs w:val="13"/>
              </w:rPr>
              <w:t>3.45</w:t>
            </w:r>
          </w:p>
        </w:tc>
        <w:tc>
          <w:tcPr>
            <w:tcW w:w="8523" w:type="dxa"/>
            <w:tcBorders>
              <w:top w:val="nil"/>
              <w:left w:val="single" w:sz="4" w:space="0" w:color="auto"/>
              <w:bottom w:val="nil"/>
              <w:right w:val="nil"/>
            </w:tcBorders>
          </w:tcPr>
          <w:p w14:paraId="1FA5C2A2" w14:textId="77777777" w:rsidR="00225232" w:rsidRDefault="00272F95">
            <w:pPr>
              <w:ind w:left="57"/>
              <w:rPr>
                <w:rtl/>
              </w:rPr>
            </w:pPr>
            <w:r w:rsidRPr="00725E31">
              <w:rPr>
                <w:rFonts w:hint="cs"/>
                <w:rtl/>
              </w:rPr>
              <w:t xml:space="preserve">החברה </w:t>
            </w:r>
            <w:r>
              <w:rPr>
                <w:rFonts w:hint="cs"/>
                <w:rtl/>
              </w:rPr>
              <w:t>הכירה בשווי ההוגן של הנכסים שנרכשו וההתחייבויות שניטלו במסגרת צירוף העסקים על פי מדידה ארעית.</w:t>
            </w:r>
            <w:r w:rsidRPr="00725E31">
              <w:rPr>
                <w:rFonts w:hint="cs"/>
                <w:rtl/>
              </w:rPr>
              <w:t xml:space="preserve"> נכון למועד אישור הדוחות הכספיים טרם התקבלה הערכת שווי סופית על ידי מעריך </w:t>
            </w:r>
            <w:r>
              <w:rPr>
                <w:rFonts w:hint="cs"/>
                <w:rtl/>
              </w:rPr>
              <w:t xml:space="preserve">שווי </w:t>
            </w:r>
            <w:r w:rsidRPr="00725E31">
              <w:rPr>
                <w:rFonts w:hint="cs"/>
                <w:rtl/>
              </w:rPr>
              <w:t xml:space="preserve">חיצוני </w:t>
            </w:r>
            <w:r>
              <w:rPr>
                <w:rFonts w:hint="cs"/>
                <w:rtl/>
              </w:rPr>
              <w:t>ביחס לשווי ההוגן של הנכסים המזוהים שנרכשו וההתחייבויות שניטלו.</w:t>
            </w:r>
            <w:r w:rsidRPr="00725E31">
              <w:rPr>
                <w:rFonts w:hint="cs"/>
                <w:rtl/>
              </w:rPr>
              <w:t xml:space="preserve"> תמורת הרכישה וכן השווי ההוגן של הנכסים וההתחייבויות שנרכשו ניתנים להתאמה סופית עד </w:t>
            </w:r>
            <w:r>
              <w:rPr>
                <w:rFonts w:hint="cs"/>
                <w:rtl/>
              </w:rPr>
              <w:t>12</w:t>
            </w:r>
            <w:r w:rsidRPr="00725E31">
              <w:rPr>
                <w:rFonts w:hint="cs"/>
                <w:rtl/>
              </w:rPr>
              <w:t xml:space="preserve"> חודשים ממועד הרכישה. במועד ה</w:t>
            </w:r>
            <w:r>
              <w:rPr>
                <w:rFonts w:hint="cs"/>
                <w:rtl/>
              </w:rPr>
              <w:t xml:space="preserve">מדידה </w:t>
            </w:r>
            <w:r w:rsidRPr="00725E31">
              <w:rPr>
                <w:rFonts w:hint="cs"/>
                <w:rtl/>
              </w:rPr>
              <w:t>הסופי</w:t>
            </w:r>
            <w:r>
              <w:rPr>
                <w:rFonts w:hint="cs"/>
                <w:rtl/>
              </w:rPr>
              <w:t>ת,</w:t>
            </w:r>
            <w:r w:rsidRPr="00725E31">
              <w:rPr>
                <w:rFonts w:hint="cs"/>
                <w:rtl/>
              </w:rPr>
              <w:t xml:space="preserve"> ההתאמות מבוצעות בדרך של הצגה מחדש של מספרי ההשוואה שדווחו בעבר לפי ה</w:t>
            </w:r>
            <w:r>
              <w:rPr>
                <w:rFonts w:hint="cs"/>
                <w:rtl/>
              </w:rPr>
              <w:t>מדידה הארעית</w:t>
            </w:r>
            <w:r w:rsidRPr="007D64FF">
              <w:rPr>
                <w:rFonts w:hint="cs"/>
                <w:rtl/>
              </w:rPr>
              <w:t>.</w:t>
            </w:r>
          </w:p>
        </w:tc>
      </w:tr>
    </w:tbl>
    <w:p w14:paraId="6FA6E249" w14:textId="77777777" w:rsidR="004C5745" w:rsidRDefault="004C5745" w:rsidP="000847CE">
      <w:pPr>
        <w:pStyle w:val="21"/>
        <w:ind w:left="1134" w:firstLine="0"/>
        <w:rPr>
          <w:rtl/>
        </w:rPr>
      </w:pPr>
    </w:p>
    <w:p w14:paraId="7043EB66" w14:textId="77777777" w:rsidR="004C5745" w:rsidRDefault="004C5745">
      <w:pPr>
        <w:widowControl/>
        <w:overflowPunct/>
        <w:autoSpaceDE/>
        <w:autoSpaceDN/>
        <w:bidi w:val="0"/>
        <w:adjustRightInd/>
        <w:spacing w:line="240" w:lineRule="auto"/>
        <w:jc w:val="left"/>
        <w:textAlignment w:val="auto"/>
        <w:rPr>
          <w:rtl/>
        </w:rPr>
      </w:pPr>
      <w:r>
        <w:rPr>
          <w:rtl/>
        </w:rPr>
        <w:br w:type="page"/>
      </w:r>
    </w:p>
    <w:p w14:paraId="78AAA302" w14:textId="77777777" w:rsidR="004C5745" w:rsidRDefault="004C5745" w:rsidP="004C5745">
      <w:pPr>
        <w:pStyle w:val="21"/>
        <w:ind w:left="1134" w:firstLine="0"/>
        <w:rPr>
          <w:rtl/>
        </w:rPr>
      </w:pPr>
    </w:p>
    <w:p w14:paraId="6A6CBC80" w14:textId="77777777" w:rsidR="00B12818" w:rsidRDefault="00B12818" w:rsidP="004C5745">
      <w:pPr>
        <w:pStyle w:val="21"/>
        <w:ind w:left="1134" w:firstLine="0"/>
        <w:rPr>
          <w:rtl/>
        </w:rPr>
      </w:pPr>
    </w:p>
    <w:p w14:paraId="453C86C7" w14:textId="77777777" w:rsidR="004C5745" w:rsidRDefault="004C5745" w:rsidP="004C5745">
      <w:pPr>
        <w:pStyle w:val="11"/>
        <w:rPr>
          <w:rtl/>
        </w:rPr>
      </w:pPr>
      <w:bookmarkStart w:id="51" w:name="_Toc290213631"/>
      <w:r>
        <w:rPr>
          <w:sz w:val="24"/>
          <w:rtl/>
        </w:rPr>
        <w:t xml:space="preserve">באור </w:t>
      </w:r>
      <w:r>
        <w:rPr>
          <w:rFonts w:hint="cs"/>
          <w:sz w:val="24"/>
          <w:rtl/>
        </w:rPr>
        <w:t>7</w:t>
      </w:r>
      <w:r>
        <w:rPr>
          <w:sz w:val="24"/>
          <w:rtl/>
        </w:rPr>
        <w:t>: -</w:t>
      </w:r>
      <w:r>
        <w:rPr>
          <w:sz w:val="24"/>
          <w:rtl/>
        </w:rPr>
        <w:tab/>
      </w:r>
      <w:r>
        <w:rPr>
          <w:rFonts w:hint="cs"/>
          <w:sz w:val="24"/>
          <w:u w:val="single"/>
          <w:rtl/>
        </w:rPr>
        <w:t>צירופי עסקים</w:t>
      </w:r>
      <w:r>
        <w:rPr>
          <w:rFonts w:hint="cs"/>
          <w:rtl/>
        </w:rPr>
        <w:t xml:space="preserve"> (המשך)</w:t>
      </w:r>
    </w:p>
    <w:bookmarkEnd w:id="51"/>
    <w:p w14:paraId="3E0B4E4B" w14:textId="77777777" w:rsidR="000847CE" w:rsidRDefault="000847CE" w:rsidP="000847CE">
      <w:pPr>
        <w:pStyle w:val="21"/>
        <w:ind w:left="1134" w:firstLine="0"/>
      </w:pPr>
    </w:p>
    <w:tbl>
      <w:tblPr>
        <w:bidiVisual/>
        <w:tblW w:w="0" w:type="auto"/>
        <w:tblInd w:w="-38" w:type="dxa"/>
        <w:tblLayout w:type="fixed"/>
        <w:tblCellMar>
          <w:left w:w="0" w:type="dxa"/>
          <w:right w:w="0" w:type="dxa"/>
        </w:tblCellMar>
        <w:tblLook w:val="01E0" w:firstRow="1" w:lastRow="1" w:firstColumn="1" w:lastColumn="1" w:noHBand="0" w:noVBand="0"/>
      </w:tblPr>
      <w:tblGrid>
        <w:gridCol w:w="1167"/>
        <w:gridCol w:w="7107"/>
        <w:gridCol w:w="113"/>
        <w:gridCol w:w="1247"/>
      </w:tblGrid>
      <w:tr w:rsidR="00272F95" w:rsidRPr="00C27900" w14:paraId="5A0E1343" w14:textId="77777777" w:rsidTr="008248CB">
        <w:tc>
          <w:tcPr>
            <w:tcW w:w="1167" w:type="dxa"/>
            <w:vMerge w:val="restart"/>
            <w:tcBorders>
              <w:bottom w:val="single" w:sz="4" w:space="0" w:color="auto"/>
              <w:right w:val="single" w:sz="4" w:space="0" w:color="auto"/>
            </w:tcBorders>
            <w:vAlign w:val="center"/>
          </w:tcPr>
          <w:p w14:paraId="52C77075" w14:textId="77777777" w:rsidR="00272F95" w:rsidRPr="00D37697" w:rsidRDefault="00F2585A" w:rsidP="00F47322">
            <w:pPr>
              <w:pStyle w:val="a3"/>
              <w:widowControl/>
              <w:ind w:left="0" w:right="28"/>
              <w:rPr>
                <w:rFonts w:asciiTheme="majorBidi" w:hAnsiTheme="majorBidi" w:cstheme="majorBidi"/>
                <w:i/>
                <w:iCs/>
                <w:sz w:val="13"/>
                <w:szCs w:val="13"/>
                <w:rtl/>
              </w:rPr>
            </w:pPr>
            <w:r w:rsidRPr="00F2585A">
              <w:rPr>
                <w:rFonts w:asciiTheme="majorBidi" w:hAnsiTheme="majorBidi" w:cstheme="majorBidi"/>
                <w:i/>
                <w:iCs/>
                <w:sz w:val="13"/>
                <w:szCs w:val="13"/>
              </w:rPr>
              <w:t>IFRS 3.B64(i); IAS 7.40(d)</w:t>
            </w:r>
          </w:p>
        </w:tc>
        <w:tc>
          <w:tcPr>
            <w:tcW w:w="7107" w:type="dxa"/>
            <w:tcBorders>
              <w:left w:val="single" w:sz="4" w:space="0" w:color="auto"/>
            </w:tcBorders>
            <w:shd w:val="clear" w:color="auto" w:fill="auto"/>
            <w:vAlign w:val="bottom"/>
          </w:tcPr>
          <w:p w14:paraId="483210D8" w14:textId="77777777" w:rsidR="00272F95" w:rsidRPr="00C27900" w:rsidRDefault="00CA0307" w:rsidP="00C27900">
            <w:pPr>
              <w:pStyle w:val="a3"/>
              <w:widowControl/>
              <w:rPr>
                <w:sz w:val="22"/>
                <w:rtl/>
              </w:rPr>
            </w:pPr>
            <w:r>
              <w:rPr>
                <w:rFonts w:hint="cs"/>
                <w:rtl/>
              </w:rPr>
              <w:t>השווי ההוגן של הנכסים המזוהים וההתחייבויות המזוהות של חברת ______ במועד הרכישה:</w:t>
            </w:r>
          </w:p>
        </w:tc>
        <w:tc>
          <w:tcPr>
            <w:tcW w:w="113" w:type="dxa"/>
            <w:shd w:val="clear" w:color="auto" w:fill="auto"/>
            <w:vAlign w:val="bottom"/>
          </w:tcPr>
          <w:p w14:paraId="43BD0E3A" w14:textId="77777777" w:rsidR="00272F95" w:rsidRPr="00C27900" w:rsidRDefault="00272F95" w:rsidP="00C27900">
            <w:pPr>
              <w:pStyle w:val="a3"/>
              <w:widowControl/>
              <w:jc w:val="center"/>
              <w:rPr>
                <w:sz w:val="22"/>
                <w:rtl/>
              </w:rPr>
            </w:pPr>
          </w:p>
        </w:tc>
        <w:tc>
          <w:tcPr>
            <w:tcW w:w="1247" w:type="dxa"/>
            <w:tcBorders>
              <w:bottom w:val="single" w:sz="6" w:space="0" w:color="auto"/>
            </w:tcBorders>
            <w:shd w:val="clear" w:color="auto" w:fill="auto"/>
            <w:vAlign w:val="bottom"/>
          </w:tcPr>
          <w:p w14:paraId="46D7A627" w14:textId="77777777" w:rsidR="00272F95" w:rsidRPr="00C27900" w:rsidRDefault="00272F95" w:rsidP="00C27900">
            <w:pPr>
              <w:pStyle w:val="a3"/>
              <w:widowControl/>
              <w:jc w:val="center"/>
              <w:rPr>
                <w:sz w:val="22"/>
                <w:rtl/>
              </w:rPr>
            </w:pPr>
            <w:r w:rsidRPr="00C27900">
              <w:rPr>
                <w:rFonts w:hint="cs"/>
                <w:sz w:val="22"/>
                <w:rtl/>
              </w:rPr>
              <w:t>שווי הוגן</w:t>
            </w:r>
          </w:p>
        </w:tc>
      </w:tr>
      <w:tr w:rsidR="00272F95" w:rsidRPr="00C27900" w14:paraId="365899D0" w14:textId="77777777" w:rsidTr="008248CB">
        <w:tc>
          <w:tcPr>
            <w:tcW w:w="1167" w:type="dxa"/>
            <w:vMerge/>
            <w:tcBorders>
              <w:bottom w:val="single" w:sz="4" w:space="0" w:color="auto"/>
              <w:right w:val="single" w:sz="4" w:space="0" w:color="auto"/>
            </w:tcBorders>
          </w:tcPr>
          <w:p w14:paraId="6905DD29" w14:textId="77777777" w:rsidR="00272F95" w:rsidRPr="00D37697" w:rsidRDefault="00272F95" w:rsidP="00F47322">
            <w:pPr>
              <w:pStyle w:val="a3"/>
              <w:widowControl/>
              <w:ind w:left="0" w:right="28"/>
              <w:rPr>
                <w:sz w:val="13"/>
                <w:szCs w:val="13"/>
                <w:rtl/>
              </w:rPr>
            </w:pPr>
          </w:p>
        </w:tc>
        <w:tc>
          <w:tcPr>
            <w:tcW w:w="7107" w:type="dxa"/>
            <w:tcBorders>
              <w:left w:val="single" w:sz="4" w:space="0" w:color="auto"/>
            </w:tcBorders>
            <w:shd w:val="clear" w:color="auto" w:fill="auto"/>
            <w:vAlign w:val="bottom"/>
          </w:tcPr>
          <w:p w14:paraId="21025659" w14:textId="77777777" w:rsidR="00272F95" w:rsidRPr="00C27900" w:rsidRDefault="00272F95" w:rsidP="00C27900">
            <w:pPr>
              <w:pStyle w:val="a3"/>
              <w:widowControl/>
              <w:rPr>
                <w:sz w:val="22"/>
                <w:rtl/>
              </w:rPr>
            </w:pPr>
          </w:p>
        </w:tc>
        <w:tc>
          <w:tcPr>
            <w:tcW w:w="113" w:type="dxa"/>
            <w:shd w:val="clear" w:color="auto" w:fill="auto"/>
            <w:vAlign w:val="bottom"/>
          </w:tcPr>
          <w:p w14:paraId="71B74FBF" w14:textId="77777777" w:rsidR="00272F95" w:rsidRPr="00C27900" w:rsidRDefault="00272F95" w:rsidP="00C27900">
            <w:pPr>
              <w:pStyle w:val="a3"/>
              <w:widowControl/>
              <w:jc w:val="center"/>
              <w:rPr>
                <w:sz w:val="22"/>
                <w:rtl/>
              </w:rPr>
            </w:pPr>
          </w:p>
        </w:tc>
        <w:tc>
          <w:tcPr>
            <w:tcW w:w="1247" w:type="dxa"/>
            <w:tcBorders>
              <w:bottom w:val="single" w:sz="6" w:space="0" w:color="auto"/>
            </w:tcBorders>
            <w:shd w:val="clear" w:color="auto" w:fill="auto"/>
            <w:vAlign w:val="bottom"/>
          </w:tcPr>
          <w:p w14:paraId="207B542A" w14:textId="77777777" w:rsidR="00272F95" w:rsidRPr="00C27900" w:rsidRDefault="00272F95" w:rsidP="00C27900">
            <w:pPr>
              <w:pStyle w:val="a3"/>
              <w:widowControl/>
              <w:jc w:val="center"/>
              <w:rPr>
                <w:sz w:val="22"/>
                <w:rtl/>
              </w:rPr>
            </w:pPr>
            <w:r w:rsidRPr="00C27900">
              <w:rPr>
                <w:rFonts w:hint="cs"/>
                <w:sz w:val="22"/>
                <w:rtl/>
              </w:rPr>
              <w:t>אלפי ש"ח</w:t>
            </w:r>
          </w:p>
        </w:tc>
      </w:tr>
      <w:tr w:rsidR="00272F95" w:rsidRPr="00C27900" w14:paraId="622AB4B2" w14:textId="77777777" w:rsidTr="008248CB">
        <w:tc>
          <w:tcPr>
            <w:tcW w:w="1167" w:type="dxa"/>
            <w:tcBorders>
              <w:top w:val="single" w:sz="4" w:space="0" w:color="auto"/>
            </w:tcBorders>
          </w:tcPr>
          <w:p w14:paraId="00119024" w14:textId="77777777" w:rsidR="00272F95" w:rsidRPr="00D37697" w:rsidRDefault="00272F95" w:rsidP="00F47322">
            <w:pPr>
              <w:pStyle w:val="a3"/>
              <w:widowControl/>
              <w:ind w:left="0" w:right="28"/>
              <w:rPr>
                <w:sz w:val="13"/>
                <w:szCs w:val="13"/>
                <w:rtl/>
              </w:rPr>
            </w:pPr>
          </w:p>
        </w:tc>
        <w:tc>
          <w:tcPr>
            <w:tcW w:w="7107" w:type="dxa"/>
            <w:shd w:val="clear" w:color="auto" w:fill="auto"/>
            <w:vAlign w:val="bottom"/>
          </w:tcPr>
          <w:p w14:paraId="3CD364CF" w14:textId="77777777" w:rsidR="00272F95" w:rsidRPr="00C27900" w:rsidRDefault="00272F95" w:rsidP="00C27900">
            <w:pPr>
              <w:pStyle w:val="a3"/>
              <w:widowControl/>
              <w:ind w:left="0"/>
              <w:rPr>
                <w:sz w:val="22"/>
                <w:rtl/>
              </w:rPr>
            </w:pPr>
          </w:p>
        </w:tc>
        <w:tc>
          <w:tcPr>
            <w:tcW w:w="113" w:type="dxa"/>
            <w:shd w:val="clear" w:color="auto" w:fill="auto"/>
            <w:vAlign w:val="bottom"/>
          </w:tcPr>
          <w:p w14:paraId="14CF27BA" w14:textId="77777777" w:rsidR="00272F95" w:rsidRPr="00C27900" w:rsidRDefault="00272F95" w:rsidP="00C27900">
            <w:pPr>
              <w:pStyle w:val="a3"/>
              <w:widowControl/>
              <w:ind w:left="0"/>
              <w:jc w:val="center"/>
              <w:rPr>
                <w:sz w:val="22"/>
                <w:rtl/>
              </w:rPr>
            </w:pPr>
          </w:p>
        </w:tc>
        <w:tc>
          <w:tcPr>
            <w:tcW w:w="1247" w:type="dxa"/>
            <w:shd w:val="clear" w:color="auto" w:fill="auto"/>
            <w:vAlign w:val="bottom"/>
          </w:tcPr>
          <w:p w14:paraId="6A33D978" w14:textId="77777777" w:rsidR="00272F95" w:rsidRPr="00C27900" w:rsidRDefault="00272F95" w:rsidP="00C27900">
            <w:pPr>
              <w:pStyle w:val="a3"/>
              <w:widowControl/>
              <w:ind w:left="0"/>
              <w:jc w:val="center"/>
              <w:rPr>
                <w:sz w:val="22"/>
              </w:rPr>
            </w:pPr>
          </w:p>
        </w:tc>
      </w:tr>
      <w:tr w:rsidR="00272F95" w:rsidRPr="00C27900" w14:paraId="59310FF3" w14:textId="77777777" w:rsidTr="008248CB">
        <w:tc>
          <w:tcPr>
            <w:tcW w:w="1167" w:type="dxa"/>
            <w:tcBorders>
              <w:bottom w:val="single" w:sz="4" w:space="0" w:color="auto"/>
              <w:right w:val="single" w:sz="4" w:space="0" w:color="auto"/>
            </w:tcBorders>
          </w:tcPr>
          <w:p w14:paraId="1B630448" w14:textId="77777777" w:rsidR="00272F95" w:rsidRPr="00D37697" w:rsidRDefault="00F2585A" w:rsidP="00F47322">
            <w:pPr>
              <w:pStyle w:val="a3"/>
              <w:widowControl/>
              <w:bidi w:val="0"/>
              <w:ind w:left="0" w:right="28"/>
              <w:jc w:val="right"/>
              <w:rPr>
                <w:rFonts w:asciiTheme="majorBidi" w:hAnsiTheme="majorBidi" w:cstheme="majorBidi"/>
                <w:i/>
                <w:iCs/>
                <w:sz w:val="13"/>
                <w:szCs w:val="13"/>
              </w:rPr>
            </w:pPr>
            <w:r w:rsidRPr="00F2585A">
              <w:rPr>
                <w:rFonts w:asciiTheme="majorBidi" w:hAnsiTheme="majorBidi" w:cstheme="majorBidi"/>
                <w:i/>
                <w:iCs/>
                <w:sz w:val="13"/>
                <w:szCs w:val="13"/>
              </w:rPr>
              <w:t>IAS 7.40(c)</w:t>
            </w:r>
          </w:p>
        </w:tc>
        <w:tc>
          <w:tcPr>
            <w:tcW w:w="7107" w:type="dxa"/>
            <w:tcBorders>
              <w:left w:val="single" w:sz="4" w:space="0" w:color="auto"/>
            </w:tcBorders>
            <w:shd w:val="clear" w:color="auto" w:fill="auto"/>
            <w:vAlign w:val="bottom"/>
          </w:tcPr>
          <w:p w14:paraId="40A7FC0C" w14:textId="77777777" w:rsidR="00272F95" w:rsidRPr="00C27900" w:rsidRDefault="00272F95" w:rsidP="00C27900">
            <w:pPr>
              <w:pStyle w:val="a3"/>
              <w:widowControl/>
              <w:rPr>
                <w:sz w:val="22"/>
                <w:rtl/>
              </w:rPr>
            </w:pPr>
            <w:r w:rsidRPr="00C27900">
              <w:rPr>
                <w:rFonts w:hint="cs"/>
                <w:sz w:val="22"/>
                <w:rtl/>
              </w:rPr>
              <w:t>מזומנים ושווי מזומנים</w:t>
            </w:r>
          </w:p>
        </w:tc>
        <w:tc>
          <w:tcPr>
            <w:tcW w:w="113" w:type="dxa"/>
            <w:shd w:val="clear" w:color="auto" w:fill="auto"/>
            <w:vAlign w:val="bottom"/>
          </w:tcPr>
          <w:p w14:paraId="077D338D" w14:textId="77777777" w:rsidR="00272F95" w:rsidRPr="00C27900" w:rsidRDefault="00272F95" w:rsidP="00C27900">
            <w:pPr>
              <w:pStyle w:val="a3"/>
              <w:widowControl/>
              <w:jc w:val="center"/>
              <w:rPr>
                <w:sz w:val="22"/>
                <w:rtl/>
              </w:rPr>
            </w:pPr>
          </w:p>
        </w:tc>
        <w:tc>
          <w:tcPr>
            <w:tcW w:w="1247" w:type="dxa"/>
            <w:shd w:val="clear" w:color="auto" w:fill="auto"/>
            <w:vAlign w:val="bottom"/>
          </w:tcPr>
          <w:p w14:paraId="692F5DDE" w14:textId="77777777" w:rsidR="00272F95" w:rsidRPr="00C27900" w:rsidRDefault="00272F95" w:rsidP="00C27900">
            <w:pPr>
              <w:pStyle w:val="a3"/>
              <w:widowControl/>
              <w:jc w:val="center"/>
              <w:rPr>
                <w:sz w:val="22"/>
              </w:rPr>
            </w:pPr>
          </w:p>
        </w:tc>
      </w:tr>
      <w:tr w:rsidR="00CD7B48" w:rsidRPr="00C27900" w14:paraId="254D3135" w14:textId="77777777" w:rsidTr="008248CB">
        <w:tc>
          <w:tcPr>
            <w:tcW w:w="1167" w:type="dxa"/>
            <w:vMerge w:val="restart"/>
            <w:tcBorders>
              <w:top w:val="single" w:sz="4" w:space="0" w:color="auto"/>
              <w:bottom w:val="single" w:sz="4" w:space="0" w:color="auto"/>
              <w:right w:val="single" w:sz="4" w:space="0" w:color="auto"/>
            </w:tcBorders>
            <w:vAlign w:val="center"/>
          </w:tcPr>
          <w:p w14:paraId="4A3DB23F" w14:textId="77777777" w:rsidR="00CD7B48" w:rsidRPr="00D37697" w:rsidRDefault="00F2585A" w:rsidP="00F47322">
            <w:pPr>
              <w:pStyle w:val="a3"/>
              <w:widowControl/>
              <w:bidi w:val="0"/>
              <w:ind w:left="0" w:right="28"/>
              <w:jc w:val="right"/>
              <w:rPr>
                <w:rFonts w:asciiTheme="majorBidi" w:hAnsiTheme="majorBidi" w:cstheme="majorBidi"/>
                <w:i/>
                <w:iCs/>
                <w:sz w:val="13"/>
                <w:szCs w:val="13"/>
                <w:rtl/>
              </w:rPr>
            </w:pPr>
            <w:r w:rsidRPr="00F2585A">
              <w:rPr>
                <w:rFonts w:asciiTheme="majorBidi" w:hAnsiTheme="majorBidi" w:cstheme="majorBidi"/>
                <w:i/>
                <w:iCs/>
                <w:sz w:val="13"/>
                <w:szCs w:val="13"/>
              </w:rPr>
              <w:t>IFRS 3.B64(h)</w:t>
            </w:r>
          </w:p>
        </w:tc>
        <w:tc>
          <w:tcPr>
            <w:tcW w:w="7107" w:type="dxa"/>
            <w:tcBorders>
              <w:left w:val="single" w:sz="4" w:space="0" w:color="auto"/>
            </w:tcBorders>
            <w:shd w:val="clear" w:color="auto" w:fill="auto"/>
            <w:vAlign w:val="bottom"/>
          </w:tcPr>
          <w:p w14:paraId="3BEBF3FA" w14:textId="77777777" w:rsidR="00CD7B48" w:rsidRPr="00C27900" w:rsidRDefault="00CD7B48" w:rsidP="00C27900">
            <w:pPr>
              <w:pStyle w:val="a3"/>
              <w:widowControl/>
              <w:rPr>
                <w:sz w:val="22"/>
                <w:rtl/>
              </w:rPr>
            </w:pPr>
            <w:r w:rsidRPr="00C27900">
              <w:rPr>
                <w:rFonts w:hint="cs"/>
                <w:sz w:val="22"/>
                <w:rtl/>
              </w:rPr>
              <w:t>לקוחות</w:t>
            </w:r>
          </w:p>
        </w:tc>
        <w:tc>
          <w:tcPr>
            <w:tcW w:w="113" w:type="dxa"/>
            <w:shd w:val="clear" w:color="auto" w:fill="auto"/>
            <w:vAlign w:val="bottom"/>
          </w:tcPr>
          <w:p w14:paraId="65FB9689" w14:textId="77777777" w:rsidR="00CD7B48" w:rsidRPr="00C27900" w:rsidRDefault="00CD7B48" w:rsidP="00C27900">
            <w:pPr>
              <w:pStyle w:val="a3"/>
              <w:widowControl/>
              <w:jc w:val="center"/>
              <w:rPr>
                <w:sz w:val="22"/>
                <w:rtl/>
              </w:rPr>
            </w:pPr>
          </w:p>
        </w:tc>
        <w:tc>
          <w:tcPr>
            <w:tcW w:w="1247" w:type="dxa"/>
            <w:shd w:val="clear" w:color="auto" w:fill="auto"/>
            <w:vAlign w:val="bottom"/>
          </w:tcPr>
          <w:p w14:paraId="7FCAE201" w14:textId="77777777" w:rsidR="00CD7B48" w:rsidRPr="00C27900" w:rsidRDefault="00CD7B48" w:rsidP="00C27900">
            <w:pPr>
              <w:pStyle w:val="a3"/>
              <w:widowControl/>
              <w:jc w:val="center"/>
              <w:rPr>
                <w:sz w:val="22"/>
                <w:rtl/>
              </w:rPr>
            </w:pPr>
          </w:p>
        </w:tc>
      </w:tr>
      <w:tr w:rsidR="00CD7B48" w:rsidRPr="00C27900" w14:paraId="68375229" w14:textId="77777777" w:rsidTr="008248CB">
        <w:tc>
          <w:tcPr>
            <w:tcW w:w="1167" w:type="dxa"/>
            <w:vMerge/>
            <w:tcBorders>
              <w:bottom w:val="single" w:sz="4" w:space="0" w:color="auto"/>
              <w:right w:val="single" w:sz="4" w:space="0" w:color="auto"/>
            </w:tcBorders>
          </w:tcPr>
          <w:p w14:paraId="1D658703" w14:textId="77777777" w:rsidR="00CD7B48" w:rsidRPr="00D37697" w:rsidRDefault="00CD7B48" w:rsidP="00F47322">
            <w:pPr>
              <w:pStyle w:val="a3"/>
              <w:widowControl/>
              <w:bidi w:val="0"/>
              <w:ind w:left="0" w:right="28"/>
              <w:jc w:val="right"/>
              <w:rPr>
                <w:rFonts w:asciiTheme="majorBidi" w:hAnsiTheme="majorBidi" w:cstheme="majorBidi"/>
                <w:i/>
                <w:iCs/>
                <w:sz w:val="13"/>
                <w:szCs w:val="13"/>
                <w:rtl/>
              </w:rPr>
            </w:pPr>
          </w:p>
        </w:tc>
        <w:tc>
          <w:tcPr>
            <w:tcW w:w="7107" w:type="dxa"/>
            <w:tcBorders>
              <w:left w:val="single" w:sz="4" w:space="0" w:color="auto"/>
            </w:tcBorders>
            <w:shd w:val="clear" w:color="auto" w:fill="auto"/>
            <w:vAlign w:val="bottom"/>
          </w:tcPr>
          <w:p w14:paraId="5AF93FE0" w14:textId="77777777" w:rsidR="00CD7B48" w:rsidRPr="00C27900" w:rsidRDefault="00CD7B48" w:rsidP="00C27900">
            <w:pPr>
              <w:pStyle w:val="a3"/>
              <w:widowControl/>
              <w:rPr>
                <w:sz w:val="22"/>
                <w:rtl/>
              </w:rPr>
            </w:pPr>
            <w:r w:rsidRPr="00C27900">
              <w:rPr>
                <w:rFonts w:hint="cs"/>
                <w:sz w:val="22"/>
                <w:rtl/>
              </w:rPr>
              <w:t>חייבים</w:t>
            </w:r>
          </w:p>
        </w:tc>
        <w:tc>
          <w:tcPr>
            <w:tcW w:w="113" w:type="dxa"/>
            <w:shd w:val="clear" w:color="auto" w:fill="auto"/>
            <w:vAlign w:val="bottom"/>
          </w:tcPr>
          <w:p w14:paraId="271460A6" w14:textId="77777777" w:rsidR="00CD7B48" w:rsidRPr="00C27900" w:rsidRDefault="00CD7B48" w:rsidP="00C27900">
            <w:pPr>
              <w:pStyle w:val="a3"/>
              <w:rPr>
                <w:sz w:val="22"/>
                <w:rtl/>
              </w:rPr>
            </w:pPr>
          </w:p>
        </w:tc>
        <w:tc>
          <w:tcPr>
            <w:tcW w:w="1247" w:type="dxa"/>
            <w:shd w:val="clear" w:color="auto" w:fill="auto"/>
            <w:vAlign w:val="bottom"/>
          </w:tcPr>
          <w:p w14:paraId="53CC85D6" w14:textId="77777777" w:rsidR="00CD7B48" w:rsidRPr="00C27900" w:rsidRDefault="00CD7B48" w:rsidP="00C27900">
            <w:pPr>
              <w:pStyle w:val="a3"/>
              <w:rPr>
                <w:sz w:val="22"/>
                <w:rtl/>
              </w:rPr>
            </w:pPr>
          </w:p>
        </w:tc>
      </w:tr>
      <w:tr w:rsidR="00272F95" w:rsidRPr="00C27900" w14:paraId="5E4DBC00" w14:textId="77777777" w:rsidTr="008248CB">
        <w:tc>
          <w:tcPr>
            <w:tcW w:w="1167" w:type="dxa"/>
            <w:tcBorders>
              <w:top w:val="single" w:sz="4" w:space="0" w:color="auto"/>
            </w:tcBorders>
          </w:tcPr>
          <w:p w14:paraId="2D57CC8E"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1C4F3F60" w14:textId="77777777" w:rsidR="00272F95" w:rsidRPr="00C27900" w:rsidRDefault="00272F95" w:rsidP="00C27900">
            <w:pPr>
              <w:pStyle w:val="a3"/>
              <w:widowControl/>
              <w:rPr>
                <w:sz w:val="22"/>
                <w:rtl/>
              </w:rPr>
            </w:pPr>
            <w:r w:rsidRPr="00C27900">
              <w:rPr>
                <w:rFonts w:hint="cs"/>
                <w:sz w:val="22"/>
                <w:rtl/>
              </w:rPr>
              <w:t>מלאי</w:t>
            </w:r>
          </w:p>
        </w:tc>
        <w:tc>
          <w:tcPr>
            <w:tcW w:w="113" w:type="dxa"/>
            <w:shd w:val="clear" w:color="auto" w:fill="auto"/>
            <w:vAlign w:val="bottom"/>
          </w:tcPr>
          <w:p w14:paraId="273F0CE9" w14:textId="77777777" w:rsidR="00272F95" w:rsidRPr="00C27900" w:rsidRDefault="00272F95" w:rsidP="00C27900">
            <w:pPr>
              <w:pStyle w:val="a3"/>
              <w:rPr>
                <w:sz w:val="22"/>
                <w:rtl/>
              </w:rPr>
            </w:pPr>
          </w:p>
        </w:tc>
        <w:tc>
          <w:tcPr>
            <w:tcW w:w="1247" w:type="dxa"/>
            <w:shd w:val="clear" w:color="auto" w:fill="auto"/>
            <w:vAlign w:val="bottom"/>
          </w:tcPr>
          <w:p w14:paraId="38DF019D" w14:textId="77777777" w:rsidR="00272F95" w:rsidRPr="00C27900" w:rsidRDefault="00272F95" w:rsidP="00C27900">
            <w:pPr>
              <w:pStyle w:val="a3"/>
              <w:rPr>
                <w:sz w:val="22"/>
                <w:rtl/>
              </w:rPr>
            </w:pPr>
          </w:p>
        </w:tc>
      </w:tr>
      <w:tr w:rsidR="00272F95" w:rsidRPr="00C27900" w14:paraId="1F08B4B9" w14:textId="77777777" w:rsidTr="008248CB">
        <w:tc>
          <w:tcPr>
            <w:tcW w:w="1167" w:type="dxa"/>
          </w:tcPr>
          <w:p w14:paraId="67322F47"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0B4CAA7C" w14:textId="77777777" w:rsidR="00272F95" w:rsidRPr="00C27900" w:rsidRDefault="00272F95" w:rsidP="00C27900">
            <w:pPr>
              <w:pStyle w:val="a3"/>
              <w:widowControl/>
              <w:rPr>
                <w:sz w:val="22"/>
                <w:rtl/>
              </w:rPr>
            </w:pPr>
            <w:r w:rsidRPr="00C27900">
              <w:rPr>
                <w:rFonts w:hint="cs"/>
                <w:sz w:val="22"/>
                <w:rtl/>
              </w:rPr>
              <w:t>השקעות</w:t>
            </w:r>
          </w:p>
        </w:tc>
        <w:tc>
          <w:tcPr>
            <w:tcW w:w="113" w:type="dxa"/>
            <w:shd w:val="clear" w:color="auto" w:fill="auto"/>
            <w:vAlign w:val="bottom"/>
          </w:tcPr>
          <w:p w14:paraId="17351BE9" w14:textId="77777777" w:rsidR="00272F95" w:rsidRPr="00C27900" w:rsidRDefault="00272F95" w:rsidP="00C27900">
            <w:pPr>
              <w:pStyle w:val="a3"/>
              <w:rPr>
                <w:sz w:val="22"/>
                <w:rtl/>
              </w:rPr>
            </w:pPr>
          </w:p>
        </w:tc>
        <w:tc>
          <w:tcPr>
            <w:tcW w:w="1247" w:type="dxa"/>
            <w:shd w:val="clear" w:color="auto" w:fill="auto"/>
            <w:vAlign w:val="bottom"/>
          </w:tcPr>
          <w:p w14:paraId="6B7C6A58" w14:textId="77777777" w:rsidR="00272F95" w:rsidRPr="00C27900" w:rsidRDefault="00272F95" w:rsidP="00C27900">
            <w:pPr>
              <w:pStyle w:val="a3"/>
              <w:rPr>
                <w:sz w:val="22"/>
                <w:rtl/>
              </w:rPr>
            </w:pPr>
          </w:p>
        </w:tc>
      </w:tr>
      <w:tr w:rsidR="00272F95" w:rsidRPr="00C27900" w14:paraId="655EF1ED" w14:textId="77777777" w:rsidTr="008248CB">
        <w:tc>
          <w:tcPr>
            <w:tcW w:w="1167" w:type="dxa"/>
          </w:tcPr>
          <w:p w14:paraId="2C09CF56"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0F63DD94" w14:textId="77777777" w:rsidR="00272F95" w:rsidRPr="00C27900" w:rsidRDefault="00272F95" w:rsidP="00C27900">
            <w:pPr>
              <w:pStyle w:val="a3"/>
              <w:widowControl/>
              <w:rPr>
                <w:sz w:val="22"/>
                <w:rtl/>
              </w:rPr>
            </w:pPr>
            <w:r w:rsidRPr="00C27900">
              <w:rPr>
                <w:rFonts w:hint="cs"/>
                <w:sz w:val="22"/>
                <w:rtl/>
              </w:rPr>
              <w:t>רכוש קבוע</w:t>
            </w:r>
          </w:p>
        </w:tc>
        <w:tc>
          <w:tcPr>
            <w:tcW w:w="113" w:type="dxa"/>
            <w:shd w:val="clear" w:color="auto" w:fill="auto"/>
            <w:vAlign w:val="bottom"/>
          </w:tcPr>
          <w:p w14:paraId="05382740" w14:textId="77777777" w:rsidR="00272F95" w:rsidRPr="00C27900" w:rsidRDefault="00272F95" w:rsidP="00C27900">
            <w:pPr>
              <w:pStyle w:val="a3"/>
              <w:rPr>
                <w:sz w:val="22"/>
                <w:rtl/>
              </w:rPr>
            </w:pPr>
          </w:p>
        </w:tc>
        <w:tc>
          <w:tcPr>
            <w:tcW w:w="1247" w:type="dxa"/>
            <w:shd w:val="clear" w:color="auto" w:fill="auto"/>
            <w:vAlign w:val="bottom"/>
          </w:tcPr>
          <w:p w14:paraId="5646635E" w14:textId="77777777" w:rsidR="00272F95" w:rsidRPr="00C27900" w:rsidRDefault="00272F95" w:rsidP="00C27900">
            <w:pPr>
              <w:pStyle w:val="a3"/>
              <w:rPr>
                <w:sz w:val="22"/>
                <w:rtl/>
              </w:rPr>
            </w:pPr>
          </w:p>
        </w:tc>
      </w:tr>
      <w:tr w:rsidR="00414876" w:rsidRPr="00C27900" w14:paraId="5A38B87D" w14:textId="77777777" w:rsidTr="008248CB">
        <w:tc>
          <w:tcPr>
            <w:tcW w:w="1167" w:type="dxa"/>
          </w:tcPr>
          <w:p w14:paraId="0FA2C709" w14:textId="77777777" w:rsidR="00414876" w:rsidRPr="00D37697" w:rsidRDefault="00414876"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72BA62E8" w14:textId="24391FFC" w:rsidR="00414876" w:rsidRPr="00C27900" w:rsidRDefault="00414876" w:rsidP="00C27900">
            <w:pPr>
              <w:pStyle w:val="a3"/>
              <w:widowControl/>
              <w:rPr>
                <w:sz w:val="22"/>
                <w:rtl/>
              </w:rPr>
            </w:pPr>
            <w:r>
              <w:rPr>
                <w:rFonts w:hint="cs"/>
                <w:sz w:val="22"/>
                <w:rtl/>
              </w:rPr>
              <w:t>נכסי זכות שימוש</w:t>
            </w:r>
          </w:p>
        </w:tc>
        <w:tc>
          <w:tcPr>
            <w:tcW w:w="113" w:type="dxa"/>
            <w:shd w:val="clear" w:color="auto" w:fill="auto"/>
            <w:vAlign w:val="bottom"/>
          </w:tcPr>
          <w:p w14:paraId="737158C9" w14:textId="77777777" w:rsidR="00414876" w:rsidRPr="00C27900" w:rsidRDefault="00414876" w:rsidP="00C27900">
            <w:pPr>
              <w:pStyle w:val="a3"/>
              <w:rPr>
                <w:sz w:val="22"/>
                <w:rtl/>
              </w:rPr>
            </w:pPr>
          </w:p>
        </w:tc>
        <w:tc>
          <w:tcPr>
            <w:tcW w:w="1247" w:type="dxa"/>
            <w:shd w:val="clear" w:color="auto" w:fill="auto"/>
            <w:vAlign w:val="bottom"/>
          </w:tcPr>
          <w:p w14:paraId="5E68169F" w14:textId="77777777" w:rsidR="00414876" w:rsidRPr="00C27900" w:rsidRDefault="00414876" w:rsidP="00C27900">
            <w:pPr>
              <w:pStyle w:val="a3"/>
              <w:rPr>
                <w:sz w:val="22"/>
                <w:rtl/>
              </w:rPr>
            </w:pPr>
          </w:p>
        </w:tc>
      </w:tr>
      <w:tr w:rsidR="00272F95" w:rsidRPr="00C27900" w14:paraId="6F21C191" w14:textId="77777777" w:rsidTr="008248CB">
        <w:tc>
          <w:tcPr>
            <w:tcW w:w="1167" w:type="dxa"/>
          </w:tcPr>
          <w:p w14:paraId="0673F6B4"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29CC168F" w14:textId="77777777" w:rsidR="00272F95" w:rsidRPr="00C27900" w:rsidRDefault="00272F95" w:rsidP="00C27900">
            <w:pPr>
              <w:pStyle w:val="a3"/>
              <w:widowControl/>
              <w:rPr>
                <w:sz w:val="22"/>
                <w:rtl/>
              </w:rPr>
            </w:pPr>
            <w:r w:rsidRPr="00C27900">
              <w:rPr>
                <w:rFonts w:hint="cs"/>
                <w:sz w:val="22"/>
                <w:rtl/>
              </w:rPr>
              <w:t>נכסים בלתי מוחשיים</w:t>
            </w:r>
          </w:p>
        </w:tc>
        <w:tc>
          <w:tcPr>
            <w:tcW w:w="113" w:type="dxa"/>
            <w:shd w:val="clear" w:color="auto" w:fill="auto"/>
            <w:vAlign w:val="bottom"/>
          </w:tcPr>
          <w:p w14:paraId="158A2426" w14:textId="77777777" w:rsidR="00272F95" w:rsidRPr="00C27900" w:rsidRDefault="00272F95" w:rsidP="00C27900">
            <w:pPr>
              <w:pStyle w:val="a3"/>
              <w:rPr>
                <w:sz w:val="22"/>
                <w:rtl/>
              </w:rPr>
            </w:pPr>
          </w:p>
        </w:tc>
        <w:tc>
          <w:tcPr>
            <w:tcW w:w="1247" w:type="dxa"/>
            <w:tcBorders>
              <w:bottom w:val="single" w:sz="6" w:space="0" w:color="auto"/>
            </w:tcBorders>
            <w:shd w:val="clear" w:color="auto" w:fill="auto"/>
            <w:vAlign w:val="bottom"/>
          </w:tcPr>
          <w:p w14:paraId="6F99821F" w14:textId="77777777" w:rsidR="00272F95" w:rsidRPr="00C27900" w:rsidRDefault="00272F95" w:rsidP="00C27900">
            <w:pPr>
              <w:pStyle w:val="a3"/>
              <w:rPr>
                <w:sz w:val="22"/>
                <w:rtl/>
              </w:rPr>
            </w:pPr>
          </w:p>
        </w:tc>
      </w:tr>
      <w:tr w:rsidR="00272F95" w:rsidRPr="00C27900" w14:paraId="53E5AC98" w14:textId="77777777" w:rsidTr="008248CB">
        <w:tc>
          <w:tcPr>
            <w:tcW w:w="1167" w:type="dxa"/>
          </w:tcPr>
          <w:p w14:paraId="7D0BBD80"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4671D202" w14:textId="77777777" w:rsidR="00272F95" w:rsidRPr="00C27900" w:rsidRDefault="00272F95" w:rsidP="00C27900">
            <w:pPr>
              <w:pStyle w:val="a3"/>
              <w:widowControl/>
              <w:rPr>
                <w:sz w:val="22"/>
                <w:rtl/>
              </w:rPr>
            </w:pPr>
          </w:p>
        </w:tc>
        <w:tc>
          <w:tcPr>
            <w:tcW w:w="113" w:type="dxa"/>
            <w:shd w:val="clear" w:color="auto" w:fill="auto"/>
            <w:vAlign w:val="bottom"/>
          </w:tcPr>
          <w:p w14:paraId="17926FF8" w14:textId="77777777" w:rsidR="00272F95" w:rsidRPr="00C27900" w:rsidRDefault="00272F95" w:rsidP="00C27900">
            <w:pPr>
              <w:pStyle w:val="a3"/>
              <w:rPr>
                <w:sz w:val="22"/>
                <w:rtl/>
              </w:rPr>
            </w:pPr>
          </w:p>
        </w:tc>
        <w:tc>
          <w:tcPr>
            <w:tcW w:w="1247" w:type="dxa"/>
            <w:tcBorders>
              <w:top w:val="single" w:sz="6" w:space="0" w:color="auto"/>
            </w:tcBorders>
            <w:shd w:val="clear" w:color="auto" w:fill="auto"/>
            <w:vAlign w:val="bottom"/>
          </w:tcPr>
          <w:p w14:paraId="67DE3D61" w14:textId="77777777" w:rsidR="00272F95" w:rsidRPr="00C27900" w:rsidRDefault="00272F95" w:rsidP="00C27900">
            <w:pPr>
              <w:pStyle w:val="a3"/>
              <w:rPr>
                <w:sz w:val="22"/>
                <w:rtl/>
              </w:rPr>
            </w:pPr>
          </w:p>
        </w:tc>
      </w:tr>
      <w:tr w:rsidR="00272F95" w:rsidRPr="00C27900" w14:paraId="22B2C0EB" w14:textId="77777777" w:rsidTr="008248CB">
        <w:tc>
          <w:tcPr>
            <w:tcW w:w="1167" w:type="dxa"/>
          </w:tcPr>
          <w:p w14:paraId="2D1B34D0"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07C5D121" w14:textId="77777777" w:rsidR="00272F95" w:rsidRPr="00C27900" w:rsidRDefault="00272F95" w:rsidP="00C27900">
            <w:pPr>
              <w:pStyle w:val="a3"/>
              <w:widowControl/>
              <w:rPr>
                <w:sz w:val="22"/>
                <w:rtl/>
              </w:rPr>
            </w:pPr>
          </w:p>
        </w:tc>
        <w:tc>
          <w:tcPr>
            <w:tcW w:w="113" w:type="dxa"/>
            <w:shd w:val="clear" w:color="auto" w:fill="auto"/>
            <w:vAlign w:val="bottom"/>
          </w:tcPr>
          <w:p w14:paraId="4AF48FFE" w14:textId="77777777" w:rsidR="00272F95" w:rsidRPr="00C27900" w:rsidRDefault="00272F95" w:rsidP="00C27900">
            <w:pPr>
              <w:pStyle w:val="a3"/>
              <w:rPr>
                <w:sz w:val="22"/>
                <w:rtl/>
              </w:rPr>
            </w:pPr>
          </w:p>
        </w:tc>
        <w:tc>
          <w:tcPr>
            <w:tcW w:w="1247" w:type="dxa"/>
            <w:tcBorders>
              <w:bottom w:val="single" w:sz="6" w:space="0" w:color="auto"/>
            </w:tcBorders>
            <w:shd w:val="clear" w:color="auto" w:fill="auto"/>
            <w:vAlign w:val="bottom"/>
          </w:tcPr>
          <w:p w14:paraId="2344D52C" w14:textId="77777777" w:rsidR="00272F95" w:rsidRPr="00C27900" w:rsidRDefault="00272F95" w:rsidP="00C27900">
            <w:pPr>
              <w:pStyle w:val="a3"/>
              <w:rPr>
                <w:sz w:val="22"/>
                <w:rtl/>
              </w:rPr>
            </w:pPr>
          </w:p>
        </w:tc>
      </w:tr>
      <w:tr w:rsidR="00272F95" w:rsidRPr="00C27900" w14:paraId="16AD9FB5" w14:textId="77777777" w:rsidTr="008248CB">
        <w:tc>
          <w:tcPr>
            <w:tcW w:w="1167" w:type="dxa"/>
          </w:tcPr>
          <w:p w14:paraId="3E9FB93C"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1091FFAD" w14:textId="77777777" w:rsidR="00272F95" w:rsidRPr="00C27900" w:rsidRDefault="00272F95" w:rsidP="00C27900">
            <w:pPr>
              <w:pStyle w:val="a3"/>
              <w:widowControl/>
              <w:ind w:left="0"/>
              <w:rPr>
                <w:sz w:val="22"/>
                <w:rtl/>
              </w:rPr>
            </w:pPr>
          </w:p>
        </w:tc>
        <w:tc>
          <w:tcPr>
            <w:tcW w:w="113" w:type="dxa"/>
            <w:shd w:val="clear" w:color="auto" w:fill="auto"/>
            <w:vAlign w:val="bottom"/>
          </w:tcPr>
          <w:p w14:paraId="4C0A5142" w14:textId="77777777" w:rsidR="00272F95" w:rsidRPr="00C27900" w:rsidRDefault="00272F95" w:rsidP="00C27900">
            <w:pPr>
              <w:pStyle w:val="a3"/>
              <w:widowControl/>
              <w:ind w:left="0"/>
              <w:rPr>
                <w:sz w:val="22"/>
                <w:rtl/>
              </w:rPr>
            </w:pPr>
          </w:p>
        </w:tc>
        <w:tc>
          <w:tcPr>
            <w:tcW w:w="1247" w:type="dxa"/>
            <w:tcBorders>
              <w:top w:val="single" w:sz="6" w:space="0" w:color="auto"/>
            </w:tcBorders>
            <w:shd w:val="clear" w:color="auto" w:fill="auto"/>
            <w:vAlign w:val="bottom"/>
          </w:tcPr>
          <w:p w14:paraId="42DC40C5" w14:textId="77777777" w:rsidR="00272F95" w:rsidRPr="00C27900" w:rsidRDefault="00272F95" w:rsidP="00C27900">
            <w:pPr>
              <w:pStyle w:val="a3"/>
              <w:widowControl/>
              <w:ind w:left="0"/>
              <w:rPr>
                <w:sz w:val="22"/>
                <w:rtl/>
              </w:rPr>
            </w:pPr>
          </w:p>
        </w:tc>
      </w:tr>
      <w:tr w:rsidR="00272F95" w:rsidRPr="00C27900" w14:paraId="3F720AEA" w14:textId="77777777" w:rsidTr="008248CB">
        <w:tc>
          <w:tcPr>
            <w:tcW w:w="1167" w:type="dxa"/>
          </w:tcPr>
          <w:p w14:paraId="1DD4A9F0"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02882519" w14:textId="77777777" w:rsidR="00272F95" w:rsidRPr="00C27900" w:rsidRDefault="00272F95" w:rsidP="00C27900">
            <w:pPr>
              <w:pStyle w:val="a3"/>
              <w:widowControl/>
              <w:rPr>
                <w:sz w:val="22"/>
                <w:rtl/>
              </w:rPr>
            </w:pPr>
            <w:r w:rsidRPr="00C27900">
              <w:rPr>
                <w:rFonts w:hint="cs"/>
                <w:sz w:val="22"/>
                <w:rtl/>
              </w:rPr>
              <w:t>התחייבויות לספקים ולנותני שירותים</w:t>
            </w:r>
          </w:p>
        </w:tc>
        <w:tc>
          <w:tcPr>
            <w:tcW w:w="113" w:type="dxa"/>
            <w:shd w:val="clear" w:color="auto" w:fill="auto"/>
            <w:vAlign w:val="bottom"/>
          </w:tcPr>
          <w:p w14:paraId="3C03D971" w14:textId="77777777" w:rsidR="00272F95" w:rsidRPr="00C27900" w:rsidRDefault="00272F95" w:rsidP="00C27900">
            <w:pPr>
              <w:pStyle w:val="a3"/>
              <w:rPr>
                <w:sz w:val="22"/>
                <w:rtl/>
              </w:rPr>
            </w:pPr>
          </w:p>
        </w:tc>
        <w:tc>
          <w:tcPr>
            <w:tcW w:w="1247" w:type="dxa"/>
            <w:shd w:val="clear" w:color="auto" w:fill="auto"/>
            <w:vAlign w:val="bottom"/>
          </w:tcPr>
          <w:p w14:paraId="7AB9A814" w14:textId="77777777" w:rsidR="00272F95" w:rsidRPr="00C27900" w:rsidRDefault="00272F95" w:rsidP="00C27900">
            <w:pPr>
              <w:pStyle w:val="a3"/>
              <w:rPr>
                <w:sz w:val="22"/>
                <w:rtl/>
              </w:rPr>
            </w:pPr>
          </w:p>
        </w:tc>
      </w:tr>
      <w:tr w:rsidR="00272F95" w:rsidRPr="00C27900" w14:paraId="6BF9DC50" w14:textId="77777777" w:rsidTr="008248CB">
        <w:tc>
          <w:tcPr>
            <w:tcW w:w="1167" w:type="dxa"/>
          </w:tcPr>
          <w:p w14:paraId="15199265"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1111E8F0" w14:textId="77777777" w:rsidR="00272F95" w:rsidRPr="00C27900" w:rsidRDefault="00272F95" w:rsidP="00C27900">
            <w:pPr>
              <w:pStyle w:val="a3"/>
              <w:widowControl/>
              <w:rPr>
                <w:sz w:val="22"/>
                <w:rtl/>
              </w:rPr>
            </w:pPr>
            <w:r w:rsidRPr="00C27900">
              <w:rPr>
                <w:rFonts w:hint="cs"/>
                <w:sz w:val="22"/>
                <w:rtl/>
              </w:rPr>
              <w:t xml:space="preserve">הפרשה לשינוי מבני </w:t>
            </w:r>
          </w:p>
        </w:tc>
        <w:tc>
          <w:tcPr>
            <w:tcW w:w="113" w:type="dxa"/>
            <w:shd w:val="clear" w:color="auto" w:fill="auto"/>
            <w:vAlign w:val="bottom"/>
          </w:tcPr>
          <w:p w14:paraId="7721F429" w14:textId="77777777" w:rsidR="00272F95" w:rsidRPr="00C27900" w:rsidRDefault="00272F95" w:rsidP="00C27900">
            <w:pPr>
              <w:pStyle w:val="a3"/>
              <w:rPr>
                <w:sz w:val="22"/>
                <w:rtl/>
              </w:rPr>
            </w:pPr>
          </w:p>
        </w:tc>
        <w:tc>
          <w:tcPr>
            <w:tcW w:w="1247" w:type="dxa"/>
            <w:shd w:val="clear" w:color="auto" w:fill="auto"/>
            <w:vAlign w:val="bottom"/>
          </w:tcPr>
          <w:p w14:paraId="6CA0B2D7" w14:textId="77777777" w:rsidR="00272F95" w:rsidRPr="00C27900" w:rsidRDefault="00272F95" w:rsidP="00C27900">
            <w:pPr>
              <w:pStyle w:val="a3"/>
              <w:rPr>
                <w:sz w:val="22"/>
                <w:rtl/>
              </w:rPr>
            </w:pPr>
          </w:p>
        </w:tc>
      </w:tr>
      <w:tr w:rsidR="00414876" w:rsidRPr="00C27900" w14:paraId="45A0112E" w14:textId="77777777" w:rsidTr="008248CB">
        <w:tc>
          <w:tcPr>
            <w:tcW w:w="1167" w:type="dxa"/>
          </w:tcPr>
          <w:p w14:paraId="2312F5D1" w14:textId="77777777" w:rsidR="00414876" w:rsidRPr="00D37697" w:rsidRDefault="00414876"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296D0581" w14:textId="6435637B" w:rsidR="00414876" w:rsidRPr="00C27900" w:rsidRDefault="00414876" w:rsidP="00C27900">
            <w:pPr>
              <w:pStyle w:val="a3"/>
              <w:widowControl/>
              <w:rPr>
                <w:sz w:val="22"/>
                <w:rtl/>
              </w:rPr>
            </w:pPr>
            <w:r>
              <w:rPr>
                <w:rFonts w:hint="cs"/>
                <w:sz w:val="22"/>
                <w:rtl/>
              </w:rPr>
              <w:t>התחייבויות בגין חכירה</w:t>
            </w:r>
          </w:p>
        </w:tc>
        <w:tc>
          <w:tcPr>
            <w:tcW w:w="113" w:type="dxa"/>
            <w:shd w:val="clear" w:color="auto" w:fill="auto"/>
            <w:vAlign w:val="bottom"/>
          </w:tcPr>
          <w:p w14:paraId="5678F0A4" w14:textId="77777777" w:rsidR="00414876" w:rsidRPr="00C27900" w:rsidRDefault="00414876" w:rsidP="00C27900">
            <w:pPr>
              <w:pStyle w:val="a3"/>
              <w:rPr>
                <w:sz w:val="22"/>
                <w:rtl/>
              </w:rPr>
            </w:pPr>
          </w:p>
        </w:tc>
        <w:tc>
          <w:tcPr>
            <w:tcW w:w="1247" w:type="dxa"/>
            <w:shd w:val="clear" w:color="auto" w:fill="auto"/>
            <w:vAlign w:val="bottom"/>
          </w:tcPr>
          <w:p w14:paraId="78B4A80E" w14:textId="77777777" w:rsidR="00414876" w:rsidRPr="00C27900" w:rsidRDefault="00414876" w:rsidP="00C27900">
            <w:pPr>
              <w:pStyle w:val="a3"/>
              <w:rPr>
                <w:sz w:val="22"/>
                <w:rtl/>
              </w:rPr>
            </w:pPr>
          </w:p>
        </w:tc>
      </w:tr>
      <w:tr w:rsidR="00272F95" w:rsidRPr="00C27900" w14:paraId="0ED52518" w14:textId="77777777" w:rsidTr="008248CB">
        <w:tc>
          <w:tcPr>
            <w:tcW w:w="1167" w:type="dxa"/>
          </w:tcPr>
          <w:p w14:paraId="6B85CCCA"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070E5899" w14:textId="77777777" w:rsidR="00272F95" w:rsidRPr="00C27900" w:rsidRDefault="00272F95" w:rsidP="00C27900">
            <w:pPr>
              <w:pStyle w:val="a3"/>
              <w:widowControl/>
              <w:rPr>
                <w:sz w:val="22"/>
                <w:rtl/>
              </w:rPr>
            </w:pPr>
            <w:r w:rsidRPr="00C27900">
              <w:rPr>
                <w:rFonts w:hint="cs"/>
                <w:sz w:val="22"/>
                <w:rtl/>
              </w:rPr>
              <w:t xml:space="preserve">התחייבויות תלויות </w:t>
            </w:r>
          </w:p>
        </w:tc>
        <w:tc>
          <w:tcPr>
            <w:tcW w:w="113" w:type="dxa"/>
            <w:shd w:val="clear" w:color="auto" w:fill="auto"/>
            <w:vAlign w:val="bottom"/>
          </w:tcPr>
          <w:p w14:paraId="4C6998C2" w14:textId="77777777" w:rsidR="00272F95" w:rsidRPr="00C27900" w:rsidRDefault="00272F95" w:rsidP="00C27900">
            <w:pPr>
              <w:pStyle w:val="a3"/>
              <w:rPr>
                <w:sz w:val="22"/>
                <w:rtl/>
              </w:rPr>
            </w:pPr>
          </w:p>
        </w:tc>
        <w:tc>
          <w:tcPr>
            <w:tcW w:w="1247" w:type="dxa"/>
            <w:shd w:val="clear" w:color="auto" w:fill="auto"/>
            <w:vAlign w:val="bottom"/>
          </w:tcPr>
          <w:p w14:paraId="0A1626A4" w14:textId="77777777" w:rsidR="00272F95" w:rsidRPr="00C27900" w:rsidRDefault="00272F95" w:rsidP="00C27900">
            <w:pPr>
              <w:pStyle w:val="a3"/>
              <w:rPr>
                <w:sz w:val="22"/>
                <w:rtl/>
              </w:rPr>
            </w:pPr>
          </w:p>
        </w:tc>
      </w:tr>
      <w:tr w:rsidR="00272F95" w:rsidRPr="00C27900" w14:paraId="771C68AF" w14:textId="77777777" w:rsidTr="008248CB">
        <w:tc>
          <w:tcPr>
            <w:tcW w:w="1167" w:type="dxa"/>
          </w:tcPr>
          <w:p w14:paraId="21FCB016"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75FBEF77" w14:textId="77777777" w:rsidR="00272F95" w:rsidRPr="00C27900" w:rsidRDefault="00272F95" w:rsidP="00C27900">
            <w:pPr>
              <w:pStyle w:val="a3"/>
              <w:widowControl/>
              <w:rPr>
                <w:sz w:val="22"/>
                <w:rtl/>
              </w:rPr>
            </w:pPr>
            <w:r w:rsidRPr="00C27900">
              <w:rPr>
                <w:rFonts w:hint="cs"/>
                <w:sz w:val="22"/>
                <w:rtl/>
              </w:rPr>
              <w:t>התחייבות מסים נדחים</w:t>
            </w:r>
          </w:p>
        </w:tc>
        <w:tc>
          <w:tcPr>
            <w:tcW w:w="113" w:type="dxa"/>
            <w:shd w:val="clear" w:color="auto" w:fill="auto"/>
            <w:vAlign w:val="bottom"/>
          </w:tcPr>
          <w:p w14:paraId="5D1EA044" w14:textId="77777777" w:rsidR="00272F95" w:rsidRPr="00C27900" w:rsidRDefault="00272F95" w:rsidP="00C27900">
            <w:pPr>
              <w:pStyle w:val="a3"/>
              <w:rPr>
                <w:sz w:val="22"/>
                <w:rtl/>
              </w:rPr>
            </w:pPr>
          </w:p>
        </w:tc>
        <w:tc>
          <w:tcPr>
            <w:tcW w:w="1247" w:type="dxa"/>
            <w:tcBorders>
              <w:bottom w:val="single" w:sz="6" w:space="0" w:color="auto"/>
            </w:tcBorders>
            <w:shd w:val="clear" w:color="auto" w:fill="auto"/>
            <w:vAlign w:val="bottom"/>
          </w:tcPr>
          <w:p w14:paraId="7AF72A3D" w14:textId="77777777" w:rsidR="00272F95" w:rsidRPr="00C27900" w:rsidRDefault="00272F95" w:rsidP="00C27900">
            <w:pPr>
              <w:pStyle w:val="a3"/>
              <w:rPr>
                <w:sz w:val="22"/>
                <w:rtl/>
              </w:rPr>
            </w:pPr>
          </w:p>
        </w:tc>
      </w:tr>
      <w:tr w:rsidR="00A6569A" w:rsidRPr="00C27900" w14:paraId="02F91E26" w14:textId="77777777" w:rsidTr="008248CB">
        <w:tc>
          <w:tcPr>
            <w:tcW w:w="1167" w:type="dxa"/>
          </w:tcPr>
          <w:p w14:paraId="17E8EB9A" w14:textId="77777777" w:rsidR="00A6569A" w:rsidRPr="00D37697" w:rsidRDefault="00A6569A"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5DA32752" w14:textId="77777777" w:rsidR="00A6569A" w:rsidRPr="00C27900" w:rsidRDefault="00A6569A" w:rsidP="00C27900">
            <w:pPr>
              <w:pStyle w:val="a3"/>
              <w:widowControl/>
              <w:rPr>
                <w:sz w:val="22"/>
                <w:rtl/>
              </w:rPr>
            </w:pPr>
          </w:p>
        </w:tc>
        <w:tc>
          <w:tcPr>
            <w:tcW w:w="113" w:type="dxa"/>
            <w:shd w:val="clear" w:color="auto" w:fill="auto"/>
            <w:vAlign w:val="bottom"/>
          </w:tcPr>
          <w:p w14:paraId="57284D5A" w14:textId="77777777" w:rsidR="00A6569A" w:rsidRPr="00C27900" w:rsidRDefault="00A6569A" w:rsidP="00C27900">
            <w:pPr>
              <w:pStyle w:val="a3"/>
              <w:rPr>
                <w:sz w:val="22"/>
                <w:rtl/>
              </w:rPr>
            </w:pPr>
          </w:p>
        </w:tc>
        <w:tc>
          <w:tcPr>
            <w:tcW w:w="1247" w:type="dxa"/>
            <w:tcBorders>
              <w:top w:val="single" w:sz="6" w:space="0" w:color="auto"/>
            </w:tcBorders>
            <w:shd w:val="clear" w:color="auto" w:fill="auto"/>
            <w:vAlign w:val="bottom"/>
          </w:tcPr>
          <w:p w14:paraId="402C6A5C" w14:textId="77777777" w:rsidR="00A6569A" w:rsidRPr="00C27900" w:rsidRDefault="00A6569A" w:rsidP="00C27900">
            <w:pPr>
              <w:pStyle w:val="a3"/>
              <w:rPr>
                <w:sz w:val="22"/>
                <w:rtl/>
              </w:rPr>
            </w:pPr>
          </w:p>
        </w:tc>
      </w:tr>
      <w:tr w:rsidR="00272F95" w:rsidRPr="00C27900" w14:paraId="4C68D05A" w14:textId="77777777" w:rsidTr="008248CB">
        <w:tc>
          <w:tcPr>
            <w:tcW w:w="1167" w:type="dxa"/>
          </w:tcPr>
          <w:p w14:paraId="2A06394D"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4BD0F9DE" w14:textId="77777777" w:rsidR="00272F95" w:rsidRPr="00C27900" w:rsidRDefault="00272F95" w:rsidP="00C27900">
            <w:pPr>
              <w:pStyle w:val="a3"/>
              <w:widowControl/>
              <w:rPr>
                <w:sz w:val="22"/>
                <w:rtl/>
              </w:rPr>
            </w:pPr>
          </w:p>
        </w:tc>
        <w:tc>
          <w:tcPr>
            <w:tcW w:w="113" w:type="dxa"/>
            <w:shd w:val="clear" w:color="auto" w:fill="auto"/>
            <w:vAlign w:val="bottom"/>
          </w:tcPr>
          <w:p w14:paraId="2B0EA1A7" w14:textId="77777777" w:rsidR="00272F95" w:rsidRPr="00C27900" w:rsidRDefault="00272F95" w:rsidP="00C27900">
            <w:pPr>
              <w:pStyle w:val="a3"/>
              <w:rPr>
                <w:sz w:val="22"/>
                <w:rtl/>
              </w:rPr>
            </w:pPr>
          </w:p>
        </w:tc>
        <w:tc>
          <w:tcPr>
            <w:tcW w:w="1247" w:type="dxa"/>
            <w:tcBorders>
              <w:bottom w:val="single" w:sz="6" w:space="0" w:color="auto"/>
            </w:tcBorders>
            <w:shd w:val="clear" w:color="auto" w:fill="auto"/>
            <w:vAlign w:val="bottom"/>
          </w:tcPr>
          <w:p w14:paraId="6B5C3BA3" w14:textId="77777777" w:rsidR="00272F95" w:rsidRPr="00C27900" w:rsidRDefault="00272F95" w:rsidP="00C27900">
            <w:pPr>
              <w:pStyle w:val="a3"/>
              <w:rPr>
                <w:sz w:val="22"/>
                <w:rtl/>
              </w:rPr>
            </w:pPr>
          </w:p>
        </w:tc>
      </w:tr>
      <w:tr w:rsidR="00272F95" w:rsidRPr="00C27900" w14:paraId="7989E683" w14:textId="77777777" w:rsidTr="008248CB">
        <w:tc>
          <w:tcPr>
            <w:tcW w:w="1167" w:type="dxa"/>
          </w:tcPr>
          <w:p w14:paraId="6C0DFB83"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6F76C33A" w14:textId="77777777" w:rsidR="00272F95" w:rsidRPr="00C27900" w:rsidRDefault="00272F95" w:rsidP="00C27900">
            <w:pPr>
              <w:pStyle w:val="a3"/>
              <w:widowControl/>
              <w:rPr>
                <w:sz w:val="22"/>
                <w:rtl/>
              </w:rPr>
            </w:pPr>
            <w:r w:rsidRPr="00C27900">
              <w:rPr>
                <w:rFonts w:hint="cs"/>
                <w:sz w:val="22"/>
                <w:rtl/>
              </w:rPr>
              <w:t>נכסים מזוהים נטו</w:t>
            </w:r>
          </w:p>
        </w:tc>
        <w:tc>
          <w:tcPr>
            <w:tcW w:w="113" w:type="dxa"/>
            <w:shd w:val="clear" w:color="auto" w:fill="auto"/>
            <w:vAlign w:val="bottom"/>
          </w:tcPr>
          <w:p w14:paraId="3A2C84FA" w14:textId="77777777" w:rsidR="00272F95" w:rsidRPr="00C27900" w:rsidRDefault="00272F95" w:rsidP="00C27900">
            <w:pPr>
              <w:pStyle w:val="a3"/>
              <w:rPr>
                <w:sz w:val="22"/>
                <w:rtl/>
              </w:rPr>
            </w:pPr>
          </w:p>
        </w:tc>
        <w:tc>
          <w:tcPr>
            <w:tcW w:w="1247" w:type="dxa"/>
            <w:tcBorders>
              <w:top w:val="single" w:sz="6" w:space="0" w:color="auto"/>
            </w:tcBorders>
            <w:shd w:val="clear" w:color="auto" w:fill="auto"/>
            <w:vAlign w:val="bottom"/>
          </w:tcPr>
          <w:p w14:paraId="58F63CDE" w14:textId="77777777" w:rsidR="00272F95" w:rsidRPr="00C27900" w:rsidRDefault="00272F95" w:rsidP="00C27900">
            <w:pPr>
              <w:pStyle w:val="a3"/>
              <w:rPr>
                <w:sz w:val="22"/>
                <w:rtl/>
              </w:rPr>
            </w:pPr>
          </w:p>
        </w:tc>
      </w:tr>
      <w:tr w:rsidR="00272F95" w:rsidRPr="00C27900" w14:paraId="4E544CE3" w14:textId="77777777" w:rsidTr="008248CB">
        <w:tc>
          <w:tcPr>
            <w:tcW w:w="1167" w:type="dxa"/>
            <w:tcBorders>
              <w:bottom w:val="single" w:sz="4" w:space="0" w:color="auto"/>
              <w:right w:val="single" w:sz="4" w:space="0" w:color="auto"/>
            </w:tcBorders>
          </w:tcPr>
          <w:p w14:paraId="3A5D35F0" w14:textId="77777777" w:rsidR="00272F95" w:rsidRPr="00D37697" w:rsidRDefault="00F2585A" w:rsidP="00F47322">
            <w:pPr>
              <w:pStyle w:val="a3"/>
              <w:widowControl/>
              <w:bidi w:val="0"/>
              <w:ind w:left="0" w:right="28"/>
              <w:jc w:val="right"/>
              <w:rPr>
                <w:rFonts w:asciiTheme="majorBidi" w:hAnsiTheme="majorBidi" w:cstheme="majorBidi"/>
                <w:i/>
                <w:iCs/>
                <w:sz w:val="13"/>
                <w:szCs w:val="13"/>
                <w:rtl/>
              </w:rPr>
            </w:pPr>
            <w:r w:rsidRPr="00F2585A">
              <w:rPr>
                <w:rFonts w:asciiTheme="majorBidi" w:hAnsiTheme="majorBidi" w:cstheme="majorBidi"/>
                <w:i/>
                <w:iCs/>
                <w:sz w:val="13"/>
                <w:szCs w:val="13"/>
              </w:rPr>
              <w:t>IFRS 3.B64(o)(i)</w:t>
            </w:r>
          </w:p>
        </w:tc>
        <w:tc>
          <w:tcPr>
            <w:tcW w:w="7107" w:type="dxa"/>
            <w:tcBorders>
              <w:left w:val="single" w:sz="4" w:space="0" w:color="auto"/>
            </w:tcBorders>
            <w:shd w:val="clear" w:color="auto" w:fill="auto"/>
            <w:vAlign w:val="bottom"/>
          </w:tcPr>
          <w:p w14:paraId="24EB05E4" w14:textId="77777777" w:rsidR="00272F95" w:rsidRPr="00C27900" w:rsidRDefault="00272F95" w:rsidP="00C27900">
            <w:pPr>
              <w:pStyle w:val="a3"/>
              <w:widowControl/>
              <w:rPr>
                <w:sz w:val="22"/>
                <w:rtl/>
              </w:rPr>
            </w:pPr>
            <w:r w:rsidRPr="00C27900">
              <w:rPr>
                <w:rFonts w:hint="cs"/>
                <w:sz w:val="22"/>
                <w:rtl/>
              </w:rPr>
              <w:t>זכויות שאינן מקנות שליטה</w:t>
            </w:r>
          </w:p>
        </w:tc>
        <w:tc>
          <w:tcPr>
            <w:tcW w:w="113" w:type="dxa"/>
            <w:shd w:val="clear" w:color="auto" w:fill="auto"/>
            <w:vAlign w:val="bottom"/>
          </w:tcPr>
          <w:p w14:paraId="674DBD2A" w14:textId="77777777" w:rsidR="00272F95" w:rsidRPr="00C27900" w:rsidRDefault="00272F95" w:rsidP="00C27900">
            <w:pPr>
              <w:pStyle w:val="a3"/>
              <w:rPr>
                <w:sz w:val="22"/>
                <w:rtl/>
              </w:rPr>
            </w:pPr>
          </w:p>
        </w:tc>
        <w:tc>
          <w:tcPr>
            <w:tcW w:w="1247" w:type="dxa"/>
            <w:shd w:val="clear" w:color="auto" w:fill="auto"/>
            <w:vAlign w:val="bottom"/>
          </w:tcPr>
          <w:p w14:paraId="2C5EDD16" w14:textId="77777777" w:rsidR="00272F95" w:rsidRPr="00C27900" w:rsidRDefault="00272F95" w:rsidP="00C27900">
            <w:pPr>
              <w:pStyle w:val="a3"/>
              <w:rPr>
                <w:sz w:val="22"/>
                <w:rtl/>
              </w:rPr>
            </w:pPr>
          </w:p>
        </w:tc>
      </w:tr>
      <w:tr w:rsidR="00272F95" w:rsidRPr="00C27900" w14:paraId="2FBC9794" w14:textId="77777777" w:rsidTr="008248CB">
        <w:tc>
          <w:tcPr>
            <w:tcW w:w="1167" w:type="dxa"/>
            <w:tcBorders>
              <w:top w:val="single" w:sz="4" w:space="0" w:color="auto"/>
            </w:tcBorders>
          </w:tcPr>
          <w:p w14:paraId="13168DA3"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634472A4" w14:textId="77777777" w:rsidR="00272F95" w:rsidRPr="00C27900" w:rsidRDefault="00272F95" w:rsidP="00C27900">
            <w:pPr>
              <w:pStyle w:val="a3"/>
              <w:widowControl/>
              <w:rPr>
                <w:sz w:val="22"/>
                <w:rtl/>
              </w:rPr>
            </w:pPr>
            <w:r w:rsidRPr="00C27900">
              <w:rPr>
                <w:rFonts w:hint="cs"/>
                <w:sz w:val="22"/>
                <w:rtl/>
              </w:rPr>
              <w:t>מוניטין הנובע מהרכישה</w:t>
            </w:r>
            <w:r w:rsidR="007C6976" w:rsidRPr="00C27900">
              <w:rPr>
                <w:rStyle w:val="ab"/>
                <w:sz w:val="22"/>
                <w:rtl/>
              </w:rPr>
              <w:footnoteReference w:id="95"/>
            </w:r>
          </w:p>
        </w:tc>
        <w:tc>
          <w:tcPr>
            <w:tcW w:w="113" w:type="dxa"/>
            <w:shd w:val="clear" w:color="auto" w:fill="auto"/>
            <w:vAlign w:val="bottom"/>
          </w:tcPr>
          <w:p w14:paraId="53EEE1E8" w14:textId="77777777" w:rsidR="00272F95" w:rsidRPr="00C27900" w:rsidRDefault="00272F95" w:rsidP="00C27900">
            <w:pPr>
              <w:pStyle w:val="a3"/>
              <w:rPr>
                <w:sz w:val="22"/>
                <w:rtl/>
              </w:rPr>
            </w:pPr>
          </w:p>
        </w:tc>
        <w:tc>
          <w:tcPr>
            <w:tcW w:w="1247" w:type="dxa"/>
            <w:tcBorders>
              <w:bottom w:val="single" w:sz="6" w:space="0" w:color="auto"/>
            </w:tcBorders>
            <w:shd w:val="clear" w:color="auto" w:fill="auto"/>
            <w:vAlign w:val="bottom"/>
          </w:tcPr>
          <w:p w14:paraId="0E5D6371" w14:textId="77777777" w:rsidR="00272F95" w:rsidRPr="00C27900" w:rsidRDefault="00272F95" w:rsidP="00C27900">
            <w:pPr>
              <w:pStyle w:val="a3"/>
              <w:rPr>
                <w:sz w:val="22"/>
                <w:rtl/>
              </w:rPr>
            </w:pPr>
          </w:p>
        </w:tc>
      </w:tr>
      <w:tr w:rsidR="00272F95" w:rsidRPr="00C27900" w14:paraId="445AD94F" w14:textId="77777777" w:rsidTr="008248CB">
        <w:tc>
          <w:tcPr>
            <w:tcW w:w="1167" w:type="dxa"/>
          </w:tcPr>
          <w:p w14:paraId="710FE513"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09D401B7" w14:textId="77777777" w:rsidR="00272F95" w:rsidRPr="00C27900" w:rsidRDefault="00272F95" w:rsidP="00C27900">
            <w:pPr>
              <w:pStyle w:val="a3"/>
              <w:widowControl/>
              <w:rPr>
                <w:sz w:val="22"/>
                <w:rtl/>
              </w:rPr>
            </w:pPr>
          </w:p>
        </w:tc>
        <w:tc>
          <w:tcPr>
            <w:tcW w:w="113" w:type="dxa"/>
            <w:shd w:val="clear" w:color="auto" w:fill="auto"/>
            <w:vAlign w:val="bottom"/>
          </w:tcPr>
          <w:p w14:paraId="25528E0B" w14:textId="77777777" w:rsidR="00272F95" w:rsidRPr="00C27900" w:rsidRDefault="00272F95" w:rsidP="00C27900">
            <w:pPr>
              <w:pStyle w:val="a3"/>
              <w:rPr>
                <w:sz w:val="22"/>
                <w:rtl/>
              </w:rPr>
            </w:pPr>
          </w:p>
        </w:tc>
        <w:tc>
          <w:tcPr>
            <w:tcW w:w="1247" w:type="dxa"/>
            <w:tcBorders>
              <w:top w:val="single" w:sz="6" w:space="0" w:color="auto"/>
            </w:tcBorders>
            <w:shd w:val="clear" w:color="auto" w:fill="auto"/>
            <w:vAlign w:val="bottom"/>
          </w:tcPr>
          <w:p w14:paraId="6B1FF730" w14:textId="77777777" w:rsidR="00272F95" w:rsidRPr="00C27900" w:rsidRDefault="00272F95" w:rsidP="00C27900">
            <w:pPr>
              <w:pStyle w:val="a3"/>
              <w:rPr>
                <w:sz w:val="22"/>
                <w:rtl/>
              </w:rPr>
            </w:pPr>
          </w:p>
        </w:tc>
      </w:tr>
      <w:tr w:rsidR="00272F95" w:rsidRPr="00C27900" w14:paraId="765AE256" w14:textId="77777777" w:rsidTr="008248CB">
        <w:tc>
          <w:tcPr>
            <w:tcW w:w="1167" w:type="dxa"/>
          </w:tcPr>
          <w:p w14:paraId="6C4F82B0"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415595B8" w14:textId="77777777" w:rsidR="00272F95" w:rsidRPr="00C27900" w:rsidRDefault="00272F95" w:rsidP="00C27900">
            <w:pPr>
              <w:pStyle w:val="a3"/>
              <w:widowControl/>
              <w:rPr>
                <w:sz w:val="22"/>
                <w:rtl/>
              </w:rPr>
            </w:pPr>
            <w:r w:rsidRPr="00C27900">
              <w:rPr>
                <w:rFonts w:hint="cs"/>
                <w:sz w:val="22"/>
                <w:rtl/>
              </w:rPr>
              <w:t xml:space="preserve">סך עלות הרכישה </w:t>
            </w:r>
          </w:p>
        </w:tc>
        <w:tc>
          <w:tcPr>
            <w:tcW w:w="113" w:type="dxa"/>
            <w:shd w:val="clear" w:color="auto" w:fill="auto"/>
            <w:vAlign w:val="bottom"/>
          </w:tcPr>
          <w:p w14:paraId="0B5D9062" w14:textId="77777777" w:rsidR="00272F95" w:rsidRPr="00C27900" w:rsidRDefault="00272F95" w:rsidP="00C27900">
            <w:pPr>
              <w:pStyle w:val="a3"/>
              <w:rPr>
                <w:sz w:val="22"/>
                <w:rtl/>
              </w:rPr>
            </w:pPr>
          </w:p>
        </w:tc>
        <w:tc>
          <w:tcPr>
            <w:tcW w:w="1247" w:type="dxa"/>
            <w:tcBorders>
              <w:bottom w:val="double" w:sz="6" w:space="0" w:color="auto"/>
            </w:tcBorders>
            <w:shd w:val="clear" w:color="auto" w:fill="auto"/>
            <w:vAlign w:val="bottom"/>
          </w:tcPr>
          <w:p w14:paraId="1F78BF98" w14:textId="77777777" w:rsidR="00272F95" w:rsidRPr="00C27900" w:rsidRDefault="00272F95" w:rsidP="00C27900">
            <w:pPr>
              <w:pStyle w:val="a3"/>
              <w:rPr>
                <w:sz w:val="22"/>
                <w:rtl/>
              </w:rPr>
            </w:pPr>
          </w:p>
        </w:tc>
      </w:tr>
    </w:tbl>
    <w:p w14:paraId="17A9FF52" w14:textId="77777777" w:rsidR="00F5049B" w:rsidRDefault="00F5049B" w:rsidP="0076297A">
      <w:pPr>
        <w:pStyle w:val="21"/>
        <w:ind w:left="1134" w:firstLine="0"/>
        <w:rPr>
          <w:rtl/>
        </w:rPr>
      </w:pPr>
    </w:p>
    <w:tbl>
      <w:tblPr>
        <w:tblStyle w:val="af6"/>
        <w:bidiVisual/>
        <w:tblW w:w="9704" w:type="dxa"/>
        <w:tblInd w:w="-57" w:type="dxa"/>
        <w:tblLayout w:type="fixed"/>
        <w:tblCellMar>
          <w:left w:w="0" w:type="dxa"/>
          <w:right w:w="0" w:type="dxa"/>
        </w:tblCellMar>
        <w:tblLook w:val="04A0" w:firstRow="1" w:lastRow="0" w:firstColumn="1" w:lastColumn="0" w:noHBand="0" w:noVBand="1"/>
      </w:tblPr>
      <w:tblGrid>
        <w:gridCol w:w="1181"/>
        <w:gridCol w:w="8523"/>
      </w:tblGrid>
      <w:tr w:rsidR="005C7A74" w14:paraId="29EA140C" w14:textId="77777777" w:rsidTr="00A6569A">
        <w:tc>
          <w:tcPr>
            <w:tcW w:w="1181" w:type="dxa"/>
            <w:tcBorders>
              <w:top w:val="nil"/>
              <w:left w:val="nil"/>
              <w:bottom w:val="single" w:sz="4" w:space="0" w:color="auto"/>
              <w:right w:val="single" w:sz="4" w:space="0" w:color="auto"/>
            </w:tcBorders>
            <w:vAlign w:val="center"/>
          </w:tcPr>
          <w:p w14:paraId="6FB4ACDA" w14:textId="77777777" w:rsidR="005C7A74" w:rsidRPr="00F71E33" w:rsidRDefault="005C7A74" w:rsidP="00F47322">
            <w:pPr>
              <w:widowControl/>
              <w:bidi w:val="0"/>
              <w:spacing w:line="240" w:lineRule="exact"/>
              <w:ind w:right="28"/>
              <w:jc w:val="right"/>
              <w:rPr>
                <w:i/>
                <w:iCs/>
                <w:sz w:val="13"/>
                <w:szCs w:val="13"/>
              </w:rPr>
            </w:pPr>
            <w:r>
              <w:rPr>
                <w:rFonts w:hint="cs"/>
                <w:i/>
                <w:iCs/>
                <w:sz w:val="13"/>
                <w:szCs w:val="13"/>
              </w:rPr>
              <w:t>IF</w:t>
            </w:r>
            <w:r>
              <w:rPr>
                <w:i/>
                <w:iCs/>
                <w:sz w:val="13"/>
                <w:szCs w:val="13"/>
              </w:rPr>
              <w:t>RS 3.B64(f)</w:t>
            </w:r>
          </w:p>
        </w:tc>
        <w:tc>
          <w:tcPr>
            <w:tcW w:w="8523" w:type="dxa"/>
            <w:tcBorders>
              <w:top w:val="nil"/>
              <w:left w:val="single" w:sz="4" w:space="0" w:color="auto"/>
              <w:bottom w:val="nil"/>
              <w:right w:val="nil"/>
            </w:tcBorders>
          </w:tcPr>
          <w:p w14:paraId="01580CA7" w14:textId="77777777" w:rsidR="005C7A74" w:rsidRDefault="005C7A74" w:rsidP="005C7A74">
            <w:pPr>
              <w:pStyle w:val="21"/>
              <w:tabs>
                <w:tab w:val="clear" w:pos="1134"/>
                <w:tab w:val="clear" w:pos="1701"/>
              </w:tabs>
              <w:ind w:left="56" w:firstLine="0"/>
              <w:rPr>
                <w:rtl/>
              </w:rPr>
            </w:pPr>
            <w:r w:rsidRPr="007D64FF">
              <w:rPr>
                <w:rFonts w:hint="cs"/>
                <w:rtl/>
              </w:rPr>
              <w:t>העלות הכוללת של צירוף העסקים הסתכמה לסך של _____ אלפי ש</w:t>
            </w:r>
            <w:r w:rsidRPr="007D64FF">
              <w:rPr>
                <w:rtl/>
              </w:rPr>
              <w:t>"</w:t>
            </w:r>
            <w:r w:rsidRPr="007D64FF">
              <w:rPr>
                <w:rFonts w:hint="cs"/>
                <w:rtl/>
              </w:rPr>
              <w:t>ח וכללה תשלום במזומן בסך של כ- ___ אלפי ש</w:t>
            </w:r>
            <w:r w:rsidRPr="007D64FF">
              <w:rPr>
                <w:rtl/>
              </w:rPr>
              <w:t>"</w:t>
            </w:r>
            <w:r w:rsidRPr="007D64FF">
              <w:rPr>
                <w:rFonts w:hint="cs"/>
                <w:rtl/>
              </w:rPr>
              <w:t>ח, חוב לשלם בסך של כ- _____ אלפי ש"ח, הנפקת מניות רגילות בשווי הוגן כולל של כ-___ אלפי ש</w:t>
            </w:r>
            <w:r w:rsidRPr="007D64FF">
              <w:rPr>
                <w:rtl/>
              </w:rPr>
              <w:t>"</w:t>
            </w:r>
            <w:r w:rsidRPr="007D64FF">
              <w:rPr>
                <w:rFonts w:hint="cs"/>
                <w:rtl/>
              </w:rPr>
              <w:t xml:space="preserve">ח (אשר מייצג את המחיר המצוטט של מניית החברה במועד הרכישה) וכן סך של כ- ____ אלפי ש"ח המשקף את השווי ההוגן של ההשקעה שהייתה קיימת בחברה </w:t>
            </w:r>
            <w:r w:rsidR="00023717">
              <w:rPr>
                <w:rFonts w:hint="cs"/>
                <w:rtl/>
              </w:rPr>
              <w:t xml:space="preserve">הנרכשת </w:t>
            </w:r>
            <w:r w:rsidRPr="007D64FF">
              <w:rPr>
                <w:rFonts w:hint="cs"/>
                <w:rtl/>
              </w:rPr>
              <w:t xml:space="preserve">במועד השגת השליטה </w:t>
            </w:r>
            <w:r>
              <w:rPr>
                <w:rFonts w:hint="cs"/>
                <w:highlight w:val="lightGray"/>
                <w:rtl/>
              </w:rPr>
              <w:t>[להוסיף אם רלוונטי: "</w:t>
            </w:r>
            <w:r w:rsidRPr="000C4C0E">
              <w:rPr>
                <w:rFonts w:hint="eastAsia"/>
                <w:highlight w:val="lightGray"/>
                <w:rtl/>
              </w:rPr>
              <w:t>כתוצאה</w:t>
            </w:r>
            <w:r w:rsidRPr="000C4C0E">
              <w:rPr>
                <w:highlight w:val="lightGray"/>
                <w:rtl/>
              </w:rPr>
              <w:t xml:space="preserve"> </w:t>
            </w:r>
            <w:r w:rsidRPr="000C4C0E">
              <w:rPr>
                <w:rFonts w:hint="eastAsia"/>
                <w:highlight w:val="lightGray"/>
                <w:rtl/>
              </w:rPr>
              <w:t>משערוכה</w:t>
            </w:r>
            <w:r w:rsidRPr="000C4C0E">
              <w:rPr>
                <w:highlight w:val="lightGray"/>
                <w:rtl/>
              </w:rPr>
              <w:t xml:space="preserve"> </w:t>
            </w:r>
            <w:r w:rsidRPr="000C4C0E">
              <w:rPr>
                <w:rFonts w:hint="eastAsia"/>
                <w:highlight w:val="lightGray"/>
                <w:rtl/>
              </w:rPr>
              <w:t>לשווי</w:t>
            </w:r>
            <w:r w:rsidRPr="000C4C0E">
              <w:rPr>
                <w:highlight w:val="lightGray"/>
                <w:rtl/>
              </w:rPr>
              <w:t xml:space="preserve"> </w:t>
            </w:r>
            <w:r w:rsidRPr="000C4C0E">
              <w:rPr>
                <w:rFonts w:hint="eastAsia"/>
                <w:highlight w:val="lightGray"/>
                <w:rtl/>
              </w:rPr>
              <w:t>הוגן</w:t>
            </w:r>
            <w:r w:rsidRPr="000C4C0E">
              <w:rPr>
                <w:highlight w:val="lightGray"/>
                <w:rtl/>
              </w:rPr>
              <w:t xml:space="preserve"> </w:t>
            </w:r>
            <w:r w:rsidRPr="000C4C0E">
              <w:rPr>
                <w:rFonts w:hint="eastAsia"/>
                <w:highlight w:val="lightGray"/>
                <w:rtl/>
              </w:rPr>
              <w:t>באותו</w:t>
            </w:r>
            <w:r w:rsidRPr="000C4C0E">
              <w:rPr>
                <w:highlight w:val="lightGray"/>
                <w:rtl/>
              </w:rPr>
              <w:t xml:space="preserve"> </w:t>
            </w:r>
            <w:r w:rsidRPr="000C4C0E">
              <w:rPr>
                <w:rFonts w:hint="eastAsia"/>
                <w:highlight w:val="lightGray"/>
                <w:rtl/>
              </w:rPr>
              <w:t>מועד</w:t>
            </w:r>
            <w:r w:rsidRPr="000C4C0E">
              <w:rPr>
                <w:highlight w:val="lightGray"/>
                <w:rtl/>
              </w:rPr>
              <w:t>".]</w:t>
            </w:r>
          </w:p>
        </w:tc>
      </w:tr>
    </w:tbl>
    <w:p w14:paraId="140FDEBD" w14:textId="77777777" w:rsidR="0076297A" w:rsidRDefault="0076297A" w:rsidP="0076297A">
      <w:pPr>
        <w:pStyle w:val="21"/>
        <w:ind w:left="1134" w:firstLine="0"/>
        <w:rPr>
          <w:rFonts w:ascii="Arial" w:hAnsi="Arial"/>
          <w:rtl/>
        </w:rPr>
      </w:pPr>
    </w:p>
    <w:tbl>
      <w:tblPr>
        <w:tblStyle w:val="af6"/>
        <w:bidiVisual/>
        <w:tblW w:w="9704" w:type="dxa"/>
        <w:tblInd w:w="-57" w:type="dxa"/>
        <w:tblLayout w:type="fixed"/>
        <w:tblCellMar>
          <w:left w:w="0" w:type="dxa"/>
          <w:right w:w="0" w:type="dxa"/>
        </w:tblCellMar>
        <w:tblLook w:val="04A0" w:firstRow="1" w:lastRow="0" w:firstColumn="1" w:lastColumn="0" w:noHBand="0" w:noVBand="1"/>
      </w:tblPr>
      <w:tblGrid>
        <w:gridCol w:w="1181"/>
        <w:gridCol w:w="8523"/>
      </w:tblGrid>
      <w:tr w:rsidR="005C7A74" w14:paraId="3C1A35C1" w14:textId="77777777" w:rsidTr="00A6569A">
        <w:tc>
          <w:tcPr>
            <w:tcW w:w="1181" w:type="dxa"/>
            <w:tcBorders>
              <w:top w:val="nil"/>
              <w:left w:val="nil"/>
              <w:bottom w:val="single" w:sz="4" w:space="0" w:color="auto"/>
              <w:right w:val="single" w:sz="4" w:space="0" w:color="auto"/>
            </w:tcBorders>
            <w:vAlign w:val="center"/>
          </w:tcPr>
          <w:p w14:paraId="3FE0B77D" w14:textId="77777777" w:rsidR="005C7A74" w:rsidRPr="00F71E33" w:rsidRDefault="005C7A74" w:rsidP="00F47322">
            <w:pPr>
              <w:widowControl/>
              <w:bidi w:val="0"/>
              <w:spacing w:line="240" w:lineRule="exact"/>
              <w:ind w:right="28"/>
              <w:jc w:val="right"/>
              <w:rPr>
                <w:i/>
                <w:iCs/>
                <w:sz w:val="13"/>
                <w:szCs w:val="13"/>
              </w:rPr>
            </w:pPr>
            <w:r>
              <w:rPr>
                <w:rFonts w:hint="cs"/>
                <w:i/>
                <w:iCs/>
                <w:sz w:val="13"/>
                <w:szCs w:val="13"/>
              </w:rPr>
              <w:t>IF</w:t>
            </w:r>
            <w:r>
              <w:rPr>
                <w:i/>
                <w:iCs/>
                <w:sz w:val="13"/>
                <w:szCs w:val="13"/>
              </w:rPr>
              <w:t>RS 3.B64(m)</w:t>
            </w:r>
          </w:p>
        </w:tc>
        <w:tc>
          <w:tcPr>
            <w:tcW w:w="8523" w:type="dxa"/>
            <w:tcBorders>
              <w:top w:val="nil"/>
              <w:left w:val="single" w:sz="4" w:space="0" w:color="auto"/>
              <w:bottom w:val="nil"/>
              <w:right w:val="nil"/>
            </w:tcBorders>
          </w:tcPr>
          <w:p w14:paraId="2AEC08CC" w14:textId="77777777" w:rsidR="005C7A74" w:rsidRDefault="005C7A74" w:rsidP="005C7A74">
            <w:pPr>
              <w:pStyle w:val="21"/>
              <w:tabs>
                <w:tab w:val="clear" w:pos="1134"/>
                <w:tab w:val="clear" w:pos="1701"/>
              </w:tabs>
              <w:ind w:left="56" w:firstLine="0"/>
              <w:rPr>
                <w:rtl/>
              </w:rPr>
            </w:pPr>
            <w:r w:rsidRPr="007D64FF">
              <w:rPr>
                <w:rFonts w:hint="cs"/>
                <w:rtl/>
              </w:rPr>
              <w:t>עלויות רכישה ישירות המיוחסות לעסקה בסך של כ-______ אלפי ש</w:t>
            </w:r>
            <w:r w:rsidRPr="000C4C0E">
              <w:rPr>
                <w:rtl/>
              </w:rPr>
              <w:t xml:space="preserve">"ח נזקפו כהוצאה ונכללו </w:t>
            </w:r>
            <w:r w:rsidRPr="000C4C0E">
              <w:rPr>
                <w:rFonts w:hint="eastAsia"/>
                <w:rtl/>
              </w:rPr>
              <w:t>בסעיף</w:t>
            </w:r>
            <w:r w:rsidRPr="000C4C0E">
              <w:rPr>
                <w:rtl/>
              </w:rPr>
              <w:t xml:space="preserve"> ______</w:t>
            </w:r>
            <w:r>
              <w:rPr>
                <w:rStyle w:val="ab"/>
                <w:rtl/>
              </w:rPr>
              <w:footnoteReference w:id="96"/>
            </w:r>
            <w:r w:rsidRPr="000C4C0E">
              <w:rPr>
                <w:rtl/>
              </w:rPr>
              <w:t>.</w:t>
            </w:r>
            <w:r w:rsidRPr="007D64FF">
              <w:rPr>
                <w:rFonts w:hint="cs"/>
                <w:rtl/>
              </w:rPr>
              <w:t xml:space="preserve"> העלויות בסך של כ- _______ אלפי ש"ח שניתן לייחס להנפקת מכשירי ההון נזקפו ישירות להון והופחתו מסעיף פרמיה על מניות.</w:t>
            </w:r>
          </w:p>
        </w:tc>
      </w:tr>
    </w:tbl>
    <w:p w14:paraId="548CF711" w14:textId="77777777" w:rsidR="004C5745" w:rsidRDefault="004C5745" w:rsidP="0076297A">
      <w:pPr>
        <w:pStyle w:val="21"/>
        <w:rPr>
          <w:rtl/>
        </w:rPr>
      </w:pPr>
    </w:p>
    <w:p w14:paraId="3EEF2BBB" w14:textId="77777777" w:rsidR="004C5745" w:rsidRDefault="004C5745">
      <w:pPr>
        <w:widowControl/>
        <w:overflowPunct/>
        <w:autoSpaceDE/>
        <w:autoSpaceDN/>
        <w:bidi w:val="0"/>
        <w:adjustRightInd/>
        <w:spacing w:line="240" w:lineRule="auto"/>
        <w:jc w:val="left"/>
        <w:textAlignment w:val="auto"/>
      </w:pPr>
      <w:r>
        <w:rPr>
          <w:rtl/>
        </w:rPr>
        <w:br w:type="page"/>
      </w:r>
    </w:p>
    <w:p w14:paraId="786D75A1" w14:textId="77777777" w:rsidR="004C5745" w:rsidRDefault="004C5745" w:rsidP="004C5745">
      <w:pPr>
        <w:pStyle w:val="11"/>
        <w:rPr>
          <w:sz w:val="24"/>
          <w:rtl/>
        </w:rPr>
      </w:pPr>
    </w:p>
    <w:p w14:paraId="1A469362" w14:textId="77777777" w:rsidR="006C26D6" w:rsidRDefault="006C26D6" w:rsidP="004C5745">
      <w:pPr>
        <w:pStyle w:val="11"/>
        <w:rPr>
          <w:sz w:val="24"/>
          <w:rtl/>
        </w:rPr>
      </w:pPr>
    </w:p>
    <w:p w14:paraId="2090CDAD" w14:textId="77777777" w:rsidR="004C5745" w:rsidRDefault="004C5745" w:rsidP="004C5745">
      <w:pPr>
        <w:pStyle w:val="11"/>
        <w:rPr>
          <w:rtl/>
        </w:rPr>
      </w:pPr>
      <w:r>
        <w:rPr>
          <w:sz w:val="24"/>
          <w:rtl/>
        </w:rPr>
        <w:t xml:space="preserve">באור </w:t>
      </w:r>
      <w:r>
        <w:rPr>
          <w:rFonts w:hint="cs"/>
          <w:sz w:val="24"/>
          <w:rtl/>
        </w:rPr>
        <w:t>7</w:t>
      </w:r>
      <w:r>
        <w:rPr>
          <w:sz w:val="24"/>
          <w:rtl/>
        </w:rPr>
        <w:t>: -</w:t>
      </w:r>
      <w:r>
        <w:rPr>
          <w:sz w:val="24"/>
          <w:rtl/>
        </w:rPr>
        <w:tab/>
      </w:r>
      <w:r>
        <w:rPr>
          <w:rFonts w:hint="cs"/>
          <w:sz w:val="24"/>
          <w:u w:val="single"/>
          <w:rtl/>
        </w:rPr>
        <w:t>צירופי עסקים</w:t>
      </w:r>
      <w:r>
        <w:rPr>
          <w:rFonts w:hint="cs"/>
          <w:rtl/>
        </w:rPr>
        <w:t xml:space="preserve"> (המשך)</w:t>
      </w:r>
    </w:p>
    <w:p w14:paraId="6E2F2CBA" w14:textId="77777777" w:rsidR="00016289" w:rsidRDefault="00016289" w:rsidP="0076297A">
      <w:pPr>
        <w:pStyle w:val="21"/>
        <w:rPr>
          <w:rtl/>
        </w:rPr>
      </w:pPr>
    </w:p>
    <w:tbl>
      <w:tblPr>
        <w:bidiVisual/>
        <w:tblW w:w="9723" w:type="dxa"/>
        <w:tblInd w:w="5" w:type="dxa"/>
        <w:tblLayout w:type="fixed"/>
        <w:tblCellMar>
          <w:left w:w="0" w:type="dxa"/>
          <w:right w:w="0" w:type="dxa"/>
        </w:tblCellMar>
        <w:tblLook w:val="01E0" w:firstRow="1" w:lastRow="1" w:firstColumn="1" w:lastColumn="1" w:noHBand="0" w:noVBand="0"/>
      </w:tblPr>
      <w:tblGrid>
        <w:gridCol w:w="1142"/>
        <w:gridCol w:w="7139"/>
        <w:gridCol w:w="280"/>
        <w:gridCol w:w="1162"/>
      </w:tblGrid>
      <w:tr w:rsidR="005C7A74" w:rsidRPr="00054702" w14:paraId="01BB5BD2" w14:textId="77777777" w:rsidTr="00F47322">
        <w:tc>
          <w:tcPr>
            <w:tcW w:w="1142" w:type="dxa"/>
            <w:tcBorders>
              <w:bottom w:val="single" w:sz="4" w:space="0" w:color="auto"/>
              <w:right w:val="single" w:sz="4" w:space="0" w:color="auto"/>
            </w:tcBorders>
          </w:tcPr>
          <w:p w14:paraId="22D3D555"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IFRS 3</w:t>
            </w:r>
            <w:r w:rsidR="00CD7B48">
              <w:rPr>
                <w:rFonts w:asciiTheme="majorBidi" w:hAnsiTheme="majorBidi" w:cstheme="majorBidi"/>
                <w:i/>
                <w:iCs/>
                <w:sz w:val="13"/>
                <w:szCs w:val="13"/>
              </w:rPr>
              <w:t>.</w:t>
            </w:r>
            <w:r>
              <w:rPr>
                <w:rFonts w:asciiTheme="majorBidi" w:hAnsiTheme="majorBidi" w:cstheme="majorBidi"/>
                <w:i/>
                <w:iCs/>
                <w:sz w:val="13"/>
                <w:szCs w:val="13"/>
              </w:rPr>
              <w:t>B64(f)</w:t>
            </w:r>
          </w:p>
        </w:tc>
        <w:tc>
          <w:tcPr>
            <w:tcW w:w="7139" w:type="dxa"/>
            <w:tcBorders>
              <w:left w:val="single" w:sz="4" w:space="0" w:color="auto"/>
            </w:tcBorders>
            <w:shd w:val="clear" w:color="auto" w:fill="auto"/>
            <w:vAlign w:val="bottom"/>
          </w:tcPr>
          <w:p w14:paraId="33ABD7CD" w14:textId="77777777" w:rsidR="005C7A74" w:rsidRPr="00054702" w:rsidRDefault="005C7A74" w:rsidP="005C7A74">
            <w:pPr>
              <w:pStyle w:val="a3"/>
              <w:widowControl/>
              <w:rPr>
                <w:sz w:val="22"/>
                <w:rtl/>
              </w:rPr>
            </w:pPr>
            <w:r w:rsidRPr="00725E31">
              <w:rPr>
                <w:rFonts w:hint="cs"/>
                <w:u w:val="single"/>
                <w:rtl/>
              </w:rPr>
              <w:t>עלות הרכישה</w:t>
            </w:r>
          </w:p>
        </w:tc>
        <w:tc>
          <w:tcPr>
            <w:tcW w:w="280" w:type="dxa"/>
            <w:shd w:val="clear" w:color="auto" w:fill="auto"/>
            <w:vAlign w:val="bottom"/>
          </w:tcPr>
          <w:p w14:paraId="6282969B" w14:textId="77777777" w:rsidR="005C7A74" w:rsidRPr="00054702" w:rsidRDefault="005C7A74" w:rsidP="005C7A74">
            <w:pPr>
              <w:pStyle w:val="a3"/>
              <w:widowControl/>
              <w:jc w:val="center"/>
              <w:rPr>
                <w:sz w:val="22"/>
                <w:rtl/>
              </w:rPr>
            </w:pPr>
          </w:p>
        </w:tc>
        <w:tc>
          <w:tcPr>
            <w:tcW w:w="1162" w:type="dxa"/>
            <w:shd w:val="clear" w:color="auto" w:fill="auto"/>
            <w:vAlign w:val="bottom"/>
          </w:tcPr>
          <w:p w14:paraId="46D8AEEC" w14:textId="77777777" w:rsidR="005C7A74" w:rsidRPr="00054702" w:rsidRDefault="005C7A74" w:rsidP="005C7A74">
            <w:pPr>
              <w:pStyle w:val="a3"/>
              <w:widowControl/>
              <w:jc w:val="center"/>
              <w:rPr>
                <w:sz w:val="22"/>
                <w:rtl/>
              </w:rPr>
            </w:pPr>
          </w:p>
        </w:tc>
      </w:tr>
      <w:tr w:rsidR="005C7A74" w:rsidRPr="00054702" w14:paraId="133EF47D" w14:textId="77777777" w:rsidTr="00F47322">
        <w:tc>
          <w:tcPr>
            <w:tcW w:w="1142" w:type="dxa"/>
            <w:tcBorders>
              <w:top w:val="single" w:sz="4" w:space="0" w:color="auto"/>
            </w:tcBorders>
          </w:tcPr>
          <w:p w14:paraId="0BBE30BA"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1A601436" w14:textId="77777777" w:rsidR="005C7A74" w:rsidRPr="00054702" w:rsidRDefault="005C7A74" w:rsidP="005C7A74">
            <w:pPr>
              <w:pStyle w:val="a3"/>
              <w:widowControl/>
              <w:rPr>
                <w:sz w:val="22"/>
                <w:rtl/>
              </w:rPr>
            </w:pPr>
          </w:p>
        </w:tc>
        <w:tc>
          <w:tcPr>
            <w:tcW w:w="280" w:type="dxa"/>
            <w:shd w:val="clear" w:color="auto" w:fill="auto"/>
            <w:vAlign w:val="bottom"/>
          </w:tcPr>
          <w:p w14:paraId="72F40E68" w14:textId="77777777" w:rsidR="005C7A74" w:rsidRPr="00054702" w:rsidRDefault="005C7A74" w:rsidP="005C7A74">
            <w:pPr>
              <w:pStyle w:val="a3"/>
              <w:widowControl/>
              <w:jc w:val="center"/>
              <w:rPr>
                <w:sz w:val="22"/>
                <w:rtl/>
              </w:rPr>
            </w:pPr>
          </w:p>
        </w:tc>
        <w:tc>
          <w:tcPr>
            <w:tcW w:w="1162" w:type="dxa"/>
            <w:tcBorders>
              <w:bottom w:val="single" w:sz="4" w:space="0" w:color="auto"/>
            </w:tcBorders>
            <w:shd w:val="clear" w:color="auto" w:fill="auto"/>
            <w:vAlign w:val="bottom"/>
          </w:tcPr>
          <w:p w14:paraId="17D9A295" w14:textId="77777777" w:rsidR="005C7A74" w:rsidRPr="00054702" w:rsidRDefault="005C7A74" w:rsidP="005C7A74">
            <w:pPr>
              <w:pStyle w:val="a3"/>
              <w:widowControl/>
              <w:jc w:val="center"/>
              <w:rPr>
                <w:sz w:val="22"/>
                <w:rtl/>
              </w:rPr>
            </w:pPr>
            <w:r w:rsidRPr="00054702">
              <w:rPr>
                <w:rFonts w:hint="cs"/>
                <w:sz w:val="22"/>
                <w:rtl/>
              </w:rPr>
              <w:t>אלפי ש</w:t>
            </w:r>
            <w:r w:rsidRPr="00054702">
              <w:rPr>
                <w:sz w:val="22"/>
                <w:rtl/>
              </w:rPr>
              <w:t>"</w:t>
            </w:r>
            <w:r w:rsidRPr="00054702">
              <w:rPr>
                <w:rFonts w:hint="cs"/>
                <w:sz w:val="22"/>
                <w:rtl/>
              </w:rPr>
              <w:t>ח</w:t>
            </w:r>
          </w:p>
        </w:tc>
      </w:tr>
      <w:tr w:rsidR="005C7A74" w:rsidRPr="00054702" w14:paraId="418AEBD1" w14:textId="77777777" w:rsidTr="00F47322">
        <w:tc>
          <w:tcPr>
            <w:tcW w:w="1142" w:type="dxa"/>
          </w:tcPr>
          <w:p w14:paraId="71362863"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45B85B05" w14:textId="77777777" w:rsidR="005C7A74" w:rsidRPr="00054702" w:rsidRDefault="005C7A74" w:rsidP="005C7A74">
            <w:pPr>
              <w:pStyle w:val="a3"/>
              <w:widowControl/>
              <w:rPr>
                <w:sz w:val="22"/>
                <w:rtl/>
              </w:rPr>
            </w:pPr>
          </w:p>
        </w:tc>
        <w:tc>
          <w:tcPr>
            <w:tcW w:w="280" w:type="dxa"/>
            <w:shd w:val="clear" w:color="auto" w:fill="auto"/>
            <w:vAlign w:val="bottom"/>
          </w:tcPr>
          <w:p w14:paraId="4C88AECD" w14:textId="77777777" w:rsidR="005C7A74" w:rsidRPr="00054702" w:rsidRDefault="005C7A74" w:rsidP="005C7A74">
            <w:pPr>
              <w:pStyle w:val="a3"/>
              <w:widowControl/>
              <w:jc w:val="center"/>
              <w:rPr>
                <w:sz w:val="22"/>
                <w:rtl/>
              </w:rPr>
            </w:pPr>
          </w:p>
        </w:tc>
        <w:tc>
          <w:tcPr>
            <w:tcW w:w="1162" w:type="dxa"/>
            <w:tcBorders>
              <w:top w:val="single" w:sz="4" w:space="0" w:color="auto"/>
            </w:tcBorders>
            <w:shd w:val="clear" w:color="auto" w:fill="auto"/>
            <w:vAlign w:val="bottom"/>
          </w:tcPr>
          <w:p w14:paraId="32A6BC19" w14:textId="77777777" w:rsidR="005C7A74" w:rsidRPr="00054702" w:rsidRDefault="005C7A74" w:rsidP="005C7A74">
            <w:pPr>
              <w:pStyle w:val="a3"/>
              <w:widowControl/>
              <w:jc w:val="center"/>
              <w:rPr>
                <w:sz w:val="22"/>
                <w:rtl/>
              </w:rPr>
            </w:pPr>
          </w:p>
        </w:tc>
      </w:tr>
      <w:tr w:rsidR="005C7A74" w:rsidRPr="00054702" w14:paraId="14373EE2" w14:textId="77777777" w:rsidTr="00F47322">
        <w:tc>
          <w:tcPr>
            <w:tcW w:w="1142" w:type="dxa"/>
            <w:tcBorders>
              <w:bottom w:val="single" w:sz="4" w:space="0" w:color="auto"/>
              <w:right w:val="single" w:sz="4" w:space="0" w:color="auto"/>
            </w:tcBorders>
          </w:tcPr>
          <w:p w14:paraId="09857783"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IAS 7.40(b)</w:t>
            </w:r>
          </w:p>
        </w:tc>
        <w:tc>
          <w:tcPr>
            <w:tcW w:w="7139" w:type="dxa"/>
            <w:tcBorders>
              <w:left w:val="single" w:sz="4" w:space="0" w:color="auto"/>
            </w:tcBorders>
            <w:shd w:val="clear" w:color="auto" w:fill="auto"/>
            <w:vAlign w:val="bottom"/>
          </w:tcPr>
          <w:p w14:paraId="6046941C" w14:textId="77777777" w:rsidR="005C7A74" w:rsidRPr="00054702" w:rsidRDefault="005C7A74" w:rsidP="005C7A74">
            <w:pPr>
              <w:pStyle w:val="a3"/>
              <w:widowControl/>
              <w:rPr>
                <w:sz w:val="22"/>
                <w:rtl/>
              </w:rPr>
            </w:pPr>
            <w:r w:rsidRPr="00054702">
              <w:rPr>
                <w:rFonts w:hint="cs"/>
                <w:sz w:val="22"/>
                <w:rtl/>
              </w:rPr>
              <w:t>מזומן ששולם</w:t>
            </w:r>
          </w:p>
        </w:tc>
        <w:tc>
          <w:tcPr>
            <w:tcW w:w="280" w:type="dxa"/>
            <w:shd w:val="clear" w:color="auto" w:fill="auto"/>
            <w:vAlign w:val="bottom"/>
          </w:tcPr>
          <w:p w14:paraId="0EACE6DE" w14:textId="77777777" w:rsidR="005C7A74" w:rsidRPr="00054702" w:rsidRDefault="005C7A74" w:rsidP="005C7A74">
            <w:pPr>
              <w:pStyle w:val="a3"/>
              <w:widowControl/>
              <w:jc w:val="center"/>
              <w:rPr>
                <w:sz w:val="22"/>
                <w:rtl/>
              </w:rPr>
            </w:pPr>
          </w:p>
        </w:tc>
        <w:tc>
          <w:tcPr>
            <w:tcW w:w="1162" w:type="dxa"/>
            <w:shd w:val="clear" w:color="auto" w:fill="auto"/>
            <w:vAlign w:val="bottom"/>
          </w:tcPr>
          <w:p w14:paraId="1A218D52" w14:textId="77777777" w:rsidR="005C7A74" w:rsidRPr="00054702" w:rsidRDefault="005C7A74" w:rsidP="005C7A74">
            <w:pPr>
              <w:pStyle w:val="a3"/>
              <w:widowControl/>
              <w:jc w:val="center"/>
              <w:rPr>
                <w:sz w:val="22"/>
                <w:rtl/>
              </w:rPr>
            </w:pPr>
          </w:p>
        </w:tc>
      </w:tr>
      <w:tr w:rsidR="005C7A74" w:rsidRPr="00054702" w14:paraId="4C7B3033" w14:textId="77777777" w:rsidTr="00F47322">
        <w:tc>
          <w:tcPr>
            <w:tcW w:w="1142" w:type="dxa"/>
            <w:tcBorders>
              <w:top w:val="single" w:sz="4" w:space="0" w:color="auto"/>
            </w:tcBorders>
          </w:tcPr>
          <w:p w14:paraId="26743181"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529BEDB1" w14:textId="77777777" w:rsidR="005C7A74" w:rsidRPr="00054702" w:rsidRDefault="005C7A74" w:rsidP="005C7A74">
            <w:pPr>
              <w:pStyle w:val="a3"/>
              <w:widowControl/>
              <w:rPr>
                <w:sz w:val="22"/>
                <w:rtl/>
              </w:rPr>
            </w:pPr>
            <w:r w:rsidRPr="00054702">
              <w:rPr>
                <w:rFonts w:hint="cs"/>
                <w:sz w:val="22"/>
                <w:rtl/>
              </w:rPr>
              <w:t>זכאים בגין רכישה</w:t>
            </w:r>
          </w:p>
        </w:tc>
        <w:tc>
          <w:tcPr>
            <w:tcW w:w="280" w:type="dxa"/>
            <w:shd w:val="clear" w:color="auto" w:fill="auto"/>
            <w:vAlign w:val="bottom"/>
          </w:tcPr>
          <w:p w14:paraId="42FA723F" w14:textId="77777777" w:rsidR="005C7A74" w:rsidRPr="00054702" w:rsidRDefault="005C7A74" w:rsidP="005C7A74">
            <w:pPr>
              <w:pStyle w:val="a3"/>
              <w:widowControl/>
              <w:jc w:val="center"/>
              <w:rPr>
                <w:sz w:val="22"/>
                <w:rtl/>
              </w:rPr>
            </w:pPr>
          </w:p>
        </w:tc>
        <w:tc>
          <w:tcPr>
            <w:tcW w:w="1162" w:type="dxa"/>
            <w:shd w:val="clear" w:color="auto" w:fill="auto"/>
            <w:vAlign w:val="bottom"/>
          </w:tcPr>
          <w:p w14:paraId="1CFDB7A7" w14:textId="77777777" w:rsidR="005C7A74" w:rsidRPr="00054702" w:rsidRDefault="005C7A74" w:rsidP="005C7A74">
            <w:pPr>
              <w:pStyle w:val="a3"/>
              <w:widowControl/>
              <w:jc w:val="center"/>
              <w:rPr>
                <w:sz w:val="22"/>
                <w:rtl/>
              </w:rPr>
            </w:pPr>
          </w:p>
        </w:tc>
      </w:tr>
      <w:tr w:rsidR="005C7A74" w:rsidRPr="00054702" w14:paraId="003C1470" w14:textId="77777777" w:rsidTr="00F47322">
        <w:tc>
          <w:tcPr>
            <w:tcW w:w="1142" w:type="dxa"/>
            <w:tcBorders>
              <w:bottom w:val="single" w:sz="4" w:space="0" w:color="auto"/>
              <w:right w:val="single" w:sz="4" w:space="0" w:color="auto"/>
            </w:tcBorders>
          </w:tcPr>
          <w:p w14:paraId="2CF4E6A6" w14:textId="77777777" w:rsidR="005C7A74" w:rsidRPr="005C7A74" w:rsidRDefault="00A8112A"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IFRS 3.B64(f)(iv)</w:t>
            </w:r>
          </w:p>
        </w:tc>
        <w:tc>
          <w:tcPr>
            <w:tcW w:w="7139" w:type="dxa"/>
            <w:tcBorders>
              <w:left w:val="single" w:sz="4" w:space="0" w:color="auto"/>
            </w:tcBorders>
            <w:shd w:val="clear" w:color="auto" w:fill="auto"/>
            <w:vAlign w:val="bottom"/>
          </w:tcPr>
          <w:p w14:paraId="4A414B24" w14:textId="77777777" w:rsidR="005C7A74" w:rsidRPr="00054702" w:rsidRDefault="005C7A74" w:rsidP="005C7A74">
            <w:pPr>
              <w:pStyle w:val="a3"/>
              <w:widowControl/>
              <w:rPr>
                <w:sz w:val="22"/>
                <w:rtl/>
              </w:rPr>
            </w:pPr>
            <w:r w:rsidRPr="00054702">
              <w:rPr>
                <w:rFonts w:hint="cs"/>
                <w:sz w:val="22"/>
                <w:rtl/>
              </w:rPr>
              <w:t xml:space="preserve">מניות שהונפקו, בשווי הוגן </w:t>
            </w:r>
          </w:p>
        </w:tc>
        <w:tc>
          <w:tcPr>
            <w:tcW w:w="280" w:type="dxa"/>
            <w:shd w:val="clear" w:color="auto" w:fill="auto"/>
            <w:vAlign w:val="bottom"/>
          </w:tcPr>
          <w:p w14:paraId="45EC7FF1" w14:textId="77777777" w:rsidR="005C7A74" w:rsidRPr="00054702" w:rsidRDefault="005C7A74" w:rsidP="005C7A74">
            <w:pPr>
              <w:pStyle w:val="a3"/>
              <w:rPr>
                <w:sz w:val="22"/>
                <w:rtl/>
              </w:rPr>
            </w:pPr>
          </w:p>
        </w:tc>
        <w:tc>
          <w:tcPr>
            <w:tcW w:w="1162" w:type="dxa"/>
            <w:shd w:val="clear" w:color="auto" w:fill="auto"/>
            <w:vAlign w:val="bottom"/>
          </w:tcPr>
          <w:p w14:paraId="1CF50E8E" w14:textId="77777777" w:rsidR="005C7A74" w:rsidRPr="00054702" w:rsidRDefault="005C7A74" w:rsidP="005C7A74">
            <w:pPr>
              <w:pStyle w:val="a3"/>
              <w:rPr>
                <w:sz w:val="22"/>
                <w:rtl/>
              </w:rPr>
            </w:pPr>
          </w:p>
        </w:tc>
      </w:tr>
      <w:tr w:rsidR="005C7A74" w:rsidRPr="00054702" w14:paraId="4928AE9D" w14:textId="77777777" w:rsidTr="00F47322">
        <w:tc>
          <w:tcPr>
            <w:tcW w:w="1142" w:type="dxa"/>
            <w:tcBorders>
              <w:top w:val="single" w:sz="4" w:space="0" w:color="auto"/>
              <w:bottom w:val="single" w:sz="4" w:space="0" w:color="auto"/>
              <w:right w:val="single" w:sz="4" w:space="0" w:color="auto"/>
            </w:tcBorders>
          </w:tcPr>
          <w:p w14:paraId="1BE8BEAB" w14:textId="77777777" w:rsidR="005C7A74" w:rsidRPr="005C7A74" w:rsidRDefault="00A8112A"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IFRS 3.B64(f)(iii)</w:t>
            </w:r>
          </w:p>
        </w:tc>
        <w:tc>
          <w:tcPr>
            <w:tcW w:w="7139" w:type="dxa"/>
            <w:tcBorders>
              <w:left w:val="single" w:sz="4" w:space="0" w:color="auto"/>
            </w:tcBorders>
            <w:shd w:val="clear" w:color="auto" w:fill="auto"/>
            <w:vAlign w:val="bottom"/>
          </w:tcPr>
          <w:p w14:paraId="4AE75F84" w14:textId="77777777" w:rsidR="005C7A74" w:rsidRPr="00054702" w:rsidRDefault="005C7A74" w:rsidP="005C7A74">
            <w:pPr>
              <w:pStyle w:val="a3"/>
              <w:widowControl/>
              <w:rPr>
                <w:sz w:val="22"/>
                <w:rtl/>
              </w:rPr>
            </w:pPr>
            <w:r w:rsidRPr="00054702">
              <w:rPr>
                <w:rFonts w:hint="cs"/>
                <w:sz w:val="22"/>
                <w:rtl/>
              </w:rPr>
              <w:t>התחייבות בגין תמורה מותנית</w:t>
            </w:r>
          </w:p>
        </w:tc>
        <w:tc>
          <w:tcPr>
            <w:tcW w:w="280" w:type="dxa"/>
            <w:shd w:val="clear" w:color="auto" w:fill="auto"/>
            <w:vAlign w:val="bottom"/>
          </w:tcPr>
          <w:p w14:paraId="2948386D" w14:textId="77777777" w:rsidR="005C7A74" w:rsidRPr="00054702" w:rsidRDefault="005C7A74" w:rsidP="005C7A74">
            <w:pPr>
              <w:pStyle w:val="a3"/>
              <w:rPr>
                <w:sz w:val="22"/>
                <w:rtl/>
              </w:rPr>
            </w:pPr>
          </w:p>
        </w:tc>
        <w:tc>
          <w:tcPr>
            <w:tcW w:w="1162" w:type="dxa"/>
            <w:shd w:val="clear" w:color="auto" w:fill="auto"/>
            <w:vAlign w:val="bottom"/>
          </w:tcPr>
          <w:p w14:paraId="52A96F89" w14:textId="77777777" w:rsidR="005C7A74" w:rsidRPr="00054702" w:rsidRDefault="005C7A74" w:rsidP="005C7A74">
            <w:pPr>
              <w:pStyle w:val="a3"/>
              <w:rPr>
                <w:sz w:val="22"/>
                <w:rtl/>
              </w:rPr>
            </w:pPr>
          </w:p>
        </w:tc>
      </w:tr>
      <w:tr w:rsidR="005C7A74" w:rsidRPr="00054702" w14:paraId="3AC0D0E9" w14:textId="77777777" w:rsidTr="00F47322">
        <w:tc>
          <w:tcPr>
            <w:tcW w:w="1142" w:type="dxa"/>
            <w:tcBorders>
              <w:top w:val="single" w:sz="4" w:space="0" w:color="auto"/>
            </w:tcBorders>
          </w:tcPr>
          <w:p w14:paraId="38BFA0B1"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2A84701B" w14:textId="77777777" w:rsidR="005C7A74" w:rsidRPr="00054702" w:rsidRDefault="005C7A74" w:rsidP="005C7A74">
            <w:pPr>
              <w:pStyle w:val="a3"/>
              <w:widowControl/>
              <w:rPr>
                <w:sz w:val="22"/>
                <w:rtl/>
              </w:rPr>
            </w:pPr>
            <w:r w:rsidRPr="00054702">
              <w:rPr>
                <w:rFonts w:hint="cs"/>
                <w:sz w:val="22"/>
                <w:rtl/>
              </w:rPr>
              <w:t>שווי הוגן של השקעה קיימת במועד הרכישה</w:t>
            </w:r>
          </w:p>
        </w:tc>
        <w:tc>
          <w:tcPr>
            <w:tcW w:w="280" w:type="dxa"/>
            <w:shd w:val="clear" w:color="auto" w:fill="auto"/>
            <w:vAlign w:val="bottom"/>
          </w:tcPr>
          <w:p w14:paraId="35CD926D" w14:textId="77777777" w:rsidR="005C7A74" w:rsidRPr="00054702" w:rsidRDefault="005C7A74" w:rsidP="005C7A74">
            <w:pPr>
              <w:pStyle w:val="a3"/>
              <w:rPr>
                <w:sz w:val="22"/>
                <w:rtl/>
              </w:rPr>
            </w:pPr>
          </w:p>
        </w:tc>
        <w:tc>
          <w:tcPr>
            <w:tcW w:w="1162" w:type="dxa"/>
            <w:shd w:val="clear" w:color="auto" w:fill="auto"/>
            <w:vAlign w:val="bottom"/>
          </w:tcPr>
          <w:p w14:paraId="2A77388A" w14:textId="77777777" w:rsidR="005C7A74" w:rsidRPr="00054702" w:rsidRDefault="005C7A74" w:rsidP="005C7A74">
            <w:pPr>
              <w:pStyle w:val="a3"/>
              <w:rPr>
                <w:sz w:val="22"/>
                <w:rtl/>
              </w:rPr>
            </w:pPr>
          </w:p>
        </w:tc>
      </w:tr>
      <w:tr w:rsidR="005C7A74" w:rsidRPr="00054702" w14:paraId="0259A255" w14:textId="77777777" w:rsidTr="00F47322">
        <w:tc>
          <w:tcPr>
            <w:tcW w:w="1142" w:type="dxa"/>
          </w:tcPr>
          <w:p w14:paraId="121B5F20"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3F1D185B" w14:textId="77777777" w:rsidR="005C7A74" w:rsidRPr="00054702" w:rsidRDefault="005C7A74" w:rsidP="005C7A74">
            <w:pPr>
              <w:pStyle w:val="a3"/>
              <w:widowControl/>
              <w:rPr>
                <w:sz w:val="22"/>
                <w:rtl/>
              </w:rPr>
            </w:pPr>
          </w:p>
        </w:tc>
        <w:tc>
          <w:tcPr>
            <w:tcW w:w="280" w:type="dxa"/>
            <w:shd w:val="clear" w:color="auto" w:fill="auto"/>
            <w:vAlign w:val="bottom"/>
          </w:tcPr>
          <w:p w14:paraId="5A3C2AB5" w14:textId="77777777" w:rsidR="005C7A74" w:rsidRPr="00054702" w:rsidRDefault="005C7A74" w:rsidP="005C7A74">
            <w:pPr>
              <w:pStyle w:val="a3"/>
              <w:rPr>
                <w:sz w:val="22"/>
                <w:rtl/>
              </w:rPr>
            </w:pPr>
          </w:p>
        </w:tc>
        <w:tc>
          <w:tcPr>
            <w:tcW w:w="1162" w:type="dxa"/>
            <w:tcBorders>
              <w:top w:val="single" w:sz="6" w:space="0" w:color="auto"/>
            </w:tcBorders>
            <w:shd w:val="clear" w:color="auto" w:fill="auto"/>
            <w:vAlign w:val="bottom"/>
          </w:tcPr>
          <w:p w14:paraId="513F3ED0" w14:textId="77777777" w:rsidR="005C7A74" w:rsidRPr="00054702" w:rsidRDefault="005C7A74" w:rsidP="005C7A74">
            <w:pPr>
              <w:pStyle w:val="a3"/>
              <w:rPr>
                <w:sz w:val="22"/>
                <w:rtl/>
              </w:rPr>
            </w:pPr>
          </w:p>
        </w:tc>
      </w:tr>
      <w:tr w:rsidR="005C7A74" w:rsidRPr="00054702" w14:paraId="7C509D2A" w14:textId="77777777" w:rsidTr="00F47322">
        <w:tc>
          <w:tcPr>
            <w:tcW w:w="1142" w:type="dxa"/>
            <w:tcBorders>
              <w:bottom w:val="single" w:sz="4" w:space="0" w:color="auto"/>
              <w:right w:val="single" w:sz="4" w:space="0" w:color="auto"/>
            </w:tcBorders>
          </w:tcPr>
          <w:p w14:paraId="43B55884" w14:textId="77777777" w:rsidR="005C7A74" w:rsidRPr="005C7A74" w:rsidRDefault="00A8112A"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IAS 7.40(a)</w:t>
            </w:r>
          </w:p>
        </w:tc>
        <w:tc>
          <w:tcPr>
            <w:tcW w:w="7139" w:type="dxa"/>
            <w:tcBorders>
              <w:left w:val="single" w:sz="4" w:space="0" w:color="auto"/>
            </w:tcBorders>
            <w:shd w:val="clear" w:color="auto" w:fill="auto"/>
            <w:vAlign w:val="bottom"/>
          </w:tcPr>
          <w:p w14:paraId="1F119E4B" w14:textId="77777777" w:rsidR="005C7A74" w:rsidRPr="00054702" w:rsidRDefault="005C7A74" w:rsidP="005C7A74">
            <w:pPr>
              <w:pStyle w:val="a3"/>
              <w:widowControl/>
              <w:rPr>
                <w:sz w:val="22"/>
                <w:rtl/>
              </w:rPr>
            </w:pPr>
            <w:r w:rsidRPr="00054702">
              <w:rPr>
                <w:rFonts w:hint="cs"/>
                <w:sz w:val="22"/>
                <w:rtl/>
              </w:rPr>
              <w:t>סך עלות הרכישה</w:t>
            </w:r>
          </w:p>
        </w:tc>
        <w:tc>
          <w:tcPr>
            <w:tcW w:w="280" w:type="dxa"/>
            <w:shd w:val="clear" w:color="auto" w:fill="auto"/>
            <w:vAlign w:val="bottom"/>
          </w:tcPr>
          <w:p w14:paraId="01F261AA" w14:textId="77777777" w:rsidR="005C7A74" w:rsidRPr="00054702" w:rsidRDefault="005C7A74" w:rsidP="005C7A74">
            <w:pPr>
              <w:pStyle w:val="a3"/>
              <w:rPr>
                <w:sz w:val="22"/>
                <w:rtl/>
              </w:rPr>
            </w:pPr>
          </w:p>
        </w:tc>
        <w:tc>
          <w:tcPr>
            <w:tcW w:w="1162" w:type="dxa"/>
            <w:tcBorders>
              <w:bottom w:val="double" w:sz="6" w:space="0" w:color="auto"/>
            </w:tcBorders>
            <w:shd w:val="clear" w:color="auto" w:fill="auto"/>
            <w:vAlign w:val="bottom"/>
          </w:tcPr>
          <w:p w14:paraId="4A9975FF" w14:textId="77777777" w:rsidR="005C7A74" w:rsidRPr="00054702" w:rsidRDefault="005C7A74" w:rsidP="005C7A74">
            <w:pPr>
              <w:pStyle w:val="a3"/>
              <w:rPr>
                <w:sz w:val="22"/>
                <w:rtl/>
              </w:rPr>
            </w:pPr>
          </w:p>
        </w:tc>
      </w:tr>
      <w:tr w:rsidR="00A8112A" w:rsidRPr="00054702" w14:paraId="0E3396D8" w14:textId="77777777" w:rsidTr="00F47322">
        <w:tc>
          <w:tcPr>
            <w:tcW w:w="1142" w:type="dxa"/>
            <w:tcBorders>
              <w:top w:val="single" w:sz="4" w:space="0" w:color="auto"/>
            </w:tcBorders>
          </w:tcPr>
          <w:p w14:paraId="3BAA49D2" w14:textId="77777777" w:rsidR="00A8112A" w:rsidRPr="005C7A74" w:rsidRDefault="00A8112A" w:rsidP="00F47322">
            <w:pPr>
              <w:pStyle w:val="a3"/>
              <w:widowControl/>
              <w:bidi w:val="0"/>
              <w:ind w:left="0" w:right="28"/>
              <w:jc w:val="right"/>
              <w:rPr>
                <w:rFonts w:asciiTheme="majorBidi" w:hAnsiTheme="majorBidi" w:cstheme="majorBidi"/>
                <w:i/>
                <w:iCs/>
                <w:sz w:val="13"/>
                <w:szCs w:val="13"/>
                <w:u w:val="single"/>
                <w:rtl/>
              </w:rPr>
            </w:pPr>
          </w:p>
        </w:tc>
        <w:tc>
          <w:tcPr>
            <w:tcW w:w="7139" w:type="dxa"/>
            <w:shd w:val="clear" w:color="auto" w:fill="auto"/>
            <w:vAlign w:val="bottom"/>
          </w:tcPr>
          <w:p w14:paraId="0EDED6FB" w14:textId="77777777" w:rsidR="00A8112A" w:rsidRPr="00054702" w:rsidRDefault="00A8112A" w:rsidP="005C7A74">
            <w:pPr>
              <w:pStyle w:val="a3"/>
              <w:widowControl/>
              <w:rPr>
                <w:sz w:val="22"/>
                <w:u w:val="single"/>
                <w:rtl/>
              </w:rPr>
            </w:pPr>
          </w:p>
        </w:tc>
        <w:tc>
          <w:tcPr>
            <w:tcW w:w="280" w:type="dxa"/>
            <w:shd w:val="clear" w:color="auto" w:fill="auto"/>
            <w:vAlign w:val="bottom"/>
          </w:tcPr>
          <w:p w14:paraId="15EA1EEC" w14:textId="77777777" w:rsidR="00A8112A" w:rsidRPr="00054702" w:rsidRDefault="00A8112A" w:rsidP="005C7A74">
            <w:pPr>
              <w:pStyle w:val="a3"/>
              <w:rPr>
                <w:sz w:val="22"/>
                <w:rtl/>
              </w:rPr>
            </w:pPr>
          </w:p>
        </w:tc>
        <w:tc>
          <w:tcPr>
            <w:tcW w:w="1162" w:type="dxa"/>
            <w:shd w:val="clear" w:color="auto" w:fill="auto"/>
            <w:vAlign w:val="bottom"/>
          </w:tcPr>
          <w:p w14:paraId="51B0FF00" w14:textId="77777777" w:rsidR="00A8112A" w:rsidRPr="00054702" w:rsidRDefault="00A8112A" w:rsidP="005C7A74">
            <w:pPr>
              <w:pStyle w:val="a3"/>
              <w:rPr>
                <w:sz w:val="22"/>
                <w:rtl/>
              </w:rPr>
            </w:pPr>
          </w:p>
        </w:tc>
      </w:tr>
      <w:tr w:rsidR="005C7A74" w:rsidRPr="00054702" w14:paraId="66731C95" w14:textId="77777777" w:rsidTr="00F47322">
        <w:tc>
          <w:tcPr>
            <w:tcW w:w="1142" w:type="dxa"/>
          </w:tcPr>
          <w:p w14:paraId="6C2E88E6" w14:textId="77777777" w:rsidR="005C7A74" w:rsidRPr="005C7A74" w:rsidRDefault="005C7A74" w:rsidP="00F47322">
            <w:pPr>
              <w:pStyle w:val="a3"/>
              <w:widowControl/>
              <w:bidi w:val="0"/>
              <w:ind w:left="0" w:right="28"/>
              <w:jc w:val="right"/>
              <w:rPr>
                <w:rFonts w:asciiTheme="majorBidi" w:hAnsiTheme="majorBidi" w:cstheme="majorBidi"/>
                <w:i/>
                <w:iCs/>
                <w:sz w:val="13"/>
                <w:szCs w:val="13"/>
                <w:u w:val="single"/>
                <w:rtl/>
              </w:rPr>
            </w:pPr>
          </w:p>
        </w:tc>
        <w:tc>
          <w:tcPr>
            <w:tcW w:w="7139" w:type="dxa"/>
            <w:shd w:val="clear" w:color="auto" w:fill="auto"/>
            <w:vAlign w:val="bottom"/>
          </w:tcPr>
          <w:p w14:paraId="5046D4BE" w14:textId="77777777" w:rsidR="005C7A74" w:rsidRPr="00054702" w:rsidRDefault="005C7A74" w:rsidP="005C7A74">
            <w:pPr>
              <w:pStyle w:val="a3"/>
              <w:widowControl/>
              <w:rPr>
                <w:sz w:val="22"/>
                <w:u w:val="single"/>
                <w:rtl/>
              </w:rPr>
            </w:pPr>
            <w:r w:rsidRPr="00054702">
              <w:rPr>
                <w:rFonts w:hint="cs"/>
                <w:sz w:val="22"/>
                <w:u w:val="single"/>
                <w:rtl/>
              </w:rPr>
              <w:t>מזומנים אשר נבעו מהרכישה</w:t>
            </w:r>
            <w:r w:rsidRPr="00054702">
              <w:rPr>
                <w:sz w:val="22"/>
                <w:u w:val="single"/>
              </w:rPr>
              <w:t>/</w:t>
            </w:r>
            <w:r w:rsidRPr="00054702">
              <w:rPr>
                <w:rFonts w:hint="cs"/>
                <w:sz w:val="22"/>
                <w:u w:val="single"/>
                <w:rtl/>
              </w:rPr>
              <w:t>שימשו לרכישה</w:t>
            </w:r>
            <w:r w:rsidRPr="00097515">
              <w:rPr>
                <w:rStyle w:val="ab"/>
                <w:sz w:val="22"/>
                <w:rtl/>
              </w:rPr>
              <w:footnoteReference w:id="97"/>
            </w:r>
          </w:p>
        </w:tc>
        <w:tc>
          <w:tcPr>
            <w:tcW w:w="280" w:type="dxa"/>
            <w:shd w:val="clear" w:color="auto" w:fill="auto"/>
            <w:vAlign w:val="bottom"/>
          </w:tcPr>
          <w:p w14:paraId="485C5A29" w14:textId="77777777" w:rsidR="005C7A74" w:rsidRPr="00054702" w:rsidRDefault="005C7A74" w:rsidP="005C7A74">
            <w:pPr>
              <w:pStyle w:val="a3"/>
              <w:rPr>
                <w:sz w:val="22"/>
                <w:rtl/>
              </w:rPr>
            </w:pPr>
          </w:p>
        </w:tc>
        <w:tc>
          <w:tcPr>
            <w:tcW w:w="1162" w:type="dxa"/>
            <w:shd w:val="clear" w:color="auto" w:fill="auto"/>
            <w:vAlign w:val="bottom"/>
          </w:tcPr>
          <w:p w14:paraId="19FBA845" w14:textId="77777777" w:rsidR="005C7A74" w:rsidRPr="00054702" w:rsidRDefault="005C7A74" w:rsidP="005C7A74">
            <w:pPr>
              <w:pStyle w:val="a3"/>
              <w:rPr>
                <w:sz w:val="22"/>
                <w:rtl/>
              </w:rPr>
            </w:pPr>
          </w:p>
        </w:tc>
      </w:tr>
      <w:tr w:rsidR="005C7A74" w:rsidRPr="00054702" w14:paraId="0283449F" w14:textId="77777777" w:rsidTr="00F47322">
        <w:tc>
          <w:tcPr>
            <w:tcW w:w="1142" w:type="dxa"/>
          </w:tcPr>
          <w:p w14:paraId="691C5ED6"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006F285D" w14:textId="77777777" w:rsidR="005C7A74" w:rsidRPr="00054702" w:rsidRDefault="005C7A74" w:rsidP="005C7A74">
            <w:pPr>
              <w:pStyle w:val="a3"/>
              <w:widowControl/>
              <w:rPr>
                <w:sz w:val="22"/>
                <w:rtl/>
              </w:rPr>
            </w:pPr>
          </w:p>
        </w:tc>
        <w:tc>
          <w:tcPr>
            <w:tcW w:w="280" w:type="dxa"/>
            <w:shd w:val="clear" w:color="auto" w:fill="auto"/>
            <w:vAlign w:val="bottom"/>
          </w:tcPr>
          <w:p w14:paraId="436C2B7C" w14:textId="77777777" w:rsidR="005C7A74" w:rsidRPr="00054702" w:rsidRDefault="005C7A74" w:rsidP="005C7A74">
            <w:pPr>
              <w:pStyle w:val="a3"/>
              <w:rPr>
                <w:sz w:val="22"/>
                <w:rtl/>
              </w:rPr>
            </w:pPr>
          </w:p>
        </w:tc>
        <w:tc>
          <w:tcPr>
            <w:tcW w:w="1162" w:type="dxa"/>
            <w:shd w:val="clear" w:color="auto" w:fill="auto"/>
            <w:vAlign w:val="bottom"/>
          </w:tcPr>
          <w:p w14:paraId="27CD1AA0" w14:textId="77777777" w:rsidR="005C7A74" w:rsidRPr="00054702" w:rsidRDefault="005C7A74" w:rsidP="005C7A74">
            <w:pPr>
              <w:pStyle w:val="a3"/>
              <w:rPr>
                <w:sz w:val="22"/>
                <w:rtl/>
              </w:rPr>
            </w:pPr>
          </w:p>
        </w:tc>
      </w:tr>
      <w:tr w:rsidR="005C7A74" w:rsidRPr="00054702" w14:paraId="7BCAAA0E" w14:textId="77777777" w:rsidTr="00F47322">
        <w:tc>
          <w:tcPr>
            <w:tcW w:w="1142" w:type="dxa"/>
            <w:tcBorders>
              <w:bottom w:val="single" w:sz="4" w:space="0" w:color="auto"/>
              <w:right w:val="single" w:sz="4" w:space="0" w:color="auto"/>
            </w:tcBorders>
          </w:tcPr>
          <w:p w14:paraId="00EC28BC" w14:textId="77777777" w:rsidR="005C7A74" w:rsidRPr="005C7A74" w:rsidRDefault="00A8112A"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IAS 7.40(c)</w:t>
            </w:r>
          </w:p>
        </w:tc>
        <w:tc>
          <w:tcPr>
            <w:tcW w:w="7139" w:type="dxa"/>
            <w:tcBorders>
              <w:left w:val="single" w:sz="4" w:space="0" w:color="auto"/>
            </w:tcBorders>
            <w:shd w:val="clear" w:color="auto" w:fill="auto"/>
            <w:vAlign w:val="bottom"/>
          </w:tcPr>
          <w:p w14:paraId="7EE364C6" w14:textId="77777777" w:rsidR="005C7A74" w:rsidRPr="00054702" w:rsidRDefault="005C7A74" w:rsidP="005C7A74">
            <w:pPr>
              <w:pStyle w:val="a3"/>
              <w:widowControl/>
              <w:rPr>
                <w:sz w:val="22"/>
                <w:rtl/>
              </w:rPr>
            </w:pPr>
            <w:r w:rsidRPr="00054702">
              <w:rPr>
                <w:rFonts w:hint="cs"/>
                <w:sz w:val="22"/>
                <w:rtl/>
              </w:rPr>
              <w:t>מזומנים ושווי מזומנים בחברה הנרכשת למועד הרכישה</w:t>
            </w:r>
          </w:p>
        </w:tc>
        <w:tc>
          <w:tcPr>
            <w:tcW w:w="280" w:type="dxa"/>
            <w:shd w:val="clear" w:color="auto" w:fill="auto"/>
            <w:vAlign w:val="bottom"/>
          </w:tcPr>
          <w:p w14:paraId="749E04C5" w14:textId="77777777" w:rsidR="005C7A74" w:rsidRPr="00054702" w:rsidRDefault="005C7A74" w:rsidP="005C7A74">
            <w:pPr>
              <w:pStyle w:val="a3"/>
              <w:rPr>
                <w:sz w:val="22"/>
                <w:rtl/>
              </w:rPr>
            </w:pPr>
          </w:p>
        </w:tc>
        <w:tc>
          <w:tcPr>
            <w:tcW w:w="1162" w:type="dxa"/>
            <w:shd w:val="clear" w:color="auto" w:fill="auto"/>
            <w:vAlign w:val="bottom"/>
          </w:tcPr>
          <w:p w14:paraId="6D29E888" w14:textId="77777777" w:rsidR="005C7A74" w:rsidRPr="00054702" w:rsidRDefault="005C7A74" w:rsidP="005C7A74">
            <w:pPr>
              <w:pStyle w:val="a3"/>
              <w:rPr>
                <w:sz w:val="22"/>
                <w:rtl/>
              </w:rPr>
            </w:pPr>
          </w:p>
        </w:tc>
      </w:tr>
      <w:tr w:rsidR="005C7A74" w:rsidRPr="00054702" w14:paraId="6CE4436F" w14:textId="77777777" w:rsidTr="00F47322">
        <w:tc>
          <w:tcPr>
            <w:tcW w:w="1142" w:type="dxa"/>
            <w:tcBorders>
              <w:top w:val="single" w:sz="4" w:space="0" w:color="auto"/>
              <w:bottom w:val="single" w:sz="4" w:space="0" w:color="auto"/>
              <w:right w:val="single" w:sz="4" w:space="0" w:color="auto"/>
            </w:tcBorders>
          </w:tcPr>
          <w:p w14:paraId="28EAD6A5" w14:textId="77777777" w:rsidR="005C7A74" w:rsidRPr="005C7A74" w:rsidRDefault="00A8112A"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IAS 7.40(b)</w:t>
            </w:r>
          </w:p>
        </w:tc>
        <w:tc>
          <w:tcPr>
            <w:tcW w:w="7139" w:type="dxa"/>
            <w:tcBorders>
              <w:left w:val="single" w:sz="4" w:space="0" w:color="auto"/>
            </w:tcBorders>
            <w:shd w:val="clear" w:color="auto" w:fill="auto"/>
            <w:vAlign w:val="bottom"/>
          </w:tcPr>
          <w:p w14:paraId="54393FA6" w14:textId="77777777" w:rsidR="005C7A74" w:rsidRPr="00054702" w:rsidRDefault="005C7A74" w:rsidP="005C7A74">
            <w:pPr>
              <w:pStyle w:val="a3"/>
              <w:widowControl/>
              <w:rPr>
                <w:sz w:val="22"/>
                <w:rtl/>
              </w:rPr>
            </w:pPr>
            <w:r w:rsidRPr="00054702">
              <w:rPr>
                <w:rFonts w:hint="cs"/>
                <w:sz w:val="22"/>
                <w:rtl/>
              </w:rPr>
              <w:t>מזומנים ששולמו תמורת הרכישה</w:t>
            </w:r>
          </w:p>
        </w:tc>
        <w:tc>
          <w:tcPr>
            <w:tcW w:w="280" w:type="dxa"/>
            <w:shd w:val="clear" w:color="auto" w:fill="auto"/>
            <w:vAlign w:val="bottom"/>
          </w:tcPr>
          <w:p w14:paraId="334B96A0" w14:textId="77777777" w:rsidR="005C7A74" w:rsidRPr="00054702" w:rsidRDefault="005C7A74" w:rsidP="005C7A74">
            <w:pPr>
              <w:pStyle w:val="a3"/>
              <w:rPr>
                <w:sz w:val="22"/>
                <w:rtl/>
              </w:rPr>
            </w:pPr>
          </w:p>
        </w:tc>
        <w:tc>
          <w:tcPr>
            <w:tcW w:w="1162" w:type="dxa"/>
            <w:tcBorders>
              <w:bottom w:val="single" w:sz="6" w:space="0" w:color="auto"/>
            </w:tcBorders>
            <w:shd w:val="clear" w:color="auto" w:fill="auto"/>
            <w:vAlign w:val="bottom"/>
          </w:tcPr>
          <w:p w14:paraId="75DE515D" w14:textId="77777777" w:rsidR="005C7A74" w:rsidRPr="00054702" w:rsidRDefault="005C7A74" w:rsidP="005C7A74">
            <w:pPr>
              <w:pStyle w:val="a3"/>
              <w:rPr>
                <w:sz w:val="22"/>
                <w:rtl/>
              </w:rPr>
            </w:pPr>
          </w:p>
        </w:tc>
      </w:tr>
      <w:tr w:rsidR="005C7A74" w:rsidRPr="00054702" w14:paraId="725CB712" w14:textId="77777777" w:rsidTr="00F47322">
        <w:tc>
          <w:tcPr>
            <w:tcW w:w="1142" w:type="dxa"/>
            <w:tcBorders>
              <w:top w:val="single" w:sz="4" w:space="0" w:color="auto"/>
            </w:tcBorders>
          </w:tcPr>
          <w:p w14:paraId="0BFBF3D6"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5BC60B9E" w14:textId="77777777" w:rsidR="005C7A74" w:rsidRPr="00054702" w:rsidRDefault="005C7A74" w:rsidP="005C7A74">
            <w:pPr>
              <w:pStyle w:val="a3"/>
              <w:widowControl/>
              <w:rPr>
                <w:sz w:val="22"/>
                <w:rtl/>
              </w:rPr>
            </w:pPr>
          </w:p>
        </w:tc>
        <w:tc>
          <w:tcPr>
            <w:tcW w:w="280" w:type="dxa"/>
            <w:shd w:val="clear" w:color="auto" w:fill="auto"/>
            <w:vAlign w:val="bottom"/>
          </w:tcPr>
          <w:p w14:paraId="57B8930D" w14:textId="77777777" w:rsidR="005C7A74" w:rsidRPr="00054702" w:rsidRDefault="005C7A74" w:rsidP="005C7A74">
            <w:pPr>
              <w:pStyle w:val="a3"/>
              <w:rPr>
                <w:sz w:val="22"/>
                <w:rtl/>
              </w:rPr>
            </w:pPr>
          </w:p>
        </w:tc>
        <w:tc>
          <w:tcPr>
            <w:tcW w:w="1162" w:type="dxa"/>
            <w:tcBorders>
              <w:top w:val="single" w:sz="6" w:space="0" w:color="auto"/>
            </w:tcBorders>
            <w:shd w:val="clear" w:color="auto" w:fill="auto"/>
            <w:vAlign w:val="bottom"/>
          </w:tcPr>
          <w:p w14:paraId="5EEE2DB7" w14:textId="77777777" w:rsidR="005C7A74" w:rsidRPr="00054702" w:rsidRDefault="005C7A74" w:rsidP="005C7A74">
            <w:pPr>
              <w:pStyle w:val="a3"/>
              <w:rPr>
                <w:sz w:val="22"/>
                <w:rtl/>
              </w:rPr>
            </w:pPr>
          </w:p>
        </w:tc>
      </w:tr>
      <w:tr w:rsidR="005C7A74" w:rsidRPr="00054702" w14:paraId="07C4D578" w14:textId="77777777" w:rsidTr="00F47322">
        <w:tc>
          <w:tcPr>
            <w:tcW w:w="1142" w:type="dxa"/>
          </w:tcPr>
          <w:p w14:paraId="69E81576"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078C4DAD" w14:textId="77777777" w:rsidR="005C7A74" w:rsidRPr="00054702" w:rsidRDefault="005C7A74" w:rsidP="005C7A74">
            <w:pPr>
              <w:pStyle w:val="a3"/>
              <w:widowControl/>
              <w:rPr>
                <w:sz w:val="22"/>
                <w:rtl/>
              </w:rPr>
            </w:pPr>
            <w:r w:rsidRPr="00054702">
              <w:rPr>
                <w:rFonts w:hint="cs"/>
                <w:sz w:val="22"/>
                <w:rtl/>
              </w:rPr>
              <w:t xml:space="preserve">מזומנים, נטו </w:t>
            </w:r>
          </w:p>
        </w:tc>
        <w:tc>
          <w:tcPr>
            <w:tcW w:w="280" w:type="dxa"/>
            <w:shd w:val="clear" w:color="auto" w:fill="auto"/>
            <w:vAlign w:val="bottom"/>
          </w:tcPr>
          <w:p w14:paraId="2C8C985A" w14:textId="77777777" w:rsidR="005C7A74" w:rsidRPr="00054702" w:rsidRDefault="005C7A74" w:rsidP="005C7A74">
            <w:pPr>
              <w:pStyle w:val="a3"/>
              <w:rPr>
                <w:sz w:val="22"/>
                <w:rtl/>
              </w:rPr>
            </w:pPr>
          </w:p>
        </w:tc>
        <w:tc>
          <w:tcPr>
            <w:tcW w:w="1162" w:type="dxa"/>
            <w:tcBorders>
              <w:bottom w:val="double" w:sz="6" w:space="0" w:color="auto"/>
            </w:tcBorders>
            <w:shd w:val="clear" w:color="auto" w:fill="auto"/>
            <w:vAlign w:val="bottom"/>
          </w:tcPr>
          <w:p w14:paraId="28BD7882" w14:textId="77777777" w:rsidR="005C7A74" w:rsidRPr="00054702" w:rsidRDefault="005C7A74" w:rsidP="005C7A74">
            <w:pPr>
              <w:pStyle w:val="a3"/>
              <w:rPr>
                <w:sz w:val="22"/>
                <w:rtl/>
              </w:rPr>
            </w:pPr>
          </w:p>
        </w:tc>
      </w:tr>
    </w:tbl>
    <w:p w14:paraId="253DFF96" w14:textId="77777777" w:rsidR="007D6BDC" w:rsidRDefault="007D6BDC" w:rsidP="0076297A">
      <w:pPr>
        <w:pStyle w:val="30"/>
        <w:ind w:left="1134" w:firstLine="0"/>
        <w:rPr>
          <w:rtl/>
        </w:rPr>
      </w:pPr>
    </w:p>
    <w:tbl>
      <w:tblPr>
        <w:tblStyle w:val="af6"/>
        <w:bidiVisual/>
        <w:tblW w:w="9662" w:type="dxa"/>
        <w:tblInd w:w="-15" w:type="dxa"/>
        <w:tblLayout w:type="fixed"/>
        <w:tblCellMar>
          <w:left w:w="0" w:type="dxa"/>
          <w:right w:w="0" w:type="dxa"/>
        </w:tblCellMar>
        <w:tblLook w:val="04A0" w:firstRow="1" w:lastRow="0" w:firstColumn="1" w:lastColumn="0" w:noHBand="0" w:noVBand="1"/>
      </w:tblPr>
      <w:tblGrid>
        <w:gridCol w:w="1139"/>
        <w:gridCol w:w="8523"/>
      </w:tblGrid>
      <w:tr w:rsidR="00A8112A" w14:paraId="4E32AF58" w14:textId="77777777" w:rsidTr="00F47322">
        <w:tc>
          <w:tcPr>
            <w:tcW w:w="1139" w:type="dxa"/>
            <w:tcBorders>
              <w:top w:val="nil"/>
              <w:left w:val="nil"/>
              <w:bottom w:val="single" w:sz="4" w:space="0" w:color="auto"/>
              <w:right w:val="single" w:sz="4" w:space="0" w:color="auto"/>
            </w:tcBorders>
            <w:vAlign w:val="center"/>
          </w:tcPr>
          <w:p w14:paraId="5682F0A9" w14:textId="77777777" w:rsidR="00A8112A" w:rsidRPr="00F71E33" w:rsidRDefault="00A8112A" w:rsidP="00F47322">
            <w:pPr>
              <w:widowControl/>
              <w:bidi w:val="0"/>
              <w:spacing w:line="240" w:lineRule="exact"/>
              <w:ind w:right="28"/>
              <w:jc w:val="right"/>
              <w:rPr>
                <w:i/>
                <w:iCs/>
                <w:sz w:val="13"/>
                <w:szCs w:val="13"/>
              </w:rPr>
            </w:pPr>
            <w:r>
              <w:rPr>
                <w:i/>
                <w:iCs/>
                <w:sz w:val="13"/>
                <w:szCs w:val="13"/>
              </w:rPr>
              <w:t>IFRS 3.B64(q)</w:t>
            </w:r>
          </w:p>
        </w:tc>
        <w:tc>
          <w:tcPr>
            <w:tcW w:w="8523" w:type="dxa"/>
            <w:tcBorders>
              <w:top w:val="nil"/>
              <w:left w:val="single" w:sz="4" w:space="0" w:color="auto"/>
              <w:bottom w:val="nil"/>
              <w:right w:val="nil"/>
            </w:tcBorders>
          </w:tcPr>
          <w:p w14:paraId="7857750F" w14:textId="77777777" w:rsidR="00A8112A" w:rsidRDefault="00A8112A" w:rsidP="00A8112A">
            <w:pPr>
              <w:pStyle w:val="21"/>
              <w:tabs>
                <w:tab w:val="clear" w:pos="1134"/>
                <w:tab w:val="clear" w:pos="1701"/>
              </w:tabs>
              <w:ind w:left="56" w:firstLine="0"/>
              <w:rPr>
                <w:rtl/>
              </w:rPr>
            </w:pPr>
            <w:r w:rsidRPr="007D64FF">
              <w:rPr>
                <w:rFonts w:hint="cs"/>
                <w:rtl/>
              </w:rPr>
              <w:t>החל ממועד הרכישה, חברה א בע</w:t>
            </w:r>
            <w:r w:rsidRPr="007D64FF">
              <w:rPr>
                <w:rtl/>
              </w:rPr>
              <w:t>"</w:t>
            </w:r>
            <w:r w:rsidRPr="007D64FF">
              <w:rPr>
                <w:rFonts w:hint="cs"/>
                <w:rtl/>
              </w:rPr>
              <w:t>מ תרמה ____ אלפי ש</w:t>
            </w:r>
            <w:r w:rsidRPr="007D64FF">
              <w:rPr>
                <w:rtl/>
              </w:rPr>
              <w:t>"</w:t>
            </w:r>
            <w:r w:rsidRPr="007D64FF">
              <w:rPr>
                <w:rFonts w:hint="cs"/>
                <w:rtl/>
              </w:rPr>
              <w:t>ח לרווח הנקי המאוחד</w:t>
            </w:r>
            <w:r>
              <w:rPr>
                <w:rFonts w:hint="cs"/>
                <w:rtl/>
              </w:rPr>
              <w:t xml:space="preserve"> ו- ____ אלפי ש"ח למחזור ההכנסות המאוחד</w:t>
            </w:r>
            <w:r w:rsidRPr="007D64FF">
              <w:rPr>
                <w:rFonts w:hint="cs"/>
                <w:rtl/>
              </w:rPr>
              <w:t xml:space="preserve">. </w:t>
            </w:r>
            <w:r>
              <w:rPr>
                <w:rFonts w:hint="cs"/>
                <w:rtl/>
              </w:rPr>
              <w:t xml:space="preserve">אם </w:t>
            </w:r>
            <w:r w:rsidRPr="007D64FF">
              <w:rPr>
                <w:rFonts w:hint="cs"/>
                <w:rtl/>
              </w:rPr>
              <w:t>צירוף העסקים היה מתבצע בתחילת השנה, הרווח הנקי המאוחד היה מסתכם לסך של ____ אלפי ש</w:t>
            </w:r>
            <w:r w:rsidRPr="007D64FF">
              <w:rPr>
                <w:rtl/>
              </w:rPr>
              <w:t>"</w:t>
            </w:r>
            <w:r w:rsidRPr="007D64FF">
              <w:rPr>
                <w:rFonts w:hint="cs"/>
                <w:rtl/>
              </w:rPr>
              <w:t>ח ומחזור ההכנסות המאוחד היה מסתכם לסך של ____ אלפי ש</w:t>
            </w:r>
            <w:r w:rsidRPr="007D64FF">
              <w:rPr>
                <w:rtl/>
              </w:rPr>
              <w:t>"</w:t>
            </w:r>
            <w:r w:rsidRPr="007D64FF">
              <w:rPr>
                <w:rFonts w:hint="cs"/>
                <w:rtl/>
              </w:rPr>
              <w:t>ח, ללא הנחות פרופורמה</w:t>
            </w:r>
            <w:r w:rsidRPr="007D64FF">
              <w:rPr>
                <w:rStyle w:val="ab"/>
                <w:b/>
                <w:bCs w:val="0"/>
                <w:rtl/>
              </w:rPr>
              <w:footnoteReference w:id="98"/>
            </w:r>
            <w:r w:rsidRPr="007D64FF">
              <w:rPr>
                <w:rFonts w:hint="cs"/>
                <w:rtl/>
              </w:rPr>
              <w:t>.</w:t>
            </w:r>
          </w:p>
        </w:tc>
      </w:tr>
    </w:tbl>
    <w:p w14:paraId="097D9638" w14:textId="77777777" w:rsidR="00A8112A" w:rsidRPr="00A8112A" w:rsidRDefault="00A8112A" w:rsidP="0076297A">
      <w:pPr>
        <w:pStyle w:val="30"/>
        <w:ind w:left="1134" w:firstLine="0"/>
        <w:rPr>
          <w:rtl/>
        </w:rPr>
      </w:pPr>
    </w:p>
    <w:p w14:paraId="31F88E41" w14:textId="77777777" w:rsidR="00892691" w:rsidRDefault="0076297A">
      <w:pPr>
        <w:pStyle w:val="30"/>
        <w:ind w:left="1134" w:firstLine="0"/>
        <w:rPr>
          <w:rtl/>
        </w:rPr>
      </w:pPr>
      <w:r w:rsidRPr="007D64FF">
        <w:rPr>
          <w:rFonts w:hint="cs"/>
          <w:rtl/>
        </w:rPr>
        <w:t>בתקופה שלפני הרכישה, חברה א בע</w:t>
      </w:r>
      <w:r w:rsidRPr="007D64FF">
        <w:rPr>
          <w:rtl/>
        </w:rPr>
        <w:t>"</w:t>
      </w:r>
      <w:r w:rsidRPr="007D64FF">
        <w:rPr>
          <w:rFonts w:hint="cs"/>
          <w:rtl/>
        </w:rPr>
        <w:t>מ החליטה לחסל קווי ייצור מסויימים (לפרטים נוספים, ראה באור</w:t>
      </w:r>
      <w:r w:rsidR="00911801">
        <w:rPr>
          <w:rFonts w:hint="cs"/>
          <w:rtl/>
        </w:rPr>
        <w:t xml:space="preserve"> </w:t>
      </w:r>
      <w:r w:rsidR="003D46A8">
        <w:rPr>
          <w:rFonts w:hint="cs"/>
          <w:szCs w:val="22"/>
          <w:highlight w:val="lightGray"/>
          <w:rtl/>
        </w:rPr>
        <w:t>9</w:t>
      </w:r>
      <w:r w:rsidRPr="007D64FF">
        <w:rPr>
          <w:rFonts w:hint="cs"/>
          <w:rtl/>
        </w:rPr>
        <w:t>). ההפרשה לשינוי מבני אשר הוכרה לעיל, מייצגת התחייבות קיימת של חברה א בע</w:t>
      </w:r>
      <w:r w:rsidRPr="007D64FF">
        <w:rPr>
          <w:rtl/>
        </w:rPr>
        <w:t>"</w:t>
      </w:r>
      <w:r w:rsidRPr="007D64FF">
        <w:rPr>
          <w:rFonts w:hint="cs"/>
          <w:rtl/>
        </w:rPr>
        <w:t>מ לשינוי מבני, אשר נוצרה בתקופה שלפני צירוף העסקים ואשר ביצועו אינו מותנה ברכישתה על ידי החברה/החברה המאוחדת</w:t>
      </w:r>
      <w:r w:rsidR="009C010B">
        <w:rPr>
          <w:rStyle w:val="ab"/>
          <w:rtl/>
        </w:rPr>
        <w:footnoteReference w:id="99"/>
      </w:r>
      <w:r w:rsidRPr="007D64FF">
        <w:rPr>
          <w:rFonts w:hint="cs"/>
          <w:rtl/>
        </w:rPr>
        <w:t>.</w:t>
      </w:r>
    </w:p>
    <w:p w14:paraId="27761806" w14:textId="77777777" w:rsidR="0076297A" w:rsidRDefault="0076297A" w:rsidP="0076297A">
      <w:pPr>
        <w:pStyle w:val="30"/>
        <w:ind w:left="1134" w:firstLine="0"/>
        <w:rPr>
          <w:rtl/>
        </w:rPr>
      </w:pPr>
    </w:p>
    <w:tbl>
      <w:tblPr>
        <w:tblStyle w:val="af6"/>
        <w:bidiVisual/>
        <w:tblW w:w="9704" w:type="dxa"/>
        <w:tblInd w:w="-57" w:type="dxa"/>
        <w:tblLayout w:type="fixed"/>
        <w:tblCellMar>
          <w:left w:w="0" w:type="dxa"/>
          <w:right w:w="0" w:type="dxa"/>
        </w:tblCellMar>
        <w:tblLook w:val="04A0" w:firstRow="1" w:lastRow="0" w:firstColumn="1" w:lastColumn="0" w:noHBand="0" w:noVBand="1"/>
      </w:tblPr>
      <w:tblGrid>
        <w:gridCol w:w="1181"/>
        <w:gridCol w:w="8523"/>
      </w:tblGrid>
      <w:tr w:rsidR="00A8112A" w14:paraId="265924F4" w14:textId="77777777" w:rsidTr="00F47322">
        <w:tc>
          <w:tcPr>
            <w:tcW w:w="1181" w:type="dxa"/>
            <w:tcBorders>
              <w:top w:val="nil"/>
              <w:left w:val="nil"/>
              <w:bottom w:val="single" w:sz="4" w:space="0" w:color="auto"/>
              <w:right w:val="single" w:sz="4" w:space="0" w:color="auto"/>
            </w:tcBorders>
            <w:vAlign w:val="center"/>
          </w:tcPr>
          <w:p w14:paraId="788471CC" w14:textId="77777777" w:rsidR="00A8112A" w:rsidRPr="00F71E33" w:rsidRDefault="00A8112A" w:rsidP="00F47322">
            <w:pPr>
              <w:pStyle w:val="a3"/>
              <w:widowControl/>
              <w:bidi w:val="0"/>
              <w:ind w:left="0" w:right="28"/>
              <w:jc w:val="right"/>
              <w:rPr>
                <w:i/>
                <w:iCs/>
                <w:sz w:val="13"/>
                <w:szCs w:val="13"/>
              </w:rPr>
            </w:pPr>
            <w:r w:rsidRPr="00F47322">
              <w:rPr>
                <w:rFonts w:asciiTheme="majorBidi" w:hAnsiTheme="majorBidi" w:cstheme="majorBidi"/>
                <w:i/>
                <w:iCs/>
                <w:sz w:val="13"/>
                <w:szCs w:val="13"/>
              </w:rPr>
              <w:t>IFRS</w:t>
            </w:r>
            <w:r>
              <w:rPr>
                <w:i/>
                <w:iCs/>
                <w:sz w:val="13"/>
                <w:szCs w:val="13"/>
              </w:rPr>
              <w:t> 3.B64(e)</w:t>
            </w:r>
          </w:p>
        </w:tc>
        <w:tc>
          <w:tcPr>
            <w:tcW w:w="8523" w:type="dxa"/>
            <w:tcBorders>
              <w:top w:val="nil"/>
              <w:left w:val="single" w:sz="4" w:space="0" w:color="auto"/>
              <w:bottom w:val="nil"/>
              <w:right w:val="nil"/>
            </w:tcBorders>
          </w:tcPr>
          <w:p w14:paraId="0C0E943A" w14:textId="77777777" w:rsidR="00A8112A" w:rsidRDefault="00A8112A" w:rsidP="00A8112A">
            <w:pPr>
              <w:pStyle w:val="21"/>
              <w:tabs>
                <w:tab w:val="clear" w:pos="1134"/>
                <w:tab w:val="clear" w:pos="1701"/>
              </w:tabs>
              <w:ind w:left="56" w:firstLine="0"/>
              <w:rPr>
                <w:rtl/>
              </w:rPr>
            </w:pPr>
            <w:r w:rsidRPr="007D64FF">
              <w:rPr>
                <w:rFonts w:hint="cs"/>
                <w:rtl/>
              </w:rPr>
              <w:t>המוניטין שנוצר ברכישה מיוחס להטבות החזויות הנובעות מהסינרגיה של שילוב הפעילויות של החברה והחברה הנרכשת.</w:t>
            </w:r>
          </w:p>
        </w:tc>
      </w:tr>
    </w:tbl>
    <w:p w14:paraId="44EB5ABD" w14:textId="77777777" w:rsidR="00A8112A" w:rsidRDefault="00A8112A" w:rsidP="0076297A">
      <w:pPr>
        <w:pStyle w:val="30"/>
        <w:ind w:left="1134" w:firstLine="0"/>
        <w:rPr>
          <w:rtl/>
        </w:rPr>
      </w:pPr>
    </w:p>
    <w:tbl>
      <w:tblPr>
        <w:bidiVisual/>
        <w:tblW w:w="9718" w:type="dxa"/>
        <w:tblInd w:w="5" w:type="dxa"/>
        <w:tblLayout w:type="fixed"/>
        <w:tblCellMar>
          <w:left w:w="0" w:type="dxa"/>
          <w:right w:w="0" w:type="dxa"/>
        </w:tblCellMar>
        <w:tblLook w:val="04A0" w:firstRow="1" w:lastRow="0" w:firstColumn="1" w:lastColumn="0" w:noHBand="0" w:noVBand="1"/>
      </w:tblPr>
      <w:tblGrid>
        <w:gridCol w:w="1179"/>
        <w:gridCol w:w="8539"/>
      </w:tblGrid>
      <w:tr w:rsidR="00CA0307" w14:paraId="07C65B49" w14:textId="77777777" w:rsidTr="00097515">
        <w:tc>
          <w:tcPr>
            <w:tcW w:w="1179" w:type="dxa"/>
            <w:tcBorders>
              <w:bottom w:val="single" w:sz="4" w:space="0" w:color="auto"/>
              <w:right w:val="single" w:sz="4" w:space="0" w:color="auto"/>
            </w:tcBorders>
            <w:vAlign w:val="center"/>
          </w:tcPr>
          <w:p w14:paraId="1404E40C" w14:textId="77777777" w:rsidR="00CA0307" w:rsidRDefault="00CA0307" w:rsidP="00CA0307">
            <w:pPr>
              <w:pStyle w:val="a3"/>
              <w:widowControl/>
              <w:bidi w:val="0"/>
              <w:ind w:left="0" w:right="28"/>
              <w:jc w:val="right"/>
            </w:pPr>
            <w:r w:rsidRPr="00CA0307">
              <w:rPr>
                <w:rFonts w:asciiTheme="majorBidi" w:hAnsiTheme="majorBidi" w:cstheme="majorBidi"/>
                <w:i/>
                <w:iCs/>
                <w:sz w:val="13"/>
                <w:szCs w:val="13"/>
              </w:rPr>
              <w:t>IFRS 3.B64(k)</w:t>
            </w:r>
          </w:p>
        </w:tc>
        <w:tc>
          <w:tcPr>
            <w:tcW w:w="8539" w:type="dxa"/>
            <w:tcBorders>
              <w:left w:val="single" w:sz="4" w:space="0" w:color="auto"/>
            </w:tcBorders>
            <w:vAlign w:val="center"/>
          </w:tcPr>
          <w:p w14:paraId="1AAD5C9B" w14:textId="77777777" w:rsidR="00CA0307" w:rsidRPr="007D64FF" w:rsidRDefault="00CA0307" w:rsidP="00C3474B">
            <w:pPr>
              <w:pStyle w:val="a3"/>
              <w:widowControl/>
              <w:jc w:val="both"/>
              <w:rPr>
                <w:rtl/>
              </w:rPr>
            </w:pPr>
            <w:r>
              <w:rPr>
                <w:rFonts w:hint="cs"/>
                <w:rtl/>
              </w:rPr>
              <w:t xml:space="preserve">לא חזוי שהמוניטין שהוכר יהיה מותר בניכוי לצרכי מס הכנסה. </w:t>
            </w:r>
          </w:p>
        </w:tc>
      </w:tr>
    </w:tbl>
    <w:p w14:paraId="5FA8C31A" w14:textId="77777777" w:rsidR="00CA0307" w:rsidRPr="00A8112A" w:rsidRDefault="00CA0307" w:rsidP="0076297A">
      <w:pPr>
        <w:pStyle w:val="30"/>
        <w:ind w:left="1134" w:firstLine="0"/>
        <w:rPr>
          <w:rtl/>
        </w:rPr>
      </w:pPr>
    </w:p>
    <w:tbl>
      <w:tblPr>
        <w:tblStyle w:val="af6"/>
        <w:bidiVisual/>
        <w:tblW w:w="9709" w:type="dxa"/>
        <w:tblInd w:w="-57" w:type="dxa"/>
        <w:tblLayout w:type="fixed"/>
        <w:tblCellMar>
          <w:left w:w="0" w:type="dxa"/>
          <w:right w:w="0" w:type="dxa"/>
        </w:tblCellMar>
        <w:tblLook w:val="04A0" w:firstRow="1" w:lastRow="0" w:firstColumn="1" w:lastColumn="0" w:noHBand="0" w:noVBand="1"/>
      </w:tblPr>
      <w:tblGrid>
        <w:gridCol w:w="1186"/>
        <w:gridCol w:w="8523"/>
      </w:tblGrid>
      <w:tr w:rsidR="00A8112A" w14:paraId="41944E2D" w14:textId="77777777" w:rsidTr="00F47322">
        <w:tc>
          <w:tcPr>
            <w:tcW w:w="1186" w:type="dxa"/>
            <w:tcBorders>
              <w:top w:val="nil"/>
              <w:left w:val="nil"/>
              <w:bottom w:val="single" w:sz="4" w:space="0" w:color="auto"/>
              <w:right w:val="single" w:sz="4" w:space="0" w:color="auto"/>
            </w:tcBorders>
            <w:vAlign w:val="center"/>
          </w:tcPr>
          <w:p w14:paraId="6851B680" w14:textId="77777777" w:rsidR="00A8112A" w:rsidRPr="00F71E33" w:rsidRDefault="00A8112A" w:rsidP="00A8112A">
            <w:pPr>
              <w:bidi w:val="0"/>
              <w:jc w:val="right"/>
              <w:rPr>
                <w:i/>
                <w:iCs/>
                <w:sz w:val="13"/>
                <w:szCs w:val="13"/>
              </w:rPr>
            </w:pPr>
            <w:r>
              <w:rPr>
                <w:i/>
                <w:iCs/>
                <w:sz w:val="13"/>
                <w:szCs w:val="13"/>
              </w:rPr>
              <w:t>IFRS 3.B64(j); IFRS 3.56</w:t>
            </w:r>
          </w:p>
        </w:tc>
        <w:tc>
          <w:tcPr>
            <w:tcW w:w="8523" w:type="dxa"/>
            <w:tcBorders>
              <w:top w:val="nil"/>
              <w:left w:val="single" w:sz="4" w:space="0" w:color="auto"/>
              <w:bottom w:val="nil"/>
              <w:right w:val="nil"/>
            </w:tcBorders>
          </w:tcPr>
          <w:p w14:paraId="21D34895" w14:textId="0776EDA2" w:rsidR="008D22FA" w:rsidRDefault="00A8112A" w:rsidP="00414876">
            <w:pPr>
              <w:pStyle w:val="21"/>
              <w:tabs>
                <w:tab w:val="clear" w:pos="1134"/>
                <w:tab w:val="clear" w:pos="1701"/>
              </w:tabs>
              <w:ind w:left="56" w:firstLine="0"/>
              <w:rPr>
                <w:rtl/>
              </w:rPr>
            </w:pPr>
            <w:r w:rsidRPr="007D64FF">
              <w:rPr>
                <w:rFonts w:hint="cs"/>
                <w:rtl/>
              </w:rPr>
              <w:t>התחייבות תלויה בשווי הוגן של _____ אלפי ש"ח זוהתה במועד הרכישה. התחייבות תלויה זו נובעת מת</w:t>
            </w:r>
            <w:r w:rsidRPr="00590BF0">
              <w:rPr>
                <w:rFonts w:hint="cs"/>
                <w:rtl/>
              </w:rPr>
              <w:t xml:space="preserve">ביעה </w:t>
            </w:r>
            <w:r w:rsidRPr="007D64FF">
              <w:rPr>
                <w:rFonts w:hint="cs"/>
                <w:rtl/>
              </w:rPr>
              <w:t xml:space="preserve">של אחד מספקי החברה להחזר כספי לאחר שמשלוח ששלח לחברה הוחזר עקב אי עמידה במפרט הטכני של המוצרים. התביעה נמצאת בבוררות משפטית וצפויה להתברר רק בשלהי שנת </w:t>
            </w:r>
            <w:r w:rsidR="00414876">
              <w:rPr>
                <w:rFonts w:hint="cs"/>
                <w:rtl/>
              </w:rPr>
              <w:t>2019</w:t>
            </w:r>
            <w:r w:rsidRPr="007D64FF">
              <w:rPr>
                <w:rFonts w:hint="cs"/>
                <w:rtl/>
              </w:rPr>
              <w:t>. למועד הדיווח נאמדה מחדש ההתחייבות התלויה לסך של _______ אלפי ש"ח. סכום זה מבוסס על התוצאה הצפויה</w:t>
            </w:r>
            <w:r>
              <w:rPr>
                <w:rFonts w:hint="cs"/>
                <w:rtl/>
              </w:rPr>
              <w:t xml:space="preserve"> כפי שמעריכה החברה על סמך עמדתם של יועציה המשפטיים.</w:t>
            </w:r>
          </w:p>
        </w:tc>
      </w:tr>
    </w:tbl>
    <w:p w14:paraId="7187EA36" w14:textId="77777777" w:rsidR="005063E4" w:rsidRDefault="005063E4">
      <w:pPr>
        <w:widowControl/>
        <w:overflowPunct/>
        <w:autoSpaceDE/>
        <w:autoSpaceDN/>
        <w:bidi w:val="0"/>
        <w:adjustRightInd/>
        <w:spacing w:line="240" w:lineRule="auto"/>
        <w:jc w:val="left"/>
        <w:textAlignment w:val="auto"/>
      </w:pPr>
      <w:r>
        <w:rPr>
          <w:rtl/>
        </w:rPr>
        <w:br w:type="page"/>
      </w:r>
    </w:p>
    <w:p w14:paraId="06311FF8" w14:textId="77777777" w:rsidR="005063E4" w:rsidRDefault="005063E4" w:rsidP="005063E4">
      <w:pPr>
        <w:pStyle w:val="30"/>
        <w:ind w:left="1134" w:firstLine="0"/>
        <w:rPr>
          <w:rtl/>
        </w:rPr>
      </w:pPr>
    </w:p>
    <w:p w14:paraId="25A4146F" w14:textId="77777777" w:rsidR="006C26D6" w:rsidRDefault="006C26D6" w:rsidP="005063E4">
      <w:pPr>
        <w:pStyle w:val="30"/>
        <w:ind w:left="1134" w:firstLine="0"/>
        <w:rPr>
          <w:rtl/>
        </w:rPr>
      </w:pPr>
    </w:p>
    <w:p w14:paraId="22B0A7AA" w14:textId="77777777" w:rsidR="005063E4" w:rsidRDefault="005063E4" w:rsidP="005063E4">
      <w:pPr>
        <w:pStyle w:val="11"/>
        <w:rPr>
          <w:sz w:val="24"/>
          <w:rtl/>
        </w:rPr>
      </w:pPr>
      <w:r>
        <w:rPr>
          <w:sz w:val="24"/>
          <w:rtl/>
        </w:rPr>
        <w:t xml:space="preserve">באור </w:t>
      </w:r>
      <w:r>
        <w:rPr>
          <w:rFonts w:hint="cs"/>
          <w:sz w:val="24"/>
          <w:rtl/>
        </w:rPr>
        <w:t>7</w:t>
      </w:r>
      <w:r>
        <w:rPr>
          <w:sz w:val="24"/>
          <w:rtl/>
        </w:rPr>
        <w:t>: -</w:t>
      </w:r>
      <w:r>
        <w:rPr>
          <w:sz w:val="24"/>
          <w:rtl/>
        </w:rPr>
        <w:tab/>
      </w:r>
      <w:r>
        <w:rPr>
          <w:rFonts w:hint="cs"/>
          <w:sz w:val="24"/>
          <w:u w:val="single"/>
          <w:rtl/>
        </w:rPr>
        <w:t>צירופי עסקים</w:t>
      </w:r>
      <w:r>
        <w:rPr>
          <w:rFonts w:hint="cs"/>
          <w:sz w:val="24"/>
          <w:rtl/>
        </w:rPr>
        <w:t xml:space="preserve"> (המשך)</w:t>
      </w:r>
    </w:p>
    <w:p w14:paraId="6E1CE737" w14:textId="77777777" w:rsidR="00F5049B" w:rsidRDefault="00F5049B">
      <w:pPr>
        <w:pStyle w:val="30"/>
        <w:ind w:left="1134" w:firstLine="0"/>
        <w:rPr>
          <w:rtl/>
        </w:rPr>
      </w:pPr>
    </w:p>
    <w:p w14:paraId="65DF2D9A" w14:textId="77777777" w:rsidR="0076297A" w:rsidRPr="007D64FF" w:rsidRDefault="0076297A" w:rsidP="0076297A">
      <w:pPr>
        <w:pStyle w:val="21"/>
        <w:ind w:left="1134" w:firstLine="0"/>
        <w:rPr>
          <w:rFonts w:ascii="Arial" w:hAnsi="Arial"/>
          <w:u w:val="single"/>
          <w:rtl/>
        </w:rPr>
      </w:pPr>
      <w:r w:rsidRPr="007D64FF">
        <w:rPr>
          <w:rFonts w:ascii="Arial" w:hAnsi="Arial" w:hint="cs"/>
          <w:u w:val="single"/>
          <w:rtl/>
        </w:rPr>
        <w:t>תמורה מותנית</w:t>
      </w:r>
    </w:p>
    <w:p w14:paraId="3DE55A44" w14:textId="77777777" w:rsidR="0076297A" w:rsidRDefault="0076297A" w:rsidP="0076297A">
      <w:pPr>
        <w:pStyle w:val="21"/>
        <w:ind w:left="567" w:firstLine="0"/>
        <w:rPr>
          <w:rFonts w:ascii="Arial" w:hAnsi="Arial"/>
          <w:rtl/>
        </w:rPr>
      </w:pPr>
    </w:p>
    <w:tbl>
      <w:tblPr>
        <w:tblStyle w:val="af6"/>
        <w:bidiVisual/>
        <w:tblW w:w="9719" w:type="dxa"/>
        <w:tblInd w:w="-57" w:type="dxa"/>
        <w:tblLayout w:type="fixed"/>
        <w:tblCellMar>
          <w:left w:w="0" w:type="dxa"/>
          <w:right w:w="0" w:type="dxa"/>
        </w:tblCellMar>
        <w:tblLook w:val="04A0" w:firstRow="1" w:lastRow="0" w:firstColumn="1" w:lastColumn="0" w:noHBand="0" w:noVBand="1"/>
      </w:tblPr>
      <w:tblGrid>
        <w:gridCol w:w="1196"/>
        <w:gridCol w:w="577"/>
        <w:gridCol w:w="7946"/>
      </w:tblGrid>
      <w:tr w:rsidR="00A8112A" w14:paraId="48211A3F" w14:textId="77777777" w:rsidTr="00F47322">
        <w:tc>
          <w:tcPr>
            <w:tcW w:w="1196" w:type="dxa"/>
            <w:vMerge w:val="restart"/>
            <w:tcBorders>
              <w:top w:val="nil"/>
              <w:left w:val="nil"/>
              <w:right w:val="single" w:sz="4" w:space="0" w:color="auto"/>
            </w:tcBorders>
            <w:vAlign w:val="center"/>
          </w:tcPr>
          <w:p w14:paraId="22C4BD12" w14:textId="77777777" w:rsidR="00A8112A" w:rsidRPr="00F71E33" w:rsidRDefault="00A8112A" w:rsidP="00A8112A">
            <w:pPr>
              <w:bidi w:val="0"/>
              <w:jc w:val="right"/>
              <w:rPr>
                <w:i/>
                <w:iCs/>
                <w:sz w:val="13"/>
                <w:szCs w:val="13"/>
              </w:rPr>
            </w:pPr>
            <w:r>
              <w:rPr>
                <w:i/>
                <w:iCs/>
                <w:sz w:val="13"/>
                <w:szCs w:val="13"/>
              </w:rPr>
              <w:t>IFRS 3.B64(g)</w:t>
            </w:r>
          </w:p>
        </w:tc>
        <w:tc>
          <w:tcPr>
            <w:tcW w:w="8523" w:type="dxa"/>
            <w:gridSpan w:val="2"/>
            <w:tcBorders>
              <w:top w:val="nil"/>
              <w:left w:val="single" w:sz="4" w:space="0" w:color="auto"/>
              <w:bottom w:val="nil"/>
              <w:right w:val="nil"/>
            </w:tcBorders>
          </w:tcPr>
          <w:p w14:paraId="70961143" w14:textId="77777777" w:rsidR="00A8112A" w:rsidRDefault="00A8112A" w:rsidP="00A8112A">
            <w:pPr>
              <w:pStyle w:val="21"/>
              <w:tabs>
                <w:tab w:val="clear" w:pos="1134"/>
                <w:tab w:val="clear" w:pos="1701"/>
              </w:tabs>
              <w:ind w:left="56" w:firstLine="0"/>
              <w:rPr>
                <w:rtl/>
              </w:rPr>
            </w:pPr>
            <w:r>
              <w:rPr>
                <w:rFonts w:ascii="Arial" w:hAnsi="Arial" w:hint="cs"/>
                <w:rtl/>
              </w:rPr>
              <w:t>ב</w:t>
            </w:r>
            <w:r w:rsidRPr="007D64FF">
              <w:rPr>
                <w:rFonts w:ascii="Arial" w:hAnsi="Arial" w:hint="cs"/>
                <w:rtl/>
              </w:rPr>
              <w:t xml:space="preserve">הסכם הרכישה </w:t>
            </w:r>
            <w:r>
              <w:rPr>
                <w:rFonts w:ascii="Arial" w:hAnsi="Arial" w:hint="cs"/>
                <w:rtl/>
              </w:rPr>
              <w:t>מ</w:t>
            </w:r>
            <w:r w:rsidRPr="007D64FF">
              <w:rPr>
                <w:rFonts w:ascii="Arial" w:hAnsi="Arial" w:hint="cs"/>
                <w:rtl/>
              </w:rPr>
              <w:t xml:space="preserve">הבעלים הקודמים של חברת _____, הוסכם </w:t>
            </w:r>
            <w:r>
              <w:rPr>
                <w:rFonts w:ascii="Arial" w:hAnsi="Arial" w:hint="cs"/>
                <w:rtl/>
              </w:rPr>
              <w:t>כי הבעלים הקודמים יהיו זכאים ל</w:t>
            </w:r>
            <w:r w:rsidRPr="007D64FF">
              <w:rPr>
                <w:rFonts w:ascii="Arial" w:hAnsi="Arial" w:hint="cs"/>
                <w:rtl/>
              </w:rPr>
              <w:t xml:space="preserve">תמורה </w:t>
            </w:r>
            <w:r>
              <w:rPr>
                <w:rFonts w:ascii="Arial" w:hAnsi="Arial" w:hint="cs"/>
                <w:rtl/>
              </w:rPr>
              <w:t>נוספת בהתקיים תנאים מסוימים (להלן - תמורה מותנית)</w:t>
            </w:r>
            <w:r w:rsidRPr="007D64FF">
              <w:rPr>
                <w:rFonts w:ascii="Arial" w:hAnsi="Arial" w:hint="cs"/>
                <w:rtl/>
              </w:rPr>
              <w:t xml:space="preserve">. </w:t>
            </w:r>
            <w:r>
              <w:rPr>
                <w:rFonts w:ascii="Arial" w:hAnsi="Arial" w:hint="cs"/>
                <w:rtl/>
              </w:rPr>
              <w:t>התמורה המותנית ש</w:t>
            </w:r>
            <w:r w:rsidRPr="007D64FF">
              <w:rPr>
                <w:rFonts w:ascii="Arial" w:hAnsi="Arial" w:hint="cs"/>
                <w:rtl/>
              </w:rPr>
              <w:t xml:space="preserve">הקבוצה </w:t>
            </w:r>
            <w:r>
              <w:rPr>
                <w:rFonts w:ascii="Arial" w:hAnsi="Arial" w:hint="cs"/>
                <w:rtl/>
              </w:rPr>
              <w:t xml:space="preserve">תשלם </w:t>
            </w:r>
            <w:r w:rsidRPr="007D64FF">
              <w:rPr>
                <w:rFonts w:ascii="Arial" w:hAnsi="Arial" w:hint="cs"/>
                <w:rtl/>
              </w:rPr>
              <w:t>לבעלים הקודמים של החברה</w:t>
            </w:r>
            <w:r>
              <w:rPr>
                <w:rFonts w:ascii="Arial" w:hAnsi="Arial" w:hint="cs"/>
                <w:rtl/>
              </w:rPr>
              <w:t xml:space="preserve"> הינה כדלקמן</w:t>
            </w:r>
            <w:r w:rsidRPr="007D64FF">
              <w:rPr>
                <w:rFonts w:ascii="Arial" w:hAnsi="Arial" w:hint="cs"/>
                <w:rtl/>
              </w:rPr>
              <w:t>:</w:t>
            </w:r>
          </w:p>
        </w:tc>
      </w:tr>
      <w:tr w:rsidR="00A8112A" w14:paraId="0002A2E8" w14:textId="77777777" w:rsidTr="00F47322">
        <w:tc>
          <w:tcPr>
            <w:tcW w:w="1196" w:type="dxa"/>
            <w:vMerge/>
            <w:tcBorders>
              <w:left w:val="nil"/>
              <w:right w:val="single" w:sz="4" w:space="0" w:color="auto"/>
            </w:tcBorders>
            <w:vAlign w:val="center"/>
          </w:tcPr>
          <w:p w14:paraId="38F8B3BC" w14:textId="77777777" w:rsidR="00A8112A" w:rsidRPr="00F71E33" w:rsidRDefault="00A8112A" w:rsidP="00A8112A">
            <w:pPr>
              <w:bidi w:val="0"/>
              <w:jc w:val="right"/>
              <w:rPr>
                <w:i/>
                <w:iCs/>
                <w:sz w:val="13"/>
                <w:szCs w:val="13"/>
              </w:rPr>
            </w:pPr>
          </w:p>
        </w:tc>
        <w:tc>
          <w:tcPr>
            <w:tcW w:w="577" w:type="dxa"/>
            <w:tcBorders>
              <w:top w:val="nil"/>
              <w:left w:val="single" w:sz="4" w:space="0" w:color="auto"/>
              <w:bottom w:val="nil"/>
              <w:right w:val="nil"/>
            </w:tcBorders>
          </w:tcPr>
          <w:p w14:paraId="38140CC3" w14:textId="77777777" w:rsidR="00A8112A" w:rsidRDefault="00A8112A" w:rsidP="00A8112A">
            <w:pPr>
              <w:pStyle w:val="21"/>
              <w:tabs>
                <w:tab w:val="clear" w:pos="1134"/>
                <w:tab w:val="clear" w:pos="1701"/>
              </w:tabs>
              <w:ind w:left="56" w:firstLine="0"/>
              <w:rPr>
                <w:rFonts w:ascii="Arial" w:hAnsi="Arial"/>
                <w:rtl/>
              </w:rPr>
            </w:pPr>
          </w:p>
        </w:tc>
        <w:tc>
          <w:tcPr>
            <w:tcW w:w="7946" w:type="dxa"/>
            <w:tcBorders>
              <w:top w:val="nil"/>
              <w:left w:val="nil"/>
              <w:bottom w:val="nil"/>
              <w:right w:val="nil"/>
            </w:tcBorders>
          </w:tcPr>
          <w:p w14:paraId="743A6A08" w14:textId="77777777" w:rsidR="00A8112A" w:rsidRDefault="00A8112A" w:rsidP="00A8112A">
            <w:pPr>
              <w:pStyle w:val="21"/>
              <w:tabs>
                <w:tab w:val="clear" w:pos="1134"/>
                <w:tab w:val="clear" w:pos="1701"/>
              </w:tabs>
              <w:ind w:left="56" w:firstLine="0"/>
              <w:rPr>
                <w:rFonts w:ascii="Arial" w:hAnsi="Arial"/>
                <w:rtl/>
              </w:rPr>
            </w:pPr>
          </w:p>
        </w:tc>
      </w:tr>
      <w:tr w:rsidR="00A8112A" w14:paraId="424EC0F8" w14:textId="77777777" w:rsidTr="00F47322">
        <w:tc>
          <w:tcPr>
            <w:tcW w:w="1196" w:type="dxa"/>
            <w:vMerge/>
            <w:tcBorders>
              <w:left w:val="nil"/>
              <w:bottom w:val="single" w:sz="4" w:space="0" w:color="auto"/>
              <w:right w:val="single" w:sz="4" w:space="0" w:color="auto"/>
            </w:tcBorders>
            <w:vAlign w:val="center"/>
          </w:tcPr>
          <w:p w14:paraId="00304446" w14:textId="77777777" w:rsidR="00A8112A" w:rsidRPr="00F71E33" w:rsidRDefault="00A8112A" w:rsidP="00A8112A">
            <w:pPr>
              <w:bidi w:val="0"/>
              <w:jc w:val="right"/>
              <w:rPr>
                <w:i/>
                <w:iCs/>
                <w:sz w:val="13"/>
                <w:szCs w:val="13"/>
              </w:rPr>
            </w:pPr>
          </w:p>
        </w:tc>
        <w:tc>
          <w:tcPr>
            <w:tcW w:w="577" w:type="dxa"/>
            <w:tcBorders>
              <w:top w:val="nil"/>
              <w:left w:val="single" w:sz="4" w:space="0" w:color="auto"/>
              <w:bottom w:val="nil"/>
              <w:right w:val="nil"/>
            </w:tcBorders>
          </w:tcPr>
          <w:p w14:paraId="56B7E86D" w14:textId="77777777" w:rsidR="00A8112A" w:rsidRDefault="00A8112A" w:rsidP="00A8112A">
            <w:pPr>
              <w:pStyle w:val="21"/>
              <w:tabs>
                <w:tab w:val="clear" w:pos="1134"/>
                <w:tab w:val="clear" w:pos="1701"/>
              </w:tabs>
              <w:ind w:left="56" w:firstLine="0"/>
              <w:rPr>
                <w:rFonts w:ascii="Arial" w:hAnsi="Arial"/>
                <w:rtl/>
              </w:rPr>
            </w:pPr>
            <w:r w:rsidRPr="007D64FF">
              <w:rPr>
                <w:rFonts w:hint="cs"/>
                <w:rtl/>
              </w:rPr>
              <w:t>א.</w:t>
            </w:r>
          </w:p>
        </w:tc>
        <w:tc>
          <w:tcPr>
            <w:tcW w:w="7946" w:type="dxa"/>
            <w:tcBorders>
              <w:top w:val="nil"/>
              <w:left w:val="nil"/>
              <w:bottom w:val="nil"/>
              <w:right w:val="nil"/>
            </w:tcBorders>
          </w:tcPr>
          <w:p w14:paraId="685C91B5" w14:textId="77777777" w:rsidR="00A8112A" w:rsidRDefault="00A8112A" w:rsidP="00A8112A">
            <w:pPr>
              <w:pStyle w:val="21"/>
              <w:tabs>
                <w:tab w:val="clear" w:pos="1134"/>
                <w:tab w:val="clear" w:pos="1701"/>
              </w:tabs>
              <w:ind w:left="56" w:firstLine="0"/>
              <w:rPr>
                <w:rFonts w:ascii="Arial" w:hAnsi="Arial"/>
                <w:rtl/>
              </w:rPr>
            </w:pPr>
            <w:r w:rsidRPr="007D64FF">
              <w:rPr>
                <w:rFonts w:hint="cs"/>
                <w:rtl/>
              </w:rPr>
              <w:t xml:space="preserve">תשלום של ____ אלפי ש"ח, אם הרווח לפני מס של החברה ב-12 החודשים שלאחר מועד הרכישה </w:t>
            </w:r>
            <w:r>
              <w:rPr>
                <w:rFonts w:hint="cs"/>
                <w:rtl/>
              </w:rPr>
              <w:t>יעלה על</w:t>
            </w:r>
            <w:r w:rsidRPr="007D64FF">
              <w:rPr>
                <w:rFonts w:hint="cs"/>
                <w:rtl/>
              </w:rPr>
              <w:t xml:space="preserve"> ___ אלפי ש"ח</w:t>
            </w:r>
            <w:r>
              <w:rPr>
                <w:rFonts w:hint="cs"/>
                <w:rtl/>
              </w:rPr>
              <w:t xml:space="preserve"> (להלן - השגת יעד רווח)</w:t>
            </w:r>
            <w:r w:rsidRPr="007D64FF">
              <w:rPr>
                <w:rFonts w:hint="cs"/>
                <w:rtl/>
              </w:rPr>
              <w:t>.</w:t>
            </w:r>
          </w:p>
        </w:tc>
      </w:tr>
    </w:tbl>
    <w:p w14:paraId="624DB95E" w14:textId="77777777" w:rsidR="00054702" w:rsidRDefault="00054702" w:rsidP="00054702">
      <w:pPr>
        <w:pStyle w:val="30"/>
        <w:ind w:left="1134" w:firstLine="0"/>
        <w:rPr>
          <w:rtl/>
        </w:rPr>
      </w:pPr>
    </w:p>
    <w:tbl>
      <w:tblPr>
        <w:tblStyle w:val="af6"/>
        <w:bidiVisual/>
        <w:tblW w:w="9710" w:type="dxa"/>
        <w:tblInd w:w="-38" w:type="dxa"/>
        <w:tblLayout w:type="fixed"/>
        <w:tblCellMar>
          <w:left w:w="0" w:type="dxa"/>
          <w:right w:w="0" w:type="dxa"/>
        </w:tblCellMar>
        <w:tblLook w:val="04A0" w:firstRow="1" w:lastRow="0" w:firstColumn="1" w:lastColumn="0" w:noHBand="0" w:noVBand="1"/>
      </w:tblPr>
      <w:tblGrid>
        <w:gridCol w:w="1187"/>
        <w:gridCol w:w="536"/>
        <w:gridCol w:w="7987"/>
      </w:tblGrid>
      <w:tr w:rsidR="00A8112A" w14:paraId="626FCECA" w14:textId="77777777" w:rsidTr="00CA0307">
        <w:tc>
          <w:tcPr>
            <w:tcW w:w="1187" w:type="dxa"/>
            <w:vMerge w:val="restart"/>
            <w:tcBorders>
              <w:top w:val="nil"/>
              <w:left w:val="nil"/>
              <w:right w:val="single" w:sz="4" w:space="0" w:color="auto"/>
            </w:tcBorders>
            <w:vAlign w:val="center"/>
          </w:tcPr>
          <w:p w14:paraId="5ACD2BBB" w14:textId="77777777" w:rsidR="00A8112A" w:rsidRPr="00F71E33" w:rsidRDefault="00A8112A" w:rsidP="00A8112A">
            <w:pPr>
              <w:bidi w:val="0"/>
              <w:jc w:val="right"/>
              <w:rPr>
                <w:i/>
                <w:iCs/>
                <w:sz w:val="13"/>
                <w:szCs w:val="13"/>
              </w:rPr>
            </w:pPr>
            <w:r>
              <w:rPr>
                <w:i/>
                <w:iCs/>
                <w:sz w:val="13"/>
                <w:szCs w:val="13"/>
              </w:rPr>
              <w:t>IFRS 3.B64(g)</w:t>
            </w:r>
          </w:p>
        </w:tc>
        <w:tc>
          <w:tcPr>
            <w:tcW w:w="536" w:type="dxa"/>
            <w:tcBorders>
              <w:top w:val="nil"/>
              <w:left w:val="single" w:sz="4" w:space="0" w:color="auto"/>
              <w:bottom w:val="nil"/>
              <w:right w:val="nil"/>
            </w:tcBorders>
          </w:tcPr>
          <w:p w14:paraId="0C1383F2" w14:textId="77777777" w:rsidR="00A8112A" w:rsidRDefault="00A8112A" w:rsidP="00A8112A">
            <w:pPr>
              <w:pStyle w:val="21"/>
              <w:tabs>
                <w:tab w:val="clear" w:pos="1134"/>
                <w:tab w:val="clear" w:pos="1701"/>
              </w:tabs>
              <w:ind w:left="56" w:firstLine="0"/>
              <w:rPr>
                <w:rtl/>
              </w:rPr>
            </w:pPr>
            <w:r w:rsidRPr="007D64FF">
              <w:rPr>
                <w:rFonts w:hint="cs"/>
                <w:rtl/>
              </w:rPr>
              <w:t>ב.</w:t>
            </w:r>
          </w:p>
        </w:tc>
        <w:tc>
          <w:tcPr>
            <w:tcW w:w="7987" w:type="dxa"/>
            <w:tcBorders>
              <w:top w:val="nil"/>
              <w:left w:val="nil"/>
              <w:bottom w:val="nil"/>
              <w:right w:val="nil"/>
            </w:tcBorders>
          </w:tcPr>
          <w:p w14:paraId="63B99AAD" w14:textId="77777777" w:rsidR="00A8112A" w:rsidRDefault="00A8112A" w:rsidP="000847CE">
            <w:pPr>
              <w:pStyle w:val="21"/>
              <w:tabs>
                <w:tab w:val="clear" w:pos="1134"/>
                <w:tab w:val="clear" w:pos="1701"/>
              </w:tabs>
              <w:ind w:left="56" w:firstLine="0"/>
              <w:rPr>
                <w:rtl/>
              </w:rPr>
            </w:pPr>
            <w:r w:rsidRPr="007D64FF">
              <w:rPr>
                <w:rFonts w:hint="cs"/>
                <w:rtl/>
              </w:rPr>
              <w:t xml:space="preserve">תשלום של ___ אלפי ש"ח, אם </w:t>
            </w:r>
            <w:r>
              <w:rPr>
                <w:rFonts w:hint="cs"/>
                <w:rtl/>
              </w:rPr>
              <w:t xml:space="preserve">סך המכירות </w:t>
            </w:r>
            <w:r w:rsidRPr="007D64FF">
              <w:rPr>
                <w:rFonts w:hint="cs"/>
                <w:rtl/>
              </w:rPr>
              <w:t>של החברה ב-12 החודשים שלאחר מועד הרכישה י</w:t>
            </w:r>
            <w:r>
              <w:rPr>
                <w:rFonts w:hint="cs"/>
                <w:rtl/>
              </w:rPr>
              <w:t xml:space="preserve">עלה על </w:t>
            </w:r>
            <w:r w:rsidRPr="007D64FF">
              <w:rPr>
                <w:rFonts w:hint="cs"/>
                <w:rtl/>
              </w:rPr>
              <w:t>____ אלפי ש"ח</w:t>
            </w:r>
            <w:r>
              <w:rPr>
                <w:rFonts w:hint="cs"/>
                <w:rtl/>
              </w:rPr>
              <w:t xml:space="preserve"> (להלן - השגת יעד מכירות)</w:t>
            </w:r>
            <w:r w:rsidRPr="007D64FF">
              <w:rPr>
                <w:rFonts w:hint="cs"/>
                <w:rtl/>
              </w:rPr>
              <w:t>.</w:t>
            </w:r>
          </w:p>
        </w:tc>
      </w:tr>
      <w:tr w:rsidR="00A8112A" w14:paraId="0231143E" w14:textId="77777777" w:rsidTr="00CA0307">
        <w:tc>
          <w:tcPr>
            <w:tcW w:w="1187" w:type="dxa"/>
            <w:vMerge/>
            <w:tcBorders>
              <w:left w:val="nil"/>
              <w:right w:val="single" w:sz="4" w:space="0" w:color="auto"/>
            </w:tcBorders>
            <w:vAlign w:val="center"/>
          </w:tcPr>
          <w:p w14:paraId="765D0375" w14:textId="77777777" w:rsidR="00A8112A" w:rsidRDefault="00A8112A" w:rsidP="00A8112A">
            <w:pPr>
              <w:bidi w:val="0"/>
              <w:jc w:val="right"/>
              <w:rPr>
                <w:i/>
                <w:iCs/>
                <w:sz w:val="13"/>
                <w:szCs w:val="13"/>
              </w:rPr>
            </w:pPr>
          </w:p>
        </w:tc>
        <w:tc>
          <w:tcPr>
            <w:tcW w:w="536" w:type="dxa"/>
            <w:tcBorders>
              <w:top w:val="nil"/>
              <w:left w:val="single" w:sz="4" w:space="0" w:color="auto"/>
              <w:bottom w:val="nil"/>
              <w:right w:val="nil"/>
            </w:tcBorders>
          </w:tcPr>
          <w:p w14:paraId="695A84CE" w14:textId="77777777" w:rsidR="00A8112A" w:rsidRPr="007D64FF" w:rsidRDefault="00A8112A" w:rsidP="00A8112A">
            <w:pPr>
              <w:pStyle w:val="21"/>
              <w:tabs>
                <w:tab w:val="clear" w:pos="1134"/>
                <w:tab w:val="clear" w:pos="1701"/>
              </w:tabs>
              <w:ind w:left="56" w:firstLine="0"/>
              <w:rPr>
                <w:rtl/>
              </w:rPr>
            </w:pPr>
          </w:p>
        </w:tc>
        <w:tc>
          <w:tcPr>
            <w:tcW w:w="7987" w:type="dxa"/>
            <w:tcBorders>
              <w:top w:val="nil"/>
              <w:left w:val="nil"/>
              <w:bottom w:val="nil"/>
              <w:right w:val="nil"/>
            </w:tcBorders>
          </w:tcPr>
          <w:p w14:paraId="50A5C2DA" w14:textId="77777777" w:rsidR="00A8112A" w:rsidRPr="007D64FF" w:rsidRDefault="00A8112A" w:rsidP="00A8112A">
            <w:pPr>
              <w:pStyle w:val="21"/>
              <w:tabs>
                <w:tab w:val="clear" w:pos="1134"/>
                <w:tab w:val="clear" w:pos="1701"/>
              </w:tabs>
              <w:ind w:left="56" w:firstLine="0"/>
              <w:rPr>
                <w:rtl/>
              </w:rPr>
            </w:pPr>
          </w:p>
        </w:tc>
      </w:tr>
      <w:tr w:rsidR="00A8112A" w14:paraId="35D1B1C5" w14:textId="77777777" w:rsidTr="00CA0307">
        <w:tc>
          <w:tcPr>
            <w:tcW w:w="1187" w:type="dxa"/>
            <w:vMerge/>
            <w:tcBorders>
              <w:left w:val="nil"/>
              <w:bottom w:val="single" w:sz="4" w:space="0" w:color="auto"/>
              <w:right w:val="single" w:sz="4" w:space="0" w:color="auto"/>
            </w:tcBorders>
            <w:vAlign w:val="center"/>
          </w:tcPr>
          <w:p w14:paraId="2FE24958" w14:textId="77777777" w:rsidR="00A8112A" w:rsidRDefault="00A8112A" w:rsidP="00A8112A">
            <w:pPr>
              <w:bidi w:val="0"/>
              <w:jc w:val="right"/>
              <w:rPr>
                <w:i/>
                <w:iCs/>
                <w:sz w:val="13"/>
                <w:szCs w:val="13"/>
              </w:rPr>
            </w:pPr>
          </w:p>
        </w:tc>
        <w:tc>
          <w:tcPr>
            <w:tcW w:w="536" w:type="dxa"/>
            <w:tcBorders>
              <w:top w:val="nil"/>
              <w:left w:val="single" w:sz="4" w:space="0" w:color="auto"/>
              <w:bottom w:val="nil"/>
              <w:right w:val="nil"/>
            </w:tcBorders>
          </w:tcPr>
          <w:p w14:paraId="17247F01" w14:textId="77777777" w:rsidR="00A8112A" w:rsidRPr="007D64FF" w:rsidRDefault="00A8112A" w:rsidP="00A8112A">
            <w:pPr>
              <w:pStyle w:val="21"/>
              <w:tabs>
                <w:tab w:val="clear" w:pos="1134"/>
                <w:tab w:val="clear" w:pos="1701"/>
              </w:tabs>
              <w:ind w:left="56" w:firstLine="0"/>
              <w:rPr>
                <w:rtl/>
              </w:rPr>
            </w:pPr>
          </w:p>
        </w:tc>
        <w:tc>
          <w:tcPr>
            <w:tcW w:w="7987" w:type="dxa"/>
            <w:tcBorders>
              <w:top w:val="nil"/>
              <w:left w:val="nil"/>
              <w:bottom w:val="nil"/>
              <w:right w:val="nil"/>
            </w:tcBorders>
          </w:tcPr>
          <w:p w14:paraId="6E28FF29" w14:textId="77777777" w:rsidR="00A8112A" w:rsidRPr="007D64FF" w:rsidRDefault="00A8112A" w:rsidP="00A8112A">
            <w:pPr>
              <w:pStyle w:val="21"/>
              <w:tabs>
                <w:tab w:val="clear" w:pos="1134"/>
                <w:tab w:val="clear" w:pos="1701"/>
              </w:tabs>
              <w:ind w:left="56" w:firstLine="0"/>
              <w:rPr>
                <w:rtl/>
              </w:rPr>
            </w:pPr>
            <w:r w:rsidRPr="007D64FF">
              <w:rPr>
                <w:rFonts w:hint="cs"/>
                <w:rtl/>
              </w:rPr>
              <w:t>נכון למועד הרכישה, השווי ההוגן של התמורה המותנית נאמד ב-_____ אלפי ש"ח.</w:t>
            </w:r>
            <w:r w:rsidR="00CA0307">
              <w:rPr>
                <w:rFonts w:hint="cs"/>
                <w:rtl/>
              </w:rPr>
              <w:t xml:space="preserve"> </w:t>
            </w:r>
            <w:r w:rsidR="00CA0307">
              <w:rPr>
                <w:rFonts w:ascii="Arial" w:hAnsi="Arial" w:hint="cs"/>
                <w:rtl/>
              </w:rPr>
              <w:t xml:space="preserve">השווי ההוגן נקבע לפי שיטת </w:t>
            </w:r>
            <w:r w:rsidR="00CA0307" w:rsidRPr="00E20091">
              <w:rPr>
                <w:rFonts w:asciiTheme="majorBidi" w:hAnsiTheme="majorBidi" w:cstheme="majorBidi"/>
              </w:rPr>
              <w:t>DCF</w:t>
            </w:r>
            <w:r w:rsidR="00CA0307">
              <w:rPr>
                <w:rFonts w:ascii="Arial" w:hAnsi="Arial" w:hint="cs"/>
                <w:rtl/>
              </w:rPr>
              <w:t>.</w:t>
            </w:r>
          </w:p>
        </w:tc>
      </w:tr>
      <w:tr w:rsidR="00A8112A" w14:paraId="2BCC565A" w14:textId="77777777" w:rsidTr="00CA0307">
        <w:tc>
          <w:tcPr>
            <w:tcW w:w="1187" w:type="dxa"/>
            <w:tcBorders>
              <w:left w:val="nil"/>
              <w:bottom w:val="nil"/>
              <w:right w:val="nil"/>
            </w:tcBorders>
            <w:vAlign w:val="center"/>
          </w:tcPr>
          <w:p w14:paraId="489D9F5E" w14:textId="77777777" w:rsidR="00A8112A" w:rsidRDefault="00A8112A" w:rsidP="00A8112A">
            <w:pPr>
              <w:bidi w:val="0"/>
              <w:jc w:val="right"/>
              <w:rPr>
                <w:i/>
                <w:iCs/>
                <w:sz w:val="13"/>
                <w:szCs w:val="13"/>
              </w:rPr>
            </w:pPr>
          </w:p>
        </w:tc>
        <w:tc>
          <w:tcPr>
            <w:tcW w:w="536" w:type="dxa"/>
            <w:tcBorders>
              <w:top w:val="nil"/>
              <w:left w:val="nil"/>
              <w:bottom w:val="nil"/>
              <w:right w:val="nil"/>
            </w:tcBorders>
          </w:tcPr>
          <w:p w14:paraId="61F7B9F4" w14:textId="77777777" w:rsidR="00A8112A" w:rsidRPr="007D64FF" w:rsidRDefault="00A8112A" w:rsidP="00A8112A">
            <w:pPr>
              <w:pStyle w:val="21"/>
              <w:tabs>
                <w:tab w:val="clear" w:pos="1134"/>
                <w:tab w:val="clear" w:pos="1701"/>
              </w:tabs>
              <w:ind w:left="56" w:firstLine="0"/>
              <w:rPr>
                <w:rtl/>
              </w:rPr>
            </w:pPr>
          </w:p>
        </w:tc>
        <w:tc>
          <w:tcPr>
            <w:tcW w:w="7987" w:type="dxa"/>
            <w:tcBorders>
              <w:top w:val="nil"/>
              <w:left w:val="nil"/>
              <w:bottom w:val="nil"/>
              <w:right w:val="nil"/>
            </w:tcBorders>
          </w:tcPr>
          <w:p w14:paraId="77A5B98D" w14:textId="77777777" w:rsidR="00A8112A" w:rsidRPr="007D64FF" w:rsidRDefault="00A8112A" w:rsidP="00A8112A">
            <w:pPr>
              <w:pStyle w:val="21"/>
              <w:tabs>
                <w:tab w:val="clear" w:pos="1134"/>
                <w:tab w:val="clear" w:pos="1701"/>
              </w:tabs>
              <w:ind w:left="56" w:firstLine="0"/>
              <w:rPr>
                <w:rtl/>
              </w:rPr>
            </w:pPr>
          </w:p>
        </w:tc>
      </w:tr>
      <w:tr w:rsidR="00CA0307" w14:paraId="56F8BABB" w14:textId="77777777" w:rsidTr="00CA0307">
        <w:tc>
          <w:tcPr>
            <w:tcW w:w="1187" w:type="dxa"/>
            <w:tcBorders>
              <w:top w:val="nil"/>
              <w:left w:val="nil"/>
              <w:bottom w:val="single" w:sz="4" w:space="0" w:color="auto"/>
              <w:right w:val="single" w:sz="4" w:space="0" w:color="auto"/>
            </w:tcBorders>
            <w:vAlign w:val="center"/>
          </w:tcPr>
          <w:p w14:paraId="5919858C" w14:textId="77777777" w:rsidR="00CA0307" w:rsidRDefault="00CA0307" w:rsidP="00A8112A">
            <w:pPr>
              <w:bidi w:val="0"/>
              <w:jc w:val="right"/>
              <w:rPr>
                <w:i/>
                <w:iCs/>
                <w:sz w:val="13"/>
                <w:szCs w:val="13"/>
              </w:rPr>
            </w:pPr>
            <w:r w:rsidRPr="00CA0307">
              <w:rPr>
                <w:i/>
                <w:iCs/>
                <w:sz w:val="13"/>
                <w:szCs w:val="13"/>
              </w:rPr>
              <w:t>IFRS 13.93(d)</w:t>
            </w:r>
          </w:p>
        </w:tc>
        <w:tc>
          <w:tcPr>
            <w:tcW w:w="536" w:type="dxa"/>
            <w:tcBorders>
              <w:top w:val="nil"/>
              <w:left w:val="single" w:sz="4" w:space="0" w:color="auto"/>
              <w:bottom w:val="nil"/>
              <w:right w:val="nil"/>
            </w:tcBorders>
          </w:tcPr>
          <w:p w14:paraId="4325374F" w14:textId="77777777" w:rsidR="00CA0307" w:rsidRPr="007D64FF" w:rsidRDefault="00CA0307" w:rsidP="00A8112A">
            <w:pPr>
              <w:pStyle w:val="21"/>
              <w:tabs>
                <w:tab w:val="clear" w:pos="1134"/>
                <w:tab w:val="clear" w:pos="1701"/>
              </w:tabs>
              <w:ind w:left="56" w:firstLine="0"/>
              <w:rPr>
                <w:rtl/>
              </w:rPr>
            </w:pPr>
          </w:p>
        </w:tc>
        <w:tc>
          <w:tcPr>
            <w:tcW w:w="7987" w:type="dxa"/>
            <w:tcBorders>
              <w:top w:val="nil"/>
              <w:left w:val="nil"/>
              <w:bottom w:val="nil"/>
              <w:right w:val="nil"/>
            </w:tcBorders>
          </w:tcPr>
          <w:p w14:paraId="05C79750" w14:textId="77777777" w:rsidR="00CA0307" w:rsidRDefault="00CA0307" w:rsidP="00CA0307">
            <w:pPr>
              <w:pStyle w:val="21"/>
              <w:tabs>
                <w:tab w:val="clear" w:pos="1134"/>
                <w:tab w:val="clear" w:pos="1701"/>
                <w:tab w:val="left" w:pos="552"/>
              </w:tabs>
              <w:ind w:left="57" w:firstLine="0"/>
              <w:rPr>
                <w:rFonts w:ascii="Arial" w:hAnsi="Arial"/>
                <w:rtl/>
              </w:rPr>
            </w:pPr>
            <w:r>
              <w:rPr>
                <w:rFonts w:ascii="Arial" w:hAnsi="Arial" w:hint="cs"/>
                <w:rtl/>
              </w:rPr>
              <w:t>להלן הנתונים המשמעותיים שאינם ניתנים לצפייה ששימשו במדידת השווי ההוגן של ההתחייבות בגין תמורה מותנית:</w:t>
            </w:r>
          </w:p>
          <w:p w14:paraId="550481B9" w14:textId="77777777" w:rsidR="00CA0307" w:rsidRDefault="00CA0307" w:rsidP="00CA0307">
            <w:pPr>
              <w:pStyle w:val="21"/>
              <w:tabs>
                <w:tab w:val="clear" w:pos="1134"/>
                <w:tab w:val="clear" w:pos="1701"/>
                <w:tab w:val="left" w:pos="552"/>
              </w:tabs>
              <w:ind w:left="57" w:firstLine="0"/>
              <w:rPr>
                <w:rFonts w:ascii="Arial" w:hAnsi="Arial"/>
                <w:rtl/>
              </w:rPr>
            </w:pPr>
          </w:p>
          <w:p w14:paraId="28F16FC0" w14:textId="77777777" w:rsidR="00CA0307" w:rsidRDefault="00CA0307" w:rsidP="00CA0307">
            <w:pPr>
              <w:pStyle w:val="21"/>
              <w:tabs>
                <w:tab w:val="clear" w:pos="1134"/>
                <w:tab w:val="clear" w:pos="1701"/>
                <w:tab w:val="left" w:pos="552"/>
              </w:tabs>
              <w:ind w:left="57" w:firstLine="0"/>
              <w:rPr>
                <w:rFonts w:ascii="Arial" w:hAnsi="Arial"/>
                <w:rtl/>
              </w:rPr>
            </w:pPr>
            <w:r>
              <w:rPr>
                <w:rFonts w:ascii="Arial" w:hAnsi="Arial" w:hint="cs"/>
                <w:rtl/>
              </w:rPr>
              <w:t>שיעור היוון: ____</w:t>
            </w:r>
          </w:p>
          <w:p w14:paraId="5158CE8C" w14:textId="77777777" w:rsidR="00CA0307" w:rsidRPr="007D64FF" w:rsidRDefault="00CA0307" w:rsidP="00CA0307">
            <w:pPr>
              <w:pStyle w:val="21"/>
              <w:tabs>
                <w:tab w:val="clear" w:pos="1134"/>
                <w:tab w:val="clear" w:pos="1701"/>
              </w:tabs>
              <w:ind w:left="56" w:firstLine="0"/>
              <w:rPr>
                <w:rtl/>
              </w:rPr>
            </w:pPr>
            <w:r>
              <w:rPr>
                <w:rFonts w:ascii="Arial" w:hAnsi="Arial" w:hint="cs"/>
                <w:rtl/>
              </w:rPr>
              <w:t>שיעור סיכון אי-ביצוע:  ____</w:t>
            </w:r>
          </w:p>
        </w:tc>
      </w:tr>
      <w:tr w:rsidR="00CA0307" w14:paraId="3059B8CD" w14:textId="77777777" w:rsidTr="00CA0307">
        <w:tc>
          <w:tcPr>
            <w:tcW w:w="1187" w:type="dxa"/>
            <w:tcBorders>
              <w:top w:val="single" w:sz="4" w:space="0" w:color="auto"/>
              <w:left w:val="nil"/>
              <w:bottom w:val="nil"/>
              <w:right w:val="nil"/>
            </w:tcBorders>
            <w:vAlign w:val="center"/>
          </w:tcPr>
          <w:p w14:paraId="1F208B07" w14:textId="77777777" w:rsidR="00CA0307" w:rsidRDefault="00CA0307" w:rsidP="00A8112A">
            <w:pPr>
              <w:bidi w:val="0"/>
              <w:jc w:val="right"/>
              <w:rPr>
                <w:i/>
                <w:iCs/>
                <w:sz w:val="13"/>
                <w:szCs w:val="13"/>
              </w:rPr>
            </w:pPr>
          </w:p>
        </w:tc>
        <w:tc>
          <w:tcPr>
            <w:tcW w:w="536" w:type="dxa"/>
            <w:tcBorders>
              <w:top w:val="nil"/>
              <w:left w:val="nil"/>
              <w:bottom w:val="nil"/>
              <w:right w:val="nil"/>
            </w:tcBorders>
          </w:tcPr>
          <w:p w14:paraId="3E823F05" w14:textId="77777777" w:rsidR="00CA0307" w:rsidRPr="007D64FF" w:rsidRDefault="00CA0307" w:rsidP="00A8112A">
            <w:pPr>
              <w:pStyle w:val="21"/>
              <w:tabs>
                <w:tab w:val="clear" w:pos="1134"/>
                <w:tab w:val="clear" w:pos="1701"/>
              </w:tabs>
              <w:ind w:left="56" w:firstLine="0"/>
              <w:rPr>
                <w:rtl/>
              </w:rPr>
            </w:pPr>
          </w:p>
        </w:tc>
        <w:tc>
          <w:tcPr>
            <w:tcW w:w="7987" w:type="dxa"/>
            <w:tcBorders>
              <w:top w:val="nil"/>
              <w:left w:val="nil"/>
              <w:bottom w:val="nil"/>
              <w:right w:val="nil"/>
            </w:tcBorders>
          </w:tcPr>
          <w:p w14:paraId="25B8747D" w14:textId="77777777" w:rsidR="00CA0307" w:rsidRPr="007D64FF" w:rsidRDefault="00CA0307" w:rsidP="00A8112A">
            <w:pPr>
              <w:pStyle w:val="21"/>
              <w:tabs>
                <w:tab w:val="clear" w:pos="1134"/>
                <w:tab w:val="clear" w:pos="1701"/>
              </w:tabs>
              <w:ind w:left="56" w:firstLine="0"/>
              <w:rPr>
                <w:rtl/>
              </w:rPr>
            </w:pPr>
          </w:p>
        </w:tc>
      </w:tr>
      <w:tr w:rsidR="00CA0307" w14:paraId="535B1FAE" w14:textId="77777777" w:rsidTr="00CA0307">
        <w:tc>
          <w:tcPr>
            <w:tcW w:w="1187" w:type="dxa"/>
            <w:tcBorders>
              <w:top w:val="nil"/>
              <w:left w:val="nil"/>
              <w:bottom w:val="single" w:sz="4" w:space="0" w:color="auto"/>
              <w:right w:val="single" w:sz="4" w:space="0" w:color="auto"/>
            </w:tcBorders>
            <w:vAlign w:val="center"/>
          </w:tcPr>
          <w:p w14:paraId="7D135EB2" w14:textId="77777777" w:rsidR="00CA0307" w:rsidRDefault="00CA0307" w:rsidP="00A8112A">
            <w:pPr>
              <w:bidi w:val="0"/>
              <w:jc w:val="right"/>
              <w:rPr>
                <w:i/>
                <w:iCs/>
                <w:sz w:val="13"/>
                <w:szCs w:val="13"/>
              </w:rPr>
            </w:pPr>
            <w:r>
              <w:rPr>
                <w:i/>
                <w:iCs/>
                <w:sz w:val="13"/>
                <w:szCs w:val="13"/>
              </w:rPr>
              <w:t>IFRS 3.58(b)(i)</w:t>
            </w:r>
          </w:p>
        </w:tc>
        <w:tc>
          <w:tcPr>
            <w:tcW w:w="536" w:type="dxa"/>
            <w:tcBorders>
              <w:top w:val="nil"/>
              <w:left w:val="single" w:sz="4" w:space="0" w:color="auto"/>
              <w:bottom w:val="nil"/>
              <w:right w:val="nil"/>
            </w:tcBorders>
          </w:tcPr>
          <w:p w14:paraId="6B24C4C7" w14:textId="77777777" w:rsidR="00CA0307" w:rsidRPr="007D64FF" w:rsidRDefault="00CA0307" w:rsidP="00A8112A">
            <w:pPr>
              <w:pStyle w:val="21"/>
              <w:tabs>
                <w:tab w:val="clear" w:pos="1134"/>
                <w:tab w:val="clear" w:pos="1701"/>
              </w:tabs>
              <w:ind w:left="56" w:firstLine="0"/>
              <w:rPr>
                <w:rtl/>
              </w:rPr>
            </w:pPr>
          </w:p>
        </w:tc>
        <w:tc>
          <w:tcPr>
            <w:tcW w:w="7987" w:type="dxa"/>
            <w:tcBorders>
              <w:top w:val="nil"/>
              <w:left w:val="nil"/>
              <w:bottom w:val="nil"/>
              <w:right w:val="nil"/>
            </w:tcBorders>
          </w:tcPr>
          <w:p w14:paraId="7C9DF8B5" w14:textId="668B2581" w:rsidR="00CA0307" w:rsidRDefault="00CA0307" w:rsidP="00414876">
            <w:pPr>
              <w:pStyle w:val="21"/>
              <w:tabs>
                <w:tab w:val="clear" w:pos="1134"/>
                <w:tab w:val="clear" w:pos="1701"/>
              </w:tabs>
              <w:ind w:left="56" w:firstLine="0"/>
              <w:rPr>
                <w:rtl/>
              </w:rPr>
            </w:pPr>
            <w:r w:rsidRPr="007D64FF">
              <w:rPr>
                <w:rFonts w:ascii="Arial" w:hAnsi="Arial" w:hint="cs"/>
                <w:rtl/>
              </w:rPr>
              <w:t xml:space="preserve">נכון ליום </w:t>
            </w:r>
            <w:r>
              <w:rPr>
                <w:rFonts w:ascii="Arial" w:hAnsi="Arial" w:hint="cs"/>
                <w:rtl/>
              </w:rPr>
              <w:t>30 בספטמבר</w:t>
            </w:r>
            <w:r w:rsidRPr="007D64FF">
              <w:rPr>
                <w:rFonts w:ascii="Arial" w:hAnsi="Arial" w:hint="cs"/>
                <w:rtl/>
              </w:rPr>
              <w:t xml:space="preserve">, </w:t>
            </w:r>
            <w:r w:rsidR="00414876">
              <w:rPr>
                <w:rFonts w:hint="cs"/>
                <w:rtl/>
              </w:rPr>
              <w:t>2019</w:t>
            </w:r>
            <w:r w:rsidRPr="007D64FF">
              <w:rPr>
                <w:rFonts w:ascii="Arial" w:hAnsi="Arial" w:hint="cs"/>
                <w:rtl/>
              </w:rPr>
              <w:t xml:space="preserve"> מראים </w:t>
            </w:r>
            <w:r>
              <w:rPr>
                <w:rFonts w:ascii="Arial" w:hAnsi="Arial" w:hint="cs"/>
                <w:rtl/>
              </w:rPr>
              <w:t>מדדי</w:t>
            </w:r>
            <w:r w:rsidRPr="007D64FF">
              <w:rPr>
                <w:rFonts w:ascii="Arial" w:hAnsi="Arial" w:hint="cs"/>
                <w:rtl/>
              </w:rPr>
              <w:t xml:space="preserve"> הביצוע העיקריים של החברה </w:t>
            </w:r>
            <w:r>
              <w:rPr>
                <w:rFonts w:ascii="Arial" w:hAnsi="Arial" w:hint="cs"/>
                <w:rtl/>
              </w:rPr>
              <w:t>הנרכשת שה</w:t>
            </w:r>
            <w:r w:rsidRPr="007D64FF">
              <w:rPr>
                <w:rFonts w:ascii="Arial" w:hAnsi="Arial" w:hint="cs"/>
                <w:rtl/>
              </w:rPr>
              <w:t>ש</w:t>
            </w:r>
            <w:r>
              <w:rPr>
                <w:rFonts w:ascii="Arial" w:hAnsi="Arial" w:hint="cs"/>
                <w:rtl/>
              </w:rPr>
              <w:t xml:space="preserve">גת יעד הרווח הינה </w:t>
            </w:r>
            <w:r w:rsidRPr="000C4C0E">
              <w:rPr>
                <w:rFonts w:ascii="Arial" w:hAnsi="Arial" w:hint="eastAsia"/>
                <w:rtl/>
              </w:rPr>
              <w:t>צפויה</w:t>
            </w:r>
            <w:r w:rsidRPr="000C4C0E">
              <w:rPr>
                <w:rFonts w:ascii="Arial" w:hAnsi="Arial"/>
                <w:rtl/>
              </w:rPr>
              <w:t xml:space="preserve">, וכי השגת </w:t>
            </w:r>
            <w:r w:rsidRPr="000C4C0E">
              <w:rPr>
                <w:rFonts w:ascii="Arial" w:hAnsi="Arial" w:hint="eastAsia"/>
                <w:rtl/>
              </w:rPr>
              <w:t>יעד</w:t>
            </w:r>
            <w:r w:rsidRPr="000C4C0E">
              <w:rPr>
                <w:rFonts w:ascii="Arial" w:hAnsi="Arial"/>
                <w:rtl/>
              </w:rPr>
              <w:t xml:space="preserve"> המכירות </w:t>
            </w:r>
            <w:r w:rsidRPr="000C4C0E">
              <w:rPr>
                <w:rFonts w:ascii="Arial" w:hAnsi="Arial" w:hint="eastAsia"/>
                <w:rtl/>
              </w:rPr>
              <w:t>הינה</w:t>
            </w:r>
            <w:r w:rsidRPr="000C4C0E">
              <w:rPr>
                <w:rFonts w:ascii="Arial" w:hAnsi="Arial"/>
                <w:rtl/>
              </w:rPr>
              <w:t xml:space="preserve"> צפויה הודות להתרחבות משמעותית בעסקים והודות </w:t>
            </w:r>
            <w:r w:rsidRPr="000C4C0E">
              <w:rPr>
                <w:rFonts w:ascii="Arial" w:hAnsi="Arial" w:hint="eastAsia"/>
                <w:rtl/>
              </w:rPr>
              <w:t>לסינרגיות</w:t>
            </w:r>
            <w:r w:rsidRPr="007D64FF">
              <w:rPr>
                <w:rFonts w:ascii="Arial" w:hAnsi="Arial" w:hint="cs"/>
                <w:rtl/>
              </w:rPr>
              <w:t xml:space="preserve"> שהושגו. לפיכך, הותאם השווי ההוגן של התמורה המותנית כך שישקף התפתחויות אלה. השינוי בשווי ההוגן הוכר ברווח </w:t>
            </w:r>
            <w:r>
              <w:rPr>
                <w:rFonts w:ascii="Arial" w:hAnsi="Arial" w:hint="cs"/>
                <w:rtl/>
              </w:rPr>
              <w:t>א</w:t>
            </w:r>
            <w:r w:rsidRPr="007D64FF">
              <w:rPr>
                <w:rFonts w:ascii="Arial" w:hAnsi="Arial" w:hint="cs"/>
                <w:rtl/>
              </w:rPr>
              <w:t>ו</w:t>
            </w:r>
            <w:r>
              <w:rPr>
                <w:rFonts w:ascii="Arial" w:hAnsi="Arial" w:hint="cs"/>
                <w:rtl/>
              </w:rPr>
              <w:t xml:space="preserve"> </w:t>
            </w:r>
            <w:r w:rsidRPr="007D64FF">
              <w:rPr>
                <w:rFonts w:ascii="Arial" w:hAnsi="Arial" w:hint="cs"/>
                <w:rtl/>
              </w:rPr>
              <w:t>הפסד.</w:t>
            </w:r>
          </w:p>
        </w:tc>
      </w:tr>
    </w:tbl>
    <w:p w14:paraId="69DB2DA6" w14:textId="77777777" w:rsidR="00A8112A" w:rsidRDefault="00A8112A" w:rsidP="00054702">
      <w:pPr>
        <w:pStyle w:val="30"/>
        <w:ind w:left="1134" w:firstLine="0"/>
        <w:rPr>
          <w:rtl/>
        </w:rPr>
      </w:pPr>
    </w:p>
    <w:p w14:paraId="18733889" w14:textId="77777777" w:rsidR="00F41C12" w:rsidRDefault="00016289">
      <w:pPr>
        <w:pStyle w:val="21"/>
        <w:ind w:left="1134" w:firstLine="0"/>
        <w:rPr>
          <w:rFonts w:ascii="Arial" w:hAnsi="Arial"/>
          <w:u w:val="single"/>
          <w:rtl/>
        </w:rPr>
      </w:pPr>
      <w:r>
        <w:rPr>
          <w:rFonts w:ascii="Arial" w:hAnsi="Arial" w:hint="cs"/>
          <w:u w:val="single"/>
          <w:rtl/>
        </w:rPr>
        <w:t xml:space="preserve">רכישת </w:t>
      </w:r>
      <w:r w:rsidR="003C2801">
        <w:rPr>
          <w:rFonts w:ascii="Arial" w:hAnsi="Arial" w:hint="cs"/>
          <w:u w:val="single"/>
          <w:rtl/>
        </w:rPr>
        <w:t xml:space="preserve">זכויות שאינן מקנות שליטה </w:t>
      </w:r>
      <w:r>
        <w:rPr>
          <w:rFonts w:ascii="Arial" w:hAnsi="Arial" w:hint="cs"/>
          <w:u w:val="single"/>
          <w:rtl/>
        </w:rPr>
        <w:t>של חברת</w:t>
      </w:r>
      <w:r w:rsidR="00857BD7">
        <w:rPr>
          <w:rFonts w:ascii="Arial" w:hAnsi="Arial" w:hint="cs"/>
          <w:u w:val="single"/>
          <w:rtl/>
        </w:rPr>
        <w:t xml:space="preserve">          </w:t>
      </w:r>
    </w:p>
    <w:p w14:paraId="174CA395" w14:textId="77777777" w:rsidR="00016289" w:rsidRDefault="00016289" w:rsidP="00016289">
      <w:pPr>
        <w:pStyle w:val="21"/>
        <w:ind w:left="1134" w:firstLine="0"/>
        <w:rPr>
          <w:rFonts w:ascii="Arial" w:hAnsi="Arial"/>
          <w:rtl/>
        </w:rPr>
      </w:pPr>
    </w:p>
    <w:tbl>
      <w:tblPr>
        <w:tblStyle w:val="af6"/>
        <w:bidiVisual/>
        <w:tblW w:w="9729" w:type="dxa"/>
        <w:tblInd w:w="-57" w:type="dxa"/>
        <w:tblLayout w:type="fixed"/>
        <w:tblCellMar>
          <w:left w:w="0" w:type="dxa"/>
          <w:right w:w="0" w:type="dxa"/>
        </w:tblCellMar>
        <w:tblLook w:val="04A0" w:firstRow="1" w:lastRow="0" w:firstColumn="1" w:lastColumn="0" w:noHBand="0" w:noVBand="1"/>
      </w:tblPr>
      <w:tblGrid>
        <w:gridCol w:w="1206"/>
        <w:gridCol w:w="8523"/>
      </w:tblGrid>
      <w:tr w:rsidR="00A8112A" w14:paraId="09712472" w14:textId="77777777" w:rsidTr="0022439F">
        <w:tc>
          <w:tcPr>
            <w:tcW w:w="1206" w:type="dxa"/>
            <w:tcBorders>
              <w:top w:val="nil"/>
              <w:left w:val="nil"/>
              <w:bottom w:val="single" w:sz="4" w:space="0" w:color="auto"/>
              <w:right w:val="single" w:sz="4" w:space="0" w:color="auto"/>
            </w:tcBorders>
            <w:vAlign w:val="center"/>
          </w:tcPr>
          <w:p w14:paraId="722C4D5D" w14:textId="77777777" w:rsidR="00A8112A" w:rsidRDefault="00A8112A" w:rsidP="00A8112A">
            <w:pPr>
              <w:bidi w:val="0"/>
              <w:jc w:val="right"/>
              <w:rPr>
                <w:i/>
                <w:iCs/>
                <w:sz w:val="13"/>
                <w:szCs w:val="13"/>
              </w:rPr>
            </w:pPr>
            <w:r>
              <w:rPr>
                <w:i/>
                <w:iCs/>
                <w:sz w:val="13"/>
                <w:szCs w:val="13"/>
              </w:rPr>
              <w:t>IAS 27.30; IAS 27.41(e)</w:t>
            </w:r>
          </w:p>
        </w:tc>
        <w:tc>
          <w:tcPr>
            <w:tcW w:w="8523" w:type="dxa"/>
            <w:tcBorders>
              <w:top w:val="nil"/>
              <w:left w:val="single" w:sz="4" w:space="0" w:color="auto"/>
              <w:bottom w:val="nil"/>
              <w:right w:val="nil"/>
            </w:tcBorders>
          </w:tcPr>
          <w:p w14:paraId="28A0D881" w14:textId="01F7B965" w:rsidR="008D22FA" w:rsidRDefault="00A8112A" w:rsidP="005C7519">
            <w:pPr>
              <w:pStyle w:val="21"/>
              <w:tabs>
                <w:tab w:val="clear" w:pos="1134"/>
              </w:tabs>
              <w:ind w:left="28" w:firstLine="0"/>
              <w:rPr>
                <w:rFonts w:ascii="Arial" w:hAnsi="Arial"/>
                <w:rtl/>
              </w:rPr>
            </w:pPr>
            <w:r w:rsidRPr="007D64FF">
              <w:rPr>
                <w:rFonts w:ascii="Arial" w:hAnsi="Arial" w:hint="cs"/>
                <w:rtl/>
              </w:rPr>
              <w:t xml:space="preserve">ביום 1 </w:t>
            </w:r>
            <w:r>
              <w:rPr>
                <w:rFonts w:ascii="Arial" w:hAnsi="Arial" w:hint="cs"/>
                <w:rtl/>
              </w:rPr>
              <w:t>ביולי</w:t>
            </w:r>
            <w:r w:rsidRPr="007D64FF">
              <w:rPr>
                <w:rFonts w:ascii="Arial" w:hAnsi="Arial" w:hint="cs"/>
                <w:rtl/>
              </w:rPr>
              <w:t xml:space="preserve">, </w:t>
            </w:r>
            <w:r w:rsidR="004A4A6B">
              <w:rPr>
                <w:rFonts w:ascii="Arial" w:hAnsi="Arial" w:hint="cs"/>
                <w:rtl/>
              </w:rPr>
              <w:t>201</w:t>
            </w:r>
            <w:r w:rsidR="005C7519">
              <w:rPr>
                <w:rFonts w:ascii="Arial" w:hAnsi="Arial" w:hint="cs"/>
                <w:rtl/>
              </w:rPr>
              <w:t>9</w:t>
            </w:r>
            <w:r w:rsidR="006C3028" w:rsidRPr="007D64FF">
              <w:rPr>
                <w:rFonts w:ascii="Arial" w:hAnsi="Arial" w:hint="cs"/>
                <w:rtl/>
              </w:rPr>
              <w:t xml:space="preserve"> </w:t>
            </w:r>
            <w:r w:rsidRPr="007D64FF">
              <w:rPr>
                <w:rFonts w:ascii="Arial" w:hAnsi="Arial" w:hint="cs"/>
                <w:rtl/>
              </w:rPr>
              <w:t>רכשה הקבוצה %___ נוספים ממניות חברת _____, ובכך הגדילה את שיעור ההחזקה בה ל-%___. הקבוצה שילמה ל</w:t>
            </w:r>
            <w:r>
              <w:rPr>
                <w:rFonts w:ascii="Arial" w:hAnsi="Arial" w:hint="cs"/>
                <w:rtl/>
              </w:rPr>
              <w:t>בעלי ה</w:t>
            </w:r>
            <w:r w:rsidRPr="007D64FF">
              <w:rPr>
                <w:rFonts w:ascii="Arial" w:hAnsi="Arial" w:hint="cs"/>
                <w:rtl/>
              </w:rPr>
              <w:t xml:space="preserve">זכויות שאינן מקנות שליטה סכום נוסף של _____ אלפי ש"ח. ההפרש בסך של _____ אלפי ש"ח בין התמורה לבין היתרה בדוחות הכספיים של הזכויות שנרכשו נזקף לקרן </w:t>
            </w:r>
            <w:r>
              <w:rPr>
                <w:rFonts w:ascii="Arial" w:hAnsi="Arial" w:hint="cs"/>
                <w:rtl/>
              </w:rPr>
              <w:t>בגין עסקאות עם בעלי זכויות שאינן מקנות שליטה/יתרת הרווח</w:t>
            </w:r>
            <w:r>
              <w:rPr>
                <w:rStyle w:val="ab"/>
                <w:rFonts w:ascii="Arial" w:hAnsi="Arial"/>
                <w:rtl/>
              </w:rPr>
              <w:footnoteReference w:id="100"/>
            </w:r>
            <w:r w:rsidRPr="007D64FF">
              <w:rPr>
                <w:rFonts w:ascii="Arial" w:hAnsi="Arial" w:hint="cs"/>
                <w:rtl/>
              </w:rPr>
              <w:t>.</w:t>
            </w:r>
          </w:p>
          <w:p w14:paraId="3D9EA01C" w14:textId="77777777" w:rsidR="008D22FA" w:rsidRDefault="00A8112A" w:rsidP="00023717">
            <w:pPr>
              <w:ind w:left="28"/>
              <w:rPr>
                <w:rtl/>
              </w:rPr>
            </w:pPr>
            <w:r w:rsidRPr="000C4C0E">
              <w:rPr>
                <w:rFonts w:hint="eastAsia"/>
                <w:rtl/>
              </w:rPr>
              <w:t>כמו</w:t>
            </w:r>
            <w:r w:rsidRPr="000C4C0E">
              <w:rPr>
                <w:rtl/>
              </w:rPr>
              <w:t xml:space="preserve"> כן, במועד רכישת הזכויות הנוספות, ביצעה החברה הקצאה מחדש של סכומים שהוכרו ברווח כולל אחר בגין </w:t>
            </w:r>
            <w:r w:rsidRPr="000C4C0E">
              <w:rPr>
                <w:rFonts w:hint="eastAsia"/>
                <w:rtl/>
              </w:rPr>
              <w:t>החברה</w:t>
            </w:r>
            <w:r w:rsidRPr="000C4C0E">
              <w:rPr>
                <w:rtl/>
              </w:rPr>
              <w:t xml:space="preserve"> הנרכשת בסך של כ- ____ אלפי ש"ח.</w:t>
            </w:r>
          </w:p>
        </w:tc>
      </w:tr>
    </w:tbl>
    <w:p w14:paraId="548FEDD3" w14:textId="77777777" w:rsidR="00A8112A" w:rsidRPr="007D64FF" w:rsidRDefault="00A8112A" w:rsidP="00016289">
      <w:pPr>
        <w:pStyle w:val="21"/>
        <w:ind w:left="1134" w:firstLine="0"/>
        <w:rPr>
          <w:rFonts w:ascii="Arial" w:hAnsi="Arial"/>
          <w:rtl/>
        </w:rPr>
      </w:pPr>
    </w:p>
    <w:p w14:paraId="30A38B46" w14:textId="04F52FEF" w:rsidR="008D22FA" w:rsidRDefault="0076297A" w:rsidP="00414876">
      <w:pPr>
        <w:pStyle w:val="21"/>
        <w:ind w:left="1134" w:firstLine="0"/>
        <w:rPr>
          <w:b/>
          <w:bCs/>
          <w:u w:val="single"/>
          <w:rtl/>
        </w:rPr>
      </w:pPr>
      <w:r w:rsidRPr="007D64FF">
        <w:rPr>
          <w:rFonts w:hint="cs"/>
          <w:b/>
          <w:bCs/>
          <w:u w:val="single"/>
          <w:rtl/>
        </w:rPr>
        <w:t xml:space="preserve">באור שיוצג בשנת </w:t>
      </w:r>
      <w:r w:rsidR="004A4A6B">
        <w:rPr>
          <w:rFonts w:hint="cs"/>
          <w:b/>
          <w:bCs/>
          <w:u w:val="single"/>
          <w:rtl/>
        </w:rPr>
        <w:t>201</w:t>
      </w:r>
      <w:r w:rsidR="005C7519">
        <w:rPr>
          <w:rFonts w:hint="cs"/>
          <w:b/>
          <w:bCs/>
          <w:u w:val="single"/>
          <w:rtl/>
        </w:rPr>
        <w:t>9</w:t>
      </w:r>
      <w:r w:rsidR="00DB0863" w:rsidRPr="007D64FF">
        <w:rPr>
          <w:rFonts w:hint="cs"/>
          <w:b/>
          <w:bCs/>
          <w:u w:val="single"/>
          <w:rtl/>
        </w:rPr>
        <w:t xml:space="preserve"> </w:t>
      </w:r>
      <w:r w:rsidRPr="007D64FF">
        <w:rPr>
          <w:rFonts w:hint="cs"/>
          <w:b/>
          <w:bCs/>
          <w:u w:val="single"/>
          <w:rtl/>
        </w:rPr>
        <w:t xml:space="preserve">לגבי צירוף עסקים שבמועד רכישתו בשנת </w:t>
      </w:r>
      <w:r w:rsidR="00414876">
        <w:rPr>
          <w:rFonts w:hint="cs"/>
          <w:b/>
          <w:bCs/>
          <w:u w:val="single"/>
          <w:rtl/>
        </w:rPr>
        <w:t>2018</w:t>
      </w:r>
      <w:r w:rsidR="00DB0863" w:rsidRPr="007D64FF">
        <w:rPr>
          <w:rFonts w:hint="cs"/>
          <w:b/>
          <w:bCs/>
          <w:u w:val="single"/>
          <w:rtl/>
        </w:rPr>
        <w:t xml:space="preserve"> </w:t>
      </w:r>
      <w:r w:rsidRPr="007D64FF">
        <w:rPr>
          <w:rFonts w:hint="cs"/>
          <w:b/>
          <w:bCs/>
          <w:u w:val="single"/>
          <w:rtl/>
        </w:rPr>
        <w:t>בוצע</w:t>
      </w:r>
      <w:r w:rsidR="00DA464F">
        <w:rPr>
          <w:rFonts w:hint="cs"/>
          <w:b/>
          <w:bCs/>
          <w:u w:val="single"/>
          <w:rtl/>
        </w:rPr>
        <w:t>ה</w:t>
      </w:r>
      <w:r w:rsidRPr="007D64FF">
        <w:rPr>
          <w:rFonts w:hint="cs"/>
          <w:b/>
          <w:bCs/>
          <w:u w:val="single"/>
          <w:rtl/>
        </w:rPr>
        <w:t xml:space="preserve"> </w:t>
      </w:r>
      <w:r w:rsidR="00DA464F">
        <w:rPr>
          <w:rFonts w:hint="cs"/>
          <w:b/>
          <w:bCs/>
          <w:u w:val="single"/>
          <w:rtl/>
        </w:rPr>
        <w:t>מדידה ארעית של ה</w:t>
      </w:r>
      <w:r w:rsidRPr="007D64FF">
        <w:rPr>
          <w:rFonts w:hint="cs"/>
          <w:b/>
          <w:bCs/>
          <w:u w:val="single"/>
          <w:rtl/>
        </w:rPr>
        <w:t xml:space="preserve">נכסים </w:t>
      </w:r>
      <w:r w:rsidR="00DA464F">
        <w:rPr>
          <w:rFonts w:hint="cs"/>
          <w:b/>
          <w:bCs/>
          <w:u w:val="single"/>
          <w:rtl/>
        </w:rPr>
        <w:t xml:space="preserve">שנרכשו </w:t>
      </w:r>
      <w:r w:rsidRPr="007D64FF">
        <w:rPr>
          <w:rFonts w:hint="cs"/>
          <w:b/>
          <w:bCs/>
          <w:u w:val="single"/>
          <w:rtl/>
        </w:rPr>
        <w:t>וההתחייבויות שנ</w:t>
      </w:r>
      <w:r w:rsidR="00DA464F">
        <w:rPr>
          <w:rFonts w:hint="cs"/>
          <w:b/>
          <w:bCs/>
          <w:u w:val="single"/>
          <w:rtl/>
        </w:rPr>
        <w:t>יטלו</w:t>
      </w:r>
      <w:r w:rsidRPr="007D64FF">
        <w:rPr>
          <w:rFonts w:hint="cs"/>
          <w:b/>
          <w:bCs/>
          <w:u w:val="single"/>
          <w:rtl/>
        </w:rPr>
        <w:t xml:space="preserve"> במסגרת צירוף העסקים</w:t>
      </w:r>
    </w:p>
    <w:p w14:paraId="0D22CB2F" w14:textId="77777777" w:rsidR="0076297A" w:rsidRPr="007D64FF" w:rsidRDefault="0076297A" w:rsidP="00054702">
      <w:pPr>
        <w:rPr>
          <w:rtl/>
        </w:rPr>
      </w:pPr>
    </w:p>
    <w:p w14:paraId="0AD979E2" w14:textId="77777777" w:rsidR="0076297A" w:rsidRPr="007D64FF" w:rsidRDefault="0076297A" w:rsidP="0076297A">
      <w:pPr>
        <w:pStyle w:val="21"/>
        <w:ind w:left="1134" w:firstLine="0"/>
        <w:rPr>
          <w:sz w:val="2"/>
          <w:szCs w:val="2"/>
          <w:rtl/>
        </w:rPr>
      </w:pPr>
    </w:p>
    <w:p w14:paraId="5425823B" w14:textId="04D4EB69" w:rsidR="008D22FA" w:rsidRDefault="00144E36" w:rsidP="005C7519">
      <w:pPr>
        <w:pStyle w:val="21"/>
        <w:ind w:left="1134" w:firstLine="0"/>
        <w:rPr>
          <w:rtl/>
        </w:rPr>
      </w:pPr>
      <w:r>
        <w:rPr>
          <w:rFonts w:hint="cs"/>
          <w:rtl/>
        </w:rPr>
        <w:t xml:space="preserve">ביום 1 בדצמבר, </w:t>
      </w:r>
      <w:r w:rsidR="004F7D3D">
        <w:rPr>
          <w:rFonts w:hint="cs"/>
          <w:rtl/>
        </w:rPr>
        <w:t>201</w:t>
      </w:r>
      <w:r w:rsidR="005C7519">
        <w:rPr>
          <w:rFonts w:hint="cs"/>
          <w:rtl/>
        </w:rPr>
        <w:t>8</w:t>
      </w:r>
      <w:r w:rsidR="006C3028" w:rsidRPr="007D64FF">
        <w:rPr>
          <w:rFonts w:hint="cs"/>
          <w:rtl/>
        </w:rPr>
        <w:t xml:space="preserve"> </w:t>
      </w:r>
      <w:r w:rsidR="0076297A" w:rsidRPr="007D64FF">
        <w:rPr>
          <w:rFonts w:hint="cs"/>
          <w:rtl/>
        </w:rPr>
        <w:t>החברה/החברה המאוחדת</w:t>
      </w:r>
      <w:r w:rsidR="00DA464F">
        <w:rPr>
          <w:rStyle w:val="ab"/>
          <w:rtl/>
        </w:rPr>
        <w:footnoteReference w:id="101"/>
      </w:r>
      <w:r w:rsidR="0076297A" w:rsidRPr="007D64FF">
        <w:rPr>
          <w:rFonts w:hint="cs"/>
          <w:rtl/>
        </w:rPr>
        <w:t xml:space="preserve"> רכשה 80% ממניות ההצבעה בחברה ב בע</w:t>
      </w:r>
      <w:r w:rsidR="0076297A" w:rsidRPr="007D64FF">
        <w:rPr>
          <w:rtl/>
        </w:rPr>
        <w:t>"</w:t>
      </w:r>
      <w:r w:rsidR="0076297A" w:rsidRPr="007D64FF">
        <w:rPr>
          <w:rFonts w:hint="cs"/>
          <w:rtl/>
        </w:rPr>
        <w:t>מ, חברה שמושבה בספרד, ומתמחה בייצור והפצה של נורות חשמל.</w:t>
      </w:r>
    </w:p>
    <w:p w14:paraId="3E01F4F0" w14:textId="77777777" w:rsidR="005063E4" w:rsidRDefault="005063E4">
      <w:pPr>
        <w:widowControl/>
        <w:overflowPunct/>
        <w:autoSpaceDE/>
        <w:autoSpaceDN/>
        <w:bidi w:val="0"/>
        <w:adjustRightInd/>
        <w:spacing w:line="240" w:lineRule="auto"/>
        <w:jc w:val="left"/>
        <w:textAlignment w:val="auto"/>
        <w:rPr>
          <w:rtl/>
        </w:rPr>
      </w:pPr>
      <w:r>
        <w:rPr>
          <w:rtl/>
        </w:rPr>
        <w:br w:type="page"/>
      </w:r>
    </w:p>
    <w:p w14:paraId="6C1E7D6B" w14:textId="77777777" w:rsidR="005063E4" w:rsidRDefault="005063E4" w:rsidP="005063E4">
      <w:pPr>
        <w:pStyle w:val="30"/>
        <w:ind w:left="1134" w:firstLine="0"/>
        <w:rPr>
          <w:rtl/>
        </w:rPr>
      </w:pPr>
    </w:p>
    <w:p w14:paraId="68BE50BA" w14:textId="77777777" w:rsidR="006C26D6" w:rsidRDefault="006C26D6" w:rsidP="005063E4">
      <w:pPr>
        <w:pStyle w:val="30"/>
        <w:ind w:left="1134" w:firstLine="0"/>
        <w:rPr>
          <w:rtl/>
        </w:rPr>
      </w:pPr>
    </w:p>
    <w:p w14:paraId="682BEE46" w14:textId="77777777" w:rsidR="005063E4" w:rsidRDefault="005063E4" w:rsidP="005063E4">
      <w:pPr>
        <w:pStyle w:val="11"/>
        <w:rPr>
          <w:sz w:val="24"/>
          <w:rtl/>
        </w:rPr>
      </w:pPr>
      <w:bookmarkStart w:id="52" w:name="_Toc290213633"/>
      <w:r>
        <w:rPr>
          <w:sz w:val="24"/>
          <w:rtl/>
        </w:rPr>
        <w:t xml:space="preserve">באור </w:t>
      </w:r>
      <w:r>
        <w:rPr>
          <w:rFonts w:hint="cs"/>
          <w:sz w:val="24"/>
          <w:rtl/>
        </w:rPr>
        <w:t>7</w:t>
      </w:r>
      <w:r>
        <w:rPr>
          <w:sz w:val="24"/>
          <w:rtl/>
        </w:rPr>
        <w:t>: -</w:t>
      </w:r>
      <w:r>
        <w:rPr>
          <w:sz w:val="24"/>
          <w:rtl/>
        </w:rPr>
        <w:tab/>
      </w:r>
      <w:r>
        <w:rPr>
          <w:rFonts w:hint="cs"/>
          <w:sz w:val="24"/>
          <w:u w:val="single"/>
          <w:rtl/>
        </w:rPr>
        <w:t>צירופי עסקים</w:t>
      </w:r>
      <w:r>
        <w:rPr>
          <w:rFonts w:hint="cs"/>
          <w:sz w:val="24"/>
          <w:rtl/>
        </w:rPr>
        <w:t xml:space="preserve"> (המשך)</w:t>
      </w:r>
      <w:bookmarkEnd w:id="52"/>
    </w:p>
    <w:p w14:paraId="7860D32F" w14:textId="77777777" w:rsidR="00054702" w:rsidRDefault="00054702" w:rsidP="00054702">
      <w:pPr>
        <w:pStyle w:val="30"/>
        <w:ind w:left="1134" w:firstLine="0"/>
        <w:rPr>
          <w:rtl/>
        </w:rPr>
      </w:pPr>
    </w:p>
    <w:p w14:paraId="3592B786" w14:textId="77777777" w:rsidR="00F41C12" w:rsidRDefault="0076297A">
      <w:pPr>
        <w:pStyle w:val="30"/>
        <w:ind w:left="1134" w:firstLine="0"/>
        <w:rPr>
          <w:rtl/>
        </w:rPr>
      </w:pPr>
      <w:r w:rsidRPr="007D64FF">
        <w:rPr>
          <w:rFonts w:hint="cs"/>
          <w:rtl/>
        </w:rPr>
        <w:t xml:space="preserve">השווי ההוגן של הנכסים וההתחייבויות </w:t>
      </w:r>
      <w:r w:rsidR="00AB1C56">
        <w:rPr>
          <w:rFonts w:hint="cs"/>
          <w:rtl/>
        </w:rPr>
        <w:t xml:space="preserve">המזוהים </w:t>
      </w:r>
      <w:r w:rsidRPr="007D64FF">
        <w:rPr>
          <w:rFonts w:hint="cs"/>
          <w:rtl/>
        </w:rPr>
        <w:t>של חברה ב בע</w:t>
      </w:r>
      <w:r w:rsidRPr="007D64FF">
        <w:rPr>
          <w:rtl/>
        </w:rPr>
        <w:t>"</w:t>
      </w:r>
      <w:r w:rsidRPr="007D64FF">
        <w:rPr>
          <w:rFonts w:hint="cs"/>
          <w:rtl/>
        </w:rPr>
        <w:t>מ</w:t>
      </w:r>
      <w:r w:rsidR="00DA464F">
        <w:rPr>
          <w:rFonts w:hint="cs"/>
          <w:rtl/>
        </w:rPr>
        <w:t>,</w:t>
      </w:r>
      <w:r w:rsidRPr="007D64FF">
        <w:rPr>
          <w:rFonts w:hint="cs"/>
          <w:rtl/>
        </w:rPr>
        <w:t xml:space="preserve"> ויתרתם בדוחות הכספיים </w:t>
      </w:r>
      <w:r w:rsidR="00DA464F">
        <w:rPr>
          <w:rFonts w:hint="cs"/>
          <w:rtl/>
        </w:rPr>
        <w:t>כפי שנמדד</w:t>
      </w:r>
      <w:r w:rsidR="00D33F7C">
        <w:rPr>
          <w:rFonts w:hint="cs"/>
          <w:rtl/>
        </w:rPr>
        <w:t>ו</w:t>
      </w:r>
      <w:r w:rsidR="00DA464F">
        <w:rPr>
          <w:rFonts w:hint="cs"/>
          <w:rtl/>
        </w:rPr>
        <w:t xml:space="preserve"> באופן ארעי</w:t>
      </w:r>
      <w:r w:rsidRPr="007D64FF">
        <w:rPr>
          <w:rFonts w:hint="cs"/>
          <w:rtl/>
        </w:rPr>
        <w:t>, הינם כדלקמן:</w:t>
      </w:r>
    </w:p>
    <w:tbl>
      <w:tblPr>
        <w:bidiVisual/>
        <w:tblW w:w="9750" w:type="dxa"/>
        <w:tblInd w:w="5" w:type="dxa"/>
        <w:tblLayout w:type="fixed"/>
        <w:tblCellMar>
          <w:left w:w="0" w:type="dxa"/>
          <w:right w:w="0" w:type="dxa"/>
        </w:tblCellMar>
        <w:tblLook w:val="01E0" w:firstRow="1" w:lastRow="1" w:firstColumn="1" w:lastColumn="1" w:noHBand="0" w:noVBand="0"/>
      </w:tblPr>
      <w:tblGrid>
        <w:gridCol w:w="1138"/>
        <w:gridCol w:w="5779"/>
        <w:gridCol w:w="113"/>
        <w:gridCol w:w="1247"/>
        <w:gridCol w:w="102"/>
        <w:gridCol w:w="1371"/>
      </w:tblGrid>
      <w:tr w:rsidR="00A8112A" w:rsidRPr="007D64FF" w14:paraId="6DDE4DD8" w14:textId="77777777" w:rsidTr="00C46B1C">
        <w:tc>
          <w:tcPr>
            <w:tcW w:w="1138" w:type="dxa"/>
            <w:tcBorders>
              <w:bottom w:val="single" w:sz="4" w:space="0" w:color="auto"/>
              <w:right w:val="single" w:sz="4" w:space="0" w:color="auto"/>
            </w:tcBorders>
            <w:vAlign w:val="center"/>
          </w:tcPr>
          <w:p w14:paraId="5897567C"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r>
              <w:rPr>
                <w:rFonts w:asciiTheme="majorBidi" w:hAnsiTheme="majorBidi" w:cstheme="majorBidi"/>
                <w:i/>
                <w:iCs/>
                <w:sz w:val="13"/>
                <w:szCs w:val="13"/>
              </w:rPr>
              <w:t>IAS 7.40(d)</w:t>
            </w:r>
          </w:p>
        </w:tc>
        <w:tc>
          <w:tcPr>
            <w:tcW w:w="5779" w:type="dxa"/>
            <w:tcBorders>
              <w:left w:val="single" w:sz="4" w:space="0" w:color="auto"/>
            </w:tcBorders>
            <w:shd w:val="clear" w:color="auto" w:fill="auto"/>
            <w:vAlign w:val="bottom"/>
          </w:tcPr>
          <w:p w14:paraId="40DDC5D6"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16FB8713" w14:textId="77777777" w:rsidR="00A8112A" w:rsidRPr="007D64FF" w:rsidRDefault="00A8112A" w:rsidP="00C46B1C">
            <w:pPr>
              <w:pStyle w:val="a3"/>
              <w:widowControl/>
              <w:spacing w:line="220" w:lineRule="exact"/>
              <w:jc w:val="center"/>
              <w:rPr>
                <w:rtl/>
              </w:rPr>
            </w:pPr>
          </w:p>
        </w:tc>
        <w:tc>
          <w:tcPr>
            <w:tcW w:w="1247" w:type="dxa"/>
            <w:tcBorders>
              <w:bottom w:val="single" w:sz="6" w:space="0" w:color="auto"/>
            </w:tcBorders>
            <w:shd w:val="clear" w:color="auto" w:fill="auto"/>
            <w:vAlign w:val="bottom"/>
          </w:tcPr>
          <w:p w14:paraId="4A799FB2" w14:textId="77777777" w:rsidR="00A8112A" w:rsidRPr="007D64FF" w:rsidRDefault="00A8112A" w:rsidP="006D1DF1">
            <w:pPr>
              <w:pStyle w:val="a3"/>
              <w:widowControl/>
              <w:spacing w:line="220" w:lineRule="exact"/>
              <w:ind w:left="0" w:firstLine="0"/>
              <w:jc w:val="center"/>
              <w:rPr>
                <w:rtl/>
              </w:rPr>
            </w:pPr>
            <w:r w:rsidRPr="007D64FF">
              <w:rPr>
                <w:rFonts w:hint="cs"/>
                <w:rtl/>
              </w:rPr>
              <w:t xml:space="preserve">שווי הוגן </w:t>
            </w:r>
          </w:p>
          <w:p w14:paraId="36F0478E" w14:textId="77777777" w:rsidR="00A8112A" w:rsidRPr="007D64FF" w:rsidRDefault="00A8112A" w:rsidP="006D1DF1">
            <w:pPr>
              <w:pStyle w:val="a3"/>
              <w:widowControl/>
              <w:spacing w:line="220" w:lineRule="exact"/>
              <w:ind w:left="0" w:firstLine="0"/>
              <w:jc w:val="center"/>
              <w:rPr>
                <w:rtl/>
              </w:rPr>
            </w:pPr>
            <w:r w:rsidRPr="007D64FF">
              <w:rPr>
                <w:rFonts w:hint="cs"/>
                <w:rtl/>
              </w:rPr>
              <w:t>(הוצג מחדש)</w:t>
            </w:r>
          </w:p>
        </w:tc>
        <w:tc>
          <w:tcPr>
            <w:tcW w:w="102" w:type="dxa"/>
            <w:shd w:val="clear" w:color="auto" w:fill="auto"/>
            <w:vAlign w:val="bottom"/>
          </w:tcPr>
          <w:p w14:paraId="3AF5EEE6" w14:textId="77777777" w:rsidR="00A8112A" w:rsidRPr="007D64FF" w:rsidRDefault="00A8112A" w:rsidP="006D1DF1">
            <w:pPr>
              <w:pStyle w:val="a3"/>
              <w:widowControl/>
              <w:spacing w:line="220" w:lineRule="exact"/>
              <w:ind w:left="0" w:firstLine="0"/>
              <w:jc w:val="center"/>
              <w:rPr>
                <w:rtl/>
              </w:rPr>
            </w:pPr>
          </w:p>
        </w:tc>
        <w:tc>
          <w:tcPr>
            <w:tcW w:w="1371" w:type="dxa"/>
            <w:tcBorders>
              <w:bottom w:val="single" w:sz="6" w:space="0" w:color="auto"/>
            </w:tcBorders>
            <w:shd w:val="clear" w:color="auto" w:fill="auto"/>
            <w:vAlign w:val="bottom"/>
          </w:tcPr>
          <w:p w14:paraId="07DABF01" w14:textId="77777777" w:rsidR="00A8112A" w:rsidRPr="007D64FF" w:rsidRDefault="00A8112A" w:rsidP="006D1DF1">
            <w:pPr>
              <w:pStyle w:val="a3"/>
              <w:widowControl/>
              <w:spacing w:line="220" w:lineRule="exact"/>
              <w:ind w:left="0" w:firstLine="0"/>
              <w:jc w:val="center"/>
              <w:rPr>
                <w:rtl/>
              </w:rPr>
            </w:pPr>
            <w:r w:rsidRPr="007D64FF">
              <w:rPr>
                <w:rFonts w:hint="cs"/>
                <w:rtl/>
              </w:rPr>
              <w:t>יתרה בדוחות הכספיים</w:t>
            </w:r>
            <w:r>
              <w:rPr>
                <w:rFonts w:hint="cs"/>
                <w:rtl/>
              </w:rPr>
              <w:t xml:space="preserve"> (לפי מדידה ארעית)</w:t>
            </w:r>
          </w:p>
        </w:tc>
      </w:tr>
      <w:tr w:rsidR="00A8112A" w:rsidRPr="007D64FF" w14:paraId="6FE3D003" w14:textId="77777777" w:rsidTr="00C46B1C">
        <w:tc>
          <w:tcPr>
            <w:tcW w:w="1138" w:type="dxa"/>
            <w:tcBorders>
              <w:top w:val="single" w:sz="4" w:space="0" w:color="auto"/>
            </w:tcBorders>
          </w:tcPr>
          <w:p w14:paraId="045D586D"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0C15F1F1"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40EF61B3" w14:textId="77777777" w:rsidR="00A8112A" w:rsidRPr="007D64FF" w:rsidRDefault="00A8112A" w:rsidP="00C46B1C">
            <w:pPr>
              <w:pStyle w:val="a3"/>
              <w:widowControl/>
              <w:spacing w:line="220" w:lineRule="exact"/>
              <w:jc w:val="center"/>
              <w:rPr>
                <w:rtl/>
              </w:rPr>
            </w:pPr>
          </w:p>
        </w:tc>
        <w:tc>
          <w:tcPr>
            <w:tcW w:w="2720" w:type="dxa"/>
            <w:gridSpan w:val="3"/>
            <w:tcBorders>
              <w:bottom w:val="single" w:sz="6" w:space="0" w:color="auto"/>
            </w:tcBorders>
            <w:shd w:val="clear" w:color="auto" w:fill="auto"/>
            <w:vAlign w:val="bottom"/>
          </w:tcPr>
          <w:p w14:paraId="3A83DDE1" w14:textId="77777777" w:rsidR="00A8112A" w:rsidRPr="007D64FF" w:rsidRDefault="00A8112A" w:rsidP="00C46B1C">
            <w:pPr>
              <w:pStyle w:val="a3"/>
              <w:widowControl/>
              <w:spacing w:line="220" w:lineRule="exact"/>
              <w:jc w:val="center"/>
              <w:rPr>
                <w:rtl/>
              </w:rPr>
            </w:pPr>
            <w:r w:rsidRPr="007D64FF">
              <w:rPr>
                <w:rFonts w:hint="cs"/>
                <w:rtl/>
              </w:rPr>
              <w:t>אלפי ש</w:t>
            </w:r>
            <w:r w:rsidRPr="007D64FF">
              <w:rPr>
                <w:rtl/>
              </w:rPr>
              <w:t>"</w:t>
            </w:r>
            <w:r w:rsidRPr="007D64FF">
              <w:rPr>
                <w:rFonts w:hint="cs"/>
                <w:rtl/>
              </w:rPr>
              <w:t>ח</w:t>
            </w:r>
          </w:p>
        </w:tc>
      </w:tr>
      <w:tr w:rsidR="00A8112A" w:rsidRPr="007D64FF" w14:paraId="46D8CC4C" w14:textId="77777777" w:rsidTr="00C46B1C">
        <w:tc>
          <w:tcPr>
            <w:tcW w:w="1138" w:type="dxa"/>
          </w:tcPr>
          <w:p w14:paraId="11AFE3AD"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23BE1C92"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4F5AD3C5" w14:textId="77777777" w:rsidR="00A8112A" w:rsidRPr="007D64FF" w:rsidRDefault="00A8112A" w:rsidP="00C46B1C">
            <w:pPr>
              <w:pStyle w:val="a3"/>
              <w:widowControl/>
              <w:spacing w:line="220" w:lineRule="exact"/>
              <w:jc w:val="center"/>
              <w:rPr>
                <w:rtl/>
              </w:rPr>
            </w:pPr>
          </w:p>
        </w:tc>
        <w:tc>
          <w:tcPr>
            <w:tcW w:w="1247" w:type="dxa"/>
            <w:tcBorders>
              <w:top w:val="single" w:sz="6" w:space="0" w:color="auto"/>
            </w:tcBorders>
            <w:shd w:val="clear" w:color="auto" w:fill="auto"/>
            <w:vAlign w:val="bottom"/>
          </w:tcPr>
          <w:p w14:paraId="6A7B1863" w14:textId="77777777" w:rsidR="00A8112A" w:rsidRPr="007D64FF" w:rsidRDefault="00A8112A" w:rsidP="00C46B1C">
            <w:pPr>
              <w:pStyle w:val="a3"/>
              <w:widowControl/>
              <w:spacing w:line="220" w:lineRule="exact"/>
              <w:jc w:val="center"/>
            </w:pPr>
          </w:p>
        </w:tc>
        <w:tc>
          <w:tcPr>
            <w:tcW w:w="102" w:type="dxa"/>
            <w:tcBorders>
              <w:top w:val="single" w:sz="6" w:space="0" w:color="auto"/>
            </w:tcBorders>
            <w:shd w:val="clear" w:color="auto" w:fill="auto"/>
            <w:vAlign w:val="bottom"/>
          </w:tcPr>
          <w:p w14:paraId="0F63766B" w14:textId="77777777" w:rsidR="00A8112A" w:rsidRPr="007D64FF" w:rsidRDefault="00A8112A" w:rsidP="00C46B1C">
            <w:pPr>
              <w:pStyle w:val="a3"/>
              <w:widowControl/>
              <w:spacing w:line="220" w:lineRule="exact"/>
              <w:jc w:val="center"/>
              <w:rPr>
                <w:rtl/>
              </w:rPr>
            </w:pPr>
          </w:p>
        </w:tc>
        <w:tc>
          <w:tcPr>
            <w:tcW w:w="1371" w:type="dxa"/>
            <w:tcBorders>
              <w:top w:val="single" w:sz="6" w:space="0" w:color="auto"/>
            </w:tcBorders>
            <w:shd w:val="clear" w:color="auto" w:fill="auto"/>
            <w:vAlign w:val="bottom"/>
          </w:tcPr>
          <w:p w14:paraId="75C2A249" w14:textId="77777777" w:rsidR="00A8112A" w:rsidRPr="007D64FF" w:rsidRDefault="00A8112A" w:rsidP="00C46B1C">
            <w:pPr>
              <w:pStyle w:val="a3"/>
              <w:widowControl/>
              <w:spacing w:line="220" w:lineRule="exact"/>
              <w:jc w:val="center"/>
              <w:rPr>
                <w:rtl/>
              </w:rPr>
            </w:pPr>
          </w:p>
        </w:tc>
      </w:tr>
      <w:tr w:rsidR="00A8112A" w:rsidRPr="007D64FF" w14:paraId="395D652C" w14:textId="77777777" w:rsidTr="00C46B1C">
        <w:tc>
          <w:tcPr>
            <w:tcW w:w="1138" w:type="dxa"/>
            <w:tcBorders>
              <w:bottom w:val="single" w:sz="4" w:space="0" w:color="auto"/>
              <w:right w:val="single" w:sz="4" w:space="0" w:color="auto"/>
            </w:tcBorders>
            <w:vAlign w:val="center"/>
          </w:tcPr>
          <w:p w14:paraId="06224A2B"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r>
              <w:rPr>
                <w:rFonts w:asciiTheme="majorBidi" w:hAnsiTheme="majorBidi" w:cstheme="majorBidi"/>
                <w:i/>
                <w:iCs/>
                <w:sz w:val="13"/>
                <w:szCs w:val="13"/>
              </w:rPr>
              <w:t>IAS 7.40(c)</w:t>
            </w:r>
          </w:p>
        </w:tc>
        <w:tc>
          <w:tcPr>
            <w:tcW w:w="5779" w:type="dxa"/>
            <w:tcBorders>
              <w:left w:val="single" w:sz="4" w:space="0" w:color="auto"/>
            </w:tcBorders>
            <w:shd w:val="clear" w:color="auto" w:fill="auto"/>
            <w:vAlign w:val="bottom"/>
          </w:tcPr>
          <w:p w14:paraId="6C83FCD4" w14:textId="77777777" w:rsidR="00A8112A" w:rsidRPr="007D64FF" w:rsidRDefault="00A8112A" w:rsidP="00C46B1C">
            <w:pPr>
              <w:pStyle w:val="a3"/>
              <w:widowControl/>
              <w:spacing w:line="220" w:lineRule="exact"/>
              <w:rPr>
                <w:rtl/>
              </w:rPr>
            </w:pPr>
            <w:r w:rsidRPr="007D64FF">
              <w:rPr>
                <w:rFonts w:hint="cs"/>
                <w:rtl/>
              </w:rPr>
              <w:t>מזומנים ושווי מזומנים</w:t>
            </w:r>
          </w:p>
        </w:tc>
        <w:tc>
          <w:tcPr>
            <w:tcW w:w="113" w:type="dxa"/>
            <w:shd w:val="clear" w:color="auto" w:fill="auto"/>
            <w:vAlign w:val="bottom"/>
          </w:tcPr>
          <w:p w14:paraId="1E874D79" w14:textId="77777777" w:rsidR="00A8112A" w:rsidRPr="007D64FF" w:rsidRDefault="00A8112A" w:rsidP="00C46B1C">
            <w:pPr>
              <w:pStyle w:val="a3"/>
              <w:widowControl/>
              <w:spacing w:line="220" w:lineRule="exact"/>
              <w:jc w:val="center"/>
              <w:rPr>
                <w:rtl/>
              </w:rPr>
            </w:pPr>
          </w:p>
        </w:tc>
        <w:tc>
          <w:tcPr>
            <w:tcW w:w="1247" w:type="dxa"/>
            <w:shd w:val="clear" w:color="auto" w:fill="auto"/>
            <w:vAlign w:val="bottom"/>
          </w:tcPr>
          <w:p w14:paraId="47B3E98F" w14:textId="77777777" w:rsidR="00A8112A" w:rsidRPr="007D64FF" w:rsidRDefault="00A8112A" w:rsidP="00C46B1C">
            <w:pPr>
              <w:pStyle w:val="a3"/>
              <w:widowControl/>
              <w:spacing w:line="220" w:lineRule="exact"/>
              <w:jc w:val="center"/>
            </w:pPr>
          </w:p>
        </w:tc>
        <w:tc>
          <w:tcPr>
            <w:tcW w:w="102" w:type="dxa"/>
            <w:shd w:val="clear" w:color="auto" w:fill="auto"/>
            <w:vAlign w:val="bottom"/>
          </w:tcPr>
          <w:p w14:paraId="5C13DB2E" w14:textId="77777777" w:rsidR="00A8112A" w:rsidRPr="007D64FF" w:rsidRDefault="00A8112A" w:rsidP="00C46B1C">
            <w:pPr>
              <w:pStyle w:val="a3"/>
              <w:widowControl/>
              <w:spacing w:line="220" w:lineRule="exact"/>
              <w:jc w:val="center"/>
              <w:rPr>
                <w:rtl/>
              </w:rPr>
            </w:pPr>
          </w:p>
        </w:tc>
        <w:tc>
          <w:tcPr>
            <w:tcW w:w="1371" w:type="dxa"/>
            <w:shd w:val="clear" w:color="auto" w:fill="auto"/>
            <w:vAlign w:val="bottom"/>
          </w:tcPr>
          <w:p w14:paraId="00CC5173" w14:textId="77777777" w:rsidR="00A8112A" w:rsidRPr="007D64FF" w:rsidRDefault="00A8112A" w:rsidP="00C46B1C">
            <w:pPr>
              <w:pStyle w:val="a3"/>
              <w:widowControl/>
              <w:spacing w:line="220" w:lineRule="exact"/>
              <w:jc w:val="center"/>
              <w:rPr>
                <w:rtl/>
              </w:rPr>
            </w:pPr>
          </w:p>
        </w:tc>
      </w:tr>
      <w:tr w:rsidR="00A8112A" w:rsidRPr="007D64FF" w14:paraId="10F82C47" w14:textId="77777777" w:rsidTr="00C46B1C">
        <w:tc>
          <w:tcPr>
            <w:tcW w:w="1138" w:type="dxa"/>
            <w:tcBorders>
              <w:top w:val="single" w:sz="4" w:space="0" w:color="auto"/>
            </w:tcBorders>
          </w:tcPr>
          <w:p w14:paraId="4EFF0BE5"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29783D5D" w14:textId="77777777" w:rsidR="00A8112A" w:rsidRPr="007D64FF" w:rsidRDefault="00A8112A" w:rsidP="00C46B1C">
            <w:pPr>
              <w:pStyle w:val="a3"/>
              <w:widowControl/>
              <w:spacing w:line="220" w:lineRule="exact"/>
              <w:rPr>
                <w:rtl/>
              </w:rPr>
            </w:pPr>
            <w:r w:rsidRPr="007D64FF">
              <w:rPr>
                <w:rFonts w:hint="cs"/>
                <w:rtl/>
              </w:rPr>
              <w:t>לקוחות</w:t>
            </w:r>
          </w:p>
        </w:tc>
        <w:tc>
          <w:tcPr>
            <w:tcW w:w="113" w:type="dxa"/>
            <w:shd w:val="clear" w:color="auto" w:fill="auto"/>
            <w:vAlign w:val="bottom"/>
          </w:tcPr>
          <w:p w14:paraId="04D6E537" w14:textId="77777777" w:rsidR="00A8112A" w:rsidRPr="007D64FF" w:rsidRDefault="00A8112A" w:rsidP="00C46B1C">
            <w:pPr>
              <w:pStyle w:val="a3"/>
              <w:spacing w:line="220" w:lineRule="exact"/>
              <w:rPr>
                <w:rtl/>
              </w:rPr>
            </w:pPr>
          </w:p>
        </w:tc>
        <w:tc>
          <w:tcPr>
            <w:tcW w:w="1247" w:type="dxa"/>
            <w:shd w:val="clear" w:color="auto" w:fill="auto"/>
            <w:vAlign w:val="bottom"/>
          </w:tcPr>
          <w:p w14:paraId="43242CF2" w14:textId="77777777" w:rsidR="00A8112A" w:rsidRPr="007D64FF" w:rsidRDefault="00A8112A" w:rsidP="00C46B1C">
            <w:pPr>
              <w:pStyle w:val="a3"/>
              <w:spacing w:line="220" w:lineRule="exact"/>
              <w:rPr>
                <w:rtl/>
              </w:rPr>
            </w:pPr>
          </w:p>
        </w:tc>
        <w:tc>
          <w:tcPr>
            <w:tcW w:w="102" w:type="dxa"/>
            <w:shd w:val="clear" w:color="auto" w:fill="auto"/>
            <w:vAlign w:val="bottom"/>
          </w:tcPr>
          <w:p w14:paraId="5DDD2212" w14:textId="77777777" w:rsidR="00A8112A" w:rsidRPr="007D64FF" w:rsidRDefault="00A8112A" w:rsidP="00C46B1C">
            <w:pPr>
              <w:pStyle w:val="a3"/>
              <w:spacing w:line="220" w:lineRule="exact"/>
              <w:rPr>
                <w:rtl/>
              </w:rPr>
            </w:pPr>
          </w:p>
        </w:tc>
        <w:tc>
          <w:tcPr>
            <w:tcW w:w="1371" w:type="dxa"/>
            <w:shd w:val="clear" w:color="auto" w:fill="auto"/>
            <w:vAlign w:val="bottom"/>
          </w:tcPr>
          <w:p w14:paraId="0770E46F" w14:textId="77777777" w:rsidR="00A8112A" w:rsidRPr="007D64FF" w:rsidRDefault="00A8112A" w:rsidP="00C46B1C">
            <w:pPr>
              <w:pStyle w:val="a3"/>
              <w:spacing w:line="220" w:lineRule="exact"/>
              <w:rPr>
                <w:rtl/>
              </w:rPr>
            </w:pPr>
          </w:p>
        </w:tc>
      </w:tr>
      <w:tr w:rsidR="00A8112A" w:rsidRPr="007D64FF" w14:paraId="3BB728AF" w14:textId="77777777" w:rsidTr="00C46B1C">
        <w:tc>
          <w:tcPr>
            <w:tcW w:w="1138" w:type="dxa"/>
          </w:tcPr>
          <w:p w14:paraId="1BC74AE1"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47905E39" w14:textId="77777777" w:rsidR="00A8112A" w:rsidRPr="007D64FF" w:rsidRDefault="00A8112A" w:rsidP="00C46B1C">
            <w:pPr>
              <w:pStyle w:val="a3"/>
              <w:widowControl/>
              <w:spacing w:line="220" w:lineRule="exact"/>
              <w:rPr>
                <w:rtl/>
              </w:rPr>
            </w:pPr>
            <w:r w:rsidRPr="007D64FF">
              <w:rPr>
                <w:rFonts w:hint="cs"/>
                <w:rtl/>
              </w:rPr>
              <w:t>מלאי</w:t>
            </w:r>
          </w:p>
        </w:tc>
        <w:tc>
          <w:tcPr>
            <w:tcW w:w="113" w:type="dxa"/>
            <w:shd w:val="clear" w:color="auto" w:fill="auto"/>
            <w:vAlign w:val="bottom"/>
          </w:tcPr>
          <w:p w14:paraId="087B8B4D" w14:textId="77777777" w:rsidR="00A8112A" w:rsidRPr="007D64FF" w:rsidRDefault="00A8112A" w:rsidP="00C46B1C">
            <w:pPr>
              <w:pStyle w:val="a3"/>
              <w:spacing w:line="220" w:lineRule="exact"/>
              <w:rPr>
                <w:rtl/>
              </w:rPr>
            </w:pPr>
          </w:p>
        </w:tc>
        <w:tc>
          <w:tcPr>
            <w:tcW w:w="1247" w:type="dxa"/>
            <w:shd w:val="clear" w:color="auto" w:fill="auto"/>
            <w:vAlign w:val="bottom"/>
          </w:tcPr>
          <w:p w14:paraId="069BAD3E" w14:textId="77777777" w:rsidR="00A8112A" w:rsidRPr="007D64FF" w:rsidRDefault="00A8112A" w:rsidP="00C46B1C">
            <w:pPr>
              <w:pStyle w:val="a3"/>
              <w:spacing w:line="220" w:lineRule="exact"/>
              <w:rPr>
                <w:rtl/>
              </w:rPr>
            </w:pPr>
          </w:p>
        </w:tc>
        <w:tc>
          <w:tcPr>
            <w:tcW w:w="102" w:type="dxa"/>
            <w:shd w:val="clear" w:color="auto" w:fill="auto"/>
            <w:vAlign w:val="bottom"/>
          </w:tcPr>
          <w:p w14:paraId="1D51D3B4" w14:textId="77777777" w:rsidR="00A8112A" w:rsidRPr="007D64FF" w:rsidRDefault="00A8112A" w:rsidP="00C46B1C">
            <w:pPr>
              <w:pStyle w:val="a3"/>
              <w:spacing w:line="220" w:lineRule="exact"/>
              <w:rPr>
                <w:rtl/>
              </w:rPr>
            </w:pPr>
          </w:p>
        </w:tc>
        <w:tc>
          <w:tcPr>
            <w:tcW w:w="1371" w:type="dxa"/>
            <w:shd w:val="clear" w:color="auto" w:fill="auto"/>
            <w:vAlign w:val="bottom"/>
          </w:tcPr>
          <w:p w14:paraId="6733725C" w14:textId="77777777" w:rsidR="00A8112A" w:rsidRPr="007D64FF" w:rsidRDefault="00A8112A" w:rsidP="00C46B1C">
            <w:pPr>
              <w:pStyle w:val="a3"/>
              <w:spacing w:line="220" w:lineRule="exact"/>
              <w:rPr>
                <w:rtl/>
              </w:rPr>
            </w:pPr>
          </w:p>
        </w:tc>
      </w:tr>
      <w:tr w:rsidR="00A8112A" w:rsidRPr="007D64FF" w14:paraId="70960220" w14:textId="77777777" w:rsidTr="00C46B1C">
        <w:tc>
          <w:tcPr>
            <w:tcW w:w="1138" w:type="dxa"/>
          </w:tcPr>
          <w:p w14:paraId="7CA0A5AD"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3A00D176" w14:textId="77777777" w:rsidR="00A8112A" w:rsidRDefault="00A8112A" w:rsidP="00C46B1C">
            <w:pPr>
              <w:pStyle w:val="a3"/>
              <w:widowControl/>
              <w:spacing w:line="220" w:lineRule="exact"/>
              <w:rPr>
                <w:rtl/>
              </w:rPr>
            </w:pPr>
            <w:r w:rsidRPr="000C4C0E">
              <w:rPr>
                <w:rFonts w:hint="eastAsia"/>
                <w:rtl/>
              </w:rPr>
              <w:t>רכוש</w:t>
            </w:r>
            <w:r w:rsidRPr="000C4C0E">
              <w:rPr>
                <w:rtl/>
              </w:rPr>
              <w:t xml:space="preserve"> </w:t>
            </w:r>
            <w:r w:rsidRPr="000C4C0E">
              <w:rPr>
                <w:rFonts w:hint="eastAsia"/>
                <w:rtl/>
              </w:rPr>
              <w:t>קבוע</w:t>
            </w:r>
          </w:p>
        </w:tc>
        <w:tc>
          <w:tcPr>
            <w:tcW w:w="113" w:type="dxa"/>
            <w:shd w:val="clear" w:color="auto" w:fill="auto"/>
            <w:vAlign w:val="bottom"/>
          </w:tcPr>
          <w:p w14:paraId="4C708032" w14:textId="77777777" w:rsidR="00A8112A" w:rsidRPr="007D64FF" w:rsidRDefault="00A8112A" w:rsidP="00C46B1C">
            <w:pPr>
              <w:pStyle w:val="a3"/>
              <w:spacing w:line="220" w:lineRule="exact"/>
              <w:rPr>
                <w:rtl/>
              </w:rPr>
            </w:pPr>
          </w:p>
        </w:tc>
        <w:tc>
          <w:tcPr>
            <w:tcW w:w="1247" w:type="dxa"/>
            <w:tcBorders>
              <w:bottom w:val="single" w:sz="6" w:space="0" w:color="auto"/>
            </w:tcBorders>
            <w:shd w:val="clear" w:color="auto" w:fill="auto"/>
            <w:vAlign w:val="bottom"/>
          </w:tcPr>
          <w:p w14:paraId="12F2E053" w14:textId="77777777" w:rsidR="00A8112A" w:rsidRPr="007D64FF" w:rsidRDefault="00A8112A" w:rsidP="00C46B1C">
            <w:pPr>
              <w:pStyle w:val="a3"/>
              <w:spacing w:line="220" w:lineRule="exact"/>
              <w:rPr>
                <w:rtl/>
              </w:rPr>
            </w:pPr>
          </w:p>
        </w:tc>
        <w:tc>
          <w:tcPr>
            <w:tcW w:w="102" w:type="dxa"/>
            <w:shd w:val="clear" w:color="auto" w:fill="auto"/>
            <w:vAlign w:val="bottom"/>
          </w:tcPr>
          <w:p w14:paraId="0A9481AF" w14:textId="77777777" w:rsidR="00A8112A" w:rsidRPr="007D64FF" w:rsidRDefault="00A8112A" w:rsidP="00C46B1C">
            <w:pPr>
              <w:pStyle w:val="a3"/>
              <w:spacing w:line="220" w:lineRule="exact"/>
              <w:rPr>
                <w:rtl/>
              </w:rPr>
            </w:pPr>
          </w:p>
        </w:tc>
        <w:tc>
          <w:tcPr>
            <w:tcW w:w="1371" w:type="dxa"/>
            <w:tcBorders>
              <w:bottom w:val="single" w:sz="6" w:space="0" w:color="auto"/>
            </w:tcBorders>
            <w:shd w:val="clear" w:color="auto" w:fill="auto"/>
            <w:vAlign w:val="bottom"/>
          </w:tcPr>
          <w:p w14:paraId="7E3FCC85" w14:textId="77777777" w:rsidR="00A8112A" w:rsidRPr="007D64FF" w:rsidRDefault="00A8112A" w:rsidP="00C46B1C">
            <w:pPr>
              <w:pStyle w:val="a3"/>
              <w:spacing w:line="220" w:lineRule="exact"/>
              <w:rPr>
                <w:rtl/>
              </w:rPr>
            </w:pPr>
          </w:p>
        </w:tc>
      </w:tr>
      <w:tr w:rsidR="00A8112A" w:rsidRPr="007D64FF" w14:paraId="5F9D70FD" w14:textId="77777777" w:rsidTr="00C46B1C">
        <w:tc>
          <w:tcPr>
            <w:tcW w:w="1138" w:type="dxa"/>
          </w:tcPr>
          <w:p w14:paraId="45DC708C"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34D68C7E"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25D88B40" w14:textId="77777777" w:rsidR="00A8112A" w:rsidRPr="007D64FF" w:rsidRDefault="00A8112A" w:rsidP="00C46B1C">
            <w:pPr>
              <w:pStyle w:val="a3"/>
              <w:spacing w:line="220" w:lineRule="exact"/>
              <w:rPr>
                <w:rtl/>
              </w:rPr>
            </w:pPr>
          </w:p>
        </w:tc>
        <w:tc>
          <w:tcPr>
            <w:tcW w:w="1247" w:type="dxa"/>
            <w:tcBorders>
              <w:top w:val="single" w:sz="6" w:space="0" w:color="auto"/>
            </w:tcBorders>
            <w:shd w:val="clear" w:color="auto" w:fill="auto"/>
            <w:vAlign w:val="bottom"/>
          </w:tcPr>
          <w:p w14:paraId="7F62E90B" w14:textId="77777777" w:rsidR="00A8112A" w:rsidRPr="007D64FF" w:rsidRDefault="00A8112A" w:rsidP="00C46B1C">
            <w:pPr>
              <w:pStyle w:val="a3"/>
              <w:spacing w:line="220" w:lineRule="exact"/>
              <w:rPr>
                <w:rtl/>
              </w:rPr>
            </w:pPr>
          </w:p>
        </w:tc>
        <w:tc>
          <w:tcPr>
            <w:tcW w:w="102" w:type="dxa"/>
            <w:shd w:val="clear" w:color="auto" w:fill="auto"/>
            <w:vAlign w:val="bottom"/>
          </w:tcPr>
          <w:p w14:paraId="10934030" w14:textId="77777777" w:rsidR="00A8112A" w:rsidRPr="007D64FF" w:rsidRDefault="00A8112A" w:rsidP="00C46B1C">
            <w:pPr>
              <w:pStyle w:val="a3"/>
              <w:spacing w:line="220" w:lineRule="exact"/>
              <w:rPr>
                <w:rtl/>
              </w:rPr>
            </w:pPr>
          </w:p>
        </w:tc>
        <w:tc>
          <w:tcPr>
            <w:tcW w:w="1371" w:type="dxa"/>
            <w:tcBorders>
              <w:top w:val="single" w:sz="6" w:space="0" w:color="auto"/>
            </w:tcBorders>
            <w:shd w:val="clear" w:color="auto" w:fill="auto"/>
            <w:vAlign w:val="bottom"/>
          </w:tcPr>
          <w:p w14:paraId="7C122835" w14:textId="77777777" w:rsidR="00A8112A" w:rsidRPr="007D64FF" w:rsidRDefault="00A8112A" w:rsidP="00C46B1C">
            <w:pPr>
              <w:pStyle w:val="a3"/>
              <w:spacing w:line="220" w:lineRule="exact"/>
              <w:rPr>
                <w:rtl/>
              </w:rPr>
            </w:pPr>
          </w:p>
        </w:tc>
      </w:tr>
      <w:tr w:rsidR="00A8112A" w:rsidRPr="007D64FF" w14:paraId="16146B01" w14:textId="77777777" w:rsidTr="00C46B1C">
        <w:tc>
          <w:tcPr>
            <w:tcW w:w="1138" w:type="dxa"/>
          </w:tcPr>
          <w:p w14:paraId="36047DF1"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65604CD5"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3A706FC1" w14:textId="77777777" w:rsidR="00A8112A" w:rsidRPr="007D64FF" w:rsidRDefault="00A8112A" w:rsidP="00C46B1C">
            <w:pPr>
              <w:pStyle w:val="a3"/>
              <w:spacing w:line="220" w:lineRule="exact"/>
              <w:rPr>
                <w:rtl/>
              </w:rPr>
            </w:pPr>
          </w:p>
        </w:tc>
        <w:tc>
          <w:tcPr>
            <w:tcW w:w="1247" w:type="dxa"/>
            <w:tcBorders>
              <w:bottom w:val="single" w:sz="6" w:space="0" w:color="auto"/>
            </w:tcBorders>
            <w:shd w:val="clear" w:color="auto" w:fill="auto"/>
            <w:vAlign w:val="bottom"/>
          </w:tcPr>
          <w:p w14:paraId="067C19EE" w14:textId="77777777" w:rsidR="00A8112A" w:rsidRPr="007D64FF" w:rsidRDefault="00A8112A" w:rsidP="00C46B1C">
            <w:pPr>
              <w:pStyle w:val="a3"/>
              <w:spacing w:line="220" w:lineRule="exact"/>
              <w:rPr>
                <w:rtl/>
              </w:rPr>
            </w:pPr>
          </w:p>
        </w:tc>
        <w:tc>
          <w:tcPr>
            <w:tcW w:w="102" w:type="dxa"/>
            <w:shd w:val="clear" w:color="auto" w:fill="auto"/>
            <w:vAlign w:val="bottom"/>
          </w:tcPr>
          <w:p w14:paraId="61FB78A1" w14:textId="77777777" w:rsidR="00A8112A" w:rsidRPr="007D64FF" w:rsidRDefault="00A8112A" w:rsidP="00C46B1C">
            <w:pPr>
              <w:pStyle w:val="a3"/>
              <w:spacing w:line="220" w:lineRule="exact"/>
              <w:rPr>
                <w:rtl/>
              </w:rPr>
            </w:pPr>
          </w:p>
        </w:tc>
        <w:tc>
          <w:tcPr>
            <w:tcW w:w="1371" w:type="dxa"/>
            <w:tcBorders>
              <w:bottom w:val="single" w:sz="6" w:space="0" w:color="auto"/>
            </w:tcBorders>
            <w:shd w:val="clear" w:color="auto" w:fill="auto"/>
            <w:vAlign w:val="bottom"/>
          </w:tcPr>
          <w:p w14:paraId="074FA909" w14:textId="77777777" w:rsidR="00A8112A" w:rsidRPr="007D64FF" w:rsidRDefault="00A8112A" w:rsidP="00C46B1C">
            <w:pPr>
              <w:pStyle w:val="a3"/>
              <w:spacing w:line="220" w:lineRule="exact"/>
              <w:rPr>
                <w:rtl/>
              </w:rPr>
            </w:pPr>
          </w:p>
        </w:tc>
      </w:tr>
      <w:tr w:rsidR="00A8112A" w:rsidRPr="007D64FF" w14:paraId="0BB4A7FF" w14:textId="77777777" w:rsidTr="00C46B1C">
        <w:tc>
          <w:tcPr>
            <w:tcW w:w="1138" w:type="dxa"/>
          </w:tcPr>
          <w:p w14:paraId="2859C9B3"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179BA4AF"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49097A15" w14:textId="77777777" w:rsidR="00A8112A" w:rsidRPr="007D64FF" w:rsidRDefault="00A8112A" w:rsidP="00C46B1C">
            <w:pPr>
              <w:pStyle w:val="a3"/>
              <w:spacing w:line="220" w:lineRule="exact"/>
              <w:rPr>
                <w:rtl/>
              </w:rPr>
            </w:pPr>
          </w:p>
        </w:tc>
        <w:tc>
          <w:tcPr>
            <w:tcW w:w="1247" w:type="dxa"/>
            <w:tcBorders>
              <w:top w:val="single" w:sz="6" w:space="0" w:color="auto"/>
            </w:tcBorders>
            <w:shd w:val="clear" w:color="auto" w:fill="auto"/>
            <w:vAlign w:val="bottom"/>
          </w:tcPr>
          <w:p w14:paraId="0B9D4D6D" w14:textId="77777777" w:rsidR="00A8112A" w:rsidRPr="007D64FF" w:rsidRDefault="00A8112A" w:rsidP="00C46B1C">
            <w:pPr>
              <w:pStyle w:val="a3"/>
              <w:spacing w:line="220" w:lineRule="exact"/>
              <w:rPr>
                <w:rtl/>
              </w:rPr>
            </w:pPr>
          </w:p>
        </w:tc>
        <w:tc>
          <w:tcPr>
            <w:tcW w:w="102" w:type="dxa"/>
            <w:shd w:val="clear" w:color="auto" w:fill="auto"/>
            <w:vAlign w:val="bottom"/>
          </w:tcPr>
          <w:p w14:paraId="2CB00140" w14:textId="77777777" w:rsidR="00A8112A" w:rsidRPr="007D64FF" w:rsidRDefault="00A8112A" w:rsidP="00C46B1C">
            <w:pPr>
              <w:pStyle w:val="a3"/>
              <w:spacing w:line="220" w:lineRule="exact"/>
              <w:rPr>
                <w:rtl/>
              </w:rPr>
            </w:pPr>
          </w:p>
        </w:tc>
        <w:tc>
          <w:tcPr>
            <w:tcW w:w="1371" w:type="dxa"/>
            <w:tcBorders>
              <w:top w:val="single" w:sz="6" w:space="0" w:color="auto"/>
            </w:tcBorders>
            <w:shd w:val="clear" w:color="auto" w:fill="auto"/>
            <w:vAlign w:val="bottom"/>
          </w:tcPr>
          <w:p w14:paraId="772CC5FE" w14:textId="77777777" w:rsidR="00A8112A" w:rsidRPr="007D64FF" w:rsidRDefault="00A8112A" w:rsidP="00C46B1C">
            <w:pPr>
              <w:pStyle w:val="a3"/>
              <w:spacing w:line="220" w:lineRule="exact"/>
              <w:rPr>
                <w:rtl/>
              </w:rPr>
            </w:pPr>
          </w:p>
        </w:tc>
      </w:tr>
      <w:tr w:rsidR="00A8112A" w:rsidRPr="007D64FF" w14:paraId="4D1636E7" w14:textId="77777777" w:rsidTr="00C46B1C">
        <w:tc>
          <w:tcPr>
            <w:tcW w:w="1138" w:type="dxa"/>
          </w:tcPr>
          <w:p w14:paraId="2C9DABE4"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37D823E5" w14:textId="77777777" w:rsidR="00A8112A" w:rsidRPr="007D64FF" w:rsidRDefault="00A8112A" w:rsidP="00C46B1C">
            <w:pPr>
              <w:pStyle w:val="a3"/>
              <w:widowControl/>
              <w:spacing w:line="220" w:lineRule="exact"/>
              <w:rPr>
                <w:rtl/>
              </w:rPr>
            </w:pPr>
            <w:r w:rsidRPr="007D64FF">
              <w:rPr>
                <w:rFonts w:hint="cs"/>
                <w:rtl/>
              </w:rPr>
              <w:t>התחייבויות לספקים ולנותני שירותים</w:t>
            </w:r>
          </w:p>
        </w:tc>
        <w:tc>
          <w:tcPr>
            <w:tcW w:w="113" w:type="dxa"/>
            <w:shd w:val="clear" w:color="auto" w:fill="auto"/>
            <w:vAlign w:val="bottom"/>
          </w:tcPr>
          <w:p w14:paraId="79E5C867" w14:textId="77777777" w:rsidR="00A8112A" w:rsidRPr="007D64FF" w:rsidRDefault="00A8112A" w:rsidP="00C46B1C">
            <w:pPr>
              <w:pStyle w:val="a3"/>
              <w:spacing w:line="220" w:lineRule="exact"/>
              <w:rPr>
                <w:rtl/>
              </w:rPr>
            </w:pPr>
          </w:p>
        </w:tc>
        <w:tc>
          <w:tcPr>
            <w:tcW w:w="1247" w:type="dxa"/>
            <w:shd w:val="clear" w:color="auto" w:fill="auto"/>
            <w:vAlign w:val="bottom"/>
          </w:tcPr>
          <w:p w14:paraId="7F460ACE" w14:textId="77777777" w:rsidR="00A8112A" w:rsidRPr="007D64FF" w:rsidRDefault="00A8112A" w:rsidP="00C46B1C">
            <w:pPr>
              <w:pStyle w:val="a3"/>
              <w:spacing w:line="220" w:lineRule="exact"/>
              <w:rPr>
                <w:rtl/>
              </w:rPr>
            </w:pPr>
          </w:p>
        </w:tc>
        <w:tc>
          <w:tcPr>
            <w:tcW w:w="102" w:type="dxa"/>
            <w:shd w:val="clear" w:color="auto" w:fill="auto"/>
            <w:vAlign w:val="bottom"/>
          </w:tcPr>
          <w:p w14:paraId="3D19768C" w14:textId="77777777" w:rsidR="00A8112A" w:rsidRPr="007D64FF" w:rsidRDefault="00A8112A" w:rsidP="00C46B1C">
            <w:pPr>
              <w:pStyle w:val="a3"/>
              <w:spacing w:line="220" w:lineRule="exact"/>
              <w:rPr>
                <w:rtl/>
              </w:rPr>
            </w:pPr>
          </w:p>
        </w:tc>
        <w:tc>
          <w:tcPr>
            <w:tcW w:w="1371" w:type="dxa"/>
            <w:shd w:val="clear" w:color="auto" w:fill="auto"/>
            <w:vAlign w:val="bottom"/>
          </w:tcPr>
          <w:p w14:paraId="14E5C07D" w14:textId="77777777" w:rsidR="00A8112A" w:rsidRPr="007D64FF" w:rsidRDefault="00A8112A" w:rsidP="00C46B1C">
            <w:pPr>
              <w:pStyle w:val="a3"/>
              <w:spacing w:line="220" w:lineRule="exact"/>
              <w:rPr>
                <w:rtl/>
              </w:rPr>
            </w:pPr>
          </w:p>
        </w:tc>
      </w:tr>
      <w:tr w:rsidR="00A8112A" w:rsidRPr="007D64FF" w14:paraId="314759CD" w14:textId="77777777" w:rsidTr="00C46B1C">
        <w:tc>
          <w:tcPr>
            <w:tcW w:w="1138" w:type="dxa"/>
          </w:tcPr>
          <w:p w14:paraId="68451E4C"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3EA83668" w14:textId="77777777" w:rsidR="00A8112A" w:rsidRDefault="00A8112A" w:rsidP="00C46B1C">
            <w:pPr>
              <w:pStyle w:val="a3"/>
              <w:widowControl/>
              <w:spacing w:line="220" w:lineRule="exact"/>
              <w:rPr>
                <w:rtl/>
              </w:rPr>
            </w:pPr>
            <w:r w:rsidRPr="007D64FF">
              <w:rPr>
                <w:rFonts w:hint="cs"/>
                <w:rtl/>
              </w:rPr>
              <w:t xml:space="preserve">הפרשה </w:t>
            </w:r>
            <w:r>
              <w:rPr>
                <w:rFonts w:hint="cs"/>
                <w:rtl/>
              </w:rPr>
              <w:t>לשינוי מבני</w:t>
            </w:r>
            <w:r w:rsidRPr="007D64FF">
              <w:rPr>
                <w:rFonts w:hint="cs"/>
                <w:rtl/>
              </w:rPr>
              <w:t xml:space="preserve"> </w:t>
            </w:r>
          </w:p>
        </w:tc>
        <w:tc>
          <w:tcPr>
            <w:tcW w:w="113" w:type="dxa"/>
            <w:shd w:val="clear" w:color="auto" w:fill="auto"/>
            <w:vAlign w:val="bottom"/>
          </w:tcPr>
          <w:p w14:paraId="563C03BB" w14:textId="77777777" w:rsidR="00A8112A" w:rsidRPr="007D64FF" w:rsidRDefault="00A8112A" w:rsidP="00C46B1C">
            <w:pPr>
              <w:pStyle w:val="a3"/>
              <w:spacing w:line="220" w:lineRule="exact"/>
              <w:rPr>
                <w:rtl/>
              </w:rPr>
            </w:pPr>
          </w:p>
        </w:tc>
        <w:tc>
          <w:tcPr>
            <w:tcW w:w="1247" w:type="dxa"/>
            <w:shd w:val="clear" w:color="auto" w:fill="auto"/>
            <w:vAlign w:val="bottom"/>
          </w:tcPr>
          <w:p w14:paraId="5767EF81" w14:textId="77777777" w:rsidR="00A8112A" w:rsidRPr="007D64FF" w:rsidRDefault="00A8112A" w:rsidP="00C46B1C">
            <w:pPr>
              <w:pStyle w:val="a3"/>
              <w:spacing w:line="220" w:lineRule="exact"/>
              <w:rPr>
                <w:rtl/>
              </w:rPr>
            </w:pPr>
          </w:p>
        </w:tc>
        <w:tc>
          <w:tcPr>
            <w:tcW w:w="102" w:type="dxa"/>
            <w:shd w:val="clear" w:color="auto" w:fill="auto"/>
            <w:vAlign w:val="bottom"/>
          </w:tcPr>
          <w:p w14:paraId="495C0825" w14:textId="77777777" w:rsidR="00A8112A" w:rsidRPr="007D64FF" w:rsidRDefault="00A8112A" w:rsidP="00C46B1C">
            <w:pPr>
              <w:pStyle w:val="a3"/>
              <w:spacing w:line="220" w:lineRule="exact"/>
              <w:rPr>
                <w:rtl/>
              </w:rPr>
            </w:pPr>
          </w:p>
        </w:tc>
        <w:tc>
          <w:tcPr>
            <w:tcW w:w="1371" w:type="dxa"/>
            <w:shd w:val="clear" w:color="auto" w:fill="auto"/>
            <w:vAlign w:val="bottom"/>
          </w:tcPr>
          <w:p w14:paraId="6AB15CF0" w14:textId="77777777" w:rsidR="00A8112A" w:rsidRPr="007D64FF" w:rsidRDefault="00A8112A" w:rsidP="00C46B1C">
            <w:pPr>
              <w:pStyle w:val="a3"/>
              <w:spacing w:line="220" w:lineRule="exact"/>
              <w:rPr>
                <w:rtl/>
              </w:rPr>
            </w:pPr>
          </w:p>
        </w:tc>
      </w:tr>
      <w:tr w:rsidR="00A8112A" w:rsidRPr="007D64FF" w14:paraId="1AA0BA74" w14:textId="77777777" w:rsidTr="00C46B1C">
        <w:tc>
          <w:tcPr>
            <w:tcW w:w="1138" w:type="dxa"/>
          </w:tcPr>
          <w:p w14:paraId="194CD58E"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33A97863" w14:textId="77777777" w:rsidR="00A8112A" w:rsidRPr="007D64FF" w:rsidRDefault="00A8112A" w:rsidP="00C46B1C">
            <w:pPr>
              <w:pStyle w:val="a3"/>
              <w:widowControl/>
              <w:spacing w:line="220" w:lineRule="exact"/>
              <w:rPr>
                <w:rtl/>
              </w:rPr>
            </w:pPr>
            <w:r w:rsidRPr="007D64FF">
              <w:rPr>
                <w:rFonts w:hint="cs"/>
                <w:rtl/>
              </w:rPr>
              <w:t>התחייבות מסים נדחים</w:t>
            </w:r>
          </w:p>
        </w:tc>
        <w:tc>
          <w:tcPr>
            <w:tcW w:w="113" w:type="dxa"/>
            <w:shd w:val="clear" w:color="auto" w:fill="auto"/>
            <w:vAlign w:val="bottom"/>
          </w:tcPr>
          <w:p w14:paraId="077C329A" w14:textId="77777777" w:rsidR="00A8112A" w:rsidRPr="007D64FF" w:rsidRDefault="00A8112A" w:rsidP="00C46B1C">
            <w:pPr>
              <w:pStyle w:val="a3"/>
              <w:spacing w:line="220" w:lineRule="exact"/>
              <w:rPr>
                <w:rtl/>
              </w:rPr>
            </w:pPr>
          </w:p>
        </w:tc>
        <w:tc>
          <w:tcPr>
            <w:tcW w:w="1247" w:type="dxa"/>
            <w:tcBorders>
              <w:bottom w:val="single" w:sz="6" w:space="0" w:color="auto"/>
            </w:tcBorders>
            <w:shd w:val="clear" w:color="auto" w:fill="auto"/>
            <w:vAlign w:val="bottom"/>
          </w:tcPr>
          <w:p w14:paraId="42AE001B" w14:textId="77777777" w:rsidR="00A8112A" w:rsidRPr="007D64FF" w:rsidRDefault="00A8112A" w:rsidP="00C46B1C">
            <w:pPr>
              <w:pStyle w:val="a3"/>
              <w:spacing w:line="220" w:lineRule="exact"/>
              <w:rPr>
                <w:rtl/>
              </w:rPr>
            </w:pPr>
          </w:p>
        </w:tc>
        <w:tc>
          <w:tcPr>
            <w:tcW w:w="102" w:type="dxa"/>
            <w:shd w:val="clear" w:color="auto" w:fill="auto"/>
            <w:vAlign w:val="bottom"/>
          </w:tcPr>
          <w:p w14:paraId="2846F48F" w14:textId="77777777" w:rsidR="00A8112A" w:rsidRPr="007D64FF" w:rsidRDefault="00A8112A" w:rsidP="00C46B1C">
            <w:pPr>
              <w:pStyle w:val="a3"/>
              <w:spacing w:line="220" w:lineRule="exact"/>
              <w:rPr>
                <w:rtl/>
              </w:rPr>
            </w:pPr>
          </w:p>
        </w:tc>
        <w:tc>
          <w:tcPr>
            <w:tcW w:w="1371" w:type="dxa"/>
            <w:tcBorders>
              <w:bottom w:val="single" w:sz="6" w:space="0" w:color="auto"/>
            </w:tcBorders>
            <w:shd w:val="clear" w:color="auto" w:fill="auto"/>
            <w:vAlign w:val="bottom"/>
          </w:tcPr>
          <w:p w14:paraId="4520E93E" w14:textId="77777777" w:rsidR="00A8112A" w:rsidRPr="007D64FF" w:rsidRDefault="00A8112A" w:rsidP="00C46B1C">
            <w:pPr>
              <w:pStyle w:val="a3"/>
              <w:spacing w:line="220" w:lineRule="exact"/>
              <w:rPr>
                <w:rtl/>
              </w:rPr>
            </w:pPr>
          </w:p>
        </w:tc>
      </w:tr>
      <w:tr w:rsidR="00A8112A" w:rsidRPr="007D64FF" w14:paraId="6197D935" w14:textId="77777777" w:rsidTr="00C46B1C">
        <w:tc>
          <w:tcPr>
            <w:tcW w:w="1138" w:type="dxa"/>
          </w:tcPr>
          <w:p w14:paraId="231DC032"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4762FFA7"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3BF67A11" w14:textId="77777777" w:rsidR="00A8112A" w:rsidRPr="007D64FF" w:rsidRDefault="00A8112A" w:rsidP="00C46B1C">
            <w:pPr>
              <w:pStyle w:val="a3"/>
              <w:spacing w:line="220" w:lineRule="exact"/>
              <w:rPr>
                <w:rtl/>
              </w:rPr>
            </w:pPr>
          </w:p>
        </w:tc>
        <w:tc>
          <w:tcPr>
            <w:tcW w:w="1247" w:type="dxa"/>
            <w:tcBorders>
              <w:top w:val="single" w:sz="6" w:space="0" w:color="auto"/>
            </w:tcBorders>
            <w:shd w:val="clear" w:color="auto" w:fill="auto"/>
            <w:vAlign w:val="bottom"/>
          </w:tcPr>
          <w:p w14:paraId="79B5B431" w14:textId="77777777" w:rsidR="00A8112A" w:rsidRPr="007D64FF" w:rsidRDefault="00A8112A" w:rsidP="00C46B1C">
            <w:pPr>
              <w:pStyle w:val="a3"/>
              <w:spacing w:line="220" w:lineRule="exact"/>
              <w:rPr>
                <w:rtl/>
              </w:rPr>
            </w:pPr>
          </w:p>
        </w:tc>
        <w:tc>
          <w:tcPr>
            <w:tcW w:w="102" w:type="dxa"/>
            <w:shd w:val="clear" w:color="auto" w:fill="auto"/>
            <w:vAlign w:val="bottom"/>
          </w:tcPr>
          <w:p w14:paraId="4ACEA9B8" w14:textId="77777777" w:rsidR="00A8112A" w:rsidRPr="007D64FF" w:rsidRDefault="00A8112A" w:rsidP="00C46B1C">
            <w:pPr>
              <w:pStyle w:val="a3"/>
              <w:spacing w:line="220" w:lineRule="exact"/>
              <w:rPr>
                <w:rtl/>
              </w:rPr>
            </w:pPr>
          </w:p>
        </w:tc>
        <w:tc>
          <w:tcPr>
            <w:tcW w:w="1371" w:type="dxa"/>
            <w:tcBorders>
              <w:top w:val="single" w:sz="6" w:space="0" w:color="auto"/>
            </w:tcBorders>
            <w:shd w:val="clear" w:color="auto" w:fill="auto"/>
            <w:vAlign w:val="bottom"/>
          </w:tcPr>
          <w:p w14:paraId="7551E3AA" w14:textId="77777777" w:rsidR="00A8112A" w:rsidRPr="007D64FF" w:rsidRDefault="00A8112A" w:rsidP="00C46B1C">
            <w:pPr>
              <w:pStyle w:val="a3"/>
              <w:spacing w:line="220" w:lineRule="exact"/>
              <w:rPr>
                <w:rtl/>
              </w:rPr>
            </w:pPr>
          </w:p>
        </w:tc>
      </w:tr>
      <w:tr w:rsidR="00CE511D" w:rsidRPr="007D64FF" w14:paraId="23833B6C" w14:textId="77777777" w:rsidTr="00C46B1C">
        <w:tc>
          <w:tcPr>
            <w:tcW w:w="1138" w:type="dxa"/>
          </w:tcPr>
          <w:p w14:paraId="1974A830" w14:textId="77777777" w:rsidR="00CE511D" w:rsidRPr="00A8112A" w:rsidRDefault="00CE511D"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2B64FC6D" w14:textId="77777777" w:rsidR="00CE511D" w:rsidRPr="007D64FF" w:rsidRDefault="00CE511D" w:rsidP="00C46B1C">
            <w:pPr>
              <w:pStyle w:val="a3"/>
              <w:widowControl/>
              <w:spacing w:line="220" w:lineRule="exact"/>
              <w:rPr>
                <w:rtl/>
              </w:rPr>
            </w:pPr>
          </w:p>
        </w:tc>
        <w:tc>
          <w:tcPr>
            <w:tcW w:w="113" w:type="dxa"/>
            <w:shd w:val="clear" w:color="auto" w:fill="auto"/>
            <w:vAlign w:val="bottom"/>
          </w:tcPr>
          <w:p w14:paraId="5C34A3E8" w14:textId="77777777" w:rsidR="00CE511D" w:rsidRPr="007D64FF" w:rsidRDefault="00CE511D" w:rsidP="00C46B1C">
            <w:pPr>
              <w:pStyle w:val="a3"/>
              <w:spacing w:line="220" w:lineRule="exact"/>
              <w:rPr>
                <w:rtl/>
              </w:rPr>
            </w:pPr>
          </w:p>
        </w:tc>
        <w:tc>
          <w:tcPr>
            <w:tcW w:w="1247" w:type="dxa"/>
            <w:tcBorders>
              <w:bottom w:val="single" w:sz="6" w:space="0" w:color="auto"/>
            </w:tcBorders>
            <w:shd w:val="clear" w:color="auto" w:fill="auto"/>
            <w:vAlign w:val="bottom"/>
          </w:tcPr>
          <w:p w14:paraId="6A80F1F7" w14:textId="77777777" w:rsidR="00CE511D" w:rsidRPr="007D64FF" w:rsidRDefault="00CE511D" w:rsidP="00C46B1C">
            <w:pPr>
              <w:pStyle w:val="a3"/>
              <w:spacing w:line="220" w:lineRule="exact"/>
              <w:rPr>
                <w:rtl/>
              </w:rPr>
            </w:pPr>
          </w:p>
        </w:tc>
        <w:tc>
          <w:tcPr>
            <w:tcW w:w="102" w:type="dxa"/>
            <w:shd w:val="clear" w:color="auto" w:fill="auto"/>
            <w:vAlign w:val="bottom"/>
          </w:tcPr>
          <w:p w14:paraId="6FCF8624" w14:textId="77777777" w:rsidR="00CE511D" w:rsidRPr="007D64FF" w:rsidRDefault="00CE511D" w:rsidP="00C46B1C">
            <w:pPr>
              <w:pStyle w:val="a3"/>
              <w:spacing w:line="220" w:lineRule="exact"/>
              <w:rPr>
                <w:rtl/>
              </w:rPr>
            </w:pPr>
          </w:p>
        </w:tc>
        <w:tc>
          <w:tcPr>
            <w:tcW w:w="1371" w:type="dxa"/>
            <w:tcBorders>
              <w:bottom w:val="single" w:sz="6" w:space="0" w:color="auto"/>
            </w:tcBorders>
            <w:shd w:val="clear" w:color="auto" w:fill="auto"/>
            <w:vAlign w:val="bottom"/>
          </w:tcPr>
          <w:p w14:paraId="075A051F" w14:textId="77777777" w:rsidR="00CE511D" w:rsidRPr="007D64FF" w:rsidRDefault="00CE511D" w:rsidP="00C46B1C">
            <w:pPr>
              <w:pStyle w:val="a3"/>
              <w:spacing w:line="220" w:lineRule="exact"/>
              <w:rPr>
                <w:rtl/>
              </w:rPr>
            </w:pPr>
          </w:p>
        </w:tc>
      </w:tr>
      <w:tr w:rsidR="00A8112A" w:rsidRPr="007D64FF" w14:paraId="1A282E22" w14:textId="77777777" w:rsidTr="00C46B1C">
        <w:tc>
          <w:tcPr>
            <w:tcW w:w="1138" w:type="dxa"/>
          </w:tcPr>
          <w:p w14:paraId="7C8B6ACF"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0B8D7978" w14:textId="77777777" w:rsidR="00A8112A" w:rsidRPr="007D64FF" w:rsidRDefault="00A8112A" w:rsidP="00C46B1C">
            <w:pPr>
              <w:pStyle w:val="a3"/>
              <w:widowControl/>
              <w:spacing w:line="220" w:lineRule="exact"/>
              <w:rPr>
                <w:rtl/>
              </w:rPr>
            </w:pPr>
            <w:r w:rsidRPr="007D64FF">
              <w:rPr>
                <w:rFonts w:hint="cs"/>
                <w:rtl/>
              </w:rPr>
              <w:t>נכסים מזוהים נטו</w:t>
            </w:r>
          </w:p>
        </w:tc>
        <w:tc>
          <w:tcPr>
            <w:tcW w:w="113" w:type="dxa"/>
            <w:shd w:val="clear" w:color="auto" w:fill="auto"/>
            <w:vAlign w:val="bottom"/>
          </w:tcPr>
          <w:p w14:paraId="4D79A438" w14:textId="77777777" w:rsidR="00A8112A" w:rsidRPr="007D64FF" w:rsidRDefault="00A8112A" w:rsidP="00C46B1C">
            <w:pPr>
              <w:pStyle w:val="a3"/>
              <w:spacing w:line="220" w:lineRule="exact"/>
              <w:rPr>
                <w:rtl/>
              </w:rPr>
            </w:pPr>
          </w:p>
        </w:tc>
        <w:tc>
          <w:tcPr>
            <w:tcW w:w="1247" w:type="dxa"/>
            <w:tcBorders>
              <w:top w:val="single" w:sz="6" w:space="0" w:color="auto"/>
            </w:tcBorders>
            <w:shd w:val="clear" w:color="auto" w:fill="auto"/>
            <w:vAlign w:val="bottom"/>
          </w:tcPr>
          <w:p w14:paraId="4E9DD7F4" w14:textId="77777777" w:rsidR="00A8112A" w:rsidRPr="007D64FF" w:rsidRDefault="00A8112A" w:rsidP="00C46B1C">
            <w:pPr>
              <w:pStyle w:val="a3"/>
              <w:spacing w:line="220" w:lineRule="exact"/>
              <w:rPr>
                <w:rtl/>
              </w:rPr>
            </w:pPr>
          </w:p>
        </w:tc>
        <w:tc>
          <w:tcPr>
            <w:tcW w:w="102" w:type="dxa"/>
            <w:shd w:val="clear" w:color="auto" w:fill="auto"/>
            <w:vAlign w:val="bottom"/>
          </w:tcPr>
          <w:p w14:paraId="18727CCA" w14:textId="77777777" w:rsidR="00A8112A" w:rsidRPr="007D64FF" w:rsidRDefault="00A8112A" w:rsidP="00C46B1C">
            <w:pPr>
              <w:pStyle w:val="a3"/>
              <w:spacing w:line="220" w:lineRule="exact"/>
              <w:rPr>
                <w:rtl/>
              </w:rPr>
            </w:pPr>
          </w:p>
        </w:tc>
        <w:tc>
          <w:tcPr>
            <w:tcW w:w="1371" w:type="dxa"/>
            <w:tcBorders>
              <w:top w:val="single" w:sz="6" w:space="0" w:color="auto"/>
            </w:tcBorders>
            <w:shd w:val="clear" w:color="auto" w:fill="auto"/>
            <w:vAlign w:val="bottom"/>
          </w:tcPr>
          <w:p w14:paraId="7B2A205B" w14:textId="77777777" w:rsidR="00A8112A" w:rsidRPr="007D64FF" w:rsidRDefault="00A8112A" w:rsidP="00C46B1C">
            <w:pPr>
              <w:pStyle w:val="a3"/>
              <w:spacing w:line="220" w:lineRule="exact"/>
              <w:rPr>
                <w:rtl/>
              </w:rPr>
            </w:pPr>
          </w:p>
        </w:tc>
      </w:tr>
      <w:tr w:rsidR="00A8112A" w:rsidRPr="007D64FF" w14:paraId="144FA2BF" w14:textId="77777777" w:rsidTr="00C46B1C">
        <w:tc>
          <w:tcPr>
            <w:tcW w:w="1138" w:type="dxa"/>
          </w:tcPr>
          <w:p w14:paraId="127E978F"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1D890E2F" w14:textId="77777777" w:rsidR="00A8112A" w:rsidRPr="007D64FF" w:rsidRDefault="00A8112A" w:rsidP="00C46B1C">
            <w:pPr>
              <w:pStyle w:val="a3"/>
              <w:widowControl/>
              <w:spacing w:line="220" w:lineRule="exact"/>
              <w:rPr>
                <w:rtl/>
              </w:rPr>
            </w:pPr>
            <w:r w:rsidRPr="007D64FF">
              <w:rPr>
                <w:rFonts w:hint="cs"/>
                <w:rtl/>
              </w:rPr>
              <w:t>זכויות שאינן מקנות שליטה</w:t>
            </w:r>
          </w:p>
        </w:tc>
        <w:tc>
          <w:tcPr>
            <w:tcW w:w="113" w:type="dxa"/>
            <w:shd w:val="clear" w:color="auto" w:fill="auto"/>
            <w:vAlign w:val="bottom"/>
          </w:tcPr>
          <w:p w14:paraId="2DF1F49F" w14:textId="77777777" w:rsidR="00A8112A" w:rsidRPr="007D64FF" w:rsidRDefault="00A8112A" w:rsidP="00C46B1C">
            <w:pPr>
              <w:pStyle w:val="a3"/>
              <w:spacing w:line="220" w:lineRule="exact"/>
              <w:rPr>
                <w:rtl/>
              </w:rPr>
            </w:pPr>
          </w:p>
        </w:tc>
        <w:tc>
          <w:tcPr>
            <w:tcW w:w="1247" w:type="dxa"/>
            <w:shd w:val="clear" w:color="auto" w:fill="auto"/>
            <w:vAlign w:val="bottom"/>
          </w:tcPr>
          <w:p w14:paraId="36423F8B" w14:textId="77777777" w:rsidR="00A8112A" w:rsidRPr="007D64FF" w:rsidRDefault="00A8112A" w:rsidP="00C46B1C">
            <w:pPr>
              <w:pStyle w:val="a3"/>
              <w:spacing w:line="220" w:lineRule="exact"/>
              <w:rPr>
                <w:rtl/>
              </w:rPr>
            </w:pPr>
          </w:p>
        </w:tc>
        <w:tc>
          <w:tcPr>
            <w:tcW w:w="102" w:type="dxa"/>
            <w:shd w:val="clear" w:color="auto" w:fill="auto"/>
            <w:vAlign w:val="bottom"/>
          </w:tcPr>
          <w:p w14:paraId="268C91C9" w14:textId="77777777" w:rsidR="00A8112A" w:rsidRPr="007D64FF" w:rsidRDefault="00A8112A" w:rsidP="00C46B1C">
            <w:pPr>
              <w:pStyle w:val="a3"/>
              <w:spacing w:line="220" w:lineRule="exact"/>
              <w:rPr>
                <w:rtl/>
              </w:rPr>
            </w:pPr>
          </w:p>
        </w:tc>
        <w:tc>
          <w:tcPr>
            <w:tcW w:w="1371" w:type="dxa"/>
            <w:shd w:val="clear" w:color="auto" w:fill="auto"/>
            <w:vAlign w:val="bottom"/>
          </w:tcPr>
          <w:p w14:paraId="79C1A123" w14:textId="77777777" w:rsidR="00A8112A" w:rsidRPr="007D64FF" w:rsidRDefault="00A8112A" w:rsidP="00C46B1C">
            <w:pPr>
              <w:pStyle w:val="a3"/>
              <w:spacing w:line="220" w:lineRule="exact"/>
              <w:rPr>
                <w:rtl/>
              </w:rPr>
            </w:pPr>
          </w:p>
        </w:tc>
      </w:tr>
      <w:tr w:rsidR="00A8112A" w:rsidRPr="007D64FF" w14:paraId="2E79E6AD" w14:textId="77777777" w:rsidTr="00C46B1C">
        <w:tc>
          <w:tcPr>
            <w:tcW w:w="1138" w:type="dxa"/>
          </w:tcPr>
          <w:p w14:paraId="4E232392"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35187BFF" w14:textId="77777777" w:rsidR="00A8112A" w:rsidRPr="007D64FF" w:rsidRDefault="00A8112A" w:rsidP="00C46B1C">
            <w:pPr>
              <w:pStyle w:val="a3"/>
              <w:widowControl/>
              <w:spacing w:line="220" w:lineRule="exact"/>
              <w:rPr>
                <w:rtl/>
              </w:rPr>
            </w:pPr>
            <w:r w:rsidRPr="007D64FF">
              <w:rPr>
                <w:rFonts w:hint="cs"/>
                <w:rtl/>
              </w:rPr>
              <w:t xml:space="preserve">מוניטין הנובע מהרכישה </w:t>
            </w:r>
          </w:p>
        </w:tc>
        <w:tc>
          <w:tcPr>
            <w:tcW w:w="113" w:type="dxa"/>
            <w:shd w:val="clear" w:color="auto" w:fill="auto"/>
            <w:vAlign w:val="bottom"/>
          </w:tcPr>
          <w:p w14:paraId="0759A4F4" w14:textId="77777777" w:rsidR="00A8112A" w:rsidRPr="007D64FF" w:rsidRDefault="00A8112A" w:rsidP="00C46B1C">
            <w:pPr>
              <w:pStyle w:val="a3"/>
              <w:spacing w:line="220" w:lineRule="exact"/>
              <w:rPr>
                <w:rtl/>
              </w:rPr>
            </w:pPr>
          </w:p>
        </w:tc>
        <w:tc>
          <w:tcPr>
            <w:tcW w:w="1247" w:type="dxa"/>
            <w:tcBorders>
              <w:bottom w:val="single" w:sz="6" w:space="0" w:color="auto"/>
            </w:tcBorders>
            <w:shd w:val="clear" w:color="auto" w:fill="auto"/>
            <w:vAlign w:val="bottom"/>
          </w:tcPr>
          <w:p w14:paraId="1519EAC7" w14:textId="77777777" w:rsidR="00A8112A" w:rsidRPr="007D64FF" w:rsidRDefault="00A8112A" w:rsidP="00C46B1C">
            <w:pPr>
              <w:pStyle w:val="a3"/>
              <w:spacing w:line="220" w:lineRule="exact"/>
              <w:rPr>
                <w:rtl/>
              </w:rPr>
            </w:pPr>
          </w:p>
        </w:tc>
        <w:tc>
          <w:tcPr>
            <w:tcW w:w="102" w:type="dxa"/>
            <w:shd w:val="clear" w:color="auto" w:fill="auto"/>
            <w:vAlign w:val="bottom"/>
          </w:tcPr>
          <w:p w14:paraId="1E50885F" w14:textId="77777777" w:rsidR="00A8112A" w:rsidRPr="007D64FF" w:rsidRDefault="00A8112A" w:rsidP="00C46B1C">
            <w:pPr>
              <w:pStyle w:val="a3"/>
              <w:spacing w:line="220" w:lineRule="exact"/>
              <w:rPr>
                <w:rtl/>
              </w:rPr>
            </w:pPr>
          </w:p>
        </w:tc>
        <w:tc>
          <w:tcPr>
            <w:tcW w:w="1371" w:type="dxa"/>
            <w:tcBorders>
              <w:bottom w:val="single" w:sz="4" w:space="0" w:color="auto"/>
            </w:tcBorders>
            <w:shd w:val="clear" w:color="auto" w:fill="auto"/>
            <w:vAlign w:val="bottom"/>
          </w:tcPr>
          <w:p w14:paraId="128C6135" w14:textId="77777777" w:rsidR="00A8112A" w:rsidRPr="007D64FF" w:rsidRDefault="00A8112A" w:rsidP="00C46B1C">
            <w:pPr>
              <w:pStyle w:val="a3"/>
              <w:spacing w:line="220" w:lineRule="exact"/>
              <w:rPr>
                <w:rtl/>
              </w:rPr>
            </w:pPr>
          </w:p>
        </w:tc>
      </w:tr>
      <w:tr w:rsidR="00A8112A" w:rsidRPr="007D64FF" w14:paraId="7122FBBE" w14:textId="77777777" w:rsidTr="00C46B1C">
        <w:tc>
          <w:tcPr>
            <w:tcW w:w="1138" w:type="dxa"/>
          </w:tcPr>
          <w:p w14:paraId="15934C13"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4EDA247B"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21B669A3" w14:textId="77777777" w:rsidR="00A8112A" w:rsidRPr="007D64FF" w:rsidRDefault="00A8112A" w:rsidP="00C46B1C">
            <w:pPr>
              <w:pStyle w:val="a3"/>
              <w:spacing w:line="220" w:lineRule="exact"/>
              <w:rPr>
                <w:rtl/>
              </w:rPr>
            </w:pPr>
          </w:p>
        </w:tc>
        <w:tc>
          <w:tcPr>
            <w:tcW w:w="1247" w:type="dxa"/>
            <w:tcBorders>
              <w:top w:val="single" w:sz="6" w:space="0" w:color="auto"/>
            </w:tcBorders>
            <w:shd w:val="clear" w:color="auto" w:fill="auto"/>
            <w:vAlign w:val="bottom"/>
          </w:tcPr>
          <w:p w14:paraId="6DFF5BB8" w14:textId="77777777" w:rsidR="00A8112A" w:rsidRPr="007D64FF" w:rsidRDefault="00A8112A" w:rsidP="00C46B1C">
            <w:pPr>
              <w:pStyle w:val="a3"/>
              <w:spacing w:line="220" w:lineRule="exact"/>
              <w:rPr>
                <w:rtl/>
              </w:rPr>
            </w:pPr>
          </w:p>
        </w:tc>
        <w:tc>
          <w:tcPr>
            <w:tcW w:w="102" w:type="dxa"/>
            <w:shd w:val="clear" w:color="auto" w:fill="auto"/>
            <w:vAlign w:val="bottom"/>
          </w:tcPr>
          <w:p w14:paraId="786E82F3" w14:textId="77777777" w:rsidR="00A8112A" w:rsidRPr="007D64FF" w:rsidRDefault="00A8112A" w:rsidP="00C46B1C">
            <w:pPr>
              <w:pStyle w:val="a3"/>
              <w:spacing w:line="220" w:lineRule="exact"/>
              <w:rPr>
                <w:rtl/>
              </w:rPr>
            </w:pPr>
          </w:p>
        </w:tc>
        <w:tc>
          <w:tcPr>
            <w:tcW w:w="1371" w:type="dxa"/>
            <w:tcBorders>
              <w:top w:val="single" w:sz="4" w:space="0" w:color="auto"/>
            </w:tcBorders>
            <w:shd w:val="clear" w:color="auto" w:fill="auto"/>
            <w:vAlign w:val="bottom"/>
          </w:tcPr>
          <w:p w14:paraId="42A28DB4" w14:textId="77777777" w:rsidR="00A8112A" w:rsidRPr="007D64FF" w:rsidRDefault="00A8112A" w:rsidP="00C46B1C">
            <w:pPr>
              <w:pStyle w:val="a3"/>
              <w:spacing w:line="220" w:lineRule="exact"/>
              <w:rPr>
                <w:rtl/>
              </w:rPr>
            </w:pPr>
          </w:p>
        </w:tc>
      </w:tr>
      <w:tr w:rsidR="00A8112A" w:rsidRPr="007D64FF" w14:paraId="00B397D1" w14:textId="77777777" w:rsidTr="00C46B1C">
        <w:tc>
          <w:tcPr>
            <w:tcW w:w="1138" w:type="dxa"/>
            <w:tcBorders>
              <w:bottom w:val="single" w:sz="4" w:space="0" w:color="auto"/>
              <w:right w:val="single" w:sz="4" w:space="0" w:color="auto"/>
            </w:tcBorders>
            <w:vAlign w:val="center"/>
          </w:tcPr>
          <w:p w14:paraId="6620A18E"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r>
              <w:rPr>
                <w:rFonts w:asciiTheme="majorBidi" w:hAnsiTheme="majorBidi" w:cstheme="majorBidi"/>
                <w:i/>
                <w:iCs/>
                <w:sz w:val="13"/>
                <w:szCs w:val="13"/>
              </w:rPr>
              <w:t>IAS 7.40(a)</w:t>
            </w:r>
          </w:p>
        </w:tc>
        <w:tc>
          <w:tcPr>
            <w:tcW w:w="5779" w:type="dxa"/>
            <w:tcBorders>
              <w:left w:val="single" w:sz="4" w:space="0" w:color="auto"/>
            </w:tcBorders>
            <w:shd w:val="clear" w:color="auto" w:fill="auto"/>
            <w:vAlign w:val="bottom"/>
          </w:tcPr>
          <w:p w14:paraId="0CE2B668" w14:textId="77777777" w:rsidR="00A8112A" w:rsidRDefault="00A8112A" w:rsidP="00C46B1C">
            <w:pPr>
              <w:pStyle w:val="a3"/>
              <w:widowControl/>
              <w:spacing w:line="220" w:lineRule="exact"/>
              <w:rPr>
                <w:rtl/>
              </w:rPr>
            </w:pPr>
            <w:r w:rsidRPr="007D64FF">
              <w:rPr>
                <w:rFonts w:hint="cs"/>
                <w:rtl/>
              </w:rPr>
              <w:t>סך עלות הרכישה</w:t>
            </w:r>
          </w:p>
        </w:tc>
        <w:tc>
          <w:tcPr>
            <w:tcW w:w="113" w:type="dxa"/>
            <w:shd w:val="clear" w:color="auto" w:fill="auto"/>
            <w:vAlign w:val="bottom"/>
          </w:tcPr>
          <w:p w14:paraId="707C63E2" w14:textId="77777777" w:rsidR="00A8112A" w:rsidRPr="007D64FF" w:rsidRDefault="00A8112A" w:rsidP="00C46B1C">
            <w:pPr>
              <w:pStyle w:val="a3"/>
              <w:spacing w:line="220" w:lineRule="exact"/>
              <w:rPr>
                <w:rtl/>
              </w:rPr>
            </w:pPr>
          </w:p>
        </w:tc>
        <w:tc>
          <w:tcPr>
            <w:tcW w:w="1247" w:type="dxa"/>
            <w:tcBorders>
              <w:bottom w:val="double" w:sz="6" w:space="0" w:color="auto"/>
            </w:tcBorders>
            <w:shd w:val="clear" w:color="auto" w:fill="auto"/>
            <w:vAlign w:val="bottom"/>
          </w:tcPr>
          <w:p w14:paraId="6F10C677" w14:textId="77777777" w:rsidR="00A8112A" w:rsidRPr="007D64FF" w:rsidRDefault="00A8112A" w:rsidP="00C46B1C">
            <w:pPr>
              <w:pStyle w:val="a3"/>
              <w:spacing w:line="220" w:lineRule="exact"/>
              <w:rPr>
                <w:rtl/>
              </w:rPr>
            </w:pPr>
          </w:p>
        </w:tc>
        <w:tc>
          <w:tcPr>
            <w:tcW w:w="102" w:type="dxa"/>
            <w:shd w:val="clear" w:color="auto" w:fill="auto"/>
            <w:vAlign w:val="bottom"/>
          </w:tcPr>
          <w:p w14:paraId="719ABCB0" w14:textId="77777777" w:rsidR="00A8112A" w:rsidRPr="007D64FF" w:rsidRDefault="00A8112A" w:rsidP="00C46B1C">
            <w:pPr>
              <w:pStyle w:val="a3"/>
              <w:spacing w:line="220" w:lineRule="exact"/>
              <w:rPr>
                <w:rtl/>
              </w:rPr>
            </w:pPr>
          </w:p>
        </w:tc>
        <w:tc>
          <w:tcPr>
            <w:tcW w:w="1371" w:type="dxa"/>
            <w:tcBorders>
              <w:bottom w:val="double" w:sz="4" w:space="0" w:color="auto"/>
            </w:tcBorders>
            <w:shd w:val="clear" w:color="auto" w:fill="auto"/>
            <w:vAlign w:val="bottom"/>
          </w:tcPr>
          <w:p w14:paraId="584596B6" w14:textId="77777777" w:rsidR="00A8112A" w:rsidRPr="007D64FF" w:rsidRDefault="00A8112A" w:rsidP="00C46B1C">
            <w:pPr>
              <w:pStyle w:val="a3"/>
              <w:spacing w:line="220" w:lineRule="exact"/>
              <w:rPr>
                <w:rtl/>
              </w:rPr>
            </w:pPr>
          </w:p>
        </w:tc>
      </w:tr>
    </w:tbl>
    <w:p w14:paraId="04D3DC49" w14:textId="77777777" w:rsidR="0076297A" w:rsidRDefault="0076297A" w:rsidP="0076297A">
      <w:pPr>
        <w:pStyle w:val="30"/>
        <w:ind w:left="1701" w:firstLine="0"/>
        <w:rPr>
          <w:rtl/>
        </w:rPr>
      </w:pPr>
    </w:p>
    <w:p w14:paraId="4EB68834" w14:textId="4700464C" w:rsidR="008D22FA" w:rsidRDefault="00DA464F" w:rsidP="00414876">
      <w:pPr>
        <w:pStyle w:val="21"/>
        <w:ind w:left="1134" w:firstLine="0"/>
        <w:rPr>
          <w:rtl/>
        </w:rPr>
      </w:pPr>
      <w:r>
        <w:rPr>
          <w:rFonts w:hint="cs"/>
          <w:rtl/>
        </w:rPr>
        <w:t xml:space="preserve">קביעות השווי ההוגן </w:t>
      </w:r>
      <w:r w:rsidR="0076297A" w:rsidRPr="007D64FF">
        <w:rPr>
          <w:rFonts w:hint="cs"/>
          <w:rtl/>
        </w:rPr>
        <w:t xml:space="preserve">ליום </w:t>
      </w:r>
      <w:r w:rsidR="002E5D60">
        <w:rPr>
          <w:rFonts w:hint="cs"/>
          <w:rtl/>
        </w:rPr>
        <w:t>31 בדצמב</w:t>
      </w:r>
      <w:r w:rsidR="000C4C0E" w:rsidRPr="000C4C0E">
        <w:rPr>
          <w:rFonts w:hint="eastAsia"/>
          <w:rtl/>
        </w:rPr>
        <w:t>ר</w:t>
      </w:r>
      <w:r w:rsidR="000C4C0E" w:rsidRPr="000C4C0E">
        <w:rPr>
          <w:rtl/>
        </w:rPr>
        <w:t xml:space="preserve">, </w:t>
      </w:r>
      <w:r w:rsidR="004F7D3D">
        <w:rPr>
          <w:rFonts w:hint="cs"/>
          <w:rtl/>
        </w:rPr>
        <w:t>201</w:t>
      </w:r>
      <w:r w:rsidR="005C7519">
        <w:rPr>
          <w:rFonts w:hint="cs"/>
          <w:rtl/>
        </w:rPr>
        <w:t>8</w:t>
      </w:r>
      <w:r w:rsidR="006C3028" w:rsidRPr="000C4C0E">
        <w:rPr>
          <w:rtl/>
        </w:rPr>
        <w:t xml:space="preserve"> </w:t>
      </w:r>
      <w:r w:rsidR="000C4C0E" w:rsidRPr="000C4C0E">
        <w:rPr>
          <w:rFonts w:hint="eastAsia"/>
          <w:rtl/>
        </w:rPr>
        <w:t>היו</w:t>
      </w:r>
      <w:r w:rsidR="000C4C0E" w:rsidRPr="000C4C0E">
        <w:rPr>
          <w:rtl/>
        </w:rPr>
        <w:t xml:space="preserve"> </w:t>
      </w:r>
      <w:r w:rsidR="000C4C0E" w:rsidRPr="000C4C0E">
        <w:rPr>
          <w:rFonts w:hint="eastAsia"/>
          <w:rtl/>
        </w:rPr>
        <w:t>ארעיות</w:t>
      </w:r>
      <w:r w:rsidR="000C4C0E" w:rsidRPr="000C4C0E">
        <w:rPr>
          <w:rtl/>
        </w:rPr>
        <w:t xml:space="preserve"> כיוון שהערכת השווי של </w:t>
      </w:r>
      <w:r w:rsidR="000C4C0E" w:rsidRPr="000C4C0E">
        <w:rPr>
          <w:rFonts w:hint="eastAsia"/>
          <w:rtl/>
        </w:rPr>
        <w:t>הרכוש</w:t>
      </w:r>
      <w:r w:rsidR="000C4C0E" w:rsidRPr="000C4C0E">
        <w:rPr>
          <w:rtl/>
        </w:rPr>
        <w:t xml:space="preserve"> </w:t>
      </w:r>
      <w:r w:rsidR="000C4C0E" w:rsidRPr="000C4C0E">
        <w:rPr>
          <w:rFonts w:hint="eastAsia"/>
          <w:rtl/>
        </w:rPr>
        <w:t>הקבוע</w:t>
      </w:r>
      <w:r w:rsidR="000C4C0E" w:rsidRPr="000C4C0E">
        <w:rPr>
          <w:rtl/>
        </w:rPr>
        <w:t xml:space="preserve"> בבעלות חברה ב בע"</w:t>
      </w:r>
      <w:r w:rsidR="000C4C0E" w:rsidRPr="000C4C0E">
        <w:rPr>
          <w:rFonts w:hint="eastAsia"/>
          <w:rtl/>
        </w:rPr>
        <w:t>מ</w:t>
      </w:r>
      <w:r w:rsidR="000C4C0E" w:rsidRPr="000C4C0E">
        <w:rPr>
          <w:rtl/>
        </w:rPr>
        <w:t xml:space="preserve"> </w:t>
      </w:r>
      <w:r w:rsidR="000C4C0E" w:rsidRPr="000C4C0E">
        <w:rPr>
          <w:rFonts w:hint="eastAsia"/>
          <w:rtl/>
        </w:rPr>
        <w:t>טרם</w:t>
      </w:r>
      <w:r w:rsidR="000C4C0E" w:rsidRPr="000C4C0E">
        <w:rPr>
          <w:rtl/>
        </w:rPr>
        <w:t xml:space="preserve"> </w:t>
      </w:r>
      <w:r w:rsidR="000C4C0E" w:rsidRPr="000C4C0E">
        <w:rPr>
          <w:rFonts w:hint="eastAsia"/>
          <w:rtl/>
        </w:rPr>
        <w:t>התקבלה</w:t>
      </w:r>
      <w:r w:rsidR="000C4C0E" w:rsidRPr="000C4C0E">
        <w:rPr>
          <w:rtl/>
        </w:rPr>
        <w:t xml:space="preserve"> </w:t>
      </w:r>
      <w:r w:rsidR="000C4C0E" w:rsidRPr="000C4C0E">
        <w:rPr>
          <w:rFonts w:hint="eastAsia"/>
          <w:rtl/>
        </w:rPr>
        <w:t>עד</w:t>
      </w:r>
      <w:r w:rsidR="000C4C0E" w:rsidRPr="000C4C0E">
        <w:rPr>
          <w:rtl/>
        </w:rPr>
        <w:t xml:space="preserve"> </w:t>
      </w:r>
      <w:r w:rsidR="000C4C0E" w:rsidRPr="000C4C0E">
        <w:rPr>
          <w:rFonts w:hint="eastAsia"/>
          <w:rtl/>
        </w:rPr>
        <w:t>למועד</w:t>
      </w:r>
      <w:r w:rsidR="000C4C0E" w:rsidRPr="000C4C0E">
        <w:rPr>
          <w:rtl/>
        </w:rPr>
        <w:t xml:space="preserve"> </w:t>
      </w:r>
      <w:r w:rsidR="000C4C0E" w:rsidRPr="000C4C0E">
        <w:rPr>
          <w:rFonts w:hint="eastAsia"/>
          <w:rtl/>
        </w:rPr>
        <w:t>אישור</w:t>
      </w:r>
      <w:r w:rsidR="000C4C0E" w:rsidRPr="000C4C0E">
        <w:rPr>
          <w:rtl/>
        </w:rPr>
        <w:t xml:space="preserve"> </w:t>
      </w:r>
      <w:r w:rsidR="000C4C0E" w:rsidRPr="000C4C0E">
        <w:rPr>
          <w:rFonts w:hint="eastAsia"/>
          <w:rtl/>
        </w:rPr>
        <w:t>הדוחות</w:t>
      </w:r>
      <w:r w:rsidR="000C4C0E" w:rsidRPr="000C4C0E">
        <w:rPr>
          <w:rtl/>
        </w:rPr>
        <w:t xml:space="preserve"> </w:t>
      </w:r>
      <w:r w:rsidR="000C4C0E" w:rsidRPr="000C4C0E">
        <w:rPr>
          <w:rFonts w:hint="eastAsia"/>
          <w:rtl/>
        </w:rPr>
        <w:t>הכספיים</w:t>
      </w:r>
      <w:r w:rsidR="000C4C0E" w:rsidRPr="000C4C0E">
        <w:rPr>
          <w:rtl/>
        </w:rPr>
        <w:t xml:space="preserve"> לשנת </w:t>
      </w:r>
      <w:r w:rsidR="00414876">
        <w:rPr>
          <w:rFonts w:hint="cs"/>
          <w:rtl/>
        </w:rPr>
        <w:t>2018</w:t>
      </w:r>
      <w:r w:rsidR="000C4C0E" w:rsidRPr="000C4C0E">
        <w:rPr>
          <w:rtl/>
        </w:rPr>
        <w:t>.</w:t>
      </w:r>
    </w:p>
    <w:p w14:paraId="4B941441" w14:textId="77777777" w:rsidR="00225232" w:rsidRDefault="00225232">
      <w:pPr>
        <w:rPr>
          <w:rtl/>
        </w:rPr>
      </w:pPr>
    </w:p>
    <w:p w14:paraId="0AD9E8A5" w14:textId="45180397" w:rsidR="008D22FA" w:rsidRDefault="000C4C0E" w:rsidP="005C7519">
      <w:pPr>
        <w:pStyle w:val="21"/>
        <w:ind w:left="1134" w:firstLine="0"/>
        <w:rPr>
          <w:rtl/>
        </w:rPr>
      </w:pPr>
      <w:r w:rsidRPr="000C4C0E">
        <w:rPr>
          <w:rFonts w:hint="eastAsia"/>
          <w:rtl/>
        </w:rPr>
        <w:t>הערכת</w:t>
      </w:r>
      <w:r w:rsidRPr="000C4C0E">
        <w:rPr>
          <w:rtl/>
        </w:rPr>
        <w:t xml:space="preserve"> שווי של </w:t>
      </w:r>
      <w:r w:rsidRPr="000C4C0E">
        <w:rPr>
          <w:rFonts w:hint="eastAsia"/>
          <w:rtl/>
        </w:rPr>
        <w:t>הרכוש</w:t>
      </w:r>
      <w:r w:rsidRPr="000C4C0E">
        <w:rPr>
          <w:rtl/>
        </w:rPr>
        <w:t xml:space="preserve"> </w:t>
      </w:r>
      <w:r w:rsidRPr="000C4C0E">
        <w:rPr>
          <w:rFonts w:hint="eastAsia"/>
          <w:rtl/>
        </w:rPr>
        <w:t>הקבוע</w:t>
      </w:r>
      <w:r w:rsidRPr="000C4C0E">
        <w:rPr>
          <w:rtl/>
        </w:rPr>
        <w:t xml:space="preserve"> </w:t>
      </w:r>
      <w:r w:rsidRPr="000C4C0E">
        <w:rPr>
          <w:rFonts w:hint="eastAsia"/>
          <w:rtl/>
        </w:rPr>
        <w:t>התקבלה</w:t>
      </w:r>
      <w:r w:rsidRPr="000C4C0E">
        <w:rPr>
          <w:rtl/>
        </w:rPr>
        <w:t xml:space="preserve"> בחודש אפריל </w:t>
      </w:r>
      <w:r w:rsidR="004A4A6B">
        <w:rPr>
          <w:rFonts w:hint="cs"/>
          <w:rtl/>
        </w:rPr>
        <w:t>201</w:t>
      </w:r>
      <w:r w:rsidR="005C7519">
        <w:rPr>
          <w:rFonts w:hint="cs"/>
          <w:rtl/>
        </w:rPr>
        <w:t>9</w:t>
      </w:r>
      <w:r w:rsidR="006C3028" w:rsidRPr="000C4C0E">
        <w:rPr>
          <w:rtl/>
        </w:rPr>
        <w:t xml:space="preserve"> </w:t>
      </w:r>
      <w:r w:rsidRPr="000C4C0E">
        <w:rPr>
          <w:rFonts w:hint="eastAsia"/>
          <w:rtl/>
        </w:rPr>
        <w:t>והעידה</w:t>
      </w:r>
      <w:r w:rsidRPr="000C4C0E">
        <w:rPr>
          <w:rtl/>
        </w:rPr>
        <w:t xml:space="preserve"> </w:t>
      </w:r>
      <w:r w:rsidRPr="000C4C0E">
        <w:rPr>
          <w:rFonts w:hint="eastAsia"/>
          <w:rtl/>
        </w:rPr>
        <w:t>על</w:t>
      </w:r>
      <w:r w:rsidRPr="000C4C0E">
        <w:rPr>
          <w:rtl/>
        </w:rPr>
        <w:t xml:space="preserve"> </w:t>
      </w:r>
      <w:r w:rsidRPr="000C4C0E">
        <w:rPr>
          <w:rFonts w:hint="eastAsia"/>
          <w:rtl/>
        </w:rPr>
        <w:t>כך</w:t>
      </w:r>
      <w:r w:rsidRPr="000C4C0E">
        <w:rPr>
          <w:rtl/>
        </w:rPr>
        <w:t xml:space="preserve"> </w:t>
      </w:r>
      <w:r w:rsidRPr="000C4C0E">
        <w:rPr>
          <w:rFonts w:hint="eastAsia"/>
          <w:rtl/>
        </w:rPr>
        <w:t>שהשווי</w:t>
      </w:r>
      <w:r w:rsidRPr="000C4C0E">
        <w:rPr>
          <w:rtl/>
        </w:rPr>
        <w:t xml:space="preserve"> </w:t>
      </w:r>
      <w:r w:rsidRPr="000C4C0E">
        <w:rPr>
          <w:rFonts w:hint="eastAsia"/>
          <w:rtl/>
        </w:rPr>
        <w:t>ההוגן</w:t>
      </w:r>
      <w:r w:rsidRPr="000C4C0E">
        <w:rPr>
          <w:rtl/>
        </w:rPr>
        <w:t xml:space="preserve"> </w:t>
      </w:r>
      <w:r w:rsidRPr="000C4C0E">
        <w:rPr>
          <w:rFonts w:hint="eastAsia"/>
          <w:rtl/>
        </w:rPr>
        <w:t>ל</w:t>
      </w:r>
      <w:r w:rsidR="00AB1C56">
        <w:rPr>
          <w:rFonts w:hint="cs"/>
          <w:rtl/>
        </w:rPr>
        <w:t xml:space="preserve">מועד </w:t>
      </w:r>
      <w:r w:rsidRPr="000C4C0E">
        <w:rPr>
          <w:rFonts w:hint="eastAsia"/>
          <w:rtl/>
        </w:rPr>
        <w:t>הרכישה</w:t>
      </w:r>
      <w:r w:rsidRPr="000C4C0E">
        <w:rPr>
          <w:rtl/>
        </w:rPr>
        <w:t xml:space="preserve"> </w:t>
      </w:r>
      <w:r w:rsidRPr="000C4C0E">
        <w:rPr>
          <w:rFonts w:hint="eastAsia"/>
          <w:rtl/>
        </w:rPr>
        <w:t>היה</w:t>
      </w:r>
      <w:r w:rsidRPr="000C4C0E">
        <w:rPr>
          <w:rtl/>
        </w:rPr>
        <w:t xml:space="preserve"> בסך של _____ אלפי ש"</w:t>
      </w:r>
      <w:r w:rsidRPr="000C4C0E">
        <w:rPr>
          <w:rFonts w:hint="eastAsia"/>
          <w:rtl/>
        </w:rPr>
        <w:t>ח</w:t>
      </w:r>
      <w:r w:rsidRPr="000C4C0E">
        <w:rPr>
          <w:rtl/>
        </w:rPr>
        <w:t xml:space="preserve">, </w:t>
      </w:r>
      <w:r w:rsidRPr="000C4C0E">
        <w:rPr>
          <w:rFonts w:hint="eastAsia"/>
          <w:rtl/>
        </w:rPr>
        <w:t>גידול</w:t>
      </w:r>
      <w:r w:rsidRPr="000C4C0E">
        <w:rPr>
          <w:rtl/>
        </w:rPr>
        <w:t xml:space="preserve"> של _____ אלפי ש"ח לעומת השווי ההוגן ה</w:t>
      </w:r>
      <w:r w:rsidRPr="000C4C0E">
        <w:rPr>
          <w:rFonts w:hint="eastAsia"/>
          <w:rtl/>
        </w:rPr>
        <w:t>ארעי</w:t>
      </w:r>
      <w:r w:rsidRPr="000C4C0E">
        <w:rPr>
          <w:rtl/>
        </w:rPr>
        <w:t xml:space="preserve"> שהוצג בדוחות הכספיים ליום 31 בדצמבר, </w:t>
      </w:r>
      <w:r w:rsidR="004F7D3D">
        <w:rPr>
          <w:rFonts w:hint="cs"/>
          <w:rtl/>
        </w:rPr>
        <w:t>201</w:t>
      </w:r>
      <w:r w:rsidR="005C7519">
        <w:rPr>
          <w:rFonts w:hint="cs"/>
          <w:rtl/>
        </w:rPr>
        <w:t>8</w:t>
      </w:r>
      <w:r w:rsidRPr="000C4C0E">
        <w:rPr>
          <w:rtl/>
        </w:rPr>
        <w:t>.</w:t>
      </w:r>
    </w:p>
    <w:p w14:paraId="64BEAC0D" w14:textId="77777777" w:rsidR="00225232" w:rsidRDefault="00225232">
      <w:pPr>
        <w:rPr>
          <w:rtl/>
        </w:rPr>
      </w:pPr>
    </w:p>
    <w:p w14:paraId="01DB4BB6" w14:textId="73186CB6" w:rsidR="008D22FA" w:rsidRDefault="000C4C0E" w:rsidP="005C7519">
      <w:pPr>
        <w:pStyle w:val="21"/>
        <w:ind w:left="1134" w:firstLine="0"/>
        <w:rPr>
          <w:rtl/>
        </w:rPr>
      </w:pPr>
      <w:r w:rsidRPr="000C4C0E">
        <w:rPr>
          <w:rFonts w:hint="eastAsia"/>
          <w:rtl/>
        </w:rPr>
        <w:t>נתוני</w:t>
      </w:r>
      <w:r w:rsidRPr="000C4C0E">
        <w:rPr>
          <w:rtl/>
        </w:rPr>
        <w:t xml:space="preserve"> שנת </w:t>
      </w:r>
      <w:r w:rsidR="004F7D3D">
        <w:rPr>
          <w:rFonts w:hint="cs"/>
          <w:rtl/>
        </w:rPr>
        <w:t>201</w:t>
      </w:r>
      <w:r w:rsidR="005C7519">
        <w:rPr>
          <w:rFonts w:hint="cs"/>
          <w:rtl/>
        </w:rPr>
        <w:t>8</w:t>
      </w:r>
      <w:r w:rsidRPr="000C4C0E">
        <w:rPr>
          <w:rtl/>
        </w:rPr>
        <w:t xml:space="preserve">, </w:t>
      </w:r>
      <w:r w:rsidRPr="000C4C0E">
        <w:rPr>
          <w:rFonts w:hint="eastAsia"/>
          <w:rtl/>
        </w:rPr>
        <w:t>המהווים</w:t>
      </w:r>
      <w:r w:rsidRPr="000C4C0E">
        <w:rPr>
          <w:rtl/>
        </w:rPr>
        <w:t xml:space="preserve"> </w:t>
      </w:r>
      <w:r w:rsidRPr="000C4C0E">
        <w:rPr>
          <w:rFonts w:hint="eastAsia"/>
          <w:rtl/>
        </w:rPr>
        <w:t>מספרי</w:t>
      </w:r>
      <w:r w:rsidRPr="000C4C0E">
        <w:rPr>
          <w:rtl/>
        </w:rPr>
        <w:t xml:space="preserve"> </w:t>
      </w:r>
      <w:r w:rsidRPr="000C4C0E">
        <w:rPr>
          <w:rFonts w:hint="eastAsia"/>
          <w:rtl/>
        </w:rPr>
        <w:t>השוואה</w:t>
      </w:r>
      <w:r w:rsidRPr="000C4C0E">
        <w:rPr>
          <w:rtl/>
        </w:rPr>
        <w:t xml:space="preserve"> </w:t>
      </w:r>
      <w:r w:rsidRPr="000C4C0E">
        <w:rPr>
          <w:rFonts w:hint="eastAsia"/>
          <w:rtl/>
        </w:rPr>
        <w:t>בדוחות</w:t>
      </w:r>
      <w:r w:rsidRPr="000C4C0E">
        <w:rPr>
          <w:rtl/>
        </w:rPr>
        <w:t xml:space="preserve"> </w:t>
      </w:r>
      <w:r w:rsidRPr="000C4C0E">
        <w:rPr>
          <w:rFonts w:hint="eastAsia"/>
          <w:rtl/>
        </w:rPr>
        <w:t>הכספיים</w:t>
      </w:r>
      <w:r w:rsidRPr="000C4C0E">
        <w:rPr>
          <w:rtl/>
        </w:rPr>
        <w:t xml:space="preserve">, </w:t>
      </w:r>
      <w:r w:rsidRPr="000C4C0E">
        <w:rPr>
          <w:rFonts w:hint="eastAsia"/>
          <w:rtl/>
        </w:rPr>
        <w:t>הוצגו</w:t>
      </w:r>
      <w:r w:rsidRPr="000C4C0E">
        <w:rPr>
          <w:rtl/>
        </w:rPr>
        <w:t xml:space="preserve"> </w:t>
      </w:r>
      <w:r w:rsidRPr="000C4C0E">
        <w:rPr>
          <w:rFonts w:hint="eastAsia"/>
          <w:rtl/>
        </w:rPr>
        <w:t>מחדש</w:t>
      </w:r>
      <w:r>
        <w:rPr>
          <w:rStyle w:val="ab"/>
          <w:rtl/>
        </w:rPr>
        <w:footnoteReference w:id="102"/>
      </w:r>
      <w:r w:rsidRPr="000C4C0E">
        <w:rPr>
          <w:rtl/>
        </w:rPr>
        <w:t xml:space="preserve"> על מנת לשקף את התאמת השווי ההוגן כאמור. עקב ה</w:t>
      </w:r>
      <w:r w:rsidRPr="000C4C0E">
        <w:rPr>
          <w:rFonts w:hint="eastAsia"/>
          <w:rtl/>
        </w:rPr>
        <w:t>גידול</w:t>
      </w:r>
      <w:r w:rsidRPr="000C4C0E">
        <w:rPr>
          <w:rtl/>
        </w:rPr>
        <w:t xml:space="preserve"> בשווי </w:t>
      </w:r>
      <w:r w:rsidRPr="000C4C0E">
        <w:rPr>
          <w:rFonts w:hint="eastAsia"/>
          <w:rtl/>
        </w:rPr>
        <w:t>הרכוש</w:t>
      </w:r>
      <w:r w:rsidRPr="000C4C0E">
        <w:rPr>
          <w:rtl/>
        </w:rPr>
        <w:t xml:space="preserve"> </w:t>
      </w:r>
      <w:r w:rsidRPr="000C4C0E">
        <w:rPr>
          <w:rFonts w:hint="eastAsia"/>
          <w:rtl/>
        </w:rPr>
        <w:t>הקבוע</w:t>
      </w:r>
      <w:r w:rsidRPr="000C4C0E">
        <w:rPr>
          <w:rtl/>
        </w:rPr>
        <w:t xml:space="preserve"> בסך של _____ אלפי ש"</w:t>
      </w:r>
      <w:r w:rsidRPr="000C4C0E">
        <w:rPr>
          <w:rFonts w:hint="eastAsia"/>
          <w:rtl/>
        </w:rPr>
        <w:t>ח</w:t>
      </w:r>
      <w:r w:rsidRPr="000C4C0E">
        <w:rPr>
          <w:rtl/>
        </w:rPr>
        <w:t xml:space="preserve">, </w:t>
      </w:r>
      <w:r w:rsidRPr="000C4C0E">
        <w:rPr>
          <w:rFonts w:hint="eastAsia"/>
          <w:rtl/>
        </w:rPr>
        <w:t>חלה</w:t>
      </w:r>
      <w:r w:rsidRPr="000C4C0E">
        <w:rPr>
          <w:rtl/>
        </w:rPr>
        <w:t xml:space="preserve"> </w:t>
      </w:r>
      <w:r w:rsidRPr="000C4C0E">
        <w:rPr>
          <w:rFonts w:hint="eastAsia"/>
          <w:rtl/>
        </w:rPr>
        <w:t>עלייה</w:t>
      </w:r>
      <w:r w:rsidRPr="000C4C0E">
        <w:rPr>
          <w:rtl/>
        </w:rPr>
        <w:t xml:space="preserve"> </w:t>
      </w:r>
      <w:r w:rsidRPr="000C4C0E">
        <w:rPr>
          <w:rFonts w:hint="eastAsia"/>
          <w:rtl/>
        </w:rPr>
        <w:t>בהתחייבות</w:t>
      </w:r>
      <w:r w:rsidRPr="000C4C0E">
        <w:rPr>
          <w:rtl/>
        </w:rPr>
        <w:t xml:space="preserve"> </w:t>
      </w:r>
      <w:r w:rsidRPr="000C4C0E">
        <w:rPr>
          <w:rFonts w:hint="eastAsia"/>
          <w:rtl/>
        </w:rPr>
        <w:t>מסים</w:t>
      </w:r>
      <w:r w:rsidRPr="000C4C0E">
        <w:rPr>
          <w:rtl/>
        </w:rPr>
        <w:t xml:space="preserve"> </w:t>
      </w:r>
      <w:r w:rsidRPr="000C4C0E">
        <w:rPr>
          <w:rFonts w:hint="eastAsia"/>
          <w:rtl/>
        </w:rPr>
        <w:t>נדחים</w:t>
      </w:r>
      <w:r w:rsidRPr="000C4C0E">
        <w:rPr>
          <w:rtl/>
        </w:rPr>
        <w:t xml:space="preserve"> </w:t>
      </w:r>
      <w:r w:rsidRPr="000C4C0E">
        <w:rPr>
          <w:rFonts w:hint="eastAsia"/>
          <w:rtl/>
        </w:rPr>
        <w:t>בסך</w:t>
      </w:r>
      <w:r w:rsidRPr="000C4C0E">
        <w:rPr>
          <w:rtl/>
        </w:rPr>
        <w:t xml:space="preserve"> </w:t>
      </w:r>
      <w:r w:rsidRPr="000C4C0E">
        <w:rPr>
          <w:rFonts w:hint="eastAsia"/>
          <w:rtl/>
        </w:rPr>
        <w:t>של</w:t>
      </w:r>
      <w:r w:rsidRPr="000C4C0E">
        <w:rPr>
          <w:rtl/>
        </w:rPr>
        <w:t xml:space="preserve"> _____ </w:t>
      </w:r>
      <w:r w:rsidRPr="000C4C0E">
        <w:rPr>
          <w:rFonts w:hint="eastAsia"/>
          <w:rtl/>
        </w:rPr>
        <w:t>אלפי</w:t>
      </w:r>
      <w:r w:rsidRPr="000C4C0E">
        <w:rPr>
          <w:rtl/>
        </w:rPr>
        <w:t xml:space="preserve"> </w:t>
      </w:r>
      <w:r w:rsidRPr="000C4C0E">
        <w:rPr>
          <w:rFonts w:hint="eastAsia"/>
          <w:rtl/>
        </w:rPr>
        <w:t>ש</w:t>
      </w:r>
      <w:r w:rsidRPr="000C4C0E">
        <w:rPr>
          <w:rtl/>
        </w:rPr>
        <w:t xml:space="preserve">"ח </w:t>
      </w:r>
      <w:r w:rsidRPr="000C4C0E">
        <w:rPr>
          <w:rFonts w:hint="eastAsia"/>
          <w:rtl/>
        </w:rPr>
        <w:t>וכן</w:t>
      </w:r>
      <w:r w:rsidRPr="000C4C0E">
        <w:rPr>
          <w:rtl/>
        </w:rPr>
        <w:t xml:space="preserve"> </w:t>
      </w:r>
      <w:r w:rsidRPr="000C4C0E">
        <w:rPr>
          <w:rFonts w:hint="eastAsia"/>
          <w:rtl/>
        </w:rPr>
        <w:t>עלייה</w:t>
      </w:r>
      <w:r w:rsidRPr="000C4C0E">
        <w:rPr>
          <w:rtl/>
        </w:rPr>
        <w:t xml:space="preserve"> </w:t>
      </w:r>
      <w:r w:rsidRPr="000C4C0E">
        <w:rPr>
          <w:rFonts w:hint="eastAsia"/>
          <w:rtl/>
        </w:rPr>
        <w:t>של</w:t>
      </w:r>
      <w:r w:rsidRPr="000C4C0E">
        <w:rPr>
          <w:rtl/>
        </w:rPr>
        <w:t xml:space="preserve"> _____ </w:t>
      </w:r>
      <w:r w:rsidRPr="000C4C0E">
        <w:rPr>
          <w:rFonts w:hint="eastAsia"/>
          <w:rtl/>
        </w:rPr>
        <w:t>אלפי</w:t>
      </w:r>
      <w:r w:rsidRPr="000C4C0E">
        <w:rPr>
          <w:rtl/>
        </w:rPr>
        <w:t xml:space="preserve"> </w:t>
      </w:r>
      <w:r w:rsidRPr="000C4C0E">
        <w:rPr>
          <w:rFonts w:hint="eastAsia"/>
          <w:rtl/>
        </w:rPr>
        <w:t>ש</w:t>
      </w:r>
      <w:r w:rsidRPr="000C4C0E">
        <w:rPr>
          <w:rtl/>
        </w:rPr>
        <w:t>"</w:t>
      </w:r>
      <w:r w:rsidRPr="000C4C0E">
        <w:rPr>
          <w:rFonts w:hint="eastAsia"/>
          <w:rtl/>
        </w:rPr>
        <w:t>ח</w:t>
      </w:r>
      <w:r w:rsidRPr="000C4C0E">
        <w:rPr>
          <w:rtl/>
        </w:rPr>
        <w:t xml:space="preserve"> </w:t>
      </w:r>
      <w:r w:rsidRPr="000C4C0E">
        <w:rPr>
          <w:rFonts w:hint="eastAsia"/>
          <w:rtl/>
        </w:rPr>
        <w:t>בזכויות</w:t>
      </w:r>
      <w:r w:rsidRPr="000C4C0E">
        <w:rPr>
          <w:rtl/>
        </w:rPr>
        <w:t xml:space="preserve"> </w:t>
      </w:r>
      <w:r w:rsidRPr="000C4C0E">
        <w:rPr>
          <w:rFonts w:hint="eastAsia"/>
          <w:rtl/>
        </w:rPr>
        <w:t>שאינן</w:t>
      </w:r>
      <w:r w:rsidRPr="000C4C0E">
        <w:rPr>
          <w:rtl/>
        </w:rPr>
        <w:t xml:space="preserve"> </w:t>
      </w:r>
      <w:r w:rsidRPr="000C4C0E">
        <w:rPr>
          <w:rFonts w:hint="eastAsia"/>
          <w:rtl/>
        </w:rPr>
        <w:t>מקנות</w:t>
      </w:r>
      <w:r w:rsidRPr="000C4C0E">
        <w:rPr>
          <w:rtl/>
        </w:rPr>
        <w:t xml:space="preserve"> </w:t>
      </w:r>
      <w:r w:rsidRPr="000C4C0E">
        <w:rPr>
          <w:rFonts w:hint="eastAsia"/>
          <w:rtl/>
        </w:rPr>
        <w:t>שליטה</w:t>
      </w:r>
      <w:r w:rsidRPr="000C4C0E">
        <w:rPr>
          <w:rtl/>
        </w:rPr>
        <w:t>.</w:t>
      </w:r>
    </w:p>
    <w:p w14:paraId="54F4488D" w14:textId="77777777" w:rsidR="00225232" w:rsidRDefault="00225232">
      <w:pPr>
        <w:rPr>
          <w:rtl/>
        </w:rPr>
      </w:pPr>
    </w:p>
    <w:p w14:paraId="3A903559" w14:textId="6994DD29" w:rsidR="008D22FA" w:rsidRDefault="000C4C0E" w:rsidP="005C7519">
      <w:pPr>
        <w:pStyle w:val="21"/>
        <w:ind w:left="1134" w:firstLine="0"/>
        <w:rPr>
          <w:rtl/>
        </w:rPr>
      </w:pPr>
      <w:r w:rsidRPr="000C4C0E">
        <w:rPr>
          <w:rFonts w:hint="eastAsia"/>
          <w:rtl/>
        </w:rPr>
        <w:t>כתוצאה</w:t>
      </w:r>
      <w:r w:rsidRPr="000C4C0E">
        <w:rPr>
          <w:rtl/>
        </w:rPr>
        <w:t xml:space="preserve"> מכך, סכום המוניטין שנבע מהרכישה </w:t>
      </w:r>
      <w:r w:rsidRPr="000C4C0E">
        <w:rPr>
          <w:rFonts w:hint="eastAsia"/>
          <w:rtl/>
        </w:rPr>
        <w:t>קטן</w:t>
      </w:r>
      <w:r w:rsidRPr="000C4C0E">
        <w:rPr>
          <w:rtl/>
        </w:rPr>
        <w:t xml:space="preserve"> ב- _____ אלפי ש"</w:t>
      </w:r>
      <w:r w:rsidRPr="000C4C0E">
        <w:rPr>
          <w:rFonts w:hint="eastAsia"/>
          <w:rtl/>
        </w:rPr>
        <w:t>ח</w:t>
      </w:r>
      <w:r w:rsidRPr="000C4C0E">
        <w:rPr>
          <w:rtl/>
        </w:rPr>
        <w:t xml:space="preserve">, </w:t>
      </w:r>
      <w:r w:rsidRPr="000C4C0E">
        <w:rPr>
          <w:rFonts w:hint="eastAsia"/>
          <w:rtl/>
        </w:rPr>
        <w:t>והסתכם</w:t>
      </w:r>
      <w:r w:rsidRPr="000C4C0E">
        <w:rPr>
          <w:rtl/>
        </w:rPr>
        <w:t xml:space="preserve"> </w:t>
      </w:r>
      <w:r w:rsidRPr="000C4C0E">
        <w:rPr>
          <w:rFonts w:hint="eastAsia"/>
          <w:rtl/>
        </w:rPr>
        <w:t>בסך</w:t>
      </w:r>
      <w:r w:rsidRPr="000C4C0E">
        <w:rPr>
          <w:rtl/>
        </w:rPr>
        <w:t xml:space="preserve"> </w:t>
      </w:r>
      <w:r w:rsidRPr="000C4C0E">
        <w:rPr>
          <w:rFonts w:hint="eastAsia"/>
          <w:rtl/>
        </w:rPr>
        <w:t>של</w:t>
      </w:r>
      <w:r w:rsidRPr="000C4C0E">
        <w:rPr>
          <w:rtl/>
        </w:rPr>
        <w:t xml:space="preserve"> _____ </w:t>
      </w:r>
      <w:r w:rsidRPr="000C4C0E">
        <w:rPr>
          <w:rFonts w:hint="eastAsia"/>
          <w:rtl/>
        </w:rPr>
        <w:t>אלפי</w:t>
      </w:r>
      <w:r w:rsidRPr="000C4C0E">
        <w:rPr>
          <w:rtl/>
        </w:rPr>
        <w:t xml:space="preserve"> </w:t>
      </w:r>
      <w:r w:rsidRPr="000C4C0E">
        <w:rPr>
          <w:rFonts w:hint="eastAsia"/>
          <w:rtl/>
        </w:rPr>
        <w:t>ש</w:t>
      </w:r>
      <w:r w:rsidRPr="000C4C0E">
        <w:rPr>
          <w:rtl/>
        </w:rPr>
        <w:t>"</w:t>
      </w:r>
      <w:r w:rsidRPr="000C4C0E">
        <w:rPr>
          <w:rFonts w:hint="eastAsia"/>
          <w:rtl/>
        </w:rPr>
        <w:t>ח</w:t>
      </w:r>
      <w:r w:rsidRPr="000C4C0E">
        <w:rPr>
          <w:rtl/>
        </w:rPr>
        <w:t xml:space="preserve">. הגידול בהוצאות פחת בגין </w:t>
      </w:r>
      <w:r w:rsidRPr="000C4C0E">
        <w:rPr>
          <w:rFonts w:hint="eastAsia"/>
          <w:rtl/>
        </w:rPr>
        <w:t>הרכוש</w:t>
      </w:r>
      <w:r w:rsidRPr="000C4C0E">
        <w:rPr>
          <w:rtl/>
        </w:rPr>
        <w:t xml:space="preserve"> </w:t>
      </w:r>
      <w:r w:rsidRPr="000C4C0E">
        <w:rPr>
          <w:rFonts w:hint="eastAsia"/>
          <w:rtl/>
        </w:rPr>
        <w:t>הקבוע</w:t>
      </w:r>
      <w:r w:rsidRPr="000C4C0E">
        <w:rPr>
          <w:rtl/>
        </w:rPr>
        <w:t xml:space="preserve"> </w:t>
      </w:r>
      <w:r w:rsidRPr="000C4C0E">
        <w:rPr>
          <w:rFonts w:hint="eastAsia"/>
          <w:rtl/>
        </w:rPr>
        <w:t>החל</w:t>
      </w:r>
      <w:r w:rsidR="0076297A" w:rsidRPr="007D64FF">
        <w:rPr>
          <w:rFonts w:hint="cs"/>
          <w:rtl/>
        </w:rPr>
        <w:t xml:space="preserve"> ממועד הרכישה ועד ליום </w:t>
      </w:r>
      <w:r w:rsidR="002E5D60">
        <w:rPr>
          <w:rFonts w:hint="cs"/>
          <w:rtl/>
        </w:rPr>
        <w:t xml:space="preserve">31 בדצמבר, </w:t>
      </w:r>
      <w:r w:rsidR="005B5384">
        <w:rPr>
          <w:rFonts w:hint="cs"/>
          <w:rtl/>
        </w:rPr>
        <w:t>201</w:t>
      </w:r>
      <w:r w:rsidR="005C7519">
        <w:rPr>
          <w:rFonts w:hint="cs"/>
          <w:rtl/>
        </w:rPr>
        <w:t>8</w:t>
      </w:r>
      <w:r w:rsidR="00725D44">
        <w:rPr>
          <w:rFonts w:hint="cs"/>
          <w:rtl/>
        </w:rPr>
        <w:t xml:space="preserve"> </w:t>
      </w:r>
      <w:r w:rsidR="0076297A" w:rsidRPr="007D64FF">
        <w:rPr>
          <w:rFonts w:hint="cs"/>
          <w:rtl/>
        </w:rPr>
        <w:t>לא היה מהותי.</w:t>
      </w:r>
    </w:p>
    <w:p w14:paraId="495B65EE" w14:textId="77777777" w:rsidR="007110C4" w:rsidRDefault="007110C4" w:rsidP="00C27900">
      <w:pPr>
        <w:pStyle w:val="30"/>
        <w:ind w:left="1134" w:firstLine="0"/>
        <w:rPr>
          <w:rtl/>
        </w:rPr>
      </w:pPr>
    </w:p>
    <w:p w14:paraId="52624A0E" w14:textId="77777777" w:rsidR="00892691" w:rsidRPr="00892691" w:rsidRDefault="00892691" w:rsidP="00892691">
      <w:pPr>
        <w:pStyle w:val="21"/>
        <w:shd w:val="clear" w:color="auto" w:fill="E0E0E0"/>
        <w:spacing w:line="276" w:lineRule="auto"/>
        <w:ind w:left="1134" w:firstLine="0"/>
        <w:rPr>
          <w:sz w:val="24"/>
          <w:rtl/>
        </w:rPr>
      </w:pPr>
      <w:r w:rsidRPr="00892691">
        <w:rPr>
          <w:rFonts w:hint="eastAsia"/>
          <w:sz w:val="24"/>
          <w:u w:val="single"/>
          <w:rtl/>
        </w:rPr>
        <w:t>הערה</w:t>
      </w:r>
      <w:r w:rsidRPr="00892691">
        <w:rPr>
          <w:sz w:val="24"/>
          <w:rtl/>
        </w:rPr>
        <w:t>:</w:t>
      </w:r>
    </w:p>
    <w:p w14:paraId="1FBFD8D3" w14:textId="77777777" w:rsidR="00892691" w:rsidRPr="00892691" w:rsidRDefault="00892691" w:rsidP="00892691">
      <w:pPr>
        <w:pStyle w:val="21"/>
        <w:shd w:val="clear" w:color="auto" w:fill="E0E0E0"/>
        <w:spacing w:line="276" w:lineRule="auto"/>
        <w:ind w:left="1134" w:firstLine="0"/>
        <w:rPr>
          <w:sz w:val="24"/>
          <w:u w:val="single"/>
          <w:rtl/>
        </w:rPr>
      </w:pPr>
    </w:p>
    <w:p w14:paraId="1DEDD30C" w14:textId="77777777" w:rsidR="00892691" w:rsidRPr="00892691" w:rsidRDefault="00892691" w:rsidP="00CA0307">
      <w:pPr>
        <w:pStyle w:val="21"/>
        <w:shd w:val="clear" w:color="auto" w:fill="E0E0E0"/>
        <w:spacing w:line="276" w:lineRule="auto"/>
        <w:ind w:left="1134" w:firstLine="0"/>
        <w:rPr>
          <w:sz w:val="24"/>
          <w:rtl/>
        </w:rPr>
      </w:pPr>
      <w:r w:rsidRPr="00892691">
        <w:rPr>
          <w:rFonts w:hint="eastAsia"/>
          <w:sz w:val="24"/>
          <w:rtl/>
        </w:rPr>
        <w:t>במידה</w:t>
      </w:r>
      <w:r w:rsidRPr="00892691">
        <w:rPr>
          <w:sz w:val="24"/>
          <w:rtl/>
        </w:rPr>
        <w:t xml:space="preserve"> וההתאמות לסכומים שהוכרו במסגרת ה- </w:t>
      </w:r>
      <w:r w:rsidRPr="00FB14C7">
        <w:t>PPA</w:t>
      </w:r>
      <w:r w:rsidRPr="00892691">
        <w:rPr>
          <w:sz w:val="24"/>
          <w:rtl/>
        </w:rPr>
        <w:t xml:space="preserve"> הזמני, </w:t>
      </w:r>
      <w:r w:rsidR="003D46A8">
        <w:rPr>
          <w:rFonts w:hint="cs"/>
          <w:sz w:val="24"/>
          <w:rtl/>
        </w:rPr>
        <w:t>שבעקבותיהן</w:t>
      </w:r>
      <w:r w:rsidRPr="00892691">
        <w:rPr>
          <w:sz w:val="24"/>
          <w:rtl/>
        </w:rPr>
        <w:t xml:space="preserve"> הפך לקבוע, </w:t>
      </w:r>
      <w:r w:rsidR="00456BC8">
        <w:rPr>
          <w:rFonts w:hint="cs"/>
          <w:sz w:val="24"/>
          <w:rtl/>
        </w:rPr>
        <w:t>הן</w:t>
      </w:r>
      <w:r w:rsidRPr="00892691">
        <w:rPr>
          <w:sz w:val="24"/>
          <w:rtl/>
        </w:rPr>
        <w:t xml:space="preserve"> מהותי</w:t>
      </w:r>
      <w:r w:rsidR="003D46A8">
        <w:rPr>
          <w:rFonts w:hint="cs"/>
          <w:sz w:val="24"/>
          <w:rtl/>
        </w:rPr>
        <w:t>ות</w:t>
      </w:r>
      <w:r w:rsidRPr="00892691">
        <w:rPr>
          <w:sz w:val="24"/>
          <w:rtl/>
        </w:rPr>
        <w:t>, יש לתת גילוי להשפעת ההתאמות במתכונת טבלה</w:t>
      </w:r>
      <w:r w:rsidR="003D46A8">
        <w:rPr>
          <w:rFonts w:hint="cs"/>
          <w:sz w:val="24"/>
          <w:rtl/>
        </w:rPr>
        <w:t>, בדומה לטבלה בגין שינוי מדיניות המו</w:t>
      </w:r>
      <w:r w:rsidR="008C59FA">
        <w:rPr>
          <w:rFonts w:hint="cs"/>
          <w:sz w:val="24"/>
          <w:rtl/>
        </w:rPr>
        <w:t xml:space="preserve">פיעה </w:t>
      </w:r>
      <w:r w:rsidRPr="00892691">
        <w:rPr>
          <w:sz w:val="24"/>
          <w:rtl/>
        </w:rPr>
        <w:t xml:space="preserve">בביאור </w:t>
      </w:r>
      <w:r w:rsidR="00CA0307">
        <w:rPr>
          <w:rFonts w:hint="cs"/>
          <w:sz w:val="24"/>
          <w:rtl/>
        </w:rPr>
        <w:t>2ד' לעיל</w:t>
      </w:r>
      <w:r w:rsidRPr="00892691">
        <w:rPr>
          <w:sz w:val="24"/>
          <w:rtl/>
        </w:rPr>
        <w:t>.</w:t>
      </w:r>
    </w:p>
    <w:p w14:paraId="47C63645" w14:textId="77777777" w:rsidR="005063E4" w:rsidRDefault="005063E4">
      <w:pPr>
        <w:widowControl/>
        <w:overflowPunct/>
        <w:autoSpaceDE/>
        <w:autoSpaceDN/>
        <w:bidi w:val="0"/>
        <w:adjustRightInd/>
        <w:spacing w:line="240" w:lineRule="auto"/>
        <w:jc w:val="left"/>
        <w:textAlignment w:val="auto"/>
        <w:rPr>
          <w:rtl/>
        </w:rPr>
      </w:pPr>
      <w:r>
        <w:rPr>
          <w:rtl/>
        </w:rPr>
        <w:br w:type="page"/>
      </w:r>
    </w:p>
    <w:p w14:paraId="1A1CD6C7" w14:textId="77777777" w:rsidR="00892691" w:rsidRDefault="00892691" w:rsidP="00892691">
      <w:pPr>
        <w:pStyle w:val="11"/>
        <w:rPr>
          <w:u w:val="single"/>
          <w:rtl/>
        </w:rPr>
      </w:pPr>
    </w:p>
    <w:p w14:paraId="5F683E5F" w14:textId="77777777" w:rsidR="005B5384" w:rsidRDefault="005B5384" w:rsidP="00892691">
      <w:pPr>
        <w:pStyle w:val="11"/>
        <w:rPr>
          <w:u w:val="single"/>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2627"/>
        <w:gridCol w:w="1894"/>
      </w:tblGrid>
      <w:tr w:rsidR="00B21C0C" w:rsidRPr="008A7508" w14:paraId="6D9B52F6" w14:textId="77777777" w:rsidTr="00530E0E">
        <w:tc>
          <w:tcPr>
            <w:tcW w:w="1040" w:type="dxa"/>
            <w:tcMar>
              <w:left w:w="0" w:type="dxa"/>
              <w:right w:w="0" w:type="dxa"/>
            </w:tcMar>
          </w:tcPr>
          <w:p w14:paraId="3D2DB78D" w14:textId="77777777" w:rsidR="003D46A8" w:rsidRDefault="00B21C0C">
            <w:pPr>
              <w:rPr>
                <w:rtl/>
              </w:rPr>
            </w:pPr>
            <w:r w:rsidRPr="008A7508">
              <w:rPr>
                <w:rtl/>
              </w:rPr>
              <w:t xml:space="preserve">באור </w:t>
            </w:r>
            <w:r w:rsidR="00DB3160">
              <w:rPr>
                <w:rFonts w:hint="cs"/>
                <w:rtl/>
              </w:rPr>
              <w:t>8</w:t>
            </w:r>
            <w:r w:rsidRPr="008A7508">
              <w:rPr>
                <w:rtl/>
              </w:rPr>
              <w:t>: -</w:t>
            </w:r>
          </w:p>
        </w:tc>
        <w:tc>
          <w:tcPr>
            <w:tcW w:w="2627" w:type="dxa"/>
          </w:tcPr>
          <w:p w14:paraId="1DE76B6D" w14:textId="77777777" w:rsidR="00225232" w:rsidRDefault="00B21C0C">
            <w:pPr>
              <w:pStyle w:val="11"/>
              <w:tabs>
                <w:tab w:val="clear" w:pos="1134"/>
              </w:tabs>
              <w:ind w:left="-57" w:firstLine="0"/>
              <w:rPr>
                <w:sz w:val="24"/>
                <w:rtl/>
              </w:rPr>
            </w:pPr>
            <w:r>
              <w:rPr>
                <w:rFonts w:hint="cs"/>
                <w:u w:val="single"/>
                <w:rtl/>
              </w:rPr>
              <w:t>ירידת ערך של רכוש קבוע</w:t>
            </w:r>
          </w:p>
        </w:tc>
        <w:tc>
          <w:tcPr>
            <w:tcW w:w="1894" w:type="dxa"/>
            <w:tcBorders>
              <w:bottom w:val="single" w:sz="4" w:space="0" w:color="auto"/>
              <w:right w:val="single" w:sz="4" w:space="0" w:color="auto"/>
            </w:tcBorders>
            <w:vAlign w:val="center"/>
          </w:tcPr>
          <w:p w14:paraId="5210E7D9" w14:textId="77777777" w:rsidR="00B21C0C" w:rsidRPr="008A7508" w:rsidRDefault="00B21C0C" w:rsidP="00B21C0C">
            <w:pPr>
              <w:pStyle w:val="11"/>
              <w:tabs>
                <w:tab w:val="clear" w:pos="1134"/>
              </w:tabs>
              <w:bidi w:val="0"/>
              <w:ind w:left="4" w:firstLine="0"/>
              <w:jc w:val="right"/>
              <w:rPr>
                <w:i/>
                <w:iCs/>
                <w:sz w:val="13"/>
                <w:szCs w:val="13"/>
              </w:rPr>
            </w:pPr>
            <w:r>
              <w:rPr>
                <w:i/>
                <w:iCs/>
                <w:sz w:val="13"/>
                <w:szCs w:val="13"/>
              </w:rPr>
              <w:t>IAS 34.15B(b); IAS 34.16A(c)</w:t>
            </w:r>
          </w:p>
        </w:tc>
      </w:tr>
    </w:tbl>
    <w:p w14:paraId="7ACA8D1E" w14:textId="77777777" w:rsidR="00B23B2B" w:rsidRDefault="00B23B2B">
      <w:pPr>
        <w:pStyle w:val="11"/>
        <w:rPr>
          <w:rtl/>
        </w:rPr>
      </w:pPr>
    </w:p>
    <w:p w14:paraId="4794AB83" w14:textId="785CA8F3" w:rsidR="008D22FA" w:rsidRDefault="00AB7D68" w:rsidP="005C7519">
      <w:pPr>
        <w:pStyle w:val="21"/>
        <w:ind w:left="1134" w:firstLine="0"/>
        <w:rPr>
          <w:rtl/>
        </w:rPr>
      </w:pPr>
      <w:r>
        <w:rPr>
          <w:rFonts w:hint="cs"/>
          <w:rtl/>
        </w:rPr>
        <w:t xml:space="preserve">ביום 14 בינואר, </w:t>
      </w:r>
      <w:r w:rsidR="004A4A6B">
        <w:rPr>
          <w:rFonts w:hint="cs"/>
          <w:rtl/>
        </w:rPr>
        <w:t>201</w:t>
      </w:r>
      <w:r w:rsidR="005C7519">
        <w:rPr>
          <w:rFonts w:hint="cs"/>
          <w:rtl/>
        </w:rPr>
        <w:t>9</w:t>
      </w:r>
      <w:r w:rsidR="00725D44">
        <w:rPr>
          <w:rFonts w:hint="cs"/>
          <w:rtl/>
        </w:rPr>
        <w:t xml:space="preserve"> </w:t>
      </w:r>
      <w:r>
        <w:rPr>
          <w:rFonts w:hint="cs"/>
          <w:rtl/>
        </w:rPr>
        <w:t xml:space="preserve">אחד </w:t>
      </w:r>
      <w:r w:rsidR="00A261B3">
        <w:rPr>
          <w:rFonts w:hint="cs"/>
          <w:rtl/>
        </w:rPr>
        <w:t>מהמבנים</w:t>
      </w:r>
      <w:r>
        <w:rPr>
          <w:rFonts w:hint="cs"/>
          <w:rtl/>
        </w:rPr>
        <w:t xml:space="preserve"> של החברה, </w:t>
      </w:r>
      <w:r w:rsidR="00A261B3">
        <w:rPr>
          <w:rFonts w:hint="cs"/>
          <w:rtl/>
        </w:rPr>
        <w:t xml:space="preserve">מבנה </w:t>
      </w:r>
      <w:r>
        <w:rPr>
          <w:rFonts w:hint="cs"/>
          <w:rtl/>
        </w:rPr>
        <w:t xml:space="preserve">בעלות מופחתת של ___ אלפי ש"ח ניזוק כתוצאה משריפה. כתוצאה מכך, </w:t>
      </w:r>
      <w:r w:rsidR="00803042">
        <w:rPr>
          <w:rFonts w:hint="cs"/>
          <w:rtl/>
        </w:rPr>
        <w:t>בוצעה</w:t>
      </w:r>
      <w:r>
        <w:rPr>
          <w:rFonts w:hint="cs"/>
          <w:rtl/>
        </w:rPr>
        <w:t xml:space="preserve"> הפרשה לירידת ערך </w:t>
      </w:r>
      <w:r w:rsidR="00E848EC">
        <w:rPr>
          <w:rFonts w:hint="cs"/>
          <w:rtl/>
        </w:rPr>
        <w:t xml:space="preserve">של </w:t>
      </w:r>
      <w:r w:rsidR="00A261B3">
        <w:rPr>
          <w:rFonts w:hint="cs"/>
          <w:rtl/>
        </w:rPr>
        <w:t xml:space="preserve">המבנה </w:t>
      </w:r>
      <w:r>
        <w:rPr>
          <w:rFonts w:hint="cs"/>
          <w:rtl/>
        </w:rPr>
        <w:t xml:space="preserve">בסך של ___ אלפי ש"ח. ההפרשה לירידת ערך נכללה בסעיף ____ ברווח </w:t>
      </w:r>
      <w:r w:rsidR="00911801">
        <w:rPr>
          <w:rFonts w:hint="cs"/>
          <w:rtl/>
        </w:rPr>
        <w:t>א</w:t>
      </w:r>
      <w:r>
        <w:rPr>
          <w:rFonts w:hint="cs"/>
          <w:rtl/>
        </w:rPr>
        <w:t>ו</w:t>
      </w:r>
      <w:r w:rsidR="00911801">
        <w:rPr>
          <w:rFonts w:hint="cs"/>
          <w:rtl/>
        </w:rPr>
        <w:t xml:space="preserve"> </w:t>
      </w:r>
      <w:r>
        <w:rPr>
          <w:rFonts w:hint="cs"/>
          <w:rtl/>
        </w:rPr>
        <w:t>הפסד.</w:t>
      </w:r>
    </w:p>
    <w:p w14:paraId="2D84A4EC" w14:textId="77777777" w:rsidR="00AB7D68" w:rsidRDefault="00AB7D68">
      <w:pPr>
        <w:pStyle w:val="21"/>
        <w:ind w:left="1134" w:firstLine="0"/>
        <w:rPr>
          <w:rtl/>
        </w:rPr>
      </w:pPr>
    </w:p>
    <w:p w14:paraId="54B7AD87" w14:textId="77777777" w:rsidR="0022439F" w:rsidRDefault="0022439F">
      <w:pPr>
        <w:pStyle w:val="21"/>
        <w:ind w:left="1134" w:firstLine="0"/>
        <w:rPr>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2358"/>
        <w:gridCol w:w="1842"/>
      </w:tblGrid>
      <w:tr w:rsidR="00B21C0C" w:rsidRPr="008A7508" w14:paraId="5F384BBE" w14:textId="77777777" w:rsidTr="00530E0E">
        <w:tc>
          <w:tcPr>
            <w:tcW w:w="1026" w:type="dxa"/>
            <w:tcMar>
              <w:left w:w="0" w:type="dxa"/>
              <w:right w:w="0" w:type="dxa"/>
            </w:tcMar>
          </w:tcPr>
          <w:p w14:paraId="2588EBF0" w14:textId="77777777" w:rsidR="003D46A8" w:rsidRDefault="00B21C0C">
            <w:pPr>
              <w:pStyle w:val="11"/>
              <w:widowControl/>
              <w:tabs>
                <w:tab w:val="clear" w:pos="1134"/>
              </w:tabs>
              <w:ind w:left="57" w:firstLine="0"/>
              <w:jc w:val="left"/>
              <w:rPr>
                <w:sz w:val="24"/>
                <w:rtl/>
              </w:rPr>
            </w:pPr>
            <w:r w:rsidRPr="008A7508">
              <w:rPr>
                <w:sz w:val="24"/>
                <w:rtl/>
              </w:rPr>
              <w:t xml:space="preserve">באור </w:t>
            </w:r>
            <w:r w:rsidR="00DB3160">
              <w:rPr>
                <w:rFonts w:hint="cs"/>
                <w:sz w:val="24"/>
                <w:rtl/>
              </w:rPr>
              <w:t>9</w:t>
            </w:r>
            <w:r w:rsidRPr="008A7508">
              <w:rPr>
                <w:sz w:val="24"/>
                <w:rtl/>
              </w:rPr>
              <w:t>: -</w:t>
            </w:r>
          </w:p>
        </w:tc>
        <w:tc>
          <w:tcPr>
            <w:tcW w:w="2358" w:type="dxa"/>
          </w:tcPr>
          <w:p w14:paraId="10D00C24" w14:textId="77777777" w:rsidR="00225232" w:rsidRDefault="00B21C0C">
            <w:pPr>
              <w:pStyle w:val="11"/>
              <w:tabs>
                <w:tab w:val="clear" w:pos="1134"/>
              </w:tabs>
              <w:ind w:left="-57" w:firstLine="0"/>
              <w:rPr>
                <w:sz w:val="24"/>
                <w:rtl/>
              </w:rPr>
            </w:pPr>
            <w:r>
              <w:rPr>
                <w:rFonts w:hint="cs"/>
                <w:u w:val="single"/>
                <w:rtl/>
              </w:rPr>
              <w:t>הפרשה לשינוי מבני</w:t>
            </w:r>
          </w:p>
        </w:tc>
        <w:tc>
          <w:tcPr>
            <w:tcW w:w="1842" w:type="dxa"/>
            <w:tcBorders>
              <w:bottom w:val="single" w:sz="4" w:space="0" w:color="auto"/>
              <w:right w:val="single" w:sz="4" w:space="0" w:color="auto"/>
            </w:tcBorders>
            <w:vAlign w:val="center"/>
          </w:tcPr>
          <w:p w14:paraId="186E6C2A" w14:textId="77777777" w:rsidR="00B21C0C" w:rsidRPr="008A7508" w:rsidRDefault="00B21C0C" w:rsidP="00B21C0C">
            <w:pPr>
              <w:pStyle w:val="11"/>
              <w:tabs>
                <w:tab w:val="clear" w:pos="1134"/>
              </w:tabs>
              <w:bidi w:val="0"/>
              <w:ind w:left="4" w:firstLine="0"/>
              <w:jc w:val="right"/>
              <w:rPr>
                <w:i/>
                <w:iCs/>
                <w:sz w:val="13"/>
                <w:szCs w:val="13"/>
              </w:rPr>
            </w:pPr>
            <w:r>
              <w:rPr>
                <w:i/>
                <w:iCs/>
                <w:sz w:val="13"/>
                <w:szCs w:val="13"/>
              </w:rPr>
              <w:t>IAS 34.15B(c); IAS 34.16A(i)</w:t>
            </w:r>
          </w:p>
        </w:tc>
      </w:tr>
    </w:tbl>
    <w:p w14:paraId="0DBE929D" w14:textId="77777777" w:rsidR="00AB7D68" w:rsidRDefault="00AB7D68">
      <w:pPr>
        <w:rPr>
          <w:rtl/>
        </w:rPr>
      </w:pPr>
    </w:p>
    <w:p w14:paraId="630B5BA9" w14:textId="118596A5" w:rsidR="008D22FA" w:rsidRDefault="00AB7D68" w:rsidP="005C7519">
      <w:pPr>
        <w:pStyle w:val="21"/>
        <w:ind w:left="1134" w:firstLine="0"/>
        <w:rPr>
          <w:rtl/>
        </w:rPr>
      </w:pPr>
      <w:r>
        <w:rPr>
          <w:rFonts w:hint="cs"/>
          <w:rtl/>
        </w:rPr>
        <w:t xml:space="preserve">נכון ליום 31 בדצמבר, </w:t>
      </w:r>
      <w:r w:rsidR="005B5384">
        <w:rPr>
          <w:rFonts w:hint="cs"/>
          <w:rtl/>
        </w:rPr>
        <w:t>201</w:t>
      </w:r>
      <w:r w:rsidR="005C7519">
        <w:rPr>
          <w:rFonts w:hint="cs"/>
          <w:rtl/>
        </w:rPr>
        <w:t>8</w:t>
      </w:r>
      <w:r w:rsidR="006C3028">
        <w:rPr>
          <w:rFonts w:hint="cs"/>
          <w:rtl/>
        </w:rPr>
        <w:t xml:space="preserve"> </w:t>
      </w:r>
      <w:r>
        <w:rPr>
          <w:rFonts w:hint="cs"/>
          <w:rtl/>
        </w:rPr>
        <w:t>נרשמה הפרשה לשינוי מבני בגין ביטול קווי י</w:t>
      </w:r>
      <w:r w:rsidR="00911801">
        <w:rPr>
          <w:rFonts w:hint="cs"/>
          <w:rtl/>
        </w:rPr>
        <w:t>י</w:t>
      </w:r>
      <w:r>
        <w:rPr>
          <w:rFonts w:hint="cs"/>
          <w:rtl/>
        </w:rPr>
        <w:t>צור בחברה בסך של ___ אלפי ש"ח. ביום ____ הושלם השינוי המבני, ולפיכך שולמו הוצאות בסך של ___ אלפי ש"ח ובוטלה יתרת ההפרשה בסך של ___ אלפי ש"ח וזאת מכיוון שעלויות השינוי המבני בהתאם לחוזה היו נמוכות מהצפוי.</w:t>
      </w:r>
    </w:p>
    <w:p w14:paraId="45C85F4D" w14:textId="77777777" w:rsidR="00AB7D68" w:rsidRDefault="00AB7D68">
      <w:pPr>
        <w:pStyle w:val="11"/>
        <w:rPr>
          <w:rtl/>
        </w:rPr>
      </w:pPr>
    </w:p>
    <w:p w14:paraId="32FCDEF2" w14:textId="77777777" w:rsidR="0022439F" w:rsidRDefault="0022439F">
      <w:pPr>
        <w:pStyle w:val="11"/>
        <w:rPr>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5179"/>
        <w:gridCol w:w="1701"/>
      </w:tblGrid>
      <w:tr w:rsidR="00B21C0C" w:rsidRPr="008A7508" w14:paraId="0BB218C5" w14:textId="77777777" w:rsidTr="00530E0E">
        <w:tc>
          <w:tcPr>
            <w:tcW w:w="1040" w:type="dxa"/>
            <w:tcMar>
              <w:left w:w="0" w:type="dxa"/>
              <w:right w:w="0" w:type="dxa"/>
            </w:tcMar>
          </w:tcPr>
          <w:p w14:paraId="2A01B8D1" w14:textId="77777777" w:rsidR="003D46A8" w:rsidRDefault="00B21C0C">
            <w:pPr>
              <w:pStyle w:val="11"/>
              <w:widowControl/>
              <w:tabs>
                <w:tab w:val="clear" w:pos="1134"/>
              </w:tabs>
              <w:ind w:left="57" w:firstLine="0"/>
              <w:jc w:val="left"/>
              <w:rPr>
                <w:sz w:val="24"/>
                <w:rtl/>
              </w:rPr>
            </w:pPr>
            <w:r w:rsidRPr="008A7508">
              <w:rPr>
                <w:sz w:val="24"/>
                <w:rtl/>
              </w:rPr>
              <w:t xml:space="preserve">באור </w:t>
            </w:r>
            <w:r w:rsidR="00DB3160">
              <w:rPr>
                <w:rFonts w:hint="cs"/>
                <w:sz w:val="24"/>
                <w:rtl/>
              </w:rPr>
              <w:t>10</w:t>
            </w:r>
            <w:r w:rsidRPr="008A7508">
              <w:rPr>
                <w:sz w:val="24"/>
                <w:rtl/>
              </w:rPr>
              <w:t>: -</w:t>
            </w:r>
          </w:p>
        </w:tc>
        <w:tc>
          <w:tcPr>
            <w:tcW w:w="5179" w:type="dxa"/>
          </w:tcPr>
          <w:p w14:paraId="1F1BE7AB" w14:textId="77777777" w:rsidR="00225232" w:rsidRDefault="00B21C0C">
            <w:pPr>
              <w:pStyle w:val="11"/>
              <w:tabs>
                <w:tab w:val="clear" w:pos="1134"/>
              </w:tabs>
              <w:ind w:left="-57" w:firstLine="0"/>
              <w:rPr>
                <w:sz w:val="24"/>
                <w:rtl/>
              </w:rPr>
            </w:pPr>
            <w:r>
              <w:rPr>
                <w:rFonts w:hint="cs"/>
                <w:u w:val="single"/>
                <w:rtl/>
              </w:rPr>
              <w:t>קבוצת מימוש המוחזקת למכירה ופעילויות שהופסקו</w:t>
            </w:r>
          </w:p>
        </w:tc>
        <w:tc>
          <w:tcPr>
            <w:tcW w:w="1701" w:type="dxa"/>
            <w:tcBorders>
              <w:bottom w:val="single" w:sz="4" w:space="0" w:color="auto"/>
              <w:right w:val="single" w:sz="4" w:space="0" w:color="auto"/>
            </w:tcBorders>
            <w:vAlign w:val="center"/>
          </w:tcPr>
          <w:p w14:paraId="0C935860" w14:textId="77777777" w:rsidR="00B21C0C" w:rsidRPr="008A7508" w:rsidRDefault="00B21C0C" w:rsidP="00CD7B48">
            <w:pPr>
              <w:pStyle w:val="11"/>
              <w:tabs>
                <w:tab w:val="clear" w:pos="1134"/>
              </w:tabs>
              <w:bidi w:val="0"/>
              <w:ind w:left="4" w:firstLine="0"/>
              <w:jc w:val="right"/>
              <w:rPr>
                <w:i/>
                <w:iCs/>
                <w:sz w:val="13"/>
                <w:szCs w:val="13"/>
              </w:rPr>
            </w:pPr>
            <w:r>
              <w:rPr>
                <w:i/>
                <w:iCs/>
                <w:sz w:val="13"/>
                <w:szCs w:val="13"/>
              </w:rPr>
              <w:t>IAS 34.1</w:t>
            </w:r>
            <w:r w:rsidR="00CD7B48">
              <w:rPr>
                <w:i/>
                <w:iCs/>
                <w:sz w:val="13"/>
                <w:szCs w:val="13"/>
              </w:rPr>
              <w:t>6</w:t>
            </w:r>
            <w:r>
              <w:rPr>
                <w:i/>
                <w:iCs/>
                <w:sz w:val="13"/>
                <w:szCs w:val="13"/>
              </w:rPr>
              <w:t>A(i)</w:t>
            </w:r>
          </w:p>
        </w:tc>
      </w:tr>
    </w:tbl>
    <w:p w14:paraId="4A6CF264" w14:textId="77777777" w:rsidR="006C3028" w:rsidRDefault="006C3028">
      <w:pPr>
        <w:pStyle w:val="23"/>
        <w:ind w:left="1134"/>
        <w:rPr>
          <w:rtl/>
        </w:rPr>
      </w:pPr>
    </w:p>
    <w:p w14:paraId="509BC257" w14:textId="7546CB86" w:rsidR="008D22FA" w:rsidRDefault="00AB7D68" w:rsidP="00A52C3A">
      <w:pPr>
        <w:pStyle w:val="21"/>
        <w:ind w:left="1134" w:firstLine="0"/>
        <w:rPr>
          <w:rtl/>
        </w:rPr>
      </w:pPr>
      <w:r>
        <w:rPr>
          <w:rFonts w:hint="cs"/>
          <w:rtl/>
        </w:rPr>
        <w:t xml:space="preserve">ביום </w:t>
      </w:r>
      <w:r w:rsidR="00D8643D">
        <w:rPr>
          <w:rFonts w:hint="cs"/>
          <w:rtl/>
        </w:rPr>
        <w:t xml:space="preserve">____, </w:t>
      </w:r>
      <w:r w:rsidR="004A4A6B">
        <w:rPr>
          <w:rFonts w:hint="cs"/>
          <w:rtl/>
        </w:rPr>
        <w:t>201</w:t>
      </w:r>
      <w:r w:rsidR="00A52C3A">
        <w:rPr>
          <w:rFonts w:hint="cs"/>
          <w:rtl/>
        </w:rPr>
        <w:t>9</w:t>
      </w:r>
      <w:r w:rsidR="006C3028">
        <w:rPr>
          <w:rFonts w:hint="cs"/>
          <w:rtl/>
        </w:rPr>
        <w:t xml:space="preserve"> </w:t>
      </w:r>
      <w:r>
        <w:rPr>
          <w:rFonts w:hint="cs"/>
          <w:rtl/>
        </w:rPr>
        <w:t xml:space="preserve">הוחלט בישיבת הדירקטוריון של החברה לממש את מגזר מוצרי החשמל. </w:t>
      </w:r>
      <w:r w:rsidR="00F47FB3">
        <w:rPr>
          <w:rFonts w:hint="cs"/>
          <w:rtl/>
        </w:rPr>
        <w:t xml:space="preserve">באותו מועד, לחברה תכנית פעילה לאיתור קונה למגזר מוצרי החשמל וחזוי שתוך שנה תושלם המכירה. לכן סווגה פעילות זו כמוחזקת למכירה וכפעילות מופסקת. </w:t>
      </w:r>
      <w:r w:rsidR="00D469FD">
        <w:rPr>
          <w:rFonts w:hint="cs"/>
          <w:rtl/>
        </w:rPr>
        <w:t xml:space="preserve">ביום 28 ביולי, </w:t>
      </w:r>
      <w:r w:rsidR="004A4A6B">
        <w:rPr>
          <w:rFonts w:hint="cs"/>
          <w:rtl/>
        </w:rPr>
        <w:t>201</w:t>
      </w:r>
      <w:r w:rsidR="00A52C3A">
        <w:rPr>
          <w:rFonts w:hint="cs"/>
          <w:rtl/>
        </w:rPr>
        <w:t>9</w:t>
      </w:r>
      <w:r w:rsidR="006C3028">
        <w:rPr>
          <w:rFonts w:hint="cs"/>
          <w:rtl/>
        </w:rPr>
        <w:t xml:space="preserve"> </w:t>
      </w:r>
      <w:r>
        <w:rPr>
          <w:rFonts w:hint="cs"/>
          <w:rtl/>
        </w:rPr>
        <w:t xml:space="preserve">השלימה החברה את המכירה תמורת סך של ____ אלפי ש"ח במזומן. הרווח לפני מס שנבע מהמימוש הסתכם לכ-____ אלפי ש"ח וחבות המס הסתכמה לסך של כ-___ אלפי ש"ח. </w:t>
      </w:r>
    </w:p>
    <w:p w14:paraId="027B5F8C" w14:textId="77777777" w:rsidR="009218E4" w:rsidRDefault="009218E4" w:rsidP="009218E4">
      <w:pPr>
        <w:rPr>
          <w:rtl/>
        </w:rPr>
      </w:pPr>
    </w:p>
    <w:p w14:paraId="520D2C77" w14:textId="77777777" w:rsidR="009218E4" w:rsidRDefault="009218E4" w:rsidP="009218E4">
      <w:pPr>
        <w:pStyle w:val="21"/>
        <w:shd w:val="clear" w:color="auto" w:fill="E0E0E0"/>
        <w:rPr>
          <w:szCs w:val="22"/>
          <w:u w:val="single"/>
          <w:rtl/>
        </w:rPr>
      </w:pPr>
      <w:r w:rsidRPr="009F5D98">
        <w:rPr>
          <w:rFonts w:hint="cs"/>
          <w:szCs w:val="22"/>
          <w:u w:val="single"/>
          <w:rtl/>
        </w:rPr>
        <w:t>הער</w:t>
      </w:r>
      <w:r>
        <w:rPr>
          <w:rFonts w:hint="cs"/>
          <w:szCs w:val="22"/>
          <w:u w:val="single"/>
          <w:rtl/>
        </w:rPr>
        <w:t>ות</w:t>
      </w:r>
    </w:p>
    <w:p w14:paraId="5E6FAA52" w14:textId="77777777" w:rsidR="00264F64" w:rsidRDefault="009218E4" w:rsidP="00097EE3">
      <w:pPr>
        <w:pStyle w:val="21"/>
        <w:shd w:val="clear" w:color="auto" w:fill="E0E0E0"/>
        <w:rPr>
          <w:szCs w:val="22"/>
          <w:rtl/>
        </w:rPr>
      </w:pPr>
      <w:r>
        <w:rPr>
          <w:rFonts w:hint="cs"/>
          <w:szCs w:val="22"/>
          <w:rtl/>
        </w:rPr>
        <w:t>1.</w:t>
      </w:r>
      <w:r>
        <w:rPr>
          <w:szCs w:val="22"/>
          <w:rtl/>
        </w:rPr>
        <w:tab/>
      </w:r>
      <w:r w:rsidRPr="009F5D98">
        <w:rPr>
          <w:rFonts w:hint="cs"/>
          <w:szCs w:val="22"/>
          <w:rtl/>
        </w:rPr>
        <w:t xml:space="preserve">מספרי השוואה לגבי </w:t>
      </w:r>
      <w:r w:rsidR="00365185">
        <w:rPr>
          <w:rFonts w:hint="cs"/>
          <w:szCs w:val="22"/>
          <w:rtl/>
        </w:rPr>
        <w:t>ה</w:t>
      </w:r>
      <w:r w:rsidR="00954569">
        <w:rPr>
          <w:rFonts w:hint="cs"/>
          <w:szCs w:val="22"/>
          <w:rtl/>
        </w:rPr>
        <w:t>דוח על המצב הכספי</w:t>
      </w:r>
      <w:r w:rsidRPr="009F5D98">
        <w:rPr>
          <w:rFonts w:hint="cs"/>
          <w:szCs w:val="22"/>
          <w:rtl/>
        </w:rPr>
        <w:t xml:space="preserve"> יוצגו אך ורק אם נכסים </w:t>
      </w:r>
      <w:r w:rsidR="00A261B3">
        <w:rPr>
          <w:rFonts w:hint="cs"/>
          <w:szCs w:val="22"/>
          <w:rtl/>
        </w:rPr>
        <w:t>מוחזקים למכירה</w:t>
      </w:r>
      <w:r w:rsidRPr="009F5D98">
        <w:rPr>
          <w:rFonts w:hint="cs"/>
          <w:szCs w:val="22"/>
          <w:rtl/>
        </w:rPr>
        <w:t xml:space="preserve"> והתחייבויות </w:t>
      </w:r>
      <w:r w:rsidR="00A261B3">
        <w:rPr>
          <w:rFonts w:hint="cs"/>
          <w:szCs w:val="22"/>
          <w:rtl/>
        </w:rPr>
        <w:t xml:space="preserve">המתייחסות לנכסים המוחזקים למכירה </w:t>
      </w:r>
      <w:r w:rsidRPr="009F5D98">
        <w:rPr>
          <w:rFonts w:hint="cs"/>
          <w:szCs w:val="22"/>
          <w:rtl/>
        </w:rPr>
        <w:t>הוצגו כבר בתקופה ההשוואתית.</w:t>
      </w:r>
    </w:p>
    <w:p w14:paraId="7CE5FB81" w14:textId="77777777" w:rsidR="00F41C12" w:rsidRDefault="009218E4">
      <w:pPr>
        <w:pStyle w:val="21"/>
        <w:shd w:val="clear" w:color="auto" w:fill="E0E0E0"/>
        <w:rPr>
          <w:szCs w:val="22"/>
          <w:rtl/>
        </w:rPr>
      </w:pPr>
      <w:r>
        <w:rPr>
          <w:rFonts w:hint="cs"/>
          <w:szCs w:val="22"/>
          <w:rtl/>
        </w:rPr>
        <w:t>2.</w:t>
      </w:r>
      <w:r>
        <w:rPr>
          <w:szCs w:val="22"/>
          <w:rtl/>
        </w:rPr>
        <w:tab/>
      </w:r>
      <w:r w:rsidR="000C4C0E" w:rsidRPr="000C4C0E">
        <w:rPr>
          <w:rFonts w:hint="eastAsia"/>
          <w:szCs w:val="22"/>
          <w:rtl/>
        </w:rPr>
        <w:t>יש</w:t>
      </w:r>
      <w:r w:rsidR="000C4C0E" w:rsidRPr="000C4C0E">
        <w:rPr>
          <w:szCs w:val="22"/>
          <w:rtl/>
        </w:rPr>
        <w:t xml:space="preserve"> להציג קבוצות נכסים והתחייבויות עיקריות לגבי </w:t>
      </w:r>
      <w:r w:rsidR="000C4C0E" w:rsidRPr="000C4C0E">
        <w:rPr>
          <w:rFonts w:hint="eastAsia"/>
          <w:szCs w:val="22"/>
          <w:rtl/>
        </w:rPr>
        <w:t>הדוח</w:t>
      </w:r>
      <w:r w:rsidR="000C4C0E" w:rsidRPr="000C4C0E">
        <w:rPr>
          <w:szCs w:val="22"/>
          <w:rtl/>
        </w:rPr>
        <w:t xml:space="preserve"> </w:t>
      </w:r>
      <w:r w:rsidR="000C4C0E" w:rsidRPr="000C4C0E">
        <w:rPr>
          <w:rFonts w:hint="eastAsia"/>
          <w:szCs w:val="22"/>
          <w:rtl/>
        </w:rPr>
        <w:t>על</w:t>
      </w:r>
      <w:r w:rsidR="000C4C0E" w:rsidRPr="000C4C0E">
        <w:rPr>
          <w:szCs w:val="22"/>
          <w:rtl/>
        </w:rPr>
        <w:t xml:space="preserve"> </w:t>
      </w:r>
      <w:r w:rsidR="000C4C0E" w:rsidRPr="000C4C0E">
        <w:rPr>
          <w:rFonts w:hint="eastAsia"/>
          <w:szCs w:val="22"/>
          <w:rtl/>
        </w:rPr>
        <w:t>המצב</w:t>
      </w:r>
      <w:r w:rsidR="000C4C0E" w:rsidRPr="000C4C0E">
        <w:rPr>
          <w:szCs w:val="22"/>
          <w:rtl/>
        </w:rPr>
        <w:t xml:space="preserve"> </w:t>
      </w:r>
      <w:r w:rsidR="000C4C0E" w:rsidRPr="000C4C0E">
        <w:rPr>
          <w:rFonts w:hint="eastAsia"/>
          <w:szCs w:val="22"/>
          <w:rtl/>
        </w:rPr>
        <w:t>הכספי</w:t>
      </w:r>
      <w:r w:rsidR="000C4C0E" w:rsidRPr="000C4C0E">
        <w:rPr>
          <w:szCs w:val="22"/>
          <w:rtl/>
        </w:rPr>
        <w:t xml:space="preserve"> בלבד גם כאשר מדובר בקבוצת נכסים והתחייבויות המסווגת כמוחזקת למכירה אפילו שאינה עונה להגדרת פעילות </w:t>
      </w:r>
      <w:r w:rsidR="000C4C0E" w:rsidRPr="000C4C0E">
        <w:rPr>
          <w:rFonts w:hint="eastAsia"/>
          <w:szCs w:val="22"/>
          <w:rtl/>
        </w:rPr>
        <w:t>שהופסקה</w:t>
      </w:r>
      <w:r w:rsidR="000C4C0E" w:rsidRPr="000C4C0E">
        <w:rPr>
          <w:szCs w:val="22"/>
          <w:rtl/>
        </w:rPr>
        <w:t>.</w:t>
      </w:r>
      <w:r w:rsidR="00C2680E">
        <w:rPr>
          <w:rFonts w:hint="cs"/>
          <w:szCs w:val="22"/>
          <w:rtl/>
        </w:rPr>
        <w:t xml:space="preserve"> </w:t>
      </w:r>
    </w:p>
    <w:p w14:paraId="1DEE7D66" w14:textId="77777777" w:rsidR="009218E4" w:rsidRDefault="009218E4">
      <w:pPr>
        <w:pStyle w:val="21"/>
        <w:rPr>
          <w:rtl/>
        </w:rPr>
      </w:pPr>
    </w:p>
    <w:p w14:paraId="614D7D81" w14:textId="2BC200E2" w:rsidR="00EA5B30" w:rsidRDefault="00EA5B30" w:rsidP="00A52C3A">
      <w:pPr>
        <w:pStyle w:val="30"/>
        <w:tabs>
          <w:tab w:val="clear" w:pos="1701"/>
          <w:tab w:val="left" w:pos="1134"/>
        </w:tabs>
        <w:ind w:left="1134" w:firstLine="0"/>
        <w:rPr>
          <w:rtl/>
        </w:rPr>
      </w:pPr>
      <w:r w:rsidRPr="007D64FF">
        <w:rPr>
          <w:rFonts w:hint="cs"/>
          <w:rtl/>
        </w:rPr>
        <w:t>לפני סיווג פעילות חברת _______ בע</w:t>
      </w:r>
      <w:r w:rsidRPr="007D64FF">
        <w:rPr>
          <w:rtl/>
        </w:rPr>
        <w:t>"</w:t>
      </w:r>
      <w:r w:rsidRPr="007D64FF">
        <w:rPr>
          <w:rFonts w:hint="cs"/>
          <w:rtl/>
        </w:rPr>
        <w:t xml:space="preserve">מ </w:t>
      </w:r>
      <w:r>
        <w:rPr>
          <w:rFonts w:hint="cs"/>
          <w:rtl/>
        </w:rPr>
        <w:t>כקבוצת מימוש</w:t>
      </w:r>
      <w:r w:rsidRPr="007D64FF">
        <w:rPr>
          <w:rFonts w:hint="cs"/>
          <w:rtl/>
        </w:rPr>
        <w:t xml:space="preserve">, נאמד </w:t>
      </w:r>
      <w:r>
        <w:rPr>
          <w:rFonts w:hint="cs"/>
          <w:rtl/>
        </w:rPr>
        <w:t>ה</w:t>
      </w:r>
      <w:r w:rsidRPr="007D64FF">
        <w:rPr>
          <w:rFonts w:hint="cs"/>
          <w:rtl/>
        </w:rPr>
        <w:t xml:space="preserve">סכום בר-ההשבה של פריטי רכוש קבוע מסוימים ולא זוהה הפסד מירידת ערך. לאחר הסיווג כאמור, הוכר </w:t>
      </w:r>
      <w:r w:rsidRPr="00825BB7">
        <w:rPr>
          <w:rFonts w:hint="cs"/>
          <w:rtl/>
        </w:rPr>
        <w:t xml:space="preserve">בשנת </w:t>
      </w:r>
      <w:r w:rsidR="004A4A6B">
        <w:rPr>
          <w:rFonts w:hint="cs"/>
          <w:rtl/>
        </w:rPr>
        <w:t>201</w:t>
      </w:r>
      <w:r w:rsidR="00A52C3A">
        <w:rPr>
          <w:rFonts w:hint="cs"/>
          <w:rtl/>
        </w:rPr>
        <w:t>9</w:t>
      </w:r>
      <w:r w:rsidRPr="007D64FF">
        <w:rPr>
          <w:rFonts w:hint="cs"/>
          <w:rtl/>
        </w:rPr>
        <w:t xml:space="preserve"> הפסד מירידת ערך בסך של _____ אלפי ש</w:t>
      </w:r>
      <w:r w:rsidRPr="007D64FF">
        <w:rPr>
          <w:rtl/>
        </w:rPr>
        <w:t>"</w:t>
      </w:r>
      <w:r w:rsidRPr="007D64FF">
        <w:rPr>
          <w:rFonts w:hint="cs"/>
          <w:rtl/>
        </w:rPr>
        <w:t>ח</w:t>
      </w:r>
      <w:r>
        <w:rPr>
          <w:rStyle w:val="ab"/>
          <w:rtl/>
        </w:rPr>
        <w:footnoteReference w:id="103"/>
      </w:r>
      <w:r>
        <w:rPr>
          <w:rFonts w:hint="cs"/>
          <w:rtl/>
        </w:rPr>
        <w:t>,</w:t>
      </w:r>
      <w:r w:rsidRPr="007D64FF">
        <w:rPr>
          <w:rFonts w:hint="cs"/>
          <w:rtl/>
        </w:rPr>
        <w:t xml:space="preserve"> זאת על מנת שהיתרה בדוחות הכספיים של פריטי רכוש קבוע מסוימים</w:t>
      </w:r>
      <w:r w:rsidR="000A1918">
        <w:rPr>
          <w:rFonts w:hint="cs"/>
          <w:rtl/>
        </w:rPr>
        <w:t xml:space="preserve"> תהיה עד לשווי הוגן בניכוי עלויות למכירה שלהם.</w:t>
      </w:r>
    </w:p>
    <w:p w14:paraId="74D4BAB1" w14:textId="77777777" w:rsidR="00EA5B30" w:rsidRDefault="00EA5B30" w:rsidP="00EA5B30">
      <w:pPr>
        <w:pStyle w:val="30"/>
        <w:tabs>
          <w:tab w:val="clear" w:pos="1701"/>
          <w:tab w:val="left" w:pos="1134"/>
        </w:tabs>
        <w:ind w:left="1134" w:firstLine="0"/>
        <w:rPr>
          <w:rtl/>
        </w:rPr>
      </w:pPr>
    </w:p>
    <w:p w14:paraId="200B09AB" w14:textId="77777777" w:rsidR="00EA5B30" w:rsidRDefault="00EA5B30" w:rsidP="00EA5B30">
      <w:pPr>
        <w:pStyle w:val="30"/>
        <w:tabs>
          <w:tab w:val="clear" w:pos="1701"/>
          <w:tab w:val="left" w:pos="1134"/>
        </w:tabs>
        <w:ind w:left="1134" w:firstLine="0"/>
        <w:rPr>
          <w:rtl/>
        </w:rPr>
      </w:pPr>
      <w:r>
        <w:rPr>
          <w:rFonts w:hint="cs"/>
          <w:rtl/>
        </w:rPr>
        <w:t xml:space="preserve">השווי ההוגן </w:t>
      </w:r>
      <w:r w:rsidRPr="007D64FF">
        <w:rPr>
          <w:rFonts w:hint="cs"/>
          <w:rtl/>
        </w:rPr>
        <w:t>בניכוי עלויות למכירה של פריטי הרכוש הקבוע נקבע בהתאם להערכת שווי</w:t>
      </w:r>
      <w:r>
        <w:rPr>
          <w:rStyle w:val="ab"/>
          <w:rtl/>
        </w:rPr>
        <w:footnoteReference w:id="104"/>
      </w:r>
      <w:r w:rsidRPr="007D64FF">
        <w:rPr>
          <w:rFonts w:hint="cs"/>
          <w:rtl/>
        </w:rPr>
        <w:t xml:space="preserve"> בלתי תלויה אשר התבססה על עסקאות אחרונות בנכסים דומים באותו ענף.</w:t>
      </w:r>
    </w:p>
    <w:p w14:paraId="627EB837" w14:textId="77777777" w:rsidR="00EA5B30" w:rsidRDefault="00EA5B30" w:rsidP="00EA5B30">
      <w:pPr>
        <w:pStyle w:val="30"/>
        <w:tabs>
          <w:tab w:val="clear" w:pos="1701"/>
          <w:tab w:val="left" w:pos="1134"/>
        </w:tabs>
        <w:ind w:left="1134" w:firstLine="0"/>
        <w:rPr>
          <w:rtl/>
        </w:rPr>
      </w:pPr>
    </w:p>
    <w:p w14:paraId="326E00AE" w14:textId="7D7AA32E" w:rsidR="00EA5B30" w:rsidRDefault="00EA5B30" w:rsidP="00A52C3A">
      <w:pPr>
        <w:pStyle w:val="30"/>
        <w:tabs>
          <w:tab w:val="clear" w:pos="1701"/>
          <w:tab w:val="left" w:pos="1134"/>
        </w:tabs>
        <w:ind w:left="1134" w:firstLine="0"/>
        <w:rPr>
          <w:rtl/>
        </w:rPr>
      </w:pPr>
      <w:r>
        <w:rPr>
          <w:rFonts w:hint="cs"/>
          <w:rtl/>
        </w:rPr>
        <w:t xml:space="preserve">ליום 30 בספטמבר, </w:t>
      </w:r>
      <w:r w:rsidR="005B5384">
        <w:rPr>
          <w:rFonts w:hint="cs"/>
          <w:rtl/>
        </w:rPr>
        <w:t>201</w:t>
      </w:r>
      <w:r w:rsidR="00A52C3A">
        <w:rPr>
          <w:rFonts w:hint="cs"/>
          <w:rtl/>
        </w:rPr>
        <w:t>9</w:t>
      </w:r>
      <w:r>
        <w:rPr>
          <w:rFonts w:hint="cs"/>
          <w:rtl/>
        </w:rPr>
        <w:t xml:space="preserve"> לא נרשמה ירידת ערך נוספת בגין הנכסים בקבוצת המימוש.</w:t>
      </w:r>
    </w:p>
    <w:p w14:paraId="411CDFDD" w14:textId="77777777" w:rsidR="00EA5B30" w:rsidRDefault="00EA5B30">
      <w:pPr>
        <w:pStyle w:val="21"/>
        <w:rPr>
          <w:rtl/>
        </w:rPr>
      </w:pPr>
    </w:p>
    <w:p w14:paraId="0BC4F429" w14:textId="77777777" w:rsidR="00C22BA0" w:rsidRDefault="00C22BA0" w:rsidP="00C22BA0">
      <w:pPr>
        <w:pStyle w:val="11"/>
        <w:rPr>
          <w:rtl/>
        </w:rPr>
      </w:pPr>
      <w:r>
        <w:rPr>
          <w:rtl/>
        </w:rPr>
        <w:br w:type="page"/>
      </w:r>
    </w:p>
    <w:p w14:paraId="1DD77854" w14:textId="77777777" w:rsidR="00C22BA0" w:rsidRDefault="00C22BA0" w:rsidP="00C22BA0">
      <w:pPr>
        <w:pStyle w:val="11"/>
        <w:rPr>
          <w:rtl/>
        </w:rPr>
      </w:pPr>
    </w:p>
    <w:p w14:paraId="6E2FE12A" w14:textId="77777777" w:rsidR="00415E11" w:rsidRDefault="00415E11" w:rsidP="00C22BA0">
      <w:pPr>
        <w:pStyle w:val="11"/>
        <w:rPr>
          <w:rtl/>
        </w:rPr>
      </w:pPr>
    </w:p>
    <w:p w14:paraId="3DDE005E" w14:textId="77777777" w:rsidR="00C22BA0" w:rsidRDefault="00C22BA0" w:rsidP="00C22BA0">
      <w:pPr>
        <w:pStyle w:val="11"/>
        <w:rPr>
          <w:rtl/>
        </w:rPr>
      </w:pPr>
      <w:r>
        <w:rPr>
          <w:rFonts w:hint="cs"/>
          <w:rtl/>
        </w:rPr>
        <w:t>באור 10: -</w:t>
      </w:r>
      <w:r>
        <w:rPr>
          <w:rFonts w:hint="cs"/>
          <w:rtl/>
        </w:rPr>
        <w:tab/>
      </w:r>
      <w:r>
        <w:rPr>
          <w:rFonts w:hint="cs"/>
          <w:u w:val="single"/>
          <w:rtl/>
        </w:rPr>
        <w:t>קבוצת מימוש המוחזקת למכירה ופעילויות שהופסקו</w:t>
      </w:r>
      <w:r>
        <w:rPr>
          <w:rFonts w:hint="cs"/>
          <w:rtl/>
        </w:rPr>
        <w:t xml:space="preserve"> (המשך)</w:t>
      </w:r>
    </w:p>
    <w:p w14:paraId="08C0F696" w14:textId="77777777" w:rsidR="00C22BA0" w:rsidRDefault="00C22BA0" w:rsidP="00C22BA0">
      <w:pPr>
        <w:pStyle w:val="21"/>
        <w:rPr>
          <w:rtl/>
        </w:rPr>
      </w:pPr>
    </w:p>
    <w:p w14:paraId="6DC08333" w14:textId="77777777" w:rsidR="00264F64" w:rsidRDefault="00AB7D68">
      <w:pPr>
        <w:pStyle w:val="21"/>
        <w:rPr>
          <w:rtl/>
        </w:rPr>
      </w:pPr>
      <w:r>
        <w:rPr>
          <w:rFonts w:hint="cs"/>
          <w:rtl/>
        </w:rPr>
        <w:t xml:space="preserve">להלן קבוצות הנכסים וההתחייבויות העיקריות שסווגו </w:t>
      </w:r>
      <w:r w:rsidR="00A261B3">
        <w:rPr>
          <w:rFonts w:hint="cs"/>
          <w:rtl/>
        </w:rPr>
        <w:t>כמוחזק</w:t>
      </w:r>
      <w:r w:rsidR="00F825EE">
        <w:rPr>
          <w:rFonts w:hint="cs"/>
          <w:rtl/>
        </w:rPr>
        <w:t>ים</w:t>
      </w:r>
      <w:r>
        <w:rPr>
          <w:rFonts w:hint="cs"/>
          <w:rtl/>
        </w:rPr>
        <w:t xml:space="preserve"> למ</w:t>
      </w:r>
      <w:r w:rsidR="00F825EE">
        <w:rPr>
          <w:rFonts w:hint="cs"/>
          <w:rtl/>
        </w:rPr>
        <w:t>כירה</w:t>
      </w:r>
      <w:r>
        <w:rPr>
          <w:rFonts w:hint="cs"/>
          <w:rtl/>
        </w:rPr>
        <w:t>:</w:t>
      </w:r>
    </w:p>
    <w:p w14:paraId="0D7629E6" w14:textId="77777777" w:rsidR="00CD5639" w:rsidRDefault="00CD5639" w:rsidP="00CD5639">
      <w:pPr>
        <w:rPr>
          <w:rtl/>
        </w:rPr>
      </w:pPr>
    </w:p>
    <w:tbl>
      <w:tblPr>
        <w:bidiVisual/>
        <w:tblW w:w="0" w:type="auto"/>
        <w:tblInd w:w="1134" w:type="dxa"/>
        <w:tblLayout w:type="fixed"/>
        <w:tblCellMar>
          <w:left w:w="0" w:type="dxa"/>
          <w:right w:w="0" w:type="dxa"/>
        </w:tblCellMar>
        <w:tblLook w:val="00A0" w:firstRow="1" w:lastRow="0" w:firstColumn="1" w:lastColumn="0" w:noHBand="0" w:noVBand="0"/>
      </w:tblPr>
      <w:tblGrid>
        <w:gridCol w:w="4677"/>
        <w:gridCol w:w="113"/>
        <w:gridCol w:w="1105"/>
        <w:gridCol w:w="142"/>
        <w:gridCol w:w="1105"/>
        <w:gridCol w:w="142"/>
        <w:gridCol w:w="1133"/>
      </w:tblGrid>
      <w:tr w:rsidR="00AB7D68" w:rsidRPr="00B23B2B" w14:paraId="74296BA6" w14:textId="77777777" w:rsidTr="00530E0E">
        <w:tc>
          <w:tcPr>
            <w:tcW w:w="4677" w:type="dxa"/>
            <w:tcMar>
              <w:top w:w="0" w:type="dxa"/>
              <w:left w:w="0" w:type="dxa"/>
              <w:bottom w:w="0" w:type="dxa"/>
              <w:right w:w="0" w:type="dxa"/>
            </w:tcMar>
            <w:vAlign w:val="bottom"/>
          </w:tcPr>
          <w:p w14:paraId="09322577" w14:textId="77777777" w:rsidR="00AB7D68" w:rsidRPr="00B23B2B" w:rsidRDefault="00AB7D68" w:rsidP="00B23B2B">
            <w:pPr>
              <w:pStyle w:val="a3"/>
              <w:spacing w:line="260" w:lineRule="exact"/>
              <w:ind w:left="0" w:firstLine="57"/>
              <w:rPr>
                <w:sz w:val="22"/>
                <w:u w:val="single"/>
              </w:rPr>
            </w:pPr>
          </w:p>
        </w:tc>
        <w:tc>
          <w:tcPr>
            <w:tcW w:w="113" w:type="dxa"/>
            <w:vAlign w:val="bottom"/>
          </w:tcPr>
          <w:p w14:paraId="63D3EF97" w14:textId="77777777" w:rsidR="00AB7D68" w:rsidRPr="00B23B2B" w:rsidRDefault="00AB7D68" w:rsidP="00B23B2B">
            <w:pPr>
              <w:tabs>
                <w:tab w:val="left" w:pos="0"/>
                <w:tab w:val="left" w:pos="397"/>
                <w:tab w:val="left" w:pos="510"/>
              </w:tabs>
              <w:spacing w:line="260" w:lineRule="exact"/>
              <w:rPr>
                <w:b/>
                <w:bCs/>
                <w:sz w:val="22"/>
                <w:u w:val="single"/>
              </w:rPr>
            </w:pPr>
          </w:p>
        </w:tc>
        <w:tc>
          <w:tcPr>
            <w:tcW w:w="2352" w:type="dxa"/>
            <w:gridSpan w:val="3"/>
            <w:tcBorders>
              <w:top w:val="nil"/>
              <w:left w:val="nil"/>
              <w:bottom w:val="single" w:sz="6" w:space="0" w:color="auto"/>
              <w:right w:val="nil"/>
            </w:tcBorders>
            <w:vAlign w:val="bottom"/>
          </w:tcPr>
          <w:p w14:paraId="549B57E2" w14:textId="77777777" w:rsidR="00AB7D68" w:rsidRPr="00B23B2B" w:rsidRDefault="003C4695" w:rsidP="00B23B2B">
            <w:pPr>
              <w:tabs>
                <w:tab w:val="decimal" w:pos="113"/>
              </w:tabs>
              <w:spacing w:line="260" w:lineRule="exact"/>
              <w:jc w:val="center"/>
              <w:rPr>
                <w:sz w:val="22"/>
              </w:rPr>
            </w:pPr>
            <w:r w:rsidRPr="00B23B2B">
              <w:rPr>
                <w:rFonts w:hint="cs"/>
                <w:sz w:val="22"/>
                <w:rtl/>
              </w:rPr>
              <w:t>30 בספטמבר</w:t>
            </w:r>
          </w:p>
        </w:tc>
        <w:tc>
          <w:tcPr>
            <w:tcW w:w="142" w:type="dxa"/>
          </w:tcPr>
          <w:p w14:paraId="668765BF" w14:textId="77777777" w:rsidR="00AB7D68" w:rsidRPr="00B23B2B" w:rsidRDefault="00AB7D68" w:rsidP="00B23B2B">
            <w:pPr>
              <w:tabs>
                <w:tab w:val="decimal" w:pos="113"/>
              </w:tabs>
              <w:spacing w:line="260" w:lineRule="exact"/>
              <w:jc w:val="center"/>
              <w:rPr>
                <w:sz w:val="22"/>
              </w:rPr>
            </w:pPr>
          </w:p>
        </w:tc>
        <w:tc>
          <w:tcPr>
            <w:tcW w:w="1133" w:type="dxa"/>
          </w:tcPr>
          <w:p w14:paraId="735738C2" w14:textId="77777777" w:rsidR="00AB7D68" w:rsidRPr="00B23B2B" w:rsidRDefault="00AB7D68" w:rsidP="00B23B2B">
            <w:pPr>
              <w:spacing w:line="260" w:lineRule="exact"/>
              <w:jc w:val="center"/>
              <w:rPr>
                <w:sz w:val="22"/>
              </w:rPr>
            </w:pPr>
            <w:r w:rsidRPr="00B23B2B">
              <w:rPr>
                <w:rFonts w:hint="cs"/>
                <w:sz w:val="22"/>
                <w:rtl/>
              </w:rPr>
              <w:t>31 בדצמבר</w:t>
            </w:r>
          </w:p>
        </w:tc>
      </w:tr>
      <w:tr w:rsidR="00AB7D68" w:rsidRPr="00B23B2B" w14:paraId="16CA5A4A" w14:textId="77777777" w:rsidTr="00530E0E">
        <w:tc>
          <w:tcPr>
            <w:tcW w:w="4677" w:type="dxa"/>
            <w:tcMar>
              <w:top w:w="0" w:type="dxa"/>
              <w:left w:w="0" w:type="dxa"/>
              <w:bottom w:w="0" w:type="dxa"/>
              <w:right w:w="0" w:type="dxa"/>
            </w:tcMar>
            <w:vAlign w:val="bottom"/>
          </w:tcPr>
          <w:p w14:paraId="7413C533" w14:textId="77777777" w:rsidR="00AB7D68" w:rsidRPr="00B23B2B" w:rsidRDefault="00AB7D68" w:rsidP="00B23B2B">
            <w:pPr>
              <w:pStyle w:val="a3"/>
              <w:spacing w:line="260" w:lineRule="exact"/>
              <w:ind w:left="0" w:firstLine="57"/>
              <w:rPr>
                <w:sz w:val="22"/>
                <w:u w:val="single"/>
              </w:rPr>
            </w:pPr>
          </w:p>
        </w:tc>
        <w:tc>
          <w:tcPr>
            <w:tcW w:w="113" w:type="dxa"/>
            <w:vAlign w:val="bottom"/>
          </w:tcPr>
          <w:p w14:paraId="35812625" w14:textId="77777777" w:rsidR="00AB7D68" w:rsidRPr="00B23B2B" w:rsidRDefault="00AB7D68" w:rsidP="00B23B2B">
            <w:pPr>
              <w:tabs>
                <w:tab w:val="left" w:pos="0"/>
                <w:tab w:val="left" w:pos="397"/>
                <w:tab w:val="left" w:pos="510"/>
              </w:tabs>
              <w:spacing w:line="260" w:lineRule="exact"/>
              <w:rPr>
                <w:b/>
                <w:bCs/>
                <w:sz w:val="22"/>
                <w:u w:val="single"/>
              </w:rPr>
            </w:pPr>
          </w:p>
        </w:tc>
        <w:tc>
          <w:tcPr>
            <w:tcW w:w="1105" w:type="dxa"/>
            <w:tcBorders>
              <w:top w:val="single" w:sz="6" w:space="0" w:color="auto"/>
              <w:left w:val="nil"/>
              <w:bottom w:val="single" w:sz="6" w:space="0" w:color="auto"/>
              <w:right w:val="nil"/>
            </w:tcBorders>
            <w:vAlign w:val="bottom"/>
          </w:tcPr>
          <w:p w14:paraId="36A13395" w14:textId="5AB3F229" w:rsidR="008D22FA" w:rsidRDefault="004A4A6B" w:rsidP="00767D26">
            <w:pPr>
              <w:spacing w:line="260" w:lineRule="exact"/>
              <w:jc w:val="center"/>
              <w:rPr>
                <w:sz w:val="22"/>
              </w:rPr>
            </w:pPr>
            <w:r>
              <w:rPr>
                <w:rFonts w:hint="cs"/>
                <w:sz w:val="22"/>
                <w:rtl/>
              </w:rPr>
              <w:t>201</w:t>
            </w:r>
            <w:r w:rsidR="00767D26">
              <w:rPr>
                <w:rFonts w:hint="cs"/>
                <w:sz w:val="22"/>
                <w:rtl/>
              </w:rPr>
              <w:t>9</w:t>
            </w:r>
          </w:p>
        </w:tc>
        <w:tc>
          <w:tcPr>
            <w:tcW w:w="142" w:type="dxa"/>
            <w:tcBorders>
              <w:top w:val="single" w:sz="6" w:space="0" w:color="auto"/>
              <w:left w:val="nil"/>
              <w:bottom w:val="nil"/>
              <w:right w:val="nil"/>
            </w:tcBorders>
            <w:vAlign w:val="bottom"/>
          </w:tcPr>
          <w:p w14:paraId="6144A24F" w14:textId="77777777" w:rsidR="00AB7D68" w:rsidRPr="00B23B2B" w:rsidRDefault="00AB7D68" w:rsidP="00B23B2B">
            <w:pPr>
              <w:spacing w:line="260" w:lineRule="exact"/>
              <w:jc w:val="center"/>
              <w:rPr>
                <w:sz w:val="22"/>
              </w:rPr>
            </w:pPr>
          </w:p>
        </w:tc>
        <w:tc>
          <w:tcPr>
            <w:tcW w:w="1105" w:type="dxa"/>
            <w:tcBorders>
              <w:top w:val="single" w:sz="6" w:space="0" w:color="auto"/>
              <w:left w:val="nil"/>
              <w:bottom w:val="single" w:sz="6" w:space="0" w:color="auto"/>
              <w:right w:val="nil"/>
            </w:tcBorders>
            <w:vAlign w:val="bottom"/>
          </w:tcPr>
          <w:p w14:paraId="21139FF8" w14:textId="631AB5EE" w:rsidR="008D22FA" w:rsidRDefault="004F7D3D" w:rsidP="00767D26">
            <w:pPr>
              <w:spacing w:line="260" w:lineRule="exact"/>
              <w:jc w:val="center"/>
              <w:rPr>
                <w:sz w:val="22"/>
              </w:rPr>
            </w:pPr>
            <w:r>
              <w:rPr>
                <w:rFonts w:hint="cs"/>
                <w:rtl/>
              </w:rPr>
              <w:t>201</w:t>
            </w:r>
            <w:r w:rsidR="00767D26">
              <w:rPr>
                <w:rFonts w:hint="cs"/>
                <w:rtl/>
              </w:rPr>
              <w:t>8</w:t>
            </w:r>
          </w:p>
        </w:tc>
        <w:tc>
          <w:tcPr>
            <w:tcW w:w="142" w:type="dxa"/>
          </w:tcPr>
          <w:p w14:paraId="08ECBCD2" w14:textId="77777777" w:rsidR="00AB7D68" w:rsidRPr="00B23B2B" w:rsidRDefault="00AB7D68" w:rsidP="00B23B2B">
            <w:pPr>
              <w:spacing w:line="260" w:lineRule="exact"/>
              <w:jc w:val="center"/>
              <w:rPr>
                <w:sz w:val="22"/>
              </w:rPr>
            </w:pPr>
          </w:p>
        </w:tc>
        <w:tc>
          <w:tcPr>
            <w:tcW w:w="1133" w:type="dxa"/>
            <w:tcBorders>
              <w:top w:val="nil"/>
              <w:left w:val="nil"/>
              <w:bottom w:val="single" w:sz="6" w:space="0" w:color="auto"/>
              <w:right w:val="nil"/>
            </w:tcBorders>
          </w:tcPr>
          <w:p w14:paraId="7D1481F4" w14:textId="45C0806A" w:rsidR="008D22FA" w:rsidRDefault="004F7D3D" w:rsidP="00767D26">
            <w:pPr>
              <w:spacing w:line="260" w:lineRule="exact"/>
              <w:jc w:val="center"/>
              <w:rPr>
                <w:sz w:val="22"/>
              </w:rPr>
            </w:pPr>
            <w:r>
              <w:rPr>
                <w:rFonts w:hint="cs"/>
                <w:rtl/>
              </w:rPr>
              <w:t>201</w:t>
            </w:r>
            <w:r w:rsidR="00767D26">
              <w:rPr>
                <w:rFonts w:hint="cs"/>
                <w:rtl/>
              </w:rPr>
              <w:t>8</w:t>
            </w:r>
          </w:p>
        </w:tc>
      </w:tr>
      <w:tr w:rsidR="00AB7D68" w:rsidRPr="00B23B2B" w14:paraId="1992EA23" w14:textId="77777777" w:rsidTr="00530E0E">
        <w:tc>
          <w:tcPr>
            <w:tcW w:w="4677" w:type="dxa"/>
            <w:tcMar>
              <w:top w:w="0" w:type="dxa"/>
              <w:left w:w="0" w:type="dxa"/>
              <w:bottom w:w="0" w:type="dxa"/>
              <w:right w:w="0" w:type="dxa"/>
            </w:tcMar>
            <w:vAlign w:val="bottom"/>
          </w:tcPr>
          <w:p w14:paraId="6BF68B0B" w14:textId="77777777" w:rsidR="00AB7D68" w:rsidRPr="00B23B2B" w:rsidRDefault="00AB7D68" w:rsidP="00B23B2B">
            <w:pPr>
              <w:pStyle w:val="a3"/>
              <w:spacing w:line="260" w:lineRule="exact"/>
              <w:ind w:left="0" w:firstLine="57"/>
              <w:rPr>
                <w:sz w:val="22"/>
                <w:u w:val="single"/>
              </w:rPr>
            </w:pPr>
          </w:p>
        </w:tc>
        <w:tc>
          <w:tcPr>
            <w:tcW w:w="113" w:type="dxa"/>
            <w:vAlign w:val="bottom"/>
          </w:tcPr>
          <w:p w14:paraId="6C410DBE" w14:textId="77777777" w:rsidR="00AB7D68" w:rsidRPr="00B23B2B" w:rsidRDefault="00AB7D68" w:rsidP="00B23B2B">
            <w:pPr>
              <w:tabs>
                <w:tab w:val="left" w:pos="0"/>
                <w:tab w:val="left" w:pos="397"/>
                <w:tab w:val="left" w:pos="510"/>
              </w:tabs>
              <w:spacing w:line="260" w:lineRule="exact"/>
              <w:rPr>
                <w:b/>
                <w:bCs/>
                <w:sz w:val="22"/>
                <w:u w:val="single"/>
              </w:rPr>
            </w:pPr>
          </w:p>
        </w:tc>
        <w:tc>
          <w:tcPr>
            <w:tcW w:w="2352" w:type="dxa"/>
            <w:gridSpan w:val="3"/>
            <w:tcBorders>
              <w:top w:val="nil"/>
              <w:left w:val="nil"/>
              <w:bottom w:val="single" w:sz="6" w:space="0" w:color="auto"/>
              <w:right w:val="nil"/>
            </w:tcBorders>
            <w:vAlign w:val="bottom"/>
          </w:tcPr>
          <w:p w14:paraId="16B92FD5" w14:textId="77777777" w:rsidR="00AB7D68" w:rsidRPr="00B23B2B" w:rsidRDefault="00AB7D68" w:rsidP="00B23B2B">
            <w:pPr>
              <w:tabs>
                <w:tab w:val="decimal" w:pos="113"/>
              </w:tabs>
              <w:spacing w:line="260" w:lineRule="exact"/>
              <w:jc w:val="center"/>
              <w:rPr>
                <w:sz w:val="22"/>
              </w:rPr>
            </w:pPr>
            <w:r w:rsidRPr="00B23B2B">
              <w:rPr>
                <w:rFonts w:hint="cs"/>
                <w:sz w:val="22"/>
                <w:rtl/>
              </w:rPr>
              <w:t>בלתי מבוקר</w:t>
            </w:r>
          </w:p>
        </w:tc>
        <w:tc>
          <w:tcPr>
            <w:tcW w:w="142" w:type="dxa"/>
          </w:tcPr>
          <w:p w14:paraId="596CB0F4" w14:textId="77777777" w:rsidR="00AB7D68" w:rsidRPr="00B23B2B" w:rsidRDefault="00AB7D68" w:rsidP="00B23B2B">
            <w:pPr>
              <w:tabs>
                <w:tab w:val="decimal" w:pos="113"/>
              </w:tabs>
              <w:spacing w:line="260" w:lineRule="exact"/>
              <w:jc w:val="center"/>
              <w:rPr>
                <w:sz w:val="22"/>
              </w:rPr>
            </w:pPr>
          </w:p>
        </w:tc>
        <w:tc>
          <w:tcPr>
            <w:tcW w:w="1133" w:type="dxa"/>
            <w:tcBorders>
              <w:top w:val="single" w:sz="6" w:space="0" w:color="auto"/>
              <w:left w:val="nil"/>
              <w:bottom w:val="single" w:sz="6" w:space="0" w:color="auto"/>
              <w:right w:val="nil"/>
            </w:tcBorders>
          </w:tcPr>
          <w:p w14:paraId="39CD71C8" w14:textId="77777777" w:rsidR="00AB7D68" w:rsidRPr="00B23B2B" w:rsidRDefault="00AB7D68" w:rsidP="00B23B2B">
            <w:pPr>
              <w:tabs>
                <w:tab w:val="decimal" w:pos="113"/>
              </w:tabs>
              <w:spacing w:line="260" w:lineRule="exact"/>
              <w:jc w:val="center"/>
              <w:rPr>
                <w:sz w:val="22"/>
              </w:rPr>
            </w:pPr>
            <w:r w:rsidRPr="00B23B2B">
              <w:rPr>
                <w:rFonts w:hint="cs"/>
                <w:sz w:val="22"/>
                <w:rtl/>
              </w:rPr>
              <w:t>מבוקר</w:t>
            </w:r>
          </w:p>
        </w:tc>
      </w:tr>
      <w:tr w:rsidR="00AB7D68" w:rsidRPr="00B23B2B" w14:paraId="5DC054C7" w14:textId="77777777" w:rsidTr="00530E0E">
        <w:tc>
          <w:tcPr>
            <w:tcW w:w="4677" w:type="dxa"/>
            <w:tcMar>
              <w:top w:w="0" w:type="dxa"/>
              <w:left w:w="0" w:type="dxa"/>
              <w:bottom w:w="0" w:type="dxa"/>
              <w:right w:w="0" w:type="dxa"/>
            </w:tcMar>
            <w:vAlign w:val="bottom"/>
          </w:tcPr>
          <w:p w14:paraId="342D0A72" w14:textId="77777777" w:rsidR="00AB7D68" w:rsidRPr="00B23B2B" w:rsidRDefault="00AB7D68" w:rsidP="00B23B2B">
            <w:pPr>
              <w:pStyle w:val="a3"/>
              <w:spacing w:line="260" w:lineRule="exact"/>
              <w:ind w:left="0" w:firstLine="57"/>
              <w:rPr>
                <w:sz w:val="22"/>
                <w:u w:val="single"/>
              </w:rPr>
            </w:pPr>
          </w:p>
        </w:tc>
        <w:tc>
          <w:tcPr>
            <w:tcW w:w="113" w:type="dxa"/>
            <w:vAlign w:val="bottom"/>
          </w:tcPr>
          <w:p w14:paraId="3EF68710" w14:textId="77777777" w:rsidR="00AB7D68" w:rsidRPr="00B23B2B" w:rsidRDefault="00AB7D68" w:rsidP="00B23B2B">
            <w:pPr>
              <w:tabs>
                <w:tab w:val="left" w:pos="0"/>
                <w:tab w:val="left" w:pos="397"/>
                <w:tab w:val="left" w:pos="510"/>
              </w:tabs>
              <w:spacing w:line="260" w:lineRule="exact"/>
              <w:rPr>
                <w:b/>
                <w:bCs/>
                <w:sz w:val="22"/>
                <w:u w:val="single"/>
              </w:rPr>
            </w:pPr>
          </w:p>
        </w:tc>
        <w:tc>
          <w:tcPr>
            <w:tcW w:w="3627" w:type="dxa"/>
            <w:gridSpan w:val="5"/>
            <w:tcBorders>
              <w:top w:val="nil"/>
              <w:left w:val="nil"/>
              <w:bottom w:val="single" w:sz="6" w:space="0" w:color="auto"/>
              <w:right w:val="nil"/>
            </w:tcBorders>
          </w:tcPr>
          <w:p w14:paraId="12A84DE0" w14:textId="77777777" w:rsidR="00AB7D68" w:rsidRPr="00B23B2B" w:rsidRDefault="00AB7D68" w:rsidP="00B23B2B">
            <w:pPr>
              <w:tabs>
                <w:tab w:val="decimal" w:pos="113"/>
              </w:tabs>
              <w:spacing w:line="260" w:lineRule="exact"/>
              <w:jc w:val="center"/>
              <w:rPr>
                <w:sz w:val="22"/>
              </w:rPr>
            </w:pPr>
            <w:r w:rsidRPr="00B23B2B">
              <w:rPr>
                <w:rFonts w:hint="cs"/>
                <w:sz w:val="22"/>
                <w:rtl/>
              </w:rPr>
              <w:t>אלפי ש"ח</w:t>
            </w:r>
          </w:p>
        </w:tc>
      </w:tr>
      <w:tr w:rsidR="00AB7D68" w:rsidRPr="00B23B2B" w14:paraId="214298F1" w14:textId="77777777" w:rsidTr="00530E0E">
        <w:tc>
          <w:tcPr>
            <w:tcW w:w="4677" w:type="dxa"/>
            <w:tcMar>
              <w:top w:w="0" w:type="dxa"/>
              <w:left w:w="0" w:type="dxa"/>
              <w:bottom w:w="0" w:type="dxa"/>
              <w:right w:w="0" w:type="dxa"/>
            </w:tcMar>
            <w:vAlign w:val="bottom"/>
          </w:tcPr>
          <w:p w14:paraId="36813E4B" w14:textId="77777777" w:rsidR="00AB7D68" w:rsidRPr="00B23B2B" w:rsidRDefault="00AB7D68" w:rsidP="00B23B2B">
            <w:pPr>
              <w:widowControl/>
              <w:tabs>
                <w:tab w:val="left" w:pos="227"/>
                <w:tab w:val="left" w:pos="397"/>
                <w:tab w:val="left" w:pos="567"/>
              </w:tabs>
              <w:spacing w:line="260" w:lineRule="exact"/>
              <w:ind w:left="283" w:hanging="227"/>
              <w:jc w:val="left"/>
              <w:rPr>
                <w:sz w:val="22"/>
                <w:u w:val="single"/>
              </w:rPr>
            </w:pPr>
            <w:r w:rsidRPr="00B23B2B">
              <w:rPr>
                <w:rFonts w:hint="cs"/>
                <w:sz w:val="22"/>
                <w:u w:val="single"/>
                <w:rtl/>
              </w:rPr>
              <w:t>נכסים</w:t>
            </w:r>
          </w:p>
        </w:tc>
        <w:tc>
          <w:tcPr>
            <w:tcW w:w="113" w:type="dxa"/>
            <w:vAlign w:val="bottom"/>
          </w:tcPr>
          <w:p w14:paraId="173FA195" w14:textId="77777777" w:rsidR="00AB7D68" w:rsidRPr="00B23B2B" w:rsidRDefault="00AB7D68" w:rsidP="00B23B2B">
            <w:pPr>
              <w:tabs>
                <w:tab w:val="left" w:pos="0"/>
                <w:tab w:val="left" w:pos="397"/>
                <w:tab w:val="left" w:pos="510"/>
              </w:tabs>
              <w:spacing w:line="260" w:lineRule="exact"/>
              <w:rPr>
                <w:b/>
                <w:bCs/>
                <w:sz w:val="22"/>
                <w:u w:val="single"/>
              </w:rPr>
            </w:pPr>
          </w:p>
        </w:tc>
        <w:tc>
          <w:tcPr>
            <w:tcW w:w="1105" w:type="dxa"/>
            <w:vAlign w:val="bottom"/>
          </w:tcPr>
          <w:p w14:paraId="7F269EE7" w14:textId="77777777" w:rsidR="00AB7D68" w:rsidRPr="00B23B2B" w:rsidRDefault="00AB7D68" w:rsidP="00B23B2B">
            <w:pPr>
              <w:tabs>
                <w:tab w:val="decimal" w:pos="113"/>
              </w:tabs>
              <w:spacing w:line="260" w:lineRule="exact"/>
              <w:rPr>
                <w:b/>
                <w:bCs/>
                <w:sz w:val="22"/>
                <w:u w:val="single"/>
              </w:rPr>
            </w:pPr>
          </w:p>
        </w:tc>
        <w:tc>
          <w:tcPr>
            <w:tcW w:w="142" w:type="dxa"/>
            <w:vAlign w:val="bottom"/>
          </w:tcPr>
          <w:p w14:paraId="07AAF297" w14:textId="77777777" w:rsidR="00AB7D68" w:rsidRPr="00B23B2B" w:rsidRDefault="00AB7D68" w:rsidP="00B23B2B">
            <w:pPr>
              <w:tabs>
                <w:tab w:val="decimal" w:pos="113"/>
              </w:tabs>
              <w:spacing w:line="260" w:lineRule="exact"/>
              <w:rPr>
                <w:b/>
                <w:bCs/>
                <w:sz w:val="22"/>
                <w:u w:val="single"/>
              </w:rPr>
            </w:pPr>
          </w:p>
        </w:tc>
        <w:tc>
          <w:tcPr>
            <w:tcW w:w="1105" w:type="dxa"/>
            <w:vAlign w:val="bottom"/>
          </w:tcPr>
          <w:p w14:paraId="44294945" w14:textId="77777777" w:rsidR="00AB7D68" w:rsidRPr="00B23B2B" w:rsidRDefault="00AB7D68" w:rsidP="00B23B2B">
            <w:pPr>
              <w:tabs>
                <w:tab w:val="decimal" w:pos="113"/>
              </w:tabs>
              <w:spacing w:line="260" w:lineRule="exact"/>
              <w:rPr>
                <w:b/>
                <w:bCs/>
                <w:sz w:val="22"/>
                <w:u w:val="single"/>
              </w:rPr>
            </w:pPr>
          </w:p>
        </w:tc>
        <w:tc>
          <w:tcPr>
            <w:tcW w:w="142" w:type="dxa"/>
          </w:tcPr>
          <w:p w14:paraId="7EECC1AA" w14:textId="77777777" w:rsidR="00AB7D68" w:rsidRPr="00B23B2B" w:rsidRDefault="00AB7D68" w:rsidP="00B23B2B">
            <w:pPr>
              <w:tabs>
                <w:tab w:val="decimal" w:pos="113"/>
              </w:tabs>
              <w:spacing w:line="260" w:lineRule="exact"/>
              <w:rPr>
                <w:b/>
                <w:bCs/>
                <w:sz w:val="22"/>
                <w:u w:val="single"/>
              </w:rPr>
            </w:pPr>
          </w:p>
        </w:tc>
        <w:tc>
          <w:tcPr>
            <w:tcW w:w="1133" w:type="dxa"/>
          </w:tcPr>
          <w:p w14:paraId="5BCEA2A6" w14:textId="77777777" w:rsidR="00AB7D68" w:rsidRPr="00B23B2B" w:rsidRDefault="00AB7D68" w:rsidP="00B23B2B">
            <w:pPr>
              <w:tabs>
                <w:tab w:val="decimal" w:pos="113"/>
              </w:tabs>
              <w:spacing w:line="260" w:lineRule="exact"/>
              <w:rPr>
                <w:b/>
                <w:bCs/>
                <w:sz w:val="22"/>
                <w:u w:val="single"/>
              </w:rPr>
            </w:pPr>
          </w:p>
        </w:tc>
      </w:tr>
      <w:tr w:rsidR="0076297A" w:rsidRPr="00B23B2B" w14:paraId="18FF9AC2" w14:textId="77777777" w:rsidTr="00530E0E">
        <w:tc>
          <w:tcPr>
            <w:tcW w:w="4677" w:type="dxa"/>
            <w:tcMar>
              <w:top w:w="0" w:type="dxa"/>
              <w:left w:w="0" w:type="dxa"/>
              <w:bottom w:w="0" w:type="dxa"/>
              <w:right w:w="0" w:type="dxa"/>
            </w:tcMar>
            <w:vAlign w:val="bottom"/>
          </w:tcPr>
          <w:p w14:paraId="12F218D7" w14:textId="77777777" w:rsidR="0076297A" w:rsidRPr="00B23B2B" w:rsidRDefault="0076297A" w:rsidP="005063E4">
            <w:pPr>
              <w:widowControl/>
              <w:tabs>
                <w:tab w:val="left" w:pos="227"/>
                <w:tab w:val="left" w:pos="397"/>
                <w:tab w:val="left" w:pos="567"/>
              </w:tabs>
              <w:spacing w:line="120" w:lineRule="auto"/>
              <w:jc w:val="left"/>
              <w:rPr>
                <w:sz w:val="22"/>
                <w:rtl/>
              </w:rPr>
            </w:pPr>
          </w:p>
        </w:tc>
        <w:tc>
          <w:tcPr>
            <w:tcW w:w="113" w:type="dxa"/>
            <w:vAlign w:val="bottom"/>
          </w:tcPr>
          <w:p w14:paraId="6CAFA7ED" w14:textId="77777777" w:rsidR="0076297A" w:rsidRPr="00B23B2B" w:rsidRDefault="0076297A" w:rsidP="005063E4">
            <w:pPr>
              <w:widowControl/>
              <w:tabs>
                <w:tab w:val="left" w:pos="0"/>
                <w:tab w:val="left" w:pos="397"/>
                <w:tab w:val="left" w:pos="510"/>
              </w:tabs>
              <w:spacing w:line="120" w:lineRule="auto"/>
              <w:rPr>
                <w:sz w:val="22"/>
              </w:rPr>
            </w:pPr>
          </w:p>
        </w:tc>
        <w:tc>
          <w:tcPr>
            <w:tcW w:w="1105" w:type="dxa"/>
            <w:vAlign w:val="bottom"/>
          </w:tcPr>
          <w:p w14:paraId="29CA154D" w14:textId="77777777" w:rsidR="0076297A" w:rsidRPr="00B23B2B" w:rsidRDefault="0076297A" w:rsidP="005063E4">
            <w:pPr>
              <w:widowControl/>
              <w:tabs>
                <w:tab w:val="decimal" w:pos="113"/>
              </w:tabs>
              <w:spacing w:line="120" w:lineRule="auto"/>
              <w:rPr>
                <w:sz w:val="22"/>
              </w:rPr>
            </w:pPr>
          </w:p>
        </w:tc>
        <w:tc>
          <w:tcPr>
            <w:tcW w:w="142" w:type="dxa"/>
            <w:vAlign w:val="bottom"/>
          </w:tcPr>
          <w:p w14:paraId="489FFB85" w14:textId="77777777" w:rsidR="0076297A" w:rsidRPr="00B23B2B" w:rsidRDefault="0076297A" w:rsidP="005063E4">
            <w:pPr>
              <w:widowControl/>
              <w:tabs>
                <w:tab w:val="decimal" w:pos="113"/>
              </w:tabs>
              <w:spacing w:line="120" w:lineRule="auto"/>
              <w:rPr>
                <w:sz w:val="22"/>
              </w:rPr>
            </w:pPr>
          </w:p>
        </w:tc>
        <w:tc>
          <w:tcPr>
            <w:tcW w:w="1105" w:type="dxa"/>
            <w:vAlign w:val="bottom"/>
          </w:tcPr>
          <w:p w14:paraId="3C810145" w14:textId="77777777" w:rsidR="0076297A" w:rsidRPr="00B23B2B" w:rsidRDefault="0076297A" w:rsidP="005063E4">
            <w:pPr>
              <w:widowControl/>
              <w:tabs>
                <w:tab w:val="decimal" w:pos="113"/>
              </w:tabs>
              <w:spacing w:line="120" w:lineRule="auto"/>
              <w:rPr>
                <w:sz w:val="22"/>
              </w:rPr>
            </w:pPr>
          </w:p>
        </w:tc>
        <w:tc>
          <w:tcPr>
            <w:tcW w:w="142" w:type="dxa"/>
          </w:tcPr>
          <w:p w14:paraId="3C1A99BF" w14:textId="77777777" w:rsidR="0076297A" w:rsidRPr="00B23B2B" w:rsidRDefault="0076297A" w:rsidP="005063E4">
            <w:pPr>
              <w:widowControl/>
              <w:tabs>
                <w:tab w:val="decimal" w:pos="113"/>
              </w:tabs>
              <w:spacing w:line="120" w:lineRule="auto"/>
              <w:rPr>
                <w:sz w:val="22"/>
              </w:rPr>
            </w:pPr>
          </w:p>
        </w:tc>
        <w:tc>
          <w:tcPr>
            <w:tcW w:w="1133" w:type="dxa"/>
          </w:tcPr>
          <w:p w14:paraId="6388FA85" w14:textId="77777777" w:rsidR="0076297A" w:rsidRPr="00B23B2B" w:rsidRDefault="0076297A" w:rsidP="005063E4">
            <w:pPr>
              <w:widowControl/>
              <w:tabs>
                <w:tab w:val="decimal" w:pos="113"/>
              </w:tabs>
              <w:spacing w:line="120" w:lineRule="auto"/>
              <w:rPr>
                <w:sz w:val="22"/>
              </w:rPr>
            </w:pPr>
          </w:p>
        </w:tc>
      </w:tr>
      <w:tr w:rsidR="00AB7D68" w:rsidRPr="00B23B2B" w14:paraId="03ABA5F8" w14:textId="77777777" w:rsidTr="00530E0E">
        <w:tc>
          <w:tcPr>
            <w:tcW w:w="4677" w:type="dxa"/>
            <w:tcMar>
              <w:top w:w="0" w:type="dxa"/>
              <w:left w:w="0" w:type="dxa"/>
              <w:bottom w:w="0" w:type="dxa"/>
              <w:right w:w="0" w:type="dxa"/>
            </w:tcMar>
            <w:vAlign w:val="bottom"/>
          </w:tcPr>
          <w:p w14:paraId="20E0C12C" w14:textId="77777777" w:rsidR="00AB7D68" w:rsidRPr="00B23B2B" w:rsidRDefault="00AB7D68" w:rsidP="00B23B2B">
            <w:pPr>
              <w:widowControl/>
              <w:tabs>
                <w:tab w:val="left" w:pos="227"/>
                <w:tab w:val="left" w:pos="397"/>
                <w:tab w:val="left" w:pos="567"/>
              </w:tabs>
              <w:spacing w:line="260" w:lineRule="exact"/>
              <w:ind w:left="283" w:hanging="227"/>
              <w:jc w:val="left"/>
              <w:rPr>
                <w:sz w:val="22"/>
                <w:rtl/>
              </w:rPr>
            </w:pPr>
            <w:r w:rsidRPr="00B23B2B">
              <w:rPr>
                <w:rFonts w:hint="cs"/>
                <w:sz w:val="22"/>
                <w:rtl/>
              </w:rPr>
              <w:t>מזומנים ושווי מזומנים</w:t>
            </w:r>
          </w:p>
        </w:tc>
        <w:tc>
          <w:tcPr>
            <w:tcW w:w="113" w:type="dxa"/>
            <w:vAlign w:val="bottom"/>
          </w:tcPr>
          <w:p w14:paraId="695F6D67" w14:textId="77777777" w:rsidR="00AB7D68" w:rsidRPr="00B23B2B" w:rsidRDefault="00AB7D68" w:rsidP="00B23B2B">
            <w:pPr>
              <w:tabs>
                <w:tab w:val="left" w:pos="0"/>
                <w:tab w:val="left" w:pos="397"/>
                <w:tab w:val="left" w:pos="510"/>
              </w:tabs>
              <w:spacing w:line="260" w:lineRule="exact"/>
              <w:rPr>
                <w:sz w:val="22"/>
              </w:rPr>
            </w:pPr>
          </w:p>
        </w:tc>
        <w:tc>
          <w:tcPr>
            <w:tcW w:w="1105" w:type="dxa"/>
            <w:vAlign w:val="bottom"/>
          </w:tcPr>
          <w:p w14:paraId="0CF50002" w14:textId="77777777" w:rsidR="00AB7D68" w:rsidRPr="00B23B2B" w:rsidRDefault="00AB7D68" w:rsidP="00B23B2B">
            <w:pPr>
              <w:tabs>
                <w:tab w:val="decimal" w:pos="113"/>
              </w:tabs>
              <w:spacing w:line="260" w:lineRule="exact"/>
              <w:rPr>
                <w:sz w:val="22"/>
              </w:rPr>
            </w:pPr>
          </w:p>
        </w:tc>
        <w:tc>
          <w:tcPr>
            <w:tcW w:w="142" w:type="dxa"/>
            <w:vAlign w:val="bottom"/>
          </w:tcPr>
          <w:p w14:paraId="2E0DFC4F" w14:textId="77777777" w:rsidR="00AB7D68" w:rsidRPr="00B23B2B" w:rsidRDefault="00AB7D68" w:rsidP="00B23B2B">
            <w:pPr>
              <w:tabs>
                <w:tab w:val="decimal" w:pos="113"/>
              </w:tabs>
              <w:spacing w:line="260" w:lineRule="exact"/>
              <w:rPr>
                <w:sz w:val="22"/>
              </w:rPr>
            </w:pPr>
          </w:p>
        </w:tc>
        <w:tc>
          <w:tcPr>
            <w:tcW w:w="1105" w:type="dxa"/>
            <w:vAlign w:val="bottom"/>
          </w:tcPr>
          <w:p w14:paraId="69952349" w14:textId="77777777" w:rsidR="00AB7D68" w:rsidRPr="00B23B2B" w:rsidRDefault="00AB7D68" w:rsidP="00B23B2B">
            <w:pPr>
              <w:tabs>
                <w:tab w:val="decimal" w:pos="113"/>
              </w:tabs>
              <w:spacing w:line="260" w:lineRule="exact"/>
              <w:rPr>
                <w:sz w:val="22"/>
              </w:rPr>
            </w:pPr>
          </w:p>
        </w:tc>
        <w:tc>
          <w:tcPr>
            <w:tcW w:w="142" w:type="dxa"/>
          </w:tcPr>
          <w:p w14:paraId="19779764" w14:textId="77777777" w:rsidR="00AB7D68" w:rsidRPr="00B23B2B" w:rsidRDefault="00AB7D68" w:rsidP="00B23B2B">
            <w:pPr>
              <w:tabs>
                <w:tab w:val="decimal" w:pos="113"/>
              </w:tabs>
              <w:spacing w:line="260" w:lineRule="exact"/>
              <w:rPr>
                <w:sz w:val="22"/>
              </w:rPr>
            </w:pPr>
          </w:p>
        </w:tc>
        <w:tc>
          <w:tcPr>
            <w:tcW w:w="1133" w:type="dxa"/>
          </w:tcPr>
          <w:p w14:paraId="1BF79213" w14:textId="77777777" w:rsidR="00AB7D68" w:rsidRPr="00B23B2B" w:rsidRDefault="00AB7D68" w:rsidP="00B23B2B">
            <w:pPr>
              <w:tabs>
                <w:tab w:val="decimal" w:pos="113"/>
              </w:tabs>
              <w:spacing w:line="260" w:lineRule="exact"/>
              <w:rPr>
                <w:sz w:val="22"/>
              </w:rPr>
            </w:pPr>
          </w:p>
        </w:tc>
      </w:tr>
      <w:tr w:rsidR="00AB7D68" w:rsidRPr="00B23B2B" w14:paraId="1E702849" w14:textId="77777777" w:rsidTr="00530E0E">
        <w:tc>
          <w:tcPr>
            <w:tcW w:w="4677" w:type="dxa"/>
            <w:tcMar>
              <w:top w:w="0" w:type="dxa"/>
              <w:left w:w="0" w:type="dxa"/>
              <w:bottom w:w="0" w:type="dxa"/>
              <w:right w:w="0" w:type="dxa"/>
            </w:tcMar>
            <w:vAlign w:val="bottom"/>
          </w:tcPr>
          <w:p w14:paraId="6B0ABE02" w14:textId="77777777" w:rsidR="00AB7D68" w:rsidRPr="00B23B2B" w:rsidRDefault="00AB7D68" w:rsidP="00B23B2B">
            <w:pPr>
              <w:widowControl/>
              <w:tabs>
                <w:tab w:val="left" w:pos="227"/>
                <w:tab w:val="left" w:pos="397"/>
                <w:tab w:val="left" w:pos="567"/>
              </w:tabs>
              <w:spacing w:line="260" w:lineRule="exact"/>
              <w:ind w:left="283" w:hanging="227"/>
              <w:jc w:val="left"/>
              <w:rPr>
                <w:sz w:val="22"/>
                <w:rtl/>
              </w:rPr>
            </w:pPr>
            <w:r w:rsidRPr="00B23B2B">
              <w:rPr>
                <w:rFonts w:hint="cs"/>
                <w:sz w:val="22"/>
                <w:rtl/>
              </w:rPr>
              <w:t>חייבים ויתרות חובה</w:t>
            </w:r>
          </w:p>
        </w:tc>
        <w:tc>
          <w:tcPr>
            <w:tcW w:w="113" w:type="dxa"/>
            <w:vAlign w:val="bottom"/>
          </w:tcPr>
          <w:p w14:paraId="1628454B" w14:textId="77777777" w:rsidR="00AB7D68" w:rsidRPr="00B23B2B" w:rsidRDefault="00AB7D68" w:rsidP="00B23B2B">
            <w:pPr>
              <w:tabs>
                <w:tab w:val="left" w:pos="0"/>
                <w:tab w:val="left" w:pos="397"/>
                <w:tab w:val="left" w:pos="510"/>
              </w:tabs>
              <w:spacing w:line="260" w:lineRule="exact"/>
              <w:rPr>
                <w:sz w:val="22"/>
              </w:rPr>
            </w:pPr>
          </w:p>
        </w:tc>
        <w:tc>
          <w:tcPr>
            <w:tcW w:w="1105" w:type="dxa"/>
            <w:vAlign w:val="bottom"/>
          </w:tcPr>
          <w:p w14:paraId="21F71DBF" w14:textId="77777777" w:rsidR="00AB7D68" w:rsidRPr="00B23B2B" w:rsidRDefault="00AB7D68" w:rsidP="00B23B2B">
            <w:pPr>
              <w:tabs>
                <w:tab w:val="decimal" w:pos="113"/>
              </w:tabs>
              <w:spacing w:line="260" w:lineRule="exact"/>
              <w:rPr>
                <w:sz w:val="22"/>
              </w:rPr>
            </w:pPr>
          </w:p>
        </w:tc>
        <w:tc>
          <w:tcPr>
            <w:tcW w:w="142" w:type="dxa"/>
            <w:vAlign w:val="bottom"/>
          </w:tcPr>
          <w:p w14:paraId="203CF783" w14:textId="77777777" w:rsidR="00AB7D68" w:rsidRPr="00B23B2B" w:rsidRDefault="00AB7D68" w:rsidP="00B23B2B">
            <w:pPr>
              <w:tabs>
                <w:tab w:val="decimal" w:pos="113"/>
              </w:tabs>
              <w:spacing w:line="260" w:lineRule="exact"/>
              <w:rPr>
                <w:sz w:val="22"/>
              </w:rPr>
            </w:pPr>
          </w:p>
        </w:tc>
        <w:tc>
          <w:tcPr>
            <w:tcW w:w="1105" w:type="dxa"/>
            <w:vAlign w:val="bottom"/>
          </w:tcPr>
          <w:p w14:paraId="5DF02F3C" w14:textId="77777777" w:rsidR="00AB7D68" w:rsidRPr="00B23B2B" w:rsidRDefault="00AB7D68" w:rsidP="00B23B2B">
            <w:pPr>
              <w:tabs>
                <w:tab w:val="decimal" w:pos="113"/>
              </w:tabs>
              <w:spacing w:line="260" w:lineRule="exact"/>
              <w:rPr>
                <w:sz w:val="22"/>
              </w:rPr>
            </w:pPr>
          </w:p>
        </w:tc>
        <w:tc>
          <w:tcPr>
            <w:tcW w:w="142" w:type="dxa"/>
          </w:tcPr>
          <w:p w14:paraId="6250F80C" w14:textId="77777777" w:rsidR="00AB7D68" w:rsidRPr="00B23B2B" w:rsidRDefault="00AB7D68" w:rsidP="00B23B2B">
            <w:pPr>
              <w:tabs>
                <w:tab w:val="decimal" w:pos="113"/>
              </w:tabs>
              <w:spacing w:line="260" w:lineRule="exact"/>
              <w:rPr>
                <w:sz w:val="22"/>
              </w:rPr>
            </w:pPr>
          </w:p>
        </w:tc>
        <w:tc>
          <w:tcPr>
            <w:tcW w:w="1133" w:type="dxa"/>
          </w:tcPr>
          <w:p w14:paraId="5748C9BC" w14:textId="77777777" w:rsidR="00AB7D68" w:rsidRPr="00B23B2B" w:rsidRDefault="00AB7D68" w:rsidP="00B23B2B">
            <w:pPr>
              <w:tabs>
                <w:tab w:val="decimal" w:pos="113"/>
              </w:tabs>
              <w:spacing w:line="260" w:lineRule="exact"/>
              <w:rPr>
                <w:sz w:val="22"/>
              </w:rPr>
            </w:pPr>
          </w:p>
        </w:tc>
      </w:tr>
      <w:tr w:rsidR="00AB7D68" w:rsidRPr="00B23B2B" w14:paraId="31BFAB0B" w14:textId="77777777" w:rsidTr="00530E0E">
        <w:tc>
          <w:tcPr>
            <w:tcW w:w="4677" w:type="dxa"/>
            <w:tcMar>
              <w:top w:w="0" w:type="dxa"/>
              <w:left w:w="0" w:type="dxa"/>
              <w:bottom w:w="0" w:type="dxa"/>
              <w:right w:w="0" w:type="dxa"/>
            </w:tcMar>
            <w:vAlign w:val="bottom"/>
          </w:tcPr>
          <w:p w14:paraId="4FC63D14" w14:textId="77777777" w:rsidR="00F41C12" w:rsidRPr="00B23B2B" w:rsidRDefault="00AB7D68" w:rsidP="00B23B2B">
            <w:pPr>
              <w:widowControl/>
              <w:tabs>
                <w:tab w:val="left" w:pos="227"/>
                <w:tab w:val="left" w:pos="397"/>
                <w:tab w:val="left" w:pos="567"/>
              </w:tabs>
              <w:spacing w:line="260" w:lineRule="exact"/>
              <w:ind w:left="283" w:hanging="227"/>
              <w:jc w:val="left"/>
              <w:rPr>
                <w:sz w:val="22"/>
                <w:rtl/>
              </w:rPr>
            </w:pPr>
            <w:r w:rsidRPr="00B23B2B">
              <w:rPr>
                <w:rFonts w:hint="cs"/>
                <w:sz w:val="22"/>
                <w:rtl/>
              </w:rPr>
              <w:t>רכוש קבוע</w:t>
            </w:r>
          </w:p>
        </w:tc>
        <w:tc>
          <w:tcPr>
            <w:tcW w:w="113" w:type="dxa"/>
            <w:vAlign w:val="bottom"/>
          </w:tcPr>
          <w:p w14:paraId="032209D4" w14:textId="77777777" w:rsidR="00AB7D68" w:rsidRPr="00B23B2B" w:rsidRDefault="00AB7D68" w:rsidP="00B23B2B">
            <w:pPr>
              <w:tabs>
                <w:tab w:val="left" w:pos="0"/>
                <w:tab w:val="left" w:pos="397"/>
                <w:tab w:val="left" w:pos="510"/>
              </w:tabs>
              <w:spacing w:line="260" w:lineRule="exact"/>
              <w:rPr>
                <w:sz w:val="22"/>
              </w:rPr>
            </w:pPr>
          </w:p>
        </w:tc>
        <w:tc>
          <w:tcPr>
            <w:tcW w:w="1105" w:type="dxa"/>
            <w:vAlign w:val="bottom"/>
          </w:tcPr>
          <w:p w14:paraId="4BDFAA29" w14:textId="77777777" w:rsidR="00AB7D68" w:rsidRPr="00B23B2B" w:rsidRDefault="00AB7D68" w:rsidP="00B23B2B">
            <w:pPr>
              <w:tabs>
                <w:tab w:val="decimal" w:pos="113"/>
              </w:tabs>
              <w:spacing w:line="260" w:lineRule="exact"/>
              <w:rPr>
                <w:sz w:val="22"/>
              </w:rPr>
            </w:pPr>
          </w:p>
        </w:tc>
        <w:tc>
          <w:tcPr>
            <w:tcW w:w="142" w:type="dxa"/>
            <w:vAlign w:val="bottom"/>
          </w:tcPr>
          <w:p w14:paraId="5E8FBDD0" w14:textId="77777777" w:rsidR="00AB7D68" w:rsidRPr="00B23B2B" w:rsidRDefault="00AB7D68" w:rsidP="00B23B2B">
            <w:pPr>
              <w:tabs>
                <w:tab w:val="decimal" w:pos="113"/>
              </w:tabs>
              <w:spacing w:line="260" w:lineRule="exact"/>
              <w:rPr>
                <w:sz w:val="22"/>
              </w:rPr>
            </w:pPr>
          </w:p>
        </w:tc>
        <w:tc>
          <w:tcPr>
            <w:tcW w:w="1105" w:type="dxa"/>
            <w:vAlign w:val="bottom"/>
          </w:tcPr>
          <w:p w14:paraId="4B71BA04" w14:textId="77777777" w:rsidR="00AB7D68" w:rsidRPr="00B23B2B" w:rsidRDefault="00AB7D68" w:rsidP="00B23B2B">
            <w:pPr>
              <w:tabs>
                <w:tab w:val="decimal" w:pos="113"/>
              </w:tabs>
              <w:spacing w:line="260" w:lineRule="exact"/>
              <w:rPr>
                <w:sz w:val="22"/>
              </w:rPr>
            </w:pPr>
          </w:p>
        </w:tc>
        <w:tc>
          <w:tcPr>
            <w:tcW w:w="142" w:type="dxa"/>
          </w:tcPr>
          <w:p w14:paraId="64FA030B" w14:textId="77777777" w:rsidR="00AB7D68" w:rsidRPr="00B23B2B" w:rsidRDefault="00AB7D68" w:rsidP="00B23B2B">
            <w:pPr>
              <w:tabs>
                <w:tab w:val="decimal" w:pos="113"/>
              </w:tabs>
              <w:spacing w:line="260" w:lineRule="exact"/>
              <w:rPr>
                <w:sz w:val="22"/>
              </w:rPr>
            </w:pPr>
          </w:p>
        </w:tc>
        <w:tc>
          <w:tcPr>
            <w:tcW w:w="1133" w:type="dxa"/>
          </w:tcPr>
          <w:p w14:paraId="6653A3CC" w14:textId="77777777" w:rsidR="00AB7D68" w:rsidRPr="00B23B2B" w:rsidRDefault="00AB7D68" w:rsidP="00B23B2B">
            <w:pPr>
              <w:tabs>
                <w:tab w:val="decimal" w:pos="113"/>
              </w:tabs>
              <w:spacing w:line="260" w:lineRule="exact"/>
              <w:rPr>
                <w:sz w:val="22"/>
              </w:rPr>
            </w:pPr>
          </w:p>
        </w:tc>
      </w:tr>
      <w:tr w:rsidR="00AB7D68" w:rsidRPr="00B23B2B" w14:paraId="43B9396A" w14:textId="77777777" w:rsidTr="00530E0E">
        <w:tc>
          <w:tcPr>
            <w:tcW w:w="4677" w:type="dxa"/>
            <w:tcMar>
              <w:top w:w="0" w:type="dxa"/>
              <w:left w:w="0" w:type="dxa"/>
              <w:bottom w:w="0" w:type="dxa"/>
              <w:right w:w="0" w:type="dxa"/>
            </w:tcMar>
            <w:vAlign w:val="bottom"/>
          </w:tcPr>
          <w:p w14:paraId="211187FC" w14:textId="77777777" w:rsidR="00F41C12" w:rsidRPr="00B23B2B" w:rsidRDefault="00AB7D68" w:rsidP="00B23B2B">
            <w:pPr>
              <w:widowControl/>
              <w:tabs>
                <w:tab w:val="left" w:pos="227"/>
                <w:tab w:val="left" w:pos="397"/>
                <w:tab w:val="left" w:pos="567"/>
              </w:tabs>
              <w:spacing w:line="260" w:lineRule="exact"/>
              <w:ind w:left="283" w:hanging="227"/>
              <w:jc w:val="left"/>
              <w:rPr>
                <w:sz w:val="22"/>
              </w:rPr>
            </w:pPr>
            <w:r w:rsidRPr="00B23B2B">
              <w:rPr>
                <w:rFonts w:hint="cs"/>
                <w:sz w:val="22"/>
                <w:rtl/>
              </w:rPr>
              <w:t>נכסים בלתי מוחשיים</w:t>
            </w:r>
          </w:p>
        </w:tc>
        <w:tc>
          <w:tcPr>
            <w:tcW w:w="113" w:type="dxa"/>
            <w:vAlign w:val="bottom"/>
          </w:tcPr>
          <w:p w14:paraId="389A90DC" w14:textId="77777777" w:rsidR="00AB7D68" w:rsidRPr="00B23B2B" w:rsidRDefault="00AB7D68" w:rsidP="00B23B2B">
            <w:pPr>
              <w:tabs>
                <w:tab w:val="left" w:pos="0"/>
                <w:tab w:val="left" w:pos="397"/>
                <w:tab w:val="left" w:pos="510"/>
              </w:tabs>
              <w:spacing w:line="260" w:lineRule="exact"/>
              <w:rPr>
                <w:sz w:val="22"/>
              </w:rPr>
            </w:pPr>
          </w:p>
        </w:tc>
        <w:tc>
          <w:tcPr>
            <w:tcW w:w="1105" w:type="dxa"/>
            <w:tcBorders>
              <w:bottom w:val="single" w:sz="6" w:space="0" w:color="auto"/>
            </w:tcBorders>
            <w:shd w:val="clear" w:color="auto" w:fill="auto"/>
            <w:vAlign w:val="bottom"/>
          </w:tcPr>
          <w:p w14:paraId="1CB4183F" w14:textId="77777777" w:rsidR="00AB7D68" w:rsidRPr="00B23B2B" w:rsidRDefault="00AB7D68" w:rsidP="00B23B2B">
            <w:pPr>
              <w:tabs>
                <w:tab w:val="decimal" w:pos="113"/>
              </w:tabs>
              <w:spacing w:line="260" w:lineRule="exact"/>
              <w:rPr>
                <w:sz w:val="22"/>
              </w:rPr>
            </w:pPr>
          </w:p>
        </w:tc>
        <w:tc>
          <w:tcPr>
            <w:tcW w:w="142" w:type="dxa"/>
            <w:vAlign w:val="bottom"/>
          </w:tcPr>
          <w:p w14:paraId="4412F7F0" w14:textId="77777777" w:rsidR="00AB7D68" w:rsidRPr="00B23B2B" w:rsidRDefault="00AB7D68" w:rsidP="00B23B2B">
            <w:pPr>
              <w:tabs>
                <w:tab w:val="decimal" w:pos="113"/>
              </w:tabs>
              <w:spacing w:line="260" w:lineRule="exact"/>
              <w:rPr>
                <w:sz w:val="22"/>
              </w:rPr>
            </w:pPr>
          </w:p>
        </w:tc>
        <w:tc>
          <w:tcPr>
            <w:tcW w:w="1105" w:type="dxa"/>
            <w:tcBorders>
              <w:bottom w:val="single" w:sz="6" w:space="0" w:color="auto"/>
            </w:tcBorders>
            <w:shd w:val="clear" w:color="auto" w:fill="auto"/>
            <w:vAlign w:val="bottom"/>
          </w:tcPr>
          <w:p w14:paraId="26BE7DDE" w14:textId="77777777" w:rsidR="00AB7D68" w:rsidRPr="00B23B2B" w:rsidRDefault="00AB7D68" w:rsidP="00B23B2B">
            <w:pPr>
              <w:tabs>
                <w:tab w:val="decimal" w:pos="113"/>
              </w:tabs>
              <w:spacing w:line="260" w:lineRule="exact"/>
              <w:rPr>
                <w:sz w:val="22"/>
              </w:rPr>
            </w:pPr>
          </w:p>
        </w:tc>
        <w:tc>
          <w:tcPr>
            <w:tcW w:w="142" w:type="dxa"/>
          </w:tcPr>
          <w:p w14:paraId="74EF72A8" w14:textId="77777777" w:rsidR="00AB7D68" w:rsidRPr="00B23B2B" w:rsidRDefault="00AB7D68" w:rsidP="00B23B2B">
            <w:pPr>
              <w:tabs>
                <w:tab w:val="decimal" w:pos="113"/>
              </w:tabs>
              <w:spacing w:line="260" w:lineRule="exact"/>
              <w:rPr>
                <w:sz w:val="22"/>
              </w:rPr>
            </w:pPr>
          </w:p>
        </w:tc>
        <w:tc>
          <w:tcPr>
            <w:tcW w:w="1133" w:type="dxa"/>
            <w:tcBorders>
              <w:bottom w:val="single" w:sz="6" w:space="0" w:color="auto"/>
            </w:tcBorders>
            <w:shd w:val="clear" w:color="auto" w:fill="auto"/>
          </w:tcPr>
          <w:p w14:paraId="210E7C09" w14:textId="77777777" w:rsidR="00AB7D68" w:rsidRPr="00B23B2B" w:rsidRDefault="00AB7D68" w:rsidP="00B23B2B">
            <w:pPr>
              <w:tabs>
                <w:tab w:val="decimal" w:pos="113"/>
              </w:tabs>
              <w:spacing w:line="260" w:lineRule="exact"/>
              <w:rPr>
                <w:sz w:val="22"/>
              </w:rPr>
            </w:pPr>
          </w:p>
        </w:tc>
      </w:tr>
      <w:tr w:rsidR="00AB7D68" w:rsidRPr="00B23B2B" w14:paraId="6BF2DC65" w14:textId="77777777" w:rsidTr="00530E0E">
        <w:tc>
          <w:tcPr>
            <w:tcW w:w="4677" w:type="dxa"/>
            <w:tcMar>
              <w:top w:w="0" w:type="dxa"/>
              <w:left w:w="0" w:type="dxa"/>
              <w:bottom w:w="0" w:type="dxa"/>
              <w:right w:w="0" w:type="dxa"/>
            </w:tcMar>
            <w:vAlign w:val="bottom"/>
          </w:tcPr>
          <w:p w14:paraId="33DC70AC" w14:textId="77777777" w:rsidR="00AB7D68" w:rsidRPr="00B23B2B" w:rsidRDefault="00AB7D68" w:rsidP="00B23B2B">
            <w:pPr>
              <w:widowControl/>
              <w:tabs>
                <w:tab w:val="left" w:pos="227"/>
                <w:tab w:val="left" w:pos="397"/>
                <w:tab w:val="left" w:pos="567"/>
              </w:tabs>
              <w:spacing w:line="260" w:lineRule="exact"/>
              <w:ind w:left="283" w:hanging="227"/>
              <w:jc w:val="left"/>
              <w:rPr>
                <w:sz w:val="22"/>
              </w:rPr>
            </w:pPr>
          </w:p>
        </w:tc>
        <w:tc>
          <w:tcPr>
            <w:tcW w:w="113" w:type="dxa"/>
            <w:vAlign w:val="bottom"/>
          </w:tcPr>
          <w:p w14:paraId="2ADB562B" w14:textId="77777777" w:rsidR="00AB7D68" w:rsidRPr="00B23B2B" w:rsidRDefault="00AB7D68" w:rsidP="00B23B2B">
            <w:pPr>
              <w:tabs>
                <w:tab w:val="left" w:pos="0"/>
                <w:tab w:val="left" w:pos="397"/>
                <w:tab w:val="left" w:pos="510"/>
              </w:tabs>
              <w:spacing w:line="260" w:lineRule="exact"/>
              <w:rPr>
                <w:sz w:val="22"/>
              </w:rPr>
            </w:pPr>
          </w:p>
        </w:tc>
        <w:tc>
          <w:tcPr>
            <w:tcW w:w="1105" w:type="dxa"/>
            <w:tcBorders>
              <w:top w:val="single" w:sz="6" w:space="0" w:color="auto"/>
            </w:tcBorders>
            <w:vAlign w:val="bottom"/>
          </w:tcPr>
          <w:p w14:paraId="3B8587BD" w14:textId="77777777" w:rsidR="00AB7D68" w:rsidRPr="00B23B2B" w:rsidRDefault="00AB7D68" w:rsidP="00B23B2B">
            <w:pPr>
              <w:tabs>
                <w:tab w:val="decimal" w:pos="113"/>
              </w:tabs>
              <w:spacing w:line="260" w:lineRule="exact"/>
              <w:rPr>
                <w:sz w:val="22"/>
              </w:rPr>
            </w:pPr>
          </w:p>
        </w:tc>
        <w:tc>
          <w:tcPr>
            <w:tcW w:w="142" w:type="dxa"/>
            <w:vAlign w:val="bottom"/>
          </w:tcPr>
          <w:p w14:paraId="0CB52884" w14:textId="77777777" w:rsidR="00AB7D68" w:rsidRPr="00B23B2B" w:rsidRDefault="00AB7D68" w:rsidP="00B23B2B">
            <w:pPr>
              <w:tabs>
                <w:tab w:val="decimal" w:pos="113"/>
              </w:tabs>
              <w:spacing w:line="260" w:lineRule="exact"/>
              <w:rPr>
                <w:sz w:val="22"/>
              </w:rPr>
            </w:pPr>
          </w:p>
        </w:tc>
        <w:tc>
          <w:tcPr>
            <w:tcW w:w="1105" w:type="dxa"/>
            <w:tcBorders>
              <w:top w:val="single" w:sz="6" w:space="0" w:color="auto"/>
            </w:tcBorders>
            <w:vAlign w:val="bottom"/>
          </w:tcPr>
          <w:p w14:paraId="1CE0150A" w14:textId="77777777" w:rsidR="00AB7D68" w:rsidRPr="00B23B2B" w:rsidRDefault="00AB7D68" w:rsidP="00B23B2B">
            <w:pPr>
              <w:tabs>
                <w:tab w:val="decimal" w:pos="113"/>
              </w:tabs>
              <w:spacing w:line="260" w:lineRule="exact"/>
              <w:rPr>
                <w:sz w:val="22"/>
              </w:rPr>
            </w:pPr>
          </w:p>
        </w:tc>
        <w:tc>
          <w:tcPr>
            <w:tcW w:w="142" w:type="dxa"/>
          </w:tcPr>
          <w:p w14:paraId="5B93E63D" w14:textId="77777777" w:rsidR="00AB7D68" w:rsidRPr="00B23B2B" w:rsidRDefault="00AB7D68" w:rsidP="00B23B2B">
            <w:pPr>
              <w:tabs>
                <w:tab w:val="decimal" w:pos="113"/>
              </w:tabs>
              <w:spacing w:line="260" w:lineRule="exact"/>
              <w:rPr>
                <w:sz w:val="22"/>
              </w:rPr>
            </w:pPr>
          </w:p>
        </w:tc>
        <w:tc>
          <w:tcPr>
            <w:tcW w:w="1133" w:type="dxa"/>
            <w:tcBorders>
              <w:top w:val="single" w:sz="6" w:space="0" w:color="auto"/>
            </w:tcBorders>
          </w:tcPr>
          <w:p w14:paraId="53F4A88C" w14:textId="77777777" w:rsidR="00AB7D68" w:rsidRPr="00B23B2B" w:rsidRDefault="00AB7D68" w:rsidP="00B23B2B">
            <w:pPr>
              <w:tabs>
                <w:tab w:val="decimal" w:pos="113"/>
              </w:tabs>
              <w:spacing w:line="260" w:lineRule="exact"/>
              <w:rPr>
                <w:sz w:val="22"/>
              </w:rPr>
            </w:pPr>
          </w:p>
        </w:tc>
      </w:tr>
      <w:tr w:rsidR="00AB7D68" w:rsidRPr="00B23B2B" w14:paraId="298247C0" w14:textId="77777777" w:rsidTr="00530E0E">
        <w:tc>
          <w:tcPr>
            <w:tcW w:w="4677" w:type="dxa"/>
            <w:tcMar>
              <w:top w:w="0" w:type="dxa"/>
              <w:left w:w="0" w:type="dxa"/>
              <w:bottom w:w="0" w:type="dxa"/>
              <w:right w:w="0" w:type="dxa"/>
            </w:tcMar>
            <w:vAlign w:val="bottom"/>
          </w:tcPr>
          <w:p w14:paraId="5EFE1137" w14:textId="77777777" w:rsidR="00F41C12" w:rsidRPr="00B23B2B" w:rsidRDefault="00AB7D68" w:rsidP="00B23B2B">
            <w:pPr>
              <w:widowControl/>
              <w:tabs>
                <w:tab w:val="left" w:pos="227"/>
                <w:tab w:val="left" w:pos="397"/>
                <w:tab w:val="left" w:pos="567"/>
              </w:tabs>
              <w:spacing w:line="260" w:lineRule="exact"/>
              <w:ind w:left="283" w:hanging="227"/>
              <w:jc w:val="left"/>
              <w:rPr>
                <w:sz w:val="22"/>
              </w:rPr>
            </w:pPr>
            <w:r w:rsidRPr="00B23B2B">
              <w:rPr>
                <w:rFonts w:hint="cs"/>
                <w:sz w:val="22"/>
                <w:rtl/>
              </w:rPr>
              <w:t xml:space="preserve">נכסים </w:t>
            </w:r>
            <w:r w:rsidR="00F825EE" w:rsidRPr="00B23B2B">
              <w:rPr>
                <w:rFonts w:hint="cs"/>
                <w:sz w:val="22"/>
                <w:rtl/>
              </w:rPr>
              <w:t>המוחזקים למכירה</w:t>
            </w:r>
          </w:p>
        </w:tc>
        <w:tc>
          <w:tcPr>
            <w:tcW w:w="113" w:type="dxa"/>
            <w:vAlign w:val="bottom"/>
          </w:tcPr>
          <w:p w14:paraId="53E75501" w14:textId="77777777" w:rsidR="00AB7D68" w:rsidRPr="00B23B2B" w:rsidRDefault="00AB7D68" w:rsidP="00B23B2B">
            <w:pPr>
              <w:tabs>
                <w:tab w:val="left" w:pos="0"/>
                <w:tab w:val="left" w:pos="397"/>
                <w:tab w:val="left" w:pos="510"/>
              </w:tabs>
              <w:spacing w:line="260" w:lineRule="exact"/>
              <w:rPr>
                <w:sz w:val="22"/>
              </w:rPr>
            </w:pPr>
          </w:p>
        </w:tc>
        <w:tc>
          <w:tcPr>
            <w:tcW w:w="1105" w:type="dxa"/>
            <w:tcBorders>
              <w:bottom w:val="single" w:sz="6" w:space="0" w:color="auto"/>
            </w:tcBorders>
            <w:shd w:val="clear" w:color="auto" w:fill="auto"/>
            <w:vAlign w:val="bottom"/>
          </w:tcPr>
          <w:p w14:paraId="6CB4E206" w14:textId="77777777" w:rsidR="00AB7D68" w:rsidRPr="00B23B2B" w:rsidRDefault="00AB7D68" w:rsidP="00B23B2B">
            <w:pPr>
              <w:tabs>
                <w:tab w:val="decimal" w:pos="113"/>
              </w:tabs>
              <w:spacing w:line="260" w:lineRule="exact"/>
              <w:rPr>
                <w:sz w:val="22"/>
              </w:rPr>
            </w:pPr>
          </w:p>
        </w:tc>
        <w:tc>
          <w:tcPr>
            <w:tcW w:w="142" w:type="dxa"/>
            <w:vAlign w:val="bottom"/>
          </w:tcPr>
          <w:p w14:paraId="724FF823" w14:textId="77777777" w:rsidR="00AB7D68" w:rsidRPr="00B23B2B" w:rsidRDefault="00AB7D68" w:rsidP="00B23B2B">
            <w:pPr>
              <w:tabs>
                <w:tab w:val="decimal" w:pos="113"/>
              </w:tabs>
              <w:spacing w:line="260" w:lineRule="exact"/>
              <w:rPr>
                <w:sz w:val="22"/>
              </w:rPr>
            </w:pPr>
          </w:p>
        </w:tc>
        <w:tc>
          <w:tcPr>
            <w:tcW w:w="1105" w:type="dxa"/>
            <w:tcBorders>
              <w:bottom w:val="single" w:sz="6" w:space="0" w:color="auto"/>
            </w:tcBorders>
            <w:shd w:val="clear" w:color="auto" w:fill="auto"/>
            <w:vAlign w:val="bottom"/>
          </w:tcPr>
          <w:p w14:paraId="00EF4F94" w14:textId="77777777" w:rsidR="00AB7D68" w:rsidRPr="00B23B2B" w:rsidRDefault="00AB7D68" w:rsidP="00B23B2B">
            <w:pPr>
              <w:tabs>
                <w:tab w:val="decimal" w:pos="113"/>
              </w:tabs>
              <w:spacing w:line="260" w:lineRule="exact"/>
              <w:rPr>
                <w:sz w:val="22"/>
              </w:rPr>
            </w:pPr>
          </w:p>
        </w:tc>
        <w:tc>
          <w:tcPr>
            <w:tcW w:w="142" w:type="dxa"/>
          </w:tcPr>
          <w:p w14:paraId="77CC93CA" w14:textId="77777777" w:rsidR="00AB7D68" w:rsidRPr="00B23B2B" w:rsidRDefault="00AB7D68" w:rsidP="00B23B2B">
            <w:pPr>
              <w:tabs>
                <w:tab w:val="decimal" w:pos="113"/>
              </w:tabs>
              <w:spacing w:line="260" w:lineRule="exact"/>
              <w:rPr>
                <w:sz w:val="22"/>
              </w:rPr>
            </w:pPr>
          </w:p>
        </w:tc>
        <w:tc>
          <w:tcPr>
            <w:tcW w:w="1133" w:type="dxa"/>
            <w:tcBorders>
              <w:bottom w:val="single" w:sz="6" w:space="0" w:color="auto"/>
            </w:tcBorders>
            <w:shd w:val="clear" w:color="auto" w:fill="auto"/>
          </w:tcPr>
          <w:p w14:paraId="7E4EA0F8" w14:textId="77777777" w:rsidR="00AB7D68" w:rsidRPr="00B23B2B" w:rsidRDefault="00AB7D68" w:rsidP="00B23B2B">
            <w:pPr>
              <w:tabs>
                <w:tab w:val="decimal" w:pos="113"/>
              </w:tabs>
              <w:spacing w:line="260" w:lineRule="exact"/>
              <w:rPr>
                <w:sz w:val="22"/>
              </w:rPr>
            </w:pPr>
          </w:p>
        </w:tc>
      </w:tr>
      <w:tr w:rsidR="00AB7D68" w:rsidRPr="00B23B2B" w14:paraId="0ED0C605" w14:textId="77777777" w:rsidTr="00530E0E">
        <w:tc>
          <w:tcPr>
            <w:tcW w:w="4677" w:type="dxa"/>
            <w:tcMar>
              <w:top w:w="0" w:type="dxa"/>
              <w:left w:w="0" w:type="dxa"/>
              <w:bottom w:w="0" w:type="dxa"/>
              <w:right w:w="0" w:type="dxa"/>
            </w:tcMar>
            <w:vAlign w:val="bottom"/>
          </w:tcPr>
          <w:p w14:paraId="06075BC2" w14:textId="77777777" w:rsidR="00AB7D68" w:rsidRPr="00B23B2B" w:rsidRDefault="00AB7D68" w:rsidP="00B23B2B">
            <w:pPr>
              <w:widowControl/>
              <w:tabs>
                <w:tab w:val="left" w:pos="227"/>
                <w:tab w:val="left" w:pos="397"/>
                <w:tab w:val="left" w:pos="567"/>
              </w:tabs>
              <w:spacing w:line="260" w:lineRule="exact"/>
              <w:ind w:left="283" w:hanging="227"/>
              <w:jc w:val="left"/>
              <w:rPr>
                <w:sz w:val="22"/>
                <w:u w:val="single"/>
                <w:rtl/>
              </w:rPr>
            </w:pPr>
          </w:p>
        </w:tc>
        <w:tc>
          <w:tcPr>
            <w:tcW w:w="113" w:type="dxa"/>
            <w:vAlign w:val="bottom"/>
          </w:tcPr>
          <w:p w14:paraId="6357CE22" w14:textId="77777777" w:rsidR="00AB7D68" w:rsidRPr="00B23B2B" w:rsidRDefault="00AB7D68" w:rsidP="00B23B2B">
            <w:pPr>
              <w:tabs>
                <w:tab w:val="left" w:pos="0"/>
                <w:tab w:val="left" w:pos="397"/>
                <w:tab w:val="left" w:pos="510"/>
              </w:tabs>
              <w:spacing w:line="260" w:lineRule="exact"/>
              <w:rPr>
                <w:sz w:val="22"/>
              </w:rPr>
            </w:pPr>
          </w:p>
        </w:tc>
        <w:tc>
          <w:tcPr>
            <w:tcW w:w="1105" w:type="dxa"/>
            <w:tcBorders>
              <w:top w:val="single" w:sz="6" w:space="0" w:color="auto"/>
            </w:tcBorders>
            <w:vAlign w:val="bottom"/>
          </w:tcPr>
          <w:p w14:paraId="3A8BD215" w14:textId="77777777" w:rsidR="00AB7D68" w:rsidRPr="00B23B2B" w:rsidRDefault="00AB7D68" w:rsidP="00B23B2B">
            <w:pPr>
              <w:tabs>
                <w:tab w:val="decimal" w:pos="113"/>
              </w:tabs>
              <w:spacing w:line="260" w:lineRule="exact"/>
              <w:rPr>
                <w:sz w:val="22"/>
              </w:rPr>
            </w:pPr>
          </w:p>
        </w:tc>
        <w:tc>
          <w:tcPr>
            <w:tcW w:w="142" w:type="dxa"/>
            <w:vAlign w:val="bottom"/>
          </w:tcPr>
          <w:p w14:paraId="21074067" w14:textId="77777777" w:rsidR="00AB7D68" w:rsidRPr="00B23B2B" w:rsidRDefault="00AB7D68" w:rsidP="00B23B2B">
            <w:pPr>
              <w:tabs>
                <w:tab w:val="decimal" w:pos="113"/>
              </w:tabs>
              <w:spacing w:line="260" w:lineRule="exact"/>
              <w:rPr>
                <w:sz w:val="22"/>
              </w:rPr>
            </w:pPr>
          </w:p>
        </w:tc>
        <w:tc>
          <w:tcPr>
            <w:tcW w:w="1105" w:type="dxa"/>
            <w:tcBorders>
              <w:top w:val="single" w:sz="6" w:space="0" w:color="auto"/>
            </w:tcBorders>
            <w:vAlign w:val="bottom"/>
          </w:tcPr>
          <w:p w14:paraId="2E3E81EA" w14:textId="77777777" w:rsidR="00AB7D68" w:rsidRPr="00B23B2B" w:rsidRDefault="00AB7D68" w:rsidP="00B23B2B">
            <w:pPr>
              <w:tabs>
                <w:tab w:val="decimal" w:pos="113"/>
              </w:tabs>
              <w:spacing w:line="260" w:lineRule="exact"/>
              <w:rPr>
                <w:sz w:val="22"/>
              </w:rPr>
            </w:pPr>
          </w:p>
        </w:tc>
        <w:tc>
          <w:tcPr>
            <w:tcW w:w="142" w:type="dxa"/>
          </w:tcPr>
          <w:p w14:paraId="2F0AC753" w14:textId="77777777" w:rsidR="00AB7D68" w:rsidRPr="00B23B2B" w:rsidRDefault="00AB7D68" w:rsidP="00B23B2B">
            <w:pPr>
              <w:tabs>
                <w:tab w:val="decimal" w:pos="113"/>
              </w:tabs>
              <w:spacing w:line="260" w:lineRule="exact"/>
              <w:rPr>
                <w:sz w:val="22"/>
              </w:rPr>
            </w:pPr>
          </w:p>
        </w:tc>
        <w:tc>
          <w:tcPr>
            <w:tcW w:w="1133" w:type="dxa"/>
            <w:tcBorders>
              <w:top w:val="single" w:sz="6" w:space="0" w:color="auto"/>
            </w:tcBorders>
          </w:tcPr>
          <w:p w14:paraId="4B8D8269" w14:textId="77777777" w:rsidR="00AB7D68" w:rsidRPr="00B23B2B" w:rsidRDefault="00AB7D68" w:rsidP="00B23B2B">
            <w:pPr>
              <w:tabs>
                <w:tab w:val="decimal" w:pos="113"/>
              </w:tabs>
              <w:spacing w:line="260" w:lineRule="exact"/>
              <w:rPr>
                <w:sz w:val="22"/>
              </w:rPr>
            </w:pPr>
          </w:p>
        </w:tc>
      </w:tr>
      <w:tr w:rsidR="00AB7D68" w:rsidRPr="00B23B2B" w14:paraId="1FD3A62B" w14:textId="77777777" w:rsidTr="00530E0E">
        <w:tc>
          <w:tcPr>
            <w:tcW w:w="4677" w:type="dxa"/>
            <w:tcMar>
              <w:top w:w="0" w:type="dxa"/>
              <w:left w:w="0" w:type="dxa"/>
              <w:bottom w:w="0" w:type="dxa"/>
              <w:right w:w="0" w:type="dxa"/>
            </w:tcMar>
            <w:vAlign w:val="bottom"/>
          </w:tcPr>
          <w:p w14:paraId="7A49796A" w14:textId="77777777" w:rsidR="00AB7D68" w:rsidRPr="00B23B2B" w:rsidRDefault="00AB7D68" w:rsidP="00B23B2B">
            <w:pPr>
              <w:widowControl/>
              <w:tabs>
                <w:tab w:val="left" w:pos="227"/>
                <w:tab w:val="left" w:pos="397"/>
                <w:tab w:val="left" w:pos="567"/>
              </w:tabs>
              <w:spacing w:line="260" w:lineRule="exact"/>
              <w:ind w:left="283" w:hanging="227"/>
              <w:jc w:val="left"/>
              <w:rPr>
                <w:sz w:val="22"/>
                <w:u w:val="single"/>
              </w:rPr>
            </w:pPr>
            <w:r w:rsidRPr="00B23B2B">
              <w:rPr>
                <w:rFonts w:hint="cs"/>
                <w:sz w:val="22"/>
                <w:u w:val="single"/>
                <w:rtl/>
              </w:rPr>
              <w:t>התחייבויות</w:t>
            </w:r>
          </w:p>
        </w:tc>
        <w:tc>
          <w:tcPr>
            <w:tcW w:w="113" w:type="dxa"/>
            <w:vAlign w:val="bottom"/>
          </w:tcPr>
          <w:p w14:paraId="6FC3E246" w14:textId="77777777" w:rsidR="00AB7D68" w:rsidRPr="00B23B2B" w:rsidRDefault="00AB7D68" w:rsidP="00B23B2B">
            <w:pPr>
              <w:tabs>
                <w:tab w:val="left" w:pos="0"/>
                <w:tab w:val="left" w:pos="397"/>
                <w:tab w:val="left" w:pos="510"/>
              </w:tabs>
              <w:spacing w:line="260" w:lineRule="exact"/>
              <w:rPr>
                <w:sz w:val="22"/>
              </w:rPr>
            </w:pPr>
          </w:p>
        </w:tc>
        <w:tc>
          <w:tcPr>
            <w:tcW w:w="1105" w:type="dxa"/>
            <w:vAlign w:val="bottom"/>
          </w:tcPr>
          <w:p w14:paraId="48CC808E" w14:textId="77777777" w:rsidR="00AB7D68" w:rsidRPr="00B23B2B" w:rsidRDefault="00AB7D68" w:rsidP="00B23B2B">
            <w:pPr>
              <w:tabs>
                <w:tab w:val="decimal" w:pos="113"/>
              </w:tabs>
              <w:spacing w:line="260" w:lineRule="exact"/>
              <w:rPr>
                <w:sz w:val="22"/>
              </w:rPr>
            </w:pPr>
          </w:p>
        </w:tc>
        <w:tc>
          <w:tcPr>
            <w:tcW w:w="142" w:type="dxa"/>
            <w:vAlign w:val="bottom"/>
          </w:tcPr>
          <w:p w14:paraId="686C9B6E" w14:textId="77777777" w:rsidR="00AB7D68" w:rsidRPr="00B23B2B" w:rsidRDefault="00AB7D68" w:rsidP="00B23B2B">
            <w:pPr>
              <w:tabs>
                <w:tab w:val="decimal" w:pos="113"/>
              </w:tabs>
              <w:spacing w:line="260" w:lineRule="exact"/>
              <w:rPr>
                <w:sz w:val="22"/>
              </w:rPr>
            </w:pPr>
          </w:p>
        </w:tc>
        <w:tc>
          <w:tcPr>
            <w:tcW w:w="1105" w:type="dxa"/>
            <w:vAlign w:val="bottom"/>
          </w:tcPr>
          <w:p w14:paraId="2993AE9E" w14:textId="77777777" w:rsidR="00AB7D68" w:rsidRPr="00B23B2B" w:rsidRDefault="00AB7D68" w:rsidP="00B23B2B">
            <w:pPr>
              <w:tabs>
                <w:tab w:val="decimal" w:pos="113"/>
              </w:tabs>
              <w:spacing w:line="260" w:lineRule="exact"/>
              <w:rPr>
                <w:sz w:val="22"/>
              </w:rPr>
            </w:pPr>
          </w:p>
        </w:tc>
        <w:tc>
          <w:tcPr>
            <w:tcW w:w="142" w:type="dxa"/>
          </w:tcPr>
          <w:p w14:paraId="219EAD34" w14:textId="77777777" w:rsidR="00AB7D68" w:rsidRPr="00B23B2B" w:rsidRDefault="00AB7D68" w:rsidP="00B23B2B">
            <w:pPr>
              <w:tabs>
                <w:tab w:val="decimal" w:pos="113"/>
              </w:tabs>
              <w:spacing w:line="260" w:lineRule="exact"/>
              <w:rPr>
                <w:sz w:val="22"/>
              </w:rPr>
            </w:pPr>
          </w:p>
        </w:tc>
        <w:tc>
          <w:tcPr>
            <w:tcW w:w="1133" w:type="dxa"/>
          </w:tcPr>
          <w:p w14:paraId="5F677A82" w14:textId="77777777" w:rsidR="00AB7D68" w:rsidRPr="00B23B2B" w:rsidRDefault="00AB7D68" w:rsidP="00B23B2B">
            <w:pPr>
              <w:tabs>
                <w:tab w:val="decimal" w:pos="113"/>
              </w:tabs>
              <w:spacing w:line="260" w:lineRule="exact"/>
              <w:rPr>
                <w:sz w:val="22"/>
              </w:rPr>
            </w:pPr>
          </w:p>
        </w:tc>
      </w:tr>
      <w:tr w:rsidR="0076297A" w:rsidRPr="00B23B2B" w14:paraId="63383C52" w14:textId="77777777" w:rsidTr="00530E0E">
        <w:tc>
          <w:tcPr>
            <w:tcW w:w="4677" w:type="dxa"/>
            <w:tcMar>
              <w:top w:w="0" w:type="dxa"/>
              <w:left w:w="0" w:type="dxa"/>
              <w:bottom w:w="0" w:type="dxa"/>
              <w:right w:w="0" w:type="dxa"/>
            </w:tcMar>
            <w:vAlign w:val="bottom"/>
          </w:tcPr>
          <w:p w14:paraId="159A8A67" w14:textId="77777777" w:rsidR="0076297A" w:rsidRPr="00B23B2B" w:rsidRDefault="0076297A" w:rsidP="005063E4">
            <w:pPr>
              <w:widowControl/>
              <w:tabs>
                <w:tab w:val="left" w:pos="227"/>
                <w:tab w:val="left" w:pos="397"/>
                <w:tab w:val="left" w:pos="567"/>
              </w:tabs>
              <w:spacing w:line="120" w:lineRule="auto"/>
              <w:jc w:val="left"/>
              <w:rPr>
                <w:sz w:val="22"/>
                <w:rtl/>
              </w:rPr>
            </w:pPr>
          </w:p>
        </w:tc>
        <w:tc>
          <w:tcPr>
            <w:tcW w:w="113" w:type="dxa"/>
            <w:vAlign w:val="bottom"/>
          </w:tcPr>
          <w:p w14:paraId="64BC4F88" w14:textId="77777777" w:rsidR="0076297A" w:rsidRPr="00B23B2B" w:rsidRDefault="0076297A" w:rsidP="005063E4">
            <w:pPr>
              <w:widowControl/>
              <w:tabs>
                <w:tab w:val="left" w:pos="0"/>
                <w:tab w:val="left" w:pos="397"/>
                <w:tab w:val="left" w:pos="510"/>
              </w:tabs>
              <w:spacing w:line="120" w:lineRule="auto"/>
              <w:rPr>
                <w:sz w:val="22"/>
              </w:rPr>
            </w:pPr>
          </w:p>
        </w:tc>
        <w:tc>
          <w:tcPr>
            <w:tcW w:w="1105" w:type="dxa"/>
            <w:vAlign w:val="bottom"/>
          </w:tcPr>
          <w:p w14:paraId="27440480" w14:textId="77777777" w:rsidR="0076297A" w:rsidRPr="00B23B2B" w:rsidRDefault="0076297A" w:rsidP="005063E4">
            <w:pPr>
              <w:widowControl/>
              <w:tabs>
                <w:tab w:val="decimal" w:pos="113"/>
              </w:tabs>
              <w:spacing w:line="120" w:lineRule="auto"/>
              <w:rPr>
                <w:sz w:val="22"/>
              </w:rPr>
            </w:pPr>
          </w:p>
        </w:tc>
        <w:tc>
          <w:tcPr>
            <w:tcW w:w="142" w:type="dxa"/>
            <w:vAlign w:val="bottom"/>
          </w:tcPr>
          <w:p w14:paraId="776D7225" w14:textId="77777777" w:rsidR="0076297A" w:rsidRPr="00B23B2B" w:rsidRDefault="0076297A" w:rsidP="005063E4">
            <w:pPr>
              <w:widowControl/>
              <w:tabs>
                <w:tab w:val="decimal" w:pos="113"/>
              </w:tabs>
              <w:spacing w:line="120" w:lineRule="auto"/>
              <w:rPr>
                <w:sz w:val="22"/>
              </w:rPr>
            </w:pPr>
          </w:p>
        </w:tc>
        <w:tc>
          <w:tcPr>
            <w:tcW w:w="1105" w:type="dxa"/>
            <w:vAlign w:val="bottom"/>
          </w:tcPr>
          <w:p w14:paraId="3CC0F8DE" w14:textId="77777777" w:rsidR="0076297A" w:rsidRPr="00B23B2B" w:rsidRDefault="0076297A" w:rsidP="005063E4">
            <w:pPr>
              <w:widowControl/>
              <w:tabs>
                <w:tab w:val="decimal" w:pos="113"/>
              </w:tabs>
              <w:spacing w:line="120" w:lineRule="auto"/>
              <w:rPr>
                <w:sz w:val="22"/>
              </w:rPr>
            </w:pPr>
          </w:p>
        </w:tc>
        <w:tc>
          <w:tcPr>
            <w:tcW w:w="142" w:type="dxa"/>
          </w:tcPr>
          <w:p w14:paraId="52182734" w14:textId="77777777" w:rsidR="0076297A" w:rsidRPr="00B23B2B" w:rsidRDefault="0076297A" w:rsidP="005063E4">
            <w:pPr>
              <w:widowControl/>
              <w:tabs>
                <w:tab w:val="decimal" w:pos="113"/>
              </w:tabs>
              <w:spacing w:line="120" w:lineRule="auto"/>
              <w:rPr>
                <w:sz w:val="22"/>
              </w:rPr>
            </w:pPr>
          </w:p>
        </w:tc>
        <w:tc>
          <w:tcPr>
            <w:tcW w:w="1133" w:type="dxa"/>
          </w:tcPr>
          <w:p w14:paraId="03A4C578" w14:textId="77777777" w:rsidR="0076297A" w:rsidRPr="00B23B2B" w:rsidRDefault="0076297A" w:rsidP="005063E4">
            <w:pPr>
              <w:widowControl/>
              <w:tabs>
                <w:tab w:val="decimal" w:pos="113"/>
              </w:tabs>
              <w:spacing w:line="120" w:lineRule="auto"/>
              <w:rPr>
                <w:sz w:val="22"/>
              </w:rPr>
            </w:pPr>
          </w:p>
        </w:tc>
      </w:tr>
      <w:tr w:rsidR="00AB7D68" w:rsidRPr="00B23B2B" w14:paraId="44FDA0C2" w14:textId="77777777" w:rsidTr="00530E0E">
        <w:tc>
          <w:tcPr>
            <w:tcW w:w="4677" w:type="dxa"/>
            <w:tcMar>
              <w:top w:w="0" w:type="dxa"/>
              <w:left w:w="0" w:type="dxa"/>
              <w:bottom w:w="0" w:type="dxa"/>
              <w:right w:w="0" w:type="dxa"/>
            </w:tcMar>
            <w:vAlign w:val="bottom"/>
          </w:tcPr>
          <w:p w14:paraId="7F6F0AAC" w14:textId="77777777" w:rsidR="00AB7D68" w:rsidRPr="00B23B2B" w:rsidRDefault="00AB7D68" w:rsidP="00B23B2B">
            <w:pPr>
              <w:widowControl/>
              <w:tabs>
                <w:tab w:val="left" w:pos="227"/>
                <w:tab w:val="left" w:pos="397"/>
                <w:tab w:val="left" w:pos="567"/>
              </w:tabs>
              <w:spacing w:line="260" w:lineRule="exact"/>
              <w:ind w:left="283" w:hanging="227"/>
              <w:jc w:val="left"/>
              <w:rPr>
                <w:sz w:val="22"/>
              </w:rPr>
            </w:pPr>
            <w:r w:rsidRPr="00B23B2B">
              <w:rPr>
                <w:rFonts w:hint="cs"/>
                <w:sz w:val="22"/>
                <w:rtl/>
              </w:rPr>
              <w:t>זכאים ויתרות זכות</w:t>
            </w:r>
          </w:p>
        </w:tc>
        <w:tc>
          <w:tcPr>
            <w:tcW w:w="113" w:type="dxa"/>
            <w:vAlign w:val="bottom"/>
          </w:tcPr>
          <w:p w14:paraId="61F97679" w14:textId="77777777" w:rsidR="00AB7D68" w:rsidRPr="00B23B2B" w:rsidRDefault="00AB7D68" w:rsidP="00B23B2B">
            <w:pPr>
              <w:tabs>
                <w:tab w:val="left" w:pos="0"/>
                <w:tab w:val="left" w:pos="397"/>
                <w:tab w:val="left" w:pos="510"/>
              </w:tabs>
              <w:spacing w:line="260" w:lineRule="exact"/>
              <w:rPr>
                <w:sz w:val="22"/>
              </w:rPr>
            </w:pPr>
          </w:p>
        </w:tc>
        <w:tc>
          <w:tcPr>
            <w:tcW w:w="1105" w:type="dxa"/>
            <w:vAlign w:val="bottom"/>
          </w:tcPr>
          <w:p w14:paraId="3A42E1E4" w14:textId="77777777" w:rsidR="00AB7D68" w:rsidRPr="00B23B2B" w:rsidRDefault="00AB7D68" w:rsidP="00B23B2B">
            <w:pPr>
              <w:tabs>
                <w:tab w:val="decimal" w:pos="113"/>
              </w:tabs>
              <w:spacing w:line="260" w:lineRule="exact"/>
              <w:rPr>
                <w:sz w:val="22"/>
              </w:rPr>
            </w:pPr>
          </w:p>
        </w:tc>
        <w:tc>
          <w:tcPr>
            <w:tcW w:w="142" w:type="dxa"/>
            <w:vAlign w:val="bottom"/>
          </w:tcPr>
          <w:p w14:paraId="32E0AAD1" w14:textId="77777777" w:rsidR="00AB7D68" w:rsidRPr="00B23B2B" w:rsidRDefault="00AB7D68" w:rsidP="00B23B2B">
            <w:pPr>
              <w:tabs>
                <w:tab w:val="decimal" w:pos="113"/>
              </w:tabs>
              <w:spacing w:line="260" w:lineRule="exact"/>
              <w:rPr>
                <w:sz w:val="22"/>
              </w:rPr>
            </w:pPr>
          </w:p>
        </w:tc>
        <w:tc>
          <w:tcPr>
            <w:tcW w:w="1105" w:type="dxa"/>
            <w:vAlign w:val="bottom"/>
          </w:tcPr>
          <w:p w14:paraId="7005D63C" w14:textId="77777777" w:rsidR="00AB7D68" w:rsidRPr="00B23B2B" w:rsidRDefault="00AB7D68" w:rsidP="00B23B2B">
            <w:pPr>
              <w:tabs>
                <w:tab w:val="decimal" w:pos="113"/>
              </w:tabs>
              <w:spacing w:line="260" w:lineRule="exact"/>
              <w:rPr>
                <w:sz w:val="22"/>
              </w:rPr>
            </w:pPr>
          </w:p>
        </w:tc>
        <w:tc>
          <w:tcPr>
            <w:tcW w:w="142" w:type="dxa"/>
          </w:tcPr>
          <w:p w14:paraId="2AF8B27C" w14:textId="77777777" w:rsidR="00AB7D68" w:rsidRPr="00B23B2B" w:rsidRDefault="00AB7D68" w:rsidP="00B23B2B">
            <w:pPr>
              <w:tabs>
                <w:tab w:val="decimal" w:pos="113"/>
              </w:tabs>
              <w:spacing w:line="260" w:lineRule="exact"/>
              <w:rPr>
                <w:sz w:val="22"/>
              </w:rPr>
            </w:pPr>
          </w:p>
        </w:tc>
        <w:tc>
          <w:tcPr>
            <w:tcW w:w="1133" w:type="dxa"/>
          </w:tcPr>
          <w:p w14:paraId="21E40E19" w14:textId="77777777" w:rsidR="00AB7D68" w:rsidRPr="00B23B2B" w:rsidRDefault="00AB7D68" w:rsidP="00B23B2B">
            <w:pPr>
              <w:tabs>
                <w:tab w:val="decimal" w:pos="113"/>
              </w:tabs>
              <w:spacing w:line="260" w:lineRule="exact"/>
              <w:rPr>
                <w:sz w:val="22"/>
              </w:rPr>
            </w:pPr>
          </w:p>
        </w:tc>
      </w:tr>
      <w:tr w:rsidR="00AB7D68" w:rsidRPr="00B23B2B" w14:paraId="4B44166D" w14:textId="77777777" w:rsidTr="00530E0E">
        <w:tc>
          <w:tcPr>
            <w:tcW w:w="4677" w:type="dxa"/>
            <w:tcMar>
              <w:top w:w="0" w:type="dxa"/>
              <w:left w:w="0" w:type="dxa"/>
              <w:bottom w:w="0" w:type="dxa"/>
              <w:right w:w="0" w:type="dxa"/>
            </w:tcMar>
            <w:vAlign w:val="bottom"/>
          </w:tcPr>
          <w:p w14:paraId="510D1DD9" w14:textId="77777777" w:rsidR="00F41C12" w:rsidRPr="00B23B2B" w:rsidRDefault="00AB7D68" w:rsidP="00B23B2B">
            <w:pPr>
              <w:widowControl/>
              <w:tabs>
                <w:tab w:val="left" w:pos="227"/>
                <w:tab w:val="left" w:pos="397"/>
                <w:tab w:val="left" w:pos="567"/>
              </w:tabs>
              <w:spacing w:line="260" w:lineRule="exact"/>
              <w:ind w:left="283" w:hanging="227"/>
              <w:jc w:val="left"/>
              <w:rPr>
                <w:sz w:val="22"/>
                <w:rtl/>
              </w:rPr>
            </w:pPr>
            <w:r w:rsidRPr="00B23B2B">
              <w:rPr>
                <w:rFonts w:hint="cs"/>
                <w:sz w:val="22"/>
                <w:rtl/>
              </w:rPr>
              <w:t>הלוואות מתאגידים בנקאיים</w:t>
            </w:r>
          </w:p>
        </w:tc>
        <w:tc>
          <w:tcPr>
            <w:tcW w:w="113" w:type="dxa"/>
            <w:vAlign w:val="bottom"/>
          </w:tcPr>
          <w:p w14:paraId="7F3EF2D5" w14:textId="77777777" w:rsidR="00AB7D68" w:rsidRPr="00B23B2B" w:rsidRDefault="00AB7D68" w:rsidP="00B23B2B">
            <w:pPr>
              <w:tabs>
                <w:tab w:val="left" w:pos="0"/>
                <w:tab w:val="left" w:pos="397"/>
                <w:tab w:val="left" w:pos="510"/>
              </w:tabs>
              <w:spacing w:line="260" w:lineRule="exact"/>
              <w:rPr>
                <w:sz w:val="22"/>
              </w:rPr>
            </w:pPr>
          </w:p>
        </w:tc>
        <w:tc>
          <w:tcPr>
            <w:tcW w:w="1105" w:type="dxa"/>
            <w:tcBorders>
              <w:bottom w:val="single" w:sz="6" w:space="0" w:color="auto"/>
            </w:tcBorders>
            <w:shd w:val="clear" w:color="auto" w:fill="auto"/>
            <w:vAlign w:val="bottom"/>
          </w:tcPr>
          <w:p w14:paraId="2CF6CFE3" w14:textId="77777777" w:rsidR="00AB7D68" w:rsidRPr="00B23B2B" w:rsidRDefault="00AB7D68" w:rsidP="00B23B2B">
            <w:pPr>
              <w:tabs>
                <w:tab w:val="decimal" w:pos="113"/>
              </w:tabs>
              <w:spacing w:line="260" w:lineRule="exact"/>
              <w:rPr>
                <w:sz w:val="22"/>
              </w:rPr>
            </w:pPr>
          </w:p>
        </w:tc>
        <w:tc>
          <w:tcPr>
            <w:tcW w:w="142" w:type="dxa"/>
            <w:vAlign w:val="bottom"/>
          </w:tcPr>
          <w:p w14:paraId="139210B5" w14:textId="77777777" w:rsidR="00AB7D68" w:rsidRPr="00B23B2B" w:rsidRDefault="00AB7D68" w:rsidP="00B23B2B">
            <w:pPr>
              <w:tabs>
                <w:tab w:val="decimal" w:pos="113"/>
              </w:tabs>
              <w:spacing w:line="260" w:lineRule="exact"/>
              <w:rPr>
                <w:sz w:val="22"/>
              </w:rPr>
            </w:pPr>
          </w:p>
        </w:tc>
        <w:tc>
          <w:tcPr>
            <w:tcW w:w="1105" w:type="dxa"/>
            <w:tcBorders>
              <w:bottom w:val="single" w:sz="6" w:space="0" w:color="auto"/>
            </w:tcBorders>
            <w:shd w:val="clear" w:color="auto" w:fill="auto"/>
            <w:vAlign w:val="bottom"/>
          </w:tcPr>
          <w:p w14:paraId="6597B00A" w14:textId="77777777" w:rsidR="00AB7D68" w:rsidRPr="00B23B2B" w:rsidRDefault="00AB7D68" w:rsidP="00B23B2B">
            <w:pPr>
              <w:tabs>
                <w:tab w:val="decimal" w:pos="113"/>
              </w:tabs>
              <w:spacing w:line="260" w:lineRule="exact"/>
              <w:rPr>
                <w:sz w:val="22"/>
              </w:rPr>
            </w:pPr>
          </w:p>
        </w:tc>
        <w:tc>
          <w:tcPr>
            <w:tcW w:w="142" w:type="dxa"/>
          </w:tcPr>
          <w:p w14:paraId="074969FF" w14:textId="77777777" w:rsidR="00AB7D68" w:rsidRPr="00B23B2B" w:rsidRDefault="00AB7D68" w:rsidP="00B23B2B">
            <w:pPr>
              <w:tabs>
                <w:tab w:val="decimal" w:pos="113"/>
              </w:tabs>
              <w:spacing w:line="260" w:lineRule="exact"/>
              <w:rPr>
                <w:sz w:val="22"/>
              </w:rPr>
            </w:pPr>
          </w:p>
        </w:tc>
        <w:tc>
          <w:tcPr>
            <w:tcW w:w="1133" w:type="dxa"/>
            <w:tcBorders>
              <w:bottom w:val="single" w:sz="6" w:space="0" w:color="auto"/>
            </w:tcBorders>
            <w:shd w:val="clear" w:color="auto" w:fill="auto"/>
          </w:tcPr>
          <w:p w14:paraId="26740081" w14:textId="77777777" w:rsidR="00AB7D68" w:rsidRPr="00B23B2B" w:rsidRDefault="00AB7D68" w:rsidP="00B23B2B">
            <w:pPr>
              <w:tabs>
                <w:tab w:val="decimal" w:pos="113"/>
              </w:tabs>
              <w:spacing w:line="260" w:lineRule="exact"/>
              <w:rPr>
                <w:sz w:val="22"/>
              </w:rPr>
            </w:pPr>
          </w:p>
        </w:tc>
      </w:tr>
      <w:tr w:rsidR="00AB7D68" w:rsidRPr="00B23B2B" w14:paraId="7E580D00" w14:textId="77777777" w:rsidTr="00530E0E">
        <w:tc>
          <w:tcPr>
            <w:tcW w:w="4677" w:type="dxa"/>
            <w:tcMar>
              <w:top w:w="0" w:type="dxa"/>
              <w:left w:w="0" w:type="dxa"/>
              <w:bottom w:w="0" w:type="dxa"/>
              <w:right w:w="0" w:type="dxa"/>
            </w:tcMar>
            <w:vAlign w:val="bottom"/>
          </w:tcPr>
          <w:p w14:paraId="0E1D2AF8" w14:textId="77777777" w:rsidR="00AB7D68" w:rsidRPr="00B23B2B" w:rsidRDefault="00AB7D68" w:rsidP="00B23B2B">
            <w:pPr>
              <w:widowControl/>
              <w:tabs>
                <w:tab w:val="left" w:pos="227"/>
                <w:tab w:val="left" w:pos="397"/>
                <w:tab w:val="left" w:pos="567"/>
              </w:tabs>
              <w:spacing w:line="260" w:lineRule="exact"/>
              <w:ind w:left="283" w:hanging="227"/>
              <w:jc w:val="left"/>
              <w:rPr>
                <w:sz w:val="22"/>
                <w:rtl/>
              </w:rPr>
            </w:pPr>
          </w:p>
        </w:tc>
        <w:tc>
          <w:tcPr>
            <w:tcW w:w="113" w:type="dxa"/>
            <w:vAlign w:val="bottom"/>
          </w:tcPr>
          <w:p w14:paraId="100617A1" w14:textId="77777777" w:rsidR="00AB7D68" w:rsidRPr="00B23B2B" w:rsidRDefault="00AB7D68" w:rsidP="00B23B2B">
            <w:pPr>
              <w:tabs>
                <w:tab w:val="left" w:pos="0"/>
                <w:tab w:val="left" w:pos="397"/>
                <w:tab w:val="left" w:pos="510"/>
              </w:tabs>
              <w:spacing w:line="260" w:lineRule="exact"/>
              <w:rPr>
                <w:sz w:val="22"/>
              </w:rPr>
            </w:pPr>
          </w:p>
        </w:tc>
        <w:tc>
          <w:tcPr>
            <w:tcW w:w="1105" w:type="dxa"/>
            <w:tcBorders>
              <w:top w:val="single" w:sz="6" w:space="0" w:color="auto"/>
            </w:tcBorders>
            <w:vAlign w:val="bottom"/>
          </w:tcPr>
          <w:p w14:paraId="54C5436B" w14:textId="77777777" w:rsidR="00AB7D68" w:rsidRPr="00B23B2B" w:rsidRDefault="00AB7D68" w:rsidP="00B23B2B">
            <w:pPr>
              <w:tabs>
                <w:tab w:val="decimal" w:pos="113"/>
              </w:tabs>
              <w:spacing w:line="260" w:lineRule="exact"/>
              <w:rPr>
                <w:sz w:val="22"/>
              </w:rPr>
            </w:pPr>
          </w:p>
        </w:tc>
        <w:tc>
          <w:tcPr>
            <w:tcW w:w="142" w:type="dxa"/>
            <w:vAlign w:val="bottom"/>
          </w:tcPr>
          <w:p w14:paraId="2EB84819" w14:textId="77777777" w:rsidR="00AB7D68" w:rsidRPr="00B23B2B" w:rsidRDefault="00AB7D68" w:rsidP="00B23B2B">
            <w:pPr>
              <w:tabs>
                <w:tab w:val="decimal" w:pos="113"/>
              </w:tabs>
              <w:spacing w:line="260" w:lineRule="exact"/>
              <w:rPr>
                <w:sz w:val="22"/>
              </w:rPr>
            </w:pPr>
          </w:p>
        </w:tc>
        <w:tc>
          <w:tcPr>
            <w:tcW w:w="1105" w:type="dxa"/>
            <w:tcBorders>
              <w:top w:val="single" w:sz="6" w:space="0" w:color="auto"/>
            </w:tcBorders>
            <w:vAlign w:val="bottom"/>
          </w:tcPr>
          <w:p w14:paraId="6EB2B3F5" w14:textId="77777777" w:rsidR="00AB7D68" w:rsidRPr="00B23B2B" w:rsidRDefault="00AB7D68" w:rsidP="00B23B2B">
            <w:pPr>
              <w:tabs>
                <w:tab w:val="decimal" w:pos="113"/>
              </w:tabs>
              <w:spacing w:line="260" w:lineRule="exact"/>
              <w:rPr>
                <w:sz w:val="22"/>
              </w:rPr>
            </w:pPr>
          </w:p>
        </w:tc>
        <w:tc>
          <w:tcPr>
            <w:tcW w:w="142" w:type="dxa"/>
          </w:tcPr>
          <w:p w14:paraId="58AEA5C7" w14:textId="77777777" w:rsidR="00AB7D68" w:rsidRPr="00B23B2B" w:rsidRDefault="00AB7D68" w:rsidP="00B23B2B">
            <w:pPr>
              <w:tabs>
                <w:tab w:val="decimal" w:pos="113"/>
              </w:tabs>
              <w:spacing w:line="260" w:lineRule="exact"/>
              <w:rPr>
                <w:sz w:val="22"/>
              </w:rPr>
            </w:pPr>
          </w:p>
        </w:tc>
        <w:tc>
          <w:tcPr>
            <w:tcW w:w="1133" w:type="dxa"/>
            <w:tcBorders>
              <w:top w:val="single" w:sz="6" w:space="0" w:color="auto"/>
            </w:tcBorders>
          </w:tcPr>
          <w:p w14:paraId="3F1AB329" w14:textId="77777777" w:rsidR="00AB7D68" w:rsidRPr="00B23B2B" w:rsidRDefault="00AB7D68" w:rsidP="00B23B2B">
            <w:pPr>
              <w:tabs>
                <w:tab w:val="decimal" w:pos="113"/>
              </w:tabs>
              <w:spacing w:line="260" w:lineRule="exact"/>
              <w:rPr>
                <w:sz w:val="22"/>
              </w:rPr>
            </w:pPr>
          </w:p>
        </w:tc>
      </w:tr>
      <w:tr w:rsidR="00AB7D68" w:rsidRPr="00B23B2B" w14:paraId="20E0D25B" w14:textId="77777777" w:rsidTr="00530E0E">
        <w:tc>
          <w:tcPr>
            <w:tcW w:w="4677" w:type="dxa"/>
            <w:tcMar>
              <w:top w:w="0" w:type="dxa"/>
              <w:left w:w="0" w:type="dxa"/>
              <w:bottom w:w="0" w:type="dxa"/>
              <w:right w:w="0" w:type="dxa"/>
            </w:tcMar>
            <w:vAlign w:val="bottom"/>
          </w:tcPr>
          <w:p w14:paraId="12F7A26D" w14:textId="77777777" w:rsidR="00F41C12" w:rsidRPr="00B23B2B" w:rsidRDefault="00AB7D68" w:rsidP="00B23B2B">
            <w:pPr>
              <w:widowControl/>
              <w:tabs>
                <w:tab w:val="left" w:pos="227"/>
                <w:tab w:val="left" w:pos="397"/>
                <w:tab w:val="left" w:pos="567"/>
              </w:tabs>
              <w:spacing w:line="260" w:lineRule="exact"/>
              <w:ind w:left="283" w:hanging="227"/>
              <w:jc w:val="left"/>
              <w:rPr>
                <w:sz w:val="22"/>
                <w:rtl/>
              </w:rPr>
            </w:pPr>
            <w:r w:rsidRPr="00B23B2B">
              <w:rPr>
                <w:rFonts w:hint="cs"/>
                <w:sz w:val="22"/>
                <w:rtl/>
              </w:rPr>
              <w:t xml:space="preserve">התחייבויות המתייחסות לנכסים </w:t>
            </w:r>
            <w:r w:rsidR="00F825EE" w:rsidRPr="00B23B2B">
              <w:rPr>
                <w:rFonts w:hint="cs"/>
                <w:sz w:val="22"/>
                <w:rtl/>
              </w:rPr>
              <w:t>המוחזקים למכירה</w:t>
            </w:r>
          </w:p>
        </w:tc>
        <w:tc>
          <w:tcPr>
            <w:tcW w:w="113" w:type="dxa"/>
            <w:vAlign w:val="bottom"/>
          </w:tcPr>
          <w:p w14:paraId="411EF8F4" w14:textId="77777777" w:rsidR="00AB7D68" w:rsidRPr="00B23B2B" w:rsidRDefault="00AB7D68" w:rsidP="00B23B2B">
            <w:pPr>
              <w:tabs>
                <w:tab w:val="left" w:pos="0"/>
                <w:tab w:val="left" w:pos="397"/>
                <w:tab w:val="left" w:pos="510"/>
              </w:tabs>
              <w:spacing w:line="260" w:lineRule="exact"/>
              <w:rPr>
                <w:sz w:val="22"/>
              </w:rPr>
            </w:pPr>
          </w:p>
        </w:tc>
        <w:tc>
          <w:tcPr>
            <w:tcW w:w="1105" w:type="dxa"/>
            <w:tcBorders>
              <w:bottom w:val="single" w:sz="6" w:space="0" w:color="auto"/>
            </w:tcBorders>
            <w:shd w:val="clear" w:color="auto" w:fill="auto"/>
            <w:vAlign w:val="bottom"/>
          </w:tcPr>
          <w:p w14:paraId="5C417BCF" w14:textId="77777777" w:rsidR="00AB7D68" w:rsidRPr="00B23B2B" w:rsidRDefault="00AB7D68" w:rsidP="00B23B2B">
            <w:pPr>
              <w:tabs>
                <w:tab w:val="decimal" w:pos="113"/>
              </w:tabs>
              <w:spacing w:line="260" w:lineRule="exact"/>
              <w:rPr>
                <w:sz w:val="22"/>
              </w:rPr>
            </w:pPr>
          </w:p>
        </w:tc>
        <w:tc>
          <w:tcPr>
            <w:tcW w:w="142" w:type="dxa"/>
            <w:vAlign w:val="bottom"/>
          </w:tcPr>
          <w:p w14:paraId="5737A5DD" w14:textId="77777777" w:rsidR="00AB7D68" w:rsidRPr="00B23B2B" w:rsidRDefault="00AB7D68" w:rsidP="00B23B2B">
            <w:pPr>
              <w:tabs>
                <w:tab w:val="decimal" w:pos="113"/>
              </w:tabs>
              <w:spacing w:line="260" w:lineRule="exact"/>
              <w:rPr>
                <w:sz w:val="22"/>
              </w:rPr>
            </w:pPr>
          </w:p>
        </w:tc>
        <w:tc>
          <w:tcPr>
            <w:tcW w:w="1105" w:type="dxa"/>
            <w:tcBorders>
              <w:bottom w:val="single" w:sz="6" w:space="0" w:color="auto"/>
            </w:tcBorders>
            <w:shd w:val="clear" w:color="auto" w:fill="auto"/>
            <w:vAlign w:val="bottom"/>
          </w:tcPr>
          <w:p w14:paraId="0CE2FE2F" w14:textId="77777777" w:rsidR="00AB7D68" w:rsidRPr="00B23B2B" w:rsidRDefault="00AB7D68" w:rsidP="00B23B2B">
            <w:pPr>
              <w:tabs>
                <w:tab w:val="decimal" w:pos="113"/>
              </w:tabs>
              <w:spacing w:line="260" w:lineRule="exact"/>
              <w:rPr>
                <w:sz w:val="22"/>
              </w:rPr>
            </w:pPr>
          </w:p>
        </w:tc>
        <w:tc>
          <w:tcPr>
            <w:tcW w:w="142" w:type="dxa"/>
          </w:tcPr>
          <w:p w14:paraId="7B3DFDF4" w14:textId="77777777" w:rsidR="00AB7D68" w:rsidRPr="00B23B2B" w:rsidRDefault="00AB7D68" w:rsidP="00B23B2B">
            <w:pPr>
              <w:tabs>
                <w:tab w:val="decimal" w:pos="113"/>
              </w:tabs>
              <w:spacing w:line="260" w:lineRule="exact"/>
              <w:rPr>
                <w:sz w:val="22"/>
              </w:rPr>
            </w:pPr>
          </w:p>
        </w:tc>
        <w:tc>
          <w:tcPr>
            <w:tcW w:w="1133" w:type="dxa"/>
            <w:tcBorders>
              <w:bottom w:val="single" w:sz="6" w:space="0" w:color="auto"/>
            </w:tcBorders>
            <w:shd w:val="clear" w:color="auto" w:fill="auto"/>
          </w:tcPr>
          <w:p w14:paraId="14447247" w14:textId="77777777" w:rsidR="00AB7D68" w:rsidRPr="00B23B2B" w:rsidRDefault="00AB7D68" w:rsidP="00B23B2B">
            <w:pPr>
              <w:tabs>
                <w:tab w:val="decimal" w:pos="113"/>
              </w:tabs>
              <w:spacing w:line="260" w:lineRule="exact"/>
              <w:rPr>
                <w:sz w:val="22"/>
              </w:rPr>
            </w:pPr>
          </w:p>
        </w:tc>
      </w:tr>
      <w:tr w:rsidR="00AB7D68" w:rsidRPr="00B23B2B" w14:paraId="459675A1" w14:textId="77777777" w:rsidTr="00530E0E">
        <w:tc>
          <w:tcPr>
            <w:tcW w:w="4677" w:type="dxa"/>
            <w:tcMar>
              <w:top w:w="0" w:type="dxa"/>
              <w:left w:w="0" w:type="dxa"/>
              <w:bottom w:w="0" w:type="dxa"/>
              <w:right w:w="0" w:type="dxa"/>
            </w:tcMar>
            <w:vAlign w:val="bottom"/>
          </w:tcPr>
          <w:p w14:paraId="6BF2A840" w14:textId="77777777" w:rsidR="00AB7D68" w:rsidRPr="00B23B2B" w:rsidRDefault="00AB7D68" w:rsidP="00B23B2B">
            <w:pPr>
              <w:widowControl/>
              <w:tabs>
                <w:tab w:val="left" w:pos="227"/>
                <w:tab w:val="left" w:pos="397"/>
                <w:tab w:val="left" w:pos="567"/>
              </w:tabs>
              <w:spacing w:line="260" w:lineRule="exact"/>
              <w:ind w:left="283" w:hanging="227"/>
              <w:jc w:val="left"/>
              <w:rPr>
                <w:sz w:val="22"/>
                <w:rtl/>
              </w:rPr>
            </w:pPr>
          </w:p>
        </w:tc>
        <w:tc>
          <w:tcPr>
            <w:tcW w:w="113" w:type="dxa"/>
            <w:vAlign w:val="bottom"/>
          </w:tcPr>
          <w:p w14:paraId="572D8C1F" w14:textId="77777777" w:rsidR="00AB7D68" w:rsidRPr="00B23B2B" w:rsidRDefault="00AB7D68" w:rsidP="00B23B2B">
            <w:pPr>
              <w:tabs>
                <w:tab w:val="left" w:pos="0"/>
                <w:tab w:val="left" w:pos="397"/>
                <w:tab w:val="left" w:pos="510"/>
              </w:tabs>
              <w:spacing w:line="260" w:lineRule="exact"/>
              <w:rPr>
                <w:sz w:val="22"/>
              </w:rPr>
            </w:pPr>
          </w:p>
        </w:tc>
        <w:tc>
          <w:tcPr>
            <w:tcW w:w="1105" w:type="dxa"/>
            <w:tcBorders>
              <w:top w:val="single" w:sz="6" w:space="0" w:color="auto"/>
            </w:tcBorders>
            <w:vAlign w:val="bottom"/>
          </w:tcPr>
          <w:p w14:paraId="09655842" w14:textId="77777777" w:rsidR="00AB7D68" w:rsidRPr="00B23B2B" w:rsidRDefault="00AB7D68" w:rsidP="00B23B2B">
            <w:pPr>
              <w:tabs>
                <w:tab w:val="decimal" w:pos="113"/>
              </w:tabs>
              <w:spacing w:line="260" w:lineRule="exact"/>
              <w:rPr>
                <w:sz w:val="22"/>
              </w:rPr>
            </w:pPr>
          </w:p>
        </w:tc>
        <w:tc>
          <w:tcPr>
            <w:tcW w:w="142" w:type="dxa"/>
            <w:vAlign w:val="bottom"/>
          </w:tcPr>
          <w:p w14:paraId="0FF78B09" w14:textId="77777777" w:rsidR="00AB7D68" w:rsidRPr="00B23B2B" w:rsidRDefault="00AB7D68" w:rsidP="00B23B2B">
            <w:pPr>
              <w:tabs>
                <w:tab w:val="decimal" w:pos="113"/>
              </w:tabs>
              <w:spacing w:line="260" w:lineRule="exact"/>
              <w:rPr>
                <w:sz w:val="22"/>
              </w:rPr>
            </w:pPr>
          </w:p>
        </w:tc>
        <w:tc>
          <w:tcPr>
            <w:tcW w:w="1105" w:type="dxa"/>
            <w:tcBorders>
              <w:top w:val="single" w:sz="6" w:space="0" w:color="auto"/>
            </w:tcBorders>
            <w:vAlign w:val="bottom"/>
          </w:tcPr>
          <w:p w14:paraId="269D8E72" w14:textId="77777777" w:rsidR="00AB7D68" w:rsidRPr="00B23B2B" w:rsidRDefault="00AB7D68" w:rsidP="00B23B2B">
            <w:pPr>
              <w:tabs>
                <w:tab w:val="decimal" w:pos="113"/>
              </w:tabs>
              <w:spacing w:line="260" w:lineRule="exact"/>
              <w:rPr>
                <w:sz w:val="22"/>
              </w:rPr>
            </w:pPr>
          </w:p>
        </w:tc>
        <w:tc>
          <w:tcPr>
            <w:tcW w:w="142" w:type="dxa"/>
          </w:tcPr>
          <w:p w14:paraId="056E6B68" w14:textId="77777777" w:rsidR="00AB7D68" w:rsidRPr="00B23B2B" w:rsidRDefault="00AB7D68" w:rsidP="00B23B2B">
            <w:pPr>
              <w:tabs>
                <w:tab w:val="decimal" w:pos="113"/>
              </w:tabs>
              <w:spacing w:line="260" w:lineRule="exact"/>
              <w:rPr>
                <w:sz w:val="22"/>
              </w:rPr>
            </w:pPr>
          </w:p>
        </w:tc>
        <w:tc>
          <w:tcPr>
            <w:tcW w:w="1133" w:type="dxa"/>
            <w:tcBorders>
              <w:top w:val="single" w:sz="6" w:space="0" w:color="auto"/>
            </w:tcBorders>
          </w:tcPr>
          <w:p w14:paraId="781B2CE6" w14:textId="77777777" w:rsidR="00AB7D68" w:rsidRPr="00B23B2B" w:rsidRDefault="00AB7D68" w:rsidP="00B23B2B">
            <w:pPr>
              <w:tabs>
                <w:tab w:val="decimal" w:pos="113"/>
              </w:tabs>
              <w:spacing w:line="260" w:lineRule="exact"/>
              <w:rPr>
                <w:sz w:val="22"/>
              </w:rPr>
            </w:pPr>
          </w:p>
        </w:tc>
      </w:tr>
      <w:tr w:rsidR="00AB7D68" w:rsidRPr="00B23B2B" w14:paraId="477A89BF" w14:textId="77777777" w:rsidTr="00530E0E">
        <w:tc>
          <w:tcPr>
            <w:tcW w:w="4677" w:type="dxa"/>
            <w:tcMar>
              <w:top w:w="0" w:type="dxa"/>
              <w:left w:w="0" w:type="dxa"/>
              <w:bottom w:w="0" w:type="dxa"/>
              <w:right w:w="0" w:type="dxa"/>
            </w:tcMar>
            <w:vAlign w:val="bottom"/>
          </w:tcPr>
          <w:p w14:paraId="382B87EB" w14:textId="77777777" w:rsidR="00F41C12" w:rsidRPr="00B23B2B" w:rsidRDefault="00AB7D68" w:rsidP="00B23B2B">
            <w:pPr>
              <w:widowControl/>
              <w:tabs>
                <w:tab w:val="left" w:pos="227"/>
                <w:tab w:val="left" w:pos="397"/>
                <w:tab w:val="left" w:pos="567"/>
              </w:tabs>
              <w:spacing w:line="260" w:lineRule="exact"/>
              <w:ind w:left="283" w:hanging="227"/>
              <w:jc w:val="left"/>
              <w:rPr>
                <w:sz w:val="22"/>
                <w:rtl/>
              </w:rPr>
            </w:pPr>
            <w:r w:rsidRPr="00B23B2B">
              <w:rPr>
                <w:rFonts w:hint="cs"/>
                <w:sz w:val="22"/>
                <w:rtl/>
              </w:rPr>
              <w:t xml:space="preserve">נכסים/התחייבויות נטו </w:t>
            </w:r>
            <w:r w:rsidR="00F825EE" w:rsidRPr="00B23B2B">
              <w:rPr>
                <w:rFonts w:hint="cs"/>
                <w:sz w:val="22"/>
                <w:rtl/>
              </w:rPr>
              <w:t>המוחזקים למכירה</w:t>
            </w:r>
          </w:p>
        </w:tc>
        <w:tc>
          <w:tcPr>
            <w:tcW w:w="113" w:type="dxa"/>
            <w:vAlign w:val="bottom"/>
          </w:tcPr>
          <w:p w14:paraId="790A0175" w14:textId="77777777" w:rsidR="00AB7D68" w:rsidRPr="00B23B2B" w:rsidRDefault="00AB7D68" w:rsidP="00B23B2B">
            <w:pPr>
              <w:tabs>
                <w:tab w:val="left" w:pos="0"/>
                <w:tab w:val="left" w:pos="397"/>
                <w:tab w:val="left" w:pos="510"/>
              </w:tabs>
              <w:spacing w:line="260" w:lineRule="exact"/>
              <w:rPr>
                <w:sz w:val="22"/>
              </w:rPr>
            </w:pPr>
          </w:p>
        </w:tc>
        <w:tc>
          <w:tcPr>
            <w:tcW w:w="1105" w:type="dxa"/>
            <w:tcBorders>
              <w:bottom w:val="double" w:sz="6" w:space="0" w:color="auto"/>
            </w:tcBorders>
            <w:shd w:val="clear" w:color="auto" w:fill="auto"/>
            <w:vAlign w:val="bottom"/>
          </w:tcPr>
          <w:p w14:paraId="0FE6E376" w14:textId="77777777" w:rsidR="00AB7D68" w:rsidRPr="00B23B2B" w:rsidRDefault="00AB7D68" w:rsidP="00B23B2B">
            <w:pPr>
              <w:tabs>
                <w:tab w:val="decimal" w:pos="113"/>
              </w:tabs>
              <w:spacing w:line="260" w:lineRule="exact"/>
              <w:rPr>
                <w:sz w:val="22"/>
              </w:rPr>
            </w:pPr>
          </w:p>
        </w:tc>
        <w:tc>
          <w:tcPr>
            <w:tcW w:w="142" w:type="dxa"/>
            <w:vAlign w:val="bottom"/>
          </w:tcPr>
          <w:p w14:paraId="27B0E662" w14:textId="77777777" w:rsidR="00AB7D68" w:rsidRPr="00B23B2B" w:rsidRDefault="00AB7D68" w:rsidP="00B23B2B">
            <w:pPr>
              <w:tabs>
                <w:tab w:val="decimal" w:pos="113"/>
              </w:tabs>
              <w:spacing w:line="260" w:lineRule="exact"/>
              <w:rPr>
                <w:sz w:val="22"/>
              </w:rPr>
            </w:pPr>
          </w:p>
        </w:tc>
        <w:tc>
          <w:tcPr>
            <w:tcW w:w="1105" w:type="dxa"/>
            <w:tcBorders>
              <w:bottom w:val="double" w:sz="6" w:space="0" w:color="auto"/>
            </w:tcBorders>
            <w:shd w:val="clear" w:color="auto" w:fill="auto"/>
            <w:vAlign w:val="bottom"/>
          </w:tcPr>
          <w:p w14:paraId="48830023" w14:textId="77777777" w:rsidR="00AB7D68" w:rsidRPr="00B23B2B" w:rsidRDefault="00AB7D68" w:rsidP="00B23B2B">
            <w:pPr>
              <w:tabs>
                <w:tab w:val="decimal" w:pos="113"/>
              </w:tabs>
              <w:spacing w:line="260" w:lineRule="exact"/>
              <w:rPr>
                <w:sz w:val="22"/>
              </w:rPr>
            </w:pPr>
          </w:p>
        </w:tc>
        <w:tc>
          <w:tcPr>
            <w:tcW w:w="142" w:type="dxa"/>
          </w:tcPr>
          <w:p w14:paraId="64A923F1" w14:textId="77777777" w:rsidR="00AB7D68" w:rsidRPr="00B23B2B" w:rsidRDefault="00AB7D68" w:rsidP="00B23B2B">
            <w:pPr>
              <w:tabs>
                <w:tab w:val="decimal" w:pos="113"/>
              </w:tabs>
              <w:spacing w:line="260" w:lineRule="exact"/>
              <w:rPr>
                <w:sz w:val="22"/>
              </w:rPr>
            </w:pPr>
          </w:p>
        </w:tc>
        <w:tc>
          <w:tcPr>
            <w:tcW w:w="1133" w:type="dxa"/>
            <w:tcBorders>
              <w:bottom w:val="double" w:sz="6" w:space="0" w:color="auto"/>
            </w:tcBorders>
            <w:shd w:val="clear" w:color="auto" w:fill="auto"/>
          </w:tcPr>
          <w:p w14:paraId="47D4BD9A" w14:textId="77777777" w:rsidR="00AB7D68" w:rsidRPr="00B23B2B" w:rsidRDefault="00AB7D68" w:rsidP="00B23B2B">
            <w:pPr>
              <w:tabs>
                <w:tab w:val="decimal" w:pos="113"/>
              </w:tabs>
              <w:spacing w:line="260" w:lineRule="exact"/>
              <w:rPr>
                <w:sz w:val="22"/>
              </w:rPr>
            </w:pPr>
          </w:p>
        </w:tc>
      </w:tr>
    </w:tbl>
    <w:p w14:paraId="43034532" w14:textId="77777777" w:rsidR="00E1769C" w:rsidRDefault="00E1769C">
      <w:pPr>
        <w:widowControl/>
        <w:overflowPunct/>
        <w:autoSpaceDE/>
        <w:autoSpaceDN/>
        <w:bidi w:val="0"/>
        <w:adjustRightInd/>
        <w:spacing w:line="240" w:lineRule="auto"/>
        <w:jc w:val="left"/>
        <w:textAlignment w:val="auto"/>
      </w:pPr>
    </w:p>
    <w:p w14:paraId="6F825CB6" w14:textId="77777777" w:rsidR="00AB7D68" w:rsidRDefault="00AB7D68">
      <w:pPr>
        <w:pStyle w:val="21"/>
        <w:rPr>
          <w:rtl/>
        </w:rPr>
      </w:pPr>
      <w:r>
        <w:rPr>
          <w:rFonts w:hint="cs"/>
          <w:rtl/>
        </w:rPr>
        <w:t>להלן נתונים על תוצאות הפעולות המתייחסים לפעילות שהופסקה</w:t>
      </w:r>
      <w:r w:rsidR="00EB2512">
        <w:rPr>
          <w:rStyle w:val="ab"/>
          <w:rtl/>
        </w:rPr>
        <w:footnoteReference w:id="105"/>
      </w:r>
      <w:r>
        <w:rPr>
          <w:rFonts w:hint="cs"/>
          <w:rtl/>
        </w:rPr>
        <w:t>:</w:t>
      </w:r>
    </w:p>
    <w:p w14:paraId="772BB23E" w14:textId="77777777" w:rsidR="00AB7D68" w:rsidRDefault="00AB7D68" w:rsidP="00967E91">
      <w:pPr>
        <w:rPr>
          <w:rtl/>
        </w:rPr>
      </w:pPr>
    </w:p>
    <w:tbl>
      <w:tblPr>
        <w:bidiVisual/>
        <w:tblW w:w="8589" w:type="dxa"/>
        <w:tblInd w:w="1134" w:type="dxa"/>
        <w:tblLayout w:type="fixed"/>
        <w:tblCellMar>
          <w:left w:w="0" w:type="dxa"/>
          <w:right w:w="0" w:type="dxa"/>
        </w:tblCellMar>
        <w:tblLook w:val="01E0" w:firstRow="1" w:lastRow="1" w:firstColumn="1" w:lastColumn="1" w:noHBand="0" w:noVBand="0"/>
      </w:tblPr>
      <w:tblGrid>
        <w:gridCol w:w="3260"/>
        <w:gridCol w:w="113"/>
        <w:gridCol w:w="907"/>
        <w:gridCol w:w="113"/>
        <w:gridCol w:w="907"/>
        <w:gridCol w:w="113"/>
        <w:gridCol w:w="907"/>
        <w:gridCol w:w="113"/>
        <w:gridCol w:w="907"/>
        <w:gridCol w:w="113"/>
        <w:gridCol w:w="1136"/>
      </w:tblGrid>
      <w:tr w:rsidR="003C4695" w:rsidRPr="00415E11" w14:paraId="75603C86" w14:textId="77777777" w:rsidTr="00530E0E">
        <w:tc>
          <w:tcPr>
            <w:tcW w:w="3260" w:type="dxa"/>
            <w:shd w:val="clear" w:color="auto" w:fill="auto"/>
            <w:vAlign w:val="bottom"/>
          </w:tcPr>
          <w:p w14:paraId="6261E5BD" w14:textId="77777777" w:rsidR="003C4695" w:rsidRPr="00415E11" w:rsidRDefault="003C4695" w:rsidP="00415E11">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60B76F2E" w14:textId="77777777" w:rsidR="003C4695" w:rsidRPr="00415E11" w:rsidRDefault="003C4695" w:rsidP="00415E11">
            <w:pPr>
              <w:spacing w:line="220" w:lineRule="exact"/>
              <w:rPr>
                <w:szCs w:val="22"/>
                <w:rtl/>
              </w:rPr>
            </w:pPr>
          </w:p>
        </w:tc>
        <w:tc>
          <w:tcPr>
            <w:tcW w:w="1927" w:type="dxa"/>
            <w:gridSpan w:val="3"/>
            <w:tcBorders>
              <w:bottom w:val="single" w:sz="6" w:space="0" w:color="auto"/>
            </w:tcBorders>
            <w:shd w:val="clear" w:color="auto" w:fill="auto"/>
            <w:vAlign w:val="bottom"/>
          </w:tcPr>
          <w:p w14:paraId="78312AA6" w14:textId="77777777" w:rsidR="00530E0E" w:rsidRPr="00415E11" w:rsidRDefault="003C4695" w:rsidP="00415E11">
            <w:pPr>
              <w:spacing w:line="220" w:lineRule="exact"/>
              <w:jc w:val="center"/>
              <w:rPr>
                <w:szCs w:val="22"/>
                <w:rtl/>
              </w:rPr>
            </w:pPr>
            <w:r w:rsidRPr="00415E11">
              <w:rPr>
                <w:rFonts w:hint="cs"/>
                <w:szCs w:val="22"/>
                <w:rtl/>
              </w:rPr>
              <w:t xml:space="preserve">ל-9 החודשים שהסתיימו ביום </w:t>
            </w:r>
          </w:p>
          <w:p w14:paraId="113E1493" w14:textId="77777777" w:rsidR="003C4695" w:rsidRPr="00415E11" w:rsidRDefault="003C4695" w:rsidP="00415E11">
            <w:pPr>
              <w:spacing w:line="220" w:lineRule="exact"/>
              <w:jc w:val="center"/>
              <w:rPr>
                <w:szCs w:val="22"/>
                <w:rtl/>
              </w:rPr>
            </w:pPr>
            <w:r w:rsidRPr="00415E11">
              <w:rPr>
                <w:rFonts w:hint="cs"/>
                <w:szCs w:val="22"/>
                <w:rtl/>
              </w:rPr>
              <w:t>30 בספטמבר</w:t>
            </w:r>
          </w:p>
        </w:tc>
        <w:tc>
          <w:tcPr>
            <w:tcW w:w="113" w:type="dxa"/>
            <w:shd w:val="clear" w:color="auto" w:fill="auto"/>
            <w:vAlign w:val="bottom"/>
          </w:tcPr>
          <w:p w14:paraId="15A7FF08" w14:textId="77777777" w:rsidR="003C4695" w:rsidRPr="00415E11" w:rsidRDefault="003C4695" w:rsidP="00415E11">
            <w:pPr>
              <w:spacing w:line="220" w:lineRule="exact"/>
              <w:jc w:val="center"/>
              <w:rPr>
                <w:szCs w:val="22"/>
              </w:rPr>
            </w:pPr>
          </w:p>
        </w:tc>
        <w:tc>
          <w:tcPr>
            <w:tcW w:w="1927" w:type="dxa"/>
            <w:gridSpan w:val="3"/>
            <w:tcBorders>
              <w:bottom w:val="single" w:sz="6" w:space="0" w:color="auto"/>
            </w:tcBorders>
            <w:shd w:val="clear" w:color="auto" w:fill="auto"/>
            <w:vAlign w:val="bottom"/>
          </w:tcPr>
          <w:p w14:paraId="68EF8F26" w14:textId="77777777" w:rsidR="00530E0E" w:rsidRPr="00415E11" w:rsidRDefault="003C4695" w:rsidP="00415E11">
            <w:pPr>
              <w:spacing w:line="220" w:lineRule="exact"/>
              <w:jc w:val="center"/>
              <w:rPr>
                <w:szCs w:val="22"/>
                <w:rtl/>
              </w:rPr>
            </w:pPr>
            <w:r w:rsidRPr="00415E11">
              <w:rPr>
                <w:rFonts w:hint="cs"/>
                <w:szCs w:val="22"/>
                <w:rtl/>
              </w:rPr>
              <w:t xml:space="preserve">ל-3 החודשים שהסתיימו ביום </w:t>
            </w:r>
          </w:p>
          <w:p w14:paraId="49539C51" w14:textId="77777777" w:rsidR="003C4695" w:rsidRPr="00415E11" w:rsidRDefault="003C4695" w:rsidP="00415E11">
            <w:pPr>
              <w:spacing w:line="220" w:lineRule="exact"/>
              <w:jc w:val="center"/>
              <w:rPr>
                <w:szCs w:val="22"/>
                <w:rtl/>
              </w:rPr>
            </w:pPr>
            <w:r w:rsidRPr="00415E11">
              <w:rPr>
                <w:rFonts w:hint="cs"/>
                <w:szCs w:val="22"/>
                <w:rtl/>
              </w:rPr>
              <w:t>30 בספטמבר</w:t>
            </w:r>
          </w:p>
        </w:tc>
        <w:tc>
          <w:tcPr>
            <w:tcW w:w="113" w:type="dxa"/>
            <w:shd w:val="clear" w:color="auto" w:fill="auto"/>
            <w:vAlign w:val="bottom"/>
          </w:tcPr>
          <w:p w14:paraId="27A09E67" w14:textId="77777777" w:rsidR="003C4695" w:rsidRPr="00415E11" w:rsidRDefault="003C4695" w:rsidP="00415E11">
            <w:pPr>
              <w:tabs>
                <w:tab w:val="decimal" w:pos="113"/>
              </w:tabs>
              <w:spacing w:line="220" w:lineRule="exact"/>
              <w:jc w:val="center"/>
              <w:rPr>
                <w:szCs w:val="22"/>
              </w:rPr>
            </w:pPr>
          </w:p>
        </w:tc>
        <w:tc>
          <w:tcPr>
            <w:tcW w:w="1136" w:type="dxa"/>
            <w:shd w:val="clear" w:color="auto" w:fill="auto"/>
            <w:vAlign w:val="bottom"/>
          </w:tcPr>
          <w:p w14:paraId="57E99A20" w14:textId="77777777" w:rsidR="003C4695" w:rsidRPr="00415E11" w:rsidRDefault="003C4695" w:rsidP="00415E11">
            <w:pPr>
              <w:spacing w:line="220" w:lineRule="exact"/>
              <w:jc w:val="center"/>
              <w:rPr>
                <w:szCs w:val="22"/>
                <w:rtl/>
              </w:rPr>
            </w:pPr>
            <w:r w:rsidRPr="00415E11">
              <w:rPr>
                <w:rFonts w:hint="cs"/>
                <w:szCs w:val="22"/>
                <w:rtl/>
              </w:rPr>
              <w:t>לשנה שהסתיימה ביום</w:t>
            </w:r>
          </w:p>
          <w:p w14:paraId="37CAAD1E" w14:textId="77777777" w:rsidR="003C4695" w:rsidRPr="00415E11" w:rsidRDefault="003C4695" w:rsidP="00415E11">
            <w:pPr>
              <w:spacing w:line="220" w:lineRule="exact"/>
              <w:jc w:val="center"/>
              <w:rPr>
                <w:szCs w:val="22"/>
                <w:rtl/>
              </w:rPr>
            </w:pPr>
            <w:r w:rsidRPr="00415E11">
              <w:rPr>
                <w:rFonts w:hint="cs"/>
                <w:szCs w:val="22"/>
                <w:rtl/>
              </w:rPr>
              <w:t>31 בדצמבר</w:t>
            </w:r>
          </w:p>
        </w:tc>
      </w:tr>
      <w:tr w:rsidR="00767D26" w:rsidRPr="00415E11" w14:paraId="2174E2D4" w14:textId="77777777" w:rsidTr="00530E0E">
        <w:tc>
          <w:tcPr>
            <w:tcW w:w="3260" w:type="dxa"/>
            <w:shd w:val="clear" w:color="auto" w:fill="auto"/>
            <w:vAlign w:val="bottom"/>
          </w:tcPr>
          <w:p w14:paraId="07FEDEB6" w14:textId="77777777" w:rsidR="00767D26" w:rsidRPr="00415E11" w:rsidRDefault="00767D26" w:rsidP="00767D26">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57B2B3AC" w14:textId="77777777" w:rsidR="00767D26" w:rsidRPr="00415E11" w:rsidRDefault="00767D26" w:rsidP="00767D26">
            <w:pPr>
              <w:spacing w:line="220" w:lineRule="exact"/>
              <w:rPr>
                <w:szCs w:val="22"/>
                <w:rtl/>
              </w:rPr>
            </w:pPr>
          </w:p>
        </w:tc>
        <w:tc>
          <w:tcPr>
            <w:tcW w:w="907" w:type="dxa"/>
            <w:tcBorders>
              <w:bottom w:val="single" w:sz="6" w:space="0" w:color="auto"/>
            </w:tcBorders>
            <w:shd w:val="clear" w:color="auto" w:fill="auto"/>
            <w:vAlign w:val="bottom"/>
          </w:tcPr>
          <w:p w14:paraId="7DA3B93A" w14:textId="30D20DDD" w:rsidR="00767D26" w:rsidRPr="00415E11" w:rsidRDefault="00767D26" w:rsidP="00767D26">
            <w:pPr>
              <w:spacing w:line="220" w:lineRule="exact"/>
              <w:jc w:val="center"/>
              <w:rPr>
                <w:szCs w:val="22"/>
              </w:rPr>
            </w:pPr>
            <w:r w:rsidRPr="00415E11">
              <w:rPr>
                <w:rFonts w:hint="cs"/>
                <w:szCs w:val="22"/>
                <w:rtl/>
              </w:rPr>
              <w:t>201</w:t>
            </w:r>
            <w:r>
              <w:rPr>
                <w:rFonts w:hint="cs"/>
                <w:szCs w:val="22"/>
                <w:rtl/>
              </w:rPr>
              <w:t>9</w:t>
            </w:r>
          </w:p>
        </w:tc>
        <w:tc>
          <w:tcPr>
            <w:tcW w:w="113" w:type="dxa"/>
            <w:vAlign w:val="bottom"/>
          </w:tcPr>
          <w:p w14:paraId="0D05EDEB" w14:textId="77777777" w:rsidR="00767D26" w:rsidRPr="00415E11" w:rsidRDefault="00767D26" w:rsidP="00767D26">
            <w:pPr>
              <w:spacing w:line="220" w:lineRule="exact"/>
              <w:jc w:val="center"/>
              <w:rPr>
                <w:szCs w:val="22"/>
              </w:rPr>
            </w:pPr>
          </w:p>
        </w:tc>
        <w:tc>
          <w:tcPr>
            <w:tcW w:w="907" w:type="dxa"/>
            <w:tcBorders>
              <w:bottom w:val="single" w:sz="6" w:space="0" w:color="auto"/>
            </w:tcBorders>
            <w:shd w:val="clear" w:color="auto" w:fill="auto"/>
            <w:vAlign w:val="bottom"/>
          </w:tcPr>
          <w:p w14:paraId="37850FFC" w14:textId="69E8E0FC" w:rsidR="00767D26" w:rsidRPr="00415E11" w:rsidRDefault="00767D26" w:rsidP="00767D26">
            <w:pPr>
              <w:spacing w:line="220" w:lineRule="exact"/>
              <w:jc w:val="center"/>
              <w:rPr>
                <w:szCs w:val="22"/>
              </w:rPr>
            </w:pPr>
            <w:r w:rsidRPr="00415E11">
              <w:rPr>
                <w:rFonts w:hint="cs"/>
                <w:szCs w:val="22"/>
                <w:rtl/>
              </w:rPr>
              <w:t>201</w:t>
            </w:r>
            <w:r>
              <w:rPr>
                <w:rFonts w:hint="cs"/>
                <w:szCs w:val="22"/>
                <w:rtl/>
              </w:rPr>
              <w:t>8</w:t>
            </w:r>
          </w:p>
        </w:tc>
        <w:tc>
          <w:tcPr>
            <w:tcW w:w="113" w:type="dxa"/>
            <w:shd w:val="clear" w:color="auto" w:fill="auto"/>
            <w:vAlign w:val="bottom"/>
          </w:tcPr>
          <w:p w14:paraId="06C3188F" w14:textId="77777777" w:rsidR="00767D26" w:rsidRPr="00415E11" w:rsidRDefault="00767D26" w:rsidP="00767D26">
            <w:pPr>
              <w:spacing w:line="220" w:lineRule="exact"/>
              <w:jc w:val="center"/>
              <w:rPr>
                <w:szCs w:val="22"/>
              </w:rPr>
            </w:pPr>
          </w:p>
        </w:tc>
        <w:tc>
          <w:tcPr>
            <w:tcW w:w="907" w:type="dxa"/>
            <w:tcBorders>
              <w:bottom w:val="single" w:sz="6" w:space="0" w:color="auto"/>
            </w:tcBorders>
            <w:shd w:val="clear" w:color="auto" w:fill="auto"/>
            <w:vAlign w:val="bottom"/>
          </w:tcPr>
          <w:p w14:paraId="0591C98B" w14:textId="78EE643D" w:rsidR="00767D26" w:rsidRPr="00415E11" w:rsidRDefault="00767D26" w:rsidP="00767D26">
            <w:pPr>
              <w:spacing w:line="220" w:lineRule="exact"/>
              <w:jc w:val="center"/>
              <w:rPr>
                <w:szCs w:val="22"/>
              </w:rPr>
            </w:pPr>
            <w:r w:rsidRPr="00415E11">
              <w:rPr>
                <w:rFonts w:hint="cs"/>
                <w:szCs w:val="22"/>
                <w:rtl/>
              </w:rPr>
              <w:t>201</w:t>
            </w:r>
            <w:r>
              <w:rPr>
                <w:rFonts w:hint="cs"/>
                <w:szCs w:val="22"/>
                <w:rtl/>
              </w:rPr>
              <w:t>9</w:t>
            </w:r>
          </w:p>
        </w:tc>
        <w:tc>
          <w:tcPr>
            <w:tcW w:w="113" w:type="dxa"/>
            <w:shd w:val="clear" w:color="auto" w:fill="auto"/>
            <w:vAlign w:val="bottom"/>
          </w:tcPr>
          <w:p w14:paraId="44ED97B0" w14:textId="77777777" w:rsidR="00767D26" w:rsidRPr="00415E11" w:rsidRDefault="00767D26" w:rsidP="00767D26">
            <w:pPr>
              <w:spacing w:line="220" w:lineRule="exact"/>
              <w:jc w:val="center"/>
              <w:rPr>
                <w:szCs w:val="22"/>
              </w:rPr>
            </w:pPr>
          </w:p>
        </w:tc>
        <w:tc>
          <w:tcPr>
            <w:tcW w:w="907" w:type="dxa"/>
            <w:tcBorders>
              <w:bottom w:val="single" w:sz="6" w:space="0" w:color="auto"/>
            </w:tcBorders>
            <w:shd w:val="clear" w:color="auto" w:fill="auto"/>
            <w:vAlign w:val="bottom"/>
          </w:tcPr>
          <w:p w14:paraId="69E10BA2" w14:textId="47E097BD" w:rsidR="00767D26" w:rsidRPr="00415E11" w:rsidRDefault="00767D26" w:rsidP="00767D26">
            <w:pPr>
              <w:spacing w:line="220" w:lineRule="exact"/>
              <w:jc w:val="center"/>
              <w:rPr>
                <w:szCs w:val="22"/>
              </w:rPr>
            </w:pPr>
            <w:r w:rsidRPr="00415E11">
              <w:rPr>
                <w:rFonts w:hint="cs"/>
                <w:szCs w:val="22"/>
                <w:rtl/>
              </w:rPr>
              <w:t>201</w:t>
            </w:r>
            <w:r>
              <w:rPr>
                <w:rFonts w:hint="cs"/>
                <w:szCs w:val="22"/>
                <w:rtl/>
              </w:rPr>
              <w:t>8</w:t>
            </w:r>
          </w:p>
        </w:tc>
        <w:tc>
          <w:tcPr>
            <w:tcW w:w="113" w:type="dxa"/>
            <w:shd w:val="clear" w:color="auto" w:fill="auto"/>
            <w:vAlign w:val="bottom"/>
          </w:tcPr>
          <w:p w14:paraId="798837BD" w14:textId="77777777" w:rsidR="00767D26" w:rsidRPr="00415E11" w:rsidRDefault="00767D26" w:rsidP="00767D26">
            <w:pPr>
              <w:tabs>
                <w:tab w:val="decimal" w:pos="113"/>
              </w:tabs>
              <w:spacing w:line="220" w:lineRule="exact"/>
              <w:jc w:val="center"/>
              <w:rPr>
                <w:szCs w:val="22"/>
              </w:rPr>
            </w:pPr>
          </w:p>
        </w:tc>
        <w:tc>
          <w:tcPr>
            <w:tcW w:w="1136" w:type="dxa"/>
            <w:tcBorders>
              <w:bottom w:val="single" w:sz="6" w:space="0" w:color="auto"/>
            </w:tcBorders>
            <w:shd w:val="clear" w:color="auto" w:fill="auto"/>
            <w:vAlign w:val="bottom"/>
          </w:tcPr>
          <w:p w14:paraId="79CF5175" w14:textId="7FA1F1D2" w:rsidR="00767D26" w:rsidRPr="00415E11" w:rsidRDefault="00767D26" w:rsidP="00767D26">
            <w:pPr>
              <w:spacing w:line="220" w:lineRule="exact"/>
              <w:jc w:val="center"/>
              <w:rPr>
                <w:szCs w:val="22"/>
              </w:rPr>
            </w:pPr>
            <w:r w:rsidRPr="00415E11">
              <w:rPr>
                <w:rFonts w:hint="cs"/>
                <w:szCs w:val="22"/>
                <w:rtl/>
              </w:rPr>
              <w:t>201</w:t>
            </w:r>
            <w:r>
              <w:rPr>
                <w:rFonts w:hint="cs"/>
                <w:szCs w:val="22"/>
                <w:rtl/>
              </w:rPr>
              <w:t>8</w:t>
            </w:r>
          </w:p>
        </w:tc>
      </w:tr>
      <w:tr w:rsidR="00767D26" w:rsidRPr="00415E11" w14:paraId="7AE432E7" w14:textId="77777777" w:rsidTr="00530E0E">
        <w:tc>
          <w:tcPr>
            <w:tcW w:w="3260" w:type="dxa"/>
            <w:shd w:val="clear" w:color="auto" w:fill="auto"/>
            <w:vAlign w:val="bottom"/>
          </w:tcPr>
          <w:p w14:paraId="1C2E9318" w14:textId="77777777" w:rsidR="00767D26" w:rsidRPr="00415E11" w:rsidRDefault="00767D26" w:rsidP="00767D26">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41CDBC69" w14:textId="77777777" w:rsidR="00767D26" w:rsidRPr="00415E11" w:rsidRDefault="00767D26" w:rsidP="00767D26">
            <w:pPr>
              <w:spacing w:line="220" w:lineRule="exact"/>
              <w:rPr>
                <w:szCs w:val="22"/>
                <w:rtl/>
              </w:rPr>
            </w:pPr>
          </w:p>
        </w:tc>
        <w:tc>
          <w:tcPr>
            <w:tcW w:w="3967" w:type="dxa"/>
            <w:gridSpan w:val="7"/>
            <w:tcBorders>
              <w:bottom w:val="single" w:sz="6" w:space="0" w:color="auto"/>
            </w:tcBorders>
            <w:shd w:val="clear" w:color="auto" w:fill="auto"/>
            <w:vAlign w:val="bottom"/>
          </w:tcPr>
          <w:p w14:paraId="0CC1E6EF" w14:textId="77777777" w:rsidR="00767D26" w:rsidRPr="00415E11" w:rsidRDefault="00767D26" w:rsidP="00767D26">
            <w:pPr>
              <w:spacing w:line="220" w:lineRule="exact"/>
              <w:jc w:val="center"/>
              <w:rPr>
                <w:szCs w:val="22"/>
              </w:rPr>
            </w:pPr>
            <w:r w:rsidRPr="00415E11">
              <w:rPr>
                <w:rFonts w:hint="cs"/>
                <w:szCs w:val="22"/>
                <w:rtl/>
              </w:rPr>
              <w:t>בלתי מבוקר</w:t>
            </w:r>
          </w:p>
        </w:tc>
        <w:tc>
          <w:tcPr>
            <w:tcW w:w="113" w:type="dxa"/>
            <w:shd w:val="clear" w:color="auto" w:fill="auto"/>
            <w:vAlign w:val="bottom"/>
          </w:tcPr>
          <w:p w14:paraId="05C509B0" w14:textId="77777777" w:rsidR="00767D26" w:rsidRPr="00415E11" w:rsidRDefault="00767D26" w:rsidP="00767D26">
            <w:pPr>
              <w:tabs>
                <w:tab w:val="decimal" w:pos="113"/>
              </w:tabs>
              <w:spacing w:line="220" w:lineRule="exact"/>
              <w:jc w:val="center"/>
              <w:rPr>
                <w:szCs w:val="22"/>
              </w:rPr>
            </w:pPr>
          </w:p>
        </w:tc>
        <w:tc>
          <w:tcPr>
            <w:tcW w:w="1136" w:type="dxa"/>
            <w:tcBorders>
              <w:bottom w:val="single" w:sz="6" w:space="0" w:color="auto"/>
            </w:tcBorders>
            <w:shd w:val="clear" w:color="auto" w:fill="auto"/>
            <w:vAlign w:val="bottom"/>
          </w:tcPr>
          <w:p w14:paraId="73115484" w14:textId="77777777" w:rsidR="00767D26" w:rsidRPr="00415E11" w:rsidRDefault="00767D26" w:rsidP="00767D26">
            <w:pPr>
              <w:spacing w:line="220" w:lineRule="exact"/>
              <w:jc w:val="center"/>
              <w:rPr>
                <w:szCs w:val="22"/>
              </w:rPr>
            </w:pPr>
            <w:r w:rsidRPr="00415E11">
              <w:rPr>
                <w:rFonts w:hint="cs"/>
                <w:szCs w:val="22"/>
                <w:rtl/>
              </w:rPr>
              <w:t>מבוקר</w:t>
            </w:r>
          </w:p>
        </w:tc>
      </w:tr>
      <w:tr w:rsidR="00767D26" w:rsidRPr="00415E11" w14:paraId="637E1A4C" w14:textId="77777777" w:rsidTr="00530E0E">
        <w:tc>
          <w:tcPr>
            <w:tcW w:w="3260" w:type="dxa"/>
            <w:shd w:val="clear" w:color="auto" w:fill="auto"/>
            <w:vAlign w:val="bottom"/>
          </w:tcPr>
          <w:p w14:paraId="1F81B7F0" w14:textId="77777777" w:rsidR="00767D26" w:rsidRPr="00415E11" w:rsidRDefault="00767D26" w:rsidP="00767D26">
            <w:pPr>
              <w:pStyle w:val="a3"/>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4E7A3AF1" w14:textId="77777777" w:rsidR="00767D26" w:rsidRPr="00415E11" w:rsidRDefault="00767D26" w:rsidP="00767D26">
            <w:pPr>
              <w:tabs>
                <w:tab w:val="decimal" w:pos="113"/>
              </w:tabs>
              <w:spacing w:line="220" w:lineRule="exact"/>
              <w:ind w:left="57"/>
              <w:rPr>
                <w:szCs w:val="22"/>
              </w:rPr>
            </w:pPr>
          </w:p>
        </w:tc>
        <w:tc>
          <w:tcPr>
            <w:tcW w:w="5216" w:type="dxa"/>
            <w:gridSpan w:val="9"/>
            <w:tcBorders>
              <w:bottom w:val="single" w:sz="6" w:space="0" w:color="auto"/>
            </w:tcBorders>
            <w:shd w:val="clear" w:color="auto" w:fill="auto"/>
            <w:vAlign w:val="bottom"/>
          </w:tcPr>
          <w:p w14:paraId="423417B4" w14:textId="77777777" w:rsidR="00767D26" w:rsidRPr="00415E11" w:rsidRDefault="00767D26" w:rsidP="00767D26">
            <w:pPr>
              <w:tabs>
                <w:tab w:val="decimal" w:pos="113"/>
              </w:tabs>
              <w:spacing w:line="220" w:lineRule="exact"/>
              <w:jc w:val="center"/>
              <w:rPr>
                <w:szCs w:val="22"/>
                <w:u w:val="single"/>
              </w:rPr>
            </w:pPr>
            <w:r w:rsidRPr="00415E11">
              <w:rPr>
                <w:rFonts w:hint="cs"/>
                <w:szCs w:val="22"/>
                <w:rtl/>
              </w:rPr>
              <w:t>אלפי ש"ח</w:t>
            </w:r>
          </w:p>
        </w:tc>
      </w:tr>
      <w:tr w:rsidR="00767D26" w:rsidRPr="00415E11" w14:paraId="7A3921E8" w14:textId="77777777" w:rsidTr="00530E0E">
        <w:tc>
          <w:tcPr>
            <w:tcW w:w="3260" w:type="dxa"/>
            <w:shd w:val="clear" w:color="auto" w:fill="auto"/>
            <w:vAlign w:val="bottom"/>
          </w:tcPr>
          <w:p w14:paraId="77C3C181" w14:textId="77777777" w:rsidR="00767D26" w:rsidRPr="00415E11" w:rsidRDefault="00767D26" w:rsidP="00767D26">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2BE36149" w14:textId="77777777" w:rsidR="00767D26" w:rsidRPr="00415E11" w:rsidRDefault="00767D26" w:rsidP="00767D26">
            <w:pPr>
              <w:spacing w:line="220" w:lineRule="exact"/>
              <w:rPr>
                <w:szCs w:val="22"/>
              </w:rPr>
            </w:pPr>
          </w:p>
        </w:tc>
        <w:tc>
          <w:tcPr>
            <w:tcW w:w="907" w:type="dxa"/>
            <w:tcBorders>
              <w:top w:val="single" w:sz="6" w:space="0" w:color="auto"/>
            </w:tcBorders>
            <w:vAlign w:val="bottom"/>
          </w:tcPr>
          <w:p w14:paraId="4D17E4E4" w14:textId="77777777" w:rsidR="00767D26" w:rsidRPr="00415E11" w:rsidRDefault="00767D26" w:rsidP="00767D26">
            <w:pPr>
              <w:tabs>
                <w:tab w:val="decimal" w:pos="113"/>
              </w:tabs>
              <w:spacing w:line="220" w:lineRule="exact"/>
              <w:rPr>
                <w:szCs w:val="22"/>
                <w:rtl/>
              </w:rPr>
            </w:pPr>
          </w:p>
        </w:tc>
        <w:tc>
          <w:tcPr>
            <w:tcW w:w="113" w:type="dxa"/>
            <w:tcBorders>
              <w:top w:val="single" w:sz="6" w:space="0" w:color="auto"/>
            </w:tcBorders>
            <w:vAlign w:val="bottom"/>
          </w:tcPr>
          <w:p w14:paraId="28B4E196"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3E3EFA67" w14:textId="77777777" w:rsidR="00767D26" w:rsidRPr="00415E11" w:rsidRDefault="00767D26" w:rsidP="00767D26">
            <w:pPr>
              <w:tabs>
                <w:tab w:val="decimal" w:pos="113"/>
              </w:tabs>
              <w:spacing w:line="220" w:lineRule="exact"/>
              <w:rPr>
                <w:szCs w:val="22"/>
              </w:rPr>
            </w:pPr>
          </w:p>
        </w:tc>
        <w:tc>
          <w:tcPr>
            <w:tcW w:w="113" w:type="dxa"/>
            <w:tcBorders>
              <w:top w:val="single" w:sz="6" w:space="0" w:color="auto"/>
            </w:tcBorders>
            <w:shd w:val="clear" w:color="auto" w:fill="auto"/>
            <w:vAlign w:val="bottom"/>
          </w:tcPr>
          <w:p w14:paraId="11192321"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0C655713" w14:textId="77777777" w:rsidR="00767D26" w:rsidRPr="00415E11" w:rsidRDefault="00767D26" w:rsidP="00767D26">
            <w:pPr>
              <w:tabs>
                <w:tab w:val="decimal" w:pos="113"/>
              </w:tabs>
              <w:spacing w:line="220" w:lineRule="exact"/>
              <w:rPr>
                <w:szCs w:val="22"/>
                <w:rtl/>
              </w:rPr>
            </w:pPr>
          </w:p>
        </w:tc>
        <w:tc>
          <w:tcPr>
            <w:tcW w:w="113" w:type="dxa"/>
            <w:tcBorders>
              <w:top w:val="single" w:sz="6" w:space="0" w:color="auto"/>
            </w:tcBorders>
            <w:shd w:val="clear" w:color="auto" w:fill="auto"/>
            <w:vAlign w:val="bottom"/>
          </w:tcPr>
          <w:p w14:paraId="26CA1C37"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32A9392E" w14:textId="77777777" w:rsidR="00767D26" w:rsidRPr="00415E11" w:rsidRDefault="00767D26" w:rsidP="00767D26">
            <w:pPr>
              <w:tabs>
                <w:tab w:val="decimal" w:pos="113"/>
              </w:tabs>
              <w:spacing w:line="220" w:lineRule="exact"/>
              <w:rPr>
                <w:szCs w:val="22"/>
              </w:rPr>
            </w:pPr>
          </w:p>
        </w:tc>
        <w:tc>
          <w:tcPr>
            <w:tcW w:w="113" w:type="dxa"/>
            <w:tcBorders>
              <w:top w:val="single" w:sz="6" w:space="0" w:color="auto"/>
            </w:tcBorders>
            <w:shd w:val="clear" w:color="auto" w:fill="auto"/>
            <w:vAlign w:val="bottom"/>
          </w:tcPr>
          <w:p w14:paraId="21037354" w14:textId="77777777" w:rsidR="00767D26" w:rsidRPr="00415E11" w:rsidRDefault="00767D26" w:rsidP="00767D26">
            <w:pPr>
              <w:tabs>
                <w:tab w:val="decimal" w:pos="113"/>
              </w:tabs>
              <w:spacing w:line="220" w:lineRule="exact"/>
              <w:rPr>
                <w:szCs w:val="22"/>
              </w:rPr>
            </w:pPr>
          </w:p>
        </w:tc>
        <w:tc>
          <w:tcPr>
            <w:tcW w:w="1136" w:type="dxa"/>
            <w:tcBorders>
              <w:top w:val="single" w:sz="6" w:space="0" w:color="auto"/>
            </w:tcBorders>
            <w:shd w:val="clear" w:color="auto" w:fill="auto"/>
            <w:vAlign w:val="bottom"/>
          </w:tcPr>
          <w:p w14:paraId="1C6C1A49" w14:textId="77777777" w:rsidR="00767D26" w:rsidRPr="00415E11" w:rsidRDefault="00767D26" w:rsidP="00767D26">
            <w:pPr>
              <w:tabs>
                <w:tab w:val="decimal" w:pos="113"/>
              </w:tabs>
              <w:spacing w:line="220" w:lineRule="exact"/>
              <w:rPr>
                <w:szCs w:val="22"/>
                <w:rtl/>
              </w:rPr>
            </w:pPr>
          </w:p>
        </w:tc>
      </w:tr>
      <w:tr w:rsidR="00767D26" w:rsidRPr="00415E11" w14:paraId="1EEDE3D2" w14:textId="77777777" w:rsidTr="00530E0E">
        <w:tc>
          <w:tcPr>
            <w:tcW w:w="3260" w:type="dxa"/>
            <w:shd w:val="clear" w:color="auto" w:fill="auto"/>
          </w:tcPr>
          <w:p w14:paraId="7CD6B4BE"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הכנסות ממכירות</w:t>
            </w:r>
          </w:p>
        </w:tc>
        <w:tc>
          <w:tcPr>
            <w:tcW w:w="113" w:type="dxa"/>
            <w:shd w:val="clear" w:color="auto" w:fill="auto"/>
            <w:vAlign w:val="bottom"/>
          </w:tcPr>
          <w:p w14:paraId="53E0D9C7" w14:textId="77777777" w:rsidR="00767D26" w:rsidRPr="00415E11" w:rsidRDefault="00767D26" w:rsidP="00767D26">
            <w:pPr>
              <w:spacing w:line="220" w:lineRule="exact"/>
              <w:rPr>
                <w:szCs w:val="22"/>
              </w:rPr>
            </w:pPr>
          </w:p>
        </w:tc>
        <w:tc>
          <w:tcPr>
            <w:tcW w:w="907" w:type="dxa"/>
            <w:vAlign w:val="bottom"/>
          </w:tcPr>
          <w:p w14:paraId="740F91C3" w14:textId="77777777" w:rsidR="00767D26" w:rsidRPr="00415E11" w:rsidRDefault="00767D26" w:rsidP="00767D26">
            <w:pPr>
              <w:tabs>
                <w:tab w:val="decimal" w:pos="113"/>
              </w:tabs>
              <w:spacing w:line="220" w:lineRule="exact"/>
              <w:rPr>
                <w:szCs w:val="22"/>
                <w:rtl/>
              </w:rPr>
            </w:pPr>
          </w:p>
        </w:tc>
        <w:tc>
          <w:tcPr>
            <w:tcW w:w="113" w:type="dxa"/>
            <w:vAlign w:val="bottom"/>
          </w:tcPr>
          <w:p w14:paraId="1457EA51"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0BC4DE4D"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1A90DE48"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42AC2D5F"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62557EB6"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04EAE6DC"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42A73820" w14:textId="77777777" w:rsidR="00767D26" w:rsidRPr="00415E11" w:rsidRDefault="00767D26" w:rsidP="00767D26">
            <w:pPr>
              <w:tabs>
                <w:tab w:val="decimal" w:pos="113"/>
              </w:tabs>
              <w:spacing w:line="220" w:lineRule="exact"/>
              <w:rPr>
                <w:szCs w:val="22"/>
              </w:rPr>
            </w:pPr>
          </w:p>
        </w:tc>
        <w:tc>
          <w:tcPr>
            <w:tcW w:w="1136" w:type="dxa"/>
            <w:shd w:val="clear" w:color="auto" w:fill="auto"/>
            <w:vAlign w:val="bottom"/>
          </w:tcPr>
          <w:p w14:paraId="2420F1ED" w14:textId="77777777" w:rsidR="00767D26" w:rsidRPr="00415E11" w:rsidRDefault="00767D26" w:rsidP="00767D26">
            <w:pPr>
              <w:tabs>
                <w:tab w:val="decimal" w:pos="113"/>
              </w:tabs>
              <w:spacing w:line="220" w:lineRule="exact"/>
              <w:rPr>
                <w:szCs w:val="22"/>
                <w:rtl/>
              </w:rPr>
            </w:pPr>
          </w:p>
        </w:tc>
      </w:tr>
      <w:tr w:rsidR="00767D26" w:rsidRPr="00415E11" w14:paraId="3D350F1D" w14:textId="77777777" w:rsidTr="00530E0E">
        <w:tc>
          <w:tcPr>
            <w:tcW w:w="3260" w:type="dxa"/>
            <w:shd w:val="clear" w:color="auto" w:fill="auto"/>
          </w:tcPr>
          <w:p w14:paraId="2749B726"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עלות המכירות</w:t>
            </w:r>
          </w:p>
        </w:tc>
        <w:tc>
          <w:tcPr>
            <w:tcW w:w="113" w:type="dxa"/>
            <w:shd w:val="clear" w:color="auto" w:fill="auto"/>
            <w:vAlign w:val="bottom"/>
          </w:tcPr>
          <w:p w14:paraId="5203E7B3" w14:textId="77777777" w:rsidR="00767D26" w:rsidRPr="00415E11" w:rsidRDefault="00767D26" w:rsidP="00767D26">
            <w:pPr>
              <w:spacing w:line="220" w:lineRule="exact"/>
              <w:rPr>
                <w:szCs w:val="22"/>
              </w:rPr>
            </w:pPr>
          </w:p>
        </w:tc>
        <w:tc>
          <w:tcPr>
            <w:tcW w:w="907" w:type="dxa"/>
            <w:tcBorders>
              <w:bottom w:val="single" w:sz="6" w:space="0" w:color="auto"/>
            </w:tcBorders>
            <w:shd w:val="clear" w:color="auto" w:fill="auto"/>
            <w:vAlign w:val="bottom"/>
          </w:tcPr>
          <w:p w14:paraId="7ADC8F06" w14:textId="77777777" w:rsidR="00767D26" w:rsidRPr="00415E11" w:rsidRDefault="00767D26" w:rsidP="00767D26">
            <w:pPr>
              <w:tabs>
                <w:tab w:val="decimal" w:pos="113"/>
              </w:tabs>
              <w:spacing w:line="220" w:lineRule="exact"/>
              <w:rPr>
                <w:szCs w:val="22"/>
                <w:rtl/>
              </w:rPr>
            </w:pPr>
          </w:p>
        </w:tc>
        <w:tc>
          <w:tcPr>
            <w:tcW w:w="113" w:type="dxa"/>
            <w:vAlign w:val="bottom"/>
          </w:tcPr>
          <w:p w14:paraId="7A67C094"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953E114"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21EEAB16"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5C263758"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41260854"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6B1A64CA"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6E999743" w14:textId="77777777" w:rsidR="00767D26" w:rsidRPr="00415E11" w:rsidRDefault="00767D26" w:rsidP="00767D26">
            <w:pPr>
              <w:tabs>
                <w:tab w:val="decimal" w:pos="113"/>
              </w:tabs>
              <w:spacing w:line="220" w:lineRule="exact"/>
              <w:rPr>
                <w:szCs w:val="22"/>
              </w:rPr>
            </w:pPr>
          </w:p>
        </w:tc>
        <w:tc>
          <w:tcPr>
            <w:tcW w:w="1136" w:type="dxa"/>
            <w:tcBorders>
              <w:bottom w:val="single" w:sz="6" w:space="0" w:color="auto"/>
            </w:tcBorders>
            <w:shd w:val="clear" w:color="auto" w:fill="auto"/>
            <w:vAlign w:val="bottom"/>
          </w:tcPr>
          <w:p w14:paraId="154CC52D" w14:textId="77777777" w:rsidR="00767D26" w:rsidRPr="00415E11" w:rsidRDefault="00767D26" w:rsidP="00767D26">
            <w:pPr>
              <w:tabs>
                <w:tab w:val="decimal" w:pos="113"/>
              </w:tabs>
              <w:spacing w:line="220" w:lineRule="exact"/>
              <w:rPr>
                <w:szCs w:val="22"/>
                <w:rtl/>
              </w:rPr>
            </w:pPr>
          </w:p>
        </w:tc>
      </w:tr>
      <w:tr w:rsidR="00767D26" w:rsidRPr="00415E11" w14:paraId="4167AC61" w14:textId="77777777" w:rsidTr="00530E0E">
        <w:tc>
          <w:tcPr>
            <w:tcW w:w="3260" w:type="dxa"/>
            <w:shd w:val="clear" w:color="auto" w:fill="auto"/>
          </w:tcPr>
          <w:p w14:paraId="3791951E" w14:textId="77777777" w:rsidR="00767D26" w:rsidRPr="00415E11" w:rsidRDefault="00767D26" w:rsidP="00767D26">
            <w:pPr>
              <w:tabs>
                <w:tab w:val="left" w:pos="227"/>
                <w:tab w:val="left" w:pos="397"/>
                <w:tab w:val="left" w:pos="567"/>
              </w:tabs>
              <w:spacing w:line="220" w:lineRule="exact"/>
              <w:ind w:left="227" w:hanging="171"/>
              <w:jc w:val="left"/>
              <w:rPr>
                <w:szCs w:val="22"/>
              </w:rPr>
            </w:pPr>
          </w:p>
        </w:tc>
        <w:tc>
          <w:tcPr>
            <w:tcW w:w="113" w:type="dxa"/>
            <w:shd w:val="clear" w:color="auto" w:fill="auto"/>
            <w:vAlign w:val="bottom"/>
          </w:tcPr>
          <w:p w14:paraId="6712619C" w14:textId="77777777" w:rsidR="00767D26" w:rsidRPr="00415E11" w:rsidRDefault="00767D26" w:rsidP="00767D26">
            <w:pPr>
              <w:spacing w:line="220" w:lineRule="exact"/>
              <w:rPr>
                <w:szCs w:val="22"/>
              </w:rPr>
            </w:pPr>
          </w:p>
        </w:tc>
        <w:tc>
          <w:tcPr>
            <w:tcW w:w="907" w:type="dxa"/>
            <w:tcBorders>
              <w:top w:val="single" w:sz="6" w:space="0" w:color="auto"/>
            </w:tcBorders>
            <w:vAlign w:val="bottom"/>
          </w:tcPr>
          <w:p w14:paraId="473782FA" w14:textId="77777777" w:rsidR="00767D26" w:rsidRPr="00415E11" w:rsidRDefault="00767D26" w:rsidP="00767D26">
            <w:pPr>
              <w:tabs>
                <w:tab w:val="decimal" w:pos="113"/>
              </w:tabs>
              <w:spacing w:line="220" w:lineRule="exact"/>
              <w:rPr>
                <w:szCs w:val="22"/>
                <w:rtl/>
              </w:rPr>
            </w:pPr>
          </w:p>
        </w:tc>
        <w:tc>
          <w:tcPr>
            <w:tcW w:w="113" w:type="dxa"/>
            <w:vAlign w:val="bottom"/>
          </w:tcPr>
          <w:p w14:paraId="37A87A7A"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556F6300"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2D35D82F"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05B34D1B"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4AA1C9F8"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3BCDFBAC"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683CC162" w14:textId="77777777" w:rsidR="00767D26" w:rsidRPr="00415E11" w:rsidRDefault="00767D26" w:rsidP="00767D26">
            <w:pPr>
              <w:tabs>
                <w:tab w:val="decimal" w:pos="113"/>
              </w:tabs>
              <w:spacing w:line="220" w:lineRule="exact"/>
              <w:rPr>
                <w:szCs w:val="22"/>
              </w:rPr>
            </w:pPr>
          </w:p>
        </w:tc>
        <w:tc>
          <w:tcPr>
            <w:tcW w:w="1136" w:type="dxa"/>
            <w:tcBorders>
              <w:top w:val="single" w:sz="6" w:space="0" w:color="auto"/>
            </w:tcBorders>
            <w:shd w:val="clear" w:color="auto" w:fill="auto"/>
            <w:vAlign w:val="bottom"/>
          </w:tcPr>
          <w:p w14:paraId="7DD3CCE0" w14:textId="77777777" w:rsidR="00767D26" w:rsidRPr="00415E11" w:rsidRDefault="00767D26" w:rsidP="00767D26">
            <w:pPr>
              <w:tabs>
                <w:tab w:val="decimal" w:pos="113"/>
              </w:tabs>
              <w:spacing w:line="220" w:lineRule="exact"/>
              <w:rPr>
                <w:szCs w:val="22"/>
                <w:rtl/>
              </w:rPr>
            </w:pPr>
          </w:p>
        </w:tc>
      </w:tr>
      <w:tr w:rsidR="00767D26" w:rsidRPr="00415E11" w14:paraId="22167D6F" w14:textId="77777777" w:rsidTr="00530E0E">
        <w:tc>
          <w:tcPr>
            <w:tcW w:w="3260" w:type="dxa"/>
            <w:shd w:val="clear" w:color="auto" w:fill="auto"/>
          </w:tcPr>
          <w:p w14:paraId="414CDA95"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רווח (הפסד) גולמי</w:t>
            </w:r>
          </w:p>
        </w:tc>
        <w:tc>
          <w:tcPr>
            <w:tcW w:w="113" w:type="dxa"/>
            <w:shd w:val="clear" w:color="auto" w:fill="auto"/>
            <w:vAlign w:val="bottom"/>
          </w:tcPr>
          <w:p w14:paraId="3C6A5BB3" w14:textId="77777777" w:rsidR="00767D26" w:rsidRPr="00415E11" w:rsidRDefault="00767D26" w:rsidP="00767D26">
            <w:pPr>
              <w:spacing w:line="220" w:lineRule="exact"/>
              <w:rPr>
                <w:szCs w:val="22"/>
              </w:rPr>
            </w:pPr>
          </w:p>
        </w:tc>
        <w:tc>
          <w:tcPr>
            <w:tcW w:w="907" w:type="dxa"/>
            <w:vAlign w:val="bottom"/>
          </w:tcPr>
          <w:p w14:paraId="574CA623" w14:textId="77777777" w:rsidR="00767D26" w:rsidRPr="00415E11" w:rsidRDefault="00767D26" w:rsidP="00767D26">
            <w:pPr>
              <w:tabs>
                <w:tab w:val="decimal" w:pos="113"/>
              </w:tabs>
              <w:spacing w:line="220" w:lineRule="exact"/>
              <w:rPr>
                <w:szCs w:val="22"/>
                <w:rtl/>
              </w:rPr>
            </w:pPr>
          </w:p>
        </w:tc>
        <w:tc>
          <w:tcPr>
            <w:tcW w:w="113" w:type="dxa"/>
            <w:vAlign w:val="bottom"/>
          </w:tcPr>
          <w:p w14:paraId="328E6AD3"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1CA4FFE4"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00F97C23"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7E1C07EE"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14691EAA"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1FCA1FAD"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282DE101" w14:textId="77777777" w:rsidR="00767D26" w:rsidRPr="00415E11" w:rsidRDefault="00767D26" w:rsidP="00767D26">
            <w:pPr>
              <w:tabs>
                <w:tab w:val="decimal" w:pos="113"/>
              </w:tabs>
              <w:spacing w:line="220" w:lineRule="exact"/>
              <w:rPr>
                <w:szCs w:val="22"/>
              </w:rPr>
            </w:pPr>
          </w:p>
        </w:tc>
        <w:tc>
          <w:tcPr>
            <w:tcW w:w="1136" w:type="dxa"/>
            <w:shd w:val="clear" w:color="auto" w:fill="auto"/>
            <w:vAlign w:val="bottom"/>
          </w:tcPr>
          <w:p w14:paraId="031D9CD6" w14:textId="77777777" w:rsidR="00767D26" w:rsidRPr="00415E11" w:rsidRDefault="00767D26" w:rsidP="00767D26">
            <w:pPr>
              <w:tabs>
                <w:tab w:val="decimal" w:pos="113"/>
              </w:tabs>
              <w:spacing w:line="220" w:lineRule="exact"/>
              <w:rPr>
                <w:szCs w:val="22"/>
                <w:rtl/>
              </w:rPr>
            </w:pPr>
          </w:p>
        </w:tc>
      </w:tr>
      <w:tr w:rsidR="00767D26" w:rsidRPr="00415E11" w14:paraId="6A9680DB" w14:textId="77777777" w:rsidTr="00530E0E">
        <w:tc>
          <w:tcPr>
            <w:tcW w:w="3260" w:type="dxa"/>
            <w:shd w:val="clear" w:color="auto" w:fill="auto"/>
          </w:tcPr>
          <w:p w14:paraId="53D6CDF0"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הוצאות מכירה, הנהלה וכלליות</w:t>
            </w:r>
          </w:p>
        </w:tc>
        <w:tc>
          <w:tcPr>
            <w:tcW w:w="113" w:type="dxa"/>
            <w:shd w:val="clear" w:color="auto" w:fill="auto"/>
            <w:vAlign w:val="bottom"/>
          </w:tcPr>
          <w:p w14:paraId="72A74D05" w14:textId="77777777" w:rsidR="00767D26" w:rsidRPr="00415E11" w:rsidRDefault="00767D26" w:rsidP="00767D26">
            <w:pPr>
              <w:spacing w:line="220" w:lineRule="exact"/>
              <w:rPr>
                <w:szCs w:val="22"/>
              </w:rPr>
            </w:pPr>
          </w:p>
        </w:tc>
        <w:tc>
          <w:tcPr>
            <w:tcW w:w="907" w:type="dxa"/>
            <w:tcBorders>
              <w:bottom w:val="single" w:sz="6" w:space="0" w:color="auto"/>
            </w:tcBorders>
            <w:shd w:val="clear" w:color="auto" w:fill="auto"/>
            <w:vAlign w:val="bottom"/>
          </w:tcPr>
          <w:p w14:paraId="1742BB0B" w14:textId="77777777" w:rsidR="00767D26" w:rsidRPr="00415E11" w:rsidRDefault="00767D26" w:rsidP="00767D26">
            <w:pPr>
              <w:tabs>
                <w:tab w:val="decimal" w:pos="113"/>
              </w:tabs>
              <w:spacing w:line="220" w:lineRule="exact"/>
              <w:rPr>
                <w:szCs w:val="22"/>
                <w:rtl/>
              </w:rPr>
            </w:pPr>
          </w:p>
        </w:tc>
        <w:tc>
          <w:tcPr>
            <w:tcW w:w="113" w:type="dxa"/>
            <w:vAlign w:val="bottom"/>
          </w:tcPr>
          <w:p w14:paraId="760E6325"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20FE6D97"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5BBF0A1A"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4AF375E4"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78FE7BA0"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55D9941F"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171451CA" w14:textId="77777777" w:rsidR="00767D26" w:rsidRPr="00415E11" w:rsidRDefault="00767D26" w:rsidP="00767D26">
            <w:pPr>
              <w:tabs>
                <w:tab w:val="decimal" w:pos="113"/>
              </w:tabs>
              <w:spacing w:line="220" w:lineRule="exact"/>
              <w:rPr>
                <w:szCs w:val="22"/>
              </w:rPr>
            </w:pPr>
          </w:p>
        </w:tc>
        <w:tc>
          <w:tcPr>
            <w:tcW w:w="1136" w:type="dxa"/>
            <w:tcBorders>
              <w:bottom w:val="single" w:sz="6" w:space="0" w:color="auto"/>
            </w:tcBorders>
            <w:shd w:val="clear" w:color="auto" w:fill="auto"/>
            <w:vAlign w:val="bottom"/>
          </w:tcPr>
          <w:p w14:paraId="019274C6" w14:textId="77777777" w:rsidR="00767D26" w:rsidRPr="00415E11" w:rsidRDefault="00767D26" w:rsidP="00767D26">
            <w:pPr>
              <w:tabs>
                <w:tab w:val="decimal" w:pos="113"/>
              </w:tabs>
              <w:spacing w:line="220" w:lineRule="exact"/>
              <w:rPr>
                <w:szCs w:val="22"/>
                <w:rtl/>
              </w:rPr>
            </w:pPr>
          </w:p>
        </w:tc>
      </w:tr>
      <w:tr w:rsidR="00767D26" w:rsidRPr="00415E11" w14:paraId="09082957" w14:textId="77777777" w:rsidTr="00530E0E">
        <w:tc>
          <w:tcPr>
            <w:tcW w:w="3260" w:type="dxa"/>
            <w:shd w:val="clear" w:color="auto" w:fill="auto"/>
          </w:tcPr>
          <w:p w14:paraId="2ADA42DA" w14:textId="77777777" w:rsidR="00767D26" w:rsidRPr="00415E11" w:rsidRDefault="00767D26" w:rsidP="00767D26">
            <w:pPr>
              <w:tabs>
                <w:tab w:val="left" w:pos="227"/>
                <w:tab w:val="left" w:pos="397"/>
                <w:tab w:val="left" w:pos="567"/>
              </w:tabs>
              <w:spacing w:line="220" w:lineRule="exact"/>
              <w:ind w:left="227" w:hanging="171"/>
              <w:jc w:val="left"/>
              <w:rPr>
                <w:szCs w:val="22"/>
              </w:rPr>
            </w:pPr>
          </w:p>
        </w:tc>
        <w:tc>
          <w:tcPr>
            <w:tcW w:w="113" w:type="dxa"/>
            <w:shd w:val="clear" w:color="auto" w:fill="auto"/>
            <w:vAlign w:val="bottom"/>
          </w:tcPr>
          <w:p w14:paraId="12437CB7" w14:textId="77777777" w:rsidR="00767D26" w:rsidRPr="00415E11" w:rsidRDefault="00767D26" w:rsidP="00767D26">
            <w:pPr>
              <w:spacing w:line="220" w:lineRule="exact"/>
              <w:rPr>
                <w:szCs w:val="22"/>
              </w:rPr>
            </w:pPr>
          </w:p>
        </w:tc>
        <w:tc>
          <w:tcPr>
            <w:tcW w:w="907" w:type="dxa"/>
            <w:tcBorders>
              <w:top w:val="single" w:sz="6" w:space="0" w:color="auto"/>
            </w:tcBorders>
            <w:vAlign w:val="bottom"/>
          </w:tcPr>
          <w:p w14:paraId="421431F3" w14:textId="77777777" w:rsidR="00767D26" w:rsidRPr="00415E11" w:rsidRDefault="00767D26" w:rsidP="00767D26">
            <w:pPr>
              <w:tabs>
                <w:tab w:val="decimal" w:pos="113"/>
              </w:tabs>
              <w:spacing w:line="220" w:lineRule="exact"/>
              <w:rPr>
                <w:szCs w:val="22"/>
                <w:rtl/>
              </w:rPr>
            </w:pPr>
          </w:p>
        </w:tc>
        <w:tc>
          <w:tcPr>
            <w:tcW w:w="113" w:type="dxa"/>
            <w:vAlign w:val="bottom"/>
          </w:tcPr>
          <w:p w14:paraId="1BCD1D55"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26EB087E"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21B18F9C"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33DF123D"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0FCB7B57"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0C476F88"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2B8E6D5A" w14:textId="77777777" w:rsidR="00767D26" w:rsidRPr="00415E11" w:rsidRDefault="00767D26" w:rsidP="00767D26">
            <w:pPr>
              <w:tabs>
                <w:tab w:val="decimal" w:pos="113"/>
              </w:tabs>
              <w:spacing w:line="220" w:lineRule="exact"/>
              <w:rPr>
                <w:szCs w:val="22"/>
              </w:rPr>
            </w:pPr>
          </w:p>
        </w:tc>
        <w:tc>
          <w:tcPr>
            <w:tcW w:w="1136" w:type="dxa"/>
            <w:tcBorders>
              <w:top w:val="single" w:sz="6" w:space="0" w:color="auto"/>
            </w:tcBorders>
            <w:shd w:val="clear" w:color="auto" w:fill="auto"/>
            <w:vAlign w:val="bottom"/>
          </w:tcPr>
          <w:p w14:paraId="1205F156" w14:textId="77777777" w:rsidR="00767D26" w:rsidRPr="00415E11" w:rsidRDefault="00767D26" w:rsidP="00767D26">
            <w:pPr>
              <w:tabs>
                <w:tab w:val="decimal" w:pos="113"/>
              </w:tabs>
              <w:spacing w:line="220" w:lineRule="exact"/>
              <w:rPr>
                <w:szCs w:val="22"/>
                <w:rtl/>
              </w:rPr>
            </w:pPr>
          </w:p>
        </w:tc>
      </w:tr>
      <w:tr w:rsidR="00767D26" w:rsidRPr="00415E11" w14:paraId="6FFAF5A0" w14:textId="77777777" w:rsidTr="00530E0E">
        <w:tc>
          <w:tcPr>
            <w:tcW w:w="3260" w:type="dxa"/>
            <w:shd w:val="clear" w:color="auto" w:fill="auto"/>
          </w:tcPr>
          <w:p w14:paraId="1926B1D2"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רווח (הפסד) תפעולי</w:t>
            </w:r>
          </w:p>
        </w:tc>
        <w:tc>
          <w:tcPr>
            <w:tcW w:w="113" w:type="dxa"/>
            <w:shd w:val="clear" w:color="auto" w:fill="auto"/>
            <w:vAlign w:val="bottom"/>
          </w:tcPr>
          <w:p w14:paraId="7C807624" w14:textId="77777777" w:rsidR="00767D26" w:rsidRPr="00415E11" w:rsidRDefault="00767D26" w:rsidP="00767D26">
            <w:pPr>
              <w:spacing w:line="220" w:lineRule="exact"/>
              <w:rPr>
                <w:szCs w:val="22"/>
              </w:rPr>
            </w:pPr>
          </w:p>
        </w:tc>
        <w:tc>
          <w:tcPr>
            <w:tcW w:w="907" w:type="dxa"/>
            <w:vAlign w:val="bottom"/>
          </w:tcPr>
          <w:p w14:paraId="67412D66" w14:textId="77777777" w:rsidR="00767D26" w:rsidRPr="00415E11" w:rsidRDefault="00767D26" w:rsidP="00767D26">
            <w:pPr>
              <w:tabs>
                <w:tab w:val="decimal" w:pos="113"/>
              </w:tabs>
              <w:spacing w:line="220" w:lineRule="exact"/>
              <w:rPr>
                <w:szCs w:val="22"/>
                <w:rtl/>
              </w:rPr>
            </w:pPr>
          </w:p>
        </w:tc>
        <w:tc>
          <w:tcPr>
            <w:tcW w:w="113" w:type="dxa"/>
            <w:vAlign w:val="bottom"/>
          </w:tcPr>
          <w:p w14:paraId="4A7798AA"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6928A033"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5696BAB0"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6F84DCEF"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571CA559"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01003029"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7F444CCA" w14:textId="77777777" w:rsidR="00767D26" w:rsidRPr="00415E11" w:rsidRDefault="00767D26" w:rsidP="00767D26">
            <w:pPr>
              <w:tabs>
                <w:tab w:val="decimal" w:pos="113"/>
              </w:tabs>
              <w:spacing w:line="220" w:lineRule="exact"/>
              <w:rPr>
                <w:szCs w:val="22"/>
              </w:rPr>
            </w:pPr>
          </w:p>
        </w:tc>
        <w:tc>
          <w:tcPr>
            <w:tcW w:w="1136" w:type="dxa"/>
            <w:shd w:val="clear" w:color="auto" w:fill="auto"/>
            <w:vAlign w:val="bottom"/>
          </w:tcPr>
          <w:p w14:paraId="7A42CE8D" w14:textId="77777777" w:rsidR="00767D26" w:rsidRPr="00415E11" w:rsidRDefault="00767D26" w:rsidP="00767D26">
            <w:pPr>
              <w:tabs>
                <w:tab w:val="decimal" w:pos="113"/>
              </w:tabs>
              <w:spacing w:line="220" w:lineRule="exact"/>
              <w:rPr>
                <w:szCs w:val="22"/>
                <w:rtl/>
              </w:rPr>
            </w:pPr>
          </w:p>
        </w:tc>
      </w:tr>
      <w:tr w:rsidR="00767D26" w:rsidRPr="00415E11" w14:paraId="5B93C95B" w14:textId="77777777" w:rsidTr="00530E0E">
        <w:tc>
          <w:tcPr>
            <w:tcW w:w="3260" w:type="dxa"/>
            <w:shd w:val="clear" w:color="auto" w:fill="auto"/>
          </w:tcPr>
          <w:p w14:paraId="09ADE574"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הוצאות מימון, נטו</w:t>
            </w:r>
          </w:p>
        </w:tc>
        <w:tc>
          <w:tcPr>
            <w:tcW w:w="113" w:type="dxa"/>
            <w:shd w:val="clear" w:color="auto" w:fill="auto"/>
            <w:vAlign w:val="bottom"/>
          </w:tcPr>
          <w:p w14:paraId="6F483D06" w14:textId="77777777" w:rsidR="00767D26" w:rsidRPr="00415E11" w:rsidRDefault="00767D26" w:rsidP="00767D26">
            <w:pPr>
              <w:spacing w:line="220" w:lineRule="exact"/>
              <w:rPr>
                <w:szCs w:val="22"/>
              </w:rPr>
            </w:pPr>
          </w:p>
        </w:tc>
        <w:tc>
          <w:tcPr>
            <w:tcW w:w="907" w:type="dxa"/>
            <w:vAlign w:val="bottom"/>
          </w:tcPr>
          <w:p w14:paraId="4159FDA0" w14:textId="77777777" w:rsidR="00767D26" w:rsidRPr="00415E11" w:rsidRDefault="00767D26" w:rsidP="00767D26">
            <w:pPr>
              <w:tabs>
                <w:tab w:val="decimal" w:pos="113"/>
              </w:tabs>
              <w:spacing w:line="220" w:lineRule="exact"/>
              <w:rPr>
                <w:szCs w:val="22"/>
                <w:rtl/>
              </w:rPr>
            </w:pPr>
          </w:p>
        </w:tc>
        <w:tc>
          <w:tcPr>
            <w:tcW w:w="113" w:type="dxa"/>
            <w:vAlign w:val="bottom"/>
          </w:tcPr>
          <w:p w14:paraId="3463B313"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6FD9B279"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0DA0AC3E"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67FC89BB"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5E3CC883"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5CE533E9"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6005682E" w14:textId="77777777" w:rsidR="00767D26" w:rsidRPr="00415E11" w:rsidRDefault="00767D26" w:rsidP="00767D26">
            <w:pPr>
              <w:tabs>
                <w:tab w:val="decimal" w:pos="113"/>
              </w:tabs>
              <w:spacing w:line="220" w:lineRule="exact"/>
              <w:rPr>
                <w:szCs w:val="22"/>
              </w:rPr>
            </w:pPr>
          </w:p>
        </w:tc>
        <w:tc>
          <w:tcPr>
            <w:tcW w:w="1136" w:type="dxa"/>
            <w:shd w:val="clear" w:color="auto" w:fill="auto"/>
            <w:vAlign w:val="bottom"/>
          </w:tcPr>
          <w:p w14:paraId="4A7A9430" w14:textId="77777777" w:rsidR="00767D26" w:rsidRPr="00415E11" w:rsidRDefault="00767D26" w:rsidP="00767D26">
            <w:pPr>
              <w:tabs>
                <w:tab w:val="decimal" w:pos="113"/>
              </w:tabs>
              <w:spacing w:line="220" w:lineRule="exact"/>
              <w:rPr>
                <w:szCs w:val="22"/>
                <w:rtl/>
              </w:rPr>
            </w:pPr>
          </w:p>
        </w:tc>
      </w:tr>
      <w:tr w:rsidR="00767D26" w:rsidRPr="00415E11" w14:paraId="219F4A08" w14:textId="77777777" w:rsidTr="00530E0E">
        <w:tc>
          <w:tcPr>
            <w:tcW w:w="3260" w:type="dxa"/>
            <w:shd w:val="clear" w:color="auto" w:fill="auto"/>
          </w:tcPr>
          <w:p w14:paraId="4FA092AE"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מסים על ההכנסה</w:t>
            </w:r>
          </w:p>
        </w:tc>
        <w:tc>
          <w:tcPr>
            <w:tcW w:w="113" w:type="dxa"/>
            <w:shd w:val="clear" w:color="auto" w:fill="auto"/>
            <w:vAlign w:val="bottom"/>
          </w:tcPr>
          <w:p w14:paraId="5E280942" w14:textId="77777777" w:rsidR="00767D26" w:rsidRPr="00415E11" w:rsidRDefault="00767D26" w:rsidP="00767D26">
            <w:pPr>
              <w:spacing w:line="220" w:lineRule="exact"/>
              <w:rPr>
                <w:szCs w:val="22"/>
              </w:rPr>
            </w:pPr>
          </w:p>
        </w:tc>
        <w:tc>
          <w:tcPr>
            <w:tcW w:w="907" w:type="dxa"/>
            <w:vAlign w:val="bottom"/>
          </w:tcPr>
          <w:p w14:paraId="40F7FFF8" w14:textId="77777777" w:rsidR="00767D26" w:rsidRPr="00415E11" w:rsidRDefault="00767D26" w:rsidP="00767D26">
            <w:pPr>
              <w:tabs>
                <w:tab w:val="decimal" w:pos="113"/>
              </w:tabs>
              <w:spacing w:line="220" w:lineRule="exact"/>
              <w:rPr>
                <w:szCs w:val="22"/>
                <w:rtl/>
              </w:rPr>
            </w:pPr>
          </w:p>
        </w:tc>
        <w:tc>
          <w:tcPr>
            <w:tcW w:w="113" w:type="dxa"/>
            <w:vAlign w:val="bottom"/>
          </w:tcPr>
          <w:p w14:paraId="0523A284"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431E5820"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7E27A9F9"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52B0BA4E"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60E81E1F"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43D878A8"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6299A65C" w14:textId="77777777" w:rsidR="00767D26" w:rsidRPr="00415E11" w:rsidRDefault="00767D26" w:rsidP="00767D26">
            <w:pPr>
              <w:tabs>
                <w:tab w:val="decimal" w:pos="113"/>
              </w:tabs>
              <w:spacing w:line="220" w:lineRule="exact"/>
              <w:rPr>
                <w:szCs w:val="22"/>
              </w:rPr>
            </w:pPr>
          </w:p>
        </w:tc>
        <w:tc>
          <w:tcPr>
            <w:tcW w:w="1136" w:type="dxa"/>
            <w:shd w:val="clear" w:color="auto" w:fill="auto"/>
            <w:vAlign w:val="bottom"/>
          </w:tcPr>
          <w:p w14:paraId="3B9015C0" w14:textId="77777777" w:rsidR="00767D26" w:rsidRPr="00415E11" w:rsidRDefault="00767D26" w:rsidP="00767D26">
            <w:pPr>
              <w:tabs>
                <w:tab w:val="decimal" w:pos="113"/>
              </w:tabs>
              <w:spacing w:line="220" w:lineRule="exact"/>
              <w:rPr>
                <w:szCs w:val="22"/>
                <w:rtl/>
              </w:rPr>
            </w:pPr>
          </w:p>
        </w:tc>
      </w:tr>
      <w:tr w:rsidR="00767D26" w:rsidRPr="00415E11" w14:paraId="0C01529B" w14:textId="77777777" w:rsidTr="00530E0E">
        <w:tc>
          <w:tcPr>
            <w:tcW w:w="3260" w:type="dxa"/>
            <w:shd w:val="clear" w:color="auto" w:fill="auto"/>
          </w:tcPr>
          <w:p w14:paraId="76E7E23B" w14:textId="77777777" w:rsidR="00767D26" w:rsidRPr="00415E11" w:rsidRDefault="00767D26" w:rsidP="00767D26">
            <w:pPr>
              <w:tabs>
                <w:tab w:val="left" w:pos="227"/>
                <w:tab w:val="left" w:pos="397"/>
                <w:tab w:val="left" w:pos="567"/>
              </w:tabs>
              <w:spacing w:line="220" w:lineRule="exact"/>
              <w:ind w:left="227" w:hanging="171"/>
              <w:jc w:val="left"/>
              <w:rPr>
                <w:szCs w:val="22"/>
                <w:rtl/>
              </w:rPr>
            </w:pPr>
            <w:r w:rsidRPr="00415E11">
              <w:rPr>
                <w:rFonts w:hint="eastAsia"/>
                <w:szCs w:val="22"/>
                <w:rtl/>
              </w:rPr>
              <w:t>רווח</w:t>
            </w:r>
            <w:r w:rsidRPr="00415E11">
              <w:rPr>
                <w:szCs w:val="22"/>
                <w:rtl/>
              </w:rPr>
              <w:t xml:space="preserve"> (הפסד) </w:t>
            </w:r>
            <w:r w:rsidRPr="00415E11">
              <w:rPr>
                <w:rFonts w:hint="eastAsia"/>
                <w:szCs w:val="22"/>
                <w:rtl/>
              </w:rPr>
              <w:t>ממימוש</w:t>
            </w:r>
            <w:r w:rsidRPr="00415E11">
              <w:rPr>
                <w:szCs w:val="22"/>
                <w:rtl/>
              </w:rPr>
              <w:t xml:space="preserve"> פעילות שהופסקה, נטו</w:t>
            </w:r>
          </w:p>
        </w:tc>
        <w:tc>
          <w:tcPr>
            <w:tcW w:w="113" w:type="dxa"/>
            <w:shd w:val="clear" w:color="auto" w:fill="auto"/>
            <w:vAlign w:val="bottom"/>
          </w:tcPr>
          <w:p w14:paraId="38DEDCA8" w14:textId="77777777" w:rsidR="00767D26" w:rsidRPr="00415E11" w:rsidRDefault="00767D26" w:rsidP="00767D26">
            <w:pPr>
              <w:spacing w:line="220" w:lineRule="exact"/>
              <w:rPr>
                <w:szCs w:val="22"/>
              </w:rPr>
            </w:pPr>
          </w:p>
        </w:tc>
        <w:tc>
          <w:tcPr>
            <w:tcW w:w="907" w:type="dxa"/>
            <w:shd w:val="clear" w:color="auto" w:fill="auto"/>
            <w:vAlign w:val="bottom"/>
          </w:tcPr>
          <w:p w14:paraId="58C3F02C" w14:textId="77777777" w:rsidR="00767D26" w:rsidRPr="00415E11" w:rsidRDefault="00767D26" w:rsidP="00767D26">
            <w:pPr>
              <w:tabs>
                <w:tab w:val="decimal" w:pos="113"/>
              </w:tabs>
              <w:spacing w:line="220" w:lineRule="exact"/>
              <w:rPr>
                <w:szCs w:val="22"/>
                <w:rtl/>
              </w:rPr>
            </w:pPr>
          </w:p>
        </w:tc>
        <w:tc>
          <w:tcPr>
            <w:tcW w:w="113" w:type="dxa"/>
            <w:vAlign w:val="bottom"/>
          </w:tcPr>
          <w:p w14:paraId="6FE1AB56"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3F76FCE6"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52D0EABB"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33C9E658"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639692B6"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22873AAB"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38E270D6" w14:textId="77777777" w:rsidR="00767D26" w:rsidRPr="00415E11" w:rsidRDefault="00767D26" w:rsidP="00767D26">
            <w:pPr>
              <w:tabs>
                <w:tab w:val="decimal" w:pos="113"/>
              </w:tabs>
              <w:spacing w:line="220" w:lineRule="exact"/>
              <w:rPr>
                <w:szCs w:val="22"/>
              </w:rPr>
            </w:pPr>
          </w:p>
        </w:tc>
        <w:tc>
          <w:tcPr>
            <w:tcW w:w="1136" w:type="dxa"/>
            <w:shd w:val="clear" w:color="auto" w:fill="auto"/>
            <w:vAlign w:val="bottom"/>
          </w:tcPr>
          <w:p w14:paraId="620F9CDA" w14:textId="77777777" w:rsidR="00767D26" w:rsidRPr="00415E11" w:rsidRDefault="00767D26" w:rsidP="00767D26">
            <w:pPr>
              <w:tabs>
                <w:tab w:val="decimal" w:pos="113"/>
              </w:tabs>
              <w:spacing w:line="220" w:lineRule="exact"/>
              <w:rPr>
                <w:szCs w:val="22"/>
                <w:rtl/>
              </w:rPr>
            </w:pPr>
          </w:p>
        </w:tc>
      </w:tr>
      <w:tr w:rsidR="00767D26" w:rsidRPr="00415E11" w14:paraId="5BB05C0B" w14:textId="77777777" w:rsidTr="00530E0E">
        <w:tc>
          <w:tcPr>
            <w:tcW w:w="3260" w:type="dxa"/>
            <w:shd w:val="clear" w:color="auto" w:fill="auto"/>
          </w:tcPr>
          <w:p w14:paraId="29CABE01"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רווח (הפסד) ממדידה לפי שווי הוגן בניכוי עלויות מכירה של ה</w:t>
            </w:r>
            <w:r w:rsidRPr="00415E11">
              <w:rPr>
                <w:szCs w:val="22"/>
                <w:rtl/>
              </w:rPr>
              <w:t>פעילות שהופסקה</w:t>
            </w:r>
          </w:p>
        </w:tc>
        <w:tc>
          <w:tcPr>
            <w:tcW w:w="113" w:type="dxa"/>
            <w:shd w:val="clear" w:color="auto" w:fill="auto"/>
            <w:vAlign w:val="bottom"/>
          </w:tcPr>
          <w:p w14:paraId="61E800F5" w14:textId="77777777" w:rsidR="00767D26" w:rsidRPr="00415E11" w:rsidRDefault="00767D26" w:rsidP="00767D26">
            <w:pPr>
              <w:spacing w:line="220" w:lineRule="exact"/>
              <w:rPr>
                <w:szCs w:val="22"/>
              </w:rPr>
            </w:pPr>
          </w:p>
        </w:tc>
        <w:tc>
          <w:tcPr>
            <w:tcW w:w="907" w:type="dxa"/>
            <w:tcBorders>
              <w:bottom w:val="single" w:sz="6" w:space="0" w:color="auto"/>
            </w:tcBorders>
            <w:shd w:val="clear" w:color="auto" w:fill="auto"/>
            <w:vAlign w:val="bottom"/>
          </w:tcPr>
          <w:p w14:paraId="1C79939E" w14:textId="77777777" w:rsidR="00767D26" w:rsidRPr="00415E11" w:rsidRDefault="00767D26" w:rsidP="00767D26">
            <w:pPr>
              <w:tabs>
                <w:tab w:val="decimal" w:pos="113"/>
              </w:tabs>
              <w:spacing w:line="220" w:lineRule="exact"/>
              <w:rPr>
                <w:szCs w:val="22"/>
                <w:rtl/>
              </w:rPr>
            </w:pPr>
          </w:p>
        </w:tc>
        <w:tc>
          <w:tcPr>
            <w:tcW w:w="113" w:type="dxa"/>
            <w:vAlign w:val="bottom"/>
          </w:tcPr>
          <w:p w14:paraId="7F20DB5A"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2A8C0C6C"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59C56778"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051F5771"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1E6A2C4C"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6A321375"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1E216405" w14:textId="77777777" w:rsidR="00767D26" w:rsidRPr="00415E11" w:rsidRDefault="00767D26" w:rsidP="00767D26">
            <w:pPr>
              <w:tabs>
                <w:tab w:val="decimal" w:pos="113"/>
              </w:tabs>
              <w:spacing w:line="220" w:lineRule="exact"/>
              <w:rPr>
                <w:szCs w:val="22"/>
              </w:rPr>
            </w:pPr>
          </w:p>
        </w:tc>
        <w:tc>
          <w:tcPr>
            <w:tcW w:w="1136" w:type="dxa"/>
            <w:tcBorders>
              <w:bottom w:val="single" w:sz="6" w:space="0" w:color="auto"/>
            </w:tcBorders>
            <w:shd w:val="clear" w:color="auto" w:fill="auto"/>
            <w:vAlign w:val="bottom"/>
          </w:tcPr>
          <w:p w14:paraId="0206D89B" w14:textId="77777777" w:rsidR="00767D26" w:rsidRPr="00415E11" w:rsidRDefault="00767D26" w:rsidP="00767D26">
            <w:pPr>
              <w:tabs>
                <w:tab w:val="decimal" w:pos="113"/>
              </w:tabs>
              <w:spacing w:line="220" w:lineRule="exact"/>
              <w:rPr>
                <w:szCs w:val="22"/>
                <w:rtl/>
              </w:rPr>
            </w:pPr>
          </w:p>
        </w:tc>
      </w:tr>
      <w:tr w:rsidR="00767D26" w:rsidRPr="00415E11" w14:paraId="69E79333" w14:textId="77777777" w:rsidTr="00530E0E">
        <w:tc>
          <w:tcPr>
            <w:tcW w:w="3260" w:type="dxa"/>
            <w:shd w:val="clear" w:color="auto" w:fill="auto"/>
          </w:tcPr>
          <w:p w14:paraId="17C7F282" w14:textId="77777777" w:rsidR="00767D26" w:rsidRPr="00415E11" w:rsidRDefault="00767D26" w:rsidP="00767D26">
            <w:pPr>
              <w:tabs>
                <w:tab w:val="left" w:pos="227"/>
                <w:tab w:val="left" w:pos="397"/>
                <w:tab w:val="left" w:pos="567"/>
              </w:tabs>
              <w:spacing w:line="220" w:lineRule="exact"/>
              <w:ind w:left="227" w:hanging="171"/>
              <w:jc w:val="left"/>
              <w:rPr>
                <w:szCs w:val="22"/>
              </w:rPr>
            </w:pPr>
          </w:p>
        </w:tc>
        <w:tc>
          <w:tcPr>
            <w:tcW w:w="113" w:type="dxa"/>
            <w:shd w:val="clear" w:color="auto" w:fill="auto"/>
            <w:vAlign w:val="bottom"/>
          </w:tcPr>
          <w:p w14:paraId="6CAF2DE8" w14:textId="77777777" w:rsidR="00767D26" w:rsidRPr="00415E11" w:rsidRDefault="00767D26" w:rsidP="00767D26">
            <w:pPr>
              <w:spacing w:line="220" w:lineRule="exact"/>
              <w:rPr>
                <w:szCs w:val="22"/>
              </w:rPr>
            </w:pPr>
          </w:p>
        </w:tc>
        <w:tc>
          <w:tcPr>
            <w:tcW w:w="907" w:type="dxa"/>
            <w:tcBorders>
              <w:top w:val="single" w:sz="6" w:space="0" w:color="auto"/>
            </w:tcBorders>
            <w:vAlign w:val="bottom"/>
          </w:tcPr>
          <w:p w14:paraId="1780FE77" w14:textId="77777777" w:rsidR="00767D26" w:rsidRPr="00415E11" w:rsidRDefault="00767D26" w:rsidP="00767D26">
            <w:pPr>
              <w:tabs>
                <w:tab w:val="decimal" w:pos="113"/>
              </w:tabs>
              <w:spacing w:line="220" w:lineRule="exact"/>
              <w:rPr>
                <w:szCs w:val="22"/>
                <w:rtl/>
              </w:rPr>
            </w:pPr>
          </w:p>
        </w:tc>
        <w:tc>
          <w:tcPr>
            <w:tcW w:w="113" w:type="dxa"/>
            <w:vAlign w:val="bottom"/>
          </w:tcPr>
          <w:p w14:paraId="4AAEE556"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32A0E05F"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60CC64F7"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1C4A4A60"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6913F4E7"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3DA72C51"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515BF691" w14:textId="77777777" w:rsidR="00767D26" w:rsidRPr="00415E11" w:rsidRDefault="00767D26" w:rsidP="00767D26">
            <w:pPr>
              <w:tabs>
                <w:tab w:val="decimal" w:pos="113"/>
              </w:tabs>
              <w:spacing w:line="220" w:lineRule="exact"/>
              <w:rPr>
                <w:szCs w:val="22"/>
              </w:rPr>
            </w:pPr>
          </w:p>
        </w:tc>
        <w:tc>
          <w:tcPr>
            <w:tcW w:w="1136" w:type="dxa"/>
            <w:tcBorders>
              <w:top w:val="single" w:sz="6" w:space="0" w:color="auto"/>
            </w:tcBorders>
            <w:shd w:val="clear" w:color="auto" w:fill="auto"/>
            <w:vAlign w:val="bottom"/>
          </w:tcPr>
          <w:p w14:paraId="500EFC08" w14:textId="77777777" w:rsidR="00767D26" w:rsidRPr="00415E11" w:rsidRDefault="00767D26" w:rsidP="00767D26">
            <w:pPr>
              <w:tabs>
                <w:tab w:val="decimal" w:pos="113"/>
              </w:tabs>
              <w:spacing w:line="220" w:lineRule="exact"/>
              <w:rPr>
                <w:szCs w:val="22"/>
                <w:rtl/>
              </w:rPr>
            </w:pPr>
          </w:p>
        </w:tc>
      </w:tr>
      <w:tr w:rsidR="00767D26" w:rsidRPr="00415E11" w14:paraId="21935992" w14:textId="77777777" w:rsidTr="00530E0E">
        <w:tc>
          <w:tcPr>
            <w:tcW w:w="3260" w:type="dxa"/>
            <w:shd w:val="clear" w:color="auto" w:fill="auto"/>
          </w:tcPr>
          <w:p w14:paraId="7406F2A0"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רווח (הפסד) מפעילות שהופסקה, נטו</w:t>
            </w:r>
          </w:p>
        </w:tc>
        <w:tc>
          <w:tcPr>
            <w:tcW w:w="113" w:type="dxa"/>
            <w:shd w:val="clear" w:color="auto" w:fill="auto"/>
            <w:vAlign w:val="bottom"/>
          </w:tcPr>
          <w:p w14:paraId="4996E1EE" w14:textId="77777777" w:rsidR="00767D26" w:rsidRPr="00415E11" w:rsidRDefault="00767D26" w:rsidP="00767D26">
            <w:pPr>
              <w:spacing w:line="220" w:lineRule="exact"/>
              <w:rPr>
                <w:szCs w:val="22"/>
              </w:rPr>
            </w:pPr>
          </w:p>
        </w:tc>
        <w:tc>
          <w:tcPr>
            <w:tcW w:w="907" w:type="dxa"/>
            <w:tcBorders>
              <w:bottom w:val="double" w:sz="6" w:space="0" w:color="auto"/>
            </w:tcBorders>
            <w:shd w:val="clear" w:color="auto" w:fill="auto"/>
            <w:vAlign w:val="bottom"/>
          </w:tcPr>
          <w:p w14:paraId="3C664067" w14:textId="77777777" w:rsidR="00767D26" w:rsidRPr="00415E11" w:rsidRDefault="00767D26" w:rsidP="00767D26">
            <w:pPr>
              <w:tabs>
                <w:tab w:val="decimal" w:pos="113"/>
              </w:tabs>
              <w:spacing w:line="220" w:lineRule="exact"/>
              <w:rPr>
                <w:szCs w:val="22"/>
                <w:rtl/>
              </w:rPr>
            </w:pPr>
          </w:p>
        </w:tc>
        <w:tc>
          <w:tcPr>
            <w:tcW w:w="113" w:type="dxa"/>
            <w:vAlign w:val="bottom"/>
          </w:tcPr>
          <w:p w14:paraId="39C17A32" w14:textId="77777777" w:rsidR="00767D26" w:rsidRPr="00415E11" w:rsidRDefault="00767D26" w:rsidP="00767D26">
            <w:pPr>
              <w:tabs>
                <w:tab w:val="decimal" w:pos="113"/>
              </w:tabs>
              <w:spacing w:line="220" w:lineRule="exact"/>
              <w:rPr>
                <w:szCs w:val="22"/>
              </w:rPr>
            </w:pPr>
          </w:p>
        </w:tc>
        <w:tc>
          <w:tcPr>
            <w:tcW w:w="907" w:type="dxa"/>
            <w:tcBorders>
              <w:bottom w:val="double" w:sz="6" w:space="0" w:color="auto"/>
            </w:tcBorders>
            <w:shd w:val="clear" w:color="auto" w:fill="auto"/>
            <w:vAlign w:val="bottom"/>
          </w:tcPr>
          <w:p w14:paraId="4E79B4A4"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2E13E7AC" w14:textId="77777777" w:rsidR="00767D26" w:rsidRPr="00415E11" w:rsidRDefault="00767D26" w:rsidP="00767D26">
            <w:pPr>
              <w:tabs>
                <w:tab w:val="decimal" w:pos="113"/>
              </w:tabs>
              <w:spacing w:line="220" w:lineRule="exact"/>
              <w:rPr>
                <w:szCs w:val="22"/>
              </w:rPr>
            </w:pPr>
          </w:p>
        </w:tc>
        <w:tc>
          <w:tcPr>
            <w:tcW w:w="907" w:type="dxa"/>
            <w:tcBorders>
              <w:bottom w:val="double" w:sz="6" w:space="0" w:color="auto"/>
            </w:tcBorders>
            <w:shd w:val="clear" w:color="auto" w:fill="auto"/>
            <w:vAlign w:val="bottom"/>
          </w:tcPr>
          <w:p w14:paraId="4CAB8122"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6A85D269" w14:textId="77777777" w:rsidR="00767D26" w:rsidRPr="00415E11" w:rsidRDefault="00767D26" w:rsidP="00767D26">
            <w:pPr>
              <w:tabs>
                <w:tab w:val="decimal" w:pos="113"/>
              </w:tabs>
              <w:spacing w:line="220" w:lineRule="exact"/>
              <w:rPr>
                <w:szCs w:val="22"/>
              </w:rPr>
            </w:pPr>
          </w:p>
        </w:tc>
        <w:tc>
          <w:tcPr>
            <w:tcW w:w="907" w:type="dxa"/>
            <w:tcBorders>
              <w:bottom w:val="double" w:sz="6" w:space="0" w:color="auto"/>
            </w:tcBorders>
            <w:shd w:val="clear" w:color="auto" w:fill="auto"/>
            <w:vAlign w:val="bottom"/>
          </w:tcPr>
          <w:p w14:paraId="2AE5F6EA"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533E30A5" w14:textId="77777777" w:rsidR="00767D26" w:rsidRPr="00415E11" w:rsidRDefault="00767D26" w:rsidP="00767D26">
            <w:pPr>
              <w:tabs>
                <w:tab w:val="decimal" w:pos="113"/>
              </w:tabs>
              <w:spacing w:line="220" w:lineRule="exact"/>
              <w:rPr>
                <w:szCs w:val="22"/>
              </w:rPr>
            </w:pPr>
          </w:p>
        </w:tc>
        <w:tc>
          <w:tcPr>
            <w:tcW w:w="1136" w:type="dxa"/>
            <w:tcBorders>
              <w:bottom w:val="double" w:sz="6" w:space="0" w:color="auto"/>
            </w:tcBorders>
            <w:shd w:val="clear" w:color="auto" w:fill="auto"/>
            <w:vAlign w:val="bottom"/>
          </w:tcPr>
          <w:p w14:paraId="13DD0847" w14:textId="77777777" w:rsidR="00767D26" w:rsidRPr="00415E11" w:rsidRDefault="00767D26" w:rsidP="00767D26">
            <w:pPr>
              <w:tabs>
                <w:tab w:val="decimal" w:pos="113"/>
              </w:tabs>
              <w:spacing w:line="220" w:lineRule="exact"/>
              <w:rPr>
                <w:szCs w:val="22"/>
                <w:rtl/>
              </w:rPr>
            </w:pPr>
          </w:p>
        </w:tc>
      </w:tr>
    </w:tbl>
    <w:p w14:paraId="2CDFFE59" w14:textId="77777777" w:rsidR="00CD5639" w:rsidRDefault="00CD5639">
      <w:pPr>
        <w:pStyle w:val="21"/>
        <w:ind w:left="1134" w:firstLine="0"/>
        <w:rPr>
          <w:rtl/>
        </w:rPr>
      </w:pPr>
    </w:p>
    <w:p w14:paraId="282D5AAD" w14:textId="77777777" w:rsidR="00C22BA0" w:rsidRDefault="00C22BA0" w:rsidP="00C22BA0">
      <w:pPr>
        <w:pStyle w:val="11"/>
        <w:rPr>
          <w:rtl/>
        </w:rPr>
      </w:pPr>
      <w:bookmarkStart w:id="53" w:name="_Toc290213637"/>
      <w:r>
        <w:rPr>
          <w:rtl/>
        </w:rPr>
        <w:br w:type="page"/>
      </w:r>
    </w:p>
    <w:p w14:paraId="6EFC571E" w14:textId="77777777" w:rsidR="00C22BA0" w:rsidRDefault="00C22BA0" w:rsidP="00C22BA0">
      <w:pPr>
        <w:pStyle w:val="11"/>
        <w:rPr>
          <w:rtl/>
        </w:rPr>
      </w:pPr>
    </w:p>
    <w:p w14:paraId="61A7038C" w14:textId="77777777" w:rsidR="00415E11" w:rsidRDefault="00415E11" w:rsidP="00C22BA0">
      <w:pPr>
        <w:pStyle w:val="11"/>
        <w:rPr>
          <w:rtl/>
        </w:rPr>
      </w:pPr>
    </w:p>
    <w:p w14:paraId="5F3FF031" w14:textId="77777777" w:rsidR="00C22BA0" w:rsidRDefault="00C22BA0" w:rsidP="00C22BA0">
      <w:pPr>
        <w:pStyle w:val="11"/>
        <w:rPr>
          <w:rtl/>
        </w:rPr>
      </w:pPr>
      <w:r>
        <w:rPr>
          <w:rFonts w:hint="cs"/>
          <w:rtl/>
        </w:rPr>
        <w:t>באור 10: -</w:t>
      </w:r>
      <w:r>
        <w:rPr>
          <w:rFonts w:hint="cs"/>
          <w:rtl/>
        </w:rPr>
        <w:tab/>
      </w:r>
      <w:r>
        <w:rPr>
          <w:rFonts w:hint="cs"/>
          <w:u w:val="single"/>
          <w:rtl/>
        </w:rPr>
        <w:t>קבוצת מימוש המוחזקת למכירה ופעילויות שהופסקו</w:t>
      </w:r>
      <w:r>
        <w:rPr>
          <w:rFonts w:hint="cs"/>
          <w:rtl/>
        </w:rPr>
        <w:t xml:space="preserve"> (המשך)</w:t>
      </w:r>
      <w:bookmarkEnd w:id="53"/>
    </w:p>
    <w:p w14:paraId="32EE7BF1" w14:textId="77777777" w:rsidR="00C22BA0" w:rsidRDefault="00C22BA0">
      <w:pPr>
        <w:pStyle w:val="21"/>
        <w:ind w:left="1134" w:firstLine="0"/>
        <w:rPr>
          <w:rtl/>
        </w:rPr>
      </w:pPr>
    </w:p>
    <w:p w14:paraId="021594DC" w14:textId="77777777" w:rsidR="00AB7D68" w:rsidRDefault="00AB7D68">
      <w:pPr>
        <w:pStyle w:val="21"/>
        <w:ind w:left="1134" w:firstLine="0"/>
        <w:rPr>
          <w:rtl/>
        </w:rPr>
      </w:pPr>
      <w:r>
        <w:rPr>
          <w:rFonts w:hint="cs"/>
          <w:rtl/>
        </w:rPr>
        <w:t>להלן נתונים על תזרימי המזומנים נטו המתייחסים לפעילות שהופסקה</w:t>
      </w:r>
      <w:r w:rsidR="00EB2512">
        <w:rPr>
          <w:rStyle w:val="ab"/>
          <w:rtl/>
        </w:rPr>
        <w:footnoteReference w:id="106"/>
      </w:r>
      <w:r>
        <w:rPr>
          <w:rFonts w:hint="cs"/>
          <w:rtl/>
        </w:rPr>
        <w:t xml:space="preserve"> ושנבעו מפעילות (ששימשו לפעילות):</w:t>
      </w:r>
    </w:p>
    <w:tbl>
      <w:tblPr>
        <w:bidiVisual/>
        <w:tblW w:w="0" w:type="auto"/>
        <w:tblInd w:w="1134" w:type="dxa"/>
        <w:tblLayout w:type="fixed"/>
        <w:tblCellMar>
          <w:left w:w="0" w:type="dxa"/>
          <w:right w:w="0" w:type="dxa"/>
        </w:tblCellMar>
        <w:tblLook w:val="01E0" w:firstRow="1" w:lastRow="1" w:firstColumn="1" w:lastColumn="1" w:noHBand="0" w:noVBand="0"/>
      </w:tblPr>
      <w:tblGrid>
        <w:gridCol w:w="3118"/>
        <w:gridCol w:w="113"/>
        <w:gridCol w:w="907"/>
        <w:gridCol w:w="113"/>
        <w:gridCol w:w="907"/>
        <w:gridCol w:w="113"/>
        <w:gridCol w:w="907"/>
        <w:gridCol w:w="113"/>
        <w:gridCol w:w="907"/>
        <w:gridCol w:w="113"/>
        <w:gridCol w:w="1192"/>
      </w:tblGrid>
      <w:tr w:rsidR="003C4695" w:rsidRPr="00C36818" w14:paraId="6BF7CB7E" w14:textId="77777777" w:rsidTr="00B23B2B">
        <w:tc>
          <w:tcPr>
            <w:tcW w:w="3118" w:type="dxa"/>
            <w:shd w:val="clear" w:color="auto" w:fill="auto"/>
            <w:vAlign w:val="bottom"/>
          </w:tcPr>
          <w:p w14:paraId="10FC7A44" w14:textId="77777777" w:rsidR="003C4695" w:rsidRPr="00C36818" w:rsidRDefault="003C4695" w:rsidP="00C36818">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40EB3AFA" w14:textId="77777777" w:rsidR="003C4695" w:rsidRPr="00C36818" w:rsidRDefault="003C4695" w:rsidP="00C36818">
            <w:pPr>
              <w:spacing w:line="220" w:lineRule="exact"/>
              <w:rPr>
                <w:szCs w:val="22"/>
                <w:rtl/>
              </w:rPr>
            </w:pPr>
          </w:p>
        </w:tc>
        <w:tc>
          <w:tcPr>
            <w:tcW w:w="1927" w:type="dxa"/>
            <w:gridSpan w:val="3"/>
            <w:tcBorders>
              <w:bottom w:val="single" w:sz="6" w:space="0" w:color="auto"/>
            </w:tcBorders>
            <w:shd w:val="clear" w:color="auto" w:fill="auto"/>
            <w:vAlign w:val="bottom"/>
          </w:tcPr>
          <w:p w14:paraId="1B42631D" w14:textId="77777777" w:rsidR="00B648B5" w:rsidRPr="00C36818" w:rsidRDefault="003C4695" w:rsidP="00C36818">
            <w:pPr>
              <w:spacing w:line="220" w:lineRule="exact"/>
              <w:jc w:val="center"/>
              <w:rPr>
                <w:szCs w:val="22"/>
                <w:rtl/>
              </w:rPr>
            </w:pPr>
            <w:r w:rsidRPr="00C36818">
              <w:rPr>
                <w:rFonts w:hint="cs"/>
                <w:szCs w:val="22"/>
                <w:rtl/>
              </w:rPr>
              <w:t xml:space="preserve">ל-9 החודשים שהסתיימו </w:t>
            </w:r>
            <w:r w:rsidR="00530E0E" w:rsidRPr="00C36818">
              <w:rPr>
                <w:rFonts w:hint="cs"/>
                <w:szCs w:val="22"/>
                <w:rtl/>
              </w:rPr>
              <w:t>ביום</w:t>
            </w:r>
          </w:p>
          <w:p w14:paraId="5CE0FE4A" w14:textId="77777777" w:rsidR="00B648B5" w:rsidRPr="00C36818" w:rsidRDefault="003C4695" w:rsidP="00C36818">
            <w:pPr>
              <w:spacing w:line="220" w:lineRule="exact"/>
              <w:jc w:val="center"/>
              <w:rPr>
                <w:szCs w:val="22"/>
                <w:rtl/>
              </w:rPr>
            </w:pPr>
            <w:r w:rsidRPr="00C36818">
              <w:rPr>
                <w:rFonts w:hint="cs"/>
                <w:szCs w:val="22"/>
                <w:rtl/>
              </w:rPr>
              <w:t>30 בספטמבר</w:t>
            </w:r>
          </w:p>
        </w:tc>
        <w:tc>
          <w:tcPr>
            <w:tcW w:w="113" w:type="dxa"/>
            <w:shd w:val="clear" w:color="auto" w:fill="auto"/>
            <w:vAlign w:val="bottom"/>
          </w:tcPr>
          <w:p w14:paraId="3E8843E9" w14:textId="77777777" w:rsidR="003C4695" w:rsidRPr="00C36818" w:rsidRDefault="003C4695" w:rsidP="00C36818">
            <w:pPr>
              <w:spacing w:line="220" w:lineRule="exact"/>
              <w:jc w:val="center"/>
              <w:rPr>
                <w:szCs w:val="22"/>
              </w:rPr>
            </w:pPr>
          </w:p>
        </w:tc>
        <w:tc>
          <w:tcPr>
            <w:tcW w:w="1927" w:type="dxa"/>
            <w:gridSpan w:val="3"/>
            <w:tcBorders>
              <w:bottom w:val="single" w:sz="6" w:space="0" w:color="auto"/>
            </w:tcBorders>
            <w:shd w:val="clear" w:color="auto" w:fill="auto"/>
            <w:vAlign w:val="bottom"/>
          </w:tcPr>
          <w:p w14:paraId="0CA2121F" w14:textId="77777777" w:rsidR="00B648B5" w:rsidRPr="00C36818" w:rsidRDefault="003C4695" w:rsidP="00C36818">
            <w:pPr>
              <w:spacing w:line="220" w:lineRule="exact"/>
              <w:jc w:val="center"/>
              <w:rPr>
                <w:szCs w:val="22"/>
                <w:rtl/>
              </w:rPr>
            </w:pPr>
            <w:r w:rsidRPr="00C36818">
              <w:rPr>
                <w:rFonts w:hint="cs"/>
                <w:szCs w:val="22"/>
                <w:rtl/>
              </w:rPr>
              <w:t xml:space="preserve">ל-3 החודשים שהסתיימו </w:t>
            </w:r>
            <w:r w:rsidR="00530E0E" w:rsidRPr="00C36818">
              <w:rPr>
                <w:rFonts w:hint="cs"/>
                <w:szCs w:val="22"/>
                <w:rtl/>
              </w:rPr>
              <w:t>ביום</w:t>
            </w:r>
          </w:p>
          <w:p w14:paraId="409DE5E2" w14:textId="77777777" w:rsidR="00B648B5" w:rsidRPr="00C36818" w:rsidRDefault="003C4695" w:rsidP="00C36818">
            <w:pPr>
              <w:spacing w:line="220" w:lineRule="exact"/>
              <w:jc w:val="center"/>
              <w:rPr>
                <w:szCs w:val="22"/>
                <w:rtl/>
              </w:rPr>
            </w:pPr>
            <w:r w:rsidRPr="00C36818">
              <w:rPr>
                <w:rFonts w:hint="cs"/>
                <w:szCs w:val="22"/>
                <w:rtl/>
              </w:rPr>
              <w:t>30 בספטמבר</w:t>
            </w:r>
          </w:p>
        </w:tc>
        <w:tc>
          <w:tcPr>
            <w:tcW w:w="113" w:type="dxa"/>
            <w:shd w:val="clear" w:color="auto" w:fill="auto"/>
            <w:vAlign w:val="bottom"/>
          </w:tcPr>
          <w:p w14:paraId="0488F8E7" w14:textId="77777777" w:rsidR="003C4695" w:rsidRPr="00C36818" w:rsidRDefault="003C4695" w:rsidP="00C36818">
            <w:pPr>
              <w:tabs>
                <w:tab w:val="decimal" w:pos="113"/>
              </w:tabs>
              <w:spacing w:line="220" w:lineRule="exact"/>
              <w:jc w:val="center"/>
              <w:rPr>
                <w:szCs w:val="22"/>
              </w:rPr>
            </w:pPr>
          </w:p>
        </w:tc>
        <w:tc>
          <w:tcPr>
            <w:tcW w:w="1192" w:type="dxa"/>
            <w:shd w:val="clear" w:color="auto" w:fill="auto"/>
            <w:vAlign w:val="bottom"/>
          </w:tcPr>
          <w:p w14:paraId="15C17BAE" w14:textId="77777777" w:rsidR="003C4695" w:rsidRPr="00C36818" w:rsidRDefault="003C4695" w:rsidP="00C36818">
            <w:pPr>
              <w:spacing w:line="220" w:lineRule="exact"/>
              <w:jc w:val="center"/>
              <w:rPr>
                <w:szCs w:val="22"/>
                <w:rtl/>
              </w:rPr>
            </w:pPr>
            <w:r w:rsidRPr="00C36818">
              <w:rPr>
                <w:rFonts w:hint="cs"/>
                <w:szCs w:val="22"/>
                <w:rtl/>
              </w:rPr>
              <w:t>לשנה שהסתיימה ביום</w:t>
            </w:r>
          </w:p>
          <w:p w14:paraId="3AB279CF" w14:textId="77777777" w:rsidR="003C4695" w:rsidRPr="00C36818" w:rsidRDefault="003C4695" w:rsidP="00C36818">
            <w:pPr>
              <w:spacing w:line="220" w:lineRule="exact"/>
              <w:jc w:val="center"/>
              <w:rPr>
                <w:szCs w:val="22"/>
                <w:rtl/>
              </w:rPr>
            </w:pPr>
            <w:r w:rsidRPr="00C36818">
              <w:rPr>
                <w:rFonts w:hint="cs"/>
                <w:szCs w:val="22"/>
                <w:rtl/>
              </w:rPr>
              <w:t>31 בדצמבר</w:t>
            </w:r>
          </w:p>
        </w:tc>
      </w:tr>
      <w:tr w:rsidR="00C36818" w:rsidRPr="00C36818" w14:paraId="52E62B70" w14:textId="77777777" w:rsidTr="00B23B2B">
        <w:tc>
          <w:tcPr>
            <w:tcW w:w="3118" w:type="dxa"/>
            <w:shd w:val="clear" w:color="auto" w:fill="auto"/>
            <w:vAlign w:val="bottom"/>
          </w:tcPr>
          <w:p w14:paraId="1C46A40D" w14:textId="77777777" w:rsidR="00C36818" w:rsidRPr="00C36818" w:rsidRDefault="00C36818" w:rsidP="00C36818">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5D104330" w14:textId="77777777" w:rsidR="00C36818" w:rsidRPr="00C36818" w:rsidRDefault="00C36818" w:rsidP="00C36818">
            <w:pPr>
              <w:spacing w:line="220" w:lineRule="exact"/>
              <w:rPr>
                <w:szCs w:val="22"/>
                <w:rtl/>
              </w:rPr>
            </w:pPr>
          </w:p>
        </w:tc>
        <w:tc>
          <w:tcPr>
            <w:tcW w:w="907" w:type="dxa"/>
            <w:tcBorders>
              <w:bottom w:val="single" w:sz="6" w:space="0" w:color="auto"/>
            </w:tcBorders>
            <w:shd w:val="clear" w:color="auto" w:fill="auto"/>
            <w:vAlign w:val="bottom"/>
          </w:tcPr>
          <w:p w14:paraId="53EE78AE" w14:textId="536C555B" w:rsidR="00C36818" w:rsidRPr="00C36818" w:rsidRDefault="00C36818" w:rsidP="00C36818">
            <w:pPr>
              <w:spacing w:line="220" w:lineRule="exact"/>
              <w:jc w:val="center"/>
              <w:rPr>
                <w:szCs w:val="22"/>
              </w:rPr>
            </w:pPr>
            <w:r w:rsidRPr="00C36818">
              <w:rPr>
                <w:rFonts w:hint="cs"/>
                <w:szCs w:val="22"/>
                <w:rtl/>
              </w:rPr>
              <w:t>2019</w:t>
            </w:r>
          </w:p>
        </w:tc>
        <w:tc>
          <w:tcPr>
            <w:tcW w:w="113" w:type="dxa"/>
            <w:vAlign w:val="bottom"/>
          </w:tcPr>
          <w:p w14:paraId="7E9888CB" w14:textId="77777777" w:rsidR="00C36818" w:rsidRPr="00C36818" w:rsidRDefault="00C36818" w:rsidP="00C36818">
            <w:pPr>
              <w:spacing w:line="220" w:lineRule="exact"/>
              <w:jc w:val="center"/>
              <w:rPr>
                <w:szCs w:val="22"/>
              </w:rPr>
            </w:pPr>
          </w:p>
        </w:tc>
        <w:tc>
          <w:tcPr>
            <w:tcW w:w="907" w:type="dxa"/>
            <w:tcBorders>
              <w:bottom w:val="single" w:sz="6" w:space="0" w:color="auto"/>
            </w:tcBorders>
            <w:shd w:val="clear" w:color="auto" w:fill="auto"/>
            <w:vAlign w:val="bottom"/>
          </w:tcPr>
          <w:p w14:paraId="3CC4CEEE" w14:textId="48620E17" w:rsidR="00C36818" w:rsidRPr="00C36818" w:rsidRDefault="00C36818" w:rsidP="00C36818">
            <w:pPr>
              <w:spacing w:line="220" w:lineRule="exact"/>
              <w:jc w:val="center"/>
              <w:rPr>
                <w:szCs w:val="22"/>
              </w:rPr>
            </w:pPr>
            <w:r w:rsidRPr="00C36818">
              <w:rPr>
                <w:rFonts w:hint="cs"/>
                <w:szCs w:val="22"/>
                <w:rtl/>
              </w:rPr>
              <w:t>2018</w:t>
            </w:r>
          </w:p>
        </w:tc>
        <w:tc>
          <w:tcPr>
            <w:tcW w:w="113" w:type="dxa"/>
            <w:shd w:val="clear" w:color="auto" w:fill="auto"/>
            <w:vAlign w:val="bottom"/>
          </w:tcPr>
          <w:p w14:paraId="65434B9D" w14:textId="77777777" w:rsidR="00C36818" w:rsidRPr="00C36818" w:rsidRDefault="00C36818" w:rsidP="00C36818">
            <w:pPr>
              <w:spacing w:line="220" w:lineRule="exact"/>
              <w:jc w:val="center"/>
              <w:rPr>
                <w:szCs w:val="22"/>
              </w:rPr>
            </w:pPr>
          </w:p>
        </w:tc>
        <w:tc>
          <w:tcPr>
            <w:tcW w:w="907" w:type="dxa"/>
            <w:tcBorders>
              <w:bottom w:val="single" w:sz="6" w:space="0" w:color="auto"/>
            </w:tcBorders>
            <w:shd w:val="clear" w:color="auto" w:fill="auto"/>
            <w:vAlign w:val="bottom"/>
          </w:tcPr>
          <w:p w14:paraId="61B8A6FE" w14:textId="6DDB9F07" w:rsidR="00C36818" w:rsidRPr="00C36818" w:rsidRDefault="00C36818" w:rsidP="00C36818">
            <w:pPr>
              <w:spacing w:line="220" w:lineRule="exact"/>
              <w:jc w:val="center"/>
              <w:rPr>
                <w:szCs w:val="22"/>
              </w:rPr>
            </w:pPr>
            <w:r w:rsidRPr="00C36818">
              <w:rPr>
                <w:rFonts w:hint="cs"/>
                <w:szCs w:val="22"/>
                <w:rtl/>
              </w:rPr>
              <w:t>2019</w:t>
            </w:r>
          </w:p>
        </w:tc>
        <w:tc>
          <w:tcPr>
            <w:tcW w:w="113" w:type="dxa"/>
            <w:shd w:val="clear" w:color="auto" w:fill="auto"/>
            <w:vAlign w:val="bottom"/>
          </w:tcPr>
          <w:p w14:paraId="03EB39C4" w14:textId="77777777" w:rsidR="00C36818" w:rsidRPr="00C36818" w:rsidRDefault="00C36818" w:rsidP="00C36818">
            <w:pPr>
              <w:spacing w:line="220" w:lineRule="exact"/>
              <w:jc w:val="center"/>
              <w:rPr>
                <w:szCs w:val="22"/>
              </w:rPr>
            </w:pPr>
          </w:p>
        </w:tc>
        <w:tc>
          <w:tcPr>
            <w:tcW w:w="907" w:type="dxa"/>
            <w:tcBorders>
              <w:bottom w:val="single" w:sz="6" w:space="0" w:color="auto"/>
            </w:tcBorders>
            <w:shd w:val="clear" w:color="auto" w:fill="auto"/>
            <w:vAlign w:val="bottom"/>
          </w:tcPr>
          <w:p w14:paraId="7213BF5C" w14:textId="0B1B2CEE" w:rsidR="00C36818" w:rsidRPr="00C36818" w:rsidRDefault="00C36818" w:rsidP="00C36818">
            <w:pPr>
              <w:spacing w:line="220" w:lineRule="exact"/>
              <w:jc w:val="center"/>
              <w:rPr>
                <w:szCs w:val="22"/>
              </w:rPr>
            </w:pPr>
            <w:r w:rsidRPr="00C36818">
              <w:rPr>
                <w:rFonts w:hint="cs"/>
                <w:szCs w:val="22"/>
                <w:rtl/>
              </w:rPr>
              <w:t>2018</w:t>
            </w:r>
          </w:p>
        </w:tc>
        <w:tc>
          <w:tcPr>
            <w:tcW w:w="113" w:type="dxa"/>
            <w:shd w:val="clear" w:color="auto" w:fill="auto"/>
            <w:vAlign w:val="bottom"/>
          </w:tcPr>
          <w:p w14:paraId="7AA11E3C" w14:textId="77777777" w:rsidR="00C36818" w:rsidRPr="00C36818" w:rsidRDefault="00C36818" w:rsidP="00C36818">
            <w:pPr>
              <w:tabs>
                <w:tab w:val="decimal" w:pos="113"/>
              </w:tabs>
              <w:spacing w:line="220" w:lineRule="exact"/>
              <w:jc w:val="center"/>
              <w:rPr>
                <w:szCs w:val="22"/>
              </w:rPr>
            </w:pPr>
          </w:p>
        </w:tc>
        <w:tc>
          <w:tcPr>
            <w:tcW w:w="1192" w:type="dxa"/>
            <w:tcBorders>
              <w:bottom w:val="single" w:sz="6" w:space="0" w:color="auto"/>
            </w:tcBorders>
            <w:shd w:val="clear" w:color="auto" w:fill="auto"/>
            <w:vAlign w:val="bottom"/>
          </w:tcPr>
          <w:p w14:paraId="1211E0B5" w14:textId="55BCFC38" w:rsidR="00C36818" w:rsidRPr="00C36818" w:rsidRDefault="00C36818" w:rsidP="00C36818">
            <w:pPr>
              <w:spacing w:line="220" w:lineRule="exact"/>
              <w:jc w:val="center"/>
              <w:rPr>
                <w:szCs w:val="22"/>
              </w:rPr>
            </w:pPr>
            <w:r w:rsidRPr="00C36818">
              <w:rPr>
                <w:rFonts w:hint="cs"/>
                <w:szCs w:val="22"/>
                <w:rtl/>
              </w:rPr>
              <w:t>2018</w:t>
            </w:r>
          </w:p>
        </w:tc>
      </w:tr>
      <w:tr w:rsidR="00C36818" w:rsidRPr="00C36818" w14:paraId="6F29C8D0" w14:textId="77777777" w:rsidTr="00B23B2B">
        <w:tc>
          <w:tcPr>
            <w:tcW w:w="3118" w:type="dxa"/>
            <w:shd w:val="clear" w:color="auto" w:fill="auto"/>
            <w:vAlign w:val="bottom"/>
          </w:tcPr>
          <w:p w14:paraId="631D3D8E" w14:textId="77777777" w:rsidR="00C36818" w:rsidRPr="00C36818" w:rsidRDefault="00C36818" w:rsidP="00C36818">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73CF5091" w14:textId="77777777" w:rsidR="00C36818" w:rsidRPr="00C36818" w:rsidRDefault="00C36818" w:rsidP="00C36818">
            <w:pPr>
              <w:spacing w:line="220" w:lineRule="exact"/>
              <w:rPr>
                <w:szCs w:val="22"/>
                <w:rtl/>
              </w:rPr>
            </w:pPr>
          </w:p>
        </w:tc>
        <w:tc>
          <w:tcPr>
            <w:tcW w:w="3967" w:type="dxa"/>
            <w:gridSpan w:val="7"/>
            <w:tcBorders>
              <w:bottom w:val="single" w:sz="6" w:space="0" w:color="auto"/>
            </w:tcBorders>
            <w:shd w:val="clear" w:color="auto" w:fill="auto"/>
            <w:vAlign w:val="bottom"/>
          </w:tcPr>
          <w:p w14:paraId="7352BEA9" w14:textId="77777777" w:rsidR="00C36818" w:rsidRPr="00C36818" w:rsidRDefault="00C36818" w:rsidP="00C36818">
            <w:pPr>
              <w:spacing w:line="220" w:lineRule="exact"/>
              <w:jc w:val="center"/>
              <w:rPr>
                <w:szCs w:val="22"/>
              </w:rPr>
            </w:pPr>
            <w:r w:rsidRPr="00C36818">
              <w:rPr>
                <w:rFonts w:hint="cs"/>
                <w:szCs w:val="22"/>
                <w:rtl/>
              </w:rPr>
              <w:t>בלתי מבוקר</w:t>
            </w:r>
          </w:p>
        </w:tc>
        <w:tc>
          <w:tcPr>
            <w:tcW w:w="113" w:type="dxa"/>
            <w:shd w:val="clear" w:color="auto" w:fill="auto"/>
            <w:vAlign w:val="bottom"/>
          </w:tcPr>
          <w:p w14:paraId="4869607D" w14:textId="77777777" w:rsidR="00C36818" w:rsidRPr="00C36818" w:rsidRDefault="00C36818" w:rsidP="00C36818">
            <w:pPr>
              <w:tabs>
                <w:tab w:val="decimal" w:pos="113"/>
              </w:tabs>
              <w:spacing w:line="220" w:lineRule="exact"/>
              <w:jc w:val="center"/>
              <w:rPr>
                <w:szCs w:val="22"/>
              </w:rPr>
            </w:pPr>
          </w:p>
        </w:tc>
        <w:tc>
          <w:tcPr>
            <w:tcW w:w="1192" w:type="dxa"/>
            <w:tcBorders>
              <w:bottom w:val="single" w:sz="6" w:space="0" w:color="auto"/>
            </w:tcBorders>
            <w:shd w:val="clear" w:color="auto" w:fill="auto"/>
            <w:vAlign w:val="bottom"/>
          </w:tcPr>
          <w:p w14:paraId="0DA7886F" w14:textId="77777777" w:rsidR="00C36818" w:rsidRPr="00C36818" w:rsidRDefault="00C36818" w:rsidP="00C36818">
            <w:pPr>
              <w:spacing w:line="220" w:lineRule="exact"/>
              <w:jc w:val="center"/>
              <w:rPr>
                <w:szCs w:val="22"/>
              </w:rPr>
            </w:pPr>
            <w:r w:rsidRPr="00C36818">
              <w:rPr>
                <w:rFonts w:hint="cs"/>
                <w:szCs w:val="22"/>
                <w:rtl/>
              </w:rPr>
              <w:t>מבוקר</w:t>
            </w:r>
          </w:p>
        </w:tc>
      </w:tr>
      <w:tr w:rsidR="00C36818" w:rsidRPr="00C36818" w14:paraId="4187D332" w14:textId="77777777" w:rsidTr="00B23B2B">
        <w:tc>
          <w:tcPr>
            <w:tcW w:w="3118" w:type="dxa"/>
            <w:shd w:val="clear" w:color="auto" w:fill="auto"/>
            <w:vAlign w:val="bottom"/>
          </w:tcPr>
          <w:p w14:paraId="3109C023" w14:textId="77777777" w:rsidR="00C36818" w:rsidRPr="00C36818" w:rsidRDefault="00C36818" w:rsidP="00C36818">
            <w:pPr>
              <w:pStyle w:val="a3"/>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5E1CB9D5" w14:textId="77777777" w:rsidR="00C36818" w:rsidRPr="00C36818" w:rsidRDefault="00C36818" w:rsidP="00C36818">
            <w:pPr>
              <w:tabs>
                <w:tab w:val="decimal" w:pos="113"/>
              </w:tabs>
              <w:spacing w:line="220" w:lineRule="exact"/>
              <w:ind w:left="57"/>
              <w:rPr>
                <w:szCs w:val="22"/>
              </w:rPr>
            </w:pPr>
          </w:p>
        </w:tc>
        <w:tc>
          <w:tcPr>
            <w:tcW w:w="5272" w:type="dxa"/>
            <w:gridSpan w:val="9"/>
            <w:tcBorders>
              <w:bottom w:val="single" w:sz="6" w:space="0" w:color="auto"/>
            </w:tcBorders>
            <w:shd w:val="clear" w:color="auto" w:fill="auto"/>
            <w:vAlign w:val="bottom"/>
          </w:tcPr>
          <w:p w14:paraId="0F120649" w14:textId="77777777" w:rsidR="00C36818" w:rsidRPr="00C36818" w:rsidRDefault="00C36818" w:rsidP="00C36818">
            <w:pPr>
              <w:tabs>
                <w:tab w:val="decimal" w:pos="113"/>
              </w:tabs>
              <w:spacing w:line="220" w:lineRule="exact"/>
              <w:jc w:val="center"/>
              <w:rPr>
                <w:szCs w:val="22"/>
                <w:u w:val="single"/>
              </w:rPr>
            </w:pPr>
            <w:r w:rsidRPr="00C36818">
              <w:rPr>
                <w:rFonts w:hint="cs"/>
                <w:szCs w:val="22"/>
                <w:rtl/>
              </w:rPr>
              <w:t>אלפי ש"ח</w:t>
            </w:r>
          </w:p>
        </w:tc>
      </w:tr>
      <w:tr w:rsidR="00C36818" w:rsidRPr="00C36818" w14:paraId="016E16FB" w14:textId="77777777" w:rsidTr="00B23B2B">
        <w:tc>
          <w:tcPr>
            <w:tcW w:w="3118" w:type="dxa"/>
            <w:shd w:val="clear" w:color="auto" w:fill="auto"/>
            <w:vAlign w:val="bottom"/>
          </w:tcPr>
          <w:p w14:paraId="12BDF33E" w14:textId="77777777" w:rsidR="00C36818" w:rsidRPr="00C36818" w:rsidRDefault="00C36818" w:rsidP="00C36818">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1C294F57" w14:textId="77777777" w:rsidR="00C36818" w:rsidRPr="00C36818" w:rsidRDefault="00C36818" w:rsidP="00C36818">
            <w:pPr>
              <w:spacing w:line="220" w:lineRule="exact"/>
              <w:rPr>
                <w:szCs w:val="22"/>
              </w:rPr>
            </w:pPr>
          </w:p>
        </w:tc>
        <w:tc>
          <w:tcPr>
            <w:tcW w:w="907" w:type="dxa"/>
            <w:tcBorders>
              <w:top w:val="single" w:sz="6" w:space="0" w:color="auto"/>
            </w:tcBorders>
            <w:vAlign w:val="bottom"/>
          </w:tcPr>
          <w:p w14:paraId="77D590D2" w14:textId="77777777" w:rsidR="00C36818" w:rsidRPr="00C36818" w:rsidRDefault="00C36818" w:rsidP="00C36818">
            <w:pPr>
              <w:tabs>
                <w:tab w:val="decimal" w:pos="113"/>
              </w:tabs>
              <w:spacing w:line="220" w:lineRule="exact"/>
              <w:rPr>
                <w:szCs w:val="22"/>
                <w:rtl/>
              </w:rPr>
            </w:pPr>
          </w:p>
        </w:tc>
        <w:tc>
          <w:tcPr>
            <w:tcW w:w="113" w:type="dxa"/>
            <w:tcBorders>
              <w:top w:val="single" w:sz="6" w:space="0" w:color="auto"/>
            </w:tcBorders>
            <w:vAlign w:val="bottom"/>
          </w:tcPr>
          <w:p w14:paraId="5721CEC9" w14:textId="77777777" w:rsidR="00C36818" w:rsidRPr="00C36818" w:rsidRDefault="00C36818" w:rsidP="00C36818">
            <w:pPr>
              <w:tabs>
                <w:tab w:val="decimal" w:pos="113"/>
              </w:tabs>
              <w:spacing w:line="220" w:lineRule="exact"/>
              <w:rPr>
                <w:szCs w:val="22"/>
              </w:rPr>
            </w:pPr>
          </w:p>
        </w:tc>
        <w:tc>
          <w:tcPr>
            <w:tcW w:w="907" w:type="dxa"/>
            <w:tcBorders>
              <w:top w:val="single" w:sz="6" w:space="0" w:color="auto"/>
            </w:tcBorders>
            <w:shd w:val="clear" w:color="auto" w:fill="auto"/>
            <w:vAlign w:val="bottom"/>
          </w:tcPr>
          <w:p w14:paraId="4706D0A8" w14:textId="77777777" w:rsidR="00C36818" w:rsidRPr="00C36818" w:rsidRDefault="00C36818" w:rsidP="00C36818">
            <w:pPr>
              <w:tabs>
                <w:tab w:val="decimal" w:pos="113"/>
              </w:tabs>
              <w:spacing w:line="220" w:lineRule="exact"/>
              <w:rPr>
                <w:szCs w:val="22"/>
              </w:rPr>
            </w:pPr>
          </w:p>
        </w:tc>
        <w:tc>
          <w:tcPr>
            <w:tcW w:w="113" w:type="dxa"/>
            <w:tcBorders>
              <w:top w:val="single" w:sz="6" w:space="0" w:color="auto"/>
            </w:tcBorders>
            <w:shd w:val="clear" w:color="auto" w:fill="auto"/>
            <w:vAlign w:val="bottom"/>
          </w:tcPr>
          <w:p w14:paraId="6B7F9C7D" w14:textId="77777777" w:rsidR="00C36818" w:rsidRPr="00C36818" w:rsidRDefault="00C36818" w:rsidP="00C36818">
            <w:pPr>
              <w:tabs>
                <w:tab w:val="decimal" w:pos="113"/>
              </w:tabs>
              <w:spacing w:line="220" w:lineRule="exact"/>
              <w:rPr>
                <w:szCs w:val="22"/>
              </w:rPr>
            </w:pPr>
          </w:p>
        </w:tc>
        <w:tc>
          <w:tcPr>
            <w:tcW w:w="907" w:type="dxa"/>
            <w:tcBorders>
              <w:top w:val="single" w:sz="6" w:space="0" w:color="auto"/>
            </w:tcBorders>
            <w:shd w:val="clear" w:color="auto" w:fill="auto"/>
            <w:vAlign w:val="bottom"/>
          </w:tcPr>
          <w:p w14:paraId="19A350FD" w14:textId="77777777" w:rsidR="00C36818" w:rsidRPr="00C36818" w:rsidRDefault="00C36818" w:rsidP="00C36818">
            <w:pPr>
              <w:tabs>
                <w:tab w:val="decimal" w:pos="113"/>
              </w:tabs>
              <w:spacing w:line="220" w:lineRule="exact"/>
              <w:rPr>
                <w:szCs w:val="22"/>
                <w:rtl/>
              </w:rPr>
            </w:pPr>
          </w:p>
        </w:tc>
        <w:tc>
          <w:tcPr>
            <w:tcW w:w="113" w:type="dxa"/>
            <w:tcBorders>
              <w:top w:val="single" w:sz="6" w:space="0" w:color="auto"/>
            </w:tcBorders>
            <w:shd w:val="clear" w:color="auto" w:fill="auto"/>
            <w:vAlign w:val="bottom"/>
          </w:tcPr>
          <w:p w14:paraId="2966AAD7" w14:textId="77777777" w:rsidR="00C36818" w:rsidRPr="00C36818" w:rsidRDefault="00C36818" w:rsidP="00C36818">
            <w:pPr>
              <w:tabs>
                <w:tab w:val="decimal" w:pos="113"/>
              </w:tabs>
              <w:spacing w:line="220" w:lineRule="exact"/>
              <w:rPr>
                <w:szCs w:val="22"/>
              </w:rPr>
            </w:pPr>
          </w:p>
        </w:tc>
        <w:tc>
          <w:tcPr>
            <w:tcW w:w="907" w:type="dxa"/>
            <w:tcBorders>
              <w:top w:val="single" w:sz="6" w:space="0" w:color="auto"/>
            </w:tcBorders>
            <w:shd w:val="clear" w:color="auto" w:fill="auto"/>
            <w:vAlign w:val="bottom"/>
          </w:tcPr>
          <w:p w14:paraId="62B4C508" w14:textId="77777777" w:rsidR="00C36818" w:rsidRPr="00C36818" w:rsidRDefault="00C36818" w:rsidP="00C36818">
            <w:pPr>
              <w:tabs>
                <w:tab w:val="decimal" w:pos="113"/>
              </w:tabs>
              <w:spacing w:line="220" w:lineRule="exact"/>
              <w:rPr>
                <w:szCs w:val="22"/>
              </w:rPr>
            </w:pPr>
          </w:p>
        </w:tc>
        <w:tc>
          <w:tcPr>
            <w:tcW w:w="113" w:type="dxa"/>
            <w:tcBorders>
              <w:top w:val="single" w:sz="6" w:space="0" w:color="auto"/>
            </w:tcBorders>
            <w:shd w:val="clear" w:color="auto" w:fill="auto"/>
            <w:vAlign w:val="bottom"/>
          </w:tcPr>
          <w:p w14:paraId="4BF7B652" w14:textId="77777777" w:rsidR="00C36818" w:rsidRPr="00C36818" w:rsidRDefault="00C36818" w:rsidP="00C36818">
            <w:pPr>
              <w:tabs>
                <w:tab w:val="decimal" w:pos="113"/>
              </w:tabs>
              <w:spacing w:line="220" w:lineRule="exact"/>
              <w:rPr>
                <w:szCs w:val="22"/>
              </w:rPr>
            </w:pPr>
          </w:p>
        </w:tc>
        <w:tc>
          <w:tcPr>
            <w:tcW w:w="1192" w:type="dxa"/>
            <w:tcBorders>
              <w:top w:val="single" w:sz="6" w:space="0" w:color="auto"/>
            </w:tcBorders>
            <w:shd w:val="clear" w:color="auto" w:fill="auto"/>
            <w:vAlign w:val="bottom"/>
          </w:tcPr>
          <w:p w14:paraId="791A4FA3" w14:textId="77777777" w:rsidR="00C36818" w:rsidRPr="00C36818" w:rsidRDefault="00C36818" w:rsidP="00C36818">
            <w:pPr>
              <w:tabs>
                <w:tab w:val="decimal" w:pos="113"/>
              </w:tabs>
              <w:spacing w:line="220" w:lineRule="exact"/>
              <w:rPr>
                <w:szCs w:val="22"/>
                <w:rtl/>
              </w:rPr>
            </w:pPr>
          </w:p>
        </w:tc>
      </w:tr>
      <w:tr w:rsidR="00C36818" w:rsidRPr="00C36818" w14:paraId="277751F1" w14:textId="77777777" w:rsidTr="00B23B2B">
        <w:tc>
          <w:tcPr>
            <w:tcW w:w="3118" w:type="dxa"/>
            <w:shd w:val="clear" w:color="auto" w:fill="auto"/>
            <w:vAlign w:val="bottom"/>
          </w:tcPr>
          <w:p w14:paraId="77744AE9" w14:textId="77777777" w:rsidR="00C36818" w:rsidRPr="00C36818" w:rsidRDefault="00C36818" w:rsidP="00C36818">
            <w:pPr>
              <w:widowControl/>
              <w:tabs>
                <w:tab w:val="left" w:pos="227"/>
                <w:tab w:val="left" w:pos="397"/>
                <w:tab w:val="left" w:pos="567"/>
              </w:tabs>
              <w:spacing w:line="220" w:lineRule="exact"/>
              <w:ind w:left="57"/>
              <w:jc w:val="left"/>
              <w:rPr>
                <w:szCs w:val="22"/>
                <w:rtl/>
              </w:rPr>
            </w:pPr>
            <w:r w:rsidRPr="00C36818">
              <w:rPr>
                <w:rFonts w:hint="cs"/>
                <w:szCs w:val="22"/>
                <w:rtl/>
              </w:rPr>
              <w:t>שוטפת</w:t>
            </w:r>
          </w:p>
        </w:tc>
        <w:tc>
          <w:tcPr>
            <w:tcW w:w="113" w:type="dxa"/>
            <w:shd w:val="clear" w:color="auto" w:fill="auto"/>
            <w:vAlign w:val="bottom"/>
          </w:tcPr>
          <w:p w14:paraId="436AC189" w14:textId="77777777" w:rsidR="00C36818" w:rsidRPr="00C36818" w:rsidRDefault="00C36818" w:rsidP="00C36818">
            <w:pPr>
              <w:spacing w:line="220" w:lineRule="exact"/>
              <w:rPr>
                <w:szCs w:val="22"/>
              </w:rPr>
            </w:pPr>
          </w:p>
        </w:tc>
        <w:tc>
          <w:tcPr>
            <w:tcW w:w="907" w:type="dxa"/>
            <w:tcBorders>
              <w:bottom w:val="double" w:sz="6" w:space="0" w:color="auto"/>
            </w:tcBorders>
            <w:shd w:val="clear" w:color="auto" w:fill="auto"/>
            <w:vAlign w:val="bottom"/>
          </w:tcPr>
          <w:p w14:paraId="718F7191" w14:textId="77777777" w:rsidR="00C36818" w:rsidRPr="00C36818" w:rsidRDefault="00C36818" w:rsidP="00C36818">
            <w:pPr>
              <w:tabs>
                <w:tab w:val="decimal" w:pos="113"/>
              </w:tabs>
              <w:spacing w:line="220" w:lineRule="exact"/>
              <w:rPr>
                <w:szCs w:val="22"/>
                <w:rtl/>
              </w:rPr>
            </w:pPr>
          </w:p>
        </w:tc>
        <w:tc>
          <w:tcPr>
            <w:tcW w:w="113" w:type="dxa"/>
            <w:vAlign w:val="bottom"/>
          </w:tcPr>
          <w:p w14:paraId="2704CED9"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7E802861"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159A115E"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52990E00" w14:textId="77777777" w:rsidR="00C36818" w:rsidRPr="00C36818" w:rsidRDefault="00C36818" w:rsidP="00C36818">
            <w:pPr>
              <w:tabs>
                <w:tab w:val="decimal" w:pos="113"/>
              </w:tabs>
              <w:spacing w:line="220" w:lineRule="exact"/>
              <w:rPr>
                <w:szCs w:val="22"/>
                <w:rtl/>
              </w:rPr>
            </w:pPr>
          </w:p>
        </w:tc>
        <w:tc>
          <w:tcPr>
            <w:tcW w:w="113" w:type="dxa"/>
            <w:shd w:val="clear" w:color="auto" w:fill="auto"/>
            <w:vAlign w:val="bottom"/>
          </w:tcPr>
          <w:p w14:paraId="54BB0172"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25335E63"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3EB8CBFD" w14:textId="77777777" w:rsidR="00C36818" w:rsidRPr="00C36818" w:rsidRDefault="00C36818" w:rsidP="00C36818">
            <w:pPr>
              <w:tabs>
                <w:tab w:val="decimal" w:pos="113"/>
              </w:tabs>
              <w:spacing w:line="220" w:lineRule="exact"/>
              <w:rPr>
                <w:szCs w:val="22"/>
              </w:rPr>
            </w:pPr>
          </w:p>
        </w:tc>
        <w:tc>
          <w:tcPr>
            <w:tcW w:w="1192" w:type="dxa"/>
            <w:tcBorders>
              <w:bottom w:val="double" w:sz="6" w:space="0" w:color="auto"/>
            </w:tcBorders>
            <w:shd w:val="clear" w:color="auto" w:fill="auto"/>
            <w:vAlign w:val="bottom"/>
          </w:tcPr>
          <w:p w14:paraId="52768273" w14:textId="77777777" w:rsidR="00C36818" w:rsidRPr="00C36818" w:rsidRDefault="00C36818" w:rsidP="00C36818">
            <w:pPr>
              <w:tabs>
                <w:tab w:val="decimal" w:pos="113"/>
              </w:tabs>
              <w:spacing w:line="220" w:lineRule="exact"/>
              <w:rPr>
                <w:szCs w:val="22"/>
                <w:rtl/>
              </w:rPr>
            </w:pPr>
          </w:p>
        </w:tc>
      </w:tr>
      <w:tr w:rsidR="00C36818" w:rsidRPr="00C36818" w14:paraId="70FE5941" w14:textId="77777777" w:rsidTr="00B23B2B">
        <w:tc>
          <w:tcPr>
            <w:tcW w:w="3118" w:type="dxa"/>
            <w:shd w:val="clear" w:color="auto" w:fill="auto"/>
            <w:vAlign w:val="bottom"/>
          </w:tcPr>
          <w:p w14:paraId="278F4E10" w14:textId="77777777" w:rsidR="00C36818" w:rsidRPr="00C36818" w:rsidRDefault="00C36818" w:rsidP="00C36818">
            <w:pPr>
              <w:widowControl/>
              <w:tabs>
                <w:tab w:val="left" w:pos="227"/>
                <w:tab w:val="left" w:pos="397"/>
                <w:tab w:val="left" w:pos="567"/>
              </w:tabs>
              <w:spacing w:line="220" w:lineRule="exact"/>
              <w:jc w:val="left"/>
              <w:rPr>
                <w:szCs w:val="22"/>
                <w:rtl/>
              </w:rPr>
            </w:pPr>
          </w:p>
        </w:tc>
        <w:tc>
          <w:tcPr>
            <w:tcW w:w="113" w:type="dxa"/>
            <w:shd w:val="clear" w:color="auto" w:fill="auto"/>
            <w:vAlign w:val="bottom"/>
          </w:tcPr>
          <w:p w14:paraId="3FB2888A" w14:textId="77777777" w:rsidR="00C36818" w:rsidRPr="00C36818" w:rsidRDefault="00C36818" w:rsidP="00C36818">
            <w:pPr>
              <w:spacing w:line="220" w:lineRule="exact"/>
              <w:rPr>
                <w:szCs w:val="22"/>
              </w:rPr>
            </w:pPr>
          </w:p>
        </w:tc>
        <w:tc>
          <w:tcPr>
            <w:tcW w:w="907" w:type="dxa"/>
            <w:tcBorders>
              <w:top w:val="double" w:sz="6" w:space="0" w:color="auto"/>
            </w:tcBorders>
            <w:vAlign w:val="bottom"/>
          </w:tcPr>
          <w:p w14:paraId="3F2CEFF9" w14:textId="77777777" w:rsidR="00C36818" w:rsidRPr="00C36818" w:rsidRDefault="00C36818" w:rsidP="00C36818">
            <w:pPr>
              <w:tabs>
                <w:tab w:val="decimal" w:pos="113"/>
              </w:tabs>
              <w:spacing w:line="220" w:lineRule="exact"/>
              <w:rPr>
                <w:szCs w:val="22"/>
                <w:rtl/>
              </w:rPr>
            </w:pPr>
          </w:p>
        </w:tc>
        <w:tc>
          <w:tcPr>
            <w:tcW w:w="113" w:type="dxa"/>
            <w:vAlign w:val="bottom"/>
          </w:tcPr>
          <w:p w14:paraId="39FEF521" w14:textId="77777777" w:rsidR="00C36818" w:rsidRPr="00C36818" w:rsidRDefault="00C36818" w:rsidP="00C36818">
            <w:pPr>
              <w:tabs>
                <w:tab w:val="decimal" w:pos="113"/>
              </w:tabs>
              <w:spacing w:line="220" w:lineRule="exact"/>
              <w:rPr>
                <w:szCs w:val="22"/>
              </w:rPr>
            </w:pPr>
          </w:p>
        </w:tc>
        <w:tc>
          <w:tcPr>
            <w:tcW w:w="907" w:type="dxa"/>
            <w:tcBorders>
              <w:top w:val="double" w:sz="6" w:space="0" w:color="auto"/>
            </w:tcBorders>
            <w:shd w:val="clear" w:color="auto" w:fill="auto"/>
            <w:vAlign w:val="bottom"/>
          </w:tcPr>
          <w:p w14:paraId="050ECC62"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23C37377" w14:textId="77777777" w:rsidR="00C36818" w:rsidRPr="00C36818" w:rsidRDefault="00C36818" w:rsidP="00C36818">
            <w:pPr>
              <w:tabs>
                <w:tab w:val="decimal" w:pos="113"/>
              </w:tabs>
              <w:spacing w:line="220" w:lineRule="exact"/>
              <w:rPr>
                <w:szCs w:val="22"/>
              </w:rPr>
            </w:pPr>
          </w:p>
        </w:tc>
        <w:tc>
          <w:tcPr>
            <w:tcW w:w="907" w:type="dxa"/>
            <w:tcBorders>
              <w:top w:val="double" w:sz="6" w:space="0" w:color="auto"/>
            </w:tcBorders>
            <w:shd w:val="clear" w:color="auto" w:fill="auto"/>
            <w:vAlign w:val="bottom"/>
          </w:tcPr>
          <w:p w14:paraId="1C3167FC" w14:textId="77777777" w:rsidR="00C36818" w:rsidRPr="00C36818" w:rsidRDefault="00C36818" w:rsidP="00C36818">
            <w:pPr>
              <w:tabs>
                <w:tab w:val="decimal" w:pos="113"/>
              </w:tabs>
              <w:spacing w:line="220" w:lineRule="exact"/>
              <w:rPr>
                <w:szCs w:val="22"/>
                <w:rtl/>
              </w:rPr>
            </w:pPr>
          </w:p>
        </w:tc>
        <w:tc>
          <w:tcPr>
            <w:tcW w:w="113" w:type="dxa"/>
            <w:shd w:val="clear" w:color="auto" w:fill="auto"/>
            <w:vAlign w:val="bottom"/>
          </w:tcPr>
          <w:p w14:paraId="2E6EFA87" w14:textId="77777777" w:rsidR="00C36818" w:rsidRPr="00C36818" w:rsidRDefault="00C36818" w:rsidP="00C36818">
            <w:pPr>
              <w:tabs>
                <w:tab w:val="decimal" w:pos="113"/>
              </w:tabs>
              <w:spacing w:line="220" w:lineRule="exact"/>
              <w:rPr>
                <w:szCs w:val="22"/>
              </w:rPr>
            </w:pPr>
          </w:p>
        </w:tc>
        <w:tc>
          <w:tcPr>
            <w:tcW w:w="907" w:type="dxa"/>
            <w:tcBorders>
              <w:top w:val="double" w:sz="6" w:space="0" w:color="auto"/>
            </w:tcBorders>
            <w:shd w:val="clear" w:color="auto" w:fill="auto"/>
            <w:vAlign w:val="bottom"/>
          </w:tcPr>
          <w:p w14:paraId="728DC78F"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442DB3D5" w14:textId="77777777" w:rsidR="00C36818" w:rsidRPr="00C36818" w:rsidRDefault="00C36818" w:rsidP="00C36818">
            <w:pPr>
              <w:tabs>
                <w:tab w:val="decimal" w:pos="113"/>
              </w:tabs>
              <w:spacing w:line="220" w:lineRule="exact"/>
              <w:rPr>
                <w:szCs w:val="22"/>
              </w:rPr>
            </w:pPr>
          </w:p>
        </w:tc>
        <w:tc>
          <w:tcPr>
            <w:tcW w:w="1192" w:type="dxa"/>
            <w:tcBorders>
              <w:top w:val="double" w:sz="6" w:space="0" w:color="auto"/>
            </w:tcBorders>
            <w:shd w:val="clear" w:color="auto" w:fill="auto"/>
            <w:vAlign w:val="bottom"/>
          </w:tcPr>
          <w:p w14:paraId="2858C806" w14:textId="77777777" w:rsidR="00C36818" w:rsidRPr="00C36818" w:rsidRDefault="00C36818" w:rsidP="00C36818">
            <w:pPr>
              <w:tabs>
                <w:tab w:val="decimal" w:pos="113"/>
              </w:tabs>
              <w:spacing w:line="220" w:lineRule="exact"/>
              <w:rPr>
                <w:szCs w:val="22"/>
                <w:rtl/>
              </w:rPr>
            </w:pPr>
          </w:p>
        </w:tc>
      </w:tr>
      <w:tr w:rsidR="00C36818" w:rsidRPr="00C36818" w14:paraId="7A21CA79" w14:textId="77777777" w:rsidTr="00B23B2B">
        <w:tc>
          <w:tcPr>
            <w:tcW w:w="3118" w:type="dxa"/>
            <w:shd w:val="clear" w:color="auto" w:fill="auto"/>
            <w:vAlign w:val="bottom"/>
          </w:tcPr>
          <w:p w14:paraId="68B312F7" w14:textId="77777777" w:rsidR="00C36818" w:rsidRPr="00C36818" w:rsidRDefault="00C36818" w:rsidP="00C36818">
            <w:pPr>
              <w:widowControl/>
              <w:tabs>
                <w:tab w:val="left" w:pos="227"/>
                <w:tab w:val="left" w:pos="397"/>
                <w:tab w:val="left" w:pos="567"/>
              </w:tabs>
              <w:spacing w:line="220" w:lineRule="exact"/>
              <w:ind w:left="57"/>
              <w:jc w:val="left"/>
              <w:rPr>
                <w:szCs w:val="22"/>
                <w:rtl/>
              </w:rPr>
            </w:pPr>
            <w:r w:rsidRPr="00C36818">
              <w:rPr>
                <w:rFonts w:hint="cs"/>
                <w:szCs w:val="22"/>
                <w:rtl/>
              </w:rPr>
              <w:t>השקעה</w:t>
            </w:r>
          </w:p>
        </w:tc>
        <w:tc>
          <w:tcPr>
            <w:tcW w:w="113" w:type="dxa"/>
            <w:shd w:val="clear" w:color="auto" w:fill="auto"/>
            <w:vAlign w:val="bottom"/>
          </w:tcPr>
          <w:p w14:paraId="38EB6D6A" w14:textId="77777777" w:rsidR="00C36818" w:rsidRPr="00C36818" w:rsidRDefault="00C36818" w:rsidP="00C36818">
            <w:pPr>
              <w:spacing w:line="220" w:lineRule="exact"/>
              <w:rPr>
                <w:szCs w:val="22"/>
              </w:rPr>
            </w:pPr>
          </w:p>
        </w:tc>
        <w:tc>
          <w:tcPr>
            <w:tcW w:w="907" w:type="dxa"/>
            <w:tcBorders>
              <w:bottom w:val="double" w:sz="6" w:space="0" w:color="auto"/>
            </w:tcBorders>
            <w:shd w:val="clear" w:color="auto" w:fill="auto"/>
            <w:vAlign w:val="bottom"/>
          </w:tcPr>
          <w:p w14:paraId="3AD153A0" w14:textId="77777777" w:rsidR="00C36818" w:rsidRPr="00C36818" w:rsidRDefault="00C36818" w:rsidP="00C36818">
            <w:pPr>
              <w:tabs>
                <w:tab w:val="decimal" w:pos="113"/>
              </w:tabs>
              <w:spacing w:line="220" w:lineRule="exact"/>
              <w:rPr>
                <w:szCs w:val="22"/>
                <w:rtl/>
              </w:rPr>
            </w:pPr>
          </w:p>
        </w:tc>
        <w:tc>
          <w:tcPr>
            <w:tcW w:w="113" w:type="dxa"/>
            <w:vAlign w:val="bottom"/>
          </w:tcPr>
          <w:p w14:paraId="0B81EBFB"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1246C145"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3F7139AD"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75BE71DE" w14:textId="77777777" w:rsidR="00C36818" w:rsidRPr="00C36818" w:rsidRDefault="00C36818" w:rsidP="00C36818">
            <w:pPr>
              <w:tabs>
                <w:tab w:val="decimal" w:pos="113"/>
              </w:tabs>
              <w:spacing w:line="220" w:lineRule="exact"/>
              <w:rPr>
                <w:szCs w:val="22"/>
                <w:rtl/>
              </w:rPr>
            </w:pPr>
          </w:p>
        </w:tc>
        <w:tc>
          <w:tcPr>
            <w:tcW w:w="113" w:type="dxa"/>
            <w:shd w:val="clear" w:color="auto" w:fill="auto"/>
            <w:vAlign w:val="bottom"/>
          </w:tcPr>
          <w:p w14:paraId="2623518E"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33FC6A76"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758CFB58" w14:textId="77777777" w:rsidR="00C36818" w:rsidRPr="00C36818" w:rsidRDefault="00C36818" w:rsidP="00C36818">
            <w:pPr>
              <w:tabs>
                <w:tab w:val="decimal" w:pos="113"/>
              </w:tabs>
              <w:spacing w:line="220" w:lineRule="exact"/>
              <w:rPr>
                <w:szCs w:val="22"/>
              </w:rPr>
            </w:pPr>
          </w:p>
        </w:tc>
        <w:tc>
          <w:tcPr>
            <w:tcW w:w="1192" w:type="dxa"/>
            <w:tcBorders>
              <w:bottom w:val="double" w:sz="6" w:space="0" w:color="auto"/>
            </w:tcBorders>
            <w:shd w:val="clear" w:color="auto" w:fill="auto"/>
            <w:vAlign w:val="bottom"/>
          </w:tcPr>
          <w:p w14:paraId="3C934DF0" w14:textId="77777777" w:rsidR="00C36818" w:rsidRPr="00C36818" w:rsidRDefault="00C36818" w:rsidP="00C36818">
            <w:pPr>
              <w:tabs>
                <w:tab w:val="decimal" w:pos="113"/>
              </w:tabs>
              <w:spacing w:line="220" w:lineRule="exact"/>
              <w:rPr>
                <w:szCs w:val="22"/>
                <w:rtl/>
              </w:rPr>
            </w:pPr>
          </w:p>
        </w:tc>
      </w:tr>
      <w:tr w:rsidR="00C36818" w:rsidRPr="00C36818" w14:paraId="689FC851" w14:textId="77777777" w:rsidTr="00B23B2B">
        <w:tc>
          <w:tcPr>
            <w:tcW w:w="3118" w:type="dxa"/>
            <w:shd w:val="clear" w:color="auto" w:fill="auto"/>
            <w:vAlign w:val="bottom"/>
          </w:tcPr>
          <w:p w14:paraId="7D617F6F" w14:textId="77777777" w:rsidR="00C36818" w:rsidRPr="00C36818" w:rsidRDefault="00C36818" w:rsidP="00C36818">
            <w:pPr>
              <w:widowControl/>
              <w:tabs>
                <w:tab w:val="left" w:pos="227"/>
                <w:tab w:val="left" w:pos="397"/>
                <w:tab w:val="left" w:pos="567"/>
              </w:tabs>
              <w:spacing w:line="220" w:lineRule="exact"/>
              <w:jc w:val="left"/>
              <w:rPr>
                <w:szCs w:val="22"/>
                <w:rtl/>
              </w:rPr>
            </w:pPr>
          </w:p>
        </w:tc>
        <w:tc>
          <w:tcPr>
            <w:tcW w:w="113" w:type="dxa"/>
            <w:shd w:val="clear" w:color="auto" w:fill="auto"/>
            <w:vAlign w:val="bottom"/>
          </w:tcPr>
          <w:p w14:paraId="2062D2B7" w14:textId="77777777" w:rsidR="00C36818" w:rsidRPr="00C36818" w:rsidRDefault="00C36818" w:rsidP="00C36818">
            <w:pPr>
              <w:spacing w:line="220" w:lineRule="exact"/>
              <w:rPr>
                <w:szCs w:val="22"/>
              </w:rPr>
            </w:pPr>
          </w:p>
        </w:tc>
        <w:tc>
          <w:tcPr>
            <w:tcW w:w="907" w:type="dxa"/>
            <w:tcBorders>
              <w:top w:val="double" w:sz="6" w:space="0" w:color="auto"/>
            </w:tcBorders>
            <w:vAlign w:val="bottom"/>
          </w:tcPr>
          <w:p w14:paraId="0A3A8708" w14:textId="77777777" w:rsidR="00C36818" w:rsidRPr="00C36818" w:rsidRDefault="00C36818" w:rsidP="00C36818">
            <w:pPr>
              <w:tabs>
                <w:tab w:val="decimal" w:pos="113"/>
              </w:tabs>
              <w:spacing w:line="220" w:lineRule="exact"/>
              <w:rPr>
                <w:szCs w:val="22"/>
                <w:rtl/>
              </w:rPr>
            </w:pPr>
          </w:p>
        </w:tc>
        <w:tc>
          <w:tcPr>
            <w:tcW w:w="113" w:type="dxa"/>
            <w:vAlign w:val="bottom"/>
          </w:tcPr>
          <w:p w14:paraId="025AFB80" w14:textId="77777777" w:rsidR="00C36818" w:rsidRPr="00C36818" w:rsidRDefault="00C36818" w:rsidP="00C36818">
            <w:pPr>
              <w:tabs>
                <w:tab w:val="decimal" w:pos="113"/>
              </w:tabs>
              <w:spacing w:line="220" w:lineRule="exact"/>
              <w:rPr>
                <w:szCs w:val="22"/>
              </w:rPr>
            </w:pPr>
          </w:p>
        </w:tc>
        <w:tc>
          <w:tcPr>
            <w:tcW w:w="907" w:type="dxa"/>
            <w:tcBorders>
              <w:top w:val="double" w:sz="6" w:space="0" w:color="auto"/>
            </w:tcBorders>
            <w:shd w:val="clear" w:color="auto" w:fill="auto"/>
            <w:vAlign w:val="bottom"/>
          </w:tcPr>
          <w:p w14:paraId="776F1CD0"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7CB1440F" w14:textId="77777777" w:rsidR="00C36818" w:rsidRPr="00C36818" w:rsidRDefault="00C36818" w:rsidP="00C36818">
            <w:pPr>
              <w:tabs>
                <w:tab w:val="decimal" w:pos="113"/>
              </w:tabs>
              <w:spacing w:line="220" w:lineRule="exact"/>
              <w:rPr>
                <w:szCs w:val="22"/>
              </w:rPr>
            </w:pPr>
          </w:p>
        </w:tc>
        <w:tc>
          <w:tcPr>
            <w:tcW w:w="907" w:type="dxa"/>
            <w:tcBorders>
              <w:top w:val="double" w:sz="6" w:space="0" w:color="auto"/>
            </w:tcBorders>
            <w:shd w:val="clear" w:color="auto" w:fill="auto"/>
            <w:vAlign w:val="bottom"/>
          </w:tcPr>
          <w:p w14:paraId="378CE4F7" w14:textId="77777777" w:rsidR="00C36818" w:rsidRPr="00C36818" w:rsidRDefault="00C36818" w:rsidP="00C36818">
            <w:pPr>
              <w:tabs>
                <w:tab w:val="decimal" w:pos="113"/>
              </w:tabs>
              <w:spacing w:line="220" w:lineRule="exact"/>
              <w:rPr>
                <w:szCs w:val="22"/>
                <w:rtl/>
              </w:rPr>
            </w:pPr>
          </w:p>
        </w:tc>
        <w:tc>
          <w:tcPr>
            <w:tcW w:w="113" w:type="dxa"/>
            <w:shd w:val="clear" w:color="auto" w:fill="auto"/>
            <w:vAlign w:val="bottom"/>
          </w:tcPr>
          <w:p w14:paraId="3338B8C4" w14:textId="77777777" w:rsidR="00C36818" w:rsidRPr="00C36818" w:rsidRDefault="00C36818" w:rsidP="00C36818">
            <w:pPr>
              <w:tabs>
                <w:tab w:val="decimal" w:pos="113"/>
              </w:tabs>
              <w:spacing w:line="220" w:lineRule="exact"/>
              <w:rPr>
                <w:szCs w:val="22"/>
              </w:rPr>
            </w:pPr>
          </w:p>
        </w:tc>
        <w:tc>
          <w:tcPr>
            <w:tcW w:w="907" w:type="dxa"/>
            <w:tcBorders>
              <w:top w:val="double" w:sz="6" w:space="0" w:color="auto"/>
            </w:tcBorders>
            <w:shd w:val="clear" w:color="auto" w:fill="auto"/>
            <w:vAlign w:val="bottom"/>
          </w:tcPr>
          <w:p w14:paraId="2214F34C"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18C67803" w14:textId="77777777" w:rsidR="00C36818" w:rsidRPr="00C36818" w:rsidRDefault="00C36818" w:rsidP="00C36818">
            <w:pPr>
              <w:tabs>
                <w:tab w:val="decimal" w:pos="113"/>
              </w:tabs>
              <w:spacing w:line="220" w:lineRule="exact"/>
              <w:rPr>
                <w:szCs w:val="22"/>
              </w:rPr>
            </w:pPr>
          </w:p>
        </w:tc>
        <w:tc>
          <w:tcPr>
            <w:tcW w:w="1192" w:type="dxa"/>
            <w:tcBorders>
              <w:top w:val="double" w:sz="6" w:space="0" w:color="auto"/>
            </w:tcBorders>
            <w:shd w:val="clear" w:color="auto" w:fill="auto"/>
            <w:vAlign w:val="bottom"/>
          </w:tcPr>
          <w:p w14:paraId="10F6D6EC" w14:textId="77777777" w:rsidR="00C36818" w:rsidRPr="00C36818" w:rsidRDefault="00C36818" w:rsidP="00C36818">
            <w:pPr>
              <w:tabs>
                <w:tab w:val="decimal" w:pos="113"/>
              </w:tabs>
              <w:spacing w:line="220" w:lineRule="exact"/>
              <w:rPr>
                <w:szCs w:val="22"/>
                <w:rtl/>
              </w:rPr>
            </w:pPr>
          </w:p>
        </w:tc>
      </w:tr>
      <w:tr w:rsidR="00C36818" w:rsidRPr="00C36818" w14:paraId="672FA58D" w14:textId="77777777" w:rsidTr="00B23B2B">
        <w:tc>
          <w:tcPr>
            <w:tcW w:w="3118" w:type="dxa"/>
            <w:shd w:val="clear" w:color="auto" w:fill="auto"/>
            <w:vAlign w:val="bottom"/>
          </w:tcPr>
          <w:p w14:paraId="54D4A830" w14:textId="77777777" w:rsidR="00C36818" w:rsidRPr="00C36818" w:rsidRDefault="00C36818" w:rsidP="00C36818">
            <w:pPr>
              <w:widowControl/>
              <w:tabs>
                <w:tab w:val="left" w:pos="227"/>
                <w:tab w:val="left" w:pos="397"/>
                <w:tab w:val="left" w:pos="567"/>
              </w:tabs>
              <w:spacing w:line="220" w:lineRule="exact"/>
              <w:ind w:left="57"/>
              <w:jc w:val="left"/>
              <w:rPr>
                <w:szCs w:val="22"/>
                <w:rtl/>
              </w:rPr>
            </w:pPr>
            <w:r w:rsidRPr="00C36818">
              <w:rPr>
                <w:rFonts w:hint="cs"/>
                <w:szCs w:val="22"/>
                <w:rtl/>
              </w:rPr>
              <w:t>מימון</w:t>
            </w:r>
          </w:p>
        </w:tc>
        <w:tc>
          <w:tcPr>
            <w:tcW w:w="113" w:type="dxa"/>
            <w:shd w:val="clear" w:color="auto" w:fill="auto"/>
            <w:vAlign w:val="bottom"/>
          </w:tcPr>
          <w:p w14:paraId="7D450E54" w14:textId="77777777" w:rsidR="00C36818" w:rsidRPr="00C36818" w:rsidRDefault="00C36818" w:rsidP="00C36818">
            <w:pPr>
              <w:spacing w:line="220" w:lineRule="exact"/>
              <w:rPr>
                <w:szCs w:val="22"/>
              </w:rPr>
            </w:pPr>
          </w:p>
        </w:tc>
        <w:tc>
          <w:tcPr>
            <w:tcW w:w="907" w:type="dxa"/>
            <w:tcBorders>
              <w:bottom w:val="double" w:sz="6" w:space="0" w:color="auto"/>
            </w:tcBorders>
            <w:shd w:val="clear" w:color="auto" w:fill="auto"/>
            <w:vAlign w:val="bottom"/>
          </w:tcPr>
          <w:p w14:paraId="5D43A500" w14:textId="77777777" w:rsidR="00C36818" w:rsidRPr="00C36818" w:rsidRDefault="00C36818" w:rsidP="00C36818">
            <w:pPr>
              <w:tabs>
                <w:tab w:val="decimal" w:pos="113"/>
              </w:tabs>
              <w:spacing w:line="220" w:lineRule="exact"/>
              <w:rPr>
                <w:szCs w:val="22"/>
                <w:rtl/>
              </w:rPr>
            </w:pPr>
          </w:p>
        </w:tc>
        <w:tc>
          <w:tcPr>
            <w:tcW w:w="113" w:type="dxa"/>
            <w:vAlign w:val="bottom"/>
          </w:tcPr>
          <w:p w14:paraId="071DCDD7"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1D6E669B"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2F63164F"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075BB1EA" w14:textId="77777777" w:rsidR="00C36818" w:rsidRPr="00C36818" w:rsidRDefault="00C36818" w:rsidP="00C36818">
            <w:pPr>
              <w:tabs>
                <w:tab w:val="decimal" w:pos="113"/>
              </w:tabs>
              <w:spacing w:line="220" w:lineRule="exact"/>
              <w:rPr>
                <w:szCs w:val="22"/>
                <w:rtl/>
              </w:rPr>
            </w:pPr>
          </w:p>
        </w:tc>
        <w:tc>
          <w:tcPr>
            <w:tcW w:w="113" w:type="dxa"/>
            <w:shd w:val="clear" w:color="auto" w:fill="auto"/>
            <w:vAlign w:val="bottom"/>
          </w:tcPr>
          <w:p w14:paraId="63C50FFC"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1A03164F"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037B8D6D" w14:textId="77777777" w:rsidR="00C36818" w:rsidRPr="00C36818" w:rsidRDefault="00C36818" w:rsidP="00C36818">
            <w:pPr>
              <w:tabs>
                <w:tab w:val="decimal" w:pos="113"/>
              </w:tabs>
              <w:spacing w:line="220" w:lineRule="exact"/>
              <w:rPr>
                <w:szCs w:val="22"/>
              </w:rPr>
            </w:pPr>
          </w:p>
        </w:tc>
        <w:tc>
          <w:tcPr>
            <w:tcW w:w="1192" w:type="dxa"/>
            <w:tcBorders>
              <w:bottom w:val="double" w:sz="6" w:space="0" w:color="auto"/>
            </w:tcBorders>
            <w:shd w:val="clear" w:color="auto" w:fill="auto"/>
            <w:vAlign w:val="bottom"/>
          </w:tcPr>
          <w:p w14:paraId="35ED2EF8" w14:textId="77777777" w:rsidR="00C36818" w:rsidRPr="00C36818" w:rsidRDefault="00C36818" w:rsidP="00C36818">
            <w:pPr>
              <w:tabs>
                <w:tab w:val="decimal" w:pos="113"/>
              </w:tabs>
              <w:spacing w:line="220" w:lineRule="exact"/>
              <w:rPr>
                <w:szCs w:val="22"/>
                <w:rtl/>
              </w:rPr>
            </w:pPr>
          </w:p>
        </w:tc>
      </w:tr>
    </w:tbl>
    <w:p w14:paraId="29EEFAAD" w14:textId="77777777" w:rsidR="00F825EE" w:rsidRDefault="00F825EE">
      <w:pPr>
        <w:pStyle w:val="21"/>
        <w:ind w:left="1134" w:firstLine="0"/>
        <w:rPr>
          <w:rtl/>
        </w:rPr>
      </w:pPr>
    </w:p>
    <w:p w14:paraId="50137A44" w14:textId="77777777" w:rsidR="00F825EE" w:rsidRDefault="00AB7D68">
      <w:pPr>
        <w:pStyle w:val="21"/>
        <w:shd w:val="clear" w:color="auto" w:fill="D9D9D9"/>
        <w:rPr>
          <w:b/>
          <w:bCs/>
          <w:szCs w:val="22"/>
          <w:rtl/>
        </w:rPr>
      </w:pPr>
      <w:r w:rsidRPr="008C76E7">
        <w:rPr>
          <w:rFonts w:hint="cs"/>
          <w:szCs w:val="22"/>
          <w:u w:val="single"/>
          <w:rtl/>
        </w:rPr>
        <w:t>הערה</w:t>
      </w:r>
    </w:p>
    <w:p w14:paraId="16465E1E" w14:textId="77777777" w:rsidR="00F41C12" w:rsidRDefault="00AB7D68">
      <w:pPr>
        <w:pStyle w:val="21"/>
        <w:shd w:val="clear" w:color="auto" w:fill="D9D9D9"/>
        <w:rPr>
          <w:rtl/>
        </w:rPr>
      </w:pPr>
      <w:r>
        <w:rPr>
          <w:rFonts w:hint="cs"/>
          <w:szCs w:val="22"/>
          <w:rtl/>
        </w:rPr>
        <w:t>הגילוי לגבי תזרימי מזומנים נדרש רק אם לא ניתן בגוף הדוח על תזרימי המזומנים.</w:t>
      </w:r>
    </w:p>
    <w:p w14:paraId="24956F74" w14:textId="77777777" w:rsidR="00E1769C" w:rsidRDefault="00E1769C">
      <w:pPr>
        <w:widowControl/>
        <w:overflowPunct/>
        <w:autoSpaceDE/>
        <w:autoSpaceDN/>
        <w:bidi w:val="0"/>
        <w:adjustRightInd/>
        <w:spacing w:line="240" w:lineRule="auto"/>
        <w:jc w:val="left"/>
        <w:textAlignment w:val="auto"/>
        <w:rPr>
          <w:rtl/>
        </w:rPr>
      </w:pPr>
    </w:p>
    <w:p w14:paraId="13E184B8" w14:textId="77777777" w:rsidR="00F41C12" w:rsidRDefault="00AB7D68">
      <w:pPr>
        <w:pStyle w:val="21"/>
        <w:ind w:left="1134" w:firstLine="0"/>
        <w:rPr>
          <w:rtl/>
        </w:rPr>
      </w:pPr>
      <w:r>
        <w:rPr>
          <w:rFonts w:hint="cs"/>
          <w:rtl/>
        </w:rPr>
        <w:t xml:space="preserve">להלן נתונים על יתרות בגין </w:t>
      </w:r>
      <w:r w:rsidR="00F825EE">
        <w:rPr>
          <w:rFonts w:hint="cs"/>
          <w:rtl/>
        </w:rPr>
        <w:t>רווח (הפסד) כולל אחר</w:t>
      </w:r>
      <w:r>
        <w:rPr>
          <w:rFonts w:hint="cs"/>
          <w:rtl/>
        </w:rPr>
        <w:t>, נטו המיוחסות לבעלי מניות החברה, שנזקפו להון המתייחסים לפעילות שהופסקה</w:t>
      </w:r>
      <w:r w:rsidR="00EB2512">
        <w:rPr>
          <w:rStyle w:val="ab"/>
          <w:rtl/>
        </w:rPr>
        <w:footnoteReference w:id="107"/>
      </w:r>
      <w:r>
        <w:rPr>
          <w:rFonts w:hint="cs"/>
          <w:rtl/>
        </w:rPr>
        <w:t>:</w:t>
      </w:r>
    </w:p>
    <w:p w14:paraId="4DAD3693" w14:textId="77777777" w:rsidR="00FC2800" w:rsidRDefault="00FC2800">
      <w:pPr>
        <w:pStyle w:val="21"/>
        <w:ind w:left="1134" w:firstLine="0"/>
        <w:rPr>
          <w:rtl/>
        </w:rPr>
      </w:pPr>
    </w:p>
    <w:tbl>
      <w:tblPr>
        <w:bidiVisual/>
        <w:tblW w:w="0" w:type="auto"/>
        <w:tblInd w:w="1134" w:type="dxa"/>
        <w:tblLayout w:type="fixed"/>
        <w:tblCellMar>
          <w:left w:w="0" w:type="dxa"/>
          <w:right w:w="0" w:type="dxa"/>
        </w:tblCellMar>
        <w:tblLook w:val="00A0" w:firstRow="1" w:lastRow="0" w:firstColumn="1" w:lastColumn="0" w:noHBand="0" w:noVBand="0"/>
      </w:tblPr>
      <w:tblGrid>
        <w:gridCol w:w="4677"/>
        <w:gridCol w:w="113"/>
        <w:gridCol w:w="1105"/>
        <w:gridCol w:w="142"/>
        <w:gridCol w:w="1105"/>
        <w:gridCol w:w="142"/>
        <w:gridCol w:w="1133"/>
      </w:tblGrid>
      <w:tr w:rsidR="00AB7D68" w:rsidRPr="00E1769C" w14:paraId="1BAFB267" w14:textId="77777777" w:rsidTr="00B23B2B">
        <w:tc>
          <w:tcPr>
            <w:tcW w:w="4677" w:type="dxa"/>
            <w:tcMar>
              <w:top w:w="0" w:type="dxa"/>
              <w:left w:w="0" w:type="dxa"/>
              <w:bottom w:w="0" w:type="dxa"/>
              <w:right w:w="0" w:type="dxa"/>
            </w:tcMar>
            <w:vAlign w:val="bottom"/>
          </w:tcPr>
          <w:p w14:paraId="091373EE" w14:textId="77777777" w:rsidR="00AB7D68" w:rsidRPr="00E1769C" w:rsidRDefault="00AB7D68" w:rsidP="00E1769C">
            <w:pPr>
              <w:pStyle w:val="a3"/>
              <w:ind w:left="0" w:firstLine="57"/>
              <w:rPr>
                <w:sz w:val="22"/>
                <w:u w:val="single"/>
              </w:rPr>
            </w:pPr>
          </w:p>
        </w:tc>
        <w:tc>
          <w:tcPr>
            <w:tcW w:w="113" w:type="dxa"/>
            <w:vAlign w:val="bottom"/>
          </w:tcPr>
          <w:p w14:paraId="4A5332B9" w14:textId="77777777" w:rsidR="00AB7D68" w:rsidRPr="00E1769C" w:rsidRDefault="00AB7D68" w:rsidP="00E1769C">
            <w:pPr>
              <w:tabs>
                <w:tab w:val="left" w:pos="0"/>
                <w:tab w:val="left" w:pos="397"/>
                <w:tab w:val="left" w:pos="510"/>
              </w:tabs>
              <w:spacing w:line="240" w:lineRule="exact"/>
              <w:rPr>
                <w:b/>
                <w:bCs/>
                <w:sz w:val="22"/>
                <w:u w:val="single"/>
              </w:rPr>
            </w:pPr>
          </w:p>
        </w:tc>
        <w:tc>
          <w:tcPr>
            <w:tcW w:w="2352" w:type="dxa"/>
            <w:gridSpan w:val="3"/>
            <w:tcBorders>
              <w:top w:val="nil"/>
              <w:left w:val="nil"/>
              <w:bottom w:val="single" w:sz="6" w:space="0" w:color="auto"/>
              <w:right w:val="nil"/>
            </w:tcBorders>
            <w:vAlign w:val="bottom"/>
          </w:tcPr>
          <w:p w14:paraId="74CDC50F" w14:textId="77777777" w:rsidR="00AB7D68" w:rsidRPr="00E1769C" w:rsidRDefault="003E0EBE" w:rsidP="00E1769C">
            <w:pPr>
              <w:tabs>
                <w:tab w:val="decimal" w:pos="113"/>
              </w:tabs>
              <w:spacing w:line="240" w:lineRule="exact"/>
              <w:jc w:val="center"/>
              <w:rPr>
                <w:sz w:val="22"/>
              </w:rPr>
            </w:pPr>
            <w:r w:rsidRPr="00E1769C">
              <w:rPr>
                <w:rFonts w:hint="cs"/>
                <w:sz w:val="22"/>
                <w:rtl/>
              </w:rPr>
              <w:t>30 בספטמבר</w:t>
            </w:r>
          </w:p>
        </w:tc>
        <w:tc>
          <w:tcPr>
            <w:tcW w:w="142" w:type="dxa"/>
          </w:tcPr>
          <w:p w14:paraId="150DD932" w14:textId="77777777" w:rsidR="00AB7D68" w:rsidRPr="00E1769C" w:rsidRDefault="00AB7D68" w:rsidP="00E1769C">
            <w:pPr>
              <w:tabs>
                <w:tab w:val="decimal" w:pos="113"/>
              </w:tabs>
              <w:spacing w:line="240" w:lineRule="exact"/>
              <w:jc w:val="center"/>
              <w:rPr>
                <w:sz w:val="22"/>
              </w:rPr>
            </w:pPr>
          </w:p>
        </w:tc>
        <w:tc>
          <w:tcPr>
            <w:tcW w:w="1133" w:type="dxa"/>
          </w:tcPr>
          <w:p w14:paraId="4F5219AC" w14:textId="77777777" w:rsidR="00AB7D68" w:rsidRPr="00E1769C" w:rsidRDefault="00AB7D68" w:rsidP="00E1769C">
            <w:pPr>
              <w:spacing w:line="240" w:lineRule="exact"/>
              <w:jc w:val="center"/>
              <w:rPr>
                <w:sz w:val="22"/>
              </w:rPr>
            </w:pPr>
            <w:r w:rsidRPr="00E1769C">
              <w:rPr>
                <w:rFonts w:hint="cs"/>
                <w:sz w:val="22"/>
                <w:rtl/>
              </w:rPr>
              <w:t>31 בדצמבר</w:t>
            </w:r>
          </w:p>
        </w:tc>
      </w:tr>
      <w:tr w:rsidR="0097675E" w:rsidRPr="00E1769C" w14:paraId="793DD381" w14:textId="77777777" w:rsidTr="00B23B2B">
        <w:tc>
          <w:tcPr>
            <w:tcW w:w="4677" w:type="dxa"/>
            <w:tcMar>
              <w:top w:w="0" w:type="dxa"/>
              <w:left w:w="0" w:type="dxa"/>
              <w:bottom w:w="0" w:type="dxa"/>
              <w:right w:w="0" w:type="dxa"/>
            </w:tcMar>
            <w:vAlign w:val="bottom"/>
          </w:tcPr>
          <w:p w14:paraId="3E5BE7DE" w14:textId="77777777" w:rsidR="0097675E" w:rsidRPr="00E1769C" w:rsidRDefault="0097675E" w:rsidP="00E1769C">
            <w:pPr>
              <w:pStyle w:val="a3"/>
              <w:ind w:left="0" w:firstLine="57"/>
              <w:rPr>
                <w:sz w:val="22"/>
                <w:u w:val="single"/>
              </w:rPr>
            </w:pPr>
          </w:p>
        </w:tc>
        <w:tc>
          <w:tcPr>
            <w:tcW w:w="113" w:type="dxa"/>
            <w:vAlign w:val="bottom"/>
          </w:tcPr>
          <w:p w14:paraId="66DB104E" w14:textId="77777777" w:rsidR="0097675E" w:rsidRPr="00E1769C" w:rsidRDefault="0097675E" w:rsidP="00E1769C">
            <w:pPr>
              <w:tabs>
                <w:tab w:val="left" w:pos="0"/>
                <w:tab w:val="left" w:pos="397"/>
                <w:tab w:val="left" w:pos="510"/>
              </w:tabs>
              <w:spacing w:line="240" w:lineRule="exact"/>
              <w:rPr>
                <w:b/>
                <w:bCs/>
                <w:sz w:val="22"/>
                <w:u w:val="single"/>
              </w:rPr>
            </w:pPr>
          </w:p>
        </w:tc>
        <w:tc>
          <w:tcPr>
            <w:tcW w:w="1105" w:type="dxa"/>
            <w:tcBorders>
              <w:top w:val="single" w:sz="6" w:space="0" w:color="auto"/>
              <w:left w:val="nil"/>
              <w:bottom w:val="single" w:sz="6" w:space="0" w:color="auto"/>
              <w:right w:val="nil"/>
            </w:tcBorders>
            <w:shd w:val="clear" w:color="auto" w:fill="auto"/>
            <w:vAlign w:val="bottom"/>
          </w:tcPr>
          <w:p w14:paraId="7D0D664F" w14:textId="779D9A04" w:rsidR="0097675E" w:rsidRPr="0097675E" w:rsidRDefault="00415E11" w:rsidP="00C36818">
            <w:pPr>
              <w:spacing w:line="220" w:lineRule="exact"/>
              <w:jc w:val="center"/>
              <w:rPr>
                <w:sz w:val="22"/>
              </w:rPr>
            </w:pPr>
            <w:r>
              <w:rPr>
                <w:rFonts w:hint="cs"/>
                <w:sz w:val="22"/>
                <w:rtl/>
              </w:rPr>
              <w:t>201</w:t>
            </w:r>
            <w:r w:rsidR="00C36818">
              <w:rPr>
                <w:rFonts w:hint="cs"/>
                <w:sz w:val="22"/>
                <w:rtl/>
              </w:rPr>
              <w:t>9</w:t>
            </w:r>
          </w:p>
        </w:tc>
        <w:tc>
          <w:tcPr>
            <w:tcW w:w="142" w:type="dxa"/>
            <w:tcBorders>
              <w:top w:val="single" w:sz="6" w:space="0" w:color="auto"/>
              <w:left w:val="nil"/>
              <w:right w:val="nil"/>
            </w:tcBorders>
            <w:vAlign w:val="bottom"/>
          </w:tcPr>
          <w:p w14:paraId="061AED13" w14:textId="77777777" w:rsidR="0097675E" w:rsidRPr="0097675E" w:rsidRDefault="0097675E" w:rsidP="00AC2186">
            <w:pPr>
              <w:spacing w:line="220" w:lineRule="exact"/>
              <w:jc w:val="center"/>
              <w:rPr>
                <w:sz w:val="22"/>
              </w:rPr>
            </w:pPr>
          </w:p>
        </w:tc>
        <w:tc>
          <w:tcPr>
            <w:tcW w:w="1105" w:type="dxa"/>
            <w:tcBorders>
              <w:top w:val="single" w:sz="6" w:space="0" w:color="auto"/>
              <w:left w:val="nil"/>
              <w:bottom w:val="single" w:sz="6" w:space="0" w:color="auto"/>
              <w:right w:val="nil"/>
            </w:tcBorders>
            <w:shd w:val="clear" w:color="auto" w:fill="auto"/>
            <w:vAlign w:val="bottom"/>
          </w:tcPr>
          <w:p w14:paraId="5205957E" w14:textId="1C3FE02E" w:rsidR="0097675E" w:rsidRPr="0097675E" w:rsidRDefault="00415E11" w:rsidP="00C36818">
            <w:pPr>
              <w:spacing w:line="220" w:lineRule="exact"/>
              <w:jc w:val="center"/>
              <w:rPr>
                <w:sz w:val="22"/>
              </w:rPr>
            </w:pPr>
            <w:r>
              <w:rPr>
                <w:rFonts w:hint="cs"/>
                <w:sz w:val="22"/>
                <w:rtl/>
              </w:rPr>
              <w:t>201</w:t>
            </w:r>
            <w:r w:rsidR="00C36818">
              <w:rPr>
                <w:rFonts w:hint="cs"/>
                <w:sz w:val="22"/>
                <w:rtl/>
              </w:rPr>
              <w:t>8</w:t>
            </w:r>
          </w:p>
        </w:tc>
        <w:tc>
          <w:tcPr>
            <w:tcW w:w="142" w:type="dxa"/>
          </w:tcPr>
          <w:p w14:paraId="3B44E754" w14:textId="77777777" w:rsidR="0097675E" w:rsidRPr="00E1769C" w:rsidRDefault="0097675E" w:rsidP="00E1769C">
            <w:pPr>
              <w:spacing w:line="240" w:lineRule="exact"/>
              <w:jc w:val="center"/>
              <w:rPr>
                <w:sz w:val="22"/>
              </w:rPr>
            </w:pPr>
          </w:p>
        </w:tc>
        <w:tc>
          <w:tcPr>
            <w:tcW w:w="1133" w:type="dxa"/>
            <w:tcBorders>
              <w:top w:val="nil"/>
              <w:left w:val="nil"/>
              <w:bottom w:val="single" w:sz="6" w:space="0" w:color="auto"/>
              <w:right w:val="nil"/>
            </w:tcBorders>
            <w:shd w:val="clear" w:color="auto" w:fill="auto"/>
          </w:tcPr>
          <w:p w14:paraId="5D6B5236" w14:textId="549329B5" w:rsidR="0097675E" w:rsidRPr="00E1769C" w:rsidRDefault="00415E11" w:rsidP="00C36818">
            <w:pPr>
              <w:spacing w:line="240" w:lineRule="exact"/>
              <w:jc w:val="center"/>
              <w:rPr>
                <w:sz w:val="22"/>
              </w:rPr>
            </w:pPr>
            <w:r>
              <w:rPr>
                <w:rFonts w:hint="cs"/>
                <w:sz w:val="22"/>
                <w:rtl/>
              </w:rPr>
              <w:t>201</w:t>
            </w:r>
            <w:r w:rsidR="00C36818">
              <w:rPr>
                <w:rFonts w:hint="cs"/>
                <w:sz w:val="22"/>
                <w:rtl/>
              </w:rPr>
              <w:t>8</w:t>
            </w:r>
          </w:p>
        </w:tc>
      </w:tr>
      <w:tr w:rsidR="0097675E" w:rsidRPr="00E1769C" w14:paraId="26982F9F" w14:textId="77777777" w:rsidTr="00B23B2B">
        <w:tc>
          <w:tcPr>
            <w:tcW w:w="4677" w:type="dxa"/>
            <w:tcMar>
              <w:top w:w="0" w:type="dxa"/>
              <w:left w:w="0" w:type="dxa"/>
              <w:bottom w:w="0" w:type="dxa"/>
              <w:right w:w="0" w:type="dxa"/>
            </w:tcMar>
            <w:vAlign w:val="bottom"/>
          </w:tcPr>
          <w:p w14:paraId="53E7FFA9" w14:textId="77777777" w:rsidR="0097675E" w:rsidRPr="00E1769C" w:rsidRDefault="0097675E" w:rsidP="00E1769C">
            <w:pPr>
              <w:pStyle w:val="a3"/>
              <w:ind w:left="0" w:firstLine="57"/>
              <w:rPr>
                <w:sz w:val="22"/>
                <w:u w:val="single"/>
              </w:rPr>
            </w:pPr>
          </w:p>
        </w:tc>
        <w:tc>
          <w:tcPr>
            <w:tcW w:w="113" w:type="dxa"/>
            <w:vAlign w:val="bottom"/>
          </w:tcPr>
          <w:p w14:paraId="0647E3B8" w14:textId="77777777" w:rsidR="0097675E" w:rsidRPr="00E1769C" w:rsidRDefault="0097675E" w:rsidP="00E1769C">
            <w:pPr>
              <w:tabs>
                <w:tab w:val="left" w:pos="0"/>
                <w:tab w:val="left" w:pos="397"/>
                <w:tab w:val="left" w:pos="510"/>
              </w:tabs>
              <w:spacing w:line="240" w:lineRule="exact"/>
              <w:rPr>
                <w:b/>
                <w:bCs/>
                <w:sz w:val="22"/>
                <w:u w:val="single"/>
              </w:rPr>
            </w:pPr>
          </w:p>
        </w:tc>
        <w:tc>
          <w:tcPr>
            <w:tcW w:w="2352" w:type="dxa"/>
            <w:gridSpan w:val="3"/>
            <w:tcBorders>
              <w:top w:val="nil"/>
              <w:left w:val="nil"/>
              <w:bottom w:val="single" w:sz="6" w:space="0" w:color="auto"/>
              <w:right w:val="nil"/>
            </w:tcBorders>
            <w:shd w:val="clear" w:color="auto" w:fill="auto"/>
            <w:vAlign w:val="bottom"/>
          </w:tcPr>
          <w:p w14:paraId="0EF7BDD9" w14:textId="77777777" w:rsidR="0097675E" w:rsidRPr="00E1769C" w:rsidRDefault="0097675E" w:rsidP="00E1769C">
            <w:pPr>
              <w:tabs>
                <w:tab w:val="decimal" w:pos="113"/>
              </w:tabs>
              <w:spacing w:line="240" w:lineRule="exact"/>
              <w:jc w:val="center"/>
              <w:rPr>
                <w:sz w:val="22"/>
              </w:rPr>
            </w:pPr>
            <w:r w:rsidRPr="00E1769C">
              <w:rPr>
                <w:rFonts w:hint="cs"/>
                <w:sz w:val="22"/>
                <w:rtl/>
              </w:rPr>
              <w:t>בלתי מבוקר</w:t>
            </w:r>
          </w:p>
        </w:tc>
        <w:tc>
          <w:tcPr>
            <w:tcW w:w="142" w:type="dxa"/>
          </w:tcPr>
          <w:p w14:paraId="513AE38E" w14:textId="77777777" w:rsidR="0097675E" w:rsidRPr="00E1769C" w:rsidRDefault="0097675E" w:rsidP="00E1769C">
            <w:pPr>
              <w:tabs>
                <w:tab w:val="decimal" w:pos="113"/>
              </w:tabs>
              <w:spacing w:line="240" w:lineRule="exact"/>
              <w:jc w:val="center"/>
              <w:rPr>
                <w:sz w:val="22"/>
              </w:rPr>
            </w:pPr>
          </w:p>
        </w:tc>
        <w:tc>
          <w:tcPr>
            <w:tcW w:w="1133" w:type="dxa"/>
            <w:tcBorders>
              <w:left w:val="nil"/>
              <w:bottom w:val="single" w:sz="6" w:space="0" w:color="auto"/>
              <w:right w:val="nil"/>
            </w:tcBorders>
            <w:shd w:val="clear" w:color="auto" w:fill="auto"/>
          </w:tcPr>
          <w:p w14:paraId="5B38A17D" w14:textId="77777777" w:rsidR="0097675E" w:rsidRPr="00E1769C" w:rsidRDefault="0097675E" w:rsidP="00E1769C">
            <w:pPr>
              <w:tabs>
                <w:tab w:val="decimal" w:pos="113"/>
              </w:tabs>
              <w:spacing w:line="240" w:lineRule="exact"/>
              <w:jc w:val="center"/>
              <w:rPr>
                <w:sz w:val="22"/>
              </w:rPr>
            </w:pPr>
            <w:r w:rsidRPr="00E1769C">
              <w:rPr>
                <w:rFonts w:hint="cs"/>
                <w:sz w:val="22"/>
                <w:rtl/>
              </w:rPr>
              <w:t>מבוקר</w:t>
            </w:r>
          </w:p>
        </w:tc>
      </w:tr>
      <w:tr w:rsidR="0097675E" w:rsidRPr="00E1769C" w14:paraId="601CBD98" w14:textId="77777777" w:rsidTr="00B23B2B">
        <w:tc>
          <w:tcPr>
            <w:tcW w:w="4677" w:type="dxa"/>
            <w:tcMar>
              <w:top w:w="0" w:type="dxa"/>
              <w:left w:w="0" w:type="dxa"/>
              <w:bottom w:w="0" w:type="dxa"/>
              <w:right w:w="0" w:type="dxa"/>
            </w:tcMar>
            <w:vAlign w:val="bottom"/>
          </w:tcPr>
          <w:p w14:paraId="3767C03A" w14:textId="77777777" w:rsidR="0097675E" w:rsidRPr="00E1769C" w:rsidRDefault="0097675E" w:rsidP="00E1769C">
            <w:pPr>
              <w:pStyle w:val="a3"/>
              <w:ind w:left="0" w:firstLine="57"/>
              <w:rPr>
                <w:sz w:val="22"/>
                <w:u w:val="single"/>
              </w:rPr>
            </w:pPr>
          </w:p>
        </w:tc>
        <w:tc>
          <w:tcPr>
            <w:tcW w:w="113" w:type="dxa"/>
            <w:vAlign w:val="bottom"/>
          </w:tcPr>
          <w:p w14:paraId="22464644" w14:textId="77777777" w:rsidR="0097675E" w:rsidRPr="00E1769C" w:rsidRDefault="0097675E" w:rsidP="00E1769C">
            <w:pPr>
              <w:tabs>
                <w:tab w:val="left" w:pos="0"/>
                <w:tab w:val="left" w:pos="397"/>
                <w:tab w:val="left" w:pos="510"/>
              </w:tabs>
              <w:spacing w:line="240" w:lineRule="exact"/>
              <w:rPr>
                <w:b/>
                <w:bCs/>
                <w:sz w:val="22"/>
                <w:u w:val="single"/>
              </w:rPr>
            </w:pPr>
          </w:p>
        </w:tc>
        <w:tc>
          <w:tcPr>
            <w:tcW w:w="3627" w:type="dxa"/>
            <w:gridSpan w:val="5"/>
            <w:tcBorders>
              <w:top w:val="nil"/>
              <w:left w:val="nil"/>
              <w:bottom w:val="single" w:sz="6" w:space="0" w:color="auto"/>
              <w:right w:val="nil"/>
            </w:tcBorders>
            <w:shd w:val="clear" w:color="auto" w:fill="auto"/>
          </w:tcPr>
          <w:p w14:paraId="7D026655" w14:textId="77777777" w:rsidR="0097675E" w:rsidRPr="00E1769C" w:rsidRDefault="0097675E" w:rsidP="00E1769C">
            <w:pPr>
              <w:tabs>
                <w:tab w:val="decimal" w:pos="113"/>
              </w:tabs>
              <w:spacing w:line="240" w:lineRule="exact"/>
              <w:jc w:val="center"/>
              <w:rPr>
                <w:sz w:val="22"/>
              </w:rPr>
            </w:pPr>
            <w:r w:rsidRPr="00E1769C">
              <w:rPr>
                <w:rFonts w:hint="cs"/>
                <w:sz w:val="22"/>
                <w:rtl/>
              </w:rPr>
              <w:t>אלפי ש"ח</w:t>
            </w:r>
          </w:p>
        </w:tc>
      </w:tr>
      <w:tr w:rsidR="0097675E" w:rsidRPr="00E1769C" w14:paraId="012F0530" w14:textId="77777777" w:rsidTr="00B23B2B">
        <w:tc>
          <w:tcPr>
            <w:tcW w:w="4677" w:type="dxa"/>
            <w:tcMar>
              <w:top w:w="0" w:type="dxa"/>
              <w:left w:w="0" w:type="dxa"/>
              <w:bottom w:w="0" w:type="dxa"/>
              <w:right w:w="0" w:type="dxa"/>
            </w:tcMar>
            <w:vAlign w:val="bottom"/>
          </w:tcPr>
          <w:p w14:paraId="49A24DA7" w14:textId="77777777" w:rsidR="0097675E" w:rsidRPr="00E1769C" w:rsidRDefault="0097675E" w:rsidP="00E1769C">
            <w:pPr>
              <w:widowControl/>
              <w:tabs>
                <w:tab w:val="left" w:pos="227"/>
                <w:tab w:val="left" w:pos="397"/>
                <w:tab w:val="left" w:pos="567"/>
              </w:tabs>
              <w:spacing w:line="240" w:lineRule="exact"/>
              <w:jc w:val="left"/>
              <w:rPr>
                <w:sz w:val="22"/>
                <w:rtl/>
              </w:rPr>
            </w:pPr>
          </w:p>
        </w:tc>
        <w:tc>
          <w:tcPr>
            <w:tcW w:w="113" w:type="dxa"/>
            <w:vAlign w:val="bottom"/>
          </w:tcPr>
          <w:p w14:paraId="7289ECE9" w14:textId="77777777" w:rsidR="0097675E" w:rsidRPr="00E1769C" w:rsidRDefault="0097675E" w:rsidP="00E1769C">
            <w:pPr>
              <w:widowControl/>
              <w:spacing w:line="240" w:lineRule="exact"/>
              <w:rPr>
                <w:sz w:val="22"/>
              </w:rPr>
            </w:pPr>
          </w:p>
        </w:tc>
        <w:tc>
          <w:tcPr>
            <w:tcW w:w="1105" w:type="dxa"/>
            <w:tcBorders>
              <w:top w:val="single" w:sz="6" w:space="0" w:color="auto"/>
              <w:left w:val="nil"/>
              <w:right w:val="nil"/>
            </w:tcBorders>
            <w:shd w:val="clear" w:color="auto" w:fill="auto"/>
            <w:vAlign w:val="bottom"/>
          </w:tcPr>
          <w:p w14:paraId="3052A067" w14:textId="77777777" w:rsidR="0097675E" w:rsidRPr="00E1769C" w:rsidRDefault="0097675E" w:rsidP="00E1769C">
            <w:pPr>
              <w:widowControl/>
              <w:tabs>
                <w:tab w:val="decimal" w:pos="113"/>
              </w:tabs>
              <w:spacing w:line="240" w:lineRule="exact"/>
              <w:rPr>
                <w:sz w:val="22"/>
              </w:rPr>
            </w:pPr>
          </w:p>
        </w:tc>
        <w:tc>
          <w:tcPr>
            <w:tcW w:w="142" w:type="dxa"/>
            <w:tcBorders>
              <w:top w:val="single" w:sz="6" w:space="0" w:color="auto"/>
            </w:tcBorders>
            <w:vAlign w:val="bottom"/>
          </w:tcPr>
          <w:p w14:paraId="6CE06FB3" w14:textId="77777777" w:rsidR="0097675E" w:rsidRPr="00E1769C" w:rsidRDefault="0097675E" w:rsidP="00E1769C">
            <w:pPr>
              <w:widowControl/>
              <w:tabs>
                <w:tab w:val="decimal" w:pos="113"/>
              </w:tabs>
              <w:spacing w:line="240" w:lineRule="exact"/>
              <w:rPr>
                <w:sz w:val="22"/>
              </w:rPr>
            </w:pPr>
          </w:p>
        </w:tc>
        <w:tc>
          <w:tcPr>
            <w:tcW w:w="1105" w:type="dxa"/>
            <w:tcBorders>
              <w:top w:val="single" w:sz="6" w:space="0" w:color="auto"/>
              <w:left w:val="nil"/>
              <w:right w:val="nil"/>
            </w:tcBorders>
            <w:shd w:val="clear" w:color="auto" w:fill="auto"/>
            <w:vAlign w:val="bottom"/>
          </w:tcPr>
          <w:p w14:paraId="792A0F86" w14:textId="77777777" w:rsidR="0097675E" w:rsidRPr="00E1769C" w:rsidRDefault="0097675E" w:rsidP="00E1769C">
            <w:pPr>
              <w:widowControl/>
              <w:tabs>
                <w:tab w:val="decimal" w:pos="113"/>
              </w:tabs>
              <w:spacing w:line="240" w:lineRule="exact"/>
              <w:rPr>
                <w:sz w:val="22"/>
              </w:rPr>
            </w:pPr>
          </w:p>
        </w:tc>
        <w:tc>
          <w:tcPr>
            <w:tcW w:w="142" w:type="dxa"/>
            <w:tcBorders>
              <w:top w:val="single" w:sz="6" w:space="0" w:color="auto"/>
              <w:left w:val="nil"/>
              <w:right w:val="nil"/>
            </w:tcBorders>
          </w:tcPr>
          <w:p w14:paraId="5DA27E4A" w14:textId="77777777" w:rsidR="0097675E" w:rsidRPr="00E1769C" w:rsidRDefault="0097675E" w:rsidP="00E1769C">
            <w:pPr>
              <w:widowControl/>
              <w:tabs>
                <w:tab w:val="decimal" w:pos="113"/>
              </w:tabs>
              <w:spacing w:line="240" w:lineRule="exact"/>
              <w:rPr>
                <w:sz w:val="22"/>
              </w:rPr>
            </w:pPr>
          </w:p>
        </w:tc>
        <w:tc>
          <w:tcPr>
            <w:tcW w:w="1133" w:type="dxa"/>
            <w:tcBorders>
              <w:top w:val="single" w:sz="6" w:space="0" w:color="auto"/>
              <w:left w:val="nil"/>
              <w:right w:val="nil"/>
            </w:tcBorders>
            <w:shd w:val="clear" w:color="auto" w:fill="auto"/>
          </w:tcPr>
          <w:p w14:paraId="3DD3CB67" w14:textId="77777777" w:rsidR="0097675E" w:rsidRPr="00E1769C" w:rsidRDefault="0097675E" w:rsidP="00E1769C">
            <w:pPr>
              <w:widowControl/>
              <w:tabs>
                <w:tab w:val="decimal" w:pos="113"/>
              </w:tabs>
              <w:spacing w:line="240" w:lineRule="exact"/>
              <w:rPr>
                <w:sz w:val="22"/>
              </w:rPr>
            </w:pPr>
          </w:p>
        </w:tc>
      </w:tr>
      <w:tr w:rsidR="0097675E" w:rsidRPr="00E1769C" w14:paraId="5884D57B" w14:textId="77777777" w:rsidTr="00B23B2B">
        <w:tc>
          <w:tcPr>
            <w:tcW w:w="4677" w:type="dxa"/>
            <w:tcMar>
              <w:top w:w="0" w:type="dxa"/>
              <w:left w:w="0" w:type="dxa"/>
              <w:bottom w:w="0" w:type="dxa"/>
              <w:right w:w="0" w:type="dxa"/>
            </w:tcMar>
            <w:vAlign w:val="bottom"/>
          </w:tcPr>
          <w:p w14:paraId="03E6C2F4" w14:textId="77777777" w:rsidR="0097675E" w:rsidRPr="00E1769C" w:rsidRDefault="0097675E" w:rsidP="00E1769C">
            <w:pPr>
              <w:widowControl/>
              <w:tabs>
                <w:tab w:val="left" w:pos="227"/>
                <w:tab w:val="left" w:pos="397"/>
                <w:tab w:val="left" w:pos="567"/>
              </w:tabs>
              <w:spacing w:line="240" w:lineRule="exact"/>
              <w:ind w:left="227" w:hanging="170"/>
              <w:jc w:val="left"/>
              <w:rPr>
                <w:sz w:val="22"/>
                <w:rtl/>
              </w:rPr>
            </w:pPr>
            <w:r w:rsidRPr="00E1769C">
              <w:rPr>
                <w:rFonts w:hint="cs"/>
                <w:sz w:val="22"/>
                <w:rtl/>
              </w:rPr>
              <w:t>קרן בגין התאמות הנובעות מתרגום דוחות כספיים</w:t>
            </w:r>
          </w:p>
        </w:tc>
        <w:tc>
          <w:tcPr>
            <w:tcW w:w="113" w:type="dxa"/>
            <w:vAlign w:val="bottom"/>
          </w:tcPr>
          <w:p w14:paraId="46D1CD2E" w14:textId="77777777" w:rsidR="0097675E" w:rsidRPr="00E1769C" w:rsidRDefault="0097675E" w:rsidP="00E1769C">
            <w:pPr>
              <w:spacing w:line="240" w:lineRule="exact"/>
              <w:rPr>
                <w:sz w:val="22"/>
              </w:rPr>
            </w:pPr>
          </w:p>
        </w:tc>
        <w:tc>
          <w:tcPr>
            <w:tcW w:w="1105" w:type="dxa"/>
            <w:tcBorders>
              <w:left w:val="nil"/>
              <w:bottom w:val="double" w:sz="6" w:space="0" w:color="auto"/>
              <w:right w:val="nil"/>
            </w:tcBorders>
            <w:shd w:val="clear" w:color="auto" w:fill="auto"/>
            <w:vAlign w:val="bottom"/>
          </w:tcPr>
          <w:p w14:paraId="79B92812" w14:textId="77777777" w:rsidR="0097675E" w:rsidRPr="00E1769C" w:rsidRDefault="0097675E" w:rsidP="00E1769C">
            <w:pPr>
              <w:tabs>
                <w:tab w:val="decimal" w:pos="113"/>
              </w:tabs>
              <w:spacing w:line="240" w:lineRule="exact"/>
              <w:rPr>
                <w:sz w:val="22"/>
              </w:rPr>
            </w:pPr>
          </w:p>
        </w:tc>
        <w:tc>
          <w:tcPr>
            <w:tcW w:w="142" w:type="dxa"/>
            <w:vAlign w:val="bottom"/>
          </w:tcPr>
          <w:p w14:paraId="4F432AA2" w14:textId="77777777" w:rsidR="0097675E" w:rsidRPr="00E1769C" w:rsidRDefault="0097675E" w:rsidP="00E1769C">
            <w:pPr>
              <w:tabs>
                <w:tab w:val="decimal" w:pos="113"/>
              </w:tabs>
              <w:spacing w:line="240" w:lineRule="exact"/>
              <w:rPr>
                <w:sz w:val="22"/>
              </w:rPr>
            </w:pPr>
          </w:p>
        </w:tc>
        <w:tc>
          <w:tcPr>
            <w:tcW w:w="1105" w:type="dxa"/>
            <w:tcBorders>
              <w:left w:val="nil"/>
              <w:bottom w:val="double" w:sz="6" w:space="0" w:color="auto"/>
              <w:right w:val="nil"/>
            </w:tcBorders>
            <w:shd w:val="clear" w:color="auto" w:fill="auto"/>
            <w:vAlign w:val="bottom"/>
          </w:tcPr>
          <w:p w14:paraId="5EC75880" w14:textId="77777777" w:rsidR="0097675E" w:rsidRPr="00E1769C" w:rsidRDefault="0097675E" w:rsidP="00E1769C">
            <w:pPr>
              <w:tabs>
                <w:tab w:val="decimal" w:pos="113"/>
              </w:tabs>
              <w:spacing w:line="240" w:lineRule="exact"/>
              <w:rPr>
                <w:sz w:val="22"/>
              </w:rPr>
            </w:pPr>
          </w:p>
        </w:tc>
        <w:tc>
          <w:tcPr>
            <w:tcW w:w="142" w:type="dxa"/>
            <w:tcBorders>
              <w:left w:val="nil"/>
              <w:bottom w:val="nil"/>
              <w:right w:val="nil"/>
            </w:tcBorders>
          </w:tcPr>
          <w:p w14:paraId="209B0390" w14:textId="77777777" w:rsidR="0097675E" w:rsidRPr="00E1769C" w:rsidRDefault="0097675E" w:rsidP="00E1769C">
            <w:pPr>
              <w:tabs>
                <w:tab w:val="decimal" w:pos="113"/>
              </w:tabs>
              <w:spacing w:line="240" w:lineRule="exact"/>
              <w:rPr>
                <w:sz w:val="22"/>
              </w:rPr>
            </w:pPr>
          </w:p>
        </w:tc>
        <w:tc>
          <w:tcPr>
            <w:tcW w:w="1133" w:type="dxa"/>
            <w:tcBorders>
              <w:left w:val="nil"/>
              <w:bottom w:val="double" w:sz="6" w:space="0" w:color="auto"/>
              <w:right w:val="nil"/>
            </w:tcBorders>
            <w:shd w:val="clear" w:color="auto" w:fill="auto"/>
          </w:tcPr>
          <w:p w14:paraId="75E475B7" w14:textId="77777777" w:rsidR="0097675E" w:rsidRPr="00E1769C" w:rsidRDefault="0097675E" w:rsidP="00E1769C">
            <w:pPr>
              <w:tabs>
                <w:tab w:val="decimal" w:pos="113"/>
              </w:tabs>
              <w:spacing w:line="240" w:lineRule="exact"/>
              <w:rPr>
                <w:sz w:val="22"/>
              </w:rPr>
            </w:pPr>
          </w:p>
        </w:tc>
      </w:tr>
      <w:tr w:rsidR="0097675E" w:rsidRPr="00E1769C" w14:paraId="56E6C66F" w14:textId="77777777" w:rsidTr="00B23B2B">
        <w:tc>
          <w:tcPr>
            <w:tcW w:w="4677" w:type="dxa"/>
            <w:tcMar>
              <w:top w:w="0" w:type="dxa"/>
              <w:left w:w="0" w:type="dxa"/>
              <w:bottom w:w="0" w:type="dxa"/>
              <w:right w:w="0" w:type="dxa"/>
            </w:tcMar>
            <w:vAlign w:val="bottom"/>
          </w:tcPr>
          <w:p w14:paraId="7AFEAE04" w14:textId="77777777" w:rsidR="0097675E" w:rsidRPr="00E1769C" w:rsidRDefault="0097675E" w:rsidP="00E1769C">
            <w:pPr>
              <w:widowControl/>
              <w:tabs>
                <w:tab w:val="left" w:pos="227"/>
                <w:tab w:val="left" w:pos="397"/>
                <w:tab w:val="left" w:pos="567"/>
              </w:tabs>
              <w:spacing w:line="240" w:lineRule="exact"/>
              <w:jc w:val="left"/>
              <w:rPr>
                <w:sz w:val="22"/>
                <w:rtl/>
              </w:rPr>
            </w:pPr>
          </w:p>
        </w:tc>
        <w:tc>
          <w:tcPr>
            <w:tcW w:w="113" w:type="dxa"/>
            <w:vAlign w:val="bottom"/>
          </w:tcPr>
          <w:p w14:paraId="1766C398" w14:textId="77777777" w:rsidR="0097675E" w:rsidRPr="00E1769C" w:rsidRDefault="0097675E" w:rsidP="00E1769C">
            <w:pPr>
              <w:widowControl/>
              <w:spacing w:line="240" w:lineRule="exact"/>
              <w:rPr>
                <w:sz w:val="22"/>
              </w:rPr>
            </w:pPr>
          </w:p>
        </w:tc>
        <w:tc>
          <w:tcPr>
            <w:tcW w:w="1105" w:type="dxa"/>
            <w:tcBorders>
              <w:top w:val="double" w:sz="6" w:space="0" w:color="auto"/>
              <w:left w:val="nil"/>
              <w:right w:val="nil"/>
            </w:tcBorders>
            <w:vAlign w:val="bottom"/>
          </w:tcPr>
          <w:p w14:paraId="5C6A66AC" w14:textId="77777777" w:rsidR="0097675E" w:rsidRPr="00E1769C" w:rsidRDefault="0097675E" w:rsidP="00E1769C">
            <w:pPr>
              <w:widowControl/>
              <w:tabs>
                <w:tab w:val="decimal" w:pos="113"/>
              </w:tabs>
              <w:spacing w:line="240" w:lineRule="exact"/>
              <w:rPr>
                <w:sz w:val="22"/>
              </w:rPr>
            </w:pPr>
          </w:p>
        </w:tc>
        <w:tc>
          <w:tcPr>
            <w:tcW w:w="142" w:type="dxa"/>
            <w:vAlign w:val="bottom"/>
          </w:tcPr>
          <w:p w14:paraId="78F1C71F" w14:textId="77777777" w:rsidR="0097675E" w:rsidRPr="00E1769C" w:rsidRDefault="0097675E" w:rsidP="00E1769C">
            <w:pPr>
              <w:widowControl/>
              <w:tabs>
                <w:tab w:val="decimal" w:pos="113"/>
              </w:tabs>
              <w:spacing w:line="240" w:lineRule="exact"/>
              <w:rPr>
                <w:sz w:val="22"/>
              </w:rPr>
            </w:pPr>
          </w:p>
        </w:tc>
        <w:tc>
          <w:tcPr>
            <w:tcW w:w="1105" w:type="dxa"/>
            <w:tcBorders>
              <w:top w:val="double" w:sz="6" w:space="0" w:color="auto"/>
              <w:left w:val="nil"/>
              <w:right w:val="nil"/>
            </w:tcBorders>
            <w:vAlign w:val="bottom"/>
          </w:tcPr>
          <w:p w14:paraId="6E70ED04" w14:textId="77777777" w:rsidR="0097675E" w:rsidRPr="00E1769C" w:rsidRDefault="0097675E" w:rsidP="00E1769C">
            <w:pPr>
              <w:widowControl/>
              <w:tabs>
                <w:tab w:val="decimal" w:pos="113"/>
              </w:tabs>
              <w:spacing w:line="240" w:lineRule="exact"/>
              <w:rPr>
                <w:sz w:val="22"/>
              </w:rPr>
            </w:pPr>
          </w:p>
        </w:tc>
        <w:tc>
          <w:tcPr>
            <w:tcW w:w="142" w:type="dxa"/>
            <w:tcBorders>
              <w:left w:val="nil"/>
              <w:bottom w:val="nil"/>
              <w:right w:val="nil"/>
            </w:tcBorders>
          </w:tcPr>
          <w:p w14:paraId="7D419CEC" w14:textId="77777777" w:rsidR="0097675E" w:rsidRPr="00E1769C" w:rsidRDefault="0097675E" w:rsidP="00E1769C">
            <w:pPr>
              <w:widowControl/>
              <w:tabs>
                <w:tab w:val="decimal" w:pos="113"/>
              </w:tabs>
              <w:spacing w:line="240" w:lineRule="exact"/>
              <w:rPr>
                <w:sz w:val="22"/>
              </w:rPr>
            </w:pPr>
          </w:p>
        </w:tc>
        <w:tc>
          <w:tcPr>
            <w:tcW w:w="1133" w:type="dxa"/>
            <w:tcBorders>
              <w:top w:val="double" w:sz="6" w:space="0" w:color="auto"/>
              <w:left w:val="nil"/>
              <w:right w:val="nil"/>
            </w:tcBorders>
          </w:tcPr>
          <w:p w14:paraId="592E0E48" w14:textId="77777777" w:rsidR="0097675E" w:rsidRPr="00E1769C" w:rsidRDefault="0097675E" w:rsidP="00E1769C">
            <w:pPr>
              <w:widowControl/>
              <w:tabs>
                <w:tab w:val="decimal" w:pos="113"/>
              </w:tabs>
              <w:spacing w:line="240" w:lineRule="exact"/>
              <w:rPr>
                <w:sz w:val="22"/>
              </w:rPr>
            </w:pPr>
          </w:p>
        </w:tc>
      </w:tr>
      <w:tr w:rsidR="0097675E" w:rsidRPr="00E1769C" w14:paraId="615F2B24" w14:textId="77777777" w:rsidTr="00B23B2B">
        <w:tc>
          <w:tcPr>
            <w:tcW w:w="4677" w:type="dxa"/>
            <w:tcMar>
              <w:top w:w="0" w:type="dxa"/>
              <w:left w:w="0" w:type="dxa"/>
              <w:bottom w:w="0" w:type="dxa"/>
              <w:right w:w="0" w:type="dxa"/>
            </w:tcMar>
            <w:vAlign w:val="bottom"/>
          </w:tcPr>
          <w:p w14:paraId="6E5767D7" w14:textId="77777777" w:rsidR="0097675E" w:rsidRPr="00E1769C" w:rsidRDefault="0097675E" w:rsidP="00E1769C">
            <w:pPr>
              <w:widowControl/>
              <w:tabs>
                <w:tab w:val="left" w:pos="227"/>
                <w:tab w:val="left" w:pos="397"/>
                <w:tab w:val="left" w:pos="567"/>
              </w:tabs>
              <w:spacing w:line="240" w:lineRule="exact"/>
              <w:ind w:left="227" w:hanging="170"/>
              <w:jc w:val="left"/>
              <w:rPr>
                <w:sz w:val="22"/>
                <w:rtl/>
              </w:rPr>
            </w:pPr>
            <w:r w:rsidRPr="00E1769C">
              <w:rPr>
                <w:rFonts w:hint="cs"/>
                <w:sz w:val="22"/>
                <w:rtl/>
              </w:rPr>
              <w:t>קרן בגין הערכה מחדש של רכוש קבוע</w:t>
            </w:r>
          </w:p>
        </w:tc>
        <w:tc>
          <w:tcPr>
            <w:tcW w:w="113" w:type="dxa"/>
            <w:vAlign w:val="bottom"/>
          </w:tcPr>
          <w:p w14:paraId="2A3782F1" w14:textId="77777777" w:rsidR="0097675E" w:rsidRPr="00E1769C" w:rsidRDefault="0097675E" w:rsidP="00E1769C">
            <w:pPr>
              <w:spacing w:line="240" w:lineRule="exact"/>
              <w:rPr>
                <w:sz w:val="22"/>
              </w:rPr>
            </w:pPr>
          </w:p>
        </w:tc>
        <w:tc>
          <w:tcPr>
            <w:tcW w:w="1105" w:type="dxa"/>
            <w:tcBorders>
              <w:left w:val="nil"/>
              <w:bottom w:val="double" w:sz="6" w:space="0" w:color="auto"/>
              <w:right w:val="nil"/>
            </w:tcBorders>
            <w:shd w:val="clear" w:color="auto" w:fill="auto"/>
            <w:vAlign w:val="bottom"/>
          </w:tcPr>
          <w:p w14:paraId="2EA71751" w14:textId="77777777" w:rsidR="0097675E" w:rsidRPr="00E1769C" w:rsidRDefault="0097675E" w:rsidP="00E1769C">
            <w:pPr>
              <w:tabs>
                <w:tab w:val="decimal" w:pos="113"/>
              </w:tabs>
              <w:spacing w:line="240" w:lineRule="exact"/>
              <w:rPr>
                <w:sz w:val="22"/>
              </w:rPr>
            </w:pPr>
          </w:p>
        </w:tc>
        <w:tc>
          <w:tcPr>
            <w:tcW w:w="142" w:type="dxa"/>
            <w:vAlign w:val="bottom"/>
          </w:tcPr>
          <w:p w14:paraId="5B364801" w14:textId="77777777" w:rsidR="0097675E" w:rsidRPr="00E1769C" w:rsidRDefault="0097675E" w:rsidP="00E1769C">
            <w:pPr>
              <w:tabs>
                <w:tab w:val="decimal" w:pos="113"/>
              </w:tabs>
              <w:spacing w:line="240" w:lineRule="exact"/>
              <w:rPr>
                <w:sz w:val="22"/>
              </w:rPr>
            </w:pPr>
          </w:p>
        </w:tc>
        <w:tc>
          <w:tcPr>
            <w:tcW w:w="1105" w:type="dxa"/>
            <w:tcBorders>
              <w:left w:val="nil"/>
              <w:bottom w:val="double" w:sz="6" w:space="0" w:color="auto"/>
              <w:right w:val="nil"/>
            </w:tcBorders>
            <w:shd w:val="clear" w:color="auto" w:fill="auto"/>
            <w:vAlign w:val="bottom"/>
          </w:tcPr>
          <w:p w14:paraId="4C753670" w14:textId="77777777" w:rsidR="0097675E" w:rsidRPr="00E1769C" w:rsidRDefault="0097675E" w:rsidP="00E1769C">
            <w:pPr>
              <w:tabs>
                <w:tab w:val="decimal" w:pos="113"/>
              </w:tabs>
              <w:spacing w:line="240" w:lineRule="exact"/>
              <w:rPr>
                <w:sz w:val="22"/>
              </w:rPr>
            </w:pPr>
          </w:p>
        </w:tc>
        <w:tc>
          <w:tcPr>
            <w:tcW w:w="142" w:type="dxa"/>
            <w:tcBorders>
              <w:left w:val="nil"/>
              <w:bottom w:val="nil"/>
              <w:right w:val="nil"/>
            </w:tcBorders>
          </w:tcPr>
          <w:p w14:paraId="47B64BFE" w14:textId="77777777" w:rsidR="0097675E" w:rsidRPr="00E1769C" w:rsidRDefault="0097675E" w:rsidP="00E1769C">
            <w:pPr>
              <w:tabs>
                <w:tab w:val="decimal" w:pos="113"/>
              </w:tabs>
              <w:spacing w:line="240" w:lineRule="exact"/>
              <w:rPr>
                <w:sz w:val="22"/>
              </w:rPr>
            </w:pPr>
          </w:p>
        </w:tc>
        <w:tc>
          <w:tcPr>
            <w:tcW w:w="1133" w:type="dxa"/>
            <w:tcBorders>
              <w:left w:val="nil"/>
              <w:bottom w:val="double" w:sz="6" w:space="0" w:color="auto"/>
              <w:right w:val="nil"/>
            </w:tcBorders>
            <w:shd w:val="clear" w:color="auto" w:fill="auto"/>
          </w:tcPr>
          <w:p w14:paraId="378E18EE" w14:textId="77777777" w:rsidR="0097675E" w:rsidRPr="00E1769C" w:rsidRDefault="0097675E" w:rsidP="00E1769C">
            <w:pPr>
              <w:tabs>
                <w:tab w:val="decimal" w:pos="113"/>
              </w:tabs>
              <w:spacing w:line="240" w:lineRule="exact"/>
              <w:rPr>
                <w:sz w:val="22"/>
              </w:rPr>
            </w:pPr>
          </w:p>
        </w:tc>
      </w:tr>
      <w:tr w:rsidR="0097675E" w:rsidRPr="00E1769C" w14:paraId="3FEC5B86" w14:textId="77777777" w:rsidTr="00B23B2B">
        <w:tc>
          <w:tcPr>
            <w:tcW w:w="4677" w:type="dxa"/>
            <w:tcMar>
              <w:top w:w="0" w:type="dxa"/>
              <w:left w:w="0" w:type="dxa"/>
              <w:bottom w:w="0" w:type="dxa"/>
              <w:right w:w="0" w:type="dxa"/>
            </w:tcMar>
            <w:vAlign w:val="bottom"/>
          </w:tcPr>
          <w:p w14:paraId="1B06E543" w14:textId="77777777" w:rsidR="0097675E" w:rsidRPr="00E1769C" w:rsidRDefault="0097675E" w:rsidP="00E1769C">
            <w:pPr>
              <w:widowControl/>
              <w:tabs>
                <w:tab w:val="left" w:pos="227"/>
                <w:tab w:val="left" w:pos="397"/>
                <w:tab w:val="left" w:pos="567"/>
              </w:tabs>
              <w:spacing w:line="240" w:lineRule="exact"/>
              <w:jc w:val="left"/>
              <w:rPr>
                <w:sz w:val="22"/>
                <w:rtl/>
              </w:rPr>
            </w:pPr>
          </w:p>
        </w:tc>
        <w:tc>
          <w:tcPr>
            <w:tcW w:w="113" w:type="dxa"/>
            <w:vAlign w:val="bottom"/>
          </w:tcPr>
          <w:p w14:paraId="7296055E" w14:textId="77777777" w:rsidR="0097675E" w:rsidRPr="00E1769C" w:rsidRDefault="0097675E" w:rsidP="00E1769C">
            <w:pPr>
              <w:widowControl/>
              <w:spacing w:line="240" w:lineRule="exact"/>
              <w:rPr>
                <w:sz w:val="22"/>
              </w:rPr>
            </w:pPr>
          </w:p>
        </w:tc>
        <w:tc>
          <w:tcPr>
            <w:tcW w:w="1105" w:type="dxa"/>
            <w:tcBorders>
              <w:top w:val="double" w:sz="6" w:space="0" w:color="auto"/>
              <w:left w:val="nil"/>
              <w:right w:val="nil"/>
            </w:tcBorders>
            <w:vAlign w:val="bottom"/>
          </w:tcPr>
          <w:p w14:paraId="0058D2AD" w14:textId="77777777" w:rsidR="0097675E" w:rsidRPr="00E1769C" w:rsidRDefault="0097675E" w:rsidP="00E1769C">
            <w:pPr>
              <w:widowControl/>
              <w:tabs>
                <w:tab w:val="decimal" w:pos="113"/>
              </w:tabs>
              <w:spacing w:line="240" w:lineRule="exact"/>
              <w:rPr>
                <w:sz w:val="22"/>
              </w:rPr>
            </w:pPr>
          </w:p>
        </w:tc>
        <w:tc>
          <w:tcPr>
            <w:tcW w:w="142" w:type="dxa"/>
            <w:vAlign w:val="bottom"/>
          </w:tcPr>
          <w:p w14:paraId="6A96DD22" w14:textId="77777777" w:rsidR="0097675E" w:rsidRPr="00E1769C" w:rsidRDefault="0097675E" w:rsidP="00E1769C">
            <w:pPr>
              <w:widowControl/>
              <w:tabs>
                <w:tab w:val="decimal" w:pos="113"/>
              </w:tabs>
              <w:spacing w:line="240" w:lineRule="exact"/>
              <w:rPr>
                <w:sz w:val="22"/>
              </w:rPr>
            </w:pPr>
          </w:p>
        </w:tc>
        <w:tc>
          <w:tcPr>
            <w:tcW w:w="1105" w:type="dxa"/>
            <w:tcBorders>
              <w:top w:val="double" w:sz="6" w:space="0" w:color="auto"/>
              <w:left w:val="nil"/>
              <w:right w:val="nil"/>
            </w:tcBorders>
            <w:vAlign w:val="bottom"/>
          </w:tcPr>
          <w:p w14:paraId="38AE5A96" w14:textId="77777777" w:rsidR="0097675E" w:rsidRPr="00E1769C" w:rsidRDefault="0097675E" w:rsidP="00E1769C">
            <w:pPr>
              <w:widowControl/>
              <w:tabs>
                <w:tab w:val="decimal" w:pos="113"/>
              </w:tabs>
              <w:spacing w:line="240" w:lineRule="exact"/>
              <w:rPr>
                <w:sz w:val="22"/>
              </w:rPr>
            </w:pPr>
          </w:p>
        </w:tc>
        <w:tc>
          <w:tcPr>
            <w:tcW w:w="142" w:type="dxa"/>
            <w:tcBorders>
              <w:left w:val="nil"/>
              <w:bottom w:val="nil"/>
              <w:right w:val="nil"/>
            </w:tcBorders>
          </w:tcPr>
          <w:p w14:paraId="13D610AD" w14:textId="77777777" w:rsidR="0097675E" w:rsidRPr="00E1769C" w:rsidRDefault="0097675E" w:rsidP="00E1769C">
            <w:pPr>
              <w:widowControl/>
              <w:tabs>
                <w:tab w:val="decimal" w:pos="113"/>
              </w:tabs>
              <w:spacing w:line="240" w:lineRule="exact"/>
              <w:rPr>
                <w:sz w:val="22"/>
              </w:rPr>
            </w:pPr>
          </w:p>
        </w:tc>
        <w:tc>
          <w:tcPr>
            <w:tcW w:w="1133" w:type="dxa"/>
            <w:tcBorders>
              <w:top w:val="double" w:sz="6" w:space="0" w:color="auto"/>
              <w:left w:val="nil"/>
              <w:right w:val="nil"/>
            </w:tcBorders>
          </w:tcPr>
          <w:p w14:paraId="164A6AB5" w14:textId="77777777" w:rsidR="0097675E" w:rsidRPr="00E1769C" w:rsidRDefault="0097675E" w:rsidP="00E1769C">
            <w:pPr>
              <w:widowControl/>
              <w:tabs>
                <w:tab w:val="decimal" w:pos="113"/>
              </w:tabs>
              <w:spacing w:line="240" w:lineRule="exact"/>
              <w:rPr>
                <w:sz w:val="22"/>
              </w:rPr>
            </w:pPr>
          </w:p>
        </w:tc>
      </w:tr>
      <w:tr w:rsidR="0097675E" w:rsidRPr="00E1769C" w14:paraId="4E948D8C" w14:textId="77777777" w:rsidTr="00B23B2B">
        <w:tc>
          <w:tcPr>
            <w:tcW w:w="4677" w:type="dxa"/>
            <w:tcMar>
              <w:top w:w="0" w:type="dxa"/>
              <w:left w:w="0" w:type="dxa"/>
              <w:bottom w:w="0" w:type="dxa"/>
              <w:right w:w="0" w:type="dxa"/>
            </w:tcMar>
            <w:vAlign w:val="bottom"/>
          </w:tcPr>
          <w:p w14:paraId="697FFF3D" w14:textId="6FC5236D" w:rsidR="0097675E" w:rsidRPr="00E1769C" w:rsidRDefault="0097675E" w:rsidP="00565FB0">
            <w:pPr>
              <w:widowControl/>
              <w:tabs>
                <w:tab w:val="left" w:pos="227"/>
                <w:tab w:val="left" w:pos="397"/>
                <w:tab w:val="left" w:pos="567"/>
              </w:tabs>
              <w:spacing w:line="240" w:lineRule="exact"/>
              <w:ind w:left="227" w:hanging="170"/>
              <w:jc w:val="left"/>
              <w:rPr>
                <w:sz w:val="22"/>
                <w:rtl/>
              </w:rPr>
            </w:pPr>
            <w:r w:rsidRPr="00E1769C">
              <w:rPr>
                <w:rFonts w:hint="cs"/>
                <w:sz w:val="22"/>
                <w:rtl/>
              </w:rPr>
              <w:t xml:space="preserve">קרן בגין נכסים פיננסיים </w:t>
            </w:r>
            <w:r w:rsidR="00565FB0">
              <w:rPr>
                <w:rFonts w:hint="cs"/>
                <w:sz w:val="22"/>
                <w:rtl/>
              </w:rPr>
              <w:t>הנמדדים בשווי הוגן דרך רווח כולל אחר</w:t>
            </w:r>
          </w:p>
        </w:tc>
        <w:tc>
          <w:tcPr>
            <w:tcW w:w="113" w:type="dxa"/>
            <w:vAlign w:val="bottom"/>
          </w:tcPr>
          <w:p w14:paraId="6E6FC603" w14:textId="77777777" w:rsidR="0097675E" w:rsidRPr="00E1769C" w:rsidRDefault="0097675E" w:rsidP="00E1769C">
            <w:pPr>
              <w:spacing w:line="240" w:lineRule="exact"/>
              <w:rPr>
                <w:sz w:val="22"/>
              </w:rPr>
            </w:pPr>
          </w:p>
        </w:tc>
        <w:tc>
          <w:tcPr>
            <w:tcW w:w="1105" w:type="dxa"/>
            <w:tcBorders>
              <w:left w:val="nil"/>
              <w:bottom w:val="double" w:sz="6" w:space="0" w:color="auto"/>
              <w:right w:val="nil"/>
            </w:tcBorders>
            <w:shd w:val="clear" w:color="auto" w:fill="auto"/>
            <w:vAlign w:val="bottom"/>
          </w:tcPr>
          <w:p w14:paraId="510C4EC9" w14:textId="77777777" w:rsidR="0097675E" w:rsidRPr="00E1769C" w:rsidRDefault="0097675E" w:rsidP="00E1769C">
            <w:pPr>
              <w:tabs>
                <w:tab w:val="decimal" w:pos="113"/>
              </w:tabs>
              <w:spacing w:line="240" w:lineRule="exact"/>
              <w:rPr>
                <w:sz w:val="22"/>
              </w:rPr>
            </w:pPr>
          </w:p>
        </w:tc>
        <w:tc>
          <w:tcPr>
            <w:tcW w:w="142" w:type="dxa"/>
            <w:vAlign w:val="bottom"/>
          </w:tcPr>
          <w:p w14:paraId="60374BDC" w14:textId="77777777" w:rsidR="0097675E" w:rsidRPr="00E1769C" w:rsidRDefault="0097675E" w:rsidP="00E1769C">
            <w:pPr>
              <w:tabs>
                <w:tab w:val="decimal" w:pos="113"/>
              </w:tabs>
              <w:spacing w:line="240" w:lineRule="exact"/>
              <w:rPr>
                <w:sz w:val="22"/>
              </w:rPr>
            </w:pPr>
          </w:p>
        </w:tc>
        <w:tc>
          <w:tcPr>
            <w:tcW w:w="1105" w:type="dxa"/>
            <w:tcBorders>
              <w:left w:val="nil"/>
              <w:bottom w:val="double" w:sz="6" w:space="0" w:color="auto"/>
              <w:right w:val="nil"/>
            </w:tcBorders>
            <w:shd w:val="clear" w:color="auto" w:fill="auto"/>
            <w:vAlign w:val="bottom"/>
          </w:tcPr>
          <w:p w14:paraId="446624C4" w14:textId="77777777" w:rsidR="0097675E" w:rsidRPr="00E1769C" w:rsidRDefault="0097675E" w:rsidP="00E1769C">
            <w:pPr>
              <w:tabs>
                <w:tab w:val="decimal" w:pos="113"/>
              </w:tabs>
              <w:spacing w:line="240" w:lineRule="exact"/>
              <w:rPr>
                <w:sz w:val="22"/>
              </w:rPr>
            </w:pPr>
          </w:p>
        </w:tc>
        <w:tc>
          <w:tcPr>
            <w:tcW w:w="142" w:type="dxa"/>
            <w:tcBorders>
              <w:left w:val="nil"/>
              <w:bottom w:val="nil"/>
              <w:right w:val="nil"/>
            </w:tcBorders>
          </w:tcPr>
          <w:p w14:paraId="1D9D57FC" w14:textId="77777777" w:rsidR="0097675E" w:rsidRPr="00E1769C" w:rsidRDefault="0097675E" w:rsidP="00E1769C">
            <w:pPr>
              <w:tabs>
                <w:tab w:val="decimal" w:pos="113"/>
              </w:tabs>
              <w:spacing w:line="240" w:lineRule="exact"/>
              <w:rPr>
                <w:sz w:val="22"/>
              </w:rPr>
            </w:pPr>
          </w:p>
        </w:tc>
        <w:tc>
          <w:tcPr>
            <w:tcW w:w="1133" w:type="dxa"/>
            <w:tcBorders>
              <w:left w:val="nil"/>
              <w:bottom w:val="double" w:sz="6" w:space="0" w:color="auto"/>
              <w:right w:val="nil"/>
            </w:tcBorders>
            <w:shd w:val="clear" w:color="auto" w:fill="auto"/>
          </w:tcPr>
          <w:p w14:paraId="38451DCA" w14:textId="77777777" w:rsidR="0097675E" w:rsidRPr="00E1769C" w:rsidRDefault="0097675E" w:rsidP="00E1769C">
            <w:pPr>
              <w:tabs>
                <w:tab w:val="decimal" w:pos="113"/>
              </w:tabs>
              <w:spacing w:line="240" w:lineRule="exact"/>
              <w:rPr>
                <w:sz w:val="22"/>
              </w:rPr>
            </w:pPr>
          </w:p>
        </w:tc>
      </w:tr>
      <w:tr w:rsidR="0097675E" w:rsidRPr="00E1769C" w14:paraId="491A183F" w14:textId="77777777" w:rsidTr="00B23B2B">
        <w:tc>
          <w:tcPr>
            <w:tcW w:w="4677" w:type="dxa"/>
            <w:tcMar>
              <w:top w:w="0" w:type="dxa"/>
              <w:left w:w="0" w:type="dxa"/>
              <w:bottom w:w="0" w:type="dxa"/>
              <w:right w:w="0" w:type="dxa"/>
            </w:tcMar>
            <w:vAlign w:val="bottom"/>
          </w:tcPr>
          <w:p w14:paraId="3407126C" w14:textId="77777777" w:rsidR="0097675E" w:rsidRPr="00E1769C" w:rsidRDefault="0097675E" w:rsidP="00E1769C">
            <w:pPr>
              <w:widowControl/>
              <w:tabs>
                <w:tab w:val="left" w:pos="227"/>
                <w:tab w:val="left" w:pos="397"/>
                <w:tab w:val="left" w:pos="567"/>
              </w:tabs>
              <w:spacing w:line="240" w:lineRule="exact"/>
              <w:jc w:val="left"/>
              <w:rPr>
                <w:sz w:val="22"/>
                <w:rtl/>
              </w:rPr>
            </w:pPr>
          </w:p>
        </w:tc>
        <w:tc>
          <w:tcPr>
            <w:tcW w:w="113" w:type="dxa"/>
            <w:vAlign w:val="bottom"/>
          </w:tcPr>
          <w:p w14:paraId="0E5A758E" w14:textId="77777777" w:rsidR="0097675E" w:rsidRPr="00E1769C" w:rsidRDefault="0097675E" w:rsidP="00E1769C">
            <w:pPr>
              <w:widowControl/>
              <w:spacing w:line="240" w:lineRule="exact"/>
              <w:rPr>
                <w:sz w:val="22"/>
              </w:rPr>
            </w:pPr>
          </w:p>
        </w:tc>
        <w:tc>
          <w:tcPr>
            <w:tcW w:w="1105" w:type="dxa"/>
            <w:tcBorders>
              <w:top w:val="double" w:sz="6" w:space="0" w:color="auto"/>
              <w:left w:val="nil"/>
              <w:right w:val="nil"/>
            </w:tcBorders>
            <w:vAlign w:val="bottom"/>
          </w:tcPr>
          <w:p w14:paraId="3F5C8487" w14:textId="77777777" w:rsidR="0097675E" w:rsidRPr="00E1769C" w:rsidRDefault="0097675E" w:rsidP="00E1769C">
            <w:pPr>
              <w:widowControl/>
              <w:tabs>
                <w:tab w:val="decimal" w:pos="113"/>
              </w:tabs>
              <w:spacing w:line="240" w:lineRule="exact"/>
              <w:rPr>
                <w:sz w:val="22"/>
              </w:rPr>
            </w:pPr>
          </w:p>
        </w:tc>
        <w:tc>
          <w:tcPr>
            <w:tcW w:w="142" w:type="dxa"/>
            <w:vAlign w:val="bottom"/>
          </w:tcPr>
          <w:p w14:paraId="5B5514DF" w14:textId="77777777" w:rsidR="0097675E" w:rsidRPr="00E1769C" w:rsidRDefault="0097675E" w:rsidP="00E1769C">
            <w:pPr>
              <w:widowControl/>
              <w:tabs>
                <w:tab w:val="decimal" w:pos="113"/>
              </w:tabs>
              <w:spacing w:line="240" w:lineRule="exact"/>
              <w:rPr>
                <w:sz w:val="22"/>
              </w:rPr>
            </w:pPr>
          </w:p>
        </w:tc>
        <w:tc>
          <w:tcPr>
            <w:tcW w:w="1105" w:type="dxa"/>
            <w:tcBorders>
              <w:top w:val="double" w:sz="6" w:space="0" w:color="auto"/>
              <w:left w:val="nil"/>
              <w:right w:val="nil"/>
            </w:tcBorders>
            <w:vAlign w:val="bottom"/>
          </w:tcPr>
          <w:p w14:paraId="6A0E8314" w14:textId="77777777" w:rsidR="0097675E" w:rsidRPr="00E1769C" w:rsidRDefault="0097675E" w:rsidP="00E1769C">
            <w:pPr>
              <w:widowControl/>
              <w:tabs>
                <w:tab w:val="decimal" w:pos="113"/>
              </w:tabs>
              <w:spacing w:line="240" w:lineRule="exact"/>
              <w:rPr>
                <w:sz w:val="22"/>
              </w:rPr>
            </w:pPr>
          </w:p>
        </w:tc>
        <w:tc>
          <w:tcPr>
            <w:tcW w:w="142" w:type="dxa"/>
            <w:tcBorders>
              <w:left w:val="nil"/>
              <w:bottom w:val="nil"/>
              <w:right w:val="nil"/>
            </w:tcBorders>
          </w:tcPr>
          <w:p w14:paraId="49C78ED3" w14:textId="77777777" w:rsidR="0097675E" w:rsidRPr="00E1769C" w:rsidRDefault="0097675E" w:rsidP="00E1769C">
            <w:pPr>
              <w:widowControl/>
              <w:tabs>
                <w:tab w:val="decimal" w:pos="113"/>
              </w:tabs>
              <w:spacing w:line="240" w:lineRule="exact"/>
              <w:rPr>
                <w:sz w:val="22"/>
              </w:rPr>
            </w:pPr>
          </w:p>
        </w:tc>
        <w:tc>
          <w:tcPr>
            <w:tcW w:w="1133" w:type="dxa"/>
            <w:tcBorders>
              <w:top w:val="double" w:sz="6" w:space="0" w:color="auto"/>
              <w:left w:val="nil"/>
              <w:right w:val="nil"/>
            </w:tcBorders>
          </w:tcPr>
          <w:p w14:paraId="07BF1876" w14:textId="77777777" w:rsidR="0097675E" w:rsidRPr="00E1769C" w:rsidRDefault="0097675E" w:rsidP="00E1769C">
            <w:pPr>
              <w:widowControl/>
              <w:tabs>
                <w:tab w:val="decimal" w:pos="113"/>
              </w:tabs>
              <w:spacing w:line="240" w:lineRule="exact"/>
              <w:rPr>
                <w:sz w:val="22"/>
              </w:rPr>
            </w:pPr>
          </w:p>
        </w:tc>
      </w:tr>
      <w:tr w:rsidR="0097675E" w:rsidRPr="00E1769C" w14:paraId="141E736F" w14:textId="77777777" w:rsidTr="00B23B2B">
        <w:tc>
          <w:tcPr>
            <w:tcW w:w="4677" w:type="dxa"/>
            <w:tcMar>
              <w:top w:w="0" w:type="dxa"/>
              <w:left w:w="0" w:type="dxa"/>
              <w:bottom w:w="0" w:type="dxa"/>
              <w:right w:w="0" w:type="dxa"/>
            </w:tcMar>
            <w:vAlign w:val="bottom"/>
          </w:tcPr>
          <w:p w14:paraId="0920F744" w14:textId="77777777" w:rsidR="0097675E" w:rsidRPr="00E1769C" w:rsidRDefault="0097675E" w:rsidP="00E1769C">
            <w:pPr>
              <w:widowControl/>
              <w:tabs>
                <w:tab w:val="left" w:pos="227"/>
                <w:tab w:val="left" w:pos="397"/>
                <w:tab w:val="left" w:pos="567"/>
              </w:tabs>
              <w:spacing w:line="240" w:lineRule="exact"/>
              <w:ind w:left="227" w:hanging="170"/>
              <w:jc w:val="left"/>
              <w:rPr>
                <w:sz w:val="22"/>
                <w:rtl/>
              </w:rPr>
            </w:pPr>
            <w:r w:rsidRPr="00E1769C">
              <w:rPr>
                <w:rFonts w:hint="cs"/>
                <w:sz w:val="22"/>
                <w:rtl/>
              </w:rPr>
              <w:t>קרן בגין עסקאות גידור תזרימי מזומנים</w:t>
            </w:r>
          </w:p>
        </w:tc>
        <w:tc>
          <w:tcPr>
            <w:tcW w:w="113" w:type="dxa"/>
            <w:vAlign w:val="bottom"/>
          </w:tcPr>
          <w:p w14:paraId="50BA9F07" w14:textId="77777777" w:rsidR="0097675E" w:rsidRPr="00E1769C" w:rsidRDefault="0097675E" w:rsidP="00E1769C">
            <w:pPr>
              <w:spacing w:line="240" w:lineRule="exact"/>
              <w:rPr>
                <w:sz w:val="22"/>
              </w:rPr>
            </w:pPr>
          </w:p>
        </w:tc>
        <w:tc>
          <w:tcPr>
            <w:tcW w:w="1105" w:type="dxa"/>
            <w:tcBorders>
              <w:left w:val="nil"/>
              <w:bottom w:val="double" w:sz="6" w:space="0" w:color="auto"/>
              <w:right w:val="nil"/>
            </w:tcBorders>
            <w:shd w:val="clear" w:color="auto" w:fill="auto"/>
            <w:vAlign w:val="bottom"/>
          </w:tcPr>
          <w:p w14:paraId="2273B9A5" w14:textId="77777777" w:rsidR="0097675E" w:rsidRPr="00E1769C" w:rsidRDefault="0097675E" w:rsidP="00E1769C">
            <w:pPr>
              <w:tabs>
                <w:tab w:val="decimal" w:pos="113"/>
              </w:tabs>
              <w:spacing w:line="240" w:lineRule="exact"/>
              <w:rPr>
                <w:sz w:val="22"/>
              </w:rPr>
            </w:pPr>
          </w:p>
        </w:tc>
        <w:tc>
          <w:tcPr>
            <w:tcW w:w="142" w:type="dxa"/>
            <w:vAlign w:val="bottom"/>
          </w:tcPr>
          <w:p w14:paraId="4CA5AA36" w14:textId="77777777" w:rsidR="0097675E" w:rsidRPr="00E1769C" w:rsidRDefault="0097675E" w:rsidP="00E1769C">
            <w:pPr>
              <w:tabs>
                <w:tab w:val="decimal" w:pos="113"/>
              </w:tabs>
              <w:spacing w:line="240" w:lineRule="exact"/>
              <w:rPr>
                <w:sz w:val="22"/>
              </w:rPr>
            </w:pPr>
          </w:p>
        </w:tc>
        <w:tc>
          <w:tcPr>
            <w:tcW w:w="1105" w:type="dxa"/>
            <w:tcBorders>
              <w:left w:val="nil"/>
              <w:bottom w:val="double" w:sz="6" w:space="0" w:color="auto"/>
              <w:right w:val="nil"/>
            </w:tcBorders>
            <w:shd w:val="clear" w:color="auto" w:fill="auto"/>
            <w:vAlign w:val="bottom"/>
          </w:tcPr>
          <w:p w14:paraId="0A7FA719" w14:textId="77777777" w:rsidR="0097675E" w:rsidRPr="00E1769C" w:rsidRDefault="0097675E" w:rsidP="00E1769C">
            <w:pPr>
              <w:tabs>
                <w:tab w:val="decimal" w:pos="113"/>
              </w:tabs>
              <w:spacing w:line="240" w:lineRule="exact"/>
              <w:rPr>
                <w:sz w:val="22"/>
              </w:rPr>
            </w:pPr>
          </w:p>
        </w:tc>
        <w:tc>
          <w:tcPr>
            <w:tcW w:w="142" w:type="dxa"/>
            <w:tcBorders>
              <w:left w:val="nil"/>
              <w:bottom w:val="nil"/>
              <w:right w:val="nil"/>
            </w:tcBorders>
          </w:tcPr>
          <w:p w14:paraId="5E3A1683" w14:textId="77777777" w:rsidR="0097675E" w:rsidRPr="00E1769C" w:rsidRDefault="0097675E" w:rsidP="00E1769C">
            <w:pPr>
              <w:tabs>
                <w:tab w:val="decimal" w:pos="113"/>
              </w:tabs>
              <w:spacing w:line="240" w:lineRule="exact"/>
              <w:rPr>
                <w:sz w:val="22"/>
              </w:rPr>
            </w:pPr>
          </w:p>
        </w:tc>
        <w:tc>
          <w:tcPr>
            <w:tcW w:w="1133" w:type="dxa"/>
            <w:tcBorders>
              <w:left w:val="nil"/>
              <w:bottom w:val="double" w:sz="6" w:space="0" w:color="auto"/>
              <w:right w:val="nil"/>
            </w:tcBorders>
            <w:shd w:val="clear" w:color="auto" w:fill="auto"/>
          </w:tcPr>
          <w:p w14:paraId="757E94C6" w14:textId="77777777" w:rsidR="0097675E" w:rsidRPr="00E1769C" w:rsidRDefault="0097675E" w:rsidP="00E1769C">
            <w:pPr>
              <w:tabs>
                <w:tab w:val="decimal" w:pos="113"/>
              </w:tabs>
              <w:spacing w:line="240" w:lineRule="exact"/>
              <w:rPr>
                <w:sz w:val="22"/>
              </w:rPr>
            </w:pPr>
          </w:p>
        </w:tc>
      </w:tr>
    </w:tbl>
    <w:p w14:paraId="6F3F1468" w14:textId="77777777" w:rsidR="00272795" w:rsidRDefault="00272795">
      <w:pPr>
        <w:pStyle w:val="11"/>
        <w:rPr>
          <w:rtl/>
        </w:rPr>
      </w:pPr>
    </w:p>
    <w:p w14:paraId="61FEC4A1" w14:textId="77777777" w:rsidR="00EC7DE1" w:rsidRDefault="00C22BA0">
      <w:pPr>
        <w:pStyle w:val="11"/>
        <w:rPr>
          <w:rtl/>
        </w:rPr>
      </w:pPr>
      <w:r>
        <w:rPr>
          <w:rtl/>
        </w:rPr>
        <w:br w:type="page"/>
      </w:r>
    </w:p>
    <w:p w14:paraId="05CA2F3B" w14:textId="77777777" w:rsidR="00C22BA0" w:rsidRDefault="00C22BA0">
      <w:pPr>
        <w:pStyle w:val="11"/>
        <w:rPr>
          <w:rtl/>
        </w:rPr>
      </w:pPr>
    </w:p>
    <w:p w14:paraId="38829CA3" w14:textId="77777777" w:rsidR="00415E11" w:rsidRDefault="00415E11">
      <w:pPr>
        <w:pStyle w:val="11"/>
        <w:rPr>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3048"/>
        <w:gridCol w:w="1418"/>
      </w:tblGrid>
      <w:tr w:rsidR="00EC7DE1" w:rsidRPr="008A7508" w14:paraId="6971ABA5" w14:textId="77777777" w:rsidTr="00615F4B">
        <w:tc>
          <w:tcPr>
            <w:tcW w:w="1044" w:type="dxa"/>
            <w:tcMar>
              <w:left w:w="0" w:type="dxa"/>
              <w:right w:w="0" w:type="dxa"/>
            </w:tcMar>
          </w:tcPr>
          <w:p w14:paraId="05BFE785" w14:textId="77777777" w:rsidR="003D46A8" w:rsidRDefault="00EC7DE1">
            <w:pPr>
              <w:pStyle w:val="11"/>
              <w:tabs>
                <w:tab w:val="clear" w:pos="1134"/>
              </w:tabs>
              <w:ind w:left="0" w:firstLine="0"/>
              <w:rPr>
                <w:sz w:val="24"/>
                <w:rtl/>
              </w:rPr>
            </w:pPr>
            <w:r w:rsidRPr="008A7508">
              <w:rPr>
                <w:sz w:val="24"/>
                <w:rtl/>
              </w:rPr>
              <w:t xml:space="preserve">באור </w:t>
            </w:r>
            <w:r w:rsidR="00DB3160">
              <w:rPr>
                <w:rFonts w:hint="cs"/>
                <w:sz w:val="24"/>
                <w:rtl/>
              </w:rPr>
              <w:t>11</w:t>
            </w:r>
            <w:r w:rsidRPr="008A7508">
              <w:rPr>
                <w:sz w:val="24"/>
                <w:rtl/>
              </w:rPr>
              <w:t>: -</w:t>
            </w:r>
          </w:p>
        </w:tc>
        <w:tc>
          <w:tcPr>
            <w:tcW w:w="3048" w:type="dxa"/>
          </w:tcPr>
          <w:p w14:paraId="2E2185AD" w14:textId="77777777" w:rsidR="00EC7DE1" w:rsidRPr="008A7508" w:rsidRDefault="00EC7DE1" w:rsidP="00744C06">
            <w:pPr>
              <w:pStyle w:val="11"/>
              <w:tabs>
                <w:tab w:val="clear" w:pos="1134"/>
              </w:tabs>
              <w:ind w:left="4" w:firstLine="0"/>
              <w:rPr>
                <w:sz w:val="24"/>
                <w:rtl/>
              </w:rPr>
            </w:pPr>
            <w:r>
              <w:rPr>
                <w:rFonts w:hint="cs"/>
                <w:u w:val="single"/>
                <w:rtl/>
              </w:rPr>
              <w:t>עסקאות תשלום מבוסס מניות</w:t>
            </w:r>
          </w:p>
        </w:tc>
        <w:tc>
          <w:tcPr>
            <w:tcW w:w="1418" w:type="dxa"/>
            <w:tcBorders>
              <w:bottom w:val="single" w:sz="4" w:space="0" w:color="auto"/>
              <w:right w:val="single" w:sz="4" w:space="0" w:color="auto"/>
            </w:tcBorders>
            <w:vAlign w:val="center"/>
          </w:tcPr>
          <w:p w14:paraId="571205B4" w14:textId="77777777" w:rsidR="00EC7DE1" w:rsidRPr="008A7508" w:rsidRDefault="00EC7DE1" w:rsidP="00744C06">
            <w:pPr>
              <w:pStyle w:val="11"/>
              <w:tabs>
                <w:tab w:val="clear" w:pos="1134"/>
              </w:tabs>
              <w:bidi w:val="0"/>
              <w:ind w:left="4" w:firstLine="0"/>
              <w:jc w:val="right"/>
              <w:rPr>
                <w:i/>
                <w:iCs/>
                <w:sz w:val="13"/>
                <w:szCs w:val="13"/>
              </w:rPr>
            </w:pPr>
            <w:r>
              <w:rPr>
                <w:i/>
                <w:iCs/>
                <w:sz w:val="13"/>
                <w:szCs w:val="13"/>
              </w:rPr>
              <w:t>IAS 34.16A(c)</w:t>
            </w:r>
          </w:p>
        </w:tc>
      </w:tr>
    </w:tbl>
    <w:p w14:paraId="48D2D04D" w14:textId="77777777" w:rsidR="00AB7D68" w:rsidRDefault="00AB7D68">
      <w:pPr>
        <w:pStyle w:val="11"/>
        <w:rPr>
          <w:u w:val="single"/>
          <w:rtl/>
        </w:rPr>
      </w:pPr>
    </w:p>
    <w:p w14:paraId="5A8E015F" w14:textId="69454161" w:rsidR="008D22FA" w:rsidRDefault="00AB7D68" w:rsidP="00C36818">
      <w:pPr>
        <w:pStyle w:val="21"/>
        <w:ind w:left="1134" w:firstLine="0"/>
        <w:rPr>
          <w:rtl/>
        </w:rPr>
      </w:pPr>
      <w:r>
        <w:rPr>
          <w:rFonts w:hint="cs"/>
          <w:rtl/>
        </w:rPr>
        <w:t xml:space="preserve">בחודש מרס </w:t>
      </w:r>
      <w:r w:rsidR="004A4A6B">
        <w:rPr>
          <w:rFonts w:hint="cs"/>
          <w:rtl/>
        </w:rPr>
        <w:t>201</w:t>
      </w:r>
      <w:r w:rsidR="00C36818">
        <w:rPr>
          <w:rFonts w:hint="cs"/>
          <w:rtl/>
        </w:rPr>
        <w:t>9</w:t>
      </w:r>
      <w:r w:rsidR="006C3028">
        <w:rPr>
          <w:rFonts w:hint="cs"/>
          <w:rtl/>
        </w:rPr>
        <w:t xml:space="preserve"> </w:t>
      </w:r>
      <w:r>
        <w:rPr>
          <w:rFonts w:hint="cs"/>
          <w:rtl/>
        </w:rPr>
        <w:t xml:space="preserve">הוענקו למנכ"ל החברה ___ אופציות בלתי סחירות הניתנות למימוש לעד ____ מניות רגילות בנות 1 ש"ח ע.נ. כ"א. מחיר המימוש של האופציות הינו____, המהווה </w:t>
      </w:r>
      <w:r w:rsidR="00A32F4B">
        <w:rPr>
          <w:rFonts w:hint="cs"/>
          <w:rtl/>
        </w:rPr>
        <w:t>את ה</w:t>
      </w:r>
      <w:r>
        <w:rPr>
          <w:rFonts w:hint="cs"/>
          <w:rtl/>
        </w:rPr>
        <w:t xml:space="preserve">שווי </w:t>
      </w:r>
      <w:r w:rsidR="00A32F4B">
        <w:rPr>
          <w:rFonts w:hint="cs"/>
          <w:rtl/>
        </w:rPr>
        <w:t>ההוגן</w:t>
      </w:r>
      <w:r>
        <w:rPr>
          <w:rFonts w:hint="cs"/>
          <w:rtl/>
        </w:rPr>
        <w:t xml:space="preserve"> של המניות ביום הענקת האופציות.</w:t>
      </w:r>
    </w:p>
    <w:p w14:paraId="14D78CD4" w14:textId="77777777" w:rsidR="00264F64" w:rsidRDefault="00AB7D68" w:rsidP="00D33F7C">
      <w:pPr>
        <w:pStyle w:val="21"/>
        <w:ind w:left="1134" w:firstLine="0"/>
        <w:rPr>
          <w:rtl/>
        </w:rPr>
      </w:pPr>
      <w:r>
        <w:rPr>
          <w:rFonts w:hint="cs"/>
          <w:rtl/>
        </w:rPr>
        <w:t>האופציות יבשילו אם יהיה גידול של %___ לפחות בגובה הרווח למניה של החברה בתקופה של ___ שנים, ממועד הענקת האופציות. אם לא יתקיי</w:t>
      </w:r>
      <w:r w:rsidR="00D33F7C">
        <w:rPr>
          <w:rFonts w:hint="cs"/>
          <w:rtl/>
        </w:rPr>
        <w:t>מו</w:t>
      </w:r>
      <w:r>
        <w:rPr>
          <w:rFonts w:hint="cs"/>
          <w:rtl/>
        </w:rPr>
        <w:t xml:space="preserve"> תנאי ההבשלה יחולטו האופציות.</w:t>
      </w:r>
    </w:p>
    <w:p w14:paraId="2C426966" w14:textId="77777777" w:rsidR="00264F64" w:rsidRDefault="00AB7D68">
      <w:pPr>
        <w:pStyle w:val="21"/>
        <w:ind w:left="1134" w:firstLine="0"/>
        <w:rPr>
          <w:rtl/>
        </w:rPr>
      </w:pPr>
      <w:r>
        <w:rPr>
          <w:rFonts w:hint="cs"/>
          <w:rtl/>
        </w:rPr>
        <w:t>משך החיים החוזי של האופציות, במידה והבשילו, הינו ___ שנים ממועד ההענקה.</w:t>
      </w:r>
    </w:p>
    <w:p w14:paraId="0AD2335E" w14:textId="77777777" w:rsidR="00AB7D68" w:rsidRDefault="00AB7D68">
      <w:pPr>
        <w:pStyle w:val="11"/>
        <w:rPr>
          <w:u w:val="single"/>
          <w:rtl/>
        </w:rPr>
      </w:pPr>
    </w:p>
    <w:p w14:paraId="3D09514D" w14:textId="77777777" w:rsidR="00264F64" w:rsidRDefault="00AB7D68">
      <w:pPr>
        <w:pStyle w:val="21"/>
        <w:ind w:left="1134" w:firstLine="0"/>
        <w:rPr>
          <w:rtl/>
        </w:rPr>
      </w:pPr>
      <w:r>
        <w:rPr>
          <w:rFonts w:hint="cs"/>
          <w:rtl/>
        </w:rPr>
        <w:t>להלן הנתונים אשר שימשו במדידת השווי ההוגן של האופציות</w:t>
      </w:r>
      <w:r w:rsidR="0024278B">
        <w:rPr>
          <w:rFonts w:hint="cs"/>
          <w:rtl/>
        </w:rPr>
        <w:t xml:space="preserve"> </w:t>
      </w:r>
      <w:r w:rsidR="000C4C0E" w:rsidRPr="000C4C0E">
        <w:rPr>
          <w:rFonts w:hint="eastAsia"/>
          <w:rtl/>
        </w:rPr>
        <w:t>במועד</w:t>
      </w:r>
      <w:r w:rsidR="000C4C0E" w:rsidRPr="000C4C0E">
        <w:rPr>
          <w:rtl/>
        </w:rPr>
        <w:t xml:space="preserve"> </w:t>
      </w:r>
      <w:r w:rsidR="000C4C0E" w:rsidRPr="000C4C0E">
        <w:rPr>
          <w:rFonts w:hint="eastAsia"/>
          <w:rtl/>
        </w:rPr>
        <w:t>ההענקה</w:t>
      </w:r>
      <w:r w:rsidR="000C4C0E" w:rsidRPr="000C4C0E">
        <w:rPr>
          <w:rtl/>
        </w:rPr>
        <w:t xml:space="preserve"> בה</w:t>
      </w:r>
      <w:r>
        <w:rPr>
          <w:rFonts w:hint="cs"/>
          <w:rtl/>
        </w:rPr>
        <w:t>תאם למודל הבינומי לתמחור אופציות לגבי התוכנית הנ"ל:</w:t>
      </w:r>
    </w:p>
    <w:p w14:paraId="2980BAA2" w14:textId="77777777" w:rsidR="00AB7D68" w:rsidRDefault="00AB7D68" w:rsidP="00272795">
      <w:pPr>
        <w:rPr>
          <w:rtl/>
        </w:rPr>
      </w:pPr>
    </w:p>
    <w:tbl>
      <w:tblPr>
        <w:bidiVisual/>
        <w:tblW w:w="0" w:type="auto"/>
        <w:tblInd w:w="1005" w:type="dxa"/>
        <w:tblLayout w:type="fixed"/>
        <w:tblCellMar>
          <w:left w:w="0" w:type="dxa"/>
          <w:right w:w="0" w:type="dxa"/>
        </w:tblCellMar>
        <w:tblLook w:val="01E0" w:firstRow="1" w:lastRow="1" w:firstColumn="1" w:lastColumn="1" w:noHBand="0" w:noVBand="0"/>
      </w:tblPr>
      <w:tblGrid>
        <w:gridCol w:w="5515"/>
        <w:gridCol w:w="113"/>
        <w:gridCol w:w="976"/>
        <w:gridCol w:w="226"/>
        <w:gridCol w:w="1133"/>
      </w:tblGrid>
      <w:tr w:rsidR="00AB7D68" w14:paraId="4F223ED7" w14:textId="77777777" w:rsidTr="00763B2F">
        <w:tc>
          <w:tcPr>
            <w:tcW w:w="5515" w:type="dxa"/>
          </w:tcPr>
          <w:p w14:paraId="4A84B384" w14:textId="77777777" w:rsidR="00AB7D68" w:rsidRDefault="00AB7D68">
            <w:pPr>
              <w:pStyle w:val="21"/>
              <w:tabs>
                <w:tab w:val="left" w:pos="1474"/>
              </w:tabs>
              <w:spacing w:line="240" w:lineRule="exact"/>
              <w:ind w:left="113" w:firstLine="0"/>
              <w:jc w:val="left"/>
            </w:pPr>
            <w:r>
              <w:rPr>
                <w:rFonts w:hint="cs"/>
                <w:rtl/>
              </w:rPr>
              <w:t>תשואת הדיבידנד בגין המניה (%)</w:t>
            </w:r>
          </w:p>
        </w:tc>
        <w:tc>
          <w:tcPr>
            <w:tcW w:w="113" w:type="dxa"/>
            <w:vAlign w:val="bottom"/>
          </w:tcPr>
          <w:p w14:paraId="5FE7A08C" w14:textId="77777777" w:rsidR="00AB7D68" w:rsidRDefault="00AB7D68">
            <w:pPr>
              <w:pStyle w:val="21"/>
              <w:tabs>
                <w:tab w:val="left" w:pos="1474"/>
              </w:tabs>
              <w:spacing w:line="240" w:lineRule="exact"/>
              <w:ind w:left="0" w:firstLine="0"/>
              <w:jc w:val="left"/>
            </w:pPr>
          </w:p>
        </w:tc>
        <w:tc>
          <w:tcPr>
            <w:tcW w:w="976" w:type="dxa"/>
            <w:vAlign w:val="bottom"/>
          </w:tcPr>
          <w:p w14:paraId="540713A5" w14:textId="77777777" w:rsidR="00AB7D68" w:rsidRDefault="00AB7D68">
            <w:pPr>
              <w:pStyle w:val="21"/>
              <w:tabs>
                <w:tab w:val="left" w:pos="1474"/>
              </w:tabs>
              <w:spacing w:line="240" w:lineRule="exact"/>
              <w:ind w:left="0" w:firstLine="0"/>
              <w:jc w:val="center"/>
            </w:pPr>
          </w:p>
        </w:tc>
        <w:tc>
          <w:tcPr>
            <w:tcW w:w="226" w:type="dxa"/>
          </w:tcPr>
          <w:p w14:paraId="2E89734A" w14:textId="77777777" w:rsidR="00AB7D68" w:rsidRDefault="00AB7D68">
            <w:pPr>
              <w:pStyle w:val="21"/>
              <w:tabs>
                <w:tab w:val="left" w:pos="1474"/>
              </w:tabs>
              <w:spacing w:line="240" w:lineRule="exact"/>
              <w:ind w:left="0" w:firstLine="0"/>
              <w:jc w:val="center"/>
            </w:pPr>
          </w:p>
        </w:tc>
        <w:tc>
          <w:tcPr>
            <w:tcW w:w="1133" w:type="dxa"/>
            <w:vAlign w:val="bottom"/>
          </w:tcPr>
          <w:p w14:paraId="6A18A942" w14:textId="77777777" w:rsidR="00AB7D68" w:rsidRDefault="00AB7D68">
            <w:pPr>
              <w:pStyle w:val="21"/>
              <w:tabs>
                <w:tab w:val="left" w:pos="1474"/>
              </w:tabs>
              <w:spacing w:line="240" w:lineRule="exact"/>
              <w:ind w:left="0" w:firstLine="0"/>
              <w:jc w:val="center"/>
            </w:pPr>
          </w:p>
        </w:tc>
      </w:tr>
      <w:tr w:rsidR="00AB7D68" w14:paraId="18A448A1" w14:textId="77777777" w:rsidTr="00763B2F">
        <w:tc>
          <w:tcPr>
            <w:tcW w:w="5515" w:type="dxa"/>
          </w:tcPr>
          <w:p w14:paraId="6FD18D3A" w14:textId="77777777" w:rsidR="00AB7D68" w:rsidRDefault="00AB7D68">
            <w:pPr>
              <w:pStyle w:val="21"/>
              <w:tabs>
                <w:tab w:val="left" w:pos="1474"/>
              </w:tabs>
              <w:spacing w:line="240" w:lineRule="exact"/>
              <w:ind w:left="113" w:firstLine="0"/>
              <w:jc w:val="left"/>
            </w:pPr>
            <w:r>
              <w:rPr>
                <w:rFonts w:hint="cs"/>
                <w:rtl/>
              </w:rPr>
              <w:t>תנודתיות צפויה במחירי המניה (%)</w:t>
            </w:r>
          </w:p>
        </w:tc>
        <w:tc>
          <w:tcPr>
            <w:tcW w:w="113" w:type="dxa"/>
            <w:vAlign w:val="bottom"/>
          </w:tcPr>
          <w:p w14:paraId="5523E314" w14:textId="77777777" w:rsidR="00AB7D68" w:rsidRDefault="00AB7D68">
            <w:pPr>
              <w:pStyle w:val="21"/>
              <w:tabs>
                <w:tab w:val="left" w:pos="1474"/>
              </w:tabs>
              <w:spacing w:line="240" w:lineRule="exact"/>
              <w:ind w:left="0" w:firstLine="0"/>
              <w:jc w:val="left"/>
            </w:pPr>
          </w:p>
        </w:tc>
        <w:tc>
          <w:tcPr>
            <w:tcW w:w="976" w:type="dxa"/>
            <w:vAlign w:val="bottom"/>
          </w:tcPr>
          <w:p w14:paraId="5CCB5D97" w14:textId="77777777" w:rsidR="00AB7D68" w:rsidRDefault="00AB7D68">
            <w:pPr>
              <w:pStyle w:val="21"/>
              <w:tabs>
                <w:tab w:val="left" w:pos="1474"/>
              </w:tabs>
              <w:spacing w:line="240" w:lineRule="exact"/>
              <w:ind w:left="0" w:firstLine="0"/>
              <w:jc w:val="center"/>
            </w:pPr>
          </w:p>
        </w:tc>
        <w:tc>
          <w:tcPr>
            <w:tcW w:w="226" w:type="dxa"/>
          </w:tcPr>
          <w:p w14:paraId="00D25635" w14:textId="77777777" w:rsidR="00AB7D68" w:rsidRDefault="00AB7D68">
            <w:pPr>
              <w:pStyle w:val="21"/>
              <w:tabs>
                <w:tab w:val="left" w:pos="1474"/>
              </w:tabs>
              <w:spacing w:line="240" w:lineRule="exact"/>
              <w:ind w:left="0" w:firstLine="0"/>
              <w:jc w:val="center"/>
            </w:pPr>
          </w:p>
        </w:tc>
        <w:tc>
          <w:tcPr>
            <w:tcW w:w="1133" w:type="dxa"/>
            <w:vAlign w:val="bottom"/>
          </w:tcPr>
          <w:p w14:paraId="2041D565" w14:textId="77777777" w:rsidR="00AB7D68" w:rsidRDefault="00AB7D68">
            <w:pPr>
              <w:pStyle w:val="21"/>
              <w:tabs>
                <w:tab w:val="left" w:pos="1474"/>
              </w:tabs>
              <w:spacing w:line="240" w:lineRule="exact"/>
              <w:ind w:left="0" w:firstLine="0"/>
              <w:jc w:val="center"/>
            </w:pPr>
          </w:p>
        </w:tc>
      </w:tr>
      <w:tr w:rsidR="00AB7D68" w14:paraId="1EE085AD" w14:textId="77777777" w:rsidTr="00763B2F">
        <w:tc>
          <w:tcPr>
            <w:tcW w:w="5515" w:type="dxa"/>
          </w:tcPr>
          <w:p w14:paraId="71830BA9" w14:textId="77777777" w:rsidR="00AB7D68" w:rsidRDefault="00AB7D68">
            <w:pPr>
              <w:pStyle w:val="21"/>
              <w:tabs>
                <w:tab w:val="left" w:pos="1474"/>
              </w:tabs>
              <w:spacing w:line="240" w:lineRule="exact"/>
              <w:ind w:left="113" w:firstLine="0"/>
              <w:jc w:val="left"/>
            </w:pPr>
            <w:r>
              <w:rPr>
                <w:rFonts w:hint="cs"/>
                <w:rtl/>
              </w:rPr>
              <w:t>שיעור ריבית חסרת סיכון (%)</w:t>
            </w:r>
          </w:p>
        </w:tc>
        <w:tc>
          <w:tcPr>
            <w:tcW w:w="113" w:type="dxa"/>
            <w:vAlign w:val="bottom"/>
          </w:tcPr>
          <w:p w14:paraId="4B63394F" w14:textId="77777777" w:rsidR="00AB7D68" w:rsidRDefault="00AB7D68">
            <w:pPr>
              <w:pStyle w:val="21"/>
              <w:tabs>
                <w:tab w:val="left" w:pos="1474"/>
              </w:tabs>
              <w:spacing w:line="240" w:lineRule="exact"/>
              <w:ind w:left="0" w:firstLine="0"/>
              <w:jc w:val="left"/>
            </w:pPr>
          </w:p>
        </w:tc>
        <w:tc>
          <w:tcPr>
            <w:tcW w:w="976" w:type="dxa"/>
            <w:vAlign w:val="bottom"/>
          </w:tcPr>
          <w:p w14:paraId="389A64F1" w14:textId="77777777" w:rsidR="00AB7D68" w:rsidRDefault="00AB7D68">
            <w:pPr>
              <w:pStyle w:val="21"/>
              <w:tabs>
                <w:tab w:val="left" w:pos="1474"/>
              </w:tabs>
              <w:spacing w:line="240" w:lineRule="exact"/>
              <w:ind w:left="0" w:firstLine="0"/>
              <w:jc w:val="center"/>
            </w:pPr>
          </w:p>
        </w:tc>
        <w:tc>
          <w:tcPr>
            <w:tcW w:w="226" w:type="dxa"/>
          </w:tcPr>
          <w:p w14:paraId="161F31D8" w14:textId="77777777" w:rsidR="00AB7D68" w:rsidRDefault="00AB7D68">
            <w:pPr>
              <w:pStyle w:val="21"/>
              <w:tabs>
                <w:tab w:val="left" w:pos="1474"/>
              </w:tabs>
              <w:spacing w:line="240" w:lineRule="exact"/>
              <w:ind w:left="0" w:firstLine="0"/>
              <w:jc w:val="center"/>
            </w:pPr>
          </w:p>
        </w:tc>
        <w:tc>
          <w:tcPr>
            <w:tcW w:w="1133" w:type="dxa"/>
            <w:vAlign w:val="bottom"/>
          </w:tcPr>
          <w:p w14:paraId="45C7D91A" w14:textId="77777777" w:rsidR="00AB7D68" w:rsidRDefault="00AB7D68">
            <w:pPr>
              <w:pStyle w:val="21"/>
              <w:tabs>
                <w:tab w:val="left" w:pos="1474"/>
              </w:tabs>
              <w:spacing w:line="240" w:lineRule="exact"/>
              <w:ind w:left="0" w:firstLine="0"/>
              <w:jc w:val="center"/>
            </w:pPr>
          </w:p>
        </w:tc>
      </w:tr>
      <w:tr w:rsidR="00AB7D68" w14:paraId="0BA1DF26" w14:textId="77777777" w:rsidTr="00763B2F">
        <w:tc>
          <w:tcPr>
            <w:tcW w:w="5515" w:type="dxa"/>
          </w:tcPr>
          <w:p w14:paraId="2674FF69" w14:textId="77777777" w:rsidR="00264F64" w:rsidRDefault="00AB7D68">
            <w:pPr>
              <w:pStyle w:val="21"/>
              <w:tabs>
                <w:tab w:val="left" w:pos="1474"/>
              </w:tabs>
              <w:spacing w:line="240" w:lineRule="exact"/>
              <w:ind w:left="113" w:firstLine="0"/>
              <w:jc w:val="left"/>
            </w:pPr>
            <w:r>
              <w:rPr>
                <w:rFonts w:hint="cs"/>
                <w:rtl/>
              </w:rPr>
              <w:t>משך החיים החזוי של האופציות (שנים)</w:t>
            </w:r>
          </w:p>
        </w:tc>
        <w:tc>
          <w:tcPr>
            <w:tcW w:w="113" w:type="dxa"/>
            <w:vAlign w:val="bottom"/>
          </w:tcPr>
          <w:p w14:paraId="71773682" w14:textId="77777777" w:rsidR="00AB7D68" w:rsidRDefault="00AB7D68">
            <w:pPr>
              <w:pStyle w:val="21"/>
              <w:tabs>
                <w:tab w:val="left" w:pos="1474"/>
              </w:tabs>
              <w:spacing w:line="240" w:lineRule="exact"/>
              <w:ind w:left="0" w:firstLine="0"/>
              <w:jc w:val="left"/>
            </w:pPr>
          </w:p>
        </w:tc>
        <w:tc>
          <w:tcPr>
            <w:tcW w:w="976" w:type="dxa"/>
            <w:vAlign w:val="bottom"/>
          </w:tcPr>
          <w:p w14:paraId="0573117E" w14:textId="77777777" w:rsidR="00AB7D68" w:rsidRDefault="00AB7D68">
            <w:pPr>
              <w:pStyle w:val="21"/>
              <w:tabs>
                <w:tab w:val="left" w:pos="1474"/>
              </w:tabs>
              <w:spacing w:line="240" w:lineRule="exact"/>
              <w:ind w:left="0" w:firstLine="0"/>
              <w:jc w:val="center"/>
            </w:pPr>
          </w:p>
        </w:tc>
        <w:tc>
          <w:tcPr>
            <w:tcW w:w="226" w:type="dxa"/>
          </w:tcPr>
          <w:p w14:paraId="2A72B06B" w14:textId="77777777" w:rsidR="00AB7D68" w:rsidRDefault="00AB7D68">
            <w:pPr>
              <w:pStyle w:val="21"/>
              <w:tabs>
                <w:tab w:val="left" w:pos="1474"/>
              </w:tabs>
              <w:spacing w:line="240" w:lineRule="exact"/>
              <w:ind w:left="0" w:firstLine="0"/>
              <w:jc w:val="center"/>
            </w:pPr>
          </w:p>
        </w:tc>
        <w:tc>
          <w:tcPr>
            <w:tcW w:w="1133" w:type="dxa"/>
            <w:vAlign w:val="bottom"/>
          </w:tcPr>
          <w:p w14:paraId="0CE6C1B4" w14:textId="77777777" w:rsidR="00AB7D68" w:rsidRDefault="00AB7D68">
            <w:pPr>
              <w:pStyle w:val="21"/>
              <w:tabs>
                <w:tab w:val="left" w:pos="1474"/>
              </w:tabs>
              <w:spacing w:line="240" w:lineRule="exact"/>
              <w:ind w:left="0" w:firstLine="0"/>
              <w:jc w:val="center"/>
            </w:pPr>
          </w:p>
        </w:tc>
      </w:tr>
      <w:tr w:rsidR="00AB7D68" w14:paraId="15FF4ACB" w14:textId="77777777" w:rsidTr="00763B2F">
        <w:tc>
          <w:tcPr>
            <w:tcW w:w="5515" w:type="dxa"/>
          </w:tcPr>
          <w:p w14:paraId="5BFA7697" w14:textId="77777777" w:rsidR="00AB7D68" w:rsidRDefault="00AB7D68">
            <w:pPr>
              <w:pStyle w:val="21"/>
              <w:tabs>
                <w:tab w:val="left" w:pos="1474"/>
              </w:tabs>
              <w:spacing w:line="240" w:lineRule="exact"/>
              <w:ind w:left="113" w:firstLine="0"/>
              <w:jc w:val="left"/>
            </w:pPr>
            <w:r>
              <w:rPr>
                <w:rFonts w:hint="cs"/>
                <w:rtl/>
              </w:rPr>
              <w:t>ממוצע משוקלל של מחירי המניה (ש"ח)</w:t>
            </w:r>
          </w:p>
        </w:tc>
        <w:tc>
          <w:tcPr>
            <w:tcW w:w="113" w:type="dxa"/>
            <w:vAlign w:val="bottom"/>
          </w:tcPr>
          <w:p w14:paraId="32A46B21" w14:textId="77777777" w:rsidR="00AB7D68" w:rsidRDefault="00AB7D68">
            <w:pPr>
              <w:pStyle w:val="21"/>
              <w:tabs>
                <w:tab w:val="left" w:pos="1474"/>
              </w:tabs>
              <w:spacing w:line="240" w:lineRule="exact"/>
              <w:ind w:left="0" w:firstLine="0"/>
              <w:jc w:val="left"/>
            </w:pPr>
          </w:p>
        </w:tc>
        <w:tc>
          <w:tcPr>
            <w:tcW w:w="976" w:type="dxa"/>
            <w:vAlign w:val="bottom"/>
          </w:tcPr>
          <w:p w14:paraId="68AE9685" w14:textId="77777777" w:rsidR="00AB7D68" w:rsidRDefault="00AB7D68">
            <w:pPr>
              <w:pStyle w:val="21"/>
              <w:tabs>
                <w:tab w:val="left" w:pos="1474"/>
              </w:tabs>
              <w:spacing w:line="240" w:lineRule="exact"/>
              <w:ind w:left="0" w:firstLine="0"/>
              <w:jc w:val="center"/>
            </w:pPr>
          </w:p>
        </w:tc>
        <w:tc>
          <w:tcPr>
            <w:tcW w:w="226" w:type="dxa"/>
          </w:tcPr>
          <w:p w14:paraId="0CD15BBD" w14:textId="77777777" w:rsidR="00AB7D68" w:rsidRDefault="00AB7D68">
            <w:pPr>
              <w:pStyle w:val="21"/>
              <w:tabs>
                <w:tab w:val="left" w:pos="1474"/>
              </w:tabs>
              <w:spacing w:line="240" w:lineRule="exact"/>
              <w:ind w:left="0" w:firstLine="0"/>
              <w:jc w:val="center"/>
            </w:pPr>
          </w:p>
        </w:tc>
        <w:tc>
          <w:tcPr>
            <w:tcW w:w="1133" w:type="dxa"/>
            <w:vAlign w:val="bottom"/>
          </w:tcPr>
          <w:p w14:paraId="56B918F5" w14:textId="77777777" w:rsidR="00AB7D68" w:rsidRDefault="00AB7D68">
            <w:pPr>
              <w:pStyle w:val="21"/>
              <w:tabs>
                <w:tab w:val="left" w:pos="1474"/>
              </w:tabs>
              <w:spacing w:line="240" w:lineRule="exact"/>
              <w:ind w:left="0" w:firstLine="0"/>
              <w:jc w:val="center"/>
            </w:pPr>
          </w:p>
        </w:tc>
      </w:tr>
      <w:tr w:rsidR="00AB7D68" w14:paraId="3890798F" w14:textId="77777777" w:rsidTr="00763B2F">
        <w:tc>
          <w:tcPr>
            <w:tcW w:w="5515" w:type="dxa"/>
          </w:tcPr>
          <w:p w14:paraId="7DE514C6" w14:textId="77777777" w:rsidR="00AB7D68" w:rsidRDefault="00AB7D68">
            <w:pPr>
              <w:pStyle w:val="21"/>
              <w:tabs>
                <w:tab w:val="left" w:pos="1474"/>
              </w:tabs>
              <w:spacing w:line="240" w:lineRule="exact"/>
              <w:ind w:left="113" w:firstLine="0"/>
              <w:jc w:val="left"/>
            </w:pPr>
            <w:r>
              <w:rPr>
                <w:rFonts w:hint="cs"/>
                <w:rtl/>
              </w:rPr>
              <w:t>דיבידנדים צפויים</w:t>
            </w:r>
          </w:p>
        </w:tc>
        <w:tc>
          <w:tcPr>
            <w:tcW w:w="113" w:type="dxa"/>
            <w:vAlign w:val="bottom"/>
          </w:tcPr>
          <w:p w14:paraId="585AF7A0" w14:textId="77777777" w:rsidR="00AB7D68" w:rsidRDefault="00AB7D68">
            <w:pPr>
              <w:pStyle w:val="21"/>
              <w:tabs>
                <w:tab w:val="left" w:pos="1474"/>
              </w:tabs>
              <w:spacing w:line="240" w:lineRule="exact"/>
              <w:ind w:left="0" w:firstLine="0"/>
              <w:jc w:val="left"/>
            </w:pPr>
          </w:p>
        </w:tc>
        <w:tc>
          <w:tcPr>
            <w:tcW w:w="976" w:type="dxa"/>
            <w:vAlign w:val="bottom"/>
          </w:tcPr>
          <w:p w14:paraId="34DA8D2B" w14:textId="77777777" w:rsidR="00AB7D68" w:rsidRDefault="00AB7D68">
            <w:pPr>
              <w:pStyle w:val="21"/>
              <w:tabs>
                <w:tab w:val="left" w:pos="1474"/>
              </w:tabs>
              <w:spacing w:line="240" w:lineRule="exact"/>
              <w:ind w:left="0" w:firstLine="0"/>
              <w:jc w:val="center"/>
            </w:pPr>
          </w:p>
        </w:tc>
        <w:tc>
          <w:tcPr>
            <w:tcW w:w="226" w:type="dxa"/>
          </w:tcPr>
          <w:p w14:paraId="3F666E82" w14:textId="77777777" w:rsidR="00AB7D68" w:rsidRDefault="00AB7D68">
            <w:pPr>
              <w:pStyle w:val="21"/>
              <w:tabs>
                <w:tab w:val="left" w:pos="1474"/>
              </w:tabs>
              <w:spacing w:line="240" w:lineRule="exact"/>
              <w:ind w:left="0" w:firstLine="0"/>
              <w:jc w:val="center"/>
            </w:pPr>
          </w:p>
        </w:tc>
        <w:tc>
          <w:tcPr>
            <w:tcW w:w="1133" w:type="dxa"/>
            <w:vAlign w:val="bottom"/>
          </w:tcPr>
          <w:p w14:paraId="57AA3A6E" w14:textId="77777777" w:rsidR="00AB7D68" w:rsidRDefault="00AB7D68">
            <w:pPr>
              <w:pStyle w:val="21"/>
              <w:tabs>
                <w:tab w:val="left" w:pos="1474"/>
              </w:tabs>
              <w:spacing w:line="240" w:lineRule="exact"/>
              <w:ind w:left="0" w:firstLine="0"/>
              <w:jc w:val="center"/>
            </w:pPr>
          </w:p>
        </w:tc>
      </w:tr>
    </w:tbl>
    <w:p w14:paraId="1994367F" w14:textId="77777777" w:rsidR="00AB7D68" w:rsidRDefault="00AB7D68">
      <w:pPr>
        <w:pStyle w:val="21"/>
        <w:rPr>
          <w:rtl/>
        </w:rPr>
      </w:pPr>
    </w:p>
    <w:p w14:paraId="65FB6DEB" w14:textId="77777777" w:rsidR="00526253" w:rsidRDefault="00AB7D68">
      <w:pPr>
        <w:pStyle w:val="21"/>
        <w:rPr>
          <w:rtl/>
        </w:rPr>
      </w:pPr>
      <w:r>
        <w:rPr>
          <w:rFonts w:hint="cs"/>
          <w:rtl/>
        </w:rPr>
        <w:t>בהתאם לנתונים לעיל, השווי ההוגן של האופציות נקבע ל- ___ ש"ח למועד ההענקה.</w:t>
      </w:r>
    </w:p>
    <w:p w14:paraId="79B4AAA8" w14:textId="77777777" w:rsidR="00264F64" w:rsidRDefault="00264F64">
      <w:pPr>
        <w:pStyle w:val="21"/>
        <w:rPr>
          <w:rtl/>
        </w:rPr>
      </w:pPr>
    </w:p>
    <w:p w14:paraId="2303EA84" w14:textId="77777777" w:rsidR="00EC7DE1" w:rsidRDefault="00EC7DE1">
      <w:pPr>
        <w:pStyle w:val="21"/>
        <w:rPr>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3392"/>
        <w:gridCol w:w="1185"/>
      </w:tblGrid>
      <w:tr w:rsidR="00EC7DE1" w:rsidRPr="008A7508" w14:paraId="4FB6C26F" w14:textId="77777777" w:rsidTr="00646B60">
        <w:tc>
          <w:tcPr>
            <w:tcW w:w="984" w:type="dxa"/>
            <w:tcMar>
              <w:left w:w="0" w:type="dxa"/>
              <w:right w:w="0" w:type="dxa"/>
            </w:tcMar>
          </w:tcPr>
          <w:p w14:paraId="68488A9D" w14:textId="77777777" w:rsidR="003D46A8" w:rsidRDefault="00EC7DE1">
            <w:pPr>
              <w:pStyle w:val="11"/>
              <w:tabs>
                <w:tab w:val="clear" w:pos="1134"/>
              </w:tabs>
              <w:ind w:left="0" w:firstLine="0"/>
              <w:rPr>
                <w:sz w:val="24"/>
                <w:rtl/>
              </w:rPr>
            </w:pPr>
            <w:r w:rsidRPr="008A7508">
              <w:rPr>
                <w:sz w:val="24"/>
                <w:rtl/>
              </w:rPr>
              <w:t xml:space="preserve">באור </w:t>
            </w:r>
            <w:r w:rsidR="00DB3160">
              <w:rPr>
                <w:rFonts w:hint="cs"/>
                <w:sz w:val="24"/>
                <w:rtl/>
              </w:rPr>
              <w:t>12</w:t>
            </w:r>
            <w:r w:rsidRPr="008A7508">
              <w:rPr>
                <w:sz w:val="24"/>
                <w:rtl/>
              </w:rPr>
              <w:t>: -</w:t>
            </w:r>
          </w:p>
        </w:tc>
        <w:tc>
          <w:tcPr>
            <w:tcW w:w="3392" w:type="dxa"/>
          </w:tcPr>
          <w:p w14:paraId="41FA9FDF" w14:textId="77777777" w:rsidR="00EC7DE1" w:rsidRPr="008A7508" w:rsidRDefault="00EC7DE1" w:rsidP="00744C06">
            <w:pPr>
              <w:pStyle w:val="11"/>
              <w:tabs>
                <w:tab w:val="clear" w:pos="1134"/>
              </w:tabs>
              <w:ind w:left="4" w:firstLine="0"/>
              <w:rPr>
                <w:sz w:val="24"/>
                <w:rtl/>
              </w:rPr>
            </w:pPr>
            <w:r>
              <w:rPr>
                <w:rFonts w:hint="cs"/>
                <w:u w:val="single"/>
                <w:rtl/>
              </w:rPr>
              <w:t>מימון מחדש של הלוואה</w:t>
            </w:r>
          </w:p>
        </w:tc>
        <w:tc>
          <w:tcPr>
            <w:tcW w:w="1185" w:type="dxa"/>
            <w:tcBorders>
              <w:bottom w:val="single" w:sz="4" w:space="0" w:color="auto"/>
              <w:right w:val="single" w:sz="4" w:space="0" w:color="auto"/>
            </w:tcBorders>
            <w:vAlign w:val="center"/>
          </w:tcPr>
          <w:p w14:paraId="46D40AFF" w14:textId="77777777" w:rsidR="00EC7DE1" w:rsidRPr="008A7508" w:rsidRDefault="00EC7DE1" w:rsidP="00EC7DE1">
            <w:pPr>
              <w:pStyle w:val="11"/>
              <w:tabs>
                <w:tab w:val="clear" w:pos="1134"/>
              </w:tabs>
              <w:bidi w:val="0"/>
              <w:ind w:left="4" w:firstLine="0"/>
              <w:jc w:val="right"/>
              <w:rPr>
                <w:i/>
                <w:iCs/>
                <w:sz w:val="13"/>
                <w:szCs w:val="13"/>
              </w:rPr>
            </w:pPr>
            <w:r>
              <w:rPr>
                <w:i/>
                <w:iCs/>
                <w:sz w:val="13"/>
                <w:szCs w:val="13"/>
              </w:rPr>
              <w:t>IAS 34.16A(e)</w:t>
            </w:r>
          </w:p>
        </w:tc>
      </w:tr>
    </w:tbl>
    <w:p w14:paraId="314E0872" w14:textId="77777777" w:rsidR="00AB7D68" w:rsidRDefault="00AB7D68">
      <w:pPr>
        <w:pStyle w:val="21"/>
        <w:ind w:left="0" w:firstLine="0"/>
        <w:rPr>
          <w:rtl/>
        </w:rPr>
      </w:pPr>
    </w:p>
    <w:p w14:paraId="19A6DB60" w14:textId="0D346988" w:rsidR="008D22FA" w:rsidRDefault="00AB7D68" w:rsidP="00AB5E9C">
      <w:pPr>
        <w:pStyle w:val="21"/>
        <w:ind w:left="1134" w:firstLine="0"/>
        <w:rPr>
          <w:rtl/>
        </w:rPr>
      </w:pPr>
      <w:r>
        <w:rPr>
          <w:rFonts w:hint="cs"/>
          <w:rtl/>
        </w:rPr>
        <w:t xml:space="preserve">ביום ___, </w:t>
      </w:r>
      <w:r w:rsidR="004A4A6B">
        <w:rPr>
          <w:rFonts w:hint="cs"/>
          <w:rtl/>
        </w:rPr>
        <w:t>201</w:t>
      </w:r>
      <w:r w:rsidR="00AB5E9C">
        <w:rPr>
          <w:rFonts w:hint="cs"/>
          <w:rtl/>
        </w:rPr>
        <w:t>9</w:t>
      </w:r>
      <w:r w:rsidR="006C3028">
        <w:rPr>
          <w:rFonts w:hint="cs"/>
          <w:rtl/>
        </w:rPr>
        <w:t xml:space="preserve"> </w:t>
      </w:r>
      <w:r>
        <w:rPr>
          <w:rFonts w:hint="cs"/>
          <w:rtl/>
        </w:rPr>
        <w:t xml:space="preserve">מימשה החברה זכות למימון מחדש של הלוואה מתאגיד בנקאי הצמודה לדולר ארה"ב ונושאות ריבית שנתית בשיעור של 3.5% לפרעון בחודש ___ </w:t>
      </w:r>
      <w:r w:rsidR="00144E36">
        <w:rPr>
          <w:rFonts w:hint="cs"/>
          <w:rtl/>
        </w:rPr>
        <w:t>201</w:t>
      </w:r>
      <w:r w:rsidR="00AB5E9C">
        <w:rPr>
          <w:rFonts w:hint="cs"/>
          <w:rtl/>
        </w:rPr>
        <w:t>9</w:t>
      </w:r>
      <w:r>
        <w:rPr>
          <w:rFonts w:hint="cs"/>
          <w:rtl/>
        </w:rPr>
        <w:t>.</w:t>
      </w:r>
    </w:p>
    <w:p w14:paraId="313AC32C" w14:textId="77777777" w:rsidR="009E6C7F" w:rsidRDefault="009E6C7F">
      <w:pPr>
        <w:pStyle w:val="21"/>
        <w:ind w:left="1134" w:firstLine="0"/>
        <w:rPr>
          <w:rtl/>
        </w:rPr>
      </w:pPr>
    </w:p>
    <w:p w14:paraId="365E4BE5" w14:textId="77777777" w:rsidR="00264F64" w:rsidRPr="007911F0" w:rsidRDefault="000C4C0E" w:rsidP="00D33F7C">
      <w:pPr>
        <w:pStyle w:val="21"/>
        <w:shd w:val="clear" w:color="auto" w:fill="D9D9D9" w:themeFill="background1" w:themeFillShade="D9"/>
        <w:ind w:left="1134" w:firstLine="0"/>
        <w:rPr>
          <w:sz w:val="18"/>
          <w:szCs w:val="22"/>
          <w:u w:val="single"/>
          <w:rtl/>
        </w:rPr>
      </w:pPr>
      <w:r w:rsidRPr="007911F0">
        <w:rPr>
          <w:rFonts w:hint="eastAsia"/>
          <w:sz w:val="18"/>
          <w:szCs w:val="22"/>
          <w:u w:val="single"/>
          <w:rtl/>
        </w:rPr>
        <w:t>הערה</w:t>
      </w:r>
    </w:p>
    <w:p w14:paraId="5A927305" w14:textId="78ECF0A0" w:rsidR="00264F64" w:rsidRPr="007911F0" w:rsidRDefault="000C4C0E" w:rsidP="00565FB0">
      <w:pPr>
        <w:pStyle w:val="21"/>
        <w:shd w:val="clear" w:color="auto" w:fill="D9D9D9" w:themeFill="background1" w:themeFillShade="D9"/>
        <w:ind w:left="1134" w:firstLine="0"/>
        <w:rPr>
          <w:sz w:val="18"/>
          <w:szCs w:val="22"/>
          <w:rtl/>
        </w:rPr>
      </w:pPr>
      <w:r w:rsidRPr="007911F0">
        <w:rPr>
          <w:rFonts w:hint="eastAsia"/>
          <w:spacing w:val="8"/>
          <w:sz w:val="18"/>
          <w:szCs w:val="22"/>
          <w:rtl/>
        </w:rPr>
        <w:t>יש</w:t>
      </w:r>
      <w:r w:rsidRPr="007911F0">
        <w:rPr>
          <w:spacing w:val="8"/>
          <w:sz w:val="18"/>
          <w:szCs w:val="22"/>
          <w:rtl/>
        </w:rPr>
        <w:t xml:space="preserve"> </w:t>
      </w:r>
      <w:r w:rsidRPr="007911F0">
        <w:rPr>
          <w:rFonts w:hint="eastAsia"/>
          <w:spacing w:val="8"/>
          <w:sz w:val="18"/>
          <w:szCs w:val="22"/>
          <w:rtl/>
        </w:rPr>
        <w:t>לפרט</w:t>
      </w:r>
      <w:r w:rsidRPr="007911F0">
        <w:rPr>
          <w:spacing w:val="8"/>
          <w:sz w:val="18"/>
          <w:szCs w:val="22"/>
          <w:rtl/>
        </w:rPr>
        <w:t xml:space="preserve"> </w:t>
      </w:r>
      <w:r w:rsidRPr="007911F0">
        <w:rPr>
          <w:rFonts w:hint="eastAsia"/>
          <w:spacing w:val="8"/>
          <w:sz w:val="18"/>
          <w:szCs w:val="22"/>
          <w:rtl/>
        </w:rPr>
        <w:t>את</w:t>
      </w:r>
      <w:r w:rsidRPr="007911F0">
        <w:rPr>
          <w:spacing w:val="8"/>
          <w:sz w:val="18"/>
          <w:szCs w:val="22"/>
          <w:rtl/>
        </w:rPr>
        <w:t xml:space="preserve"> </w:t>
      </w:r>
      <w:r w:rsidRPr="007911F0">
        <w:rPr>
          <w:rFonts w:hint="eastAsia"/>
          <w:spacing w:val="8"/>
          <w:sz w:val="18"/>
          <w:szCs w:val="22"/>
          <w:rtl/>
        </w:rPr>
        <w:t>השלכות</w:t>
      </w:r>
      <w:r w:rsidRPr="007911F0">
        <w:rPr>
          <w:spacing w:val="8"/>
          <w:sz w:val="18"/>
          <w:szCs w:val="22"/>
          <w:rtl/>
        </w:rPr>
        <w:t xml:space="preserve"> הטיפול החשבונאי </w:t>
      </w:r>
      <w:r w:rsidRPr="007911F0">
        <w:rPr>
          <w:rFonts w:hint="eastAsia"/>
          <w:spacing w:val="8"/>
          <w:sz w:val="18"/>
          <w:szCs w:val="22"/>
          <w:rtl/>
        </w:rPr>
        <w:t>בעסקת</w:t>
      </w:r>
      <w:r w:rsidRPr="007911F0">
        <w:rPr>
          <w:spacing w:val="8"/>
          <w:sz w:val="18"/>
          <w:szCs w:val="22"/>
          <w:rtl/>
        </w:rPr>
        <w:t xml:space="preserve"> </w:t>
      </w:r>
      <w:r w:rsidRPr="007911F0">
        <w:rPr>
          <w:rFonts w:hint="eastAsia"/>
          <w:spacing w:val="8"/>
          <w:sz w:val="18"/>
          <w:szCs w:val="22"/>
          <w:rtl/>
        </w:rPr>
        <w:t>המימון</w:t>
      </w:r>
      <w:r w:rsidRPr="007911F0">
        <w:rPr>
          <w:spacing w:val="8"/>
          <w:sz w:val="18"/>
          <w:szCs w:val="22"/>
          <w:rtl/>
        </w:rPr>
        <w:t xml:space="preserve"> </w:t>
      </w:r>
      <w:r w:rsidRPr="007911F0">
        <w:rPr>
          <w:rFonts w:hint="eastAsia"/>
          <w:spacing w:val="8"/>
          <w:sz w:val="18"/>
          <w:szCs w:val="22"/>
          <w:rtl/>
        </w:rPr>
        <w:t>מחדש</w:t>
      </w:r>
      <w:r w:rsidRPr="007911F0">
        <w:rPr>
          <w:spacing w:val="8"/>
          <w:sz w:val="18"/>
          <w:szCs w:val="22"/>
          <w:rtl/>
        </w:rPr>
        <w:t>, אם קיימות, לדוגמ</w:t>
      </w:r>
      <w:r w:rsidR="00D33F7C" w:rsidRPr="007911F0">
        <w:rPr>
          <w:rFonts w:hint="cs"/>
          <w:spacing w:val="8"/>
          <w:sz w:val="18"/>
          <w:szCs w:val="22"/>
          <w:rtl/>
        </w:rPr>
        <w:t>א</w:t>
      </w:r>
      <w:r w:rsidRPr="007911F0">
        <w:rPr>
          <w:spacing w:val="8"/>
          <w:sz w:val="18"/>
          <w:szCs w:val="22"/>
          <w:rtl/>
        </w:rPr>
        <w:t xml:space="preserve"> - החלפת חוב </w:t>
      </w:r>
      <w:r w:rsidRPr="007911F0">
        <w:rPr>
          <w:sz w:val="18"/>
          <w:szCs w:val="22"/>
          <w:rtl/>
        </w:rPr>
        <w:t>(</w:t>
      </w:r>
      <w:r w:rsidR="00565FB0" w:rsidRPr="000632CC">
        <w:rPr>
          <w:sz w:val="18"/>
          <w:szCs w:val="22"/>
        </w:rPr>
        <w:t>IFRS 9.3.3.2</w:t>
      </w:r>
      <w:r w:rsidRPr="007911F0">
        <w:rPr>
          <w:sz w:val="18"/>
          <w:szCs w:val="22"/>
          <w:rtl/>
        </w:rPr>
        <w:t>).</w:t>
      </w:r>
    </w:p>
    <w:p w14:paraId="3F53770F" w14:textId="77777777" w:rsidR="00E1769C" w:rsidRDefault="00E1769C">
      <w:pPr>
        <w:widowControl/>
        <w:overflowPunct/>
        <w:autoSpaceDE/>
        <w:autoSpaceDN/>
        <w:bidi w:val="0"/>
        <w:adjustRightInd/>
        <w:spacing w:line="240" w:lineRule="auto"/>
        <w:jc w:val="left"/>
        <w:textAlignment w:val="auto"/>
        <w:rPr>
          <w:rtl/>
        </w:rPr>
      </w:pPr>
    </w:p>
    <w:p w14:paraId="000B580A" w14:textId="77777777" w:rsidR="00AB7D68" w:rsidRDefault="00AB7D68">
      <w:pPr>
        <w:pStyle w:val="11"/>
        <w:rPr>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3378"/>
        <w:gridCol w:w="1276"/>
      </w:tblGrid>
      <w:tr w:rsidR="00EC7DE1" w:rsidRPr="008A7508" w14:paraId="24331E07" w14:textId="77777777" w:rsidTr="00646B60">
        <w:tc>
          <w:tcPr>
            <w:tcW w:w="998" w:type="dxa"/>
            <w:tcMar>
              <w:left w:w="0" w:type="dxa"/>
              <w:right w:w="0" w:type="dxa"/>
            </w:tcMar>
          </w:tcPr>
          <w:p w14:paraId="4E3D2616" w14:textId="77777777" w:rsidR="003D46A8" w:rsidRDefault="00EC7DE1">
            <w:pPr>
              <w:pStyle w:val="11"/>
              <w:tabs>
                <w:tab w:val="clear" w:pos="1134"/>
              </w:tabs>
              <w:ind w:left="0" w:firstLine="0"/>
              <w:rPr>
                <w:sz w:val="24"/>
                <w:rtl/>
              </w:rPr>
            </w:pPr>
            <w:r w:rsidRPr="008A7508">
              <w:rPr>
                <w:sz w:val="24"/>
                <w:rtl/>
              </w:rPr>
              <w:t xml:space="preserve">באור </w:t>
            </w:r>
            <w:r w:rsidR="00DB3160">
              <w:rPr>
                <w:rFonts w:hint="cs"/>
                <w:sz w:val="24"/>
                <w:rtl/>
              </w:rPr>
              <w:t>13</w:t>
            </w:r>
            <w:r w:rsidRPr="008A7508">
              <w:rPr>
                <w:sz w:val="24"/>
                <w:rtl/>
              </w:rPr>
              <w:t>: -</w:t>
            </w:r>
          </w:p>
        </w:tc>
        <w:tc>
          <w:tcPr>
            <w:tcW w:w="3378" w:type="dxa"/>
          </w:tcPr>
          <w:p w14:paraId="1AEB0B83" w14:textId="77777777" w:rsidR="00EC7DE1" w:rsidRPr="008A7508" w:rsidRDefault="00EC7DE1" w:rsidP="00744C06">
            <w:pPr>
              <w:pStyle w:val="11"/>
              <w:tabs>
                <w:tab w:val="clear" w:pos="1134"/>
              </w:tabs>
              <w:ind w:left="4" w:firstLine="0"/>
              <w:rPr>
                <w:sz w:val="24"/>
                <w:rtl/>
              </w:rPr>
            </w:pPr>
            <w:r>
              <w:rPr>
                <w:rFonts w:hint="cs"/>
                <w:u w:val="single"/>
                <w:rtl/>
              </w:rPr>
              <w:t>התחייבויות תלויות והתקשרויות</w:t>
            </w:r>
          </w:p>
        </w:tc>
        <w:tc>
          <w:tcPr>
            <w:tcW w:w="1276" w:type="dxa"/>
            <w:tcBorders>
              <w:bottom w:val="single" w:sz="4" w:space="0" w:color="auto"/>
              <w:right w:val="single" w:sz="4" w:space="0" w:color="auto"/>
            </w:tcBorders>
            <w:vAlign w:val="center"/>
          </w:tcPr>
          <w:p w14:paraId="462568D2" w14:textId="77777777" w:rsidR="00EC7DE1" w:rsidRPr="008A7508" w:rsidRDefault="00EC7DE1" w:rsidP="00EC7DE1">
            <w:pPr>
              <w:pStyle w:val="11"/>
              <w:tabs>
                <w:tab w:val="clear" w:pos="1134"/>
              </w:tabs>
              <w:bidi w:val="0"/>
              <w:ind w:left="4" w:firstLine="0"/>
              <w:jc w:val="right"/>
              <w:rPr>
                <w:i/>
                <w:iCs/>
                <w:sz w:val="13"/>
                <w:szCs w:val="13"/>
              </w:rPr>
            </w:pPr>
            <w:r>
              <w:rPr>
                <w:i/>
                <w:iCs/>
                <w:sz w:val="13"/>
                <w:szCs w:val="13"/>
              </w:rPr>
              <w:t>IAS 34.15</w:t>
            </w:r>
            <w:r>
              <w:rPr>
                <w:rFonts w:hint="cs"/>
                <w:i/>
                <w:iCs/>
                <w:sz w:val="13"/>
                <w:szCs w:val="13"/>
              </w:rPr>
              <w:t>B</w:t>
            </w:r>
            <w:r>
              <w:rPr>
                <w:i/>
                <w:iCs/>
                <w:sz w:val="13"/>
                <w:szCs w:val="13"/>
              </w:rPr>
              <w:t>(m)</w:t>
            </w:r>
          </w:p>
        </w:tc>
      </w:tr>
    </w:tbl>
    <w:p w14:paraId="5813AEEF" w14:textId="77777777" w:rsidR="00AB7D68" w:rsidRDefault="00AB7D68">
      <w:pPr>
        <w:pStyle w:val="30"/>
        <w:rPr>
          <w:rtl/>
        </w:rPr>
      </w:pPr>
    </w:p>
    <w:p w14:paraId="062AF01A" w14:textId="77777777" w:rsidR="00AB7D68" w:rsidRDefault="00AB7D68">
      <w:pPr>
        <w:pStyle w:val="21"/>
        <w:ind w:left="1134" w:firstLine="0"/>
        <w:rPr>
          <w:rtl/>
        </w:rPr>
      </w:pPr>
      <w:r>
        <w:rPr>
          <w:rFonts w:hint="cs"/>
          <w:rtl/>
        </w:rPr>
        <w:t>כנגד החברה הוגשה תביעה על ידי לקוח, בנוגע למלאי שנמצא לטענתו פגום. הלקוח דורש פיצוי בסכום של ____ אלפי ש"ח. על-פי חוות דעת יועציה המשפטיים של החברה אין זה צפוי שהתביעה תתקבל ולפיכך לא נכללה הפרשה בדוחותיה הכספיים ביניים</w:t>
      </w:r>
      <w:r w:rsidR="00A32F4B">
        <w:rPr>
          <w:rFonts w:hint="cs"/>
          <w:rtl/>
        </w:rPr>
        <w:t xml:space="preserve"> מאוחדים</w:t>
      </w:r>
      <w:r>
        <w:rPr>
          <w:rFonts w:hint="cs"/>
          <w:rtl/>
        </w:rPr>
        <w:t>.</w:t>
      </w:r>
    </w:p>
    <w:p w14:paraId="3849D0CA" w14:textId="77777777" w:rsidR="00AB7D68" w:rsidRDefault="00AB7D68">
      <w:pPr>
        <w:pStyle w:val="30"/>
        <w:ind w:left="1701" w:firstLine="0"/>
        <w:rPr>
          <w:rtl/>
        </w:rPr>
      </w:pPr>
    </w:p>
    <w:p w14:paraId="02DBA9D5" w14:textId="77777777" w:rsidR="00AB7D68" w:rsidRDefault="00AB7D68">
      <w:pPr>
        <w:pStyle w:val="21"/>
        <w:rPr>
          <w:rtl/>
        </w:rPr>
      </w:pPr>
    </w:p>
    <w:tbl>
      <w:tblPr>
        <w:tblStyle w:val="af6"/>
        <w:bidiVisual/>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3345"/>
        <w:gridCol w:w="1260"/>
      </w:tblGrid>
      <w:tr w:rsidR="00EC7DE1" w:rsidRPr="008A7508" w14:paraId="5B0430F6" w14:textId="77777777" w:rsidTr="00646B60">
        <w:tc>
          <w:tcPr>
            <w:tcW w:w="1035" w:type="dxa"/>
            <w:tcMar>
              <w:left w:w="0" w:type="dxa"/>
              <w:right w:w="0" w:type="dxa"/>
            </w:tcMar>
          </w:tcPr>
          <w:p w14:paraId="400EF8B1" w14:textId="77777777" w:rsidR="003D46A8" w:rsidRDefault="00EC7DE1">
            <w:pPr>
              <w:pStyle w:val="11"/>
              <w:tabs>
                <w:tab w:val="clear" w:pos="1134"/>
              </w:tabs>
              <w:ind w:left="0" w:firstLine="0"/>
              <w:rPr>
                <w:sz w:val="24"/>
                <w:rtl/>
              </w:rPr>
            </w:pPr>
            <w:r w:rsidRPr="008A7508">
              <w:rPr>
                <w:sz w:val="24"/>
                <w:rtl/>
              </w:rPr>
              <w:t xml:space="preserve">באור </w:t>
            </w:r>
            <w:r w:rsidR="00DB3160">
              <w:rPr>
                <w:rFonts w:hint="cs"/>
                <w:sz w:val="24"/>
                <w:rtl/>
              </w:rPr>
              <w:t>14</w:t>
            </w:r>
            <w:r w:rsidRPr="008A7508">
              <w:rPr>
                <w:sz w:val="24"/>
                <w:rtl/>
              </w:rPr>
              <w:t>: -</w:t>
            </w:r>
          </w:p>
        </w:tc>
        <w:tc>
          <w:tcPr>
            <w:tcW w:w="3345" w:type="dxa"/>
          </w:tcPr>
          <w:p w14:paraId="19676D81" w14:textId="77777777" w:rsidR="00EC7DE1" w:rsidRPr="008A7508" w:rsidRDefault="00EC7DE1" w:rsidP="00744C06">
            <w:pPr>
              <w:pStyle w:val="11"/>
              <w:tabs>
                <w:tab w:val="clear" w:pos="1134"/>
              </w:tabs>
              <w:ind w:left="4" w:firstLine="0"/>
              <w:rPr>
                <w:sz w:val="24"/>
                <w:rtl/>
              </w:rPr>
            </w:pPr>
            <w:r>
              <w:rPr>
                <w:rFonts w:hint="cs"/>
                <w:u w:val="single"/>
                <w:rtl/>
              </w:rPr>
              <w:t>דיבידנד</w:t>
            </w:r>
          </w:p>
        </w:tc>
        <w:tc>
          <w:tcPr>
            <w:tcW w:w="1260" w:type="dxa"/>
            <w:tcBorders>
              <w:bottom w:val="single" w:sz="4" w:space="0" w:color="auto"/>
              <w:right w:val="single" w:sz="4" w:space="0" w:color="auto"/>
            </w:tcBorders>
            <w:vAlign w:val="center"/>
          </w:tcPr>
          <w:p w14:paraId="2FE0B81E" w14:textId="77777777" w:rsidR="00EC7DE1" w:rsidRPr="008A7508" w:rsidRDefault="00EC7DE1" w:rsidP="00EC7DE1">
            <w:pPr>
              <w:pStyle w:val="11"/>
              <w:tabs>
                <w:tab w:val="clear" w:pos="1134"/>
              </w:tabs>
              <w:bidi w:val="0"/>
              <w:ind w:left="4" w:firstLine="0"/>
              <w:jc w:val="right"/>
              <w:rPr>
                <w:i/>
                <w:iCs/>
                <w:sz w:val="13"/>
                <w:szCs w:val="13"/>
              </w:rPr>
            </w:pPr>
            <w:r>
              <w:rPr>
                <w:i/>
                <w:iCs/>
                <w:sz w:val="13"/>
                <w:szCs w:val="13"/>
              </w:rPr>
              <w:t>IAS 34.16</w:t>
            </w:r>
            <w:r>
              <w:rPr>
                <w:rFonts w:hint="cs"/>
                <w:i/>
                <w:iCs/>
                <w:sz w:val="13"/>
                <w:szCs w:val="13"/>
              </w:rPr>
              <w:t>A</w:t>
            </w:r>
            <w:r>
              <w:rPr>
                <w:i/>
                <w:iCs/>
                <w:sz w:val="13"/>
                <w:szCs w:val="13"/>
              </w:rPr>
              <w:t>(f)</w:t>
            </w:r>
          </w:p>
        </w:tc>
      </w:tr>
    </w:tbl>
    <w:p w14:paraId="4AD733F2" w14:textId="77777777" w:rsidR="00AB7D68" w:rsidRDefault="00AB7D68">
      <w:pPr>
        <w:pStyle w:val="21"/>
        <w:ind w:left="1134" w:firstLine="0"/>
        <w:rPr>
          <w:rtl/>
        </w:rPr>
      </w:pPr>
    </w:p>
    <w:p w14:paraId="3CF097F1" w14:textId="4529EC88" w:rsidR="008D22FA" w:rsidRDefault="00AB7D68" w:rsidP="00AB5E9C">
      <w:pPr>
        <w:pStyle w:val="21"/>
        <w:ind w:left="1134" w:firstLine="0"/>
        <w:rPr>
          <w:rtl/>
        </w:rPr>
      </w:pPr>
      <w:r>
        <w:rPr>
          <w:rFonts w:hint="cs"/>
          <w:rtl/>
        </w:rPr>
        <w:t xml:space="preserve">בתקופות של תשעה ושלושה חודשים שהסתיימו ביום 30 בספטמבר, </w:t>
      </w:r>
      <w:r w:rsidR="004A4A6B">
        <w:rPr>
          <w:rFonts w:hint="cs"/>
          <w:rtl/>
        </w:rPr>
        <w:t>201</w:t>
      </w:r>
      <w:r w:rsidR="00AB5E9C">
        <w:rPr>
          <w:rFonts w:hint="cs"/>
          <w:rtl/>
        </w:rPr>
        <w:t>9</w:t>
      </w:r>
      <w:r w:rsidR="006C3028">
        <w:rPr>
          <w:rFonts w:hint="cs"/>
          <w:rtl/>
        </w:rPr>
        <w:t xml:space="preserve"> </w:t>
      </w:r>
      <w:r>
        <w:rPr>
          <w:rFonts w:hint="cs"/>
          <w:rtl/>
        </w:rPr>
        <w:t>הוכרז ושולם דיבידנד בסך של ___ אלפי ש"ח ו-___ אלפי ש"ח, בהתאמה</w:t>
      </w:r>
      <w:r w:rsidR="00F004DA">
        <w:rPr>
          <w:rFonts w:hint="cs"/>
          <w:rtl/>
        </w:rPr>
        <w:t xml:space="preserve">, </w:t>
      </w:r>
      <w:r w:rsidR="000C4C0E" w:rsidRPr="000C4C0E">
        <w:rPr>
          <w:rFonts w:hint="eastAsia"/>
          <w:rtl/>
        </w:rPr>
        <w:t>המהווה</w:t>
      </w:r>
      <w:r w:rsidR="000C4C0E" w:rsidRPr="000C4C0E">
        <w:rPr>
          <w:rtl/>
        </w:rPr>
        <w:t xml:space="preserve"> כ- ______ ש"ח </w:t>
      </w:r>
      <w:r w:rsidR="000C4C0E" w:rsidRPr="000C4C0E">
        <w:rPr>
          <w:rFonts w:hint="eastAsia"/>
          <w:rtl/>
        </w:rPr>
        <w:t>וכ</w:t>
      </w:r>
      <w:r w:rsidR="000C4C0E" w:rsidRPr="000C4C0E">
        <w:rPr>
          <w:rtl/>
        </w:rPr>
        <w:t xml:space="preserve">- ____ </w:t>
      </w:r>
      <w:r w:rsidR="000C4C0E" w:rsidRPr="000C4C0E">
        <w:rPr>
          <w:rFonts w:hint="eastAsia"/>
          <w:rtl/>
        </w:rPr>
        <w:t>ש</w:t>
      </w:r>
      <w:r w:rsidR="000C4C0E" w:rsidRPr="000C4C0E">
        <w:rPr>
          <w:rtl/>
        </w:rPr>
        <w:t xml:space="preserve">"ח, </w:t>
      </w:r>
      <w:r w:rsidR="000C4C0E" w:rsidRPr="000C4C0E">
        <w:rPr>
          <w:rFonts w:hint="eastAsia"/>
          <w:rtl/>
        </w:rPr>
        <w:t>בהתאמה</w:t>
      </w:r>
      <w:r w:rsidR="000C4C0E" w:rsidRPr="000C4C0E">
        <w:rPr>
          <w:rtl/>
        </w:rPr>
        <w:t xml:space="preserve">, </w:t>
      </w:r>
      <w:r w:rsidR="000C4C0E" w:rsidRPr="000C4C0E">
        <w:rPr>
          <w:rFonts w:hint="eastAsia"/>
          <w:rtl/>
        </w:rPr>
        <w:t>לכל</w:t>
      </w:r>
      <w:r w:rsidR="000C4C0E" w:rsidRPr="000C4C0E">
        <w:rPr>
          <w:rtl/>
        </w:rPr>
        <w:t xml:space="preserve"> </w:t>
      </w:r>
      <w:r w:rsidR="000C4C0E" w:rsidRPr="000C4C0E">
        <w:rPr>
          <w:rFonts w:hint="eastAsia"/>
          <w:rtl/>
        </w:rPr>
        <w:t>מניה</w:t>
      </w:r>
      <w:r w:rsidR="000C4C0E" w:rsidRPr="000C4C0E">
        <w:rPr>
          <w:rtl/>
        </w:rPr>
        <w:t xml:space="preserve"> </w:t>
      </w:r>
      <w:r w:rsidR="000C4C0E" w:rsidRPr="000C4C0E">
        <w:rPr>
          <w:rFonts w:hint="eastAsia"/>
          <w:rtl/>
        </w:rPr>
        <w:t>רגילה</w:t>
      </w:r>
      <w:r w:rsidR="000C4C0E" w:rsidRPr="000C4C0E">
        <w:rPr>
          <w:rtl/>
        </w:rPr>
        <w:t xml:space="preserve"> </w:t>
      </w:r>
      <w:r w:rsidR="000C4C0E" w:rsidRPr="000C4C0E">
        <w:rPr>
          <w:rFonts w:hint="eastAsia"/>
          <w:rtl/>
        </w:rPr>
        <w:t>של</w:t>
      </w:r>
      <w:r w:rsidR="000C4C0E" w:rsidRPr="000C4C0E">
        <w:rPr>
          <w:rtl/>
        </w:rPr>
        <w:t xml:space="preserve"> </w:t>
      </w:r>
      <w:r w:rsidR="000C4C0E" w:rsidRPr="000C4C0E">
        <w:rPr>
          <w:rFonts w:hint="eastAsia"/>
          <w:rtl/>
        </w:rPr>
        <w:t>החברה</w:t>
      </w:r>
      <w:r w:rsidR="000C4C0E" w:rsidRPr="000C4C0E">
        <w:rPr>
          <w:rtl/>
        </w:rPr>
        <w:t>.</w:t>
      </w:r>
    </w:p>
    <w:p w14:paraId="7501C7E6" w14:textId="77777777" w:rsidR="00AB7D68" w:rsidRDefault="00AB7D68">
      <w:pPr>
        <w:pStyle w:val="21"/>
        <w:ind w:left="1134" w:firstLine="0"/>
        <w:rPr>
          <w:rtl/>
        </w:rPr>
      </w:pPr>
    </w:p>
    <w:p w14:paraId="605EAA1B" w14:textId="5BFA238F" w:rsidR="008D22FA" w:rsidRDefault="00F85E77" w:rsidP="00AB5E9C">
      <w:pPr>
        <w:pStyle w:val="21"/>
        <w:ind w:left="1134" w:firstLine="0"/>
        <w:rPr>
          <w:rtl/>
        </w:rPr>
      </w:pPr>
      <w:r>
        <w:rPr>
          <w:rFonts w:hint="cs"/>
          <w:rtl/>
        </w:rPr>
        <w:t xml:space="preserve">לאחר </w:t>
      </w:r>
      <w:r w:rsidR="00FE0335">
        <w:rPr>
          <w:rFonts w:hint="cs"/>
          <w:rtl/>
        </w:rPr>
        <w:t>תקופת הדיווח</w:t>
      </w:r>
      <w:r>
        <w:rPr>
          <w:rFonts w:hint="cs"/>
          <w:rtl/>
        </w:rPr>
        <w:t xml:space="preserve">, בחודש ___ </w:t>
      </w:r>
      <w:r w:rsidR="004A4A6B">
        <w:rPr>
          <w:rFonts w:hint="cs"/>
          <w:rtl/>
        </w:rPr>
        <w:t>201</w:t>
      </w:r>
      <w:r w:rsidR="00AB5E9C">
        <w:rPr>
          <w:rFonts w:hint="cs"/>
          <w:rtl/>
        </w:rPr>
        <w:t>9</w:t>
      </w:r>
      <w:r w:rsidRPr="00F206CE">
        <w:rPr>
          <w:rtl/>
        </w:rPr>
        <w:t xml:space="preserve">, החליט דירקטוריון החברה על חלוקת דיבידנד במזומן בסך של </w:t>
      </w:r>
      <w:r>
        <w:rPr>
          <w:rFonts w:hint="cs"/>
          <w:rtl/>
        </w:rPr>
        <w:t>_</w:t>
      </w:r>
      <w:r w:rsidR="00A32F4B">
        <w:rPr>
          <w:rFonts w:hint="cs"/>
          <w:rtl/>
        </w:rPr>
        <w:t>_</w:t>
      </w:r>
      <w:r>
        <w:rPr>
          <w:rFonts w:hint="cs"/>
          <w:rtl/>
        </w:rPr>
        <w:t>_</w:t>
      </w:r>
      <w:r w:rsidRPr="00F206CE">
        <w:rPr>
          <w:rtl/>
        </w:rPr>
        <w:t xml:space="preserve"> </w:t>
      </w:r>
      <w:r w:rsidR="00A32F4B">
        <w:rPr>
          <w:rFonts w:hint="cs"/>
          <w:rtl/>
        </w:rPr>
        <w:t>אלפי</w:t>
      </w:r>
      <w:r w:rsidRPr="00F206CE">
        <w:rPr>
          <w:rtl/>
        </w:rPr>
        <w:t xml:space="preserve"> ש"ח, המהווה</w:t>
      </w:r>
      <w:r>
        <w:rPr>
          <w:rFonts w:hint="cs"/>
          <w:rtl/>
        </w:rPr>
        <w:t xml:space="preserve"> כ-</w:t>
      </w:r>
      <w:r w:rsidR="00A32F4B">
        <w:rPr>
          <w:rFonts w:hint="cs"/>
          <w:rtl/>
        </w:rPr>
        <w:t xml:space="preserve"> </w:t>
      </w:r>
      <w:r>
        <w:rPr>
          <w:rFonts w:hint="cs"/>
          <w:rtl/>
        </w:rPr>
        <w:t>____</w:t>
      </w:r>
      <w:r w:rsidRPr="00F206CE">
        <w:rPr>
          <w:rtl/>
        </w:rPr>
        <w:t xml:space="preserve"> ש"ח לכל </w:t>
      </w:r>
      <w:r>
        <w:rPr>
          <w:rFonts w:hint="cs"/>
          <w:rtl/>
        </w:rPr>
        <w:t xml:space="preserve">מניה רגילה של החברה (ליום </w:t>
      </w:r>
      <w:r w:rsidR="00FE0335">
        <w:rPr>
          <w:rFonts w:hint="cs"/>
          <w:rtl/>
        </w:rPr>
        <w:t>הדיווח</w:t>
      </w:r>
      <w:r>
        <w:rPr>
          <w:rFonts w:hint="cs"/>
          <w:rtl/>
        </w:rPr>
        <w:t xml:space="preserve">), בכפוף להמרות נוספות של כתבי אופציה לאחר </w:t>
      </w:r>
      <w:r w:rsidR="00FE0335">
        <w:rPr>
          <w:rFonts w:hint="cs"/>
          <w:rtl/>
        </w:rPr>
        <w:t>תקופת הדיווח</w:t>
      </w:r>
      <w:r>
        <w:rPr>
          <w:rFonts w:hint="cs"/>
          <w:rtl/>
        </w:rPr>
        <w:t xml:space="preserve"> ועד ליום הקובע</w:t>
      </w:r>
      <w:r w:rsidRPr="00F206CE">
        <w:rPr>
          <w:rFonts w:hint="cs"/>
          <w:rtl/>
        </w:rPr>
        <w:t>.</w:t>
      </w:r>
      <w:r w:rsidRPr="00F206CE">
        <w:rPr>
          <w:rtl/>
        </w:rPr>
        <w:t xml:space="preserve"> הדיבידנד ישולם ביום </w:t>
      </w:r>
      <w:r>
        <w:rPr>
          <w:rFonts w:hint="cs"/>
          <w:rtl/>
        </w:rPr>
        <w:t>_____,</w:t>
      </w:r>
      <w:r w:rsidRPr="00F206CE">
        <w:rPr>
          <w:rFonts w:hint="cs"/>
          <w:rtl/>
        </w:rPr>
        <w:t xml:space="preserve"> </w:t>
      </w:r>
      <w:r w:rsidR="004A4A6B">
        <w:rPr>
          <w:rFonts w:hint="cs"/>
          <w:rtl/>
        </w:rPr>
        <w:t>201</w:t>
      </w:r>
      <w:r w:rsidR="00AB5E9C">
        <w:rPr>
          <w:rFonts w:hint="cs"/>
          <w:rtl/>
        </w:rPr>
        <w:t>8</w:t>
      </w:r>
      <w:r w:rsidRPr="00F206CE">
        <w:rPr>
          <w:rtl/>
        </w:rPr>
        <w:t xml:space="preserve">, </w:t>
      </w:r>
      <w:r w:rsidR="000C4C0E" w:rsidRPr="000C4C0E">
        <w:rPr>
          <w:rtl/>
        </w:rPr>
        <w:t xml:space="preserve">כאשר היום הקובע נקבע ליום _______, </w:t>
      </w:r>
      <w:r w:rsidR="004A4A6B">
        <w:rPr>
          <w:rFonts w:hint="cs"/>
          <w:rtl/>
        </w:rPr>
        <w:t>201</w:t>
      </w:r>
      <w:r w:rsidR="00AB5E9C">
        <w:rPr>
          <w:rFonts w:hint="cs"/>
          <w:rtl/>
        </w:rPr>
        <w:t>9</w:t>
      </w:r>
      <w:r w:rsidR="000C4C0E" w:rsidRPr="000C4C0E">
        <w:rPr>
          <w:rtl/>
        </w:rPr>
        <w:t>.</w:t>
      </w:r>
    </w:p>
    <w:p w14:paraId="2AB0A8D9" w14:textId="77777777" w:rsidR="00D82A6B" w:rsidRDefault="00D82A6B" w:rsidP="00E470B3">
      <w:pPr>
        <w:pStyle w:val="21"/>
        <w:spacing w:line="240" w:lineRule="auto"/>
        <w:rPr>
          <w:rtl/>
        </w:rPr>
      </w:pPr>
    </w:p>
    <w:p w14:paraId="564A5AE8" w14:textId="77777777" w:rsidR="003715E0" w:rsidRDefault="003715E0" w:rsidP="00E470B3">
      <w:pPr>
        <w:pStyle w:val="21"/>
        <w:spacing w:line="240" w:lineRule="auto"/>
        <w:rPr>
          <w:rtl/>
        </w:rPr>
      </w:pPr>
    </w:p>
    <w:p w14:paraId="7D8E5A75" w14:textId="77777777" w:rsidR="00C22BA0" w:rsidRDefault="00C22BA0">
      <w:pPr>
        <w:pStyle w:val="11"/>
        <w:rPr>
          <w:rtl/>
        </w:rPr>
      </w:pPr>
      <w:r>
        <w:rPr>
          <w:rtl/>
        </w:rPr>
        <w:br w:type="page"/>
      </w:r>
    </w:p>
    <w:p w14:paraId="59313516" w14:textId="77777777" w:rsidR="00C22BA0" w:rsidRDefault="00C22BA0">
      <w:pPr>
        <w:pStyle w:val="11"/>
        <w:rPr>
          <w:rtl/>
        </w:rPr>
      </w:pPr>
    </w:p>
    <w:p w14:paraId="4FCE6D20" w14:textId="77777777" w:rsidR="00B01CA1" w:rsidRDefault="00B01CA1">
      <w:pPr>
        <w:pStyle w:val="11"/>
        <w:rPr>
          <w:rtl/>
        </w:rPr>
      </w:pPr>
    </w:p>
    <w:p w14:paraId="3D3D4030" w14:textId="77777777" w:rsidR="003D46A8" w:rsidRDefault="003715E0">
      <w:pPr>
        <w:pStyle w:val="11"/>
        <w:rPr>
          <w:rtl/>
        </w:rPr>
      </w:pPr>
      <w:r>
        <w:rPr>
          <w:rFonts w:hint="cs"/>
          <w:rtl/>
        </w:rPr>
        <w:t xml:space="preserve">באור </w:t>
      </w:r>
      <w:r w:rsidR="00DB3160">
        <w:rPr>
          <w:rFonts w:hint="cs"/>
          <w:rtl/>
        </w:rPr>
        <w:t>15</w:t>
      </w:r>
      <w:r>
        <w:rPr>
          <w:rFonts w:hint="cs"/>
          <w:rtl/>
        </w:rPr>
        <w:t>:-</w:t>
      </w:r>
      <w:r>
        <w:rPr>
          <w:rFonts w:hint="cs"/>
          <w:rtl/>
        </w:rPr>
        <w:tab/>
      </w:r>
      <w:r w:rsidRPr="00BD0F19">
        <w:rPr>
          <w:rFonts w:hint="cs"/>
          <w:u w:val="single"/>
          <w:rtl/>
        </w:rPr>
        <w:t>מכשירים פיננסיים</w:t>
      </w:r>
    </w:p>
    <w:p w14:paraId="71D449ED" w14:textId="77777777" w:rsidR="00D82A6B" w:rsidRDefault="00D82A6B" w:rsidP="00B01CA1">
      <w:pPr>
        <w:rPr>
          <w:rtl/>
        </w:rPr>
      </w:pPr>
    </w:p>
    <w:p w14:paraId="7824F6CA" w14:textId="77777777" w:rsidR="00255307" w:rsidRPr="003776A6" w:rsidRDefault="00255307" w:rsidP="003776A6">
      <w:pPr>
        <w:pStyle w:val="21"/>
        <w:rPr>
          <w:u w:val="single"/>
          <w:rtl/>
        </w:rPr>
      </w:pPr>
      <w:r>
        <w:rPr>
          <w:rFonts w:hint="cs"/>
          <w:rtl/>
        </w:rPr>
        <w:t>א.</w:t>
      </w:r>
      <w:r>
        <w:rPr>
          <w:rFonts w:hint="cs"/>
          <w:rtl/>
        </w:rPr>
        <w:tab/>
      </w:r>
      <w:r w:rsidRPr="003776A6">
        <w:rPr>
          <w:rFonts w:hint="cs"/>
          <w:u w:val="single"/>
          <w:rtl/>
        </w:rPr>
        <w:t>שווי הוגן</w:t>
      </w:r>
    </w:p>
    <w:p w14:paraId="3D1CA097" w14:textId="77777777" w:rsidR="00255307" w:rsidRDefault="00255307" w:rsidP="003776A6"/>
    <w:tbl>
      <w:tblPr>
        <w:tblStyle w:val="af6"/>
        <w:bidiVisual/>
        <w:tblW w:w="97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588"/>
        <w:gridCol w:w="7923"/>
      </w:tblGrid>
      <w:tr w:rsidR="006017C8" w14:paraId="7A9F1E9E" w14:textId="77777777" w:rsidTr="00AE3805">
        <w:tc>
          <w:tcPr>
            <w:tcW w:w="1228" w:type="dxa"/>
            <w:tcBorders>
              <w:bottom w:val="single" w:sz="6" w:space="0" w:color="auto"/>
              <w:right w:val="single" w:sz="6" w:space="0" w:color="auto"/>
            </w:tcBorders>
            <w:tcMar>
              <w:left w:w="0" w:type="dxa"/>
              <w:right w:w="0" w:type="dxa"/>
            </w:tcMar>
            <w:vAlign w:val="center"/>
          </w:tcPr>
          <w:p w14:paraId="0E49886A" w14:textId="77777777" w:rsidR="006017C8" w:rsidRPr="006017C8" w:rsidRDefault="00892691" w:rsidP="00255307">
            <w:pPr>
              <w:rPr>
                <w:i/>
                <w:iCs/>
                <w:sz w:val="13"/>
                <w:szCs w:val="13"/>
              </w:rPr>
            </w:pPr>
            <w:r w:rsidRPr="00892691">
              <w:rPr>
                <w:i/>
                <w:iCs/>
                <w:sz w:val="13"/>
                <w:szCs w:val="13"/>
              </w:rPr>
              <w:t>IAS 34.16A(j)</w:t>
            </w:r>
          </w:p>
          <w:p w14:paraId="36030FE4" w14:textId="77777777" w:rsidR="006017C8" w:rsidRPr="006017C8" w:rsidRDefault="00892691" w:rsidP="00255307">
            <w:pPr>
              <w:rPr>
                <w:sz w:val="13"/>
                <w:szCs w:val="13"/>
              </w:rPr>
            </w:pPr>
            <w:r w:rsidRPr="00892691">
              <w:rPr>
                <w:sz w:val="13"/>
                <w:szCs w:val="13"/>
              </w:rPr>
              <w:t>IFRS 7.25</w:t>
            </w:r>
          </w:p>
          <w:p w14:paraId="2E857F50" w14:textId="77777777" w:rsidR="006017C8" w:rsidRPr="006017C8" w:rsidRDefault="00892691" w:rsidP="00255307">
            <w:pPr>
              <w:rPr>
                <w:sz w:val="13"/>
                <w:szCs w:val="13"/>
              </w:rPr>
            </w:pPr>
            <w:r w:rsidRPr="00892691">
              <w:rPr>
                <w:sz w:val="13"/>
                <w:szCs w:val="13"/>
              </w:rPr>
              <w:t>IFRS 7.26</w:t>
            </w:r>
          </w:p>
        </w:tc>
        <w:tc>
          <w:tcPr>
            <w:tcW w:w="588" w:type="dxa"/>
            <w:tcBorders>
              <w:left w:val="single" w:sz="6" w:space="0" w:color="auto"/>
            </w:tcBorders>
          </w:tcPr>
          <w:p w14:paraId="5271DF9A" w14:textId="77777777" w:rsidR="006017C8" w:rsidDel="001A4186" w:rsidRDefault="006017C8" w:rsidP="00255307"/>
        </w:tc>
        <w:tc>
          <w:tcPr>
            <w:tcW w:w="7923" w:type="dxa"/>
            <w:tcBorders>
              <w:left w:val="nil"/>
            </w:tcBorders>
            <w:tcMar>
              <w:left w:w="0" w:type="dxa"/>
              <w:right w:w="0" w:type="dxa"/>
            </w:tcMar>
          </w:tcPr>
          <w:p w14:paraId="759BF1FB" w14:textId="77777777" w:rsidR="00892691" w:rsidRDefault="006017C8" w:rsidP="003776A6">
            <w:pPr>
              <w:rPr>
                <w:rtl/>
              </w:rPr>
            </w:pPr>
            <w:r>
              <w:rPr>
                <w:rFonts w:hint="cs"/>
                <w:rtl/>
              </w:rPr>
              <w:t xml:space="preserve">להלן היתרות בספרים </w:t>
            </w:r>
            <w:r w:rsidR="005F368F">
              <w:rPr>
                <w:rFonts w:hint="cs"/>
                <w:rtl/>
              </w:rPr>
              <w:t>ו</w:t>
            </w:r>
            <w:r>
              <w:rPr>
                <w:rFonts w:hint="cs"/>
                <w:rtl/>
              </w:rPr>
              <w:t>השווי ההוגן של מכשירים פיננסיים</w:t>
            </w:r>
            <w:r w:rsidR="00FA6528">
              <w:rPr>
                <w:rStyle w:val="ab"/>
                <w:rtl/>
              </w:rPr>
              <w:footnoteReference w:id="108"/>
            </w:r>
            <w:r w:rsidR="009645B0" w:rsidRPr="009645B0">
              <w:rPr>
                <w:rStyle w:val="ab"/>
                <w:rFonts w:hint="cs"/>
                <w:rtl/>
              </w:rPr>
              <w:t>,</w:t>
            </w:r>
            <w:r w:rsidR="009645B0">
              <w:rPr>
                <w:rStyle w:val="ab"/>
                <w:rtl/>
              </w:rPr>
              <w:footnoteReference w:id="109"/>
            </w:r>
            <w:r>
              <w:rPr>
                <w:rFonts w:hint="cs"/>
                <w:rtl/>
              </w:rPr>
              <w:t>:</w:t>
            </w:r>
          </w:p>
        </w:tc>
      </w:tr>
    </w:tbl>
    <w:p w14:paraId="45669E17" w14:textId="77777777" w:rsidR="00CB3850" w:rsidRDefault="00CB3850"/>
    <w:tbl>
      <w:tblPr>
        <w:tblStyle w:val="af6"/>
        <w:bidiVisual/>
        <w:tblW w:w="7937" w:type="dxa"/>
        <w:tblInd w:w="1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13"/>
        <w:gridCol w:w="113"/>
        <w:gridCol w:w="963"/>
        <w:gridCol w:w="113"/>
        <w:gridCol w:w="963"/>
        <w:gridCol w:w="113"/>
        <w:gridCol w:w="963"/>
        <w:gridCol w:w="113"/>
        <w:gridCol w:w="963"/>
        <w:gridCol w:w="113"/>
        <w:gridCol w:w="963"/>
        <w:gridCol w:w="113"/>
        <w:gridCol w:w="831"/>
      </w:tblGrid>
      <w:tr w:rsidR="003351ED" w:rsidRPr="0081361C" w14:paraId="3E6C0878" w14:textId="77777777" w:rsidTr="0081361C">
        <w:tc>
          <w:tcPr>
            <w:tcW w:w="1613" w:type="dxa"/>
            <w:shd w:val="clear" w:color="auto" w:fill="auto"/>
            <w:vAlign w:val="bottom"/>
          </w:tcPr>
          <w:p w14:paraId="0CCBBA97" w14:textId="77777777" w:rsidR="003351ED" w:rsidRPr="0081361C" w:rsidRDefault="003351ED" w:rsidP="0081361C">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7EC1EB59" w14:textId="77777777" w:rsidR="003351ED" w:rsidRPr="0081361C" w:rsidRDefault="003351ED" w:rsidP="0081361C">
            <w:pPr>
              <w:spacing w:line="200" w:lineRule="exact"/>
              <w:rPr>
                <w:sz w:val="18"/>
                <w:szCs w:val="20"/>
                <w:rtl/>
              </w:rPr>
            </w:pPr>
          </w:p>
        </w:tc>
        <w:tc>
          <w:tcPr>
            <w:tcW w:w="2039" w:type="dxa"/>
            <w:gridSpan w:val="3"/>
            <w:tcBorders>
              <w:bottom w:val="single" w:sz="6" w:space="0" w:color="auto"/>
            </w:tcBorders>
            <w:shd w:val="clear" w:color="auto" w:fill="auto"/>
            <w:vAlign w:val="bottom"/>
          </w:tcPr>
          <w:p w14:paraId="706EB3E2" w14:textId="3B14CF48" w:rsidR="003351ED" w:rsidRPr="0081361C" w:rsidRDefault="003351ED" w:rsidP="00C17B51">
            <w:pPr>
              <w:spacing w:line="200" w:lineRule="exact"/>
              <w:ind w:left="57"/>
              <w:jc w:val="center"/>
              <w:rPr>
                <w:sz w:val="18"/>
                <w:szCs w:val="20"/>
                <w:rtl/>
              </w:rPr>
            </w:pPr>
            <w:r w:rsidRPr="0081361C">
              <w:rPr>
                <w:rFonts w:hint="cs"/>
                <w:sz w:val="18"/>
                <w:szCs w:val="20"/>
                <w:rtl/>
              </w:rPr>
              <w:t xml:space="preserve">30 בספטמבר, </w:t>
            </w:r>
            <w:r w:rsidR="004A4A6B" w:rsidRPr="0081361C">
              <w:rPr>
                <w:rFonts w:hint="cs"/>
                <w:sz w:val="18"/>
                <w:szCs w:val="20"/>
                <w:rtl/>
              </w:rPr>
              <w:t>201</w:t>
            </w:r>
            <w:r w:rsidR="00C17B51">
              <w:rPr>
                <w:rFonts w:hint="cs"/>
                <w:sz w:val="18"/>
                <w:szCs w:val="20"/>
                <w:rtl/>
              </w:rPr>
              <w:t>9</w:t>
            </w:r>
          </w:p>
        </w:tc>
        <w:tc>
          <w:tcPr>
            <w:tcW w:w="113" w:type="dxa"/>
            <w:shd w:val="clear" w:color="auto" w:fill="auto"/>
            <w:vAlign w:val="bottom"/>
          </w:tcPr>
          <w:p w14:paraId="61F7DD5C" w14:textId="77777777" w:rsidR="003351ED" w:rsidRPr="0081361C" w:rsidRDefault="003351ED" w:rsidP="0081361C">
            <w:pPr>
              <w:spacing w:line="200" w:lineRule="exact"/>
              <w:ind w:left="57"/>
              <w:jc w:val="center"/>
              <w:rPr>
                <w:sz w:val="18"/>
                <w:szCs w:val="20"/>
                <w:rtl/>
              </w:rPr>
            </w:pPr>
          </w:p>
        </w:tc>
        <w:tc>
          <w:tcPr>
            <w:tcW w:w="2039" w:type="dxa"/>
            <w:gridSpan w:val="3"/>
            <w:tcBorders>
              <w:bottom w:val="single" w:sz="6" w:space="0" w:color="auto"/>
            </w:tcBorders>
            <w:shd w:val="clear" w:color="auto" w:fill="auto"/>
            <w:vAlign w:val="bottom"/>
          </w:tcPr>
          <w:p w14:paraId="7CF400CA" w14:textId="26B19FF9" w:rsidR="003351ED" w:rsidRPr="0081361C" w:rsidRDefault="003351ED" w:rsidP="00C17B51">
            <w:pPr>
              <w:spacing w:line="200" w:lineRule="exact"/>
              <w:ind w:left="57"/>
              <w:jc w:val="center"/>
              <w:rPr>
                <w:sz w:val="18"/>
                <w:szCs w:val="20"/>
                <w:rtl/>
              </w:rPr>
            </w:pPr>
            <w:r w:rsidRPr="0081361C">
              <w:rPr>
                <w:rFonts w:hint="cs"/>
                <w:sz w:val="18"/>
                <w:szCs w:val="20"/>
                <w:rtl/>
              </w:rPr>
              <w:t xml:space="preserve">30 בספטמבר, </w:t>
            </w:r>
            <w:r w:rsidR="004F7D3D" w:rsidRPr="0081361C">
              <w:rPr>
                <w:rFonts w:hint="cs"/>
                <w:sz w:val="18"/>
                <w:szCs w:val="20"/>
                <w:rtl/>
              </w:rPr>
              <w:t>201</w:t>
            </w:r>
            <w:r w:rsidR="00C17B51">
              <w:rPr>
                <w:rFonts w:hint="cs"/>
                <w:sz w:val="18"/>
                <w:szCs w:val="20"/>
                <w:rtl/>
              </w:rPr>
              <w:t>8</w:t>
            </w:r>
          </w:p>
        </w:tc>
        <w:tc>
          <w:tcPr>
            <w:tcW w:w="113" w:type="dxa"/>
            <w:shd w:val="clear" w:color="auto" w:fill="auto"/>
            <w:vAlign w:val="bottom"/>
          </w:tcPr>
          <w:p w14:paraId="37CF3494" w14:textId="77777777" w:rsidR="003351ED" w:rsidRPr="0081361C" w:rsidRDefault="003351ED" w:rsidP="0081361C">
            <w:pPr>
              <w:spacing w:line="200" w:lineRule="exact"/>
              <w:ind w:left="57"/>
              <w:jc w:val="center"/>
              <w:rPr>
                <w:sz w:val="18"/>
                <w:szCs w:val="20"/>
                <w:rtl/>
              </w:rPr>
            </w:pPr>
          </w:p>
        </w:tc>
        <w:tc>
          <w:tcPr>
            <w:tcW w:w="1907" w:type="dxa"/>
            <w:gridSpan w:val="3"/>
            <w:tcBorders>
              <w:bottom w:val="single" w:sz="6" w:space="0" w:color="auto"/>
            </w:tcBorders>
            <w:shd w:val="clear" w:color="auto" w:fill="auto"/>
            <w:vAlign w:val="bottom"/>
          </w:tcPr>
          <w:p w14:paraId="2320DA86" w14:textId="11D10085" w:rsidR="003351ED" w:rsidRPr="0081361C" w:rsidRDefault="003351ED" w:rsidP="00C17B51">
            <w:pPr>
              <w:spacing w:line="200" w:lineRule="exact"/>
              <w:ind w:left="57"/>
              <w:jc w:val="center"/>
              <w:rPr>
                <w:sz w:val="18"/>
                <w:szCs w:val="20"/>
                <w:rtl/>
              </w:rPr>
            </w:pPr>
            <w:r w:rsidRPr="0081361C">
              <w:rPr>
                <w:rFonts w:hint="cs"/>
                <w:sz w:val="18"/>
                <w:szCs w:val="20"/>
                <w:rtl/>
              </w:rPr>
              <w:t xml:space="preserve">31 בדצמבר, </w:t>
            </w:r>
            <w:r w:rsidR="004F7D3D" w:rsidRPr="0081361C">
              <w:rPr>
                <w:rFonts w:hint="cs"/>
                <w:sz w:val="18"/>
                <w:szCs w:val="20"/>
                <w:rtl/>
              </w:rPr>
              <w:t>201</w:t>
            </w:r>
            <w:r w:rsidR="00C17B51">
              <w:rPr>
                <w:rFonts w:hint="cs"/>
                <w:sz w:val="18"/>
                <w:szCs w:val="20"/>
                <w:rtl/>
              </w:rPr>
              <w:t>8</w:t>
            </w:r>
          </w:p>
        </w:tc>
      </w:tr>
      <w:tr w:rsidR="003351ED" w:rsidRPr="0081361C" w14:paraId="3A890E68" w14:textId="77777777" w:rsidTr="0081361C">
        <w:tc>
          <w:tcPr>
            <w:tcW w:w="1613" w:type="dxa"/>
            <w:shd w:val="clear" w:color="auto" w:fill="auto"/>
            <w:vAlign w:val="bottom"/>
          </w:tcPr>
          <w:p w14:paraId="518DA980" w14:textId="77777777" w:rsidR="003351ED" w:rsidRPr="0081361C" w:rsidRDefault="003351ED" w:rsidP="0081361C">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42AC7F66" w14:textId="77777777" w:rsidR="003351ED" w:rsidRPr="0081361C" w:rsidRDefault="003351ED" w:rsidP="0081361C">
            <w:pPr>
              <w:spacing w:line="200" w:lineRule="exact"/>
              <w:rPr>
                <w:sz w:val="18"/>
                <w:szCs w:val="20"/>
                <w:rtl/>
              </w:rPr>
            </w:pPr>
          </w:p>
        </w:tc>
        <w:tc>
          <w:tcPr>
            <w:tcW w:w="963" w:type="dxa"/>
            <w:tcBorders>
              <w:top w:val="single" w:sz="6" w:space="0" w:color="auto"/>
              <w:bottom w:val="single" w:sz="6" w:space="0" w:color="auto"/>
            </w:tcBorders>
            <w:shd w:val="clear" w:color="auto" w:fill="auto"/>
            <w:vAlign w:val="bottom"/>
          </w:tcPr>
          <w:p w14:paraId="6EA0351B" w14:textId="77777777" w:rsidR="003351ED" w:rsidRPr="0081361C" w:rsidRDefault="003351ED" w:rsidP="0081361C">
            <w:pPr>
              <w:spacing w:line="200" w:lineRule="exact"/>
              <w:ind w:left="57"/>
              <w:jc w:val="center"/>
              <w:rPr>
                <w:sz w:val="18"/>
                <w:szCs w:val="20"/>
                <w:rtl/>
              </w:rPr>
            </w:pPr>
            <w:r w:rsidRPr="0081361C">
              <w:rPr>
                <w:rFonts w:hint="cs"/>
                <w:sz w:val="18"/>
                <w:szCs w:val="20"/>
                <w:rtl/>
              </w:rPr>
              <w:t xml:space="preserve">יתרה </w:t>
            </w:r>
          </w:p>
        </w:tc>
        <w:tc>
          <w:tcPr>
            <w:tcW w:w="113" w:type="dxa"/>
            <w:tcBorders>
              <w:top w:val="single" w:sz="6" w:space="0" w:color="auto"/>
            </w:tcBorders>
            <w:vAlign w:val="bottom"/>
          </w:tcPr>
          <w:p w14:paraId="132250D6" w14:textId="77777777" w:rsidR="003351ED" w:rsidRPr="0081361C" w:rsidRDefault="003351ED" w:rsidP="0081361C">
            <w:pPr>
              <w:spacing w:line="200" w:lineRule="exact"/>
              <w:ind w:left="57"/>
              <w:jc w:val="center"/>
              <w:rPr>
                <w:sz w:val="18"/>
                <w:szCs w:val="20"/>
                <w:rtl/>
              </w:rPr>
            </w:pPr>
          </w:p>
        </w:tc>
        <w:tc>
          <w:tcPr>
            <w:tcW w:w="963" w:type="dxa"/>
            <w:tcBorders>
              <w:top w:val="single" w:sz="6" w:space="0" w:color="auto"/>
              <w:bottom w:val="single" w:sz="6" w:space="0" w:color="auto"/>
            </w:tcBorders>
            <w:shd w:val="clear" w:color="auto" w:fill="auto"/>
            <w:vAlign w:val="bottom"/>
          </w:tcPr>
          <w:p w14:paraId="2683D751" w14:textId="77777777" w:rsidR="003351ED" w:rsidRPr="0081361C" w:rsidRDefault="003351ED" w:rsidP="0081361C">
            <w:pPr>
              <w:spacing w:line="200" w:lineRule="exact"/>
              <w:ind w:left="57"/>
              <w:jc w:val="center"/>
              <w:rPr>
                <w:sz w:val="18"/>
                <w:szCs w:val="20"/>
                <w:rtl/>
              </w:rPr>
            </w:pPr>
            <w:r w:rsidRPr="0081361C">
              <w:rPr>
                <w:rFonts w:hint="cs"/>
                <w:sz w:val="18"/>
                <w:szCs w:val="20"/>
                <w:rtl/>
              </w:rPr>
              <w:t>שווי הוגן</w:t>
            </w:r>
          </w:p>
        </w:tc>
        <w:tc>
          <w:tcPr>
            <w:tcW w:w="113" w:type="dxa"/>
            <w:shd w:val="clear" w:color="auto" w:fill="auto"/>
            <w:vAlign w:val="bottom"/>
          </w:tcPr>
          <w:p w14:paraId="2AE81365" w14:textId="77777777" w:rsidR="003351ED" w:rsidRPr="0081361C" w:rsidRDefault="003351ED" w:rsidP="0081361C">
            <w:pPr>
              <w:spacing w:line="200" w:lineRule="exact"/>
              <w:ind w:left="57"/>
              <w:jc w:val="center"/>
              <w:rPr>
                <w:sz w:val="18"/>
                <w:szCs w:val="20"/>
                <w:rtl/>
              </w:rPr>
            </w:pPr>
          </w:p>
        </w:tc>
        <w:tc>
          <w:tcPr>
            <w:tcW w:w="963" w:type="dxa"/>
            <w:tcBorders>
              <w:top w:val="single" w:sz="6" w:space="0" w:color="auto"/>
              <w:bottom w:val="single" w:sz="6" w:space="0" w:color="auto"/>
            </w:tcBorders>
            <w:shd w:val="clear" w:color="auto" w:fill="auto"/>
            <w:vAlign w:val="bottom"/>
          </w:tcPr>
          <w:p w14:paraId="243CE2C8" w14:textId="77777777" w:rsidR="003351ED" w:rsidRPr="0081361C" w:rsidRDefault="003351ED" w:rsidP="0081361C">
            <w:pPr>
              <w:spacing w:line="200" w:lineRule="exact"/>
              <w:ind w:left="57"/>
              <w:jc w:val="center"/>
              <w:rPr>
                <w:sz w:val="18"/>
                <w:szCs w:val="20"/>
                <w:rtl/>
              </w:rPr>
            </w:pPr>
            <w:r w:rsidRPr="0081361C">
              <w:rPr>
                <w:rFonts w:hint="cs"/>
                <w:sz w:val="18"/>
                <w:szCs w:val="20"/>
                <w:rtl/>
              </w:rPr>
              <w:t xml:space="preserve">יתרה </w:t>
            </w:r>
          </w:p>
        </w:tc>
        <w:tc>
          <w:tcPr>
            <w:tcW w:w="113" w:type="dxa"/>
            <w:tcBorders>
              <w:top w:val="single" w:sz="6" w:space="0" w:color="auto"/>
            </w:tcBorders>
            <w:shd w:val="clear" w:color="auto" w:fill="auto"/>
            <w:vAlign w:val="bottom"/>
          </w:tcPr>
          <w:p w14:paraId="4ED4EB5F" w14:textId="77777777" w:rsidR="003351ED" w:rsidRPr="0081361C" w:rsidRDefault="003351ED" w:rsidP="0081361C">
            <w:pPr>
              <w:spacing w:line="200" w:lineRule="exact"/>
              <w:ind w:left="57"/>
              <w:jc w:val="center"/>
              <w:rPr>
                <w:sz w:val="18"/>
                <w:szCs w:val="20"/>
                <w:rtl/>
              </w:rPr>
            </w:pPr>
          </w:p>
        </w:tc>
        <w:tc>
          <w:tcPr>
            <w:tcW w:w="963" w:type="dxa"/>
            <w:tcBorders>
              <w:top w:val="single" w:sz="6" w:space="0" w:color="auto"/>
              <w:bottom w:val="single" w:sz="6" w:space="0" w:color="auto"/>
            </w:tcBorders>
            <w:shd w:val="clear" w:color="auto" w:fill="auto"/>
            <w:vAlign w:val="bottom"/>
          </w:tcPr>
          <w:p w14:paraId="595677BF" w14:textId="77777777" w:rsidR="003351ED" w:rsidRPr="0081361C" w:rsidRDefault="003351ED" w:rsidP="0081361C">
            <w:pPr>
              <w:spacing w:line="200" w:lineRule="exact"/>
              <w:ind w:left="57"/>
              <w:jc w:val="center"/>
              <w:rPr>
                <w:sz w:val="18"/>
                <w:szCs w:val="20"/>
                <w:rtl/>
              </w:rPr>
            </w:pPr>
            <w:r w:rsidRPr="0081361C">
              <w:rPr>
                <w:rFonts w:hint="cs"/>
                <w:sz w:val="18"/>
                <w:szCs w:val="20"/>
                <w:rtl/>
              </w:rPr>
              <w:t>שווי הוגן</w:t>
            </w:r>
          </w:p>
        </w:tc>
        <w:tc>
          <w:tcPr>
            <w:tcW w:w="113" w:type="dxa"/>
            <w:shd w:val="clear" w:color="auto" w:fill="auto"/>
            <w:vAlign w:val="bottom"/>
          </w:tcPr>
          <w:p w14:paraId="653CCB3A" w14:textId="77777777" w:rsidR="003351ED" w:rsidRPr="0081361C" w:rsidRDefault="003351ED" w:rsidP="0081361C">
            <w:pPr>
              <w:spacing w:line="200" w:lineRule="exact"/>
              <w:ind w:left="57"/>
              <w:jc w:val="center"/>
              <w:rPr>
                <w:sz w:val="18"/>
                <w:szCs w:val="20"/>
                <w:rtl/>
              </w:rPr>
            </w:pPr>
          </w:p>
        </w:tc>
        <w:tc>
          <w:tcPr>
            <w:tcW w:w="963" w:type="dxa"/>
            <w:tcBorders>
              <w:top w:val="single" w:sz="6" w:space="0" w:color="auto"/>
              <w:bottom w:val="single" w:sz="6" w:space="0" w:color="auto"/>
            </w:tcBorders>
            <w:shd w:val="clear" w:color="auto" w:fill="auto"/>
            <w:vAlign w:val="bottom"/>
          </w:tcPr>
          <w:p w14:paraId="684D5F09" w14:textId="77777777" w:rsidR="003351ED" w:rsidRPr="0081361C" w:rsidRDefault="003351ED" w:rsidP="0081361C">
            <w:pPr>
              <w:spacing w:line="200" w:lineRule="exact"/>
              <w:ind w:left="57"/>
              <w:jc w:val="center"/>
              <w:rPr>
                <w:sz w:val="18"/>
                <w:szCs w:val="20"/>
                <w:rtl/>
              </w:rPr>
            </w:pPr>
            <w:r w:rsidRPr="0081361C">
              <w:rPr>
                <w:rFonts w:hint="cs"/>
                <w:sz w:val="18"/>
                <w:szCs w:val="20"/>
                <w:rtl/>
              </w:rPr>
              <w:t xml:space="preserve">יתרה </w:t>
            </w:r>
          </w:p>
        </w:tc>
        <w:tc>
          <w:tcPr>
            <w:tcW w:w="113" w:type="dxa"/>
            <w:tcBorders>
              <w:top w:val="single" w:sz="6" w:space="0" w:color="auto"/>
            </w:tcBorders>
            <w:shd w:val="clear" w:color="auto" w:fill="auto"/>
            <w:vAlign w:val="bottom"/>
          </w:tcPr>
          <w:p w14:paraId="7B43DCD8" w14:textId="77777777" w:rsidR="003351ED" w:rsidRPr="0081361C" w:rsidRDefault="003351ED" w:rsidP="0081361C">
            <w:pPr>
              <w:spacing w:line="200" w:lineRule="exact"/>
              <w:ind w:left="57"/>
              <w:jc w:val="center"/>
              <w:rPr>
                <w:sz w:val="18"/>
                <w:szCs w:val="20"/>
                <w:rtl/>
              </w:rPr>
            </w:pPr>
          </w:p>
        </w:tc>
        <w:tc>
          <w:tcPr>
            <w:tcW w:w="831" w:type="dxa"/>
            <w:tcBorders>
              <w:top w:val="single" w:sz="6" w:space="0" w:color="auto"/>
              <w:bottom w:val="single" w:sz="6" w:space="0" w:color="auto"/>
            </w:tcBorders>
            <w:shd w:val="clear" w:color="auto" w:fill="auto"/>
            <w:vAlign w:val="bottom"/>
          </w:tcPr>
          <w:p w14:paraId="757C3EFB" w14:textId="77777777" w:rsidR="003351ED" w:rsidRPr="0081361C" w:rsidRDefault="003351ED" w:rsidP="0081361C">
            <w:pPr>
              <w:spacing w:line="200" w:lineRule="exact"/>
              <w:ind w:left="57"/>
              <w:jc w:val="center"/>
              <w:rPr>
                <w:sz w:val="18"/>
                <w:szCs w:val="20"/>
                <w:rtl/>
              </w:rPr>
            </w:pPr>
            <w:r w:rsidRPr="0081361C">
              <w:rPr>
                <w:rFonts w:hint="cs"/>
                <w:sz w:val="18"/>
                <w:szCs w:val="20"/>
                <w:rtl/>
              </w:rPr>
              <w:t>שווי הוגן</w:t>
            </w:r>
          </w:p>
        </w:tc>
      </w:tr>
      <w:tr w:rsidR="003351ED" w:rsidRPr="0081361C" w14:paraId="401B0493" w14:textId="77777777" w:rsidTr="0081361C">
        <w:tc>
          <w:tcPr>
            <w:tcW w:w="1613" w:type="dxa"/>
            <w:shd w:val="clear" w:color="auto" w:fill="auto"/>
            <w:vAlign w:val="bottom"/>
          </w:tcPr>
          <w:p w14:paraId="36FA82EC" w14:textId="77777777" w:rsidR="003351ED" w:rsidRPr="0081361C" w:rsidRDefault="003351ED" w:rsidP="0081361C">
            <w:pPr>
              <w:tabs>
                <w:tab w:val="left" w:pos="227"/>
                <w:tab w:val="left" w:pos="397"/>
                <w:tab w:val="left" w:pos="567"/>
              </w:tabs>
              <w:spacing w:line="200" w:lineRule="exact"/>
              <w:ind w:left="397" w:hanging="340"/>
              <w:rPr>
                <w:rFonts w:ascii="Arial" w:hAnsi="Arial"/>
                <w:sz w:val="18"/>
                <w:szCs w:val="20"/>
                <w:rtl/>
              </w:rPr>
            </w:pPr>
          </w:p>
        </w:tc>
        <w:tc>
          <w:tcPr>
            <w:tcW w:w="113" w:type="dxa"/>
            <w:shd w:val="clear" w:color="auto" w:fill="auto"/>
            <w:vAlign w:val="bottom"/>
          </w:tcPr>
          <w:p w14:paraId="437D7B17" w14:textId="77777777" w:rsidR="003351ED" w:rsidRPr="0081361C" w:rsidRDefault="003351ED" w:rsidP="0081361C">
            <w:pPr>
              <w:spacing w:line="200" w:lineRule="exact"/>
              <w:rPr>
                <w:sz w:val="18"/>
                <w:szCs w:val="20"/>
                <w:rtl/>
              </w:rPr>
            </w:pPr>
          </w:p>
        </w:tc>
        <w:tc>
          <w:tcPr>
            <w:tcW w:w="4191" w:type="dxa"/>
            <w:gridSpan w:val="7"/>
            <w:tcBorders>
              <w:bottom w:val="single" w:sz="6" w:space="0" w:color="auto"/>
            </w:tcBorders>
            <w:shd w:val="clear" w:color="auto" w:fill="auto"/>
            <w:vAlign w:val="bottom"/>
          </w:tcPr>
          <w:p w14:paraId="3FE7F5A6" w14:textId="77777777" w:rsidR="003351ED" w:rsidRPr="0081361C" w:rsidRDefault="003351ED" w:rsidP="0081361C">
            <w:pPr>
              <w:tabs>
                <w:tab w:val="decimal" w:pos="113"/>
              </w:tabs>
              <w:spacing w:line="200" w:lineRule="exact"/>
              <w:jc w:val="center"/>
              <w:rPr>
                <w:sz w:val="18"/>
                <w:szCs w:val="20"/>
                <w:rtl/>
              </w:rPr>
            </w:pPr>
            <w:r w:rsidRPr="0081361C">
              <w:rPr>
                <w:rFonts w:hint="cs"/>
                <w:sz w:val="18"/>
                <w:szCs w:val="20"/>
                <w:rtl/>
              </w:rPr>
              <w:t>בלתי מבוקר</w:t>
            </w:r>
          </w:p>
        </w:tc>
        <w:tc>
          <w:tcPr>
            <w:tcW w:w="113" w:type="dxa"/>
            <w:shd w:val="clear" w:color="auto" w:fill="auto"/>
            <w:vAlign w:val="bottom"/>
          </w:tcPr>
          <w:p w14:paraId="40C7C868" w14:textId="77777777" w:rsidR="003351ED" w:rsidRPr="0081361C" w:rsidRDefault="003351ED" w:rsidP="0081361C">
            <w:pPr>
              <w:tabs>
                <w:tab w:val="decimal" w:pos="113"/>
              </w:tabs>
              <w:spacing w:line="200" w:lineRule="exact"/>
              <w:rPr>
                <w:sz w:val="18"/>
                <w:szCs w:val="20"/>
                <w:rtl/>
              </w:rPr>
            </w:pPr>
          </w:p>
        </w:tc>
        <w:tc>
          <w:tcPr>
            <w:tcW w:w="1907" w:type="dxa"/>
            <w:gridSpan w:val="3"/>
            <w:tcBorders>
              <w:bottom w:val="single" w:sz="6" w:space="0" w:color="auto"/>
            </w:tcBorders>
            <w:shd w:val="clear" w:color="auto" w:fill="auto"/>
            <w:vAlign w:val="bottom"/>
          </w:tcPr>
          <w:p w14:paraId="4B601539" w14:textId="77777777" w:rsidR="003351ED" w:rsidRPr="0081361C" w:rsidRDefault="003351ED" w:rsidP="0081361C">
            <w:pPr>
              <w:tabs>
                <w:tab w:val="decimal" w:pos="113"/>
              </w:tabs>
              <w:spacing w:line="200" w:lineRule="exact"/>
              <w:ind w:left="57"/>
              <w:jc w:val="center"/>
              <w:rPr>
                <w:rFonts w:ascii="Arial" w:hAnsi="Arial"/>
                <w:sz w:val="18"/>
                <w:szCs w:val="20"/>
                <w:rtl/>
              </w:rPr>
            </w:pPr>
            <w:r w:rsidRPr="0081361C">
              <w:rPr>
                <w:rFonts w:ascii="Arial" w:hAnsi="Arial" w:hint="cs"/>
                <w:sz w:val="18"/>
                <w:szCs w:val="20"/>
                <w:rtl/>
              </w:rPr>
              <w:t>מבוקר</w:t>
            </w:r>
          </w:p>
        </w:tc>
      </w:tr>
      <w:tr w:rsidR="003351ED" w:rsidRPr="0081361C" w14:paraId="16F43A33" w14:textId="77777777" w:rsidTr="0081361C">
        <w:tc>
          <w:tcPr>
            <w:tcW w:w="1613" w:type="dxa"/>
            <w:shd w:val="clear" w:color="auto" w:fill="auto"/>
          </w:tcPr>
          <w:p w14:paraId="678B3F36" w14:textId="77777777" w:rsidR="003351ED" w:rsidRPr="0081361C" w:rsidRDefault="003351ED" w:rsidP="0081361C">
            <w:pPr>
              <w:tabs>
                <w:tab w:val="left" w:pos="227"/>
                <w:tab w:val="left" w:pos="397"/>
                <w:tab w:val="left" w:pos="567"/>
              </w:tabs>
              <w:spacing w:line="200" w:lineRule="exact"/>
              <w:ind w:left="227" w:hanging="170"/>
              <w:rPr>
                <w:rFonts w:ascii="Calisto MT" w:hAnsi="Calisto MT"/>
                <w:sz w:val="18"/>
                <w:szCs w:val="20"/>
                <w:rtl/>
              </w:rPr>
            </w:pPr>
          </w:p>
        </w:tc>
        <w:tc>
          <w:tcPr>
            <w:tcW w:w="113" w:type="dxa"/>
            <w:shd w:val="clear" w:color="auto" w:fill="auto"/>
          </w:tcPr>
          <w:p w14:paraId="6404E337"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6211" w:type="dxa"/>
            <w:gridSpan w:val="11"/>
            <w:tcBorders>
              <w:bottom w:val="single" w:sz="6" w:space="0" w:color="auto"/>
            </w:tcBorders>
            <w:shd w:val="clear" w:color="auto" w:fill="auto"/>
            <w:vAlign w:val="bottom"/>
          </w:tcPr>
          <w:p w14:paraId="2A8DA4B3" w14:textId="77777777" w:rsidR="003351ED" w:rsidRPr="0081361C" w:rsidRDefault="003351ED" w:rsidP="0081361C">
            <w:pPr>
              <w:tabs>
                <w:tab w:val="decimal" w:pos="113"/>
              </w:tabs>
              <w:spacing w:line="200" w:lineRule="exact"/>
              <w:ind w:left="57"/>
              <w:jc w:val="center"/>
              <w:rPr>
                <w:rFonts w:ascii="Calisto MT" w:hAnsi="Calisto MT"/>
                <w:sz w:val="18"/>
                <w:szCs w:val="20"/>
                <w:rtl/>
              </w:rPr>
            </w:pPr>
            <w:r w:rsidRPr="0081361C">
              <w:rPr>
                <w:rFonts w:ascii="Calisto MT" w:hAnsi="Calisto MT" w:hint="cs"/>
                <w:sz w:val="18"/>
                <w:szCs w:val="20"/>
                <w:rtl/>
              </w:rPr>
              <w:t>אלפי ש"ח</w:t>
            </w:r>
          </w:p>
        </w:tc>
      </w:tr>
      <w:tr w:rsidR="003351ED" w:rsidRPr="0081361C" w14:paraId="3EC88F6B" w14:textId="77777777" w:rsidTr="0081361C">
        <w:tc>
          <w:tcPr>
            <w:tcW w:w="1613" w:type="dxa"/>
            <w:shd w:val="clear" w:color="auto" w:fill="auto"/>
            <w:vAlign w:val="bottom"/>
          </w:tcPr>
          <w:p w14:paraId="326981D5" w14:textId="77777777" w:rsidR="003351ED" w:rsidRPr="0081361C" w:rsidRDefault="003351ED" w:rsidP="0081361C">
            <w:pPr>
              <w:widowControl/>
              <w:tabs>
                <w:tab w:val="left" w:pos="227"/>
                <w:tab w:val="left" w:pos="397"/>
                <w:tab w:val="left" w:pos="567"/>
              </w:tabs>
              <w:spacing w:line="200" w:lineRule="exact"/>
              <w:ind w:left="283" w:hanging="227"/>
              <w:jc w:val="left"/>
              <w:rPr>
                <w:b/>
                <w:bCs/>
                <w:sz w:val="18"/>
                <w:szCs w:val="20"/>
                <w:u w:val="single"/>
              </w:rPr>
            </w:pPr>
            <w:r w:rsidRPr="0081361C">
              <w:rPr>
                <w:rFonts w:hint="eastAsia"/>
                <w:b/>
                <w:bCs/>
                <w:sz w:val="18"/>
                <w:szCs w:val="20"/>
                <w:u w:val="single"/>
                <w:rtl/>
              </w:rPr>
              <w:t>נכסים</w:t>
            </w:r>
            <w:r w:rsidRPr="0081361C">
              <w:rPr>
                <w:b/>
                <w:bCs/>
                <w:sz w:val="18"/>
                <w:szCs w:val="20"/>
                <w:u w:val="single"/>
                <w:rtl/>
              </w:rPr>
              <w:t xml:space="preserve"> פיננסיים:</w:t>
            </w:r>
          </w:p>
        </w:tc>
        <w:tc>
          <w:tcPr>
            <w:tcW w:w="113" w:type="dxa"/>
            <w:shd w:val="clear" w:color="auto" w:fill="auto"/>
          </w:tcPr>
          <w:p w14:paraId="14A690EA"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55120DE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30ABB61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4675C7D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F80F02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008AE37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6B44FC08"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5085BAC3"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55AB9F6"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749CD42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F83C87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3DAD5CA9"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30605628" w14:textId="77777777" w:rsidTr="0081361C">
        <w:tc>
          <w:tcPr>
            <w:tcW w:w="1613" w:type="dxa"/>
            <w:shd w:val="clear" w:color="auto" w:fill="auto"/>
            <w:vAlign w:val="bottom"/>
          </w:tcPr>
          <w:p w14:paraId="2F32D569"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p>
        </w:tc>
        <w:tc>
          <w:tcPr>
            <w:tcW w:w="113" w:type="dxa"/>
            <w:shd w:val="clear" w:color="auto" w:fill="auto"/>
          </w:tcPr>
          <w:p w14:paraId="4C31F94E"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34360F3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18F2575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240DA4C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A786AD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38A8C66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DD02BA5"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762724B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6B78CA4"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5A9B509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1370532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5731E663"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1442CEDE" w14:textId="77777777" w:rsidTr="0081361C">
        <w:tc>
          <w:tcPr>
            <w:tcW w:w="1613" w:type="dxa"/>
            <w:shd w:val="clear" w:color="auto" w:fill="auto"/>
            <w:vAlign w:val="bottom"/>
          </w:tcPr>
          <w:p w14:paraId="7AD60F79"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cs"/>
                <w:sz w:val="18"/>
                <w:szCs w:val="20"/>
                <w:rtl/>
              </w:rPr>
              <w:t>הלוואות</w:t>
            </w:r>
          </w:p>
        </w:tc>
        <w:tc>
          <w:tcPr>
            <w:tcW w:w="113" w:type="dxa"/>
            <w:shd w:val="clear" w:color="auto" w:fill="auto"/>
          </w:tcPr>
          <w:p w14:paraId="011C9816"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410332A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32BBD08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6A3C448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51ED02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2A255153"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4ADA41B"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447DA08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2848402"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50C90B3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BBFB8D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1523AA23"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31B994D6" w14:textId="77777777" w:rsidTr="0081361C">
        <w:tc>
          <w:tcPr>
            <w:tcW w:w="1613" w:type="dxa"/>
            <w:shd w:val="clear" w:color="auto" w:fill="auto"/>
            <w:vAlign w:val="bottom"/>
          </w:tcPr>
          <w:p w14:paraId="6206DF6E"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cs"/>
                <w:sz w:val="18"/>
                <w:szCs w:val="20"/>
                <w:rtl/>
              </w:rPr>
              <w:t>מכשירים הוניים</w:t>
            </w:r>
          </w:p>
        </w:tc>
        <w:tc>
          <w:tcPr>
            <w:tcW w:w="113" w:type="dxa"/>
            <w:shd w:val="clear" w:color="auto" w:fill="auto"/>
          </w:tcPr>
          <w:p w14:paraId="3CB6756C"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3EC390B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6F94A11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33F3CD1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B0EA82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6C564CC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5CCD30D"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5DC9625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11CE0ABC"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287E761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1684EEC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04C91865"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22B3917A" w14:textId="77777777" w:rsidTr="0081361C">
        <w:tc>
          <w:tcPr>
            <w:tcW w:w="1613" w:type="dxa"/>
            <w:shd w:val="clear" w:color="auto" w:fill="auto"/>
            <w:vAlign w:val="bottom"/>
          </w:tcPr>
          <w:p w14:paraId="378FADC9"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cs"/>
                <w:sz w:val="18"/>
                <w:szCs w:val="20"/>
                <w:rtl/>
              </w:rPr>
              <w:t>מכשירי חוב</w:t>
            </w:r>
          </w:p>
        </w:tc>
        <w:tc>
          <w:tcPr>
            <w:tcW w:w="113" w:type="dxa"/>
            <w:shd w:val="clear" w:color="auto" w:fill="auto"/>
          </w:tcPr>
          <w:p w14:paraId="1E0ABBE8"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1CD77C7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11CF8CA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6253697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502A83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41FB3A1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DF05979"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68A55DF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B135D05"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20E465C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5225345"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40E16A30"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20616D04" w14:textId="77777777" w:rsidTr="0081361C">
        <w:tc>
          <w:tcPr>
            <w:tcW w:w="1613" w:type="dxa"/>
            <w:shd w:val="clear" w:color="auto" w:fill="auto"/>
            <w:vAlign w:val="bottom"/>
          </w:tcPr>
          <w:p w14:paraId="5DE0A739"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cs"/>
                <w:sz w:val="18"/>
                <w:szCs w:val="20"/>
                <w:rtl/>
              </w:rPr>
              <w:t>חוזי אקדמה על מטבע חוץ</w:t>
            </w:r>
          </w:p>
        </w:tc>
        <w:tc>
          <w:tcPr>
            <w:tcW w:w="113" w:type="dxa"/>
            <w:shd w:val="clear" w:color="auto" w:fill="auto"/>
          </w:tcPr>
          <w:p w14:paraId="0E7C0E80"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4845015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1A51535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3CF6867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8928CD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093180E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B2BCAC1"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6A0E32F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DC61A4D"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73EBDD6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A98B12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0ED1C439"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296A3822" w14:textId="77777777" w:rsidTr="0081361C">
        <w:tc>
          <w:tcPr>
            <w:tcW w:w="1613" w:type="dxa"/>
            <w:shd w:val="clear" w:color="auto" w:fill="auto"/>
            <w:vAlign w:val="bottom"/>
          </w:tcPr>
          <w:p w14:paraId="549FEFAB"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cs"/>
                <w:sz w:val="18"/>
                <w:szCs w:val="20"/>
                <w:rtl/>
              </w:rPr>
              <w:t>נגזרים משובצים</w:t>
            </w:r>
          </w:p>
        </w:tc>
        <w:tc>
          <w:tcPr>
            <w:tcW w:w="113" w:type="dxa"/>
            <w:shd w:val="clear" w:color="auto" w:fill="auto"/>
          </w:tcPr>
          <w:p w14:paraId="16BA5C53"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tcBorders>
              <w:bottom w:val="single" w:sz="6" w:space="0" w:color="auto"/>
            </w:tcBorders>
            <w:shd w:val="clear" w:color="auto" w:fill="auto"/>
            <w:vAlign w:val="bottom"/>
          </w:tcPr>
          <w:p w14:paraId="06749088"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40D9639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bottom w:val="single" w:sz="6" w:space="0" w:color="auto"/>
            </w:tcBorders>
            <w:shd w:val="clear" w:color="auto" w:fill="auto"/>
            <w:vAlign w:val="bottom"/>
          </w:tcPr>
          <w:p w14:paraId="6ECF25F8"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1BF0942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bottom w:val="single" w:sz="6" w:space="0" w:color="auto"/>
            </w:tcBorders>
            <w:shd w:val="clear" w:color="auto" w:fill="auto"/>
            <w:vAlign w:val="bottom"/>
          </w:tcPr>
          <w:p w14:paraId="7771709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5F84BEF" w14:textId="77777777" w:rsidR="003351ED" w:rsidRPr="0081361C" w:rsidRDefault="003351ED" w:rsidP="0081361C">
            <w:pPr>
              <w:tabs>
                <w:tab w:val="decimal" w:pos="113"/>
              </w:tabs>
              <w:spacing w:line="200" w:lineRule="exact"/>
              <w:rPr>
                <w:sz w:val="18"/>
                <w:szCs w:val="20"/>
                <w:rtl/>
              </w:rPr>
            </w:pPr>
          </w:p>
        </w:tc>
        <w:tc>
          <w:tcPr>
            <w:tcW w:w="963" w:type="dxa"/>
            <w:tcBorders>
              <w:bottom w:val="single" w:sz="6" w:space="0" w:color="auto"/>
            </w:tcBorders>
            <w:shd w:val="clear" w:color="auto" w:fill="auto"/>
            <w:vAlign w:val="bottom"/>
          </w:tcPr>
          <w:p w14:paraId="3185E0F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8147F6E" w14:textId="77777777" w:rsidR="003351ED" w:rsidRPr="0081361C" w:rsidRDefault="003351ED" w:rsidP="0081361C">
            <w:pPr>
              <w:tabs>
                <w:tab w:val="decimal" w:pos="113"/>
              </w:tabs>
              <w:spacing w:line="200" w:lineRule="exact"/>
              <w:rPr>
                <w:sz w:val="18"/>
                <w:szCs w:val="20"/>
                <w:rtl/>
              </w:rPr>
            </w:pPr>
          </w:p>
        </w:tc>
        <w:tc>
          <w:tcPr>
            <w:tcW w:w="963" w:type="dxa"/>
            <w:tcBorders>
              <w:bottom w:val="single" w:sz="6" w:space="0" w:color="auto"/>
            </w:tcBorders>
            <w:shd w:val="clear" w:color="auto" w:fill="auto"/>
            <w:vAlign w:val="bottom"/>
          </w:tcPr>
          <w:p w14:paraId="45698A0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CE1447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tcBorders>
              <w:bottom w:val="single" w:sz="6" w:space="0" w:color="auto"/>
            </w:tcBorders>
            <w:shd w:val="clear" w:color="auto" w:fill="auto"/>
            <w:vAlign w:val="bottom"/>
          </w:tcPr>
          <w:p w14:paraId="690CC18D"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2EBA1CC4" w14:textId="77777777" w:rsidTr="0081361C">
        <w:tc>
          <w:tcPr>
            <w:tcW w:w="1613" w:type="dxa"/>
            <w:shd w:val="clear" w:color="auto" w:fill="auto"/>
            <w:vAlign w:val="bottom"/>
          </w:tcPr>
          <w:p w14:paraId="6AF83821"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p>
        </w:tc>
        <w:tc>
          <w:tcPr>
            <w:tcW w:w="113" w:type="dxa"/>
            <w:shd w:val="clear" w:color="auto" w:fill="auto"/>
          </w:tcPr>
          <w:p w14:paraId="4F8E4AA4"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tcBorders>
              <w:top w:val="single" w:sz="6" w:space="0" w:color="auto"/>
            </w:tcBorders>
            <w:vAlign w:val="bottom"/>
          </w:tcPr>
          <w:p w14:paraId="20D24AC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3E8B559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top w:val="single" w:sz="6" w:space="0" w:color="auto"/>
            </w:tcBorders>
            <w:shd w:val="clear" w:color="auto" w:fill="auto"/>
            <w:vAlign w:val="bottom"/>
          </w:tcPr>
          <w:p w14:paraId="025E41A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509F41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top w:val="single" w:sz="6" w:space="0" w:color="auto"/>
            </w:tcBorders>
            <w:shd w:val="clear" w:color="auto" w:fill="auto"/>
            <w:vAlign w:val="bottom"/>
          </w:tcPr>
          <w:p w14:paraId="19E7092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F57F1DE" w14:textId="77777777" w:rsidR="003351ED" w:rsidRPr="0081361C" w:rsidRDefault="003351ED" w:rsidP="0081361C">
            <w:pPr>
              <w:tabs>
                <w:tab w:val="decimal" w:pos="113"/>
              </w:tabs>
              <w:spacing w:line="200" w:lineRule="exact"/>
              <w:rPr>
                <w:sz w:val="18"/>
                <w:szCs w:val="20"/>
                <w:rtl/>
              </w:rPr>
            </w:pPr>
          </w:p>
        </w:tc>
        <w:tc>
          <w:tcPr>
            <w:tcW w:w="963" w:type="dxa"/>
            <w:tcBorders>
              <w:top w:val="single" w:sz="6" w:space="0" w:color="auto"/>
            </w:tcBorders>
            <w:shd w:val="clear" w:color="auto" w:fill="auto"/>
            <w:vAlign w:val="bottom"/>
          </w:tcPr>
          <w:p w14:paraId="7BE6A86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AD7D162" w14:textId="77777777" w:rsidR="003351ED" w:rsidRPr="0081361C" w:rsidRDefault="003351ED" w:rsidP="0081361C">
            <w:pPr>
              <w:tabs>
                <w:tab w:val="decimal" w:pos="113"/>
              </w:tabs>
              <w:spacing w:line="200" w:lineRule="exact"/>
              <w:rPr>
                <w:sz w:val="18"/>
                <w:szCs w:val="20"/>
                <w:rtl/>
              </w:rPr>
            </w:pPr>
          </w:p>
        </w:tc>
        <w:tc>
          <w:tcPr>
            <w:tcW w:w="963" w:type="dxa"/>
            <w:tcBorders>
              <w:top w:val="single" w:sz="6" w:space="0" w:color="auto"/>
            </w:tcBorders>
            <w:shd w:val="clear" w:color="auto" w:fill="auto"/>
            <w:vAlign w:val="bottom"/>
          </w:tcPr>
          <w:p w14:paraId="2488859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479449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tcBorders>
              <w:top w:val="single" w:sz="6" w:space="0" w:color="auto"/>
            </w:tcBorders>
            <w:shd w:val="clear" w:color="auto" w:fill="auto"/>
            <w:vAlign w:val="bottom"/>
          </w:tcPr>
          <w:p w14:paraId="5B498682"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14BBD2A7" w14:textId="77777777" w:rsidTr="0081361C">
        <w:tc>
          <w:tcPr>
            <w:tcW w:w="1613" w:type="dxa"/>
            <w:shd w:val="clear" w:color="auto" w:fill="auto"/>
            <w:vAlign w:val="bottom"/>
          </w:tcPr>
          <w:p w14:paraId="34EE687D"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eastAsia"/>
                <w:b/>
                <w:bCs/>
                <w:sz w:val="18"/>
                <w:szCs w:val="20"/>
                <w:rtl/>
              </w:rPr>
              <w:t>סך</w:t>
            </w:r>
            <w:r w:rsidRPr="0081361C">
              <w:rPr>
                <w:b/>
                <w:bCs/>
                <w:sz w:val="18"/>
                <w:szCs w:val="20"/>
                <w:rtl/>
              </w:rPr>
              <w:t xml:space="preserve"> נכסים </w:t>
            </w:r>
            <w:r w:rsidRPr="0081361C">
              <w:rPr>
                <w:rFonts w:hint="eastAsia"/>
                <w:b/>
                <w:bCs/>
                <w:sz w:val="18"/>
                <w:szCs w:val="20"/>
                <w:rtl/>
              </w:rPr>
              <w:t>פיננסיים</w:t>
            </w:r>
            <w:r w:rsidRPr="0081361C">
              <w:rPr>
                <w:rFonts w:hint="cs"/>
                <w:b/>
                <w:bCs/>
                <w:sz w:val="18"/>
                <w:szCs w:val="20"/>
                <w:rtl/>
              </w:rPr>
              <w:t xml:space="preserve"> לא</w:t>
            </w:r>
            <w:r w:rsidRPr="0081361C">
              <w:rPr>
                <w:b/>
                <w:bCs/>
                <w:sz w:val="18"/>
                <w:szCs w:val="20"/>
                <w:rtl/>
              </w:rPr>
              <w:t xml:space="preserve"> </w:t>
            </w:r>
            <w:r w:rsidRPr="0081361C">
              <w:rPr>
                <w:rFonts w:hint="eastAsia"/>
                <w:b/>
                <w:bCs/>
                <w:sz w:val="18"/>
                <w:szCs w:val="20"/>
                <w:rtl/>
              </w:rPr>
              <w:t>שוטפים</w:t>
            </w:r>
          </w:p>
        </w:tc>
        <w:tc>
          <w:tcPr>
            <w:tcW w:w="113" w:type="dxa"/>
            <w:shd w:val="clear" w:color="auto" w:fill="auto"/>
          </w:tcPr>
          <w:p w14:paraId="392B62B8"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tcBorders>
              <w:bottom w:val="double" w:sz="6" w:space="0" w:color="auto"/>
            </w:tcBorders>
            <w:shd w:val="clear" w:color="auto" w:fill="auto"/>
            <w:vAlign w:val="bottom"/>
          </w:tcPr>
          <w:p w14:paraId="5077087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018D3625"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bottom w:val="double" w:sz="6" w:space="0" w:color="auto"/>
            </w:tcBorders>
            <w:shd w:val="clear" w:color="auto" w:fill="auto"/>
            <w:vAlign w:val="bottom"/>
          </w:tcPr>
          <w:p w14:paraId="2162ECA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6B1D99E2"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bottom w:val="double" w:sz="6" w:space="0" w:color="auto"/>
            </w:tcBorders>
            <w:shd w:val="clear" w:color="auto" w:fill="auto"/>
            <w:vAlign w:val="bottom"/>
          </w:tcPr>
          <w:p w14:paraId="69A568E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09B72B09" w14:textId="77777777" w:rsidR="003351ED" w:rsidRPr="0081361C" w:rsidRDefault="003351ED" w:rsidP="0081361C">
            <w:pPr>
              <w:tabs>
                <w:tab w:val="decimal" w:pos="113"/>
              </w:tabs>
              <w:spacing w:line="200" w:lineRule="exact"/>
              <w:rPr>
                <w:sz w:val="18"/>
                <w:szCs w:val="20"/>
                <w:rtl/>
              </w:rPr>
            </w:pPr>
          </w:p>
        </w:tc>
        <w:tc>
          <w:tcPr>
            <w:tcW w:w="963" w:type="dxa"/>
            <w:tcBorders>
              <w:bottom w:val="double" w:sz="6" w:space="0" w:color="auto"/>
            </w:tcBorders>
            <w:shd w:val="clear" w:color="auto" w:fill="auto"/>
            <w:vAlign w:val="bottom"/>
          </w:tcPr>
          <w:p w14:paraId="52FAB11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667A6E0" w14:textId="77777777" w:rsidR="003351ED" w:rsidRPr="0081361C" w:rsidRDefault="003351ED" w:rsidP="0081361C">
            <w:pPr>
              <w:tabs>
                <w:tab w:val="decimal" w:pos="113"/>
              </w:tabs>
              <w:spacing w:line="200" w:lineRule="exact"/>
              <w:rPr>
                <w:sz w:val="18"/>
                <w:szCs w:val="20"/>
                <w:rtl/>
              </w:rPr>
            </w:pPr>
          </w:p>
        </w:tc>
        <w:tc>
          <w:tcPr>
            <w:tcW w:w="963" w:type="dxa"/>
            <w:tcBorders>
              <w:bottom w:val="double" w:sz="6" w:space="0" w:color="auto"/>
            </w:tcBorders>
            <w:shd w:val="clear" w:color="auto" w:fill="auto"/>
            <w:vAlign w:val="bottom"/>
          </w:tcPr>
          <w:p w14:paraId="0179C71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7D70CB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tcBorders>
              <w:bottom w:val="double" w:sz="6" w:space="0" w:color="auto"/>
            </w:tcBorders>
            <w:shd w:val="clear" w:color="auto" w:fill="auto"/>
            <w:vAlign w:val="bottom"/>
          </w:tcPr>
          <w:p w14:paraId="501019D5"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50B870A0" w14:textId="77777777" w:rsidTr="0081361C">
        <w:tc>
          <w:tcPr>
            <w:tcW w:w="1613" w:type="dxa"/>
            <w:shd w:val="clear" w:color="auto" w:fill="auto"/>
            <w:vAlign w:val="bottom"/>
          </w:tcPr>
          <w:p w14:paraId="048D1515"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Pr>
            </w:pPr>
          </w:p>
        </w:tc>
        <w:tc>
          <w:tcPr>
            <w:tcW w:w="113" w:type="dxa"/>
            <w:shd w:val="clear" w:color="auto" w:fill="auto"/>
          </w:tcPr>
          <w:p w14:paraId="336E73E3"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tcBorders>
              <w:top w:val="double" w:sz="6" w:space="0" w:color="auto"/>
            </w:tcBorders>
            <w:vAlign w:val="bottom"/>
          </w:tcPr>
          <w:p w14:paraId="2F609A3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2809062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top w:val="double" w:sz="6" w:space="0" w:color="auto"/>
            </w:tcBorders>
            <w:shd w:val="clear" w:color="auto" w:fill="auto"/>
            <w:vAlign w:val="bottom"/>
          </w:tcPr>
          <w:p w14:paraId="7D3DB54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361081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top w:val="double" w:sz="6" w:space="0" w:color="auto"/>
            </w:tcBorders>
            <w:shd w:val="clear" w:color="auto" w:fill="auto"/>
            <w:vAlign w:val="bottom"/>
          </w:tcPr>
          <w:p w14:paraId="7C8122C3"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011F9811" w14:textId="77777777" w:rsidR="003351ED" w:rsidRPr="0081361C" w:rsidRDefault="003351ED" w:rsidP="0081361C">
            <w:pPr>
              <w:tabs>
                <w:tab w:val="decimal" w:pos="113"/>
              </w:tabs>
              <w:spacing w:line="200" w:lineRule="exact"/>
              <w:rPr>
                <w:sz w:val="18"/>
                <w:szCs w:val="20"/>
                <w:rtl/>
              </w:rPr>
            </w:pPr>
          </w:p>
        </w:tc>
        <w:tc>
          <w:tcPr>
            <w:tcW w:w="963" w:type="dxa"/>
            <w:tcBorders>
              <w:top w:val="double" w:sz="6" w:space="0" w:color="auto"/>
            </w:tcBorders>
            <w:shd w:val="clear" w:color="auto" w:fill="auto"/>
            <w:vAlign w:val="bottom"/>
          </w:tcPr>
          <w:p w14:paraId="3419762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FD695ED" w14:textId="77777777" w:rsidR="003351ED" w:rsidRPr="0081361C" w:rsidRDefault="003351ED" w:rsidP="0081361C">
            <w:pPr>
              <w:tabs>
                <w:tab w:val="decimal" w:pos="113"/>
              </w:tabs>
              <w:spacing w:line="200" w:lineRule="exact"/>
              <w:rPr>
                <w:sz w:val="18"/>
                <w:szCs w:val="20"/>
                <w:rtl/>
              </w:rPr>
            </w:pPr>
          </w:p>
        </w:tc>
        <w:tc>
          <w:tcPr>
            <w:tcW w:w="963" w:type="dxa"/>
            <w:tcBorders>
              <w:top w:val="double" w:sz="6" w:space="0" w:color="auto"/>
            </w:tcBorders>
            <w:shd w:val="clear" w:color="auto" w:fill="auto"/>
            <w:vAlign w:val="bottom"/>
          </w:tcPr>
          <w:p w14:paraId="76428FA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28F01F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tcBorders>
              <w:top w:val="double" w:sz="6" w:space="0" w:color="auto"/>
            </w:tcBorders>
            <w:shd w:val="clear" w:color="auto" w:fill="auto"/>
            <w:vAlign w:val="bottom"/>
          </w:tcPr>
          <w:p w14:paraId="734C49CF"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414EF58A" w14:textId="77777777" w:rsidTr="0081361C">
        <w:tc>
          <w:tcPr>
            <w:tcW w:w="1613" w:type="dxa"/>
            <w:shd w:val="clear" w:color="auto" w:fill="auto"/>
            <w:vAlign w:val="bottom"/>
          </w:tcPr>
          <w:p w14:paraId="4EC58FA7" w14:textId="77777777" w:rsidR="003351ED" w:rsidRPr="0081361C" w:rsidRDefault="003351ED" w:rsidP="0081361C">
            <w:pPr>
              <w:widowControl/>
              <w:tabs>
                <w:tab w:val="left" w:pos="227"/>
                <w:tab w:val="left" w:pos="397"/>
                <w:tab w:val="left" w:pos="567"/>
              </w:tabs>
              <w:spacing w:line="200" w:lineRule="exact"/>
              <w:ind w:left="283" w:hanging="227"/>
              <w:jc w:val="left"/>
              <w:rPr>
                <w:b/>
                <w:bCs/>
                <w:sz w:val="18"/>
                <w:szCs w:val="20"/>
                <w:u w:val="single"/>
              </w:rPr>
            </w:pPr>
            <w:r w:rsidRPr="0081361C">
              <w:rPr>
                <w:rFonts w:hint="eastAsia"/>
                <w:b/>
                <w:bCs/>
                <w:sz w:val="18"/>
                <w:szCs w:val="20"/>
                <w:u w:val="single"/>
                <w:rtl/>
              </w:rPr>
              <w:t>התחייבויות</w:t>
            </w:r>
            <w:r w:rsidRPr="0081361C">
              <w:rPr>
                <w:rFonts w:hint="cs"/>
                <w:b/>
                <w:bCs/>
                <w:sz w:val="18"/>
                <w:szCs w:val="20"/>
                <w:u w:val="single"/>
                <w:rtl/>
              </w:rPr>
              <w:t xml:space="preserve"> פיננסיות:</w:t>
            </w:r>
          </w:p>
        </w:tc>
        <w:tc>
          <w:tcPr>
            <w:tcW w:w="113" w:type="dxa"/>
            <w:shd w:val="clear" w:color="auto" w:fill="auto"/>
          </w:tcPr>
          <w:p w14:paraId="0C24D83B"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7C880BB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0A37A70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1410A9E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E534A13"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3C4DB37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0BEA99AD"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4216333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68B80671"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76DC1D1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555588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6632AE20"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21D95FCD" w14:textId="77777777" w:rsidTr="0081361C">
        <w:tc>
          <w:tcPr>
            <w:tcW w:w="1613" w:type="dxa"/>
            <w:shd w:val="clear" w:color="auto" w:fill="auto"/>
            <w:vAlign w:val="bottom"/>
          </w:tcPr>
          <w:p w14:paraId="0D2E88E6"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p>
        </w:tc>
        <w:tc>
          <w:tcPr>
            <w:tcW w:w="113" w:type="dxa"/>
            <w:shd w:val="clear" w:color="auto" w:fill="auto"/>
          </w:tcPr>
          <w:p w14:paraId="4D46AA42"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2AFE837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0107204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096D799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7DF5C9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5EF103E8"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F2FD005"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484C298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CE123F7"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542D75F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6F14AB7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07033A1F"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29AE2BE1" w14:textId="77777777" w:rsidTr="0081361C">
        <w:tc>
          <w:tcPr>
            <w:tcW w:w="1613" w:type="dxa"/>
            <w:shd w:val="clear" w:color="auto" w:fill="auto"/>
            <w:vAlign w:val="bottom"/>
          </w:tcPr>
          <w:p w14:paraId="2B3CF937"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Pr>
            </w:pPr>
            <w:r w:rsidRPr="0081361C">
              <w:rPr>
                <w:rFonts w:hint="cs"/>
                <w:sz w:val="18"/>
                <w:szCs w:val="20"/>
                <w:rtl/>
              </w:rPr>
              <w:t>הלוואות ויתרות נושאות ריבית</w:t>
            </w:r>
          </w:p>
        </w:tc>
        <w:tc>
          <w:tcPr>
            <w:tcW w:w="113" w:type="dxa"/>
            <w:shd w:val="clear" w:color="auto" w:fill="auto"/>
          </w:tcPr>
          <w:p w14:paraId="5D31803B"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tcBorders>
              <w:bottom w:val="single" w:sz="6" w:space="0" w:color="auto"/>
            </w:tcBorders>
            <w:shd w:val="clear" w:color="auto" w:fill="auto"/>
            <w:vAlign w:val="bottom"/>
          </w:tcPr>
          <w:p w14:paraId="4F113BB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632BAA2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bottom w:val="single" w:sz="6" w:space="0" w:color="auto"/>
            </w:tcBorders>
            <w:shd w:val="clear" w:color="auto" w:fill="auto"/>
            <w:vAlign w:val="bottom"/>
          </w:tcPr>
          <w:p w14:paraId="1D2A69A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F236E2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bottom w:val="single" w:sz="6" w:space="0" w:color="auto"/>
            </w:tcBorders>
            <w:shd w:val="clear" w:color="auto" w:fill="auto"/>
            <w:vAlign w:val="bottom"/>
          </w:tcPr>
          <w:p w14:paraId="0D45A32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3904EF4" w14:textId="77777777" w:rsidR="003351ED" w:rsidRPr="0081361C" w:rsidRDefault="003351ED" w:rsidP="0081361C">
            <w:pPr>
              <w:tabs>
                <w:tab w:val="decimal" w:pos="113"/>
              </w:tabs>
              <w:spacing w:line="200" w:lineRule="exact"/>
              <w:rPr>
                <w:sz w:val="18"/>
                <w:szCs w:val="20"/>
                <w:rtl/>
              </w:rPr>
            </w:pPr>
          </w:p>
        </w:tc>
        <w:tc>
          <w:tcPr>
            <w:tcW w:w="963" w:type="dxa"/>
            <w:tcBorders>
              <w:bottom w:val="single" w:sz="6" w:space="0" w:color="auto"/>
            </w:tcBorders>
            <w:shd w:val="clear" w:color="auto" w:fill="auto"/>
            <w:vAlign w:val="bottom"/>
          </w:tcPr>
          <w:p w14:paraId="1231CD4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1B9D8A3E" w14:textId="77777777" w:rsidR="003351ED" w:rsidRPr="0081361C" w:rsidRDefault="003351ED" w:rsidP="0081361C">
            <w:pPr>
              <w:tabs>
                <w:tab w:val="decimal" w:pos="113"/>
              </w:tabs>
              <w:spacing w:line="200" w:lineRule="exact"/>
              <w:rPr>
                <w:sz w:val="18"/>
                <w:szCs w:val="20"/>
                <w:rtl/>
              </w:rPr>
            </w:pPr>
          </w:p>
        </w:tc>
        <w:tc>
          <w:tcPr>
            <w:tcW w:w="963" w:type="dxa"/>
            <w:tcBorders>
              <w:bottom w:val="single" w:sz="6" w:space="0" w:color="auto"/>
            </w:tcBorders>
            <w:shd w:val="clear" w:color="auto" w:fill="auto"/>
            <w:vAlign w:val="bottom"/>
          </w:tcPr>
          <w:p w14:paraId="05CD37C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CE0A8A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tcBorders>
              <w:bottom w:val="single" w:sz="6" w:space="0" w:color="auto"/>
            </w:tcBorders>
            <w:shd w:val="clear" w:color="auto" w:fill="auto"/>
            <w:vAlign w:val="bottom"/>
          </w:tcPr>
          <w:p w14:paraId="41B3CC37"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55C621AF" w14:textId="77777777" w:rsidTr="0081361C">
        <w:tc>
          <w:tcPr>
            <w:tcW w:w="1613" w:type="dxa"/>
            <w:shd w:val="clear" w:color="auto" w:fill="auto"/>
            <w:vAlign w:val="bottom"/>
          </w:tcPr>
          <w:p w14:paraId="19D61EAC"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cs"/>
                <w:sz w:val="18"/>
                <w:szCs w:val="20"/>
                <w:rtl/>
              </w:rPr>
              <w:t>יתרות חובה אחרות</w:t>
            </w:r>
          </w:p>
        </w:tc>
        <w:tc>
          <w:tcPr>
            <w:tcW w:w="113" w:type="dxa"/>
            <w:shd w:val="clear" w:color="auto" w:fill="auto"/>
          </w:tcPr>
          <w:p w14:paraId="46636E59"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tcBorders>
              <w:top w:val="single" w:sz="6" w:space="0" w:color="auto"/>
              <w:bottom w:val="single" w:sz="6" w:space="0" w:color="auto"/>
            </w:tcBorders>
            <w:shd w:val="clear" w:color="auto" w:fill="auto"/>
            <w:vAlign w:val="bottom"/>
          </w:tcPr>
          <w:p w14:paraId="6F8D1935"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130CEE08"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top w:val="single" w:sz="6" w:space="0" w:color="auto"/>
              <w:bottom w:val="single" w:sz="6" w:space="0" w:color="auto"/>
            </w:tcBorders>
            <w:shd w:val="clear" w:color="auto" w:fill="auto"/>
            <w:vAlign w:val="bottom"/>
          </w:tcPr>
          <w:p w14:paraId="72147268"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1576074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top w:val="single" w:sz="6" w:space="0" w:color="auto"/>
              <w:bottom w:val="single" w:sz="6" w:space="0" w:color="auto"/>
            </w:tcBorders>
            <w:shd w:val="clear" w:color="auto" w:fill="auto"/>
            <w:vAlign w:val="bottom"/>
          </w:tcPr>
          <w:p w14:paraId="6C010BA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F29B520" w14:textId="77777777" w:rsidR="003351ED" w:rsidRPr="0081361C" w:rsidRDefault="003351ED" w:rsidP="0081361C">
            <w:pPr>
              <w:tabs>
                <w:tab w:val="decimal" w:pos="113"/>
              </w:tabs>
              <w:spacing w:line="200" w:lineRule="exact"/>
              <w:rPr>
                <w:sz w:val="18"/>
                <w:szCs w:val="20"/>
                <w:rtl/>
              </w:rPr>
            </w:pPr>
          </w:p>
        </w:tc>
        <w:tc>
          <w:tcPr>
            <w:tcW w:w="963" w:type="dxa"/>
            <w:tcBorders>
              <w:top w:val="single" w:sz="6" w:space="0" w:color="auto"/>
              <w:bottom w:val="single" w:sz="6" w:space="0" w:color="auto"/>
            </w:tcBorders>
            <w:shd w:val="clear" w:color="auto" w:fill="auto"/>
            <w:vAlign w:val="bottom"/>
          </w:tcPr>
          <w:p w14:paraId="7E167F5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0200A0B" w14:textId="77777777" w:rsidR="003351ED" w:rsidRPr="0081361C" w:rsidRDefault="003351ED" w:rsidP="0081361C">
            <w:pPr>
              <w:tabs>
                <w:tab w:val="decimal" w:pos="113"/>
              </w:tabs>
              <w:spacing w:line="200" w:lineRule="exact"/>
              <w:rPr>
                <w:sz w:val="18"/>
                <w:szCs w:val="20"/>
                <w:rtl/>
              </w:rPr>
            </w:pPr>
          </w:p>
        </w:tc>
        <w:tc>
          <w:tcPr>
            <w:tcW w:w="963" w:type="dxa"/>
            <w:tcBorders>
              <w:top w:val="single" w:sz="6" w:space="0" w:color="auto"/>
              <w:bottom w:val="single" w:sz="6" w:space="0" w:color="auto"/>
            </w:tcBorders>
            <w:shd w:val="clear" w:color="auto" w:fill="auto"/>
            <w:vAlign w:val="bottom"/>
          </w:tcPr>
          <w:p w14:paraId="282E0EF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0A008102"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tcBorders>
              <w:top w:val="single" w:sz="6" w:space="0" w:color="auto"/>
              <w:bottom w:val="single" w:sz="6" w:space="0" w:color="auto"/>
            </w:tcBorders>
            <w:shd w:val="clear" w:color="auto" w:fill="auto"/>
            <w:vAlign w:val="bottom"/>
          </w:tcPr>
          <w:p w14:paraId="5061DF73" w14:textId="77777777" w:rsidR="003351ED" w:rsidRPr="0081361C" w:rsidRDefault="003351ED" w:rsidP="0081361C">
            <w:pPr>
              <w:tabs>
                <w:tab w:val="decimal" w:pos="113"/>
              </w:tabs>
              <w:spacing w:line="200" w:lineRule="exact"/>
              <w:ind w:left="57"/>
              <w:rPr>
                <w:rFonts w:ascii="Calisto MT" w:hAnsi="Calisto MT"/>
                <w:sz w:val="18"/>
                <w:szCs w:val="20"/>
                <w:rtl/>
              </w:rPr>
            </w:pPr>
          </w:p>
        </w:tc>
      </w:tr>
    </w:tbl>
    <w:p w14:paraId="2D07076C" w14:textId="77777777" w:rsidR="00892691" w:rsidRPr="00892691" w:rsidRDefault="00892691" w:rsidP="0097675E">
      <w:pPr>
        <w:rPr>
          <w:rtl/>
        </w:rPr>
      </w:pPr>
    </w:p>
    <w:tbl>
      <w:tblPr>
        <w:tblStyle w:val="af6"/>
        <w:bidiVisual/>
        <w:tblW w:w="9691"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8674"/>
      </w:tblGrid>
      <w:tr w:rsidR="001A4186" w:rsidRPr="00E1769C" w14:paraId="2FBBC558" w14:textId="77777777" w:rsidTr="00E1769C">
        <w:tc>
          <w:tcPr>
            <w:tcW w:w="1017" w:type="dxa"/>
            <w:tcMar>
              <w:left w:w="0" w:type="dxa"/>
              <w:right w:w="0" w:type="dxa"/>
            </w:tcMar>
          </w:tcPr>
          <w:p w14:paraId="01B493B4" w14:textId="77777777" w:rsidR="00892691" w:rsidRPr="00E1769C" w:rsidRDefault="00892691" w:rsidP="00E1769C">
            <w:pPr>
              <w:spacing w:line="200" w:lineRule="exact"/>
              <w:rPr>
                <w:sz w:val="12"/>
                <w:szCs w:val="14"/>
                <w:rtl/>
              </w:rPr>
            </w:pPr>
          </w:p>
        </w:tc>
        <w:tc>
          <w:tcPr>
            <w:tcW w:w="8674" w:type="dxa"/>
            <w:tcBorders>
              <w:left w:val="nil"/>
            </w:tcBorders>
            <w:tcMar>
              <w:left w:w="0" w:type="dxa"/>
              <w:right w:w="0" w:type="dxa"/>
            </w:tcMar>
          </w:tcPr>
          <w:p w14:paraId="07930F39" w14:textId="77777777" w:rsidR="001A4186" w:rsidRPr="00E1769C" w:rsidRDefault="001A4186" w:rsidP="00E1769C">
            <w:pPr>
              <w:pStyle w:val="21"/>
              <w:shd w:val="clear" w:color="auto" w:fill="D9D9D9" w:themeFill="background1" w:themeFillShade="D9"/>
              <w:spacing w:line="200" w:lineRule="exact"/>
              <w:ind w:left="0" w:firstLine="0"/>
              <w:rPr>
                <w:sz w:val="18"/>
                <w:szCs w:val="20"/>
                <w:rtl/>
              </w:rPr>
            </w:pPr>
            <w:r w:rsidRPr="00E1769C">
              <w:rPr>
                <w:rFonts w:hint="cs"/>
                <w:sz w:val="18"/>
                <w:szCs w:val="20"/>
                <w:u w:val="single"/>
                <w:rtl/>
              </w:rPr>
              <w:t>הערה:</w:t>
            </w:r>
          </w:p>
        </w:tc>
      </w:tr>
      <w:tr w:rsidR="001A4186" w:rsidRPr="00E1769C" w14:paraId="4CDA3B35" w14:textId="77777777" w:rsidTr="00F62D48">
        <w:tc>
          <w:tcPr>
            <w:tcW w:w="1017" w:type="dxa"/>
            <w:tcMar>
              <w:left w:w="0" w:type="dxa"/>
              <w:right w:w="0" w:type="dxa"/>
            </w:tcMar>
          </w:tcPr>
          <w:p w14:paraId="518E7DF3" w14:textId="77777777" w:rsidR="00892691" w:rsidRPr="00E1769C" w:rsidRDefault="00892691" w:rsidP="00E1769C">
            <w:pPr>
              <w:spacing w:line="200" w:lineRule="exact"/>
              <w:rPr>
                <w:sz w:val="12"/>
                <w:szCs w:val="14"/>
                <w:rtl/>
              </w:rPr>
            </w:pPr>
          </w:p>
        </w:tc>
        <w:tc>
          <w:tcPr>
            <w:tcW w:w="8674" w:type="dxa"/>
            <w:tcBorders>
              <w:left w:val="nil"/>
            </w:tcBorders>
            <w:tcMar>
              <w:left w:w="0" w:type="dxa"/>
              <w:right w:w="0" w:type="dxa"/>
            </w:tcMar>
          </w:tcPr>
          <w:p w14:paraId="6282BEAF" w14:textId="77777777" w:rsidR="003D46A8" w:rsidRPr="00E1769C" w:rsidRDefault="001A4186" w:rsidP="009645B0">
            <w:pPr>
              <w:pStyle w:val="21"/>
              <w:shd w:val="clear" w:color="auto" w:fill="D9D9D9" w:themeFill="background1" w:themeFillShade="D9"/>
              <w:spacing w:line="200" w:lineRule="exact"/>
              <w:ind w:left="0" w:firstLine="0"/>
              <w:rPr>
                <w:sz w:val="18"/>
                <w:szCs w:val="20"/>
                <w:rtl/>
              </w:rPr>
            </w:pPr>
            <w:r w:rsidRPr="00E1769C">
              <w:rPr>
                <w:rFonts w:hint="cs"/>
                <w:sz w:val="18"/>
                <w:szCs w:val="20"/>
                <w:rtl/>
              </w:rPr>
              <w:t>בהתאם ל</w:t>
            </w:r>
            <w:r w:rsidRPr="00E1769C">
              <w:rPr>
                <w:sz w:val="18"/>
                <w:szCs w:val="20"/>
                <w:rtl/>
              </w:rPr>
              <w:t>סעיף 16א</w:t>
            </w:r>
            <w:r w:rsidR="006017C8" w:rsidRPr="00E1769C">
              <w:rPr>
                <w:rFonts w:hint="cs"/>
                <w:sz w:val="18"/>
                <w:szCs w:val="20"/>
                <w:rtl/>
              </w:rPr>
              <w:t>(י)</w:t>
            </w:r>
            <w:r w:rsidRPr="00E1769C">
              <w:rPr>
                <w:sz w:val="18"/>
                <w:szCs w:val="20"/>
                <w:rtl/>
              </w:rPr>
              <w:t xml:space="preserve"> ל- 34 </w:t>
            </w:r>
            <w:r w:rsidRPr="00E1769C">
              <w:rPr>
                <w:sz w:val="18"/>
                <w:szCs w:val="20"/>
              </w:rPr>
              <w:t>IAS</w:t>
            </w:r>
            <w:r w:rsidRPr="00E1769C">
              <w:rPr>
                <w:sz w:val="18"/>
                <w:szCs w:val="20"/>
                <w:rtl/>
              </w:rPr>
              <w:t xml:space="preserve"> שתוקן </w:t>
            </w:r>
            <w:r w:rsidR="006017C8" w:rsidRPr="00E1769C">
              <w:rPr>
                <w:rFonts w:hint="cs"/>
                <w:sz w:val="18"/>
                <w:szCs w:val="20"/>
                <w:rtl/>
              </w:rPr>
              <w:t xml:space="preserve">על ידי </w:t>
            </w:r>
            <w:r w:rsidRPr="00E1769C">
              <w:rPr>
                <w:sz w:val="18"/>
                <w:szCs w:val="20"/>
                <w:rtl/>
              </w:rPr>
              <w:t xml:space="preserve">13 </w:t>
            </w:r>
            <w:r w:rsidRPr="00E1769C">
              <w:rPr>
                <w:sz w:val="18"/>
                <w:szCs w:val="20"/>
              </w:rPr>
              <w:t>IFRS</w:t>
            </w:r>
            <w:r w:rsidRPr="00E1769C">
              <w:rPr>
                <w:sz w:val="18"/>
                <w:szCs w:val="20"/>
                <w:rtl/>
              </w:rPr>
              <w:t xml:space="preserve">, </w:t>
            </w:r>
            <w:r w:rsidR="006017C8" w:rsidRPr="00E1769C">
              <w:rPr>
                <w:rFonts w:hint="cs"/>
                <w:sz w:val="18"/>
                <w:szCs w:val="20"/>
                <w:rtl/>
              </w:rPr>
              <w:t xml:space="preserve">נדרש לתת גילוי </w:t>
            </w:r>
            <w:r w:rsidRPr="00E1769C">
              <w:rPr>
                <w:sz w:val="18"/>
                <w:szCs w:val="20"/>
                <w:rtl/>
              </w:rPr>
              <w:t>לגבי היתרות</w:t>
            </w:r>
            <w:r w:rsidRPr="00E1769C">
              <w:rPr>
                <w:rFonts w:hint="cs"/>
                <w:sz w:val="18"/>
                <w:szCs w:val="20"/>
                <w:rtl/>
              </w:rPr>
              <w:t xml:space="preserve"> </w:t>
            </w:r>
            <w:r w:rsidRPr="00E1769C">
              <w:rPr>
                <w:sz w:val="18"/>
                <w:szCs w:val="20"/>
                <w:rtl/>
              </w:rPr>
              <w:t xml:space="preserve">בספרים והשווי ההוגן של המכשירים הפיננסיים </w:t>
            </w:r>
            <w:r w:rsidR="006017C8" w:rsidRPr="00E1769C">
              <w:rPr>
                <w:rFonts w:hint="cs"/>
                <w:sz w:val="18"/>
                <w:szCs w:val="20"/>
                <w:rtl/>
              </w:rPr>
              <w:t xml:space="preserve">לפי </w:t>
            </w:r>
            <w:r w:rsidRPr="00E1769C">
              <w:rPr>
                <w:sz w:val="18"/>
                <w:szCs w:val="20"/>
                <w:rtl/>
              </w:rPr>
              <w:t>סעיפים</w:t>
            </w:r>
            <w:r w:rsidR="006017C8" w:rsidRPr="00E1769C">
              <w:rPr>
                <w:rFonts w:hint="cs"/>
                <w:sz w:val="18"/>
                <w:szCs w:val="20"/>
                <w:rtl/>
              </w:rPr>
              <w:t xml:space="preserve"> 7.25-26 </w:t>
            </w:r>
            <w:r w:rsidR="006017C8" w:rsidRPr="00E1769C">
              <w:rPr>
                <w:rFonts w:hint="cs"/>
                <w:sz w:val="18"/>
                <w:szCs w:val="20"/>
              </w:rPr>
              <w:t>IFRS</w:t>
            </w:r>
            <w:r w:rsidR="006017C8" w:rsidRPr="00E1769C">
              <w:rPr>
                <w:rFonts w:hint="cs"/>
                <w:sz w:val="18"/>
                <w:szCs w:val="20"/>
                <w:rtl/>
              </w:rPr>
              <w:t xml:space="preserve"> ו- 7.28-30 </w:t>
            </w:r>
            <w:r w:rsidR="006017C8" w:rsidRPr="00E1769C">
              <w:rPr>
                <w:rFonts w:hint="cs"/>
                <w:sz w:val="18"/>
                <w:szCs w:val="20"/>
              </w:rPr>
              <w:t>IFRS</w:t>
            </w:r>
            <w:r w:rsidR="006017C8" w:rsidRPr="00E1769C">
              <w:rPr>
                <w:rFonts w:hint="cs"/>
                <w:sz w:val="18"/>
                <w:szCs w:val="20"/>
                <w:rtl/>
              </w:rPr>
              <w:t xml:space="preserve">. </w:t>
            </w:r>
          </w:p>
        </w:tc>
      </w:tr>
      <w:tr w:rsidR="00F62D48" w:rsidRPr="00E1769C" w14:paraId="52074623" w14:textId="77777777" w:rsidTr="00F62D48">
        <w:tc>
          <w:tcPr>
            <w:tcW w:w="1017" w:type="dxa"/>
            <w:tcMar>
              <w:left w:w="0" w:type="dxa"/>
              <w:right w:w="0" w:type="dxa"/>
            </w:tcMar>
            <w:vAlign w:val="center"/>
          </w:tcPr>
          <w:p w14:paraId="46823CFE" w14:textId="77777777" w:rsidR="00F62D48" w:rsidRPr="00E1769C" w:rsidRDefault="00F62D48" w:rsidP="00E1769C">
            <w:pPr>
              <w:spacing w:line="200" w:lineRule="exact"/>
              <w:rPr>
                <w:i/>
                <w:iCs/>
                <w:sz w:val="12"/>
                <w:szCs w:val="14"/>
              </w:rPr>
            </w:pPr>
          </w:p>
        </w:tc>
        <w:tc>
          <w:tcPr>
            <w:tcW w:w="8674" w:type="dxa"/>
            <w:tcMar>
              <w:left w:w="0" w:type="dxa"/>
              <w:right w:w="0" w:type="dxa"/>
            </w:tcMar>
          </w:tcPr>
          <w:p w14:paraId="0D6AB751" w14:textId="77777777" w:rsidR="00F62D48" w:rsidRPr="00E1769C" w:rsidRDefault="00F62D48" w:rsidP="00E1769C">
            <w:pPr>
              <w:pStyle w:val="21"/>
              <w:shd w:val="clear" w:color="auto" w:fill="D9D9D9" w:themeFill="background1" w:themeFillShade="D9"/>
              <w:spacing w:line="200" w:lineRule="exact"/>
              <w:ind w:left="0" w:firstLine="0"/>
              <w:rPr>
                <w:sz w:val="18"/>
                <w:szCs w:val="20"/>
                <w:rtl/>
              </w:rPr>
            </w:pPr>
          </w:p>
        </w:tc>
      </w:tr>
      <w:tr w:rsidR="001A4186" w:rsidRPr="00E1769C" w14:paraId="7419D61E" w14:textId="77777777" w:rsidTr="00F62D48">
        <w:tc>
          <w:tcPr>
            <w:tcW w:w="1017" w:type="dxa"/>
            <w:tcBorders>
              <w:bottom w:val="single" w:sz="6" w:space="0" w:color="auto"/>
              <w:right w:val="single" w:sz="6" w:space="0" w:color="auto"/>
            </w:tcBorders>
            <w:tcMar>
              <w:left w:w="0" w:type="dxa"/>
              <w:right w:w="0" w:type="dxa"/>
            </w:tcMar>
            <w:vAlign w:val="center"/>
          </w:tcPr>
          <w:p w14:paraId="6B1E2EDA" w14:textId="77777777" w:rsidR="00892691" w:rsidRPr="00E1769C" w:rsidRDefault="00892691" w:rsidP="00E1769C">
            <w:pPr>
              <w:spacing w:line="200" w:lineRule="exact"/>
              <w:rPr>
                <w:i/>
                <w:iCs/>
                <w:sz w:val="12"/>
                <w:szCs w:val="14"/>
                <w:rtl/>
              </w:rPr>
            </w:pPr>
            <w:r w:rsidRPr="00E1769C">
              <w:rPr>
                <w:i/>
                <w:iCs/>
                <w:sz w:val="12"/>
                <w:szCs w:val="14"/>
              </w:rPr>
              <w:t>IFRS 7.28</w:t>
            </w:r>
          </w:p>
        </w:tc>
        <w:tc>
          <w:tcPr>
            <w:tcW w:w="8674" w:type="dxa"/>
            <w:tcBorders>
              <w:left w:val="single" w:sz="6" w:space="0" w:color="auto"/>
            </w:tcBorders>
            <w:tcMar>
              <w:left w:w="0" w:type="dxa"/>
              <w:right w:w="0" w:type="dxa"/>
            </w:tcMar>
          </w:tcPr>
          <w:p w14:paraId="7FF84FC9" w14:textId="77777777" w:rsidR="003D46A8" w:rsidRPr="00E1769C" w:rsidRDefault="001A4186" w:rsidP="00E1769C">
            <w:pPr>
              <w:pStyle w:val="21"/>
              <w:shd w:val="clear" w:color="auto" w:fill="D9D9D9" w:themeFill="background1" w:themeFillShade="D9"/>
              <w:spacing w:line="200" w:lineRule="exact"/>
              <w:ind w:left="0" w:firstLine="0"/>
              <w:rPr>
                <w:sz w:val="18"/>
                <w:szCs w:val="20"/>
                <w:rtl/>
              </w:rPr>
            </w:pPr>
            <w:r w:rsidRPr="00E1769C">
              <w:rPr>
                <w:rFonts w:hint="cs"/>
                <w:sz w:val="18"/>
                <w:szCs w:val="20"/>
                <w:rtl/>
              </w:rPr>
              <w:t xml:space="preserve">במקרה בו החברה הכירה במהלך תקופת הדיווח בנכס פיננסי או </w:t>
            </w:r>
            <w:r w:rsidR="006017C8" w:rsidRPr="00E1769C">
              <w:rPr>
                <w:rFonts w:hint="cs"/>
                <w:sz w:val="18"/>
                <w:szCs w:val="20"/>
                <w:rtl/>
              </w:rPr>
              <w:t>ב</w:t>
            </w:r>
            <w:r w:rsidRPr="00E1769C">
              <w:rPr>
                <w:rFonts w:hint="cs"/>
                <w:sz w:val="18"/>
                <w:szCs w:val="20"/>
                <w:rtl/>
              </w:rPr>
              <w:t xml:space="preserve">התחייבות פיננסית </w:t>
            </w:r>
            <w:r w:rsidR="006017C8" w:rsidRPr="00E1769C">
              <w:rPr>
                <w:rFonts w:hint="cs"/>
                <w:sz w:val="18"/>
                <w:szCs w:val="20"/>
                <w:rtl/>
              </w:rPr>
              <w:t>ש</w:t>
            </w:r>
            <w:r w:rsidRPr="00E1769C">
              <w:rPr>
                <w:rFonts w:hint="cs"/>
                <w:sz w:val="18"/>
                <w:szCs w:val="20"/>
                <w:rtl/>
              </w:rPr>
              <w:t>מחיר העסקה שלהם לא היווה את הראיה הטובה ביותר לשווי ההוגן</w:t>
            </w:r>
            <w:r w:rsidR="00047D3A" w:rsidRPr="00E1769C">
              <w:rPr>
                <w:rFonts w:hint="cs"/>
                <w:sz w:val="18"/>
                <w:szCs w:val="20"/>
                <w:rtl/>
              </w:rPr>
              <w:t xml:space="preserve"> שלהם,</w:t>
            </w:r>
            <w:r w:rsidRPr="00E1769C">
              <w:rPr>
                <w:rFonts w:hint="cs"/>
                <w:sz w:val="18"/>
                <w:szCs w:val="20"/>
                <w:rtl/>
              </w:rPr>
              <w:t xml:space="preserve"> עליה לתת </w:t>
            </w:r>
            <w:r w:rsidR="00047D3A" w:rsidRPr="00E1769C">
              <w:rPr>
                <w:rFonts w:hint="cs"/>
                <w:sz w:val="18"/>
                <w:szCs w:val="20"/>
                <w:rtl/>
              </w:rPr>
              <w:t xml:space="preserve">גם </w:t>
            </w:r>
            <w:r w:rsidRPr="00E1769C">
              <w:rPr>
                <w:rFonts w:hint="cs"/>
                <w:sz w:val="18"/>
                <w:szCs w:val="20"/>
                <w:rtl/>
              </w:rPr>
              <w:t>את הגילויים הנדרשים על ידי</w:t>
            </w:r>
            <w:r w:rsidR="00047D3A" w:rsidRPr="00E1769C">
              <w:rPr>
                <w:rFonts w:hint="cs"/>
                <w:sz w:val="18"/>
                <w:szCs w:val="20"/>
                <w:rtl/>
              </w:rPr>
              <w:t xml:space="preserve"> 7.28 </w:t>
            </w:r>
            <w:r w:rsidR="00047D3A" w:rsidRPr="00E1769C">
              <w:rPr>
                <w:rFonts w:hint="cs"/>
                <w:sz w:val="18"/>
                <w:szCs w:val="20"/>
              </w:rPr>
              <w:t>IFRS</w:t>
            </w:r>
            <w:r w:rsidRPr="00E1769C">
              <w:rPr>
                <w:rFonts w:hint="cs"/>
                <w:sz w:val="18"/>
                <w:szCs w:val="20"/>
                <w:rtl/>
              </w:rPr>
              <w:t xml:space="preserve">. </w:t>
            </w:r>
          </w:p>
        </w:tc>
      </w:tr>
      <w:tr w:rsidR="001A4186" w:rsidRPr="00E1769C" w14:paraId="51AF7305" w14:textId="77777777" w:rsidTr="00F62D48">
        <w:tc>
          <w:tcPr>
            <w:tcW w:w="1017" w:type="dxa"/>
            <w:tcBorders>
              <w:top w:val="single" w:sz="6" w:space="0" w:color="auto"/>
              <w:bottom w:val="single" w:sz="6" w:space="0" w:color="auto"/>
              <w:right w:val="single" w:sz="6" w:space="0" w:color="auto"/>
            </w:tcBorders>
            <w:tcMar>
              <w:left w:w="0" w:type="dxa"/>
              <w:right w:w="0" w:type="dxa"/>
            </w:tcMar>
            <w:vAlign w:val="center"/>
          </w:tcPr>
          <w:p w14:paraId="1E381FBB" w14:textId="77777777" w:rsidR="00892691" w:rsidRPr="00E1769C" w:rsidRDefault="001A4186" w:rsidP="00E1769C">
            <w:pPr>
              <w:spacing w:line="200" w:lineRule="exact"/>
              <w:rPr>
                <w:sz w:val="12"/>
                <w:szCs w:val="14"/>
                <w:rtl/>
              </w:rPr>
            </w:pPr>
            <w:r w:rsidRPr="00E1769C">
              <w:rPr>
                <w:rFonts w:hint="cs"/>
                <w:i/>
                <w:iCs/>
                <w:sz w:val="12"/>
                <w:szCs w:val="14"/>
              </w:rPr>
              <w:t>IFRS</w:t>
            </w:r>
            <w:r w:rsidRPr="00E1769C">
              <w:rPr>
                <w:i/>
                <w:iCs/>
                <w:sz w:val="12"/>
                <w:szCs w:val="14"/>
              </w:rPr>
              <w:t xml:space="preserve"> 7</w:t>
            </w:r>
            <w:r w:rsidR="00892691" w:rsidRPr="00E1769C">
              <w:rPr>
                <w:sz w:val="12"/>
                <w:szCs w:val="14"/>
              </w:rPr>
              <w:t>.29</w:t>
            </w:r>
          </w:p>
        </w:tc>
        <w:tc>
          <w:tcPr>
            <w:tcW w:w="8674" w:type="dxa"/>
            <w:tcBorders>
              <w:left w:val="single" w:sz="6" w:space="0" w:color="auto"/>
            </w:tcBorders>
            <w:tcMar>
              <w:left w:w="0" w:type="dxa"/>
              <w:right w:w="0" w:type="dxa"/>
            </w:tcMar>
          </w:tcPr>
          <w:p w14:paraId="6A2612E3" w14:textId="77777777" w:rsidR="003D46A8" w:rsidRPr="00E1769C" w:rsidRDefault="001A4186" w:rsidP="00E1769C">
            <w:pPr>
              <w:pStyle w:val="21"/>
              <w:shd w:val="clear" w:color="auto" w:fill="D9D9D9" w:themeFill="background1" w:themeFillShade="D9"/>
              <w:spacing w:line="200" w:lineRule="exact"/>
              <w:ind w:left="0" w:firstLine="0"/>
              <w:rPr>
                <w:sz w:val="18"/>
                <w:szCs w:val="20"/>
                <w:rtl/>
              </w:rPr>
            </w:pPr>
            <w:r w:rsidRPr="00E1769C">
              <w:rPr>
                <w:rFonts w:hint="cs"/>
                <w:sz w:val="18"/>
                <w:szCs w:val="20"/>
                <w:rtl/>
              </w:rPr>
              <w:t xml:space="preserve">כאשר היתרה בספרים של מכשירים פיננסיים מסוימים, כגון, מזומנים, חייבים ויתרות חובה לזמן קצר, תואמת או קרובה לשווי ההוגן שלהם, לא נדרש לתת את הגילוי לשווי ההוגן שלהם </w:t>
            </w:r>
            <w:r w:rsidR="00CA5A5A" w:rsidRPr="00E1769C">
              <w:rPr>
                <w:rFonts w:hint="cs"/>
                <w:sz w:val="18"/>
                <w:szCs w:val="20"/>
                <w:rtl/>
              </w:rPr>
              <w:t>על פי (</w:t>
            </w:r>
            <w:r w:rsidR="00CA5A5A" w:rsidRPr="00E1769C">
              <w:rPr>
                <w:sz w:val="18"/>
                <w:szCs w:val="20"/>
              </w:rPr>
              <w:t>a</w:t>
            </w:r>
            <w:r w:rsidR="00CA5A5A" w:rsidRPr="00E1769C">
              <w:rPr>
                <w:rFonts w:hint="cs"/>
                <w:sz w:val="18"/>
                <w:szCs w:val="20"/>
                <w:rtl/>
              </w:rPr>
              <w:t>)7.29</w:t>
            </w:r>
            <w:r w:rsidRPr="00E1769C">
              <w:rPr>
                <w:rFonts w:hint="cs"/>
                <w:sz w:val="18"/>
                <w:szCs w:val="20"/>
                <w:rtl/>
              </w:rPr>
              <w:t xml:space="preserve"> </w:t>
            </w:r>
            <w:r w:rsidRPr="00E1769C">
              <w:rPr>
                <w:rFonts w:hint="cs"/>
                <w:sz w:val="18"/>
                <w:szCs w:val="20"/>
              </w:rPr>
              <w:t>IFRS</w:t>
            </w:r>
            <w:r w:rsidRPr="00E1769C">
              <w:rPr>
                <w:rFonts w:hint="cs"/>
                <w:sz w:val="18"/>
                <w:szCs w:val="20"/>
                <w:rtl/>
              </w:rPr>
              <w:t xml:space="preserve">. </w:t>
            </w:r>
          </w:p>
        </w:tc>
      </w:tr>
      <w:tr w:rsidR="001A4186" w:rsidRPr="00E1769C" w14:paraId="7002021E" w14:textId="77777777" w:rsidTr="00F62D48">
        <w:tc>
          <w:tcPr>
            <w:tcW w:w="1017" w:type="dxa"/>
            <w:tcBorders>
              <w:top w:val="single" w:sz="6" w:space="0" w:color="auto"/>
              <w:bottom w:val="single" w:sz="8" w:space="0" w:color="auto"/>
              <w:right w:val="single" w:sz="6" w:space="0" w:color="auto"/>
            </w:tcBorders>
            <w:tcMar>
              <w:left w:w="0" w:type="dxa"/>
              <w:right w:w="0" w:type="dxa"/>
            </w:tcMar>
            <w:vAlign w:val="center"/>
          </w:tcPr>
          <w:p w14:paraId="52DC5783" w14:textId="77777777" w:rsidR="00892691" w:rsidRPr="00E1769C" w:rsidRDefault="001A4186" w:rsidP="00E1769C">
            <w:pPr>
              <w:spacing w:line="200" w:lineRule="exact"/>
              <w:rPr>
                <w:sz w:val="12"/>
                <w:szCs w:val="14"/>
                <w:rtl/>
              </w:rPr>
            </w:pPr>
            <w:r w:rsidRPr="00E1769C">
              <w:rPr>
                <w:rFonts w:hint="cs"/>
                <w:i/>
                <w:iCs/>
                <w:sz w:val="12"/>
                <w:szCs w:val="14"/>
              </w:rPr>
              <w:t>IFRS</w:t>
            </w:r>
            <w:r w:rsidRPr="00E1769C">
              <w:rPr>
                <w:i/>
                <w:iCs/>
                <w:sz w:val="12"/>
                <w:szCs w:val="14"/>
              </w:rPr>
              <w:t xml:space="preserve"> 7</w:t>
            </w:r>
            <w:r w:rsidRPr="00E1769C">
              <w:rPr>
                <w:sz w:val="12"/>
                <w:szCs w:val="14"/>
              </w:rPr>
              <w:t>.30</w:t>
            </w:r>
          </w:p>
        </w:tc>
        <w:tc>
          <w:tcPr>
            <w:tcW w:w="8674" w:type="dxa"/>
            <w:tcBorders>
              <w:left w:val="single" w:sz="6" w:space="0" w:color="auto"/>
            </w:tcBorders>
            <w:tcMar>
              <w:left w:w="0" w:type="dxa"/>
              <w:right w:w="0" w:type="dxa"/>
            </w:tcMar>
          </w:tcPr>
          <w:p w14:paraId="6A162E7B" w14:textId="77777777" w:rsidR="003D46A8" w:rsidRPr="00E1769C" w:rsidRDefault="00CA5A5A" w:rsidP="00E1769C">
            <w:pPr>
              <w:pStyle w:val="21"/>
              <w:shd w:val="clear" w:color="auto" w:fill="D9D9D9" w:themeFill="background1" w:themeFillShade="D9"/>
              <w:spacing w:line="200" w:lineRule="exact"/>
              <w:ind w:left="0" w:firstLine="0"/>
              <w:rPr>
                <w:sz w:val="18"/>
                <w:szCs w:val="20"/>
                <w:rtl/>
              </w:rPr>
            </w:pPr>
            <w:r w:rsidRPr="00E1769C">
              <w:rPr>
                <w:rFonts w:hint="cs"/>
                <w:sz w:val="18"/>
                <w:szCs w:val="20"/>
                <w:rtl/>
              </w:rPr>
              <w:t>אם</w:t>
            </w:r>
            <w:r w:rsidR="001A4186" w:rsidRPr="00E1769C">
              <w:rPr>
                <w:rFonts w:hint="cs"/>
                <w:sz w:val="18"/>
                <w:szCs w:val="20"/>
                <w:rtl/>
              </w:rPr>
              <w:t xml:space="preserve"> החברה מחזיקה במכשירים </w:t>
            </w:r>
            <w:r w:rsidRPr="00E1769C">
              <w:rPr>
                <w:rFonts w:hint="cs"/>
                <w:sz w:val="18"/>
                <w:szCs w:val="20"/>
                <w:rtl/>
              </w:rPr>
              <w:t>ש</w:t>
            </w:r>
            <w:r w:rsidR="001A4186" w:rsidRPr="00E1769C">
              <w:rPr>
                <w:rFonts w:hint="cs"/>
                <w:sz w:val="18"/>
                <w:szCs w:val="20"/>
                <w:rtl/>
              </w:rPr>
              <w:t xml:space="preserve">שווים ההוגן אינו ניתן למדידה באופן מהימן, </w:t>
            </w:r>
            <w:r w:rsidRPr="00E1769C">
              <w:rPr>
                <w:rFonts w:hint="cs"/>
                <w:sz w:val="18"/>
                <w:szCs w:val="20"/>
                <w:rtl/>
              </w:rPr>
              <w:t xml:space="preserve">עליה </w:t>
            </w:r>
            <w:r w:rsidR="001A4186" w:rsidRPr="00E1769C">
              <w:rPr>
                <w:rFonts w:hint="cs"/>
                <w:sz w:val="18"/>
                <w:szCs w:val="20"/>
                <w:rtl/>
              </w:rPr>
              <w:t xml:space="preserve">לתת </w:t>
            </w:r>
            <w:r w:rsidRPr="00E1769C">
              <w:rPr>
                <w:rFonts w:hint="cs"/>
                <w:sz w:val="18"/>
                <w:szCs w:val="20"/>
                <w:rtl/>
              </w:rPr>
              <w:t xml:space="preserve">גם </w:t>
            </w:r>
            <w:r w:rsidR="001A4186" w:rsidRPr="00E1769C">
              <w:rPr>
                <w:rFonts w:hint="cs"/>
                <w:sz w:val="18"/>
                <w:szCs w:val="20"/>
                <w:rtl/>
              </w:rPr>
              <w:t>את הגילויים בהתאם לסעיף</w:t>
            </w:r>
            <w:r w:rsidRPr="00E1769C">
              <w:rPr>
                <w:rFonts w:hint="cs"/>
                <w:sz w:val="18"/>
                <w:szCs w:val="20"/>
                <w:rtl/>
              </w:rPr>
              <w:t xml:space="preserve"> 7.30 </w:t>
            </w:r>
            <w:r w:rsidR="001A4186" w:rsidRPr="00E1769C">
              <w:rPr>
                <w:rFonts w:hint="cs"/>
                <w:sz w:val="18"/>
                <w:szCs w:val="20"/>
              </w:rPr>
              <w:t>IFRS</w:t>
            </w:r>
            <w:r w:rsidR="001A4186" w:rsidRPr="00E1769C">
              <w:rPr>
                <w:rFonts w:hint="cs"/>
                <w:sz w:val="18"/>
                <w:szCs w:val="20"/>
                <w:rtl/>
              </w:rPr>
              <w:t>.</w:t>
            </w:r>
          </w:p>
        </w:tc>
      </w:tr>
    </w:tbl>
    <w:p w14:paraId="24FDEAB8" w14:textId="77777777" w:rsidR="00892691" w:rsidRPr="00892691" w:rsidRDefault="00892691" w:rsidP="00892691">
      <w:pPr>
        <w:pStyle w:val="21"/>
        <w:ind w:left="1689" w:firstLine="0"/>
        <w:rPr>
          <w:rtl/>
        </w:rPr>
      </w:pPr>
    </w:p>
    <w:p w14:paraId="3C224D44" w14:textId="77777777" w:rsidR="00AE7425" w:rsidRDefault="002F0A8F" w:rsidP="002F0A8F">
      <w:pPr>
        <w:pStyle w:val="21"/>
      </w:pPr>
      <w:r>
        <w:rPr>
          <w:rFonts w:hint="cs"/>
          <w:rtl/>
        </w:rPr>
        <w:t>ב.</w:t>
      </w:r>
      <w:r>
        <w:rPr>
          <w:rFonts w:hint="cs"/>
          <w:rtl/>
        </w:rPr>
        <w:tab/>
      </w:r>
      <w:r w:rsidR="00980048" w:rsidRPr="002F0A8F">
        <w:rPr>
          <w:rFonts w:hint="cs"/>
          <w:u w:val="single"/>
          <w:rtl/>
        </w:rPr>
        <w:t>סיווג מכשירים פיננסים לפי מדרג שווי הוגן</w:t>
      </w:r>
    </w:p>
    <w:p w14:paraId="0AFAFAEE" w14:textId="77777777" w:rsidR="00892691" w:rsidRPr="00892691" w:rsidRDefault="00892691" w:rsidP="00892691">
      <w:pPr>
        <w:pStyle w:val="21"/>
        <w:ind w:left="1689" w:firstLine="0"/>
        <w:rPr>
          <w:rtl/>
        </w:rPr>
      </w:pPr>
    </w:p>
    <w:p w14:paraId="59792C0A" w14:textId="77777777" w:rsidR="00455D16" w:rsidRDefault="00455D16" w:rsidP="00455D16">
      <w:pPr>
        <w:pStyle w:val="30"/>
        <w:rPr>
          <w:u w:val="single"/>
          <w:rtl/>
        </w:rPr>
      </w:pPr>
      <w:r w:rsidRPr="007D64FF">
        <w:rPr>
          <w:rFonts w:hint="cs"/>
          <w:u w:val="single"/>
          <w:rtl/>
        </w:rPr>
        <w:t>נכסים פיננסיים הנמדדים בשווי הוגן</w:t>
      </w:r>
    </w:p>
    <w:p w14:paraId="189B6296" w14:textId="77777777" w:rsidR="00455D16" w:rsidRPr="007D64FF" w:rsidRDefault="00455D16" w:rsidP="00455D16">
      <w:pPr>
        <w:pStyle w:val="30"/>
        <w:rPr>
          <w:u w:val="single"/>
          <w:rtl/>
        </w:rPr>
      </w:pPr>
    </w:p>
    <w:tbl>
      <w:tblPr>
        <w:bidiVisual/>
        <w:tblW w:w="9663" w:type="dxa"/>
        <w:tblInd w:w="8" w:type="dxa"/>
        <w:tblLayout w:type="fixed"/>
        <w:tblCellMar>
          <w:left w:w="0" w:type="dxa"/>
          <w:right w:w="0" w:type="dxa"/>
        </w:tblCellMar>
        <w:tblLook w:val="01E0" w:firstRow="1" w:lastRow="1" w:firstColumn="1" w:lastColumn="1" w:noHBand="0" w:noVBand="0"/>
      </w:tblPr>
      <w:tblGrid>
        <w:gridCol w:w="1030"/>
        <w:gridCol w:w="700"/>
        <w:gridCol w:w="2743"/>
        <w:gridCol w:w="154"/>
        <w:gridCol w:w="1036"/>
        <w:gridCol w:w="149"/>
        <w:gridCol w:w="1133"/>
        <w:gridCol w:w="226"/>
        <w:gridCol w:w="1133"/>
        <w:gridCol w:w="226"/>
        <w:gridCol w:w="1133"/>
      </w:tblGrid>
      <w:tr w:rsidR="003351ED" w:rsidRPr="00D55173" w14:paraId="3F7D0C18" w14:textId="77777777" w:rsidTr="003351ED">
        <w:tc>
          <w:tcPr>
            <w:tcW w:w="1030" w:type="dxa"/>
            <w:tcBorders>
              <w:bottom w:val="single" w:sz="6" w:space="0" w:color="auto"/>
              <w:right w:val="single" w:sz="6" w:space="0" w:color="auto"/>
            </w:tcBorders>
            <w:vAlign w:val="center"/>
          </w:tcPr>
          <w:p w14:paraId="1C21DE00" w14:textId="77777777" w:rsidR="003351ED" w:rsidRPr="00892691" w:rsidRDefault="003351ED">
            <w:pPr>
              <w:widowControl/>
              <w:tabs>
                <w:tab w:val="left" w:pos="227"/>
                <w:tab w:val="left" w:pos="397"/>
                <w:tab w:val="left" w:pos="567"/>
              </w:tabs>
              <w:spacing w:line="240" w:lineRule="exact"/>
              <w:ind w:left="57"/>
              <w:jc w:val="left"/>
              <w:rPr>
                <w:i/>
                <w:iCs/>
                <w:sz w:val="13"/>
                <w:szCs w:val="13"/>
              </w:rPr>
            </w:pPr>
          </w:p>
        </w:tc>
        <w:tc>
          <w:tcPr>
            <w:tcW w:w="700" w:type="dxa"/>
            <w:tcBorders>
              <w:left w:val="single" w:sz="6" w:space="0" w:color="auto"/>
            </w:tcBorders>
          </w:tcPr>
          <w:p w14:paraId="5A4E60BE" w14:textId="77777777" w:rsidR="003351ED" w:rsidRPr="00D55173" w:rsidRDefault="003351ED" w:rsidP="007148DB">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0BE24273" w14:textId="77777777" w:rsidR="003351ED" w:rsidRPr="00D55173" w:rsidRDefault="003351ED" w:rsidP="007148DB">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021BFF10" w14:textId="77777777" w:rsidR="003351ED" w:rsidRPr="00D55173" w:rsidRDefault="003351ED" w:rsidP="007148DB">
            <w:pPr>
              <w:spacing w:line="240" w:lineRule="exact"/>
              <w:rPr>
                <w:sz w:val="22"/>
                <w:rtl/>
              </w:rPr>
            </w:pPr>
          </w:p>
        </w:tc>
        <w:tc>
          <w:tcPr>
            <w:tcW w:w="5036" w:type="dxa"/>
            <w:gridSpan w:val="7"/>
            <w:tcBorders>
              <w:bottom w:val="single" w:sz="6" w:space="0" w:color="auto"/>
            </w:tcBorders>
            <w:shd w:val="clear" w:color="auto" w:fill="auto"/>
            <w:vAlign w:val="bottom"/>
          </w:tcPr>
          <w:p w14:paraId="0714AEA8" w14:textId="18CB117F" w:rsidR="003351ED" w:rsidRDefault="003351ED" w:rsidP="00C17B51">
            <w:pPr>
              <w:spacing w:line="240" w:lineRule="exact"/>
              <w:jc w:val="center"/>
              <w:rPr>
                <w:sz w:val="22"/>
                <w:rtl/>
              </w:rPr>
            </w:pPr>
            <w:r>
              <w:rPr>
                <w:rFonts w:hint="cs"/>
                <w:sz w:val="22"/>
                <w:rtl/>
              </w:rPr>
              <w:t xml:space="preserve">30 בספטמבר, </w:t>
            </w:r>
            <w:r w:rsidR="004A4A6B">
              <w:rPr>
                <w:rFonts w:hint="cs"/>
                <w:sz w:val="22"/>
                <w:rtl/>
              </w:rPr>
              <w:t>201</w:t>
            </w:r>
            <w:r w:rsidR="00C17B51">
              <w:rPr>
                <w:rFonts w:hint="cs"/>
                <w:sz w:val="22"/>
                <w:rtl/>
              </w:rPr>
              <w:t>9</w:t>
            </w:r>
          </w:p>
        </w:tc>
      </w:tr>
      <w:tr w:rsidR="003517FC" w:rsidRPr="00D55173" w14:paraId="39813F8B" w14:textId="77777777" w:rsidTr="003351ED">
        <w:tc>
          <w:tcPr>
            <w:tcW w:w="1030" w:type="dxa"/>
            <w:vMerge w:val="restart"/>
            <w:tcBorders>
              <w:bottom w:val="single" w:sz="6" w:space="0" w:color="auto"/>
              <w:right w:val="single" w:sz="6" w:space="0" w:color="auto"/>
            </w:tcBorders>
            <w:vAlign w:val="center"/>
          </w:tcPr>
          <w:p w14:paraId="3B45D3DE" w14:textId="77777777" w:rsidR="003D46A8" w:rsidRDefault="00892691">
            <w:pPr>
              <w:widowControl/>
              <w:tabs>
                <w:tab w:val="left" w:pos="227"/>
                <w:tab w:val="left" w:pos="397"/>
                <w:tab w:val="left" w:pos="567"/>
              </w:tabs>
              <w:spacing w:line="240" w:lineRule="exact"/>
              <w:ind w:left="57"/>
              <w:jc w:val="left"/>
              <w:rPr>
                <w:i/>
                <w:iCs/>
                <w:sz w:val="13"/>
                <w:szCs w:val="13"/>
              </w:rPr>
            </w:pPr>
            <w:r w:rsidRPr="00892691">
              <w:rPr>
                <w:i/>
                <w:iCs/>
                <w:sz w:val="13"/>
                <w:szCs w:val="13"/>
              </w:rPr>
              <w:t>IFRS 13.93(b)</w:t>
            </w:r>
          </w:p>
          <w:p w14:paraId="00DDD06E" w14:textId="77777777" w:rsidR="00892691" w:rsidRDefault="00892691">
            <w:pPr>
              <w:widowControl/>
              <w:tabs>
                <w:tab w:val="left" w:pos="227"/>
                <w:tab w:val="left" w:pos="397"/>
                <w:tab w:val="left" w:pos="567"/>
              </w:tabs>
              <w:spacing w:line="240" w:lineRule="exact"/>
              <w:ind w:left="57"/>
              <w:jc w:val="left"/>
              <w:rPr>
                <w:sz w:val="22"/>
                <w:rtl/>
              </w:rPr>
            </w:pPr>
            <w:r w:rsidRPr="00892691">
              <w:rPr>
                <w:i/>
                <w:iCs/>
                <w:sz w:val="13"/>
                <w:szCs w:val="13"/>
              </w:rPr>
              <w:t>IFRS 13.94</w:t>
            </w:r>
          </w:p>
        </w:tc>
        <w:tc>
          <w:tcPr>
            <w:tcW w:w="700" w:type="dxa"/>
            <w:tcBorders>
              <w:left w:val="single" w:sz="6" w:space="0" w:color="auto"/>
            </w:tcBorders>
          </w:tcPr>
          <w:p w14:paraId="5891CB33" w14:textId="77777777" w:rsidR="003517FC" w:rsidRPr="00D55173" w:rsidRDefault="003517FC" w:rsidP="007148DB">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6C2D490E" w14:textId="77777777" w:rsidR="003517FC" w:rsidRPr="00D55173" w:rsidRDefault="003517FC" w:rsidP="007148DB">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2058881D" w14:textId="77777777" w:rsidR="003517FC" w:rsidRPr="00D55173" w:rsidRDefault="003517FC" w:rsidP="007148DB">
            <w:pPr>
              <w:spacing w:line="240" w:lineRule="exact"/>
              <w:rPr>
                <w:sz w:val="22"/>
                <w:rtl/>
              </w:rPr>
            </w:pPr>
          </w:p>
        </w:tc>
        <w:tc>
          <w:tcPr>
            <w:tcW w:w="1036" w:type="dxa"/>
            <w:tcBorders>
              <w:bottom w:val="single" w:sz="6" w:space="0" w:color="auto"/>
            </w:tcBorders>
            <w:shd w:val="clear" w:color="auto" w:fill="auto"/>
            <w:vAlign w:val="bottom"/>
          </w:tcPr>
          <w:p w14:paraId="7F6A74E8" w14:textId="77777777" w:rsidR="00892691" w:rsidRDefault="003517FC" w:rsidP="00892691">
            <w:pPr>
              <w:spacing w:line="240" w:lineRule="exact"/>
              <w:jc w:val="center"/>
              <w:rPr>
                <w:sz w:val="22"/>
                <w:rtl/>
              </w:rPr>
            </w:pPr>
            <w:r w:rsidRPr="00D55173">
              <w:rPr>
                <w:rFonts w:hint="cs"/>
                <w:sz w:val="22"/>
                <w:rtl/>
              </w:rPr>
              <w:t>רמה 1</w:t>
            </w:r>
          </w:p>
        </w:tc>
        <w:tc>
          <w:tcPr>
            <w:tcW w:w="149" w:type="dxa"/>
            <w:shd w:val="clear" w:color="auto" w:fill="auto"/>
            <w:vAlign w:val="bottom"/>
          </w:tcPr>
          <w:p w14:paraId="3213E736" w14:textId="77777777" w:rsidR="003517FC" w:rsidRPr="00D55173" w:rsidRDefault="003517FC" w:rsidP="007148DB">
            <w:pPr>
              <w:spacing w:line="240" w:lineRule="exact"/>
              <w:rPr>
                <w:sz w:val="22"/>
                <w:rtl/>
              </w:rPr>
            </w:pPr>
          </w:p>
        </w:tc>
        <w:tc>
          <w:tcPr>
            <w:tcW w:w="1133" w:type="dxa"/>
            <w:tcBorders>
              <w:bottom w:val="single" w:sz="6" w:space="0" w:color="auto"/>
            </w:tcBorders>
            <w:shd w:val="clear" w:color="auto" w:fill="auto"/>
            <w:vAlign w:val="bottom"/>
          </w:tcPr>
          <w:p w14:paraId="4099D111" w14:textId="77777777" w:rsidR="003517FC" w:rsidRPr="00D55173" w:rsidRDefault="003517FC" w:rsidP="007148DB">
            <w:pPr>
              <w:spacing w:line="240" w:lineRule="exact"/>
              <w:jc w:val="center"/>
              <w:rPr>
                <w:sz w:val="22"/>
                <w:rtl/>
              </w:rPr>
            </w:pPr>
            <w:r w:rsidRPr="00D55173">
              <w:rPr>
                <w:rFonts w:hint="cs"/>
                <w:sz w:val="22"/>
                <w:rtl/>
              </w:rPr>
              <w:t>רמה 2</w:t>
            </w:r>
          </w:p>
        </w:tc>
        <w:tc>
          <w:tcPr>
            <w:tcW w:w="226" w:type="dxa"/>
            <w:shd w:val="clear" w:color="auto" w:fill="auto"/>
            <w:vAlign w:val="bottom"/>
          </w:tcPr>
          <w:p w14:paraId="67F659D5" w14:textId="77777777" w:rsidR="003517FC" w:rsidRPr="00D55173" w:rsidRDefault="003517FC" w:rsidP="007148DB">
            <w:pPr>
              <w:spacing w:line="240" w:lineRule="exact"/>
              <w:jc w:val="center"/>
              <w:rPr>
                <w:sz w:val="22"/>
                <w:rtl/>
              </w:rPr>
            </w:pPr>
          </w:p>
        </w:tc>
        <w:tc>
          <w:tcPr>
            <w:tcW w:w="1133" w:type="dxa"/>
            <w:tcBorders>
              <w:bottom w:val="single" w:sz="6" w:space="0" w:color="auto"/>
            </w:tcBorders>
            <w:shd w:val="clear" w:color="auto" w:fill="auto"/>
            <w:vAlign w:val="bottom"/>
          </w:tcPr>
          <w:p w14:paraId="70E1265B" w14:textId="77777777" w:rsidR="003517FC" w:rsidRPr="00D55173" w:rsidRDefault="003517FC" w:rsidP="007148DB">
            <w:pPr>
              <w:spacing w:line="240" w:lineRule="exact"/>
              <w:jc w:val="center"/>
              <w:rPr>
                <w:sz w:val="22"/>
                <w:rtl/>
              </w:rPr>
            </w:pPr>
            <w:r w:rsidRPr="00D55173">
              <w:rPr>
                <w:rFonts w:hint="cs"/>
                <w:sz w:val="22"/>
                <w:rtl/>
              </w:rPr>
              <w:t>רמה 3</w:t>
            </w:r>
          </w:p>
        </w:tc>
        <w:tc>
          <w:tcPr>
            <w:tcW w:w="226" w:type="dxa"/>
            <w:shd w:val="clear" w:color="auto" w:fill="auto"/>
            <w:vAlign w:val="bottom"/>
          </w:tcPr>
          <w:p w14:paraId="08895312" w14:textId="77777777" w:rsidR="003517FC" w:rsidRPr="00D55173" w:rsidRDefault="003517FC" w:rsidP="007148DB">
            <w:pPr>
              <w:spacing w:line="240" w:lineRule="exact"/>
              <w:jc w:val="center"/>
              <w:rPr>
                <w:sz w:val="22"/>
                <w:rtl/>
              </w:rPr>
            </w:pPr>
          </w:p>
        </w:tc>
        <w:tc>
          <w:tcPr>
            <w:tcW w:w="1133" w:type="dxa"/>
            <w:tcBorders>
              <w:bottom w:val="single" w:sz="6" w:space="0" w:color="auto"/>
            </w:tcBorders>
            <w:shd w:val="clear" w:color="auto" w:fill="auto"/>
            <w:vAlign w:val="bottom"/>
          </w:tcPr>
          <w:p w14:paraId="17447D22" w14:textId="77777777" w:rsidR="003517FC" w:rsidRPr="00D55173" w:rsidRDefault="003517FC" w:rsidP="007148DB">
            <w:pPr>
              <w:spacing w:line="240" w:lineRule="exact"/>
              <w:jc w:val="center"/>
              <w:rPr>
                <w:sz w:val="22"/>
                <w:rtl/>
              </w:rPr>
            </w:pPr>
            <w:r>
              <w:rPr>
                <w:rFonts w:hint="cs"/>
                <w:sz w:val="22"/>
                <w:rtl/>
              </w:rPr>
              <w:t>סה"כ</w:t>
            </w:r>
          </w:p>
        </w:tc>
      </w:tr>
      <w:tr w:rsidR="003517FC" w:rsidRPr="00D55173" w14:paraId="6718C709" w14:textId="77777777" w:rsidTr="003351ED">
        <w:tc>
          <w:tcPr>
            <w:tcW w:w="1030" w:type="dxa"/>
            <w:vMerge/>
            <w:tcBorders>
              <w:top w:val="single" w:sz="6" w:space="0" w:color="auto"/>
              <w:bottom w:val="single" w:sz="6" w:space="0" w:color="auto"/>
              <w:right w:val="single" w:sz="6" w:space="0" w:color="auto"/>
            </w:tcBorders>
          </w:tcPr>
          <w:p w14:paraId="2E6F8832" w14:textId="77777777" w:rsidR="003517FC" w:rsidRPr="00D55173" w:rsidRDefault="003517FC" w:rsidP="007148DB">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07C8B1B2" w14:textId="77777777" w:rsidR="003517FC" w:rsidRPr="00D55173" w:rsidRDefault="003517FC" w:rsidP="007148DB">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3955B0BD" w14:textId="77777777" w:rsidR="003517FC" w:rsidRPr="00D55173" w:rsidRDefault="003517FC" w:rsidP="007148DB">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276A098B" w14:textId="77777777" w:rsidR="003517FC" w:rsidRPr="00D55173" w:rsidRDefault="003517FC" w:rsidP="007148DB">
            <w:pPr>
              <w:spacing w:line="240" w:lineRule="exact"/>
              <w:rPr>
                <w:sz w:val="22"/>
                <w:rtl/>
              </w:rPr>
            </w:pPr>
          </w:p>
        </w:tc>
        <w:tc>
          <w:tcPr>
            <w:tcW w:w="5036" w:type="dxa"/>
            <w:gridSpan w:val="7"/>
            <w:tcBorders>
              <w:bottom w:val="single" w:sz="6" w:space="0" w:color="auto"/>
            </w:tcBorders>
            <w:shd w:val="clear" w:color="auto" w:fill="auto"/>
            <w:vAlign w:val="bottom"/>
          </w:tcPr>
          <w:p w14:paraId="29FCECE5" w14:textId="77777777" w:rsidR="003517FC" w:rsidRPr="00D55173" w:rsidRDefault="003517FC" w:rsidP="007148DB">
            <w:pPr>
              <w:spacing w:line="240" w:lineRule="exact"/>
              <w:jc w:val="center"/>
              <w:rPr>
                <w:sz w:val="22"/>
                <w:rtl/>
              </w:rPr>
            </w:pPr>
            <w:r w:rsidRPr="00D55173">
              <w:rPr>
                <w:rFonts w:hint="cs"/>
                <w:sz w:val="22"/>
                <w:rtl/>
              </w:rPr>
              <w:t>אלפי ש"ח</w:t>
            </w:r>
          </w:p>
        </w:tc>
      </w:tr>
      <w:tr w:rsidR="003517FC" w:rsidRPr="00D55173" w14:paraId="652683F6" w14:textId="77777777" w:rsidTr="003351ED">
        <w:tc>
          <w:tcPr>
            <w:tcW w:w="1030" w:type="dxa"/>
            <w:vMerge/>
            <w:tcBorders>
              <w:top w:val="single" w:sz="6" w:space="0" w:color="auto"/>
              <w:bottom w:val="single" w:sz="6" w:space="0" w:color="auto"/>
              <w:right w:val="single" w:sz="6" w:space="0" w:color="auto"/>
            </w:tcBorders>
          </w:tcPr>
          <w:p w14:paraId="3C9886CD" w14:textId="77777777" w:rsidR="003517FC" w:rsidRPr="00D55173" w:rsidRDefault="003517FC" w:rsidP="007148DB">
            <w:pPr>
              <w:widowControl/>
              <w:tabs>
                <w:tab w:val="left" w:pos="227"/>
                <w:tab w:val="left" w:pos="397"/>
                <w:tab w:val="left" w:pos="567"/>
              </w:tabs>
              <w:spacing w:line="240" w:lineRule="exact"/>
              <w:ind w:left="57"/>
              <w:jc w:val="left"/>
              <w:rPr>
                <w:sz w:val="22"/>
                <w:rtl/>
              </w:rPr>
            </w:pPr>
          </w:p>
        </w:tc>
        <w:tc>
          <w:tcPr>
            <w:tcW w:w="700" w:type="dxa"/>
            <w:tcBorders>
              <w:left w:val="single" w:sz="6" w:space="0" w:color="auto"/>
            </w:tcBorders>
          </w:tcPr>
          <w:p w14:paraId="42783AD8" w14:textId="77777777" w:rsidR="003517FC" w:rsidRPr="00D55173" w:rsidRDefault="003517FC" w:rsidP="007148DB">
            <w:pPr>
              <w:widowControl/>
              <w:tabs>
                <w:tab w:val="left" w:pos="227"/>
                <w:tab w:val="left" w:pos="397"/>
                <w:tab w:val="left" w:pos="567"/>
              </w:tabs>
              <w:spacing w:line="240" w:lineRule="exact"/>
              <w:ind w:left="57"/>
              <w:jc w:val="left"/>
              <w:rPr>
                <w:sz w:val="22"/>
                <w:rtl/>
              </w:rPr>
            </w:pPr>
          </w:p>
        </w:tc>
        <w:tc>
          <w:tcPr>
            <w:tcW w:w="2743" w:type="dxa"/>
            <w:shd w:val="clear" w:color="auto" w:fill="auto"/>
          </w:tcPr>
          <w:p w14:paraId="1976382E" w14:textId="77777777" w:rsidR="003517FC" w:rsidRPr="00D55173" w:rsidRDefault="003517FC" w:rsidP="007148DB">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6755E9AA" w14:textId="77777777" w:rsidR="003517FC" w:rsidRPr="00D55173" w:rsidRDefault="003517FC" w:rsidP="007148DB">
            <w:pPr>
              <w:spacing w:line="240" w:lineRule="exact"/>
              <w:rPr>
                <w:sz w:val="22"/>
                <w:rtl/>
              </w:rPr>
            </w:pPr>
          </w:p>
        </w:tc>
        <w:tc>
          <w:tcPr>
            <w:tcW w:w="1036" w:type="dxa"/>
            <w:tcBorders>
              <w:top w:val="single" w:sz="6" w:space="0" w:color="auto"/>
            </w:tcBorders>
            <w:shd w:val="clear" w:color="auto" w:fill="auto"/>
            <w:vAlign w:val="bottom"/>
          </w:tcPr>
          <w:p w14:paraId="65F21E5C" w14:textId="77777777" w:rsidR="003517FC" w:rsidRPr="00D55173" w:rsidRDefault="003517FC" w:rsidP="007148DB">
            <w:pPr>
              <w:spacing w:line="240" w:lineRule="exact"/>
              <w:rPr>
                <w:sz w:val="22"/>
                <w:rtl/>
              </w:rPr>
            </w:pPr>
          </w:p>
        </w:tc>
        <w:tc>
          <w:tcPr>
            <w:tcW w:w="149" w:type="dxa"/>
            <w:tcBorders>
              <w:top w:val="single" w:sz="6" w:space="0" w:color="auto"/>
            </w:tcBorders>
            <w:shd w:val="clear" w:color="auto" w:fill="auto"/>
            <w:vAlign w:val="bottom"/>
          </w:tcPr>
          <w:p w14:paraId="14839614" w14:textId="77777777" w:rsidR="003517FC" w:rsidRPr="00D55173" w:rsidRDefault="003517FC" w:rsidP="007148DB">
            <w:pPr>
              <w:spacing w:line="240" w:lineRule="exact"/>
              <w:rPr>
                <w:sz w:val="22"/>
                <w:rtl/>
              </w:rPr>
            </w:pPr>
          </w:p>
        </w:tc>
        <w:tc>
          <w:tcPr>
            <w:tcW w:w="1133" w:type="dxa"/>
            <w:tcBorders>
              <w:top w:val="single" w:sz="6" w:space="0" w:color="auto"/>
            </w:tcBorders>
            <w:shd w:val="clear" w:color="auto" w:fill="auto"/>
            <w:vAlign w:val="bottom"/>
          </w:tcPr>
          <w:p w14:paraId="17212AE6" w14:textId="77777777" w:rsidR="003517FC" w:rsidRPr="00D55173" w:rsidRDefault="003517FC" w:rsidP="007148DB">
            <w:pPr>
              <w:tabs>
                <w:tab w:val="decimal" w:pos="113"/>
              </w:tabs>
              <w:spacing w:line="240" w:lineRule="exact"/>
              <w:rPr>
                <w:sz w:val="22"/>
                <w:rtl/>
              </w:rPr>
            </w:pPr>
          </w:p>
        </w:tc>
        <w:tc>
          <w:tcPr>
            <w:tcW w:w="226" w:type="dxa"/>
            <w:tcBorders>
              <w:top w:val="single" w:sz="6" w:space="0" w:color="auto"/>
            </w:tcBorders>
            <w:shd w:val="clear" w:color="auto" w:fill="auto"/>
            <w:vAlign w:val="bottom"/>
          </w:tcPr>
          <w:p w14:paraId="6E7784C8" w14:textId="77777777" w:rsidR="003517FC" w:rsidRPr="00D55173" w:rsidRDefault="003517FC" w:rsidP="007148DB">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7A2DD494" w14:textId="77777777" w:rsidR="003517FC" w:rsidRPr="00D55173" w:rsidRDefault="003517FC" w:rsidP="007148DB">
            <w:pPr>
              <w:tabs>
                <w:tab w:val="decimal" w:pos="113"/>
              </w:tabs>
              <w:spacing w:line="240" w:lineRule="exact"/>
              <w:rPr>
                <w:sz w:val="22"/>
                <w:rtl/>
              </w:rPr>
            </w:pPr>
          </w:p>
        </w:tc>
        <w:tc>
          <w:tcPr>
            <w:tcW w:w="226" w:type="dxa"/>
            <w:tcBorders>
              <w:top w:val="single" w:sz="6" w:space="0" w:color="auto"/>
            </w:tcBorders>
            <w:shd w:val="clear" w:color="auto" w:fill="auto"/>
            <w:vAlign w:val="bottom"/>
          </w:tcPr>
          <w:p w14:paraId="4B412F92" w14:textId="77777777" w:rsidR="003517FC" w:rsidRPr="00D55173" w:rsidRDefault="003517FC" w:rsidP="007148DB">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1ECACCFB" w14:textId="77777777" w:rsidR="003517FC" w:rsidRPr="00D55173" w:rsidRDefault="003517FC" w:rsidP="007148DB">
            <w:pPr>
              <w:tabs>
                <w:tab w:val="decimal" w:pos="113"/>
              </w:tabs>
              <w:spacing w:line="240" w:lineRule="exact"/>
              <w:rPr>
                <w:sz w:val="22"/>
                <w:rtl/>
              </w:rPr>
            </w:pPr>
          </w:p>
        </w:tc>
      </w:tr>
      <w:tr w:rsidR="003517FC" w:rsidRPr="00D55173" w14:paraId="48630413" w14:textId="77777777" w:rsidTr="003351ED">
        <w:tc>
          <w:tcPr>
            <w:tcW w:w="1030" w:type="dxa"/>
            <w:vMerge/>
            <w:tcBorders>
              <w:top w:val="single" w:sz="6" w:space="0" w:color="auto"/>
              <w:bottom w:val="single" w:sz="6" w:space="0" w:color="auto"/>
              <w:right w:val="single" w:sz="6" w:space="0" w:color="auto"/>
            </w:tcBorders>
          </w:tcPr>
          <w:p w14:paraId="11A158D9" w14:textId="77777777" w:rsidR="003517FC" w:rsidRDefault="003517FC" w:rsidP="007148DB">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75DA468F" w14:textId="77777777" w:rsidR="003517FC" w:rsidRDefault="003517FC" w:rsidP="007148DB">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51D1D1F6" w14:textId="77777777" w:rsidR="003517FC" w:rsidRPr="00D55173" w:rsidRDefault="003517FC" w:rsidP="007148DB">
            <w:pPr>
              <w:widowControl/>
              <w:tabs>
                <w:tab w:val="left" w:pos="227"/>
                <w:tab w:val="left" w:pos="397"/>
                <w:tab w:val="left" w:pos="567"/>
              </w:tabs>
              <w:spacing w:line="240" w:lineRule="exact"/>
              <w:ind w:firstLine="57"/>
              <w:jc w:val="left"/>
              <w:rPr>
                <w:sz w:val="22"/>
                <w:rtl/>
              </w:rPr>
            </w:pPr>
            <w:r>
              <w:rPr>
                <w:rFonts w:hint="cs"/>
                <w:sz w:val="22"/>
                <w:rtl/>
              </w:rPr>
              <w:t>מכשירים הוניים</w:t>
            </w:r>
          </w:p>
        </w:tc>
        <w:tc>
          <w:tcPr>
            <w:tcW w:w="154" w:type="dxa"/>
            <w:shd w:val="clear" w:color="auto" w:fill="auto"/>
            <w:vAlign w:val="bottom"/>
          </w:tcPr>
          <w:p w14:paraId="7970A780" w14:textId="77777777" w:rsidR="003517FC" w:rsidRPr="00D55173" w:rsidRDefault="003517FC" w:rsidP="007148DB">
            <w:pPr>
              <w:spacing w:line="240" w:lineRule="exact"/>
              <w:rPr>
                <w:sz w:val="22"/>
                <w:rtl/>
              </w:rPr>
            </w:pPr>
          </w:p>
        </w:tc>
        <w:tc>
          <w:tcPr>
            <w:tcW w:w="1036" w:type="dxa"/>
            <w:shd w:val="clear" w:color="auto" w:fill="auto"/>
            <w:vAlign w:val="bottom"/>
          </w:tcPr>
          <w:p w14:paraId="71D6D13C" w14:textId="77777777" w:rsidR="003517FC" w:rsidRPr="00D55173" w:rsidRDefault="003517FC" w:rsidP="007148DB">
            <w:pPr>
              <w:spacing w:line="240" w:lineRule="exact"/>
              <w:rPr>
                <w:sz w:val="22"/>
                <w:rtl/>
              </w:rPr>
            </w:pPr>
          </w:p>
        </w:tc>
        <w:tc>
          <w:tcPr>
            <w:tcW w:w="149" w:type="dxa"/>
            <w:shd w:val="clear" w:color="auto" w:fill="auto"/>
            <w:vAlign w:val="bottom"/>
          </w:tcPr>
          <w:p w14:paraId="5925CED3" w14:textId="77777777" w:rsidR="003517FC" w:rsidRPr="00D55173" w:rsidRDefault="003517FC" w:rsidP="007148DB">
            <w:pPr>
              <w:spacing w:line="240" w:lineRule="exact"/>
              <w:rPr>
                <w:sz w:val="22"/>
                <w:rtl/>
              </w:rPr>
            </w:pPr>
          </w:p>
        </w:tc>
        <w:tc>
          <w:tcPr>
            <w:tcW w:w="1133" w:type="dxa"/>
            <w:shd w:val="clear" w:color="auto" w:fill="auto"/>
            <w:vAlign w:val="bottom"/>
          </w:tcPr>
          <w:p w14:paraId="1A7C6160"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30B068DB"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7AB3703F"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50E62728"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2879168E" w14:textId="77777777" w:rsidR="003517FC" w:rsidRPr="00D55173" w:rsidRDefault="003517FC" w:rsidP="007148DB">
            <w:pPr>
              <w:tabs>
                <w:tab w:val="decimal" w:pos="113"/>
              </w:tabs>
              <w:spacing w:line="240" w:lineRule="exact"/>
              <w:rPr>
                <w:sz w:val="22"/>
                <w:rtl/>
              </w:rPr>
            </w:pPr>
          </w:p>
        </w:tc>
      </w:tr>
      <w:tr w:rsidR="003517FC" w:rsidRPr="00D55173" w14:paraId="17D5135F" w14:textId="77777777" w:rsidTr="003351ED">
        <w:tc>
          <w:tcPr>
            <w:tcW w:w="1030" w:type="dxa"/>
            <w:vMerge/>
            <w:tcBorders>
              <w:top w:val="single" w:sz="6" w:space="0" w:color="auto"/>
              <w:bottom w:val="single" w:sz="6" w:space="0" w:color="auto"/>
              <w:right w:val="single" w:sz="6" w:space="0" w:color="auto"/>
            </w:tcBorders>
          </w:tcPr>
          <w:p w14:paraId="19A0397A" w14:textId="77777777" w:rsidR="003517FC" w:rsidRDefault="003517FC" w:rsidP="007148DB">
            <w:pPr>
              <w:widowControl/>
              <w:tabs>
                <w:tab w:val="left" w:pos="227"/>
                <w:tab w:val="left" w:pos="1056"/>
              </w:tabs>
              <w:spacing w:line="240" w:lineRule="exact"/>
              <w:ind w:firstLine="57"/>
              <w:jc w:val="left"/>
              <w:rPr>
                <w:sz w:val="22"/>
                <w:rtl/>
              </w:rPr>
            </w:pPr>
          </w:p>
        </w:tc>
        <w:tc>
          <w:tcPr>
            <w:tcW w:w="700" w:type="dxa"/>
            <w:tcBorders>
              <w:left w:val="single" w:sz="6" w:space="0" w:color="auto"/>
            </w:tcBorders>
          </w:tcPr>
          <w:p w14:paraId="32C9B85D" w14:textId="77777777" w:rsidR="003517FC" w:rsidRDefault="003517FC" w:rsidP="007148DB">
            <w:pPr>
              <w:widowControl/>
              <w:tabs>
                <w:tab w:val="left" w:pos="227"/>
                <w:tab w:val="left" w:pos="1056"/>
              </w:tabs>
              <w:spacing w:line="240" w:lineRule="exact"/>
              <w:ind w:firstLine="57"/>
              <w:jc w:val="left"/>
              <w:rPr>
                <w:sz w:val="22"/>
                <w:rtl/>
              </w:rPr>
            </w:pPr>
          </w:p>
        </w:tc>
        <w:tc>
          <w:tcPr>
            <w:tcW w:w="2743" w:type="dxa"/>
            <w:shd w:val="clear" w:color="auto" w:fill="auto"/>
          </w:tcPr>
          <w:p w14:paraId="7FB2A6B7" w14:textId="77777777" w:rsidR="003517FC" w:rsidRPr="00D55173" w:rsidRDefault="003517FC" w:rsidP="007148DB">
            <w:pPr>
              <w:widowControl/>
              <w:tabs>
                <w:tab w:val="left" w:pos="227"/>
                <w:tab w:val="left" w:pos="1056"/>
              </w:tabs>
              <w:spacing w:line="240" w:lineRule="exact"/>
              <w:ind w:firstLine="57"/>
              <w:jc w:val="left"/>
              <w:rPr>
                <w:sz w:val="22"/>
                <w:rtl/>
              </w:rPr>
            </w:pPr>
            <w:r>
              <w:rPr>
                <w:rFonts w:hint="cs"/>
                <w:sz w:val="22"/>
                <w:rtl/>
              </w:rPr>
              <w:t>מכשירי חוב</w:t>
            </w:r>
          </w:p>
        </w:tc>
        <w:tc>
          <w:tcPr>
            <w:tcW w:w="154" w:type="dxa"/>
            <w:shd w:val="clear" w:color="auto" w:fill="auto"/>
            <w:vAlign w:val="bottom"/>
          </w:tcPr>
          <w:p w14:paraId="03B2C002" w14:textId="77777777" w:rsidR="003517FC" w:rsidRPr="00D55173" w:rsidRDefault="003517FC" w:rsidP="007148DB">
            <w:pPr>
              <w:spacing w:line="240" w:lineRule="exact"/>
              <w:rPr>
                <w:sz w:val="22"/>
                <w:rtl/>
              </w:rPr>
            </w:pPr>
          </w:p>
        </w:tc>
        <w:tc>
          <w:tcPr>
            <w:tcW w:w="1036" w:type="dxa"/>
            <w:shd w:val="clear" w:color="auto" w:fill="auto"/>
            <w:vAlign w:val="bottom"/>
          </w:tcPr>
          <w:p w14:paraId="7B7CB436" w14:textId="77777777" w:rsidR="003517FC" w:rsidRPr="00D55173" w:rsidRDefault="003517FC" w:rsidP="007148DB">
            <w:pPr>
              <w:spacing w:line="240" w:lineRule="exact"/>
              <w:rPr>
                <w:sz w:val="22"/>
                <w:rtl/>
              </w:rPr>
            </w:pPr>
          </w:p>
        </w:tc>
        <w:tc>
          <w:tcPr>
            <w:tcW w:w="149" w:type="dxa"/>
            <w:shd w:val="clear" w:color="auto" w:fill="auto"/>
            <w:vAlign w:val="bottom"/>
          </w:tcPr>
          <w:p w14:paraId="7A1A7140" w14:textId="77777777" w:rsidR="003517FC" w:rsidRPr="00D55173" w:rsidRDefault="003517FC" w:rsidP="007148DB">
            <w:pPr>
              <w:spacing w:line="240" w:lineRule="exact"/>
              <w:rPr>
                <w:sz w:val="22"/>
                <w:rtl/>
              </w:rPr>
            </w:pPr>
          </w:p>
        </w:tc>
        <w:tc>
          <w:tcPr>
            <w:tcW w:w="1133" w:type="dxa"/>
            <w:shd w:val="clear" w:color="auto" w:fill="auto"/>
            <w:vAlign w:val="bottom"/>
          </w:tcPr>
          <w:p w14:paraId="6377AB58"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00F53BFE"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5B0B3DC3"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594D4E69"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05C5FF05" w14:textId="77777777" w:rsidR="003517FC" w:rsidRPr="00D55173" w:rsidRDefault="003517FC" w:rsidP="007148DB">
            <w:pPr>
              <w:tabs>
                <w:tab w:val="decimal" w:pos="113"/>
              </w:tabs>
              <w:spacing w:line="240" w:lineRule="exact"/>
              <w:rPr>
                <w:sz w:val="22"/>
                <w:rtl/>
              </w:rPr>
            </w:pPr>
          </w:p>
        </w:tc>
      </w:tr>
      <w:tr w:rsidR="003517FC" w:rsidRPr="00D55173" w14:paraId="5FC13722" w14:textId="77777777" w:rsidTr="003351ED">
        <w:tc>
          <w:tcPr>
            <w:tcW w:w="1030" w:type="dxa"/>
            <w:vMerge/>
            <w:tcBorders>
              <w:top w:val="single" w:sz="6" w:space="0" w:color="auto"/>
              <w:bottom w:val="single" w:sz="6" w:space="0" w:color="auto"/>
              <w:right w:val="single" w:sz="6" w:space="0" w:color="auto"/>
            </w:tcBorders>
          </w:tcPr>
          <w:p w14:paraId="6454F1F6" w14:textId="77777777" w:rsidR="003517FC" w:rsidRDefault="003517FC" w:rsidP="007148DB">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29D34B07" w14:textId="77777777" w:rsidR="003517FC" w:rsidRDefault="003517FC" w:rsidP="007148DB">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29F20B29" w14:textId="77777777" w:rsidR="003517FC" w:rsidRPr="00D55173" w:rsidRDefault="003517FC" w:rsidP="007148DB">
            <w:pPr>
              <w:widowControl/>
              <w:tabs>
                <w:tab w:val="left" w:pos="227"/>
                <w:tab w:val="left" w:pos="397"/>
                <w:tab w:val="left" w:pos="567"/>
              </w:tabs>
              <w:spacing w:line="240" w:lineRule="exact"/>
              <w:ind w:firstLine="57"/>
              <w:jc w:val="left"/>
              <w:rPr>
                <w:sz w:val="22"/>
                <w:rtl/>
              </w:rPr>
            </w:pPr>
            <w:r>
              <w:rPr>
                <w:rFonts w:hint="cs"/>
                <w:sz w:val="22"/>
                <w:rtl/>
              </w:rPr>
              <w:t>חוזי אקדמה על מטבע חוץ</w:t>
            </w:r>
          </w:p>
        </w:tc>
        <w:tc>
          <w:tcPr>
            <w:tcW w:w="154" w:type="dxa"/>
            <w:shd w:val="clear" w:color="auto" w:fill="auto"/>
            <w:vAlign w:val="bottom"/>
          </w:tcPr>
          <w:p w14:paraId="45A2DF8A" w14:textId="77777777" w:rsidR="003517FC" w:rsidRPr="00D55173" w:rsidRDefault="003517FC" w:rsidP="007148DB">
            <w:pPr>
              <w:spacing w:line="240" w:lineRule="exact"/>
              <w:rPr>
                <w:sz w:val="22"/>
                <w:rtl/>
              </w:rPr>
            </w:pPr>
          </w:p>
        </w:tc>
        <w:tc>
          <w:tcPr>
            <w:tcW w:w="1036" w:type="dxa"/>
            <w:shd w:val="clear" w:color="auto" w:fill="auto"/>
            <w:vAlign w:val="bottom"/>
          </w:tcPr>
          <w:p w14:paraId="14667B17" w14:textId="77777777" w:rsidR="003517FC" w:rsidRPr="00D55173" w:rsidRDefault="003517FC" w:rsidP="007148DB">
            <w:pPr>
              <w:spacing w:line="240" w:lineRule="exact"/>
              <w:rPr>
                <w:sz w:val="22"/>
                <w:rtl/>
              </w:rPr>
            </w:pPr>
          </w:p>
        </w:tc>
        <w:tc>
          <w:tcPr>
            <w:tcW w:w="149" w:type="dxa"/>
            <w:shd w:val="clear" w:color="auto" w:fill="auto"/>
            <w:vAlign w:val="bottom"/>
          </w:tcPr>
          <w:p w14:paraId="3A8CDF8C" w14:textId="77777777" w:rsidR="003517FC" w:rsidRPr="00D55173" w:rsidRDefault="003517FC" w:rsidP="007148DB">
            <w:pPr>
              <w:spacing w:line="240" w:lineRule="exact"/>
              <w:rPr>
                <w:sz w:val="22"/>
                <w:rtl/>
              </w:rPr>
            </w:pPr>
          </w:p>
        </w:tc>
        <w:tc>
          <w:tcPr>
            <w:tcW w:w="1133" w:type="dxa"/>
            <w:shd w:val="clear" w:color="auto" w:fill="auto"/>
            <w:vAlign w:val="bottom"/>
          </w:tcPr>
          <w:p w14:paraId="4968CE8F"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54C90F7A"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406398C2"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47E8115C"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2CEEC9D2" w14:textId="77777777" w:rsidR="003517FC" w:rsidRPr="00D55173" w:rsidRDefault="003517FC" w:rsidP="007148DB">
            <w:pPr>
              <w:tabs>
                <w:tab w:val="decimal" w:pos="113"/>
              </w:tabs>
              <w:spacing w:line="240" w:lineRule="exact"/>
              <w:rPr>
                <w:sz w:val="22"/>
                <w:rtl/>
              </w:rPr>
            </w:pPr>
          </w:p>
        </w:tc>
      </w:tr>
      <w:tr w:rsidR="003517FC" w:rsidRPr="00D55173" w14:paraId="0ED56D09" w14:textId="77777777" w:rsidTr="003351ED">
        <w:tc>
          <w:tcPr>
            <w:tcW w:w="1030" w:type="dxa"/>
            <w:vMerge/>
            <w:tcBorders>
              <w:top w:val="single" w:sz="6" w:space="0" w:color="auto"/>
              <w:bottom w:val="single" w:sz="6" w:space="0" w:color="auto"/>
              <w:right w:val="single" w:sz="6" w:space="0" w:color="auto"/>
            </w:tcBorders>
          </w:tcPr>
          <w:p w14:paraId="126CF5E3" w14:textId="77777777" w:rsidR="003517FC" w:rsidRDefault="003517FC" w:rsidP="007148DB">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7921B378" w14:textId="77777777" w:rsidR="003517FC" w:rsidRDefault="003517FC" w:rsidP="007148DB">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1CEEF0AA" w14:textId="77777777" w:rsidR="003517FC" w:rsidRPr="00D55173" w:rsidRDefault="003517FC" w:rsidP="007148DB">
            <w:pPr>
              <w:widowControl/>
              <w:tabs>
                <w:tab w:val="left" w:pos="227"/>
                <w:tab w:val="left" w:pos="397"/>
                <w:tab w:val="left" w:pos="567"/>
              </w:tabs>
              <w:spacing w:line="240" w:lineRule="exact"/>
              <w:ind w:firstLine="57"/>
              <w:jc w:val="left"/>
              <w:rPr>
                <w:sz w:val="22"/>
                <w:rtl/>
              </w:rPr>
            </w:pPr>
            <w:r>
              <w:rPr>
                <w:rFonts w:hint="cs"/>
                <w:sz w:val="22"/>
                <w:rtl/>
              </w:rPr>
              <w:t>נגזרים משובצים</w:t>
            </w:r>
          </w:p>
        </w:tc>
        <w:tc>
          <w:tcPr>
            <w:tcW w:w="154" w:type="dxa"/>
            <w:shd w:val="clear" w:color="auto" w:fill="auto"/>
            <w:vAlign w:val="bottom"/>
          </w:tcPr>
          <w:p w14:paraId="15937D28" w14:textId="77777777" w:rsidR="003517FC" w:rsidRPr="00D55173" w:rsidRDefault="003517FC" w:rsidP="007148DB">
            <w:pPr>
              <w:spacing w:line="240" w:lineRule="exact"/>
              <w:rPr>
                <w:sz w:val="22"/>
                <w:rtl/>
              </w:rPr>
            </w:pPr>
          </w:p>
        </w:tc>
        <w:tc>
          <w:tcPr>
            <w:tcW w:w="1036" w:type="dxa"/>
            <w:shd w:val="clear" w:color="auto" w:fill="auto"/>
            <w:vAlign w:val="bottom"/>
          </w:tcPr>
          <w:p w14:paraId="56352160" w14:textId="77777777" w:rsidR="003517FC" w:rsidRPr="00D55173" w:rsidRDefault="003517FC" w:rsidP="007148DB">
            <w:pPr>
              <w:spacing w:line="240" w:lineRule="exact"/>
              <w:rPr>
                <w:sz w:val="22"/>
                <w:rtl/>
              </w:rPr>
            </w:pPr>
          </w:p>
        </w:tc>
        <w:tc>
          <w:tcPr>
            <w:tcW w:w="149" w:type="dxa"/>
            <w:shd w:val="clear" w:color="auto" w:fill="auto"/>
            <w:vAlign w:val="bottom"/>
          </w:tcPr>
          <w:p w14:paraId="4F4E4268" w14:textId="77777777" w:rsidR="003517FC" w:rsidRPr="00D55173" w:rsidRDefault="003517FC" w:rsidP="007148DB">
            <w:pPr>
              <w:spacing w:line="240" w:lineRule="exact"/>
              <w:rPr>
                <w:sz w:val="22"/>
                <w:rtl/>
              </w:rPr>
            </w:pPr>
          </w:p>
        </w:tc>
        <w:tc>
          <w:tcPr>
            <w:tcW w:w="1133" w:type="dxa"/>
            <w:shd w:val="clear" w:color="auto" w:fill="auto"/>
            <w:vAlign w:val="bottom"/>
          </w:tcPr>
          <w:p w14:paraId="08566427"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754CF3DF"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2434ABB3"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13ABA4E8"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3AE21892" w14:textId="77777777" w:rsidR="003517FC" w:rsidRPr="00D55173" w:rsidRDefault="003517FC" w:rsidP="007148DB">
            <w:pPr>
              <w:tabs>
                <w:tab w:val="decimal" w:pos="113"/>
              </w:tabs>
              <w:spacing w:line="240" w:lineRule="exact"/>
              <w:rPr>
                <w:sz w:val="22"/>
                <w:rtl/>
              </w:rPr>
            </w:pPr>
          </w:p>
        </w:tc>
      </w:tr>
    </w:tbl>
    <w:p w14:paraId="2CC4BD80" w14:textId="46649F4C" w:rsidR="00F62D48" w:rsidRDefault="00F62D48" w:rsidP="00455D16">
      <w:pPr>
        <w:pStyle w:val="30"/>
        <w:rPr>
          <w:u w:val="single"/>
          <w:rtl/>
        </w:rPr>
      </w:pPr>
    </w:p>
    <w:p w14:paraId="1D3FF536" w14:textId="77777777" w:rsidR="00F62D48" w:rsidRDefault="00F62D48" w:rsidP="00667080">
      <w:r>
        <w:rPr>
          <w:rtl/>
        </w:rPr>
        <w:br w:type="page"/>
      </w:r>
    </w:p>
    <w:p w14:paraId="39AEE0D9" w14:textId="77777777" w:rsidR="00F62D48" w:rsidRDefault="00F62D48" w:rsidP="00F62D48">
      <w:pPr>
        <w:pStyle w:val="11"/>
        <w:rPr>
          <w:rtl/>
        </w:rPr>
      </w:pPr>
    </w:p>
    <w:p w14:paraId="04F4C292" w14:textId="77777777" w:rsidR="00F62D48" w:rsidRDefault="00F62D48" w:rsidP="00F62D48">
      <w:pPr>
        <w:pStyle w:val="11"/>
        <w:rPr>
          <w:rtl/>
        </w:rPr>
      </w:pPr>
    </w:p>
    <w:p w14:paraId="3CD9176F" w14:textId="77777777" w:rsidR="00F62D48" w:rsidRDefault="00F62D48" w:rsidP="00F62D48">
      <w:pPr>
        <w:pStyle w:val="11"/>
        <w:rPr>
          <w:u w:val="single"/>
          <w:rtl/>
        </w:rPr>
      </w:pPr>
      <w:r>
        <w:rPr>
          <w:rFonts w:hint="cs"/>
          <w:rtl/>
        </w:rPr>
        <w:t>באור 15:-</w:t>
      </w:r>
      <w:r>
        <w:rPr>
          <w:rFonts w:hint="cs"/>
          <w:rtl/>
        </w:rPr>
        <w:tab/>
      </w:r>
      <w:r w:rsidRPr="007B75CB">
        <w:rPr>
          <w:rFonts w:hint="eastAsia"/>
          <w:u w:val="single"/>
          <w:rtl/>
        </w:rPr>
        <w:t>מכשירים</w:t>
      </w:r>
      <w:r w:rsidRPr="007B75CB">
        <w:rPr>
          <w:u w:val="single"/>
          <w:rtl/>
        </w:rPr>
        <w:t xml:space="preserve"> </w:t>
      </w:r>
      <w:r w:rsidRPr="007B75CB">
        <w:rPr>
          <w:rFonts w:hint="eastAsia"/>
          <w:u w:val="single"/>
          <w:rtl/>
        </w:rPr>
        <w:t>פיננסיים</w:t>
      </w:r>
      <w:r w:rsidRPr="007B75CB">
        <w:rPr>
          <w:rtl/>
        </w:rPr>
        <w:t xml:space="preserve"> (המשך)</w:t>
      </w:r>
    </w:p>
    <w:p w14:paraId="4906EC4F" w14:textId="77777777" w:rsidR="00F62D48" w:rsidRDefault="00F62D48" w:rsidP="00F62D48">
      <w:pPr>
        <w:pStyle w:val="11"/>
        <w:rPr>
          <w:u w:val="single"/>
          <w:rtl/>
        </w:rPr>
      </w:pPr>
    </w:p>
    <w:p w14:paraId="072F9F82" w14:textId="1D827C16" w:rsidR="00F62D48" w:rsidRPr="00F62D48" w:rsidRDefault="00F62D48" w:rsidP="00F62D48">
      <w:pPr>
        <w:pStyle w:val="21"/>
      </w:pPr>
      <w:r>
        <w:rPr>
          <w:rFonts w:hint="cs"/>
          <w:rtl/>
        </w:rPr>
        <w:t>ב.</w:t>
      </w:r>
      <w:r>
        <w:rPr>
          <w:rFonts w:hint="cs"/>
          <w:rtl/>
        </w:rPr>
        <w:tab/>
      </w:r>
      <w:r w:rsidRPr="002F0A8F">
        <w:rPr>
          <w:rFonts w:hint="cs"/>
          <w:u w:val="single"/>
          <w:rtl/>
        </w:rPr>
        <w:t>סיווג מכשירים פיננסים לפי מדרג שווי הוגן</w:t>
      </w:r>
      <w:r>
        <w:rPr>
          <w:rFonts w:hint="cs"/>
          <w:rtl/>
        </w:rPr>
        <w:t xml:space="preserve"> (המשך)</w:t>
      </w:r>
    </w:p>
    <w:p w14:paraId="199363B4" w14:textId="77777777" w:rsidR="00BD0F19" w:rsidRPr="00F62D48" w:rsidRDefault="00BD0F19" w:rsidP="00455D16">
      <w:pPr>
        <w:pStyle w:val="30"/>
        <w:rPr>
          <w:u w:val="single"/>
          <w:rtl/>
        </w:rPr>
      </w:pPr>
    </w:p>
    <w:p w14:paraId="12A69911" w14:textId="77777777" w:rsidR="00455D16" w:rsidRDefault="00455D16" w:rsidP="00455D16">
      <w:pPr>
        <w:pStyle w:val="30"/>
        <w:rPr>
          <w:u w:val="single"/>
          <w:rtl/>
        </w:rPr>
      </w:pPr>
      <w:r w:rsidRPr="007D64FF">
        <w:rPr>
          <w:rFonts w:hint="cs"/>
          <w:u w:val="single"/>
          <w:rtl/>
        </w:rPr>
        <w:t>התחייבויות פיננסיות הנמדדות בשווי הוגן</w:t>
      </w:r>
    </w:p>
    <w:p w14:paraId="1C4AD22E" w14:textId="77777777" w:rsidR="00455D16" w:rsidRDefault="00455D16" w:rsidP="00455D16">
      <w:pPr>
        <w:pStyle w:val="30"/>
        <w:rPr>
          <w:u w:val="single"/>
          <w:rtl/>
        </w:rPr>
      </w:pPr>
    </w:p>
    <w:tbl>
      <w:tblPr>
        <w:bidiVisual/>
        <w:tblW w:w="9663" w:type="dxa"/>
        <w:tblInd w:w="32" w:type="dxa"/>
        <w:tblLayout w:type="fixed"/>
        <w:tblCellMar>
          <w:left w:w="0" w:type="dxa"/>
          <w:right w:w="0" w:type="dxa"/>
        </w:tblCellMar>
        <w:tblLook w:val="01E0" w:firstRow="1" w:lastRow="1" w:firstColumn="1" w:lastColumn="1" w:noHBand="0" w:noVBand="0"/>
      </w:tblPr>
      <w:tblGrid>
        <w:gridCol w:w="1030"/>
        <w:gridCol w:w="700"/>
        <w:gridCol w:w="2743"/>
        <w:gridCol w:w="154"/>
        <w:gridCol w:w="1036"/>
        <w:gridCol w:w="149"/>
        <w:gridCol w:w="1133"/>
        <w:gridCol w:w="226"/>
        <w:gridCol w:w="1133"/>
        <w:gridCol w:w="226"/>
        <w:gridCol w:w="1133"/>
      </w:tblGrid>
      <w:tr w:rsidR="003351ED" w:rsidRPr="00D55173" w14:paraId="6F2714A5" w14:textId="77777777" w:rsidTr="003351ED">
        <w:tc>
          <w:tcPr>
            <w:tcW w:w="1030" w:type="dxa"/>
            <w:tcBorders>
              <w:bottom w:val="single" w:sz="6" w:space="0" w:color="auto"/>
              <w:right w:val="single" w:sz="6" w:space="0" w:color="auto"/>
            </w:tcBorders>
            <w:vAlign w:val="center"/>
          </w:tcPr>
          <w:p w14:paraId="7D6E009B" w14:textId="77777777" w:rsidR="003351ED" w:rsidRPr="003517FC" w:rsidRDefault="003351ED" w:rsidP="003517FC">
            <w:pPr>
              <w:widowControl/>
              <w:tabs>
                <w:tab w:val="left" w:pos="227"/>
                <w:tab w:val="left" w:pos="397"/>
                <w:tab w:val="left" w:pos="567"/>
              </w:tabs>
              <w:spacing w:line="240" w:lineRule="exact"/>
              <w:ind w:left="57"/>
              <w:jc w:val="left"/>
              <w:rPr>
                <w:i/>
                <w:iCs/>
                <w:sz w:val="13"/>
                <w:szCs w:val="13"/>
              </w:rPr>
            </w:pPr>
          </w:p>
        </w:tc>
        <w:tc>
          <w:tcPr>
            <w:tcW w:w="700" w:type="dxa"/>
            <w:tcBorders>
              <w:left w:val="single" w:sz="6" w:space="0" w:color="auto"/>
            </w:tcBorders>
          </w:tcPr>
          <w:p w14:paraId="001A289B"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0694842D"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0A9F58DE" w14:textId="77777777" w:rsidR="003351ED" w:rsidRPr="00D55173" w:rsidRDefault="003351ED" w:rsidP="003517FC">
            <w:pPr>
              <w:spacing w:line="240" w:lineRule="exact"/>
              <w:rPr>
                <w:sz w:val="22"/>
                <w:rtl/>
              </w:rPr>
            </w:pPr>
          </w:p>
        </w:tc>
        <w:tc>
          <w:tcPr>
            <w:tcW w:w="5036" w:type="dxa"/>
            <w:gridSpan w:val="7"/>
            <w:tcBorders>
              <w:bottom w:val="single" w:sz="6" w:space="0" w:color="auto"/>
            </w:tcBorders>
            <w:shd w:val="clear" w:color="auto" w:fill="auto"/>
            <w:vAlign w:val="bottom"/>
          </w:tcPr>
          <w:p w14:paraId="1E20E612" w14:textId="0F675C2D" w:rsidR="003351ED" w:rsidRDefault="003351ED" w:rsidP="001F49C2">
            <w:pPr>
              <w:spacing w:line="240" w:lineRule="exact"/>
              <w:jc w:val="center"/>
              <w:rPr>
                <w:sz w:val="22"/>
                <w:rtl/>
              </w:rPr>
            </w:pPr>
            <w:r>
              <w:rPr>
                <w:rFonts w:hint="cs"/>
                <w:sz w:val="22"/>
                <w:rtl/>
              </w:rPr>
              <w:t xml:space="preserve">30 בספטמבר, </w:t>
            </w:r>
            <w:r w:rsidR="004A4A6B">
              <w:rPr>
                <w:rFonts w:hint="cs"/>
                <w:sz w:val="22"/>
                <w:rtl/>
              </w:rPr>
              <w:t>201</w:t>
            </w:r>
            <w:r w:rsidR="001F49C2">
              <w:rPr>
                <w:rFonts w:hint="cs"/>
                <w:sz w:val="22"/>
                <w:rtl/>
              </w:rPr>
              <w:t>9</w:t>
            </w:r>
          </w:p>
        </w:tc>
      </w:tr>
      <w:tr w:rsidR="003351ED" w:rsidRPr="00D55173" w14:paraId="6A63055A" w14:textId="77777777" w:rsidTr="003351ED">
        <w:tc>
          <w:tcPr>
            <w:tcW w:w="1030" w:type="dxa"/>
            <w:vMerge w:val="restart"/>
            <w:tcBorders>
              <w:bottom w:val="single" w:sz="6" w:space="0" w:color="auto"/>
              <w:right w:val="single" w:sz="6" w:space="0" w:color="auto"/>
            </w:tcBorders>
            <w:vAlign w:val="center"/>
          </w:tcPr>
          <w:p w14:paraId="494FE6CE" w14:textId="77777777" w:rsidR="003351ED" w:rsidRPr="003517FC" w:rsidRDefault="003351ED" w:rsidP="003517FC">
            <w:pPr>
              <w:widowControl/>
              <w:tabs>
                <w:tab w:val="left" w:pos="227"/>
                <w:tab w:val="left" w:pos="397"/>
                <w:tab w:val="left" w:pos="567"/>
              </w:tabs>
              <w:spacing w:line="240" w:lineRule="exact"/>
              <w:ind w:left="57"/>
              <w:jc w:val="left"/>
              <w:rPr>
                <w:i/>
                <w:iCs/>
                <w:sz w:val="13"/>
                <w:szCs w:val="13"/>
              </w:rPr>
            </w:pPr>
            <w:r w:rsidRPr="003517FC">
              <w:rPr>
                <w:i/>
                <w:iCs/>
                <w:sz w:val="13"/>
                <w:szCs w:val="13"/>
              </w:rPr>
              <w:t>IFRS 13.93(b)</w:t>
            </w:r>
          </w:p>
          <w:p w14:paraId="19563B70" w14:textId="77777777" w:rsidR="003351ED" w:rsidRPr="00D55173" w:rsidRDefault="003351ED" w:rsidP="003517FC">
            <w:pPr>
              <w:widowControl/>
              <w:tabs>
                <w:tab w:val="left" w:pos="227"/>
                <w:tab w:val="left" w:pos="397"/>
                <w:tab w:val="left" w:pos="567"/>
              </w:tabs>
              <w:spacing w:line="240" w:lineRule="exact"/>
              <w:ind w:left="57"/>
              <w:jc w:val="left"/>
              <w:rPr>
                <w:sz w:val="22"/>
                <w:rtl/>
              </w:rPr>
            </w:pPr>
            <w:r w:rsidRPr="003517FC">
              <w:rPr>
                <w:i/>
                <w:iCs/>
                <w:sz w:val="13"/>
                <w:szCs w:val="13"/>
              </w:rPr>
              <w:t>IFRS 13.94</w:t>
            </w:r>
          </w:p>
        </w:tc>
        <w:tc>
          <w:tcPr>
            <w:tcW w:w="700" w:type="dxa"/>
            <w:tcBorders>
              <w:left w:val="single" w:sz="6" w:space="0" w:color="auto"/>
            </w:tcBorders>
          </w:tcPr>
          <w:p w14:paraId="1C32FFEC"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6B90B81B"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29F3C691" w14:textId="77777777" w:rsidR="003351ED" w:rsidRPr="00D55173" w:rsidRDefault="003351ED" w:rsidP="003517FC">
            <w:pPr>
              <w:spacing w:line="240" w:lineRule="exact"/>
              <w:rPr>
                <w:sz w:val="22"/>
                <w:rtl/>
              </w:rPr>
            </w:pPr>
          </w:p>
        </w:tc>
        <w:tc>
          <w:tcPr>
            <w:tcW w:w="1036" w:type="dxa"/>
            <w:tcBorders>
              <w:bottom w:val="single" w:sz="6" w:space="0" w:color="auto"/>
            </w:tcBorders>
            <w:shd w:val="clear" w:color="auto" w:fill="auto"/>
            <w:vAlign w:val="bottom"/>
          </w:tcPr>
          <w:p w14:paraId="08156BBE" w14:textId="77777777" w:rsidR="003351ED" w:rsidRPr="00D55173" w:rsidRDefault="003351ED" w:rsidP="003517FC">
            <w:pPr>
              <w:spacing w:line="240" w:lineRule="exact"/>
              <w:jc w:val="center"/>
              <w:rPr>
                <w:sz w:val="22"/>
                <w:rtl/>
              </w:rPr>
            </w:pPr>
            <w:r w:rsidRPr="00D55173">
              <w:rPr>
                <w:rFonts w:hint="cs"/>
                <w:sz w:val="22"/>
                <w:rtl/>
              </w:rPr>
              <w:t>רמה 1</w:t>
            </w:r>
          </w:p>
        </w:tc>
        <w:tc>
          <w:tcPr>
            <w:tcW w:w="149" w:type="dxa"/>
            <w:shd w:val="clear" w:color="auto" w:fill="auto"/>
            <w:vAlign w:val="bottom"/>
          </w:tcPr>
          <w:p w14:paraId="38D2FAF1" w14:textId="77777777" w:rsidR="003351ED" w:rsidRPr="00D55173" w:rsidRDefault="003351ED" w:rsidP="003517FC">
            <w:pPr>
              <w:spacing w:line="240" w:lineRule="exact"/>
              <w:rPr>
                <w:sz w:val="22"/>
                <w:rtl/>
              </w:rPr>
            </w:pPr>
          </w:p>
        </w:tc>
        <w:tc>
          <w:tcPr>
            <w:tcW w:w="1133" w:type="dxa"/>
            <w:tcBorders>
              <w:bottom w:val="single" w:sz="6" w:space="0" w:color="auto"/>
            </w:tcBorders>
            <w:shd w:val="clear" w:color="auto" w:fill="auto"/>
            <w:vAlign w:val="bottom"/>
          </w:tcPr>
          <w:p w14:paraId="10F1BBC2" w14:textId="77777777" w:rsidR="003351ED" w:rsidRPr="00D55173" w:rsidRDefault="003351ED" w:rsidP="003517FC">
            <w:pPr>
              <w:spacing w:line="240" w:lineRule="exact"/>
              <w:jc w:val="center"/>
              <w:rPr>
                <w:sz w:val="22"/>
                <w:rtl/>
              </w:rPr>
            </w:pPr>
            <w:r w:rsidRPr="00D55173">
              <w:rPr>
                <w:rFonts w:hint="cs"/>
                <w:sz w:val="22"/>
                <w:rtl/>
              </w:rPr>
              <w:t>רמה 2</w:t>
            </w:r>
          </w:p>
        </w:tc>
        <w:tc>
          <w:tcPr>
            <w:tcW w:w="226" w:type="dxa"/>
            <w:shd w:val="clear" w:color="auto" w:fill="auto"/>
            <w:vAlign w:val="bottom"/>
          </w:tcPr>
          <w:p w14:paraId="24BCAA8A" w14:textId="77777777" w:rsidR="003351ED" w:rsidRPr="00D55173" w:rsidRDefault="003351ED" w:rsidP="003517FC">
            <w:pPr>
              <w:spacing w:line="240" w:lineRule="exact"/>
              <w:jc w:val="center"/>
              <w:rPr>
                <w:sz w:val="22"/>
                <w:rtl/>
              </w:rPr>
            </w:pPr>
          </w:p>
        </w:tc>
        <w:tc>
          <w:tcPr>
            <w:tcW w:w="1133" w:type="dxa"/>
            <w:tcBorders>
              <w:bottom w:val="single" w:sz="6" w:space="0" w:color="auto"/>
            </w:tcBorders>
            <w:shd w:val="clear" w:color="auto" w:fill="auto"/>
            <w:vAlign w:val="bottom"/>
          </w:tcPr>
          <w:p w14:paraId="74E73849" w14:textId="77777777" w:rsidR="003351ED" w:rsidRPr="00D55173" w:rsidRDefault="003351ED" w:rsidP="003517FC">
            <w:pPr>
              <w:spacing w:line="240" w:lineRule="exact"/>
              <w:jc w:val="center"/>
              <w:rPr>
                <w:sz w:val="22"/>
                <w:rtl/>
              </w:rPr>
            </w:pPr>
            <w:r w:rsidRPr="00D55173">
              <w:rPr>
                <w:rFonts w:hint="cs"/>
                <w:sz w:val="22"/>
                <w:rtl/>
              </w:rPr>
              <w:t>רמה 3</w:t>
            </w:r>
          </w:p>
        </w:tc>
        <w:tc>
          <w:tcPr>
            <w:tcW w:w="226" w:type="dxa"/>
            <w:shd w:val="clear" w:color="auto" w:fill="auto"/>
            <w:vAlign w:val="bottom"/>
          </w:tcPr>
          <w:p w14:paraId="656745A6" w14:textId="77777777" w:rsidR="003351ED" w:rsidRPr="00D55173" w:rsidRDefault="003351ED" w:rsidP="003517FC">
            <w:pPr>
              <w:spacing w:line="240" w:lineRule="exact"/>
              <w:jc w:val="center"/>
              <w:rPr>
                <w:sz w:val="22"/>
                <w:rtl/>
              </w:rPr>
            </w:pPr>
          </w:p>
        </w:tc>
        <w:tc>
          <w:tcPr>
            <w:tcW w:w="1133" w:type="dxa"/>
            <w:tcBorders>
              <w:bottom w:val="single" w:sz="6" w:space="0" w:color="auto"/>
            </w:tcBorders>
            <w:shd w:val="clear" w:color="auto" w:fill="auto"/>
            <w:vAlign w:val="bottom"/>
          </w:tcPr>
          <w:p w14:paraId="45E7D855" w14:textId="77777777" w:rsidR="003351ED" w:rsidRPr="00D55173" w:rsidRDefault="003351ED" w:rsidP="003517FC">
            <w:pPr>
              <w:spacing w:line="240" w:lineRule="exact"/>
              <w:jc w:val="center"/>
              <w:rPr>
                <w:sz w:val="22"/>
                <w:rtl/>
              </w:rPr>
            </w:pPr>
            <w:r>
              <w:rPr>
                <w:rFonts w:hint="cs"/>
                <w:sz w:val="22"/>
                <w:rtl/>
              </w:rPr>
              <w:t>סה"כ</w:t>
            </w:r>
          </w:p>
        </w:tc>
      </w:tr>
      <w:tr w:rsidR="003351ED" w:rsidRPr="00D55173" w14:paraId="37F0E4A6" w14:textId="77777777" w:rsidTr="003351ED">
        <w:tc>
          <w:tcPr>
            <w:tcW w:w="1030" w:type="dxa"/>
            <w:vMerge/>
            <w:tcBorders>
              <w:top w:val="single" w:sz="6" w:space="0" w:color="auto"/>
              <w:bottom w:val="single" w:sz="6" w:space="0" w:color="auto"/>
              <w:right w:val="single" w:sz="6" w:space="0" w:color="auto"/>
            </w:tcBorders>
          </w:tcPr>
          <w:p w14:paraId="73D12AAE" w14:textId="77777777" w:rsidR="003351ED" w:rsidRPr="00D55173" w:rsidRDefault="003351ED" w:rsidP="003517FC">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3A5F3F03" w14:textId="77777777" w:rsidR="003351ED" w:rsidRPr="00D55173" w:rsidRDefault="003351ED" w:rsidP="003517FC">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73011BD8" w14:textId="77777777" w:rsidR="003351ED" w:rsidRPr="00D55173" w:rsidRDefault="003351ED" w:rsidP="003517FC">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0C9631CC" w14:textId="77777777" w:rsidR="003351ED" w:rsidRPr="00D55173" w:rsidRDefault="003351ED" w:rsidP="003517FC">
            <w:pPr>
              <w:spacing w:line="240" w:lineRule="exact"/>
              <w:rPr>
                <w:sz w:val="22"/>
                <w:rtl/>
              </w:rPr>
            </w:pPr>
          </w:p>
        </w:tc>
        <w:tc>
          <w:tcPr>
            <w:tcW w:w="5036" w:type="dxa"/>
            <w:gridSpan w:val="7"/>
            <w:tcBorders>
              <w:bottom w:val="single" w:sz="6" w:space="0" w:color="auto"/>
            </w:tcBorders>
            <w:shd w:val="clear" w:color="auto" w:fill="auto"/>
            <w:vAlign w:val="bottom"/>
          </w:tcPr>
          <w:p w14:paraId="79010A31" w14:textId="77777777" w:rsidR="003351ED" w:rsidRPr="00D55173" w:rsidRDefault="003351ED" w:rsidP="003517FC">
            <w:pPr>
              <w:spacing w:line="240" w:lineRule="exact"/>
              <w:jc w:val="center"/>
              <w:rPr>
                <w:sz w:val="22"/>
                <w:rtl/>
              </w:rPr>
            </w:pPr>
            <w:r w:rsidRPr="00D55173">
              <w:rPr>
                <w:rFonts w:hint="cs"/>
                <w:sz w:val="22"/>
                <w:rtl/>
              </w:rPr>
              <w:t>אלפי ש"ח</w:t>
            </w:r>
          </w:p>
        </w:tc>
      </w:tr>
      <w:tr w:rsidR="003351ED" w:rsidRPr="00D55173" w14:paraId="1E899A1F" w14:textId="77777777" w:rsidTr="003351ED">
        <w:tc>
          <w:tcPr>
            <w:tcW w:w="1030" w:type="dxa"/>
            <w:vMerge/>
            <w:tcBorders>
              <w:top w:val="single" w:sz="6" w:space="0" w:color="auto"/>
              <w:bottom w:val="single" w:sz="6" w:space="0" w:color="auto"/>
              <w:right w:val="single" w:sz="6" w:space="0" w:color="auto"/>
            </w:tcBorders>
          </w:tcPr>
          <w:p w14:paraId="2F808F0B"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700" w:type="dxa"/>
            <w:tcBorders>
              <w:left w:val="single" w:sz="6" w:space="0" w:color="auto"/>
            </w:tcBorders>
          </w:tcPr>
          <w:p w14:paraId="71FC718F"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2743" w:type="dxa"/>
            <w:shd w:val="clear" w:color="auto" w:fill="auto"/>
          </w:tcPr>
          <w:p w14:paraId="7C9D6F9C"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3ECFACD5" w14:textId="77777777" w:rsidR="003351ED" w:rsidRPr="00D55173" w:rsidRDefault="003351ED" w:rsidP="003517FC">
            <w:pPr>
              <w:spacing w:line="240" w:lineRule="exact"/>
              <w:rPr>
                <w:sz w:val="22"/>
                <w:rtl/>
              </w:rPr>
            </w:pPr>
          </w:p>
        </w:tc>
        <w:tc>
          <w:tcPr>
            <w:tcW w:w="1036" w:type="dxa"/>
            <w:tcBorders>
              <w:top w:val="single" w:sz="6" w:space="0" w:color="auto"/>
            </w:tcBorders>
            <w:shd w:val="clear" w:color="auto" w:fill="auto"/>
            <w:vAlign w:val="bottom"/>
          </w:tcPr>
          <w:p w14:paraId="40263647" w14:textId="77777777" w:rsidR="003351ED" w:rsidRPr="00D55173" w:rsidRDefault="003351ED" w:rsidP="003517FC">
            <w:pPr>
              <w:spacing w:line="240" w:lineRule="exact"/>
              <w:rPr>
                <w:sz w:val="22"/>
                <w:rtl/>
              </w:rPr>
            </w:pPr>
          </w:p>
        </w:tc>
        <w:tc>
          <w:tcPr>
            <w:tcW w:w="149" w:type="dxa"/>
            <w:tcBorders>
              <w:top w:val="single" w:sz="6" w:space="0" w:color="auto"/>
            </w:tcBorders>
            <w:shd w:val="clear" w:color="auto" w:fill="auto"/>
            <w:vAlign w:val="bottom"/>
          </w:tcPr>
          <w:p w14:paraId="14FD25E6" w14:textId="77777777" w:rsidR="003351ED" w:rsidRPr="00D55173" w:rsidRDefault="003351ED" w:rsidP="003517FC">
            <w:pPr>
              <w:spacing w:line="240" w:lineRule="exact"/>
              <w:rPr>
                <w:sz w:val="22"/>
                <w:rtl/>
              </w:rPr>
            </w:pPr>
          </w:p>
        </w:tc>
        <w:tc>
          <w:tcPr>
            <w:tcW w:w="1133" w:type="dxa"/>
            <w:tcBorders>
              <w:top w:val="single" w:sz="6" w:space="0" w:color="auto"/>
            </w:tcBorders>
            <w:shd w:val="clear" w:color="auto" w:fill="auto"/>
            <w:vAlign w:val="bottom"/>
          </w:tcPr>
          <w:p w14:paraId="4EA3B5CE" w14:textId="77777777" w:rsidR="003351ED" w:rsidRPr="00D55173" w:rsidRDefault="003351ED" w:rsidP="003517FC">
            <w:pPr>
              <w:tabs>
                <w:tab w:val="decimal" w:pos="113"/>
              </w:tabs>
              <w:spacing w:line="240" w:lineRule="exact"/>
              <w:rPr>
                <w:sz w:val="22"/>
                <w:rtl/>
              </w:rPr>
            </w:pPr>
          </w:p>
        </w:tc>
        <w:tc>
          <w:tcPr>
            <w:tcW w:w="226" w:type="dxa"/>
            <w:tcBorders>
              <w:top w:val="single" w:sz="6" w:space="0" w:color="auto"/>
            </w:tcBorders>
            <w:shd w:val="clear" w:color="auto" w:fill="auto"/>
            <w:vAlign w:val="bottom"/>
          </w:tcPr>
          <w:p w14:paraId="79828416" w14:textId="77777777" w:rsidR="003351ED" w:rsidRPr="00D55173" w:rsidRDefault="003351ED" w:rsidP="003517FC">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1F12418C" w14:textId="77777777" w:rsidR="003351ED" w:rsidRPr="00D55173" w:rsidRDefault="003351ED" w:rsidP="003517FC">
            <w:pPr>
              <w:tabs>
                <w:tab w:val="decimal" w:pos="113"/>
              </w:tabs>
              <w:spacing w:line="240" w:lineRule="exact"/>
              <w:rPr>
                <w:sz w:val="22"/>
                <w:rtl/>
              </w:rPr>
            </w:pPr>
          </w:p>
        </w:tc>
        <w:tc>
          <w:tcPr>
            <w:tcW w:w="226" w:type="dxa"/>
            <w:tcBorders>
              <w:top w:val="single" w:sz="6" w:space="0" w:color="auto"/>
            </w:tcBorders>
            <w:shd w:val="clear" w:color="auto" w:fill="auto"/>
            <w:vAlign w:val="bottom"/>
          </w:tcPr>
          <w:p w14:paraId="1A694D96" w14:textId="77777777" w:rsidR="003351ED" w:rsidRPr="00D55173" w:rsidRDefault="003351ED" w:rsidP="003517FC">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54D23009" w14:textId="77777777" w:rsidR="003351ED" w:rsidRPr="00D55173" w:rsidRDefault="003351ED" w:rsidP="003517FC">
            <w:pPr>
              <w:tabs>
                <w:tab w:val="decimal" w:pos="113"/>
              </w:tabs>
              <w:spacing w:line="240" w:lineRule="exact"/>
              <w:rPr>
                <w:sz w:val="22"/>
                <w:rtl/>
              </w:rPr>
            </w:pPr>
          </w:p>
        </w:tc>
      </w:tr>
      <w:tr w:rsidR="003351ED" w:rsidRPr="00D55173" w14:paraId="2CDAD4DD" w14:textId="77777777" w:rsidTr="003351ED">
        <w:tc>
          <w:tcPr>
            <w:tcW w:w="1030" w:type="dxa"/>
            <w:vMerge/>
            <w:tcBorders>
              <w:top w:val="single" w:sz="6" w:space="0" w:color="auto"/>
              <w:bottom w:val="single" w:sz="6" w:space="0" w:color="auto"/>
              <w:right w:val="single" w:sz="6" w:space="0" w:color="auto"/>
            </w:tcBorders>
          </w:tcPr>
          <w:p w14:paraId="1FEA4A5D" w14:textId="77777777" w:rsidR="003351ED" w:rsidRDefault="003351ED" w:rsidP="003517FC">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7A33A6FA" w14:textId="77777777" w:rsidR="003351ED" w:rsidRDefault="003351ED" w:rsidP="003517FC">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2A99B2D1" w14:textId="77777777" w:rsidR="003351ED" w:rsidRPr="00D55173" w:rsidRDefault="003351ED" w:rsidP="003517FC">
            <w:pPr>
              <w:widowControl/>
              <w:tabs>
                <w:tab w:val="left" w:pos="227"/>
                <w:tab w:val="left" w:pos="397"/>
                <w:tab w:val="left" w:pos="567"/>
              </w:tabs>
              <w:spacing w:line="240" w:lineRule="exact"/>
              <w:ind w:firstLine="57"/>
              <w:jc w:val="left"/>
              <w:rPr>
                <w:sz w:val="22"/>
                <w:rtl/>
              </w:rPr>
            </w:pPr>
            <w:r>
              <w:rPr>
                <w:rFonts w:hint="cs"/>
                <w:rtl/>
              </w:rPr>
              <w:t>חוזים עתידיים על סחורות</w:t>
            </w:r>
          </w:p>
        </w:tc>
        <w:tc>
          <w:tcPr>
            <w:tcW w:w="154" w:type="dxa"/>
            <w:shd w:val="clear" w:color="auto" w:fill="auto"/>
            <w:vAlign w:val="bottom"/>
          </w:tcPr>
          <w:p w14:paraId="656DC847" w14:textId="77777777" w:rsidR="003351ED" w:rsidRPr="00D55173" w:rsidRDefault="003351ED" w:rsidP="003517FC">
            <w:pPr>
              <w:spacing w:line="240" w:lineRule="exact"/>
              <w:rPr>
                <w:sz w:val="22"/>
                <w:rtl/>
              </w:rPr>
            </w:pPr>
          </w:p>
        </w:tc>
        <w:tc>
          <w:tcPr>
            <w:tcW w:w="1036" w:type="dxa"/>
            <w:shd w:val="clear" w:color="auto" w:fill="auto"/>
            <w:vAlign w:val="bottom"/>
          </w:tcPr>
          <w:p w14:paraId="3FA92927" w14:textId="77777777" w:rsidR="003351ED" w:rsidRPr="00D55173" w:rsidRDefault="003351ED" w:rsidP="003517FC">
            <w:pPr>
              <w:spacing w:line="240" w:lineRule="exact"/>
              <w:rPr>
                <w:sz w:val="22"/>
                <w:rtl/>
              </w:rPr>
            </w:pPr>
          </w:p>
        </w:tc>
        <w:tc>
          <w:tcPr>
            <w:tcW w:w="149" w:type="dxa"/>
            <w:shd w:val="clear" w:color="auto" w:fill="auto"/>
            <w:vAlign w:val="bottom"/>
          </w:tcPr>
          <w:p w14:paraId="579CA372" w14:textId="77777777" w:rsidR="003351ED" w:rsidRPr="00D55173" w:rsidRDefault="003351ED" w:rsidP="003517FC">
            <w:pPr>
              <w:spacing w:line="240" w:lineRule="exact"/>
              <w:rPr>
                <w:sz w:val="22"/>
                <w:rtl/>
              </w:rPr>
            </w:pPr>
          </w:p>
        </w:tc>
        <w:tc>
          <w:tcPr>
            <w:tcW w:w="1133" w:type="dxa"/>
            <w:shd w:val="clear" w:color="auto" w:fill="auto"/>
            <w:vAlign w:val="bottom"/>
          </w:tcPr>
          <w:p w14:paraId="2F3723EF" w14:textId="77777777" w:rsidR="003351ED" w:rsidRPr="00D55173" w:rsidRDefault="003351ED" w:rsidP="003517FC">
            <w:pPr>
              <w:tabs>
                <w:tab w:val="decimal" w:pos="113"/>
              </w:tabs>
              <w:spacing w:line="240" w:lineRule="exact"/>
              <w:rPr>
                <w:sz w:val="22"/>
                <w:rtl/>
              </w:rPr>
            </w:pPr>
          </w:p>
        </w:tc>
        <w:tc>
          <w:tcPr>
            <w:tcW w:w="226" w:type="dxa"/>
            <w:shd w:val="clear" w:color="auto" w:fill="auto"/>
            <w:vAlign w:val="bottom"/>
          </w:tcPr>
          <w:p w14:paraId="716A414B" w14:textId="77777777" w:rsidR="003351ED" w:rsidRPr="00D55173" w:rsidRDefault="003351ED" w:rsidP="003517FC">
            <w:pPr>
              <w:tabs>
                <w:tab w:val="decimal" w:pos="113"/>
              </w:tabs>
              <w:spacing w:line="240" w:lineRule="exact"/>
              <w:rPr>
                <w:sz w:val="22"/>
                <w:rtl/>
              </w:rPr>
            </w:pPr>
          </w:p>
        </w:tc>
        <w:tc>
          <w:tcPr>
            <w:tcW w:w="1133" w:type="dxa"/>
            <w:shd w:val="clear" w:color="auto" w:fill="auto"/>
            <w:vAlign w:val="bottom"/>
          </w:tcPr>
          <w:p w14:paraId="1457C04D" w14:textId="77777777" w:rsidR="003351ED" w:rsidRPr="00D55173" w:rsidRDefault="003351ED" w:rsidP="003517FC">
            <w:pPr>
              <w:tabs>
                <w:tab w:val="decimal" w:pos="113"/>
              </w:tabs>
              <w:spacing w:line="240" w:lineRule="exact"/>
              <w:rPr>
                <w:sz w:val="22"/>
                <w:rtl/>
              </w:rPr>
            </w:pPr>
          </w:p>
        </w:tc>
        <w:tc>
          <w:tcPr>
            <w:tcW w:w="226" w:type="dxa"/>
            <w:shd w:val="clear" w:color="auto" w:fill="auto"/>
            <w:vAlign w:val="bottom"/>
          </w:tcPr>
          <w:p w14:paraId="05790CBD" w14:textId="77777777" w:rsidR="003351ED" w:rsidRPr="00D55173" w:rsidRDefault="003351ED" w:rsidP="003517FC">
            <w:pPr>
              <w:tabs>
                <w:tab w:val="decimal" w:pos="113"/>
              </w:tabs>
              <w:spacing w:line="240" w:lineRule="exact"/>
              <w:rPr>
                <w:sz w:val="22"/>
                <w:rtl/>
              </w:rPr>
            </w:pPr>
          </w:p>
        </w:tc>
        <w:tc>
          <w:tcPr>
            <w:tcW w:w="1133" w:type="dxa"/>
            <w:shd w:val="clear" w:color="auto" w:fill="auto"/>
            <w:vAlign w:val="bottom"/>
          </w:tcPr>
          <w:p w14:paraId="0FEA5C12" w14:textId="77777777" w:rsidR="003351ED" w:rsidRPr="00D55173" w:rsidRDefault="003351ED" w:rsidP="003517FC">
            <w:pPr>
              <w:tabs>
                <w:tab w:val="decimal" w:pos="113"/>
              </w:tabs>
              <w:spacing w:line="240" w:lineRule="exact"/>
              <w:rPr>
                <w:sz w:val="22"/>
                <w:rtl/>
              </w:rPr>
            </w:pPr>
          </w:p>
        </w:tc>
      </w:tr>
      <w:tr w:rsidR="003351ED" w:rsidRPr="00D55173" w14:paraId="497A0F74" w14:textId="77777777" w:rsidTr="003351ED">
        <w:tc>
          <w:tcPr>
            <w:tcW w:w="1030" w:type="dxa"/>
            <w:vMerge/>
            <w:tcBorders>
              <w:top w:val="single" w:sz="6" w:space="0" w:color="auto"/>
              <w:bottom w:val="single" w:sz="6" w:space="0" w:color="auto"/>
              <w:right w:val="single" w:sz="6" w:space="0" w:color="auto"/>
            </w:tcBorders>
          </w:tcPr>
          <w:p w14:paraId="6224F035" w14:textId="77777777" w:rsidR="003351ED" w:rsidRDefault="003351ED" w:rsidP="003517FC">
            <w:pPr>
              <w:widowControl/>
              <w:tabs>
                <w:tab w:val="left" w:pos="227"/>
                <w:tab w:val="left" w:pos="1056"/>
              </w:tabs>
              <w:spacing w:line="240" w:lineRule="exact"/>
              <w:ind w:firstLine="57"/>
              <w:jc w:val="left"/>
              <w:rPr>
                <w:sz w:val="22"/>
                <w:rtl/>
              </w:rPr>
            </w:pPr>
          </w:p>
        </w:tc>
        <w:tc>
          <w:tcPr>
            <w:tcW w:w="700" w:type="dxa"/>
            <w:tcBorders>
              <w:left w:val="single" w:sz="6" w:space="0" w:color="auto"/>
            </w:tcBorders>
          </w:tcPr>
          <w:p w14:paraId="3E201DDC" w14:textId="77777777" w:rsidR="003351ED" w:rsidRDefault="003351ED" w:rsidP="003517FC">
            <w:pPr>
              <w:widowControl/>
              <w:tabs>
                <w:tab w:val="left" w:pos="227"/>
                <w:tab w:val="left" w:pos="1056"/>
              </w:tabs>
              <w:spacing w:line="240" w:lineRule="exact"/>
              <w:ind w:firstLine="57"/>
              <w:jc w:val="left"/>
              <w:rPr>
                <w:sz w:val="22"/>
                <w:rtl/>
              </w:rPr>
            </w:pPr>
          </w:p>
        </w:tc>
        <w:tc>
          <w:tcPr>
            <w:tcW w:w="2743" w:type="dxa"/>
            <w:shd w:val="clear" w:color="auto" w:fill="auto"/>
          </w:tcPr>
          <w:p w14:paraId="71265D61" w14:textId="77777777" w:rsidR="003351ED" w:rsidRPr="00D55173" w:rsidRDefault="003351ED" w:rsidP="003517FC">
            <w:pPr>
              <w:widowControl/>
              <w:tabs>
                <w:tab w:val="left" w:pos="227"/>
                <w:tab w:val="left" w:pos="1056"/>
              </w:tabs>
              <w:spacing w:line="240" w:lineRule="exact"/>
              <w:ind w:firstLine="57"/>
              <w:jc w:val="left"/>
              <w:rPr>
                <w:sz w:val="22"/>
                <w:rtl/>
              </w:rPr>
            </w:pPr>
            <w:r>
              <w:rPr>
                <w:rFonts w:hint="cs"/>
                <w:sz w:val="22"/>
                <w:rtl/>
              </w:rPr>
              <w:t>חוזי אקדמה על מטבע חוץ</w:t>
            </w:r>
          </w:p>
        </w:tc>
        <w:tc>
          <w:tcPr>
            <w:tcW w:w="154" w:type="dxa"/>
            <w:shd w:val="clear" w:color="auto" w:fill="auto"/>
            <w:vAlign w:val="bottom"/>
          </w:tcPr>
          <w:p w14:paraId="67D957FC" w14:textId="77777777" w:rsidR="003351ED" w:rsidRPr="00D55173" w:rsidRDefault="003351ED" w:rsidP="003517FC">
            <w:pPr>
              <w:spacing w:line="240" w:lineRule="exact"/>
              <w:rPr>
                <w:sz w:val="22"/>
                <w:rtl/>
              </w:rPr>
            </w:pPr>
          </w:p>
        </w:tc>
        <w:tc>
          <w:tcPr>
            <w:tcW w:w="1036" w:type="dxa"/>
            <w:shd w:val="clear" w:color="auto" w:fill="auto"/>
            <w:vAlign w:val="bottom"/>
          </w:tcPr>
          <w:p w14:paraId="1811413B" w14:textId="77777777" w:rsidR="003351ED" w:rsidRPr="00D55173" w:rsidRDefault="003351ED" w:rsidP="003517FC">
            <w:pPr>
              <w:spacing w:line="240" w:lineRule="exact"/>
              <w:rPr>
                <w:sz w:val="22"/>
                <w:rtl/>
              </w:rPr>
            </w:pPr>
          </w:p>
        </w:tc>
        <w:tc>
          <w:tcPr>
            <w:tcW w:w="149" w:type="dxa"/>
            <w:shd w:val="clear" w:color="auto" w:fill="auto"/>
            <w:vAlign w:val="bottom"/>
          </w:tcPr>
          <w:p w14:paraId="69003060" w14:textId="77777777" w:rsidR="003351ED" w:rsidRPr="00D55173" w:rsidRDefault="003351ED" w:rsidP="003517FC">
            <w:pPr>
              <w:spacing w:line="240" w:lineRule="exact"/>
              <w:rPr>
                <w:sz w:val="22"/>
                <w:rtl/>
              </w:rPr>
            </w:pPr>
          </w:p>
        </w:tc>
        <w:tc>
          <w:tcPr>
            <w:tcW w:w="1133" w:type="dxa"/>
            <w:shd w:val="clear" w:color="auto" w:fill="auto"/>
            <w:vAlign w:val="bottom"/>
          </w:tcPr>
          <w:p w14:paraId="474CB8B4" w14:textId="77777777" w:rsidR="003351ED" w:rsidRPr="00D55173" w:rsidRDefault="003351ED" w:rsidP="003517FC">
            <w:pPr>
              <w:tabs>
                <w:tab w:val="decimal" w:pos="113"/>
              </w:tabs>
              <w:spacing w:line="240" w:lineRule="exact"/>
              <w:rPr>
                <w:sz w:val="22"/>
                <w:rtl/>
              </w:rPr>
            </w:pPr>
          </w:p>
        </w:tc>
        <w:tc>
          <w:tcPr>
            <w:tcW w:w="226" w:type="dxa"/>
            <w:shd w:val="clear" w:color="auto" w:fill="auto"/>
            <w:vAlign w:val="bottom"/>
          </w:tcPr>
          <w:p w14:paraId="6556A575" w14:textId="77777777" w:rsidR="003351ED" w:rsidRPr="00D55173" w:rsidRDefault="003351ED" w:rsidP="003517FC">
            <w:pPr>
              <w:tabs>
                <w:tab w:val="decimal" w:pos="113"/>
              </w:tabs>
              <w:spacing w:line="240" w:lineRule="exact"/>
              <w:rPr>
                <w:sz w:val="22"/>
                <w:rtl/>
              </w:rPr>
            </w:pPr>
          </w:p>
        </w:tc>
        <w:tc>
          <w:tcPr>
            <w:tcW w:w="1133" w:type="dxa"/>
            <w:shd w:val="clear" w:color="auto" w:fill="auto"/>
            <w:vAlign w:val="bottom"/>
          </w:tcPr>
          <w:p w14:paraId="48167210" w14:textId="77777777" w:rsidR="003351ED" w:rsidRPr="00D55173" w:rsidRDefault="003351ED" w:rsidP="003517FC">
            <w:pPr>
              <w:tabs>
                <w:tab w:val="decimal" w:pos="113"/>
              </w:tabs>
              <w:spacing w:line="240" w:lineRule="exact"/>
              <w:rPr>
                <w:sz w:val="22"/>
                <w:rtl/>
              </w:rPr>
            </w:pPr>
          </w:p>
        </w:tc>
        <w:tc>
          <w:tcPr>
            <w:tcW w:w="226" w:type="dxa"/>
            <w:shd w:val="clear" w:color="auto" w:fill="auto"/>
            <w:vAlign w:val="bottom"/>
          </w:tcPr>
          <w:p w14:paraId="2022B39F" w14:textId="77777777" w:rsidR="003351ED" w:rsidRPr="00D55173" w:rsidRDefault="003351ED" w:rsidP="003517FC">
            <w:pPr>
              <w:tabs>
                <w:tab w:val="decimal" w:pos="113"/>
              </w:tabs>
              <w:spacing w:line="240" w:lineRule="exact"/>
              <w:rPr>
                <w:sz w:val="22"/>
                <w:rtl/>
              </w:rPr>
            </w:pPr>
          </w:p>
        </w:tc>
        <w:tc>
          <w:tcPr>
            <w:tcW w:w="1133" w:type="dxa"/>
            <w:shd w:val="clear" w:color="auto" w:fill="auto"/>
            <w:vAlign w:val="bottom"/>
          </w:tcPr>
          <w:p w14:paraId="6E518C23" w14:textId="77777777" w:rsidR="003351ED" w:rsidRPr="00D55173" w:rsidRDefault="003351ED" w:rsidP="003517FC">
            <w:pPr>
              <w:tabs>
                <w:tab w:val="decimal" w:pos="113"/>
              </w:tabs>
              <w:spacing w:line="240" w:lineRule="exact"/>
              <w:rPr>
                <w:sz w:val="22"/>
                <w:rtl/>
              </w:rPr>
            </w:pPr>
          </w:p>
        </w:tc>
      </w:tr>
      <w:tr w:rsidR="003351ED" w:rsidRPr="00D55173" w14:paraId="3ECEF46D" w14:textId="77777777" w:rsidTr="003351ED">
        <w:tc>
          <w:tcPr>
            <w:tcW w:w="1030" w:type="dxa"/>
            <w:vMerge/>
            <w:tcBorders>
              <w:top w:val="single" w:sz="6" w:space="0" w:color="auto"/>
              <w:bottom w:val="single" w:sz="6" w:space="0" w:color="auto"/>
              <w:right w:val="single" w:sz="6" w:space="0" w:color="auto"/>
            </w:tcBorders>
          </w:tcPr>
          <w:p w14:paraId="6AAFAEFA" w14:textId="77777777" w:rsidR="003351ED" w:rsidRDefault="003351ED" w:rsidP="003517FC">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70D8A4DA" w14:textId="77777777" w:rsidR="003351ED" w:rsidRDefault="003351ED" w:rsidP="003517FC">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42393EF3" w14:textId="77777777" w:rsidR="003351ED" w:rsidRPr="00D55173" w:rsidRDefault="003351ED" w:rsidP="003517FC">
            <w:pPr>
              <w:widowControl/>
              <w:tabs>
                <w:tab w:val="left" w:pos="227"/>
                <w:tab w:val="left" w:pos="397"/>
                <w:tab w:val="left" w:pos="567"/>
              </w:tabs>
              <w:spacing w:line="240" w:lineRule="exact"/>
              <w:ind w:firstLine="57"/>
              <w:jc w:val="left"/>
              <w:rPr>
                <w:sz w:val="22"/>
                <w:rtl/>
              </w:rPr>
            </w:pPr>
            <w:r>
              <w:rPr>
                <w:rFonts w:hint="cs"/>
                <w:sz w:val="22"/>
                <w:rtl/>
              </w:rPr>
              <w:t>נגזרים משובצים</w:t>
            </w:r>
          </w:p>
        </w:tc>
        <w:tc>
          <w:tcPr>
            <w:tcW w:w="154" w:type="dxa"/>
            <w:shd w:val="clear" w:color="auto" w:fill="auto"/>
            <w:vAlign w:val="bottom"/>
          </w:tcPr>
          <w:p w14:paraId="2930BE94" w14:textId="77777777" w:rsidR="003351ED" w:rsidRPr="00D55173" w:rsidRDefault="003351ED" w:rsidP="003517FC">
            <w:pPr>
              <w:spacing w:line="240" w:lineRule="exact"/>
              <w:rPr>
                <w:sz w:val="22"/>
                <w:rtl/>
              </w:rPr>
            </w:pPr>
          </w:p>
        </w:tc>
        <w:tc>
          <w:tcPr>
            <w:tcW w:w="1036" w:type="dxa"/>
            <w:shd w:val="clear" w:color="auto" w:fill="auto"/>
            <w:vAlign w:val="bottom"/>
          </w:tcPr>
          <w:p w14:paraId="4E0C067C" w14:textId="77777777" w:rsidR="003351ED" w:rsidRPr="00D55173" w:rsidRDefault="003351ED" w:rsidP="003517FC">
            <w:pPr>
              <w:spacing w:line="240" w:lineRule="exact"/>
              <w:rPr>
                <w:sz w:val="22"/>
                <w:rtl/>
              </w:rPr>
            </w:pPr>
          </w:p>
        </w:tc>
        <w:tc>
          <w:tcPr>
            <w:tcW w:w="149" w:type="dxa"/>
            <w:shd w:val="clear" w:color="auto" w:fill="auto"/>
            <w:vAlign w:val="bottom"/>
          </w:tcPr>
          <w:p w14:paraId="3E61B144" w14:textId="77777777" w:rsidR="003351ED" w:rsidRPr="00D55173" w:rsidRDefault="003351ED" w:rsidP="003517FC">
            <w:pPr>
              <w:spacing w:line="240" w:lineRule="exact"/>
              <w:rPr>
                <w:sz w:val="22"/>
                <w:rtl/>
              </w:rPr>
            </w:pPr>
          </w:p>
        </w:tc>
        <w:tc>
          <w:tcPr>
            <w:tcW w:w="1133" w:type="dxa"/>
            <w:shd w:val="clear" w:color="auto" w:fill="auto"/>
            <w:vAlign w:val="bottom"/>
          </w:tcPr>
          <w:p w14:paraId="44DA5EF6" w14:textId="77777777" w:rsidR="003351ED" w:rsidRPr="00D55173" w:rsidRDefault="003351ED" w:rsidP="003517FC">
            <w:pPr>
              <w:tabs>
                <w:tab w:val="decimal" w:pos="113"/>
              </w:tabs>
              <w:spacing w:line="240" w:lineRule="exact"/>
              <w:rPr>
                <w:sz w:val="22"/>
                <w:rtl/>
              </w:rPr>
            </w:pPr>
          </w:p>
        </w:tc>
        <w:tc>
          <w:tcPr>
            <w:tcW w:w="226" w:type="dxa"/>
            <w:shd w:val="clear" w:color="auto" w:fill="auto"/>
            <w:vAlign w:val="bottom"/>
          </w:tcPr>
          <w:p w14:paraId="0879D45E" w14:textId="77777777" w:rsidR="003351ED" w:rsidRPr="00D55173" w:rsidRDefault="003351ED" w:rsidP="003517FC">
            <w:pPr>
              <w:tabs>
                <w:tab w:val="decimal" w:pos="113"/>
              </w:tabs>
              <w:spacing w:line="240" w:lineRule="exact"/>
              <w:rPr>
                <w:sz w:val="22"/>
                <w:rtl/>
              </w:rPr>
            </w:pPr>
          </w:p>
        </w:tc>
        <w:tc>
          <w:tcPr>
            <w:tcW w:w="1133" w:type="dxa"/>
            <w:shd w:val="clear" w:color="auto" w:fill="auto"/>
            <w:vAlign w:val="bottom"/>
          </w:tcPr>
          <w:p w14:paraId="44D4DB30" w14:textId="77777777" w:rsidR="003351ED" w:rsidRPr="00D55173" w:rsidRDefault="003351ED" w:rsidP="003517FC">
            <w:pPr>
              <w:tabs>
                <w:tab w:val="decimal" w:pos="113"/>
              </w:tabs>
              <w:spacing w:line="240" w:lineRule="exact"/>
              <w:rPr>
                <w:sz w:val="22"/>
                <w:rtl/>
              </w:rPr>
            </w:pPr>
          </w:p>
        </w:tc>
        <w:tc>
          <w:tcPr>
            <w:tcW w:w="226" w:type="dxa"/>
            <w:shd w:val="clear" w:color="auto" w:fill="auto"/>
            <w:vAlign w:val="bottom"/>
          </w:tcPr>
          <w:p w14:paraId="34E98D64" w14:textId="77777777" w:rsidR="003351ED" w:rsidRPr="00D55173" w:rsidRDefault="003351ED" w:rsidP="003517FC">
            <w:pPr>
              <w:tabs>
                <w:tab w:val="decimal" w:pos="113"/>
              </w:tabs>
              <w:spacing w:line="240" w:lineRule="exact"/>
              <w:rPr>
                <w:sz w:val="22"/>
                <w:rtl/>
              </w:rPr>
            </w:pPr>
          </w:p>
        </w:tc>
        <w:tc>
          <w:tcPr>
            <w:tcW w:w="1133" w:type="dxa"/>
            <w:shd w:val="clear" w:color="auto" w:fill="auto"/>
            <w:vAlign w:val="bottom"/>
          </w:tcPr>
          <w:p w14:paraId="7EE1FDB5" w14:textId="77777777" w:rsidR="003351ED" w:rsidRPr="00D55173" w:rsidRDefault="003351ED" w:rsidP="003517FC">
            <w:pPr>
              <w:tabs>
                <w:tab w:val="decimal" w:pos="113"/>
              </w:tabs>
              <w:spacing w:line="240" w:lineRule="exact"/>
              <w:rPr>
                <w:sz w:val="22"/>
                <w:rtl/>
              </w:rPr>
            </w:pPr>
          </w:p>
        </w:tc>
      </w:tr>
    </w:tbl>
    <w:p w14:paraId="2483D430" w14:textId="77777777" w:rsidR="003351ED" w:rsidRPr="00892691" w:rsidRDefault="003351ED" w:rsidP="003351ED">
      <w:pPr>
        <w:pStyle w:val="21"/>
        <w:ind w:left="1689" w:firstLine="0"/>
        <w:rPr>
          <w:rtl/>
        </w:rPr>
      </w:pPr>
    </w:p>
    <w:p w14:paraId="70700010" w14:textId="77777777" w:rsidR="003351ED" w:rsidRDefault="003351ED" w:rsidP="003351ED">
      <w:pPr>
        <w:pStyle w:val="30"/>
        <w:rPr>
          <w:u w:val="single"/>
          <w:rtl/>
        </w:rPr>
      </w:pPr>
      <w:r w:rsidRPr="007D64FF">
        <w:rPr>
          <w:rFonts w:hint="cs"/>
          <w:u w:val="single"/>
          <w:rtl/>
        </w:rPr>
        <w:t>נכסים פיננסיים הנמדדים בשווי הוגן</w:t>
      </w:r>
    </w:p>
    <w:p w14:paraId="13BF62B9" w14:textId="77777777" w:rsidR="003351ED" w:rsidRPr="007D64FF" w:rsidRDefault="003351ED" w:rsidP="003351ED">
      <w:pPr>
        <w:pStyle w:val="30"/>
        <w:rPr>
          <w:u w:val="single"/>
          <w:rtl/>
        </w:rPr>
      </w:pPr>
    </w:p>
    <w:tbl>
      <w:tblPr>
        <w:bidiVisual/>
        <w:tblW w:w="9663" w:type="dxa"/>
        <w:tblInd w:w="8" w:type="dxa"/>
        <w:tblLayout w:type="fixed"/>
        <w:tblCellMar>
          <w:left w:w="0" w:type="dxa"/>
          <w:right w:w="0" w:type="dxa"/>
        </w:tblCellMar>
        <w:tblLook w:val="01E0" w:firstRow="1" w:lastRow="1" w:firstColumn="1" w:lastColumn="1" w:noHBand="0" w:noVBand="0"/>
      </w:tblPr>
      <w:tblGrid>
        <w:gridCol w:w="1030"/>
        <w:gridCol w:w="700"/>
        <w:gridCol w:w="2743"/>
        <w:gridCol w:w="154"/>
        <w:gridCol w:w="1036"/>
        <w:gridCol w:w="149"/>
        <w:gridCol w:w="1133"/>
        <w:gridCol w:w="226"/>
        <w:gridCol w:w="1133"/>
        <w:gridCol w:w="226"/>
        <w:gridCol w:w="1133"/>
      </w:tblGrid>
      <w:tr w:rsidR="003351ED" w:rsidRPr="00D55173" w14:paraId="6D507ABE" w14:textId="77777777" w:rsidTr="00BE65C6">
        <w:tc>
          <w:tcPr>
            <w:tcW w:w="1030" w:type="dxa"/>
            <w:tcBorders>
              <w:bottom w:val="single" w:sz="6" w:space="0" w:color="auto"/>
              <w:right w:val="single" w:sz="6" w:space="0" w:color="auto"/>
            </w:tcBorders>
            <w:vAlign w:val="center"/>
          </w:tcPr>
          <w:p w14:paraId="303AFEE4" w14:textId="77777777" w:rsidR="003351ED" w:rsidRPr="00892691" w:rsidRDefault="003351ED" w:rsidP="00BE65C6">
            <w:pPr>
              <w:widowControl/>
              <w:tabs>
                <w:tab w:val="left" w:pos="227"/>
                <w:tab w:val="left" w:pos="397"/>
                <w:tab w:val="left" w:pos="567"/>
              </w:tabs>
              <w:spacing w:line="240" w:lineRule="exact"/>
              <w:ind w:left="57"/>
              <w:jc w:val="left"/>
              <w:rPr>
                <w:i/>
                <w:iCs/>
                <w:sz w:val="13"/>
                <w:szCs w:val="13"/>
              </w:rPr>
            </w:pPr>
          </w:p>
        </w:tc>
        <w:tc>
          <w:tcPr>
            <w:tcW w:w="700" w:type="dxa"/>
            <w:tcBorders>
              <w:left w:val="single" w:sz="6" w:space="0" w:color="auto"/>
            </w:tcBorders>
          </w:tcPr>
          <w:p w14:paraId="625146B2"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6311FAA5"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43C97FEE"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243DAE32" w14:textId="606BC9EF" w:rsidR="003351ED" w:rsidRDefault="003351ED" w:rsidP="001F49C2">
            <w:pPr>
              <w:spacing w:line="240" w:lineRule="exact"/>
              <w:jc w:val="center"/>
              <w:rPr>
                <w:sz w:val="22"/>
                <w:rtl/>
              </w:rPr>
            </w:pPr>
            <w:r>
              <w:rPr>
                <w:rFonts w:hint="cs"/>
                <w:sz w:val="22"/>
                <w:rtl/>
              </w:rPr>
              <w:t xml:space="preserve">30 בספטמבר, </w:t>
            </w:r>
            <w:r w:rsidR="004F7D3D">
              <w:rPr>
                <w:rFonts w:hint="cs"/>
                <w:sz w:val="22"/>
                <w:rtl/>
              </w:rPr>
              <w:t>201</w:t>
            </w:r>
            <w:r w:rsidR="001F49C2">
              <w:rPr>
                <w:rFonts w:hint="cs"/>
                <w:sz w:val="22"/>
                <w:rtl/>
              </w:rPr>
              <w:t>8</w:t>
            </w:r>
          </w:p>
        </w:tc>
      </w:tr>
      <w:tr w:rsidR="003351ED" w:rsidRPr="00D55173" w14:paraId="144F0723" w14:textId="77777777" w:rsidTr="00BE65C6">
        <w:tc>
          <w:tcPr>
            <w:tcW w:w="1030" w:type="dxa"/>
            <w:vMerge w:val="restart"/>
            <w:tcBorders>
              <w:bottom w:val="single" w:sz="6" w:space="0" w:color="auto"/>
              <w:right w:val="single" w:sz="6" w:space="0" w:color="auto"/>
            </w:tcBorders>
            <w:vAlign w:val="center"/>
          </w:tcPr>
          <w:p w14:paraId="4381CF46" w14:textId="77777777" w:rsidR="003351ED" w:rsidRDefault="003351ED" w:rsidP="00BE65C6">
            <w:pPr>
              <w:widowControl/>
              <w:tabs>
                <w:tab w:val="left" w:pos="227"/>
                <w:tab w:val="left" w:pos="397"/>
                <w:tab w:val="left" w:pos="567"/>
              </w:tabs>
              <w:spacing w:line="240" w:lineRule="exact"/>
              <w:ind w:left="57"/>
              <w:jc w:val="left"/>
              <w:rPr>
                <w:i/>
                <w:iCs/>
                <w:sz w:val="13"/>
                <w:szCs w:val="13"/>
              </w:rPr>
            </w:pPr>
            <w:r w:rsidRPr="00892691">
              <w:rPr>
                <w:i/>
                <w:iCs/>
                <w:sz w:val="13"/>
                <w:szCs w:val="13"/>
              </w:rPr>
              <w:t>IFRS 13.93(b)</w:t>
            </w:r>
          </w:p>
          <w:p w14:paraId="65F97AD5" w14:textId="77777777" w:rsidR="003351ED" w:rsidRDefault="003351ED" w:rsidP="00BE65C6">
            <w:pPr>
              <w:widowControl/>
              <w:tabs>
                <w:tab w:val="left" w:pos="227"/>
                <w:tab w:val="left" w:pos="397"/>
                <w:tab w:val="left" w:pos="567"/>
              </w:tabs>
              <w:spacing w:line="240" w:lineRule="exact"/>
              <w:ind w:left="57"/>
              <w:jc w:val="left"/>
              <w:rPr>
                <w:sz w:val="22"/>
                <w:rtl/>
              </w:rPr>
            </w:pPr>
            <w:r w:rsidRPr="00892691">
              <w:rPr>
                <w:i/>
                <w:iCs/>
                <w:sz w:val="13"/>
                <w:szCs w:val="13"/>
              </w:rPr>
              <w:t>IFRS 13.94</w:t>
            </w:r>
          </w:p>
        </w:tc>
        <w:tc>
          <w:tcPr>
            <w:tcW w:w="700" w:type="dxa"/>
            <w:tcBorders>
              <w:left w:val="single" w:sz="6" w:space="0" w:color="auto"/>
            </w:tcBorders>
          </w:tcPr>
          <w:p w14:paraId="2EEA2561"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67A8D892"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53894D2D" w14:textId="77777777" w:rsidR="003351ED" w:rsidRPr="00D55173" w:rsidRDefault="003351ED" w:rsidP="00BE65C6">
            <w:pPr>
              <w:spacing w:line="240" w:lineRule="exact"/>
              <w:rPr>
                <w:sz w:val="22"/>
                <w:rtl/>
              </w:rPr>
            </w:pPr>
          </w:p>
        </w:tc>
        <w:tc>
          <w:tcPr>
            <w:tcW w:w="1036" w:type="dxa"/>
            <w:tcBorders>
              <w:bottom w:val="single" w:sz="6" w:space="0" w:color="auto"/>
            </w:tcBorders>
            <w:shd w:val="clear" w:color="auto" w:fill="auto"/>
            <w:vAlign w:val="bottom"/>
          </w:tcPr>
          <w:p w14:paraId="5562A604" w14:textId="77777777" w:rsidR="003351ED" w:rsidRDefault="003351ED" w:rsidP="00BE65C6">
            <w:pPr>
              <w:spacing w:line="240" w:lineRule="exact"/>
              <w:jc w:val="center"/>
              <w:rPr>
                <w:sz w:val="22"/>
                <w:rtl/>
              </w:rPr>
            </w:pPr>
            <w:r w:rsidRPr="00D55173">
              <w:rPr>
                <w:rFonts w:hint="cs"/>
                <w:sz w:val="22"/>
                <w:rtl/>
              </w:rPr>
              <w:t>רמה 1</w:t>
            </w:r>
          </w:p>
        </w:tc>
        <w:tc>
          <w:tcPr>
            <w:tcW w:w="149" w:type="dxa"/>
            <w:shd w:val="clear" w:color="auto" w:fill="auto"/>
            <w:vAlign w:val="bottom"/>
          </w:tcPr>
          <w:p w14:paraId="4487CC28" w14:textId="77777777" w:rsidR="003351ED" w:rsidRPr="00D55173" w:rsidRDefault="003351ED" w:rsidP="00BE65C6">
            <w:pPr>
              <w:spacing w:line="240" w:lineRule="exact"/>
              <w:rPr>
                <w:sz w:val="22"/>
                <w:rtl/>
              </w:rPr>
            </w:pPr>
          </w:p>
        </w:tc>
        <w:tc>
          <w:tcPr>
            <w:tcW w:w="1133" w:type="dxa"/>
            <w:tcBorders>
              <w:bottom w:val="single" w:sz="6" w:space="0" w:color="auto"/>
            </w:tcBorders>
            <w:shd w:val="clear" w:color="auto" w:fill="auto"/>
            <w:vAlign w:val="bottom"/>
          </w:tcPr>
          <w:p w14:paraId="28AFF92B" w14:textId="77777777" w:rsidR="003351ED" w:rsidRPr="00D55173" w:rsidRDefault="003351ED" w:rsidP="00BE65C6">
            <w:pPr>
              <w:spacing w:line="240" w:lineRule="exact"/>
              <w:jc w:val="center"/>
              <w:rPr>
                <w:sz w:val="22"/>
                <w:rtl/>
              </w:rPr>
            </w:pPr>
            <w:r w:rsidRPr="00D55173">
              <w:rPr>
                <w:rFonts w:hint="cs"/>
                <w:sz w:val="22"/>
                <w:rtl/>
              </w:rPr>
              <w:t>רמה 2</w:t>
            </w:r>
          </w:p>
        </w:tc>
        <w:tc>
          <w:tcPr>
            <w:tcW w:w="226" w:type="dxa"/>
            <w:shd w:val="clear" w:color="auto" w:fill="auto"/>
            <w:vAlign w:val="bottom"/>
          </w:tcPr>
          <w:p w14:paraId="01F6A9E9"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6EE10777" w14:textId="77777777" w:rsidR="003351ED" w:rsidRPr="00D55173" w:rsidRDefault="003351ED" w:rsidP="00BE65C6">
            <w:pPr>
              <w:spacing w:line="240" w:lineRule="exact"/>
              <w:jc w:val="center"/>
              <w:rPr>
                <w:sz w:val="22"/>
                <w:rtl/>
              </w:rPr>
            </w:pPr>
            <w:r w:rsidRPr="00D55173">
              <w:rPr>
                <w:rFonts w:hint="cs"/>
                <w:sz w:val="22"/>
                <w:rtl/>
              </w:rPr>
              <w:t>רמה 3</w:t>
            </w:r>
          </w:p>
        </w:tc>
        <w:tc>
          <w:tcPr>
            <w:tcW w:w="226" w:type="dxa"/>
            <w:shd w:val="clear" w:color="auto" w:fill="auto"/>
            <w:vAlign w:val="bottom"/>
          </w:tcPr>
          <w:p w14:paraId="49E8466F"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6EE2F7F3" w14:textId="77777777" w:rsidR="003351ED" w:rsidRPr="00D55173" w:rsidRDefault="003351ED" w:rsidP="00BE65C6">
            <w:pPr>
              <w:spacing w:line="240" w:lineRule="exact"/>
              <w:jc w:val="center"/>
              <w:rPr>
                <w:sz w:val="22"/>
                <w:rtl/>
              </w:rPr>
            </w:pPr>
            <w:r>
              <w:rPr>
                <w:rFonts w:hint="cs"/>
                <w:sz w:val="22"/>
                <w:rtl/>
              </w:rPr>
              <w:t>סה"כ</w:t>
            </w:r>
          </w:p>
        </w:tc>
      </w:tr>
      <w:tr w:rsidR="003351ED" w:rsidRPr="00D55173" w14:paraId="4BE12884" w14:textId="77777777" w:rsidTr="00BE65C6">
        <w:tc>
          <w:tcPr>
            <w:tcW w:w="1030" w:type="dxa"/>
            <w:vMerge/>
            <w:tcBorders>
              <w:top w:val="single" w:sz="6" w:space="0" w:color="auto"/>
              <w:bottom w:val="single" w:sz="6" w:space="0" w:color="auto"/>
              <w:right w:val="single" w:sz="6" w:space="0" w:color="auto"/>
            </w:tcBorders>
          </w:tcPr>
          <w:p w14:paraId="36D185E2"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1F0A0379"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5E3400A9"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0C0A4D15"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023BD182" w14:textId="77777777" w:rsidR="003351ED" w:rsidRPr="00D55173" w:rsidRDefault="003351ED" w:rsidP="00BE65C6">
            <w:pPr>
              <w:spacing w:line="240" w:lineRule="exact"/>
              <w:jc w:val="center"/>
              <w:rPr>
                <w:sz w:val="22"/>
                <w:rtl/>
              </w:rPr>
            </w:pPr>
            <w:r w:rsidRPr="00D55173">
              <w:rPr>
                <w:rFonts w:hint="cs"/>
                <w:sz w:val="22"/>
                <w:rtl/>
              </w:rPr>
              <w:t>אלפי ש"ח</w:t>
            </w:r>
          </w:p>
        </w:tc>
      </w:tr>
      <w:tr w:rsidR="003351ED" w:rsidRPr="00D55173" w14:paraId="131FE701" w14:textId="77777777" w:rsidTr="00BE65C6">
        <w:tc>
          <w:tcPr>
            <w:tcW w:w="1030" w:type="dxa"/>
            <w:vMerge/>
            <w:tcBorders>
              <w:top w:val="single" w:sz="6" w:space="0" w:color="auto"/>
              <w:bottom w:val="single" w:sz="6" w:space="0" w:color="auto"/>
              <w:right w:val="single" w:sz="6" w:space="0" w:color="auto"/>
            </w:tcBorders>
          </w:tcPr>
          <w:p w14:paraId="17DC23F4"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700" w:type="dxa"/>
            <w:tcBorders>
              <w:left w:val="single" w:sz="6" w:space="0" w:color="auto"/>
            </w:tcBorders>
          </w:tcPr>
          <w:p w14:paraId="735C0381"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tcPr>
          <w:p w14:paraId="2BFF7116"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01A23156" w14:textId="77777777" w:rsidR="003351ED" w:rsidRPr="00D55173" w:rsidRDefault="003351ED" w:rsidP="00BE65C6">
            <w:pPr>
              <w:spacing w:line="240" w:lineRule="exact"/>
              <w:rPr>
                <w:sz w:val="22"/>
                <w:rtl/>
              </w:rPr>
            </w:pPr>
          </w:p>
        </w:tc>
        <w:tc>
          <w:tcPr>
            <w:tcW w:w="1036" w:type="dxa"/>
            <w:tcBorders>
              <w:top w:val="single" w:sz="6" w:space="0" w:color="auto"/>
            </w:tcBorders>
            <w:shd w:val="clear" w:color="auto" w:fill="auto"/>
            <w:vAlign w:val="bottom"/>
          </w:tcPr>
          <w:p w14:paraId="464B69A3" w14:textId="77777777" w:rsidR="003351ED" w:rsidRPr="00D55173" w:rsidRDefault="003351ED" w:rsidP="00BE65C6">
            <w:pPr>
              <w:spacing w:line="240" w:lineRule="exact"/>
              <w:rPr>
                <w:sz w:val="22"/>
                <w:rtl/>
              </w:rPr>
            </w:pPr>
          </w:p>
        </w:tc>
        <w:tc>
          <w:tcPr>
            <w:tcW w:w="149" w:type="dxa"/>
            <w:tcBorders>
              <w:top w:val="single" w:sz="6" w:space="0" w:color="auto"/>
            </w:tcBorders>
            <w:shd w:val="clear" w:color="auto" w:fill="auto"/>
            <w:vAlign w:val="bottom"/>
          </w:tcPr>
          <w:p w14:paraId="5620714D" w14:textId="77777777" w:rsidR="003351ED" w:rsidRPr="00D55173" w:rsidRDefault="003351ED" w:rsidP="00BE65C6">
            <w:pPr>
              <w:spacing w:line="240" w:lineRule="exact"/>
              <w:rPr>
                <w:sz w:val="22"/>
                <w:rtl/>
              </w:rPr>
            </w:pPr>
          </w:p>
        </w:tc>
        <w:tc>
          <w:tcPr>
            <w:tcW w:w="1133" w:type="dxa"/>
            <w:tcBorders>
              <w:top w:val="single" w:sz="6" w:space="0" w:color="auto"/>
            </w:tcBorders>
            <w:shd w:val="clear" w:color="auto" w:fill="auto"/>
            <w:vAlign w:val="bottom"/>
          </w:tcPr>
          <w:p w14:paraId="35A7692C"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727A7A6C"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5FB77F56"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1D9CFB0F"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2A5828BF" w14:textId="77777777" w:rsidR="003351ED" w:rsidRPr="00D55173" w:rsidRDefault="003351ED" w:rsidP="00BE65C6">
            <w:pPr>
              <w:tabs>
                <w:tab w:val="decimal" w:pos="113"/>
              </w:tabs>
              <w:spacing w:line="240" w:lineRule="exact"/>
              <w:rPr>
                <w:sz w:val="22"/>
                <w:rtl/>
              </w:rPr>
            </w:pPr>
          </w:p>
        </w:tc>
      </w:tr>
      <w:tr w:rsidR="003351ED" w:rsidRPr="00D55173" w14:paraId="137C5484" w14:textId="77777777" w:rsidTr="00BE65C6">
        <w:tc>
          <w:tcPr>
            <w:tcW w:w="1030" w:type="dxa"/>
            <w:vMerge/>
            <w:tcBorders>
              <w:top w:val="single" w:sz="6" w:space="0" w:color="auto"/>
              <w:bottom w:val="single" w:sz="6" w:space="0" w:color="auto"/>
              <w:right w:val="single" w:sz="6" w:space="0" w:color="auto"/>
            </w:tcBorders>
          </w:tcPr>
          <w:p w14:paraId="49EDCD02"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42DE8FAE"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6F3AEAC3"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מכשירים הוניים</w:t>
            </w:r>
          </w:p>
        </w:tc>
        <w:tc>
          <w:tcPr>
            <w:tcW w:w="154" w:type="dxa"/>
            <w:shd w:val="clear" w:color="auto" w:fill="auto"/>
            <w:vAlign w:val="bottom"/>
          </w:tcPr>
          <w:p w14:paraId="424D31E7" w14:textId="77777777" w:rsidR="003351ED" w:rsidRPr="00D55173" w:rsidRDefault="003351ED" w:rsidP="00BE65C6">
            <w:pPr>
              <w:spacing w:line="240" w:lineRule="exact"/>
              <w:rPr>
                <w:sz w:val="22"/>
                <w:rtl/>
              </w:rPr>
            </w:pPr>
          </w:p>
        </w:tc>
        <w:tc>
          <w:tcPr>
            <w:tcW w:w="1036" w:type="dxa"/>
            <w:shd w:val="clear" w:color="auto" w:fill="auto"/>
            <w:vAlign w:val="bottom"/>
          </w:tcPr>
          <w:p w14:paraId="26803686" w14:textId="77777777" w:rsidR="003351ED" w:rsidRPr="00D55173" w:rsidRDefault="003351ED" w:rsidP="00BE65C6">
            <w:pPr>
              <w:spacing w:line="240" w:lineRule="exact"/>
              <w:rPr>
                <w:sz w:val="22"/>
                <w:rtl/>
              </w:rPr>
            </w:pPr>
          </w:p>
        </w:tc>
        <w:tc>
          <w:tcPr>
            <w:tcW w:w="149" w:type="dxa"/>
            <w:shd w:val="clear" w:color="auto" w:fill="auto"/>
            <w:vAlign w:val="bottom"/>
          </w:tcPr>
          <w:p w14:paraId="1FB870B9" w14:textId="77777777" w:rsidR="003351ED" w:rsidRPr="00D55173" w:rsidRDefault="003351ED" w:rsidP="00BE65C6">
            <w:pPr>
              <w:spacing w:line="240" w:lineRule="exact"/>
              <w:rPr>
                <w:sz w:val="22"/>
                <w:rtl/>
              </w:rPr>
            </w:pPr>
          </w:p>
        </w:tc>
        <w:tc>
          <w:tcPr>
            <w:tcW w:w="1133" w:type="dxa"/>
            <w:shd w:val="clear" w:color="auto" w:fill="auto"/>
            <w:vAlign w:val="bottom"/>
          </w:tcPr>
          <w:p w14:paraId="01C92BF9"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1DA89CDE"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6896A6F9"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76908362"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10D3A25" w14:textId="77777777" w:rsidR="003351ED" w:rsidRPr="00D55173" w:rsidRDefault="003351ED" w:rsidP="00BE65C6">
            <w:pPr>
              <w:tabs>
                <w:tab w:val="decimal" w:pos="113"/>
              </w:tabs>
              <w:spacing w:line="240" w:lineRule="exact"/>
              <w:rPr>
                <w:sz w:val="22"/>
                <w:rtl/>
              </w:rPr>
            </w:pPr>
          </w:p>
        </w:tc>
      </w:tr>
      <w:tr w:rsidR="003351ED" w:rsidRPr="00D55173" w14:paraId="28A177E7" w14:textId="77777777" w:rsidTr="00BE65C6">
        <w:tc>
          <w:tcPr>
            <w:tcW w:w="1030" w:type="dxa"/>
            <w:vMerge/>
            <w:tcBorders>
              <w:top w:val="single" w:sz="6" w:space="0" w:color="auto"/>
              <w:bottom w:val="single" w:sz="6" w:space="0" w:color="auto"/>
              <w:right w:val="single" w:sz="6" w:space="0" w:color="auto"/>
            </w:tcBorders>
          </w:tcPr>
          <w:p w14:paraId="23C312D6" w14:textId="77777777" w:rsidR="003351ED" w:rsidRDefault="003351ED" w:rsidP="00BE65C6">
            <w:pPr>
              <w:widowControl/>
              <w:tabs>
                <w:tab w:val="left" w:pos="227"/>
                <w:tab w:val="left" w:pos="1056"/>
              </w:tabs>
              <w:spacing w:line="240" w:lineRule="exact"/>
              <w:ind w:firstLine="57"/>
              <w:jc w:val="left"/>
              <w:rPr>
                <w:sz w:val="22"/>
                <w:rtl/>
              </w:rPr>
            </w:pPr>
          </w:p>
        </w:tc>
        <w:tc>
          <w:tcPr>
            <w:tcW w:w="700" w:type="dxa"/>
            <w:tcBorders>
              <w:left w:val="single" w:sz="6" w:space="0" w:color="auto"/>
            </w:tcBorders>
          </w:tcPr>
          <w:p w14:paraId="0DB66F24" w14:textId="77777777" w:rsidR="003351ED" w:rsidRDefault="003351ED" w:rsidP="00BE65C6">
            <w:pPr>
              <w:widowControl/>
              <w:tabs>
                <w:tab w:val="left" w:pos="227"/>
                <w:tab w:val="left" w:pos="1056"/>
              </w:tabs>
              <w:spacing w:line="240" w:lineRule="exact"/>
              <w:ind w:firstLine="57"/>
              <w:jc w:val="left"/>
              <w:rPr>
                <w:sz w:val="22"/>
                <w:rtl/>
              </w:rPr>
            </w:pPr>
          </w:p>
        </w:tc>
        <w:tc>
          <w:tcPr>
            <w:tcW w:w="2743" w:type="dxa"/>
            <w:shd w:val="clear" w:color="auto" w:fill="auto"/>
          </w:tcPr>
          <w:p w14:paraId="2AD271ED" w14:textId="77777777" w:rsidR="003351ED" w:rsidRPr="00D55173" w:rsidRDefault="003351ED" w:rsidP="00BE65C6">
            <w:pPr>
              <w:widowControl/>
              <w:tabs>
                <w:tab w:val="left" w:pos="227"/>
                <w:tab w:val="left" w:pos="1056"/>
              </w:tabs>
              <w:spacing w:line="240" w:lineRule="exact"/>
              <w:ind w:firstLine="57"/>
              <w:jc w:val="left"/>
              <w:rPr>
                <w:sz w:val="22"/>
                <w:rtl/>
              </w:rPr>
            </w:pPr>
            <w:r>
              <w:rPr>
                <w:rFonts w:hint="cs"/>
                <w:sz w:val="22"/>
                <w:rtl/>
              </w:rPr>
              <w:t>מכשירי חוב</w:t>
            </w:r>
          </w:p>
        </w:tc>
        <w:tc>
          <w:tcPr>
            <w:tcW w:w="154" w:type="dxa"/>
            <w:shd w:val="clear" w:color="auto" w:fill="auto"/>
            <w:vAlign w:val="bottom"/>
          </w:tcPr>
          <w:p w14:paraId="66694D43" w14:textId="77777777" w:rsidR="003351ED" w:rsidRPr="00D55173" w:rsidRDefault="003351ED" w:rsidP="00BE65C6">
            <w:pPr>
              <w:spacing w:line="240" w:lineRule="exact"/>
              <w:rPr>
                <w:sz w:val="22"/>
                <w:rtl/>
              </w:rPr>
            </w:pPr>
          </w:p>
        </w:tc>
        <w:tc>
          <w:tcPr>
            <w:tcW w:w="1036" w:type="dxa"/>
            <w:shd w:val="clear" w:color="auto" w:fill="auto"/>
            <w:vAlign w:val="bottom"/>
          </w:tcPr>
          <w:p w14:paraId="70C5FE12" w14:textId="77777777" w:rsidR="003351ED" w:rsidRPr="00D55173" w:rsidRDefault="003351ED" w:rsidP="00BE65C6">
            <w:pPr>
              <w:spacing w:line="240" w:lineRule="exact"/>
              <w:rPr>
                <w:sz w:val="22"/>
                <w:rtl/>
              </w:rPr>
            </w:pPr>
          </w:p>
        </w:tc>
        <w:tc>
          <w:tcPr>
            <w:tcW w:w="149" w:type="dxa"/>
            <w:shd w:val="clear" w:color="auto" w:fill="auto"/>
            <w:vAlign w:val="bottom"/>
          </w:tcPr>
          <w:p w14:paraId="76B0E69B" w14:textId="77777777" w:rsidR="003351ED" w:rsidRPr="00D55173" w:rsidRDefault="003351ED" w:rsidP="00BE65C6">
            <w:pPr>
              <w:spacing w:line="240" w:lineRule="exact"/>
              <w:rPr>
                <w:sz w:val="22"/>
                <w:rtl/>
              </w:rPr>
            </w:pPr>
          </w:p>
        </w:tc>
        <w:tc>
          <w:tcPr>
            <w:tcW w:w="1133" w:type="dxa"/>
            <w:shd w:val="clear" w:color="auto" w:fill="auto"/>
            <w:vAlign w:val="bottom"/>
          </w:tcPr>
          <w:p w14:paraId="7B8BC210"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3BA0E676"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6B60014"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2F2DD67C"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0C8A1703" w14:textId="77777777" w:rsidR="003351ED" w:rsidRPr="00D55173" w:rsidRDefault="003351ED" w:rsidP="00BE65C6">
            <w:pPr>
              <w:tabs>
                <w:tab w:val="decimal" w:pos="113"/>
              </w:tabs>
              <w:spacing w:line="240" w:lineRule="exact"/>
              <w:rPr>
                <w:sz w:val="22"/>
                <w:rtl/>
              </w:rPr>
            </w:pPr>
          </w:p>
        </w:tc>
      </w:tr>
      <w:tr w:rsidR="003351ED" w:rsidRPr="00D55173" w14:paraId="5CA11BE0" w14:textId="77777777" w:rsidTr="00BE65C6">
        <w:tc>
          <w:tcPr>
            <w:tcW w:w="1030" w:type="dxa"/>
            <w:vMerge/>
            <w:tcBorders>
              <w:top w:val="single" w:sz="6" w:space="0" w:color="auto"/>
              <w:bottom w:val="single" w:sz="6" w:space="0" w:color="auto"/>
              <w:right w:val="single" w:sz="6" w:space="0" w:color="auto"/>
            </w:tcBorders>
          </w:tcPr>
          <w:p w14:paraId="55819A08"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67FEF8D3"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3B9CA147"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חוזי אקדמה על מטבע חוץ</w:t>
            </w:r>
          </w:p>
        </w:tc>
        <w:tc>
          <w:tcPr>
            <w:tcW w:w="154" w:type="dxa"/>
            <w:shd w:val="clear" w:color="auto" w:fill="auto"/>
            <w:vAlign w:val="bottom"/>
          </w:tcPr>
          <w:p w14:paraId="02E3E67B" w14:textId="77777777" w:rsidR="003351ED" w:rsidRPr="00D55173" w:rsidRDefault="003351ED" w:rsidP="00BE65C6">
            <w:pPr>
              <w:spacing w:line="240" w:lineRule="exact"/>
              <w:rPr>
                <w:sz w:val="22"/>
                <w:rtl/>
              </w:rPr>
            </w:pPr>
          </w:p>
        </w:tc>
        <w:tc>
          <w:tcPr>
            <w:tcW w:w="1036" w:type="dxa"/>
            <w:shd w:val="clear" w:color="auto" w:fill="auto"/>
            <w:vAlign w:val="bottom"/>
          </w:tcPr>
          <w:p w14:paraId="7C0DAD4F" w14:textId="77777777" w:rsidR="003351ED" w:rsidRPr="00D55173" w:rsidRDefault="003351ED" w:rsidP="00BE65C6">
            <w:pPr>
              <w:spacing w:line="240" w:lineRule="exact"/>
              <w:rPr>
                <w:sz w:val="22"/>
                <w:rtl/>
              </w:rPr>
            </w:pPr>
          </w:p>
        </w:tc>
        <w:tc>
          <w:tcPr>
            <w:tcW w:w="149" w:type="dxa"/>
            <w:shd w:val="clear" w:color="auto" w:fill="auto"/>
            <w:vAlign w:val="bottom"/>
          </w:tcPr>
          <w:p w14:paraId="33BEAB7C" w14:textId="77777777" w:rsidR="003351ED" w:rsidRPr="00D55173" w:rsidRDefault="003351ED" w:rsidP="00BE65C6">
            <w:pPr>
              <w:spacing w:line="240" w:lineRule="exact"/>
              <w:rPr>
                <w:sz w:val="22"/>
                <w:rtl/>
              </w:rPr>
            </w:pPr>
          </w:p>
        </w:tc>
        <w:tc>
          <w:tcPr>
            <w:tcW w:w="1133" w:type="dxa"/>
            <w:shd w:val="clear" w:color="auto" w:fill="auto"/>
            <w:vAlign w:val="bottom"/>
          </w:tcPr>
          <w:p w14:paraId="34C5814D"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17FE24DE"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0BD90D7A"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20E6B6F9"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4E062408" w14:textId="77777777" w:rsidR="003351ED" w:rsidRPr="00D55173" w:rsidRDefault="003351ED" w:rsidP="00BE65C6">
            <w:pPr>
              <w:tabs>
                <w:tab w:val="decimal" w:pos="113"/>
              </w:tabs>
              <w:spacing w:line="240" w:lineRule="exact"/>
              <w:rPr>
                <w:sz w:val="22"/>
                <w:rtl/>
              </w:rPr>
            </w:pPr>
          </w:p>
        </w:tc>
      </w:tr>
      <w:tr w:rsidR="003351ED" w:rsidRPr="00D55173" w14:paraId="28847EE4" w14:textId="77777777" w:rsidTr="00BE65C6">
        <w:tc>
          <w:tcPr>
            <w:tcW w:w="1030" w:type="dxa"/>
            <w:vMerge/>
            <w:tcBorders>
              <w:top w:val="single" w:sz="6" w:space="0" w:color="auto"/>
              <w:bottom w:val="single" w:sz="6" w:space="0" w:color="auto"/>
              <w:right w:val="single" w:sz="6" w:space="0" w:color="auto"/>
            </w:tcBorders>
          </w:tcPr>
          <w:p w14:paraId="2BB73977"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2F2462F2"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21F4BA27"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נגזרים משובצים</w:t>
            </w:r>
          </w:p>
        </w:tc>
        <w:tc>
          <w:tcPr>
            <w:tcW w:w="154" w:type="dxa"/>
            <w:shd w:val="clear" w:color="auto" w:fill="auto"/>
            <w:vAlign w:val="bottom"/>
          </w:tcPr>
          <w:p w14:paraId="449634A6" w14:textId="77777777" w:rsidR="003351ED" w:rsidRPr="00D55173" w:rsidRDefault="003351ED" w:rsidP="00BE65C6">
            <w:pPr>
              <w:spacing w:line="240" w:lineRule="exact"/>
              <w:rPr>
                <w:sz w:val="22"/>
                <w:rtl/>
              </w:rPr>
            </w:pPr>
          </w:p>
        </w:tc>
        <w:tc>
          <w:tcPr>
            <w:tcW w:w="1036" w:type="dxa"/>
            <w:shd w:val="clear" w:color="auto" w:fill="auto"/>
            <w:vAlign w:val="bottom"/>
          </w:tcPr>
          <w:p w14:paraId="516E8CE9" w14:textId="77777777" w:rsidR="003351ED" w:rsidRPr="00D55173" w:rsidRDefault="003351ED" w:rsidP="00BE65C6">
            <w:pPr>
              <w:spacing w:line="240" w:lineRule="exact"/>
              <w:rPr>
                <w:sz w:val="22"/>
                <w:rtl/>
              </w:rPr>
            </w:pPr>
          </w:p>
        </w:tc>
        <w:tc>
          <w:tcPr>
            <w:tcW w:w="149" w:type="dxa"/>
            <w:shd w:val="clear" w:color="auto" w:fill="auto"/>
            <w:vAlign w:val="bottom"/>
          </w:tcPr>
          <w:p w14:paraId="1920A0DC" w14:textId="77777777" w:rsidR="003351ED" w:rsidRPr="00D55173" w:rsidRDefault="003351ED" w:rsidP="00BE65C6">
            <w:pPr>
              <w:spacing w:line="240" w:lineRule="exact"/>
              <w:rPr>
                <w:sz w:val="22"/>
                <w:rtl/>
              </w:rPr>
            </w:pPr>
          </w:p>
        </w:tc>
        <w:tc>
          <w:tcPr>
            <w:tcW w:w="1133" w:type="dxa"/>
            <w:shd w:val="clear" w:color="auto" w:fill="auto"/>
            <w:vAlign w:val="bottom"/>
          </w:tcPr>
          <w:p w14:paraId="13C7E613"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76D22BAF"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77E2CF08"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532D6CDA"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10B5C648" w14:textId="77777777" w:rsidR="003351ED" w:rsidRPr="00D55173" w:rsidRDefault="003351ED" w:rsidP="00BE65C6">
            <w:pPr>
              <w:tabs>
                <w:tab w:val="decimal" w:pos="113"/>
              </w:tabs>
              <w:spacing w:line="240" w:lineRule="exact"/>
              <w:rPr>
                <w:sz w:val="22"/>
                <w:rtl/>
              </w:rPr>
            </w:pPr>
          </w:p>
        </w:tc>
      </w:tr>
    </w:tbl>
    <w:p w14:paraId="7E04B648" w14:textId="77777777" w:rsidR="003351ED" w:rsidRDefault="003351ED" w:rsidP="003351ED">
      <w:pPr>
        <w:pStyle w:val="30"/>
        <w:rPr>
          <w:u w:val="single"/>
          <w:rtl/>
        </w:rPr>
      </w:pPr>
    </w:p>
    <w:p w14:paraId="15D1F6F9" w14:textId="77777777" w:rsidR="003351ED" w:rsidRDefault="003351ED" w:rsidP="003351ED">
      <w:pPr>
        <w:pStyle w:val="30"/>
        <w:rPr>
          <w:u w:val="single"/>
          <w:rtl/>
        </w:rPr>
      </w:pPr>
      <w:r w:rsidRPr="007D64FF">
        <w:rPr>
          <w:rFonts w:hint="cs"/>
          <w:u w:val="single"/>
          <w:rtl/>
        </w:rPr>
        <w:t>התחייבויות פיננסיות הנמדדות בשווי הוגן</w:t>
      </w:r>
    </w:p>
    <w:p w14:paraId="32FC6A07" w14:textId="77777777" w:rsidR="003351ED" w:rsidRDefault="003351ED" w:rsidP="003351ED">
      <w:pPr>
        <w:pStyle w:val="30"/>
        <w:rPr>
          <w:u w:val="single"/>
          <w:rtl/>
        </w:rPr>
      </w:pPr>
    </w:p>
    <w:tbl>
      <w:tblPr>
        <w:bidiVisual/>
        <w:tblW w:w="9663" w:type="dxa"/>
        <w:tblInd w:w="32" w:type="dxa"/>
        <w:tblLayout w:type="fixed"/>
        <w:tblCellMar>
          <w:left w:w="0" w:type="dxa"/>
          <w:right w:w="0" w:type="dxa"/>
        </w:tblCellMar>
        <w:tblLook w:val="01E0" w:firstRow="1" w:lastRow="1" w:firstColumn="1" w:lastColumn="1" w:noHBand="0" w:noVBand="0"/>
      </w:tblPr>
      <w:tblGrid>
        <w:gridCol w:w="1030"/>
        <w:gridCol w:w="700"/>
        <w:gridCol w:w="2743"/>
        <w:gridCol w:w="154"/>
        <w:gridCol w:w="1036"/>
        <w:gridCol w:w="149"/>
        <w:gridCol w:w="1133"/>
        <w:gridCol w:w="226"/>
        <w:gridCol w:w="1133"/>
        <w:gridCol w:w="226"/>
        <w:gridCol w:w="1133"/>
      </w:tblGrid>
      <w:tr w:rsidR="003351ED" w:rsidRPr="00D55173" w14:paraId="77F6D944" w14:textId="77777777" w:rsidTr="00BE65C6">
        <w:tc>
          <w:tcPr>
            <w:tcW w:w="1030" w:type="dxa"/>
            <w:tcBorders>
              <w:bottom w:val="single" w:sz="6" w:space="0" w:color="auto"/>
              <w:right w:val="single" w:sz="6" w:space="0" w:color="auto"/>
            </w:tcBorders>
            <w:vAlign w:val="center"/>
          </w:tcPr>
          <w:p w14:paraId="187C5188" w14:textId="77777777" w:rsidR="003351ED" w:rsidRPr="003517FC" w:rsidRDefault="003351ED" w:rsidP="00BE65C6">
            <w:pPr>
              <w:widowControl/>
              <w:tabs>
                <w:tab w:val="left" w:pos="227"/>
                <w:tab w:val="left" w:pos="397"/>
                <w:tab w:val="left" w:pos="567"/>
              </w:tabs>
              <w:spacing w:line="240" w:lineRule="exact"/>
              <w:ind w:left="57"/>
              <w:jc w:val="left"/>
              <w:rPr>
                <w:i/>
                <w:iCs/>
                <w:sz w:val="13"/>
                <w:szCs w:val="13"/>
              </w:rPr>
            </w:pPr>
          </w:p>
        </w:tc>
        <w:tc>
          <w:tcPr>
            <w:tcW w:w="700" w:type="dxa"/>
            <w:tcBorders>
              <w:left w:val="single" w:sz="6" w:space="0" w:color="auto"/>
            </w:tcBorders>
          </w:tcPr>
          <w:p w14:paraId="745090B7"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51CCB32B"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350247AC"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33845D2A" w14:textId="7543B0D9" w:rsidR="003351ED" w:rsidRDefault="003351ED" w:rsidP="001F49C2">
            <w:pPr>
              <w:spacing w:line="240" w:lineRule="exact"/>
              <w:jc w:val="center"/>
              <w:rPr>
                <w:sz w:val="22"/>
                <w:rtl/>
              </w:rPr>
            </w:pPr>
            <w:r>
              <w:rPr>
                <w:rFonts w:hint="cs"/>
                <w:sz w:val="22"/>
                <w:rtl/>
              </w:rPr>
              <w:t xml:space="preserve">30 בספטמבר, </w:t>
            </w:r>
            <w:r w:rsidR="004F7D3D">
              <w:rPr>
                <w:rFonts w:hint="cs"/>
                <w:sz w:val="22"/>
                <w:rtl/>
              </w:rPr>
              <w:t>201</w:t>
            </w:r>
            <w:r w:rsidR="001F49C2">
              <w:rPr>
                <w:rFonts w:hint="cs"/>
                <w:sz w:val="22"/>
                <w:rtl/>
              </w:rPr>
              <w:t>8</w:t>
            </w:r>
          </w:p>
        </w:tc>
      </w:tr>
      <w:tr w:rsidR="003351ED" w:rsidRPr="00D55173" w14:paraId="1A3EFCEA" w14:textId="77777777" w:rsidTr="00BE65C6">
        <w:tc>
          <w:tcPr>
            <w:tcW w:w="1030" w:type="dxa"/>
            <w:vMerge w:val="restart"/>
            <w:tcBorders>
              <w:bottom w:val="single" w:sz="6" w:space="0" w:color="auto"/>
              <w:right w:val="single" w:sz="6" w:space="0" w:color="auto"/>
            </w:tcBorders>
            <w:vAlign w:val="center"/>
          </w:tcPr>
          <w:p w14:paraId="53F9EAB5" w14:textId="77777777" w:rsidR="003351ED" w:rsidRPr="003517FC" w:rsidRDefault="003351ED" w:rsidP="00BE65C6">
            <w:pPr>
              <w:widowControl/>
              <w:tabs>
                <w:tab w:val="left" w:pos="227"/>
                <w:tab w:val="left" w:pos="397"/>
                <w:tab w:val="left" w:pos="567"/>
              </w:tabs>
              <w:spacing w:line="240" w:lineRule="exact"/>
              <w:ind w:left="57"/>
              <w:jc w:val="left"/>
              <w:rPr>
                <w:i/>
                <w:iCs/>
                <w:sz w:val="13"/>
                <w:szCs w:val="13"/>
              </w:rPr>
            </w:pPr>
            <w:r w:rsidRPr="003517FC">
              <w:rPr>
                <w:i/>
                <w:iCs/>
                <w:sz w:val="13"/>
                <w:szCs w:val="13"/>
              </w:rPr>
              <w:t>IFRS 13.93(b)</w:t>
            </w:r>
          </w:p>
          <w:p w14:paraId="35ADF5E6" w14:textId="77777777" w:rsidR="003351ED" w:rsidRPr="00D55173" w:rsidRDefault="003351ED" w:rsidP="00BE65C6">
            <w:pPr>
              <w:widowControl/>
              <w:tabs>
                <w:tab w:val="left" w:pos="227"/>
                <w:tab w:val="left" w:pos="397"/>
                <w:tab w:val="left" w:pos="567"/>
              </w:tabs>
              <w:spacing w:line="240" w:lineRule="exact"/>
              <w:ind w:left="57"/>
              <w:jc w:val="left"/>
              <w:rPr>
                <w:sz w:val="22"/>
                <w:rtl/>
              </w:rPr>
            </w:pPr>
            <w:r w:rsidRPr="003517FC">
              <w:rPr>
                <w:i/>
                <w:iCs/>
                <w:sz w:val="13"/>
                <w:szCs w:val="13"/>
              </w:rPr>
              <w:t>IFRS 13.94</w:t>
            </w:r>
          </w:p>
        </w:tc>
        <w:tc>
          <w:tcPr>
            <w:tcW w:w="700" w:type="dxa"/>
            <w:tcBorders>
              <w:left w:val="single" w:sz="6" w:space="0" w:color="auto"/>
            </w:tcBorders>
          </w:tcPr>
          <w:p w14:paraId="6DBF51B8"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5FAEDF87"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52C2163C" w14:textId="77777777" w:rsidR="003351ED" w:rsidRPr="00D55173" w:rsidRDefault="003351ED" w:rsidP="00BE65C6">
            <w:pPr>
              <w:spacing w:line="240" w:lineRule="exact"/>
              <w:rPr>
                <w:sz w:val="22"/>
                <w:rtl/>
              </w:rPr>
            </w:pPr>
          </w:p>
        </w:tc>
        <w:tc>
          <w:tcPr>
            <w:tcW w:w="1036" w:type="dxa"/>
            <w:tcBorders>
              <w:bottom w:val="single" w:sz="6" w:space="0" w:color="auto"/>
            </w:tcBorders>
            <w:shd w:val="clear" w:color="auto" w:fill="auto"/>
            <w:vAlign w:val="bottom"/>
          </w:tcPr>
          <w:p w14:paraId="7ADBCD9E" w14:textId="77777777" w:rsidR="003351ED" w:rsidRPr="00D55173" w:rsidRDefault="003351ED" w:rsidP="00BE65C6">
            <w:pPr>
              <w:spacing w:line="240" w:lineRule="exact"/>
              <w:jc w:val="center"/>
              <w:rPr>
                <w:sz w:val="22"/>
                <w:rtl/>
              </w:rPr>
            </w:pPr>
            <w:r w:rsidRPr="00D55173">
              <w:rPr>
                <w:rFonts w:hint="cs"/>
                <w:sz w:val="22"/>
                <w:rtl/>
              </w:rPr>
              <w:t>רמה 1</w:t>
            </w:r>
          </w:p>
        </w:tc>
        <w:tc>
          <w:tcPr>
            <w:tcW w:w="149" w:type="dxa"/>
            <w:shd w:val="clear" w:color="auto" w:fill="auto"/>
            <w:vAlign w:val="bottom"/>
          </w:tcPr>
          <w:p w14:paraId="5D6C0DB9" w14:textId="77777777" w:rsidR="003351ED" w:rsidRPr="00D55173" w:rsidRDefault="003351ED" w:rsidP="00BE65C6">
            <w:pPr>
              <w:spacing w:line="240" w:lineRule="exact"/>
              <w:rPr>
                <w:sz w:val="22"/>
                <w:rtl/>
              </w:rPr>
            </w:pPr>
          </w:p>
        </w:tc>
        <w:tc>
          <w:tcPr>
            <w:tcW w:w="1133" w:type="dxa"/>
            <w:tcBorders>
              <w:bottom w:val="single" w:sz="6" w:space="0" w:color="auto"/>
            </w:tcBorders>
            <w:shd w:val="clear" w:color="auto" w:fill="auto"/>
            <w:vAlign w:val="bottom"/>
          </w:tcPr>
          <w:p w14:paraId="15575EA2" w14:textId="77777777" w:rsidR="003351ED" w:rsidRPr="00D55173" w:rsidRDefault="003351ED" w:rsidP="00BE65C6">
            <w:pPr>
              <w:spacing w:line="240" w:lineRule="exact"/>
              <w:jc w:val="center"/>
              <w:rPr>
                <w:sz w:val="22"/>
                <w:rtl/>
              </w:rPr>
            </w:pPr>
            <w:r w:rsidRPr="00D55173">
              <w:rPr>
                <w:rFonts w:hint="cs"/>
                <w:sz w:val="22"/>
                <w:rtl/>
              </w:rPr>
              <w:t>רמה 2</w:t>
            </w:r>
          </w:p>
        </w:tc>
        <w:tc>
          <w:tcPr>
            <w:tcW w:w="226" w:type="dxa"/>
            <w:shd w:val="clear" w:color="auto" w:fill="auto"/>
            <w:vAlign w:val="bottom"/>
          </w:tcPr>
          <w:p w14:paraId="53D619F5"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57AEB32E" w14:textId="77777777" w:rsidR="003351ED" w:rsidRPr="00D55173" w:rsidRDefault="003351ED" w:rsidP="00BE65C6">
            <w:pPr>
              <w:spacing w:line="240" w:lineRule="exact"/>
              <w:jc w:val="center"/>
              <w:rPr>
                <w:sz w:val="22"/>
                <w:rtl/>
              </w:rPr>
            </w:pPr>
            <w:r w:rsidRPr="00D55173">
              <w:rPr>
                <w:rFonts w:hint="cs"/>
                <w:sz w:val="22"/>
                <w:rtl/>
              </w:rPr>
              <w:t>רמה 3</w:t>
            </w:r>
          </w:p>
        </w:tc>
        <w:tc>
          <w:tcPr>
            <w:tcW w:w="226" w:type="dxa"/>
            <w:shd w:val="clear" w:color="auto" w:fill="auto"/>
            <w:vAlign w:val="bottom"/>
          </w:tcPr>
          <w:p w14:paraId="641CCA1E"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3F82DC02" w14:textId="77777777" w:rsidR="003351ED" w:rsidRPr="00D55173" w:rsidRDefault="003351ED" w:rsidP="00BE65C6">
            <w:pPr>
              <w:spacing w:line="240" w:lineRule="exact"/>
              <w:jc w:val="center"/>
              <w:rPr>
                <w:sz w:val="22"/>
                <w:rtl/>
              </w:rPr>
            </w:pPr>
            <w:r>
              <w:rPr>
                <w:rFonts w:hint="cs"/>
                <w:sz w:val="22"/>
                <w:rtl/>
              </w:rPr>
              <w:t>סה"כ</w:t>
            </w:r>
          </w:p>
        </w:tc>
      </w:tr>
      <w:tr w:rsidR="003351ED" w:rsidRPr="00D55173" w14:paraId="39F9CA28" w14:textId="77777777" w:rsidTr="00BE65C6">
        <w:tc>
          <w:tcPr>
            <w:tcW w:w="1030" w:type="dxa"/>
            <w:vMerge/>
            <w:tcBorders>
              <w:top w:val="single" w:sz="6" w:space="0" w:color="auto"/>
              <w:bottom w:val="single" w:sz="6" w:space="0" w:color="auto"/>
              <w:right w:val="single" w:sz="6" w:space="0" w:color="auto"/>
            </w:tcBorders>
          </w:tcPr>
          <w:p w14:paraId="7D795BB8"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33C0A352"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004655D6"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2557AC70"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2F7F1949" w14:textId="77777777" w:rsidR="003351ED" w:rsidRPr="00D55173" w:rsidRDefault="003351ED" w:rsidP="00BE65C6">
            <w:pPr>
              <w:spacing w:line="240" w:lineRule="exact"/>
              <w:jc w:val="center"/>
              <w:rPr>
                <w:sz w:val="22"/>
                <w:rtl/>
              </w:rPr>
            </w:pPr>
            <w:r w:rsidRPr="00D55173">
              <w:rPr>
                <w:rFonts w:hint="cs"/>
                <w:sz w:val="22"/>
                <w:rtl/>
              </w:rPr>
              <w:t>אלפי ש"ח</w:t>
            </w:r>
          </w:p>
        </w:tc>
      </w:tr>
      <w:tr w:rsidR="003351ED" w:rsidRPr="00D55173" w14:paraId="4961FFD3" w14:textId="77777777" w:rsidTr="00BE65C6">
        <w:tc>
          <w:tcPr>
            <w:tcW w:w="1030" w:type="dxa"/>
            <w:vMerge/>
            <w:tcBorders>
              <w:top w:val="single" w:sz="6" w:space="0" w:color="auto"/>
              <w:bottom w:val="single" w:sz="6" w:space="0" w:color="auto"/>
              <w:right w:val="single" w:sz="6" w:space="0" w:color="auto"/>
            </w:tcBorders>
          </w:tcPr>
          <w:p w14:paraId="3ECD22B1"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700" w:type="dxa"/>
            <w:tcBorders>
              <w:left w:val="single" w:sz="6" w:space="0" w:color="auto"/>
            </w:tcBorders>
          </w:tcPr>
          <w:p w14:paraId="5EB8C90D"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tcPr>
          <w:p w14:paraId="7205CF03"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63E39761" w14:textId="77777777" w:rsidR="003351ED" w:rsidRPr="00D55173" w:rsidRDefault="003351ED" w:rsidP="00BE65C6">
            <w:pPr>
              <w:spacing w:line="240" w:lineRule="exact"/>
              <w:rPr>
                <w:sz w:val="22"/>
                <w:rtl/>
              </w:rPr>
            </w:pPr>
          </w:p>
        </w:tc>
        <w:tc>
          <w:tcPr>
            <w:tcW w:w="1036" w:type="dxa"/>
            <w:tcBorders>
              <w:top w:val="single" w:sz="6" w:space="0" w:color="auto"/>
            </w:tcBorders>
            <w:shd w:val="clear" w:color="auto" w:fill="auto"/>
            <w:vAlign w:val="bottom"/>
          </w:tcPr>
          <w:p w14:paraId="2D3356A8" w14:textId="77777777" w:rsidR="003351ED" w:rsidRPr="00D55173" w:rsidRDefault="003351ED" w:rsidP="00BE65C6">
            <w:pPr>
              <w:spacing w:line="240" w:lineRule="exact"/>
              <w:rPr>
                <w:sz w:val="22"/>
                <w:rtl/>
              </w:rPr>
            </w:pPr>
          </w:p>
        </w:tc>
        <w:tc>
          <w:tcPr>
            <w:tcW w:w="149" w:type="dxa"/>
            <w:tcBorders>
              <w:top w:val="single" w:sz="6" w:space="0" w:color="auto"/>
            </w:tcBorders>
            <w:shd w:val="clear" w:color="auto" w:fill="auto"/>
            <w:vAlign w:val="bottom"/>
          </w:tcPr>
          <w:p w14:paraId="25902C85" w14:textId="77777777" w:rsidR="003351ED" w:rsidRPr="00D55173" w:rsidRDefault="003351ED" w:rsidP="00BE65C6">
            <w:pPr>
              <w:spacing w:line="240" w:lineRule="exact"/>
              <w:rPr>
                <w:sz w:val="22"/>
                <w:rtl/>
              </w:rPr>
            </w:pPr>
          </w:p>
        </w:tc>
        <w:tc>
          <w:tcPr>
            <w:tcW w:w="1133" w:type="dxa"/>
            <w:tcBorders>
              <w:top w:val="single" w:sz="6" w:space="0" w:color="auto"/>
            </w:tcBorders>
            <w:shd w:val="clear" w:color="auto" w:fill="auto"/>
            <w:vAlign w:val="bottom"/>
          </w:tcPr>
          <w:p w14:paraId="2708BAB7"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14EFD480"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4FB7FA0E"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6000D6D5"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1B3E8ADD" w14:textId="77777777" w:rsidR="003351ED" w:rsidRPr="00D55173" w:rsidRDefault="003351ED" w:rsidP="00BE65C6">
            <w:pPr>
              <w:tabs>
                <w:tab w:val="decimal" w:pos="113"/>
              </w:tabs>
              <w:spacing w:line="240" w:lineRule="exact"/>
              <w:rPr>
                <w:sz w:val="22"/>
                <w:rtl/>
              </w:rPr>
            </w:pPr>
          </w:p>
        </w:tc>
      </w:tr>
      <w:tr w:rsidR="003351ED" w:rsidRPr="00D55173" w14:paraId="1232E174" w14:textId="77777777" w:rsidTr="00BE65C6">
        <w:tc>
          <w:tcPr>
            <w:tcW w:w="1030" w:type="dxa"/>
            <w:vMerge/>
            <w:tcBorders>
              <w:top w:val="single" w:sz="6" w:space="0" w:color="auto"/>
              <w:bottom w:val="single" w:sz="6" w:space="0" w:color="auto"/>
              <w:right w:val="single" w:sz="6" w:space="0" w:color="auto"/>
            </w:tcBorders>
          </w:tcPr>
          <w:p w14:paraId="4FA01CB1"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4C798060"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6C3EC70D"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rtl/>
              </w:rPr>
              <w:t>חוזים עתידיים על סחורות</w:t>
            </w:r>
          </w:p>
        </w:tc>
        <w:tc>
          <w:tcPr>
            <w:tcW w:w="154" w:type="dxa"/>
            <w:shd w:val="clear" w:color="auto" w:fill="auto"/>
            <w:vAlign w:val="bottom"/>
          </w:tcPr>
          <w:p w14:paraId="3F67384E" w14:textId="77777777" w:rsidR="003351ED" w:rsidRPr="00D55173" w:rsidRDefault="003351ED" w:rsidP="00BE65C6">
            <w:pPr>
              <w:spacing w:line="240" w:lineRule="exact"/>
              <w:rPr>
                <w:sz w:val="22"/>
                <w:rtl/>
              </w:rPr>
            </w:pPr>
          </w:p>
        </w:tc>
        <w:tc>
          <w:tcPr>
            <w:tcW w:w="1036" w:type="dxa"/>
            <w:shd w:val="clear" w:color="auto" w:fill="auto"/>
            <w:vAlign w:val="bottom"/>
          </w:tcPr>
          <w:p w14:paraId="75E7E877" w14:textId="77777777" w:rsidR="003351ED" w:rsidRPr="00D55173" w:rsidRDefault="003351ED" w:rsidP="00BE65C6">
            <w:pPr>
              <w:spacing w:line="240" w:lineRule="exact"/>
              <w:rPr>
                <w:sz w:val="22"/>
                <w:rtl/>
              </w:rPr>
            </w:pPr>
          </w:p>
        </w:tc>
        <w:tc>
          <w:tcPr>
            <w:tcW w:w="149" w:type="dxa"/>
            <w:shd w:val="clear" w:color="auto" w:fill="auto"/>
            <w:vAlign w:val="bottom"/>
          </w:tcPr>
          <w:p w14:paraId="5CCE1F28" w14:textId="77777777" w:rsidR="003351ED" w:rsidRPr="00D55173" w:rsidRDefault="003351ED" w:rsidP="00BE65C6">
            <w:pPr>
              <w:spacing w:line="240" w:lineRule="exact"/>
              <w:rPr>
                <w:sz w:val="22"/>
                <w:rtl/>
              </w:rPr>
            </w:pPr>
          </w:p>
        </w:tc>
        <w:tc>
          <w:tcPr>
            <w:tcW w:w="1133" w:type="dxa"/>
            <w:shd w:val="clear" w:color="auto" w:fill="auto"/>
            <w:vAlign w:val="bottom"/>
          </w:tcPr>
          <w:p w14:paraId="6A8E1A2B"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688EDF40"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4C178F36"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3EDDF936"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64AE6A5A" w14:textId="77777777" w:rsidR="003351ED" w:rsidRPr="00D55173" w:rsidRDefault="003351ED" w:rsidP="00BE65C6">
            <w:pPr>
              <w:tabs>
                <w:tab w:val="decimal" w:pos="113"/>
              </w:tabs>
              <w:spacing w:line="240" w:lineRule="exact"/>
              <w:rPr>
                <w:sz w:val="22"/>
                <w:rtl/>
              </w:rPr>
            </w:pPr>
          </w:p>
        </w:tc>
      </w:tr>
      <w:tr w:rsidR="003351ED" w:rsidRPr="00D55173" w14:paraId="06597770" w14:textId="77777777" w:rsidTr="00BE65C6">
        <w:tc>
          <w:tcPr>
            <w:tcW w:w="1030" w:type="dxa"/>
            <w:vMerge/>
            <w:tcBorders>
              <w:top w:val="single" w:sz="6" w:space="0" w:color="auto"/>
              <w:bottom w:val="single" w:sz="6" w:space="0" w:color="auto"/>
              <w:right w:val="single" w:sz="6" w:space="0" w:color="auto"/>
            </w:tcBorders>
          </w:tcPr>
          <w:p w14:paraId="44FFE20D" w14:textId="77777777" w:rsidR="003351ED" w:rsidRDefault="003351ED" w:rsidP="00BE65C6">
            <w:pPr>
              <w:widowControl/>
              <w:tabs>
                <w:tab w:val="left" w:pos="227"/>
                <w:tab w:val="left" w:pos="1056"/>
              </w:tabs>
              <w:spacing w:line="240" w:lineRule="exact"/>
              <w:ind w:firstLine="57"/>
              <w:jc w:val="left"/>
              <w:rPr>
                <w:sz w:val="22"/>
                <w:rtl/>
              </w:rPr>
            </w:pPr>
          </w:p>
        </w:tc>
        <w:tc>
          <w:tcPr>
            <w:tcW w:w="700" w:type="dxa"/>
            <w:tcBorders>
              <w:left w:val="single" w:sz="6" w:space="0" w:color="auto"/>
            </w:tcBorders>
          </w:tcPr>
          <w:p w14:paraId="278FEE6E" w14:textId="77777777" w:rsidR="003351ED" w:rsidRDefault="003351ED" w:rsidP="00BE65C6">
            <w:pPr>
              <w:widowControl/>
              <w:tabs>
                <w:tab w:val="left" w:pos="227"/>
                <w:tab w:val="left" w:pos="1056"/>
              </w:tabs>
              <w:spacing w:line="240" w:lineRule="exact"/>
              <w:ind w:firstLine="57"/>
              <w:jc w:val="left"/>
              <w:rPr>
                <w:sz w:val="22"/>
                <w:rtl/>
              </w:rPr>
            </w:pPr>
          </w:p>
        </w:tc>
        <w:tc>
          <w:tcPr>
            <w:tcW w:w="2743" w:type="dxa"/>
            <w:shd w:val="clear" w:color="auto" w:fill="auto"/>
          </w:tcPr>
          <w:p w14:paraId="57BAC667" w14:textId="77777777" w:rsidR="003351ED" w:rsidRPr="00D55173" w:rsidRDefault="003351ED" w:rsidP="00BE65C6">
            <w:pPr>
              <w:widowControl/>
              <w:tabs>
                <w:tab w:val="left" w:pos="227"/>
                <w:tab w:val="left" w:pos="1056"/>
              </w:tabs>
              <w:spacing w:line="240" w:lineRule="exact"/>
              <w:ind w:firstLine="57"/>
              <w:jc w:val="left"/>
              <w:rPr>
                <w:sz w:val="22"/>
                <w:rtl/>
              </w:rPr>
            </w:pPr>
            <w:r>
              <w:rPr>
                <w:rFonts w:hint="cs"/>
                <w:sz w:val="22"/>
                <w:rtl/>
              </w:rPr>
              <w:t>חוזי אקדמה על מטבע חוץ</w:t>
            </w:r>
          </w:p>
        </w:tc>
        <w:tc>
          <w:tcPr>
            <w:tcW w:w="154" w:type="dxa"/>
            <w:shd w:val="clear" w:color="auto" w:fill="auto"/>
            <w:vAlign w:val="bottom"/>
          </w:tcPr>
          <w:p w14:paraId="335A5275" w14:textId="77777777" w:rsidR="003351ED" w:rsidRPr="00D55173" w:rsidRDefault="003351ED" w:rsidP="00BE65C6">
            <w:pPr>
              <w:spacing w:line="240" w:lineRule="exact"/>
              <w:rPr>
                <w:sz w:val="22"/>
                <w:rtl/>
              </w:rPr>
            </w:pPr>
          </w:p>
        </w:tc>
        <w:tc>
          <w:tcPr>
            <w:tcW w:w="1036" w:type="dxa"/>
            <w:shd w:val="clear" w:color="auto" w:fill="auto"/>
            <w:vAlign w:val="bottom"/>
          </w:tcPr>
          <w:p w14:paraId="2B1A21B4" w14:textId="77777777" w:rsidR="003351ED" w:rsidRPr="00D55173" w:rsidRDefault="003351ED" w:rsidP="00BE65C6">
            <w:pPr>
              <w:spacing w:line="240" w:lineRule="exact"/>
              <w:rPr>
                <w:sz w:val="22"/>
                <w:rtl/>
              </w:rPr>
            </w:pPr>
          </w:p>
        </w:tc>
        <w:tc>
          <w:tcPr>
            <w:tcW w:w="149" w:type="dxa"/>
            <w:shd w:val="clear" w:color="auto" w:fill="auto"/>
            <w:vAlign w:val="bottom"/>
          </w:tcPr>
          <w:p w14:paraId="248BD002" w14:textId="77777777" w:rsidR="003351ED" w:rsidRPr="00D55173" w:rsidRDefault="003351ED" w:rsidP="00BE65C6">
            <w:pPr>
              <w:spacing w:line="240" w:lineRule="exact"/>
              <w:rPr>
                <w:sz w:val="22"/>
                <w:rtl/>
              </w:rPr>
            </w:pPr>
          </w:p>
        </w:tc>
        <w:tc>
          <w:tcPr>
            <w:tcW w:w="1133" w:type="dxa"/>
            <w:shd w:val="clear" w:color="auto" w:fill="auto"/>
            <w:vAlign w:val="bottom"/>
          </w:tcPr>
          <w:p w14:paraId="22B7997F"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78885C86"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2527425"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503E85D5"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09A126C8" w14:textId="77777777" w:rsidR="003351ED" w:rsidRPr="00D55173" w:rsidRDefault="003351ED" w:rsidP="00BE65C6">
            <w:pPr>
              <w:tabs>
                <w:tab w:val="decimal" w:pos="113"/>
              </w:tabs>
              <w:spacing w:line="240" w:lineRule="exact"/>
              <w:rPr>
                <w:sz w:val="22"/>
                <w:rtl/>
              </w:rPr>
            </w:pPr>
          </w:p>
        </w:tc>
      </w:tr>
      <w:tr w:rsidR="003351ED" w:rsidRPr="00D55173" w14:paraId="226931EB" w14:textId="77777777" w:rsidTr="00BE65C6">
        <w:tc>
          <w:tcPr>
            <w:tcW w:w="1030" w:type="dxa"/>
            <w:vMerge/>
            <w:tcBorders>
              <w:top w:val="single" w:sz="6" w:space="0" w:color="auto"/>
              <w:bottom w:val="single" w:sz="6" w:space="0" w:color="auto"/>
              <w:right w:val="single" w:sz="6" w:space="0" w:color="auto"/>
            </w:tcBorders>
          </w:tcPr>
          <w:p w14:paraId="3147C0AE"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28B7A782"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28A1E6F7"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נגזרים משובצים</w:t>
            </w:r>
          </w:p>
        </w:tc>
        <w:tc>
          <w:tcPr>
            <w:tcW w:w="154" w:type="dxa"/>
            <w:shd w:val="clear" w:color="auto" w:fill="auto"/>
            <w:vAlign w:val="bottom"/>
          </w:tcPr>
          <w:p w14:paraId="6626692B" w14:textId="77777777" w:rsidR="003351ED" w:rsidRPr="00D55173" w:rsidRDefault="003351ED" w:rsidP="00BE65C6">
            <w:pPr>
              <w:spacing w:line="240" w:lineRule="exact"/>
              <w:rPr>
                <w:sz w:val="22"/>
                <w:rtl/>
              </w:rPr>
            </w:pPr>
          </w:p>
        </w:tc>
        <w:tc>
          <w:tcPr>
            <w:tcW w:w="1036" w:type="dxa"/>
            <w:shd w:val="clear" w:color="auto" w:fill="auto"/>
            <w:vAlign w:val="bottom"/>
          </w:tcPr>
          <w:p w14:paraId="6A9D95D9" w14:textId="77777777" w:rsidR="003351ED" w:rsidRPr="00D55173" w:rsidRDefault="003351ED" w:rsidP="00BE65C6">
            <w:pPr>
              <w:spacing w:line="240" w:lineRule="exact"/>
              <w:rPr>
                <w:sz w:val="22"/>
                <w:rtl/>
              </w:rPr>
            </w:pPr>
          </w:p>
        </w:tc>
        <w:tc>
          <w:tcPr>
            <w:tcW w:w="149" w:type="dxa"/>
            <w:shd w:val="clear" w:color="auto" w:fill="auto"/>
            <w:vAlign w:val="bottom"/>
          </w:tcPr>
          <w:p w14:paraId="3A8A9002" w14:textId="77777777" w:rsidR="003351ED" w:rsidRPr="00D55173" w:rsidRDefault="003351ED" w:rsidP="00BE65C6">
            <w:pPr>
              <w:spacing w:line="240" w:lineRule="exact"/>
              <w:rPr>
                <w:sz w:val="22"/>
                <w:rtl/>
              </w:rPr>
            </w:pPr>
          </w:p>
        </w:tc>
        <w:tc>
          <w:tcPr>
            <w:tcW w:w="1133" w:type="dxa"/>
            <w:shd w:val="clear" w:color="auto" w:fill="auto"/>
            <w:vAlign w:val="bottom"/>
          </w:tcPr>
          <w:p w14:paraId="70C35EF6"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121EF317"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4860663D"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353F046F"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4D99DABC" w14:textId="77777777" w:rsidR="003351ED" w:rsidRPr="00D55173" w:rsidRDefault="003351ED" w:rsidP="00BE65C6">
            <w:pPr>
              <w:tabs>
                <w:tab w:val="decimal" w:pos="113"/>
              </w:tabs>
              <w:spacing w:line="240" w:lineRule="exact"/>
              <w:rPr>
                <w:sz w:val="22"/>
                <w:rtl/>
              </w:rPr>
            </w:pPr>
          </w:p>
        </w:tc>
      </w:tr>
    </w:tbl>
    <w:p w14:paraId="38ACD31F" w14:textId="77777777" w:rsidR="003351ED" w:rsidRDefault="003351ED" w:rsidP="003351ED">
      <w:pPr>
        <w:widowControl/>
        <w:overflowPunct/>
        <w:autoSpaceDE/>
        <w:autoSpaceDN/>
        <w:bidi w:val="0"/>
        <w:adjustRightInd/>
        <w:spacing w:line="240" w:lineRule="auto"/>
        <w:jc w:val="left"/>
        <w:textAlignment w:val="auto"/>
        <w:rPr>
          <w:u w:val="single"/>
          <w:rtl/>
        </w:rPr>
      </w:pPr>
    </w:p>
    <w:p w14:paraId="7B4F84A8" w14:textId="77777777" w:rsidR="003351ED" w:rsidRDefault="003351ED" w:rsidP="003351ED">
      <w:pPr>
        <w:pStyle w:val="30"/>
        <w:rPr>
          <w:u w:val="single"/>
          <w:rtl/>
        </w:rPr>
      </w:pPr>
      <w:r w:rsidRPr="007D64FF">
        <w:rPr>
          <w:rFonts w:hint="cs"/>
          <w:u w:val="single"/>
          <w:rtl/>
        </w:rPr>
        <w:t>נכסים פיננסיים הנמדדים בשווי הוגן</w:t>
      </w:r>
    </w:p>
    <w:p w14:paraId="34A11938" w14:textId="77777777" w:rsidR="003351ED" w:rsidRPr="007D64FF" w:rsidRDefault="003351ED" w:rsidP="003351ED">
      <w:pPr>
        <w:pStyle w:val="30"/>
        <w:rPr>
          <w:u w:val="single"/>
          <w:rtl/>
        </w:rPr>
      </w:pPr>
    </w:p>
    <w:tbl>
      <w:tblPr>
        <w:bidiVisual/>
        <w:tblW w:w="9663" w:type="dxa"/>
        <w:tblInd w:w="8" w:type="dxa"/>
        <w:tblLayout w:type="fixed"/>
        <w:tblCellMar>
          <w:left w:w="0" w:type="dxa"/>
          <w:right w:w="0" w:type="dxa"/>
        </w:tblCellMar>
        <w:tblLook w:val="01E0" w:firstRow="1" w:lastRow="1" w:firstColumn="1" w:lastColumn="1" w:noHBand="0" w:noVBand="0"/>
      </w:tblPr>
      <w:tblGrid>
        <w:gridCol w:w="1030"/>
        <w:gridCol w:w="700"/>
        <w:gridCol w:w="2743"/>
        <w:gridCol w:w="154"/>
        <w:gridCol w:w="1036"/>
        <w:gridCol w:w="149"/>
        <w:gridCol w:w="1133"/>
        <w:gridCol w:w="226"/>
        <w:gridCol w:w="1133"/>
        <w:gridCol w:w="226"/>
        <w:gridCol w:w="1133"/>
      </w:tblGrid>
      <w:tr w:rsidR="003351ED" w:rsidRPr="00D55173" w14:paraId="4B562078" w14:textId="77777777" w:rsidTr="00BE65C6">
        <w:tc>
          <w:tcPr>
            <w:tcW w:w="1030" w:type="dxa"/>
            <w:tcBorders>
              <w:bottom w:val="single" w:sz="6" w:space="0" w:color="auto"/>
              <w:right w:val="single" w:sz="6" w:space="0" w:color="auto"/>
            </w:tcBorders>
            <w:vAlign w:val="center"/>
          </w:tcPr>
          <w:p w14:paraId="23513A4F" w14:textId="77777777" w:rsidR="003351ED" w:rsidRPr="00892691" w:rsidRDefault="003351ED" w:rsidP="00BE65C6">
            <w:pPr>
              <w:widowControl/>
              <w:tabs>
                <w:tab w:val="left" w:pos="227"/>
                <w:tab w:val="left" w:pos="397"/>
                <w:tab w:val="left" w:pos="567"/>
              </w:tabs>
              <w:spacing w:line="240" w:lineRule="exact"/>
              <w:ind w:left="57"/>
              <w:jc w:val="left"/>
              <w:rPr>
                <w:i/>
                <w:iCs/>
                <w:sz w:val="13"/>
                <w:szCs w:val="13"/>
              </w:rPr>
            </w:pPr>
          </w:p>
        </w:tc>
        <w:tc>
          <w:tcPr>
            <w:tcW w:w="700" w:type="dxa"/>
            <w:tcBorders>
              <w:left w:val="single" w:sz="6" w:space="0" w:color="auto"/>
            </w:tcBorders>
          </w:tcPr>
          <w:p w14:paraId="7E36AEAE"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12D83C14"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0C859047"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7AFCB26E" w14:textId="15BE5F5D" w:rsidR="003351ED" w:rsidRDefault="003351ED" w:rsidP="001F49C2">
            <w:pPr>
              <w:spacing w:line="240" w:lineRule="exact"/>
              <w:jc w:val="center"/>
              <w:rPr>
                <w:sz w:val="22"/>
                <w:rtl/>
              </w:rPr>
            </w:pPr>
            <w:r>
              <w:rPr>
                <w:rFonts w:hint="cs"/>
                <w:sz w:val="22"/>
                <w:rtl/>
              </w:rPr>
              <w:t xml:space="preserve">31 בדצמבר, </w:t>
            </w:r>
            <w:r w:rsidR="004F7D3D">
              <w:rPr>
                <w:rFonts w:hint="cs"/>
                <w:sz w:val="22"/>
                <w:rtl/>
              </w:rPr>
              <w:t>201</w:t>
            </w:r>
            <w:r w:rsidR="001F49C2">
              <w:rPr>
                <w:rFonts w:hint="cs"/>
                <w:sz w:val="22"/>
                <w:rtl/>
              </w:rPr>
              <w:t>8</w:t>
            </w:r>
          </w:p>
        </w:tc>
      </w:tr>
      <w:tr w:rsidR="003351ED" w:rsidRPr="00D55173" w14:paraId="74187DF9" w14:textId="77777777" w:rsidTr="00BE65C6">
        <w:tc>
          <w:tcPr>
            <w:tcW w:w="1030" w:type="dxa"/>
            <w:vMerge w:val="restart"/>
            <w:tcBorders>
              <w:bottom w:val="single" w:sz="6" w:space="0" w:color="auto"/>
              <w:right w:val="single" w:sz="6" w:space="0" w:color="auto"/>
            </w:tcBorders>
            <w:vAlign w:val="center"/>
          </w:tcPr>
          <w:p w14:paraId="422874D5" w14:textId="77777777" w:rsidR="003351ED" w:rsidRDefault="003351ED" w:rsidP="00BE65C6">
            <w:pPr>
              <w:widowControl/>
              <w:tabs>
                <w:tab w:val="left" w:pos="227"/>
                <w:tab w:val="left" w:pos="397"/>
                <w:tab w:val="left" w:pos="567"/>
              </w:tabs>
              <w:spacing w:line="240" w:lineRule="exact"/>
              <w:ind w:left="57"/>
              <w:jc w:val="left"/>
              <w:rPr>
                <w:i/>
                <w:iCs/>
                <w:sz w:val="13"/>
                <w:szCs w:val="13"/>
              </w:rPr>
            </w:pPr>
            <w:r w:rsidRPr="00892691">
              <w:rPr>
                <w:i/>
                <w:iCs/>
                <w:sz w:val="13"/>
                <w:szCs w:val="13"/>
              </w:rPr>
              <w:t>IFRS 13.93(b)</w:t>
            </w:r>
          </w:p>
          <w:p w14:paraId="2516F608" w14:textId="77777777" w:rsidR="003351ED" w:rsidRDefault="003351ED" w:rsidP="00BE65C6">
            <w:pPr>
              <w:widowControl/>
              <w:tabs>
                <w:tab w:val="left" w:pos="227"/>
                <w:tab w:val="left" w:pos="397"/>
                <w:tab w:val="left" w:pos="567"/>
              </w:tabs>
              <w:spacing w:line="240" w:lineRule="exact"/>
              <w:ind w:left="57"/>
              <w:jc w:val="left"/>
              <w:rPr>
                <w:sz w:val="22"/>
                <w:rtl/>
              </w:rPr>
            </w:pPr>
            <w:r w:rsidRPr="00892691">
              <w:rPr>
                <w:i/>
                <w:iCs/>
                <w:sz w:val="13"/>
                <w:szCs w:val="13"/>
              </w:rPr>
              <w:t>IFRS 13.94</w:t>
            </w:r>
          </w:p>
        </w:tc>
        <w:tc>
          <w:tcPr>
            <w:tcW w:w="700" w:type="dxa"/>
            <w:tcBorders>
              <w:left w:val="single" w:sz="6" w:space="0" w:color="auto"/>
            </w:tcBorders>
          </w:tcPr>
          <w:p w14:paraId="7CE964E6"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20D0BD26"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02F51C5F" w14:textId="77777777" w:rsidR="003351ED" w:rsidRPr="00D55173" w:rsidRDefault="003351ED" w:rsidP="00BE65C6">
            <w:pPr>
              <w:spacing w:line="240" w:lineRule="exact"/>
              <w:rPr>
                <w:sz w:val="22"/>
                <w:rtl/>
              </w:rPr>
            </w:pPr>
          </w:p>
        </w:tc>
        <w:tc>
          <w:tcPr>
            <w:tcW w:w="1036" w:type="dxa"/>
            <w:tcBorders>
              <w:bottom w:val="single" w:sz="6" w:space="0" w:color="auto"/>
            </w:tcBorders>
            <w:shd w:val="clear" w:color="auto" w:fill="auto"/>
            <w:vAlign w:val="bottom"/>
          </w:tcPr>
          <w:p w14:paraId="104E1985" w14:textId="77777777" w:rsidR="003351ED" w:rsidRDefault="003351ED" w:rsidP="00BE65C6">
            <w:pPr>
              <w:spacing w:line="240" w:lineRule="exact"/>
              <w:jc w:val="center"/>
              <w:rPr>
                <w:sz w:val="22"/>
                <w:rtl/>
              </w:rPr>
            </w:pPr>
            <w:r w:rsidRPr="00D55173">
              <w:rPr>
                <w:rFonts w:hint="cs"/>
                <w:sz w:val="22"/>
                <w:rtl/>
              </w:rPr>
              <w:t>רמה 1</w:t>
            </w:r>
          </w:p>
        </w:tc>
        <w:tc>
          <w:tcPr>
            <w:tcW w:w="149" w:type="dxa"/>
            <w:shd w:val="clear" w:color="auto" w:fill="auto"/>
            <w:vAlign w:val="bottom"/>
          </w:tcPr>
          <w:p w14:paraId="1F35AEDB" w14:textId="77777777" w:rsidR="003351ED" w:rsidRPr="00D55173" w:rsidRDefault="003351ED" w:rsidP="00BE65C6">
            <w:pPr>
              <w:spacing w:line="240" w:lineRule="exact"/>
              <w:rPr>
                <w:sz w:val="22"/>
                <w:rtl/>
              </w:rPr>
            </w:pPr>
          </w:p>
        </w:tc>
        <w:tc>
          <w:tcPr>
            <w:tcW w:w="1133" w:type="dxa"/>
            <w:tcBorders>
              <w:bottom w:val="single" w:sz="6" w:space="0" w:color="auto"/>
            </w:tcBorders>
            <w:shd w:val="clear" w:color="auto" w:fill="auto"/>
            <w:vAlign w:val="bottom"/>
          </w:tcPr>
          <w:p w14:paraId="6981C021" w14:textId="77777777" w:rsidR="003351ED" w:rsidRPr="00D55173" w:rsidRDefault="003351ED" w:rsidP="00BE65C6">
            <w:pPr>
              <w:spacing w:line="240" w:lineRule="exact"/>
              <w:jc w:val="center"/>
              <w:rPr>
                <w:sz w:val="22"/>
                <w:rtl/>
              </w:rPr>
            </w:pPr>
            <w:r w:rsidRPr="00D55173">
              <w:rPr>
                <w:rFonts w:hint="cs"/>
                <w:sz w:val="22"/>
                <w:rtl/>
              </w:rPr>
              <w:t>רמה 2</w:t>
            </w:r>
          </w:p>
        </w:tc>
        <w:tc>
          <w:tcPr>
            <w:tcW w:w="226" w:type="dxa"/>
            <w:shd w:val="clear" w:color="auto" w:fill="auto"/>
            <w:vAlign w:val="bottom"/>
          </w:tcPr>
          <w:p w14:paraId="31B49126"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77312C81" w14:textId="77777777" w:rsidR="003351ED" w:rsidRPr="00D55173" w:rsidRDefault="003351ED" w:rsidP="00BE65C6">
            <w:pPr>
              <w:spacing w:line="240" w:lineRule="exact"/>
              <w:jc w:val="center"/>
              <w:rPr>
                <w:sz w:val="22"/>
                <w:rtl/>
              </w:rPr>
            </w:pPr>
            <w:r w:rsidRPr="00D55173">
              <w:rPr>
                <w:rFonts w:hint="cs"/>
                <w:sz w:val="22"/>
                <w:rtl/>
              </w:rPr>
              <w:t>רמה 3</w:t>
            </w:r>
          </w:p>
        </w:tc>
        <w:tc>
          <w:tcPr>
            <w:tcW w:w="226" w:type="dxa"/>
            <w:shd w:val="clear" w:color="auto" w:fill="auto"/>
            <w:vAlign w:val="bottom"/>
          </w:tcPr>
          <w:p w14:paraId="34853891"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75D7D522" w14:textId="77777777" w:rsidR="003351ED" w:rsidRPr="00D55173" w:rsidRDefault="003351ED" w:rsidP="00BE65C6">
            <w:pPr>
              <w:spacing w:line="240" w:lineRule="exact"/>
              <w:jc w:val="center"/>
              <w:rPr>
                <w:sz w:val="22"/>
                <w:rtl/>
              </w:rPr>
            </w:pPr>
            <w:r>
              <w:rPr>
                <w:rFonts w:hint="cs"/>
                <w:sz w:val="22"/>
                <w:rtl/>
              </w:rPr>
              <w:t>סה"כ</w:t>
            </w:r>
          </w:p>
        </w:tc>
      </w:tr>
      <w:tr w:rsidR="003351ED" w:rsidRPr="00D55173" w14:paraId="0582C131" w14:textId="77777777" w:rsidTr="00BE65C6">
        <w:tc>
          <w:tcPr>
            <w:tcW w:w="1030" w:type="dxa"/>
            <w:vMerge/>
            <w:tcBorders>
              <w:top w:val="single" w:sz="6" w:space="0" w:color="auto"/>
              <w:bottom w:val="single" w:sz="6" w:space="0" w:color="auto"/>
              <w:right w:val="single" w:sz="6" w:space="0" w:color="auto"/>
            </w:tcBorders>
          </w:tcPr>
          <w:p w14:paraId="6AA5A6C6"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6FFBFABB"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30CEBAFD"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05E85AD9"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3DF1EFA1" w14:textId="77777777" w:rsidR="003351ED" w:rsidRPr="00D55173" w:rsidRDefault="003351ED" w:rsidP="00BE65C6">
            <w:pPr>
              <w:spacing w:line="240" w:lineRule="exact"/>
              <w:jc w:val="center"/>
              <w:rPr>
                <w:sz w:val="22"/>
                <w:rtl/>
              </w:rPr>
            </w:pPr>
            <w:r>
              <w:rPr>
                <w:rFonts w:hint="cs"/>
                <w:sz w:val="22"/>
                <w:rtl/>
              </w:rPr>
              <w:t>מבוקר</w:t>
            </w:r>
          </w:p>
        </w:tc>
      </w:tr>
      <w:tr w:rsidR="003351ED" w:rsidRPr="00D55173" w14:paraId="35EFBC6D" w14:textId="77777777" w:rsidTr="00BE65C6">
        <w:tc>
          <w:tcPr>
            <w:tcW w:w="1030" w:type="dxa"/>
            <w:vMerge/>
            <w:tcBorders>
              <w:top w:val="single" w:sz="6" w:space="0" w:color="auto"/>
              <w:bottom w:val="single" w:sz="6" w:space="0" w:color="auto"/>
              <w:right w:val="single" w:sz="6" w:space="0" w:color="auto"/>
            </w:tcBorders>
          </w:tcPr>
          <w:p w14:paraId="043A3624"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483BC58A"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38161D65"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43727280"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189F64EE" w14:textId="77777777" w:rsidR="003351ED" w:rsidRPr="00D55173" w:rsidRDefault="003351ED" w:rsidP="00BE65C6">
            <w:pPr>
              <w:spacing w:line="240" w:lineRule="exact"/>
              <w:jc w:val="center"/>
              <w:rPr>
                <w:sz w:val="22"/>
                <w:rtl/>
              </w:rPr>
            </w:pPr>
            <w:r w:rsidRPr="00D55173">
              <w:rPr>
                <w:rFonts w:hint="cs"/>
                <w:sz w:val="22"/>
                <w:rtl/>
              </w:rPr>
              <w:t>אלפי ש"ח</w:t>
            </w:r>
          </w:p>
        </w:tc>
      </w:tr>
      <w:tr w:rsidR="003351ED" w:rsidRPr="00D55173" w14:paraId="14269412" w14:textId="77777777" w:rsidTr="00BE65C6">
        <w:tc>
          <w:tcPr>
            <w:tcW w:w="1030" w:type="dxa"/>
            <w:vMerge/>
            <w:tcBorders>
              <w:top w:val="single" w:sz="6" w:space="0" w:color="auto"/>
              <w:bottom w:val="single" w:sz="6" w:space="0" w:color="auto"/>
              <w:right w:val="single" w:sz="6" w:space="0" w:color="auto"/>
            </w:tcBorders>
          </w:tcPr>
          <w:p w14:paraId="491C83C1"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700" w:type="dxa"/>
            <w:tcBorders>
              <w:left w:val="single" w:sz="6" w:space="0" w:color="auto"/>
            </w:tcBorders>
          </w:tcPr>
          <w:p w14:paraId="65F75B01"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tcPr>
          <w:p w14:paraId="5D6B11AC"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6F91EB4B" w14:textId="77777777" w:rsidR="003351ED" w:rsidRPr="00D55173" w:rsidRDefault="003351ED" w:rsidP="00BE65C6">
            <w:pPr>
              <w:spacing w:line="240" w:lineRule="exact"/>
              <w:rPr>
                <w:sz w:val="22"/>
                <w:rtl/>
              </w:rPr>
            </w:pPr>
          </w:p>
        </w:tc>
        <w:tc>
          <w:tcPr>
            <w:tcW w:w="1036" w:type="dxa"/>
            <w:tcBorders>
              <w:top w:val="single" w:sz="6" w:space="0" w:color="auto"/>
            </w:tcBorders>
            <w:shd w:val="clear" w:color="auto" w:fill="auto"/>
            <w:vAlign w:val="bottom"/>
          </w:tcPr>
          <w:p w14:paraId="4BFC8718" w14:textId="77777777" w:rsidR="003351ED" w:rsidRPr="00D55173" w:rsidRDefault="003351ED" w:rsidP="00BE65C6">
            <w:pPr>
              <w:spacing w:line="240" w:lineRule="exact"/>
              <w:rPr>
                <w:sz w:val="22"/>
                <w:rtl/>
              </w:rPr>
            </w:pPr>
          </w:p>
        </w:tc>
        <w:tc>
          <w:tcPr>
            <w:tcW w:w="149" w:type="dxa"/>
            <w:tcBorders>
              <w:top w:val="single" w:sz="6" w:space="0" w:color="auto"/>
            </w:tcBorders>
            <w:shd w:val="clear" w:color="auto" w:fill="auto"/>
            <w:vAlign w:val="bottom"/>
          </w:tcPr>
          <w:p w14:paraId="31D77E75" w14:textId="77777777" w:rsidR="003351ED" w:rsidRPr="00D55173" w:rsidRDefault="003351ED" w:rsidP="00BE65C6">
            <w:pPr>
              <w:spacing w:line="240" w:lineRule="exact"/>
              <w:rPr>
                <w:sz w:val="22"/>
                <w:rtl/>
              </w:rPr>
            </w:pPr>
          </w:p>
        </w:tc>
        <w:tc>
          <w:tcPr>
            <w:tcW w:w="1133" w:type="dxa"/>
            <w:tcBorders>
              <w:top w:val="single" w:sz="6" w:space="0" w:color="auto"/>
            </w:tcBorders>
            <w:shd w:val="clear" w:color="auto" w:fill="auto"/>
            <w:vAlign w:val="bottom"/>
          </w:tcPr>
          <w:p w14:paraId="331B2712"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33B6ABD7"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01EB29D5"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35B071DF"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4D0D5945" w14:textId="77777777" w:rsidR="003351ED" w:rsidRPr="00D55173" w:rsidRDefault="003351ED" w:rsidP="00BE65C6">
            <w:pPr>
              <w:tabs>
                <w:tab w:val="decimal" w:pos="113"/>
              </w:tabs>
              <w:spacing w:line="240" w:lineRule="exact"/>
              <w:rPr>
                <w:sz w:val="22"/>
                <w:rtl/>
              </w:rPr>
            </w:pPr>
          </w:p>
        </w:tc>
      </w:tr>
      <w:tr w:rsidR="003351ED" w:rsidRPr="00D55173" w14:paraId="06AE1E9F" w14:textId="77777777" w:rsidTr="00BE65C6">
        <w:tc>
          <w:tcPr>
            <w:tcW w:w="1030" w:type="dxa"/>
            <w:vMerge/>
            <w:tcBorders>
              <w:top w:val="single" w:sz="6" w:space="0" w:color="auto"/>
              <w:bottom w:val="single" w:sz="6" w:space="0" w:color="auto"/>
              <w:right w:val="single" w:sz="6" w:space="0" w:color="auto"/>
            </w:tcBorders>
          </w:tcPr>
          <w:p w14:paraId="270B2E83"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7304255D"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011A4F75"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מכשירים הוניים</w:t>
            </w:r>
          </w:p>
        </w:tc>
        <w:tc>
          <w:tcPr>
            <w:tcW w:w="154" w:type="dxa"/>
            <w:shd w:val="clear" w:color="auto" w:fill="auto"/>
            <w:vAlign w:val="bottom"/>
          </w:tcPr>
          <w:p w14:paraId="6966F9EB" w14:textId="77777777" w:rsidR="003351ED" w:rsidRPr="00D55173" w:rsidRDefault="003351ED" w:rsidP="00BE65C6">
            <w:pPr>
              <w:spacing w:line="240" w:lineRule="exact"/>
              <w:rPr>
                <w:sz w:val="22"/>
                <w:rtl/>
              </w:rPr>
            </w:pPr>
          </w:p>
        </w:tc>
        <w:tc>
          <w:tcPr>
            <w:tcW w:w="1036" w:type="dxa"/>
            <w:shd w:val="clear" w:color="auto" w:fill="auto"/>
            <w:vAlign w:val="bottom"/>
          </w:tcPr>
          <w:p w14:paraId="2E8E91FA" w14:textId="77777777" w:rsidR="003351ED" w:rsidRPr="00D55173" w:rsidRDefault="003351ED" w:rsidP="00BE65C6">
            <w:pPr>
              <w:spacing w:line="240" w:lineRule="exact"/>
              <w:rPr>
                <w:sz w:val="22"/>
                <w:rtl/>
              </w:rPr>
            </w:pPr>
          </w:p>
        </w:tc>
        <w:tc>
          <w:tcPr>
            <w:tcW w:w="149" w:type="dxa"/>
            <w:shd w:val="clear" w:color="auto" w:fill="auto"/>
            <w:vAlign w:val="bottom"/>
          </w:tcPr>
          <w:p w14:paraId="2E82EE73" w14:textId="77777777" w:rsidR="003351ED" w:rsidRPr="00D55173" w:rsidRDefault="003351ED" w:rsidP="00BE65C6">
            <w:pPr>
              <w:spacing w:line="240" w:lineRule="exact"/>
              <w:rPr>
                <w:sz w:val="22"/>
                <w:rtl/>
              </w:rPr>
            </w:pPr>
          </w:p>
        </w:tc>
        <w:tc>
          <w:tcPr>
            <w:tcW w:w="1133" w:type="dxa"/>
            <w:shd w:val="clear" w:color="auto" w:fill="auto"/>
            <w:vAlign w:val="bottom"/>
          </w:tcPr>
          <w:p w14:paraId="70028851"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2C3483C3"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75AF9EE3"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6D6F5C81"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643CAC62" w14:textId="77777777" w:rsidR="003351ED" w:rsidRPr="00D55173" w:rsidRDefault="003351ED" w:rsidP="00BE65C6">
            <w:pPr>
              <w:tabs>
                <w:tab w:val="decimal" w:pos="113"/>
              </w:tabs>
              <w:spacing w:line="240" w:lineRule="exact"/>
              <w:rPr>
                <w:sz w:val="22"/>
                <w:rtl/>
              </w:rPr>
            </w:pPr>
          </w:p>
        </w:tc>
      </w:tr>
      <w:tr w:rsidR="003351ED" w:rsidRPr="00D55173" w14:paraId="17DA522A" w14:textId="77777777" w:rsidTr="00BE65C6">
        <w:tc>
          <w:tcPr>
            <w:tcW w:w="1030" w:type="dxa"/>
            <w:vMerge/>
            <w:tcBorders>
              <w:top w:val="single" w:sz="6" w:space="0" w:color="auto"/>
              <w:bottom w:val="single" w:sz="6" w:space="0" w:color="auto"/>
              <w:right w:val="single" w:sz="6" w:space="0" w:color="auto"/>
            </w:tcBorders>
          </w:tcPr>
          <w:p w14:paraId="60D96644" w14:textId="77777777" w:rsidR="003351ED" w:rsidRDefault="003351ED" w:rsidP="00BE65C6">
            <w:pPr>
              <w:widowControl/>
              <w:tabs>
                <w:tab w:val="left" w:pos="227"/>
                <w:tab w:val="left" w:pos="1056"/>
              </w:tabs>
              <w:spacing w:line="240" w:lineRule="exact"/>
              <w:ind w:firstLine="57"/>
              <w:jc w:val="left"/>
              <w:rPr>
                <w:sz w:val="22"/>
                <w:rtl/>
              </w:rPr>
            </w:pPr>
          </w:p>
        </w:tc>
        <w:tc>
          <w:tcPr>
            <w:tcW w:w="700" w:type="dxa"/>
            <w:tcBorders>
              <w:left w:val="single" w:sz="6" w:space="0" w:color="auto"/>
            </w:tcBorders>
          </w:tcPr>
          <w:p w14:paraId="0F353ADD" w14:textId="77777777" w:rsidR="003351ED" w:rsidRDefault="003351ED" w:rsidP="00BE65C6">
            <w:pPr>
              <w:widowControl/>
              <w:tabs>
                <w:tab w:val="left" w:pos="227"/>
                <w:tab w:val="left" w:pos="1056"/>
              </w:tabs>
              <w:spacing w:line="240" w:lineRule="exact"/>
              <w:ind w:firstLine="57"/>
              <w:jc w:val="left"/>
              <w:rPr>
                <w:sz w:val="22"/>
                <w:rtl/>
              </w:rPr>
            </w:pPr>
          </w:p>
        </w:tc>
        <w:tc>
          <w:tcPr>
            <w:tcW w:w="2743" w:type="dxa"/>
            <w:shd w:val="clear" w:color="auto" w:fill="auto"/>
          </w:tcPr>
          <w:p w14:paraId="081FE2F1" w14:textId="77777777" w:rsidR="003351ED" w:rsidRPr="00D55173" w:rsidRDefault="003351ED" w:rsidP="00BE65C6">
            <w:pPr>
              <w:widowControl/>
              <w:tabs>
                <w:tab w:val="left" w:pos="227"/>
                <w:tab w:val="left" w:pos="1056"/>
              </w:tabs>
              <w:spacing w:line="240" w:lineRule="exact"/>
              <w:ind w:firstLine="57"/>
              <w:jc w:val="left"/>
              <w:rPr>
                <w:sz w:val="22"/>
                <w:rtl/>
              </w:rPr>
            </w:pPr>
            <w:r>
              <w:rPr>
                <w:rFonts w:hint="cs"/>
                <w:sz w:val="22"/>
                <w:rtl/>
              </w:rPr>
              <w:t>מכשירי חוב</w:t>
            </w:r>
          </w:p>
        </w:tc>
        <w:tc>
          <w:tcPr>
            <w:tcW w:w="154" w:type="dxa"/>
            <w:shd w:val="clear" w:color="auto" w:fill="auto"/>
            <w:vAlign w:val="bottom"/>
          </w:tcPr>
          <w:p w14:paraId="4A51E2EF" w14:textId="77777777" w:rsidR="003351ED" w:rsidRPr="00D55173" w:rsidRDefault="003351ED" w:rsidP="00BE65C6">
            <w:pPr>
              <w:spacing w:line="240" w:lineRule="exact"/>
              <w:rPr>
                <w:sz w:val="22"/>
                <w:rtl/>
              </w:rPr>
            </w:pPr>
          </w:p>
        </w:tc>
        <w:tc>
          <w:tcPr>
            <w:tcW w:w="1036" w:type="dxa"/>
            <w:shd w:val="clear" w:color="auto" w:fill="auto"/>
            <w:vAlign w:val="bottom"/>
          </w:tcPr>
          <w:p w14:paraId="427BCB2F" w14:textId="77777777" w:rsidR="003351ED" w:rsidRPr="00D55173" w:rsidRDefault="003351ED" w:rsidP="00BE65C6">
            <w:pPr>
              <w:spacing w:line="240" w:lineRule="exact"/>
              <w:rPr>
                <w:sz w:val="22"/>
                <w:rtl/>
              </w:rPr>
            </w:pPr>
          </w:p>
        </w:tc>
        <w:tc>
          <w:tcPr>
            <w:tcW w:w="149" w:type="dxa"/>
            <w:shd w:val="clear" w:color="auto" w:fill="auto"/>
            <w:vAlign w:val="bottom"/>
          </w:tcPr>
          <w:p w14:paraId="222E942E" w14:textId="77777777" w:rsidR="003351ED" w:rsidRPr="00D55173" w:rsidRDefault="003351ED" w:rsidP="00BE65C6">
            <w:pPr>
              <w:spacing w:line="240" w:lineRule="exact"/>
              <w:rPr>
                <w:sz w:val="22"/>
                <w:rtl/>
              </w:rPr>
            </w:pPr>
          </w:p>
        </w:tc>
        <w:tc>
          <w:tcPr>
            <w:tcW w:w="1133" w:type="dxa"/>
            <w:shd w:val="clear" w:color="auto" w:fill="auto"/>
            <w:vAlign w:val="bottom"/>
          </w:tcPr>
          <w:p w14:paraId="6FF774D6"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034A2491"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4E6974AA"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3EAD7B1F"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0592B2E" w14:textId="77777777" w:rsidR="003351ED" w:rsidRPr="00D55173" w:rsidRDefault="003351ED" w:rsidP="00BE65C6">
            <w:pPr>
              <w:tabs>
                <w:tab w:val="decimal" w:pos="113"/>
              </w:tabs>
              <w:spacing w:line="240" w:lineRule="exact"/>
              <w:rPr>
                <w:sz w:val="22"/>
                <w:rtl/>
              </w:rPr>
            </w:pPr>
          </w:p>
        </w:tc>
      </w:tr>
      <w:tr w:rsidR="003351ED" w:rsidRPr="00D55173" w14:paraId="423F02AC" w14:textId="77777777" w:rsidTr="00BE65C6">
        <w:tc>
          <w:tcPr>
            <w:tcW w:w="1030" w:type="dxa"/>
            <w:vMerge/>
            <w:tcBorders>
              <w:top w:val="single" w:sz="6" w:space="0" w:color="auto"/>
              <w:bottom w:val="single" w:sz="6" w:space="0" w:color="auto"/>
              <w:right w:val="single" w:sz="6" w:space="0" w:color="auto"/>
            </w:tcBorders>
          </w:tcPr>
          <w:p w14:paraId="2D8ECF8E"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5ABD3A33"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286E9889"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חוזי אקדמה על מטבע חוץ</w:t>
            </w:r>
          </w:p>
        </w:tc>
        <w:tc>
          <w:tcPr>
            <w:tcW w:w="154" w:type="dxa"/>
            <w:shd w:val="clear" w:color="auto" w:fill="auto"/>
            <w:vAlign w:val="bottom"/>
          </w:tcPr>
          <w:p w14:paraId="35DE89BA" w14:textId="77777777" w:rsidR="003351ED" w:rsidRPr="00D55173" w:rsidRDefault="003351ED" w:rsidP="00BE65C6">
            <w:pPr>
              <w:spacing w:line="240" w:lineRule="exact"/>
              <w:rPr>
                <w:sz w:val="22"/>
                <w:rtl/>
              </w:rPr>
            </w:pPr>
          </w:p>
        </w:tc>
        <w:tc>
          <w:tcPr>
            <w:tcW w:w="1036" w:type="dxa"/>
            <w:shd w:val="clear" w:color="auto" w:fill="auto"/>
            <w:vAlign w:val="bottom"/>
          </w:tcPr>
          <w:p w14:paraId="355662C3" w14:textId="77777777" w:rsidR="003351ED" w:rsidRPr="00D55173" w:rsidRDefault="003351ED" w:rsidP="00BE65C6">
            <w:pPr>
              <w:spacing w:line="240" w:lineRule="exact"/>
              <w:rPr>
                <w:sz w:val="22"/>
                <w:rtl/>
              </w:rPr>
            </w:pPr>
          </w:p>
        </w:tc>
        <w:tc>
          <w:tcPr>
            <w:tcW w:w="149" w:type="dxa"/>
            <w:shd w:val="clear" w:color="auto" w:fill="auto"/>
            <w:vAlign w:val="bottom"/>
          </w:tcPr>
          <w:p w14:paraId="4E17A389" w14:textId="77777777" w:rsidR="003351ED" w:rsidRPr="00D55173" w:rsidRDefault="003351ED" w:rsidP="00BE65C6">
            <w:pPr>
              <w:spacing w:line="240" w:lineRule="exact"/>
              <w:rPr>
                <w:sz w:val="22"/>
                <w:rtl/>
              </w:rPr>
            </w:pPr>
          </w:p>
        </w:tc>
        <w:tc>
          <w:tcPr>
            <w:tcW w:w="1133" w:type="dxa"/>
            <w:shd w:val="clear" w:color="auto" w:fill="auto"/>
            <w:vAlign w:val="bottom"/>
          </w:tcPr>
          <w:p w14:paraId="7BE9B0A8"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4F2B20D4"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44975256"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7C3E879A"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05E52166" w14:textId="77777777" w:rsidR="003351ED" w:rsidRPr="00D55173" w:rsidRDefault="003351ED" w:rsidP="00BE65C6">
            <w:pPr>
              <w:tabs>
                <w:tab w:val="decimal" w:pos="113"/>
              </w:tabs>
              <w:spacing w:line="240" w:lineRule="exact"/>
              <w:rPr>
                <w:sz w:val="22"/>
                <w:rtl/>
              </w:rPr>
            </w:pPr>
          </w:p>
        </w:tc>
      </w:tr>
      <w:tr w:rsidR="003351ED" w:rsidRPr="00D55173" w14:paraId="56595B46" w14:textId="77777777" w:rsidTr="00BE65C6">
        <w:tc>
          <w:tcPr>
            <w:tcW w:w="1030" w:type="dxa"/>
            <w:vMerge/>
            <w:tcBorders>
              <w:top w:val="single" w:sz="6" w:space="0" w:color="auto"/>
              <w:bottom w:val="single" w:sz="6" w:space="0" w:color="auto"/>
              <w:right w:val="single" w:sz="6" w:space="0" w:color="auto"/>
            </w:tcBorders>
          </w:tcPr>
          <w:p w14:paraId="0656584E"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39865751"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71D093FE"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נגזרים משובצים</w:t>
            </w:r>
          </w:p>
        </w:tc>
        <w:tc>
          <w:tcPr>
            <w:tcW w:w="154" w:type="dxa"/>
            <w:shd w:val="clear" w:color="auto" w:fill="auto"/>
            <w:vAlign w:val="bottom"/>
          </w:tcPr>
          <w:p w14:paraId="69CA61BF" w14:textId="77777777" w:rsidR="003351ED" w:rsidRPr="00D55173" w:rsidRDefault="003351ED" w:rsidP="00BE65C6">
            <w:pPr>
              <w:spacing w:line="240" w:lineRule="exact"/>
              <w:rPr>
                <w:sz w:val="22"/>
                <w:rtl/>
              </w:rPr>
            </w:pPr>
          </w:p>
        </w:tc>
        <w:tc>
          <w:tcPr>
            <w:tcW w:w="1036" w:type="dxa"/>
            <w:shd w:val="clear" w:color="auto" w:fill="auto"/>
            <w:vAlign w:val="bottom"/>
          </w:tcPr>
          <w:p w14:paraId="1414BA93" w14:textId="77777777" w:rsidR="003351ED" w:rsidRPr="00D55173" w:rsidRDefault="003351ED" w:rsidP="00BE65C6">
            <w:pPr>
              <w:spacing w:line="240" w:lineRule="exact"/>
              <w:rPr>
                <w:sz w:val="22"/>
                <w:rtl/>
              </w:rPr>
            </w:pPr>
          </w:p>
        </w:tc>
        <w:tc>
          <w:tcPr>
            <w:tcW w:w="149" w:type="dxa"/>
            <w:shd w:val="clear" w:color="auto" w:fill="auto"/>
            <w:vAlign w:val="bottom"/>
          </w:tcPr>
          <w:p w14:paraId="7A46593D" w14:textId="77777777" w:rsidR="003351ED" w:rsidRPr="00D55173" w:rsidRDefault="003351ED" w:rsidP="00BE65C6">
            <w:pPr>
              <w:spacing w:line="240" w:lineRule="exact"/>
              <w:rPr>
                <w:sz w:val="22"/>
                <w:rtl/>
              </w:rPr>
            </w:pPr>
          </w:p>
        </w:tc>
        <w:tc>
          <w:tcPr>
            <w:tcW w:w="1133" w:type="dxa"/>
            <w:shd w:val="clear" w:color="auto" w:fill="auto"/>
            <w:vAlign w:val="bottom"/>
          </w:tcPr>
          <w:p w14:paraId="77DA7011"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120A4692"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F421566"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153BB30A"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E5036F7" w14:textId="77777777" w:rsidR="003351ED" w:rsidRPr="00D55173" w:rsidRDefault="003351ED" w:rsidP="00BE65C6">
            <w:pPr>
              <w:tabs>
                <w:tab w:val="decimal" w:pos="113"/>
              </w:tabs>
              <w:spacing w:line="240" w:lineRule="exact"/>
              <w:rPr>
                <w:sz w:val="22"/>
                <w:rtl/>
              </w:rPr>
            </w:pPr>
          </w:p>
        </w:tc>
      </w:tr>
    </w:tbl>
    <w:p w14:paraId="3D0F7973" w14:textId="1059413A" w:rsidR="00F62D48" w:rsidRDefault="00F62D48" w:rsidP="003351ED">
      <w:pPr>
        <w:pStyle w:val="30"/>
        <w:rPr>
          <w:u w:val="single"/>
          <w:rtl/>
        </w:rPr>
      </w:pPr>
    </w:p>
    <w:p w14:paraId="4B27FF86" w14:textId="77777777" w:rsidR="00F62D48" w:rsidRDefault="00F62D48" w:rsidP="00615F4B">
      <w:r>
        <w:rPr>
          <w:rtl/>
        </w:rPr>
        <w:br w:type="page"/>
      </w:r>
    </w:p>
    <w:p w14:paraId="58828D06" w14:textId="77777777" w:rsidR="00F62D48" w:rsidRDefault="00F62D48" w:rsidP="00F62D48">
      <w:pPr>
        <w:pStyle w:val="11"/>
        <w:rPr>
          <w:rtl/>
        </w:rPr>
      </w:pPr>
    </w:p>
    <w:p w14:paraId="79262F07" w14:textId="77777777" w:rsidR="00F62D48" w:rsidRDefault="00F62D48" w:rsidP="00F62D48">
      <w:pPr>
        <w:pStyle w:val="11"/>
        <w:rPr>
          <w:rtl/>
        </w:rPr>
      </w:pPr>
    </w:p>
    <w:p w14:paraId="2368F4C0" w14:textId="77777777" w:rsidR="00F62D48" w:rsidRDefault="00F62D48" w:rsidP="00F62D48">
      <w:pPr>
        <w:pStyle w:val="11"/>
        <w:rPr>
          <w:u w:val="single"/>
          <w:rtl/>
        </w:rPr>
      </w:pPr>
      <w:r>
        <w:rPr>
          <w:rFonts w:hint="cs"/>
          <w:rtl/>
        </w:rPr>
        <w:t>באור 15:-</w:t>
      </w:r>
      <w:r>
        <w:rPr>
          <w:rFonts w:hint="cs"/>
          <w:rtl/>
        </w:rPr>
        <w:tab/>
      </w:r>
      <w:r w:rsidRPr="007B75CB">
        <w:rPr>
          <w:rFonts w:hint="eastAsia"/>
          <w:u w:val="single"/>
          <w:rtl/>
        </w:rPr>
        <w:t>מכשירים</w:t>
      </w:r>
      <w:r w:rsidRPr="007B75CB">
        <w:rPr>
          <w:u w:val="single"/>
          <w:rtl/>
        </w:rPr>
        <w:t xml:space="preserve"> </w:t>
      </w:r>
      <w:r w:rsidRPr="007B75CB">
        <w:rPr>
          <w:rFonts w:hint="eastAsia"/>
          <w:u w:val="single"/>
          <w:rtl/>
        </w:rPr>
        <w:t>פיננסיים</w:t>
      </w:r>
      <w:r w:rsidRPr="007B75CB">
        <w:rPr>
          <w:rtl/>
        </w:rPr>
        <w:t xml:space="preserve"> (המשך)</w:t>
      </w:r>
    </w:p>
    <w:p w14:paraId="0C822DDD" w14:textId="77777777" w:rsidR="00F62D48" w:rsidRDefault="00F62D48" w:rsidP="00F62D48">
      <w:pPr>
        <w:pStyle w:val="21"/>
        <w:ind w:left="1689" w:firstLine="0"/>
        <w:rPr>
          <w:rtl/>
        </w:rPr>
      </w:pPr>
    </w:p>
    <w:p w14:paraId="3EA12124" w14:textId="77777777" w:rsidR="00F62D48" w:rsidRPr="00F62D48" w:rsidRDefault="00F62D48" w:rsidP="00F62D48">
      <w:pPr>
        <w:pStyle w:val="21"/>
      </w:pPr>
      <w:r>
        <w:rPr>
          <w:rFonts w:hint="cs"/>
          <w:rtl/>
        </w:rPr>
        <w:t>ב.</w:t>
      </w:r>
      <w:r>
        <w:rPr>
          <w:rFonts w:hint="cs"/>
          <w:rtl/>
        </w:rPr>
        <w:tab/>
      </w:r>
      <w:r w:rsidRPr="002F0A8F">
        <w:rPr>
          <w:rFonts w:hint="cs"/>
          <w:u w:val="single"/>
          <w:rtl/>
        </w:rPr>
        <w:t>סיווג מכשירים פיננסים לפי מדרג שווי הוגן</w:t>
      </w:r>
      <w:r>
        <w:rPr>
          <w:rFonts w:hint="cs"/>
          <w:rtl/>
        </w:rPr>
        <w:t xml:space="preserve"> (המשך)</w:t>
      </w:r>
    </w:p>
    <w:p w14:paraId="0FAEC3FB" w14:textId="77777777" w:rsidR="00F62D48" w:rsidRPr="00F62D48" w:rsidRDefault="00F62D48" w:rsidP="00F62D48">
      <w:pPr>
        <w:pStyle w:val="21"/>
        <w:ind w:left="1689" w:firstLine="0"/>
        <w:rPr>
          <w:rtl/>
        </w:rPr>
      </w:pPr>
    </w:p>
    <w:p w14:paraId="15B315A2" w14:textId="77777777" w:rsidR="003351ED" w:rsidRDefault="003351ED" w:rsidP="003351ED">
      <w:pPr>
        <w:pStyle w:val="30"/>
        <w:rPr>
          <w:u w:val="single"/>
          <w:rtl/>
        </w:rPr>
      </w:pPr>
      <w:r w:rsidRPr="007D64FF">
        <w:rPr>
          <w:rFonts w:hint="cs"/>
          <w:u w:val="single"/>
          <w:rtl/>
        </w:rPr>
        <w:t>התחייבויות פיננסיות הנמדדות בשווי הוגן</w:t>
      </w:r>
    </w:p>
    <w:tbl>
      <w:tblPr>
        <w:bidiVisual/>
        <w:tblW w:w="9663" w:type="dxa"/>
        <w:tblInd w:w="24" w:type="dxa"/>
        <w:tblLayout w:type="fixed"/>
        <w:tblCellMar>
          <w:left w:w="0" w:type="dxa"/>
          <w:right w:w="0" w:type="dxa"/>
        </w:tblCellMar>
        <w:tblLook w:val="01E0" w:firstRow="1" w:lastRow="1" w:firstColumn="1" w:lastColumn="1" w:noHBand="0" w:noVBand="0"/>
      </w:tblPr>
      <w:tblGrid>
        <w:gridCol w:w="1030"/>
        <w:gridCol w:w="700"/>
        <w:gridCol w:w="2743"/>
        <w:gridCol w:w="154"/>
        <w:gridCol w:w="1036"/>
        <w:gridCol w:w="149"/>
        <w:gridCol w:w="1133"/>
        <w:gridCol w:w="226"/>
        <w:gridCol w:w="1133"/>
        <w:gridCol w:w="226"/>
        <w:gridCol w:w="1133"/>
      </w:tblGrid>
      <w:tr w:rsidR="003351ED" w:rsidRPr="00D55173" w14:paraId="18E71A11" w14:textId="77777777" w:rsidTr="00F62D48">
        <w:tc>
          <w:tcPr>
            <w:tcW w:w="1030" w:type="dxa"/>
            <w:tcBorders>
              <w:bottom w:val="single" w:sz="6" w:space="0" w:color="auto"/>
              <w:right w:val="single" w:sz="6" w:space="0" w:color="auto"/>
            </w:tcBorders>
            <w:vAlign w:val="center"/>
          </w:tcPr>
          <w:p w14:paraId="628F56DB" w14:textId="77777777" w:rsidR="003351ED" w:rsidRPr="003517FC" w:rsidRDefault="003351ED" w:rsidP="00BE65C6">
            <w:pPr>
              <w:widowControl/>
              <w:tabs>
                <w:tab w:val="left" w:pos="227"/>
                <w:tab w:val="left" w:pos="397"/>
                <w:tab w:val="left" w:pos="567"/>
              </w:tabs>
              <w:spacing w:line="240" w:lineRule="exact"/>
              <w:ind w:left="57"/>
              <w:jc w:val="left"/>
              <w:rPr>
                <w:i/>
                <w:iCs/>
                <w:sz w:val="13"/>
                <w:szCs w:val="13"/>
              </w:rPr>
            </w:pPr>
          </w:p>
        </w:tc>
        <w:tc>
          <w:tcPr>
            <w:tcW w:w="700" w:type="dxa"/>
            <w:tcBorders>
              <w:left w:val="single" w:sz="6" w:space="0" w:color="auto"/>
            </w:tcBorders>
          </w:tcPr>
          <w:p w14:paraId="3003EE7E"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21E136EF"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58053C86"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5BEFC861" w14:textId="699FB258" w:rsidR="003351ED" w:rsidRDefault="003351ED" w:rsidP="001F49C2">
            <w:pPr>
              <w:spacing w:line="240" w:lineRule="exact"/>
              <w:jc w:val="center"/>
              <w:rPr>
                <w:sz w:val="22"/>
                <w:rtl/>
              </w:rPr>
            </w:pPr>
            <w:r>
              <w:rPr>
                <w:rFonts w:hint="cs"/>
                <w:sz w:val="22"/>
                <w:rtl/>
              </w:rPr>
              <w:t xml:space="preserve">31 בדצמבר, </w:t>
            </w:r>
            <w:r w:rsidR="004F7D3D">
              <w:rPr>
                <w:rFonts w:hint="cs"/>
                <w:sz w:val="22"/>
                <w:rtl/>
              </w:rPr>
              <w:t>201</w:t>
            </w:r>
            <w:r w:rsidR="001F49C2">
              <w:rPr>
                <w:rFonts w:hint="cs"/>
                <w:sz w:val="22"/>
                <w:rtl/>
              </w:rPr>
              <w:t>8</w:t>
            </w:r>
          </w:p>
        </w:tc>
      </w:tr>
      <w:tr w:rsidR="003351ED" w:rsidRPr="00D55173" w14:paraId="6B3C633B" w14:textId="77777777" w:rsidTr="00F62D48">
        <w:tc>
          <w:tcPr>
            <w:tcW w:w="1030" w:type="dxa"/>
            <w:vMerge w:val="restart"/>
            <w:tcBorders>
              <w:bottom w:val="single" w:sz="6" w:space="0" w:color="auto"/>
              <w:right w:val="single" w:sz="6" w:space="0" w:color="auto"/>
            </w:tcBorders>
            <w:vAlign w:val="center"/>
          </w:tcPr>
          <w:p w14:paraId="74DFB612" w14:textId="77777777" w:rsidR="003351ED" w:rsidRPr="003517FC" w:rsidRDefault="003351ED" w:rsidP="00BE65C6">
            <w:pPr>
              <w:widowControl/>
              <w:tabs>
                <w:tab w:val="left" w:pos="227"/>
                <w:tab w:val="left" w:pos="397"/>
                <w:tab w:val="left" w:pos="567"/>
              </w:tabs>
              <w:spacing w:line="240" w:lineRule="exact"/>
              <w:ind w:left="57"/>
              <w:jc w:val="left"/>
              <w:rPr>
                <w:i/>
                <w:iCs/>
                <w:sz w:val="13"/>
                <w:szCs w:val="13"/>
              </w:rPr>
            </w:pPr>
            <w:r w:rsidRPr="003517FC">
              <w:rPr>
                <w:i/>
                <w:iCs/>
                <w:sz w:val="13"/>
                <w:szCs w:val="13"/>
              </w:rPr>
              <w:t>IFRS 13.93(b)</w:t>
            </w:r>
          </w:p>
          <w:p w14:paraId="4558BDB6" w14:textId="77777777" w:rsidR="003351ED" w:rsidRPr="00D55173" w:rsidRDefault="003351ED" w:rsidP="00BE65C6">
            <w:pPr>
              <w:widowControl/>
              <w:tabs>
                <w:tab w:val="left" w:pos="227"/>
                <w:tab w:val="left" w:pos="397"/>
                <w:tab w:val="left" w:pos="567"/>
              </w:tabs>
              <w:spacing w:line="240" w:lineRule="exact"/>
              <w:ind w:left="57"/>
              <w:jc w:val="left"/>
              <w:rPr>
                <w:sz w:val="22"/>
                <w:rtl/>
              </w:rPr>
            </w:pPr>
            <w:r w:rsidRPr="003517FC">
              <w:rPr>
                <w:i/>
                <w:iCs/>
                <w:sz w:val="13"/>
                <w:szCs w:val="13"/>
              </w:rPr>
              <w:t>IFRS 13.94</w:t>
            </w:r>
          </w:p>
        </w:tc>
        <w:tc>
          <w:tcPr>
            <w:tcW w:w="700" w:type="dxa"/>
            <w:tcBorders>
              <w:left w:val="single" w:sz="6" w:space="0" w:color="auto"/>
            </w:tcBorders>
          </w:tcPr>
          <w:p w14:paraId="7872BB9E"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649487B2"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312695B3" w14:textId="77777777" w:rsidR="003351ED" w:rsidRPr="00D55173" w:rsidRDefault="003351ED" w:rsidP="00BE65C6">
            <w:pPr>
              <w:spacing w:line="240" w:lineRule="exact"/>
              <w:rPr>
                <w:sz w:val="22"/>
                <w:rtl/>
              </w:rPr>
            </w:pPr>
          </w:p>
        </w:tc>
        <w:tc>
          <w:tcPr>
            <w:tcW w:w="1036" w:type="dxa"/>
            <w:tcBorders>
              <w:bottom w:val="single" w:sz="6" w:space="0" w:color="auto"/>
            </w:tcBorders>
            <w:shd w:val="clear" w:color="auto" w:fill="auto"/>
            <w:vAlign w:val="bottom"/>
          </w:tcPr>
          <w:p w14:paraId="3049CC4B" w14:textId="77777777" w:rsidR="003351ED" w:rsidRPr="00D55173" w:rsidRDefault="003351ED" w:rsidP="00BE65C6">
            <w:pPr>
              <w:spacing w:line="240" w:lineRule="exact"/>
              <w:jc w:val="center"/>
              <w:rPr>
                <w:sz w:val="22"/>
                <w:rtl/>
              </w:rPr>
            </w:pPr>
            <w:r w:rsidRPr="00D55173">
              <w:rPr>
                <w:rFonts w:hint="cs"/>
                <w:sz w:val="22"/>
                <w:rtl/>
              </w:rPr>
              <w:t>רמה 1</w:t>
            </w:r>
          </w:p>
        </w:tc>
        <w:tc>
          <w:tcPr>
            <w:tcW w:w="149" w:type="dxa"/>
            <w:shd w:val="clear" w:color="auto" w:fill="auto"/>
            <w:vAlign w:val="bottom"/>
          </w:tcPr>
          <w:p w14:paraId="1A2F320A" w14:textId="77777777" w:rsidR="003351ED" w:rsidRPr="00D55173" w:rsidRDefault="003351ED" w:rsidP="00BE65C6">
            <w:pPr>
              <w:spacing w:line="240" w:lineRule="exact"/>
              <w:rPr>
                <w:sz w:val="22"/>
                <w:rtl/>
              </w:rPr>
            </w:pPr>
          </w:p>
        </w:tc>
        <w:tc>
          <w:tcPr>
            <w:tcW w:w="1133" w:type="dxa"/>
            <w:tcBorders>
              <w:bottom w:val="single" w:sz="6" w:space="0" w:color="auto"/>
            </w:tcBorders>
            <w:shd w:val="clear" w:color="auto" w:fill="auto"/>
            <w:vAlign w:val="bottom"/>
          </w:tcPr>
          <w:p w14:paraId="1F9F667A" w14:textId="77777777" w:rsidR="003351ED" w:rsidRPr="00D55173" w:rsidRDefault="003351ED" w:rsidP="00BE65C6">
            <w:pPr>
              <w:spacing w:line="240" w:lineRule="exact"/>
              <w:jc w:val="center"/>
              <w:rPr>
                <w:sz w:val="22"/>
                <w:rtl/>
              </w:rPr>
            </w:pPr>
            <w:r w:rsidRPr="00D55173">
              <w:rPr>
                <w:rFonts w:hint="cs"/>
                <w:sz w:val="22"/>
                <w:rtl/>
              </w:rPr>
              <w:t>רמה 2</w:t>
            </w:r>
          </w:p>
        </w:tc>
        <w:tc>
          <w:tcPr>
            <w:tcW w:w="226" w:type="dxa"/>
            <w:shd w:val="clear" w:color="auto" w:fill="auto"/>
            <w:vAlign w:val="bottom"/>
          </w:tcPr>
          <w:p w14:paraId="412B1CAE"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2DF80831" w14:textId="77777777" w:rsidR="003351ED" w:rsidRPr="00D55173" w:rsidRDefault="003351ED" w:rsidP="00BE65C6">
            <w:pPr>
              <w:spacing w:line="240" w:lineRule="exact"/>
              <w:jc w:val="center"/>
              <w:rPr>
                <w:sz w:val="22"/>
                <w:rtl/>
              </w:rPr>
            </w:pPr>
            <w:r w:rsidRPr="00D55173">
              <w:rPr>
                <w:rFonts w:hint="cs"/>
                <w:sz w:val="22"/>
                <w:rtl/>
              </w:rPr>
              <w:t>רמה 3</w:t>
            </w:r>
          </w:p>
        </w:tc>
        <w:tc>
          <w:tcPr>
            <w:tcW w:w="226" w:type="dxa"/>
            <w:shd w:val="clear" w:color="auto" w:fill="auto"/>
            <w:vAlign w:val="bottom"/>
          </w:tcPr>
          <w:p w14:paraId="1F5F167F"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1DEEBFAF" w14:textId="77777777" w:rsidR="003351ED" w:rsidRPr="00D55173" w:rsidRDefault="003351ED" w:rsidP="00BE65C6">
            <w:pPr>
              <w:spacing w:line="240" w:lineRule="exact"/>
              <w:jc w:val="center"/>
              <w:rPr>
                <w:sz w:val="22"/>
                <w:rtl/>
              </w:rPr>
            </w:pPr>
            <w:r>
              <w:rPr>
                <w:rFonts w:hint="cs"/>
                <w:sz w:val="22"/>
                <w:rtl/>
              </w:rPr>
              <w:t>סה"כ</w:t>
            </w:r>
          </w:p>
        </w:tc>
      </w:tr>
      <w:tr w:rsidR="003351ED" w:rsidRPr="00D55173" w14:paraId="3A871FAA" w14:textId="77777777" w:rsidTr="00F62D48">
        <w:tc>
          <w:tcPr>
            <w:tcW w:w="1030" w:type="dxa"/>
            <w:vMerge/>
            <w:tcBorders>
              <w:top w:val="single" w:sz="6" w:space="0" w:color="auto"/>
              <w:bottom w:val="single" w:sz="6" w:space="0" w:color="auto"/>
              <w:right w:val="single" w:sz="6" w:space="0" w:color="auto"/>
            </w:tcBorders>
          </w:tcPr>
          <w:p w14:paraId="06B7B34A"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5065E43D"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6FF1E780"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2E4B168F"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11AD2592" w14:textId="77777777" w:rsidR="003351ED" w:rsidRPr="00D55173" w:rsidRDefault="003351ED" w:rsidP="00BE65C6">
            <w:pPr>
              <w:spacing w:line="240" w:lineRule="exact"/>
              <w:jc w:val="center"/>
              <w:rPr>
                <w:sz w:val="22"/>
                <w:rtl/>
              </w:rPr>
            </w:pPr>
            <w:r>
              <w:rPr>
                <w:rFonts w:hint="cs"/>
                <w:sz w:val="22"/>
                <w:rtl/>
              </w:rPr>
              <w:t>מבוקר</w:t>
            </w:r>
          </w:p>
        </w:tc>
      </w:tr>
      <w:tr w:rsidR="003351ED" w:rsidRPr="00D55173" w14:paraId="791C4F9D" w14:textId="77777777" w:rsidTr="00F62D48">
        <w:tc>
          <w:tcPr>
            <w:tcW w:w="1030" w:type="dxa"/>
            <w:vMerge/>
            <w:tcBorders>
              <w:top w:val="single" w:sz="6" w:space="0" w:color="auto"/>
              <w:bottom w:val="single" w:sz="6" w:space="0" w:color="auto"/>
              <w:right w:val="single" w:sz="6" w:space="0" w:color="auto"/>
            </w:tcBorders>
          </w:tcPr>
          <w:p w14:paraId="6CD69D7D"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0064B15C"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31F4CE18"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179346FD"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081718BA" w14:textId="77777777" w:rsidR="003351ED" w:rsidRPr="00D55173" w:rsidRDefault="003351ED" w:rsidP="00BE65C6">
            <w:pPr>
              <w:spacing w:line="240" w:lineRule="exact"/>
              <w:jc w:val="center"/>
              <w:rPr>
                <w:sz w:val="22"/>
                <w:rtl/>
              </w:rPr>
            </w:pPr>
            <w:r w:rsidRPr="00D55173">
              <w:rPr>
                <w:rFonts w:hint="cs"/>
                <w:sz w:val="22"/>
                <w:rtl/>
              </w:rPr>
              <w:t>אלפי ש"ח</w:t>
            </w:r>
          </w:p>
        </w:tc>
      </w:tr>
      <w:tr w:rsidR="003351ED" w:rsidRPr="00D55173" w14:paraId="1E8EE453" w14:textId="77777777" w:rsidTr="00F62D48">
        <w:tc>
          <w:tcPr>
            <w:tcW w:w="1030" w:type="dxa"/>
            <w:vMerge/>
            <w:tcBorders>
              <w:top w:val="single" w:sz="6" w:space="0" w:color="auto"/>
              <w:bottom w:val="single" w:sz="6" w:space="0" w:color="auto"/>
              <w:right w:val="single" w:sz="6" w:space="0" w:color="auto"/>
            </w:tcBorders>
          </w:tcPr>
          <w:p w14:paraId="4E273524"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700" w:type="dxa"/>
            <w:tcBorders>
              <w:left w:val="single" w:sz="6" w:space="0" w:color="auto"/>
            </w:tcBorders>
          </w:tcPr>
          <w:p w14:paraId="512E90B3"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tcPr>
          <w:p w14:paraId="02720F14"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6CB922E4" w14:textId="77777777" w:rsidR="003351ED" w:rsidRPr="00D55173" w:rsidRDefault="003351ED" w:rsidP="00BE65C6">
            <w:pPr>
              <w:spacing w:line="240" w:lineRule="exact"/>
              <w:rPr>
                <w:sz w:val="22"/>
                <w:rtl/>
              </w:rPr>
            </w:pPr>
          </w:p>
        </w:tc>
        <w:tc>
          <w:tcPr>
            <w:tcW w:w="1036" w:type="dxa"/>
            <w:tcBorders>
              <w:top w:val="single" w:sz="6" w:space="0" w:color="auto"/>
            </w:tcBorders>
            <w:shd w:val="clear" w:color="auto" w:fill="auto"/>
            <w:vAlign w:val="bottom"/>
          </w:tcPr>
          <w:p w14:paraId="157C809D" w14:textId="77777777" w:rsidR="003351ED" w:rsidRPr="00D55173" w:rsidRDefault="003351ED" w:rsidP="00BE65C6">
            <w:pPr>
              <w:spacing w:line="240" w:lineRule="exact"/>
              <w:rPr>
                <w:sz w:val="22"/>
                <w:rtl/>
              </w:rPr>
            </w:pPr>
          </w:p>
        </w:tc>
        <w:tc>
          <w:tcPr>
            <w:tcW w:w="149" w:type="dxa"/>
            <w:tcBorders>
              <w:top w:val="single" w:sz="6" w:space="0" w:color="auto"/>
            </w:tcBorders>
            <w:shd w:val="clear" w:color="auto" w:fill="auto"/>
            <w:vAlign w:val="bottom"/>
          </w:tcPr>
          <w:p w14:paraId="645ED449" w14:textId="77777777" w:rsidR="003351ED" w:rsidRPr="00D55173" w:rsidRDefault="003351ED" w:rsidP="00BE65C6">
            <w:pPr>
              <w:spacing w:line="240" w:lineRule="exact"/>
              <w:rPr>
                <w:sz w:val="22"/>
                <w:rtl/>
              </w:rPr>
            </w:pPr>
          </w:p>
        </w:tc>
        <w:tc>
          <w:tcPr>
            <w:tcW w:w="1133" w:type="dxa"/>
            <w:tcBorders>
              <w:top w:val="single" w:sz="6" w:space="0" w:color="auto"/>
            </w:tcBorders>
            <w:shd w:val="clear" w:color="auto" w:fill="auto"/>
            <w:vAlign w:val="bottom"/>
          </w:tcPr>
          <w:p w14:paraId="2502D8C7"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7942FF1D"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1A41FDEA"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70B6AF94"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2B7ABC19" w14:textId="77777777" w:rsidR="003351ED" w:rsidRPr="00D55173" w:rsidRDefault="003351ED" w:rsidP="00BE65C6">
            <w:pPr>
              <w:tabs>
                <w:tab w:val="decimal" w:pos="113"/>
              </w:tabs>
              <w:spacing w:line="240" w:lineRule="exact"/>
              <w:rPr>
                <w:sz w:val="22"/>
                <w:rtl/>
              </w:rPr>
            </w:pPr>
          </w:p>
        </w:tc>
      </w:tr>
      <w:tr w:rsidR="003351ED" w:rsidRPr="00D55173" w14:paraId="055135B9" w14:textId="77777777" w:rsidTr="00F62D48">
        <w:tc>
          <w:tcPr>
            <w:tcW w:w="1030" w:type="dxa"/>
            <w:vMerge/>
            <w:tcBorders>
              <w:top w:val="single" w:sz="6" w:space="0" w:color="auto"/>
              <w:bottom w:val="single" w:sz="6" w:space="0" w:color="auto"/>
              <w:right w:val="single" w:sz="6" w:space="0" w:color="auto"/>
            </w:tcBorders>
          </w:tcPr>
          <w:p w14:paraId="6ADA0470"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48E9370C"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35F192AA"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rtl/>
              </w:rPr>
              <w:t>חוזים עתידיים על סחורות</w:t>
            </w:r>
          </w:p>
        </w:tc>
        <w:tc>
          <w:tcPr>
            <w:tcW w:w="154" w:type="dxa"/>
            <w:shd w:val="clear" w:color="auto" w:fill="auto"/>
            <w:vAlign w:val="bottom"/>
          </w:tcPr>
          <w:p w14:paraId="0F944C4B" w14:textId="77777777" w:rsidR="003351ED" w:rsidRPr="00D55173" w:rsidRDefault="003351ED" w:rsidP="00BE65C6">
            <w:pPr>
              <w:spacing w:line="240" w:lineRule="exact"/>
              <w:rPr>
                <w:sz w:val="22"/>
                <w:rtl/>
              </w:rPr>
            </w:pPr>
          </w:p>
        </w:tc>
        <w:tc>
          <w:tcPr>
            <w:tcW w:w="1036" w:type="dxa"/>
            <w:shd w:val="clear" w:color="auto" w:fill="auto"/>
            <w:vAlign w:val="bottom"/>
          </w:tcPr>
          <w:p w14:paraId="473F8621" w14:textId="77777777" w:rsidR="003351ED" w:rsidRPr="00D55173" w:rsidRDefault="003351ED" w:rsidP="00BE65C6">
            <w:pPr>
              <w:spacing w:line="240" w:lineRule="exact"/>
              <w:rPr>
                <w:sz w:val="22"/>
                <w:rtl/>
              </w:rPr>
            </w:pPr>
          </w:p>
        </w:tc>
        <w:tc>
          <w:tcPr>
            <w:tcW w:w="149" w:type="dxa"/>
            <w:shd w:val="clear" w:color="auto" w:fill="auto"/>
            <w:vAlign w:val="bottom"/>
          </w:tcPr>
          <w:p w14:paraId="6B097242" w14:textId="77777777" w:rsidR="003351ED" w:rsidRPr="00D55173" w:rsidRDefault="003351ED" w:rsidP="00BE65C6">
            <w:pPr>
              <w:spacing w:line="240" w:lineRule="exact"/>
              <w:rPr>
                <w:sz w:val="22"/>
                <w:rtl/>
              </w:rPr>
            </w:pPr>
          </w:p>
        </w:tc>
        <w:tc>
          <w:tcPr>
            <w:tcW w:w="1133" w:type="dxa"/>
            <w:shd w:val="clear" w:color="auto" w:fill="auto"/>
            <w:vAlign w:val="bottom"/>
          </w:tcPr>
          <w:p w14:paraId="647138BF"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669AF171"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612D7821"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28668266"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7FA558EB" w14:textId="77777777" w:rsidR="003351ED" w:rsidRPr="00D55173" w:rsidRDefault="003351ED" w:rsidP="00BE65C6">
            <w:pPr>
              <w:tabs>
                <w:tab w:val="decimal" w:pos="113"/>
              </w:tabs>
              <w:spacing w:line="240" w:lineRule="exact"/>
              <w:rPr>
                <w:sz w:val="22"/>
                <w:rtl/>
              </w:rPr>
            </w:pPr>
          </w:p>
        </w:tc>
      </w:tr>
      <w:tr w:rsidR="003351ED" w:rsidRPr="00D55173" w14:paraId="49925F18" w14:textId="77777777" w:rsidTr="00F62D48">
        <w:tc>
          <w:tcPr>
            <w:tcW w:w="1030" w:type="dxa"/>
            <w:vMerge/>
            <w:tcBorders>
              <w:top w:val="single" w:sz="6" w:space="0" w:color="auto"/>
              <w:bottom w:val="single" w:sz="6" w:space="0" w:color="auto"/>
              <w:right w:val="single" w:sz="6" w:space="0" w:color="auto"/>
            </w:tcBorders>
          </w:tcPr>
          <w:p w14:paraId="1786A18C" w14:textId="77777777" w:rsidR="003351ED" w:rsidRDefault="003351ED" w:rsidP="00BE65C6">
            <w:pPr>
              <w:widowControl/>
              <w:tabs>
                <w:tab w:val="left" w:pos="227"/>
                <w:tab w:val="left" w:pos="1056"/>
              </w:tabs>
              <w:spacing w:line="240" w:lineRule="exact"/>
              <w:ind w:firstLine="57"/>
              <w:jc w:val="left"/>
              <w:rPr>
                <w:sz w:val="22"/>
                <w:rtl/>
              </w:rPr>
            </w:pPr>
          </w:p>
        </w:tc>
        <w:tc>
          <w:tcPr>
            <w:tcW w:w="700" w:type="dxa"/>
            <w:tcBorders>
              <w:left w:val="single" w:sz="6" w:space="0" w:color="auto"/>
            </w:tcBorders>
          </w:tcPr>
          <w:p w14:paraId="22F03933" w14:textId="77777777" w:rsidR="003351ED" w:rsidRDefault="003351ED" w:rsidP="00BE65C6">
            <w:pPr>
              <w:widowControl/>
              <w:tabs>
                <w:tab w:val="left" w:pos="227"/>
                <w:tab w:val="left" w:pos="1056"/>
              </w:tabs>
              <w:spacing w:line="240" w:lineRule="exact"/>
              <w:ind w:firstLine="57"/>
              <w:jc w:val="left"/>
              <w:rPr>
                <w:sz w:val="22"/>
                <w:rtl/>
              </w:rPr>
            </w:pPr>
          </w:p>
        </w:tc>
        <w:tc>
          <w:tcPr>
            <w:tcW w:w="2743" w:type="dxa"/>
            <w:shd w:val="clear" w:color="auto" w:fill="auto"/>
          </w:tcPr>
          <w:p w14:paraId="74CF1BFC" w14:textId="77777777" w:rsidR="003351ED" w:rsidRPr="00D55173" w:rsidRDefault="003351ED" w:rsidP="00BE65C6">
            <w:pPr>
              <w:widowControl/>
              <w:tabs>
                <w:tab w:val="left" w:pos="227"/>
                <w:tab w:val="left" w:pos="1056"/>
              </w:tabs>
              <w:spacing w:line="240" w:lineRule="exact"/>
              <w:ind w:firstLine="57"/>
              <w:jc w:val="left"/>
              <w:rPr>
                <w:sz w:val="22"/>
                <w:rtl/>
              </w:rPr>
            </w:pPr>
            <w:r>
              <w:rPr>
                <w:rFonts w:hint="cs"/>
                <w:sz w:val="22"/>
                <w:rtl/>
              </w:rPr>
              <w:t>חוזי אקדמה על מטבע חוץ</w:t>
            </w:r>
          </w:p>
        </w:tc>
        <w:tc>
          <w:tcPr>
            <w:tcW w:w="154" w:type="dxa"/>
            <w:shd w:val="clear" w:color="auto" w:fill="auto"/>
            <w:vAlign w:val="bottom"/>
          </w:tcPr>
          <w:p w14:paraId="4871972B" w14:textId="77777777" w:rsidR="003351ED" w:rsidRPr="00D55173" w:rsidRDefault="003351ED" w:rsidP="00BE65C6">
            <w:pPr>
              <w:spacing w:line="240" w:lineRule="exact"/>
              <w:rPr>
                <w:sz w:val="22"/>
                <w:rtl/>
              </w:rPr>
            </w:pPr>
          </w:p>
        </w:tc>
        <w:tc>
          <w:tcPr>
            <w:tcW w:w="1036" w:type="dxa"/>
            <w:shd w:val="clear" w:color="auto" w:fill="auto"/>
            <w:vAlign w:val="bottom"/>
          </w:tcPr>
          <w:p w14:paraId="48C139F1" w14:textId="77777777" w:rsidR="003351ED" w:rsidRPr="00D55173" w:rsidRDefault="003351ED" w:rsidP="00BE65C6">
            <w:pPr>
              <w:spacing w:line="240" w:lineRule="exact"/>
              <w:rPr>
                <w:sz w:val="22"/>
                <w:rtl/>
              </w:rPr>
            </w:pPr>
          </w:p>
        </w:tc>
        <w:tc>
          <w:tcPr>
            <w:tcW w:w="149" w:type="dxa"/>
            <w:shd w:val="clear" w:color="auto" w:fill="auto"/>
            <w:vAlign w:val="bottom"/>
          </w:tcPr>
          <w:p w14:paraId="37D8ACEA" w14:textId="77777777" w:rsidR="003351ED" w:rsidRPr="00D55173" w:rsidRDefault="003351ED" w:rsidP="00BE65C6">
            <w:pPr>
              <w:spacing w:line="240" w:lineRule="exact"/>
              <w:rPr>
                <w:sz w:val="22"/>
                <w:rtl/>
              </w:rPr>
            </w:pPr>
          </w:p>
        </w:tc>
        <w:tc>
          <w:tcPr>
            <w:tcW w:w="1133" w:type="dxa"/>
            <w:shd w:val="clear" w:color="auto" w:fill="auto"/>
            <w:vAlign w:val="bottom"/>
          </w:tcPr>
          <w:p w14:paraId="0E6E6919"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3CC2A0A0"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1198EAFA"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327B2BEC"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3A50D1EE" w14:textId="77777777" w:rsidR="003351ED" w:rsidRPr="00D55173" w:rsidRDefault="003351ED" w:rsidP="00BE65C6">
            <w:pPr>
              <w:tabs>
                <w:tab w:val="decimal" w:pos="113"/>
              </w:tabs>
              <w:spacing w:line="240" w:lineRule="exact"/>
              <w:rPr>
                <w:sz w:val="22"/>
                <w:rtl/>
              </w:rPr>
            </w:pPr>
          </w:p>
        </w:tc>
      </w:tr>
      <w:tr w:rsidR="003351ED" w:rsidRPr="00D55173" w14:paraId="2790DC6A" w14:textId="77777777" w:rsidTr="00F62D48">
        <w:tc>
          <w:tcPr>
            <w:tcW w:w="1030" w:type="dxa"/>
            <w:vMerge/>
            <w:tcBorders>
              <w:top w:val="single" w:sz="6" w:space="0" w:color="auto"/>
              <w:bottom w:val="single" w:sz="6" w:space="0" w:color="auto"/>
              <w:right w:val="single" w:sz="6" w:space="0" w:color="auto"/>
            </w:tcBorders>
          </w:tcPr>
          <w:p w14:paraId="0F56E813"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1411D7E7"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0B9478D6"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נגזרים משובצים</w:t>
            </w:r>
          </w:p>
        </w:tc>
        <w:tc>
          <w:tcPr>
            <w:tcW w:w="154" w:type="dxa"/>
            <w:shd w:val="clear" w:color="auto" w:fill="auto"/>
            <w:vAlign w:val="bottom"/>
          </w:tcPr>
          <w:p w14:paraId="59EC5AE5" w14:textId="77777777" w:rsidR="003351ED" w:rsidRPr="00D55173" w:rsidRDefault="003351ED" w:rsidP="00BE65C6">
            <w:pPr>
              <w:spacing w:line="240" w:lineRule="exact"/>
              <w:rPr>
                <w:sz w:val="22"/>
                <w:rtl/>
              </w:rPr>
            </w:pPr>
          </w:p>
        </w:tc>
        <w:tc>
          <w:tcPr>
            <w:tcW w:w="1036" w:type="dxa"/>
            <w:shd w:val="clear" w:color="auto" w:fill="auto"/>
            <w:vAlign w:val="bottom"/>
          </w:tcPr>
          <w:p w14:paraId="5B67E306" w14:textId="77777777" w:rsidR="003351ED" w:rsidRPr="00D55173" w:rsidRDefault="003351ED" w:rsidP="00BE65C6">
            <w:pPr>
              <w:spacing w:line="240" w:lineRule="exact"/>
              <w:rPr>
                <w:sz w:val="22"/>
                <w:rtl/>
              </w:rPr>
            </w:pPr>
          </w:p>
        </w:tc>
        <w:tc>
          <w:tcPr>
            <w:tcW w:w="149" w:type="dxa"/>
            <w:shd w:val="clear" w:color="auto" w:fill="auto"/>
            <w:vAlign w:val="bottom"/>
          </w:tcPr>
          <w:p w14:paraId="3B7D433C" w14:textId="77777777" w:rsidR="003351ED" w:rsidRPr="00D55173" w:rsidRDefault="003351ED" w:rsidP="00BE65C6">
            <w:pPr>
              <w:spacing w:line="240" w:lineRule="exact"/>
              <w:rPr>
                <w:sz w:val="22"/>
                <w:rtl/>
              </w:rPr>
            </w:pPr>
          </w:p>
        </w:tc>
        <w:tc>
          <w:tcPr>
            <w:tcW w:w="1133" w:type="dxa"/>
            <w:shd w:val="clear" w:color="auto" w:fill="auto"/>
            <w:vAlign w:val="bottom"/>
          </w:tcPr>
          <w:p w14:paraId="4F891768"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5953DCFA"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015147C1"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263A5DEE"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8322A63" w14:textId="77777777" w:rsidR="003351ED" w:rsidRPr="00D55173" w:rsidRDefault="003351ED" w:rsidP="00BE65C6">
            <w:pPr>
              <w:tabs>
                <w:tab w:val="decimal" w:pos="113"/>
              </w:tabs>
              <w:spacing w:line="240" w:lineRule="exact"/>
              <w:rPr>
                <w:sz w:val="22"/>
                <w:rtl/>
              </w:rPr>
            </w:pPr>
          </w:p>
        </w:tc>
      </w:tr>
    </w:tbl>
    <w:p w14:paraId="7B64926D" w14:textId="77777777" w:rsidR="003351ED" w:rsidRDefault="003351ED" w:rsidP="003351ED">
      <w:pPr>
        <w:pStyle w:val="21"/>
        <w:ind w:left="1689" w:firstLine="0"/>
        <w:rPr>
          <w:rtl/>
        </w:rPr>
      </w:pPr>
    </w:p>
    <w:tbl>
      <w:tblPr>
        <w:tblStyle w:val="af6"/>
        <w:bidiVisual/>
        <w:tblW w:w="9739"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
        <w:gridCol w:w="872"/>
        <w:gridCol w:w="7953"/>
      </w:tblGrid>
      <w:tr w:rsidR="003517FC" w14:paraId="113AAFE0" w14:textId="77777777" w:rsidTr="003351ED">
        <w:tc>
          <w:tcPr>
            <w:tcW w:w="914" w:type="dxa"/>
            <w:tcBorders>
              <w:bottom w:val="single" w:sz="6" w:space="0" w:color="auto"/>
              <w:right w:val="single" w:sz="6" w:space="0" w:color="auto"/>
            </w:tcBorders>
            <w:tcMar>
              <w:left w:w="0" w:type="dxa"/>
              <w:right w:w="0" w:type="dxa"/>
            </w:tcMar>
            <w:vAlign w:val="center"/>
          </w:tcPr>
          <w:p w14:paraId="5C5265D5" w14:textId="77777777" w:rsidR="003517FC" w:rsidRPr="001A4186" w:rsidRDefault="003517FC" w:rsidP="003517FC">
            <w:pPr>
              <w:rPr>
                <w:i/>
                <w:iCs/>
                <w:sz w:val="13"/>
                <w:szCs w:val="13"/>
              </w:rPr>
            </w:pPr>
            <w:r>
              <w:rPr>
                <w:i/>
                <w:iCs/>
                <w:sz w:val="13"/>
                <w:szCs w:val="13"/>
              </w:rPr>
              <w:t>IFRS 13.93(e)</w:t>
            </w:r>
          </w:p>
        </w:tc>
        <w:tc>
          <w:tcPr>
            <w:tcW w:w="872" w:type="dxa"/>
            <w:tcBorders>
              <w:left w:val="single" w:sz="6" w:space="0" w:color="auto"/>
            </w:tcBorders>
          </w:tcPr>
          <w:p w14:paraId="601972C5" w14:textId="77777777" w:rsidR="003517FC" w:rsidDel="001A4186" w:rsidRDefault="003517FC" w:rsidP="003517FC">
            <w:pPr>
              <w:widowControl/>
              <w:ind w:left="57"/>
              <w:jc w:val="left"/>
              <w:rPr>
                <w:rtl/>
              </w:rPr>
            </w:pPr>
          </w:p>
        </w:tc>
        <w:tc>
          <w:tcPr>
            <w:tcW w:w="7953" w:type="dxa"/>
            <w:tcBorders>
              <w:left w:val="nil"/>
            </w:tcBorders>
            <w:tcMar>
              <w:left w:w="0" w:type="dxa"/>
              <w:right w:w="0" w:type="dxa"/>
            </w:tcMar>
          </w:tcPr>
          <w:p w14:paraId="4B54D9F7" w14:textId="77777777" w:rsidR="003D46A8" w:rsidRDefault="00892691">
            <w:pPr>
              <w:widowControl/>
              <w:ind w:left="57"/>
              <w:jc w:val="left"/>
              <w:rPr>
                <w:rtl/>
              </w:rPr>
            </w:pPr>
            <w:r w:rsidRPr="00892691">
              <w:rPr>
                <w:rFonts w:hint="eastAsia"/>
                <w:rtl/>
              </w:rPr>
              <w:t>התאמה</w:t>
            </w:r>
            <w:r w:rsidRPr="00892691">
              <w:rPr>
                <w:rtl/>
              </w:rPr>
              <w:t xml:space="preserve"> </w:t>
            </w:r>
            <w:r w:rsidRPr="00892691">
              <w:rPr>
                <w:rFonts w:hint="eastAsia"/>
                <w:rtl/>
              </w:rPr>
              <w:t>בגין</w:t>
            </w:r>
            <w:r w:rsidRPr="00892691">
              <w:rPr>
                <w:rtl/>
              </w:rPr>
              <w:t xml:space="preserve"> </w:t>
            </w:r>
            <w:r w:rsidRPr="00892691">
              <w:rPr>
                <w:rFonts w:hint="eastAsia"/>
                <w:rtl/>
              </w:rPr>
              <w:t>מדידות</w:t>
            </w:r>
            <w:r w:rsidRPr="00892691">
              <w:rPr>
                <w:rtl/>
              </w:rPr>
              <w:t xml:space="preserve"> </w:t>
            </w:r>
            <w:r w:rsidRPr="00892691">
              <w:rPr>
                <w:rFonts w:hint="eastAsia"/>
                <w:rtl/>
              </w:rPr>
              <w:t>שווי</w:t>
            </w:r>
            <w:r w:rsidRPr="00892691">
              <w:rPr>
                <w:rtl/>
              </w:rPr>
              <w:t xml:space="preserve"> </w:t>
            </w:r>
            <w:r w:rsidRPr="00892691">
              <w:rPr>
                <w:rFonts w:hint="eastAsia"/>
                <w:rtl/>
              </w:rPr>
              <w:t>הוגן</w:t>
            </w:r>
            <w:r w:rsidRPr="00892691">
              <w:rPr>
                <w:rtl/>
              </w:rPr>
              <w:t xml:space="preserve"> </w:t>
            </w:r>
            <w:r w:rsidRPr="00892691">
              <w:rPr>
                <w:rFonts w:hint="eastAsia"/>
                <w:rtl/>
              </w:rPr>
              <w:t>המסווגות</w:t>
            </w:r>
            <w:r w:rsidRPr="00892691">
              <w:rPr>
                <w:rtl/>
              </w:rPr>
              <w:t xml:space="preserve"> </w:t>
            </w:r>
            <w:r w:rsidRPr="00892691">
              <w:rPr>
                <w:rFonts w:hint="eastAsia"/>
                <w:rtl/>
              </w:rPr>
              <w:t>ברמה</w:t>
            </w:r>
            <w:r w:rsidRPr="00892691">
              <w:rPr>
                <w:rtl/>
              </w:rPr>
              <w:t xml:space="preserve"> 3 </w:t>
            </w:r>
            <w:r w:rsidRPr="00892691">
              <w:rPr>
                <w:rFonts w:hint="eastAsia"/>
                <w:rtl/>
              </w:rPr>
              <w:t>של</w:t>
            </w:r>
            <w:r w:rsidRPr="00892691">
              <w:rPr>
                <w:rtl/>
              </w:rPr>
              <w:t xml:space="preserve"> </w:t>
            </w:r>
            <w:r w:rsidRPr="00892691">
              <w:rPr>
                <w:rFonts w:hint="eastAsia"/>
                <w:rtl/>
              </w:rPr>
              <w:t>מדרג</w:t>
            </w:r>
            <w:r w:rsidRPr="00892691">
              <w:rPr>
                <w:rtl/>
              </w:rPr>
              <w:t xml:space="preserve"> </w:t>
            </w:r>
            <w:r w:rsidR="00517C4D">
              <w:rPr>
                <w:rFonts w:hint="cs"/>
                <w:rtl/>
              </w:rPr>
              <w:t>ה</w:t>
            </w:r>
            <w:r w:rsidRPr="00892691">
              <w:rPr>
                <w:rFonts w:hint="eastAsia"/>
                <w:rtl/>
              </w:rPr>
              <w:t>שווי</w:t>
            </w:r>
            <w:r w:rsidRPr="00892691">
              <w:rPr>
                <w:rtl/>
              </w:rPr>
              <w:t xml:space="preserve"> </w:t>
            </w:r>
            <w:r w:rsidR="00517C4D">
              <w:rPr>
                <w:rFonts w:hint="cs"/>
                <w:rtl/>
              </w:rPr>
              <w:t>ה</w:t>
            </w:r>
            <w:r w:rsidRPr="00892691">
              <w:rPr>
                <w:rFonts w:hint="eastAsia"/>
                <w:rtl/>
              </w:rPr>
              <w:t>הוגן</w:t>
            </w:r>
            <w:r w:rsidR="00517C4D">
              <w:rPr>
                <w:rFonts w:hint="cs"/>
                <w:rtl/>
              </w:rPr>
              <w:t>:</w:t>
            </w:r>
          </w:p>
        </w:tc>
      </w:tr>
    </w:tbl>
    <w:p w14:paraId="1379E15F" w14:textId="77777777" w:rsidR="003517FC" w:rsidRDefault="003517FC" w:rsidP="00455D16">
      <w:pPr>
        <w:pStyle w:val="30"/>
        <w:rPr>
          <w:u w:val="single"/>
          <w:rtl/>
        </w:rPr>
      </w:pPr>
    </w:p>
    <w:tbl>
      <w:tblPr>
        <w:tblStyle w:val="af6"/>
        <w:bidiVisual/>
        <w:tblW w:w="0" w:type="auto"/>
        <w:tblInd w:w="1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23"/>
        <w:gridCol w:w="102"/>
        <w:gridCol w:w="1231"/>
        <w:gridCol w:w="222"/>
        <w:gridCol w:w="1231"/>
      </w:tblGrid>
      <w:tr w:rsidR="003351ED" w:rsidRPr="00F62D48" w14:paraId="2EB1158A" w14:textId="77777777" w:rsidTr="00F62D48">
        <w:tc>
          <w:tcPr>
            <w:tcW w:w="5123" w:type="dxa"/>
            <w:shd w:val="clear" w:color="auto" w:fill="auto"/>
            <w:vAlign w:val="bottom"/>
          </w:tcPr>
          <w:p w14:paraId="45C7A771" w14:textId="77777777" w:rsidR="003351ED" w:rsidRPr="00F62D48" w:rsidRDefault="003351ED" w:rsidP="00F62D48">
            <w:pPr>
              <w:tabs>
                <w:tab w:val="left" w:pos="227"/>
                <w:tab w:val="left" w:pos="397"/>
                <w:tab w:val="left" w:pos="567"/>
              </w:tabs>
              <w:spacing w:line="240" w:lineRule="exact"/>
              <w:ind w:left="227" w:hanging="170"/>
              <w:rPr>
                <w:rFonts w:ascii="Narkisim" w:hAnsi="Narkisim"/>
                <w:sz w:val="22"/>
                <w:rtl/>
              </w:rPr>
            </w:pPr>
          </w:p>
        </w:tc>
        <w:tc>
          <w:tcPr>
            <w:tcW w:w="102" w:type="dxa"/>
            <w:shd w:val="clear" w:color="auto" w:fill="auto"/>
            <w:vAlign w:val="bottom"/>
          </w:tcPr>
          <w:p w14:paraId="176F8128" w14:textId="77777777" w:rsidR="003351ED" w:rsidRPr="00F62D48" w:rsidRDefault="003351ED" w:rsidP="00F62D48">
            <w:pPr>
              <w:spacing w:line="240" w:lineRule="exact"/>
              <w:rPr>
                <w:rFonts w:ascii="Narkisim" w:hAnsi="Narkisim"/>
                <w:sz w:val="22"/>
                <w:rtl/>
              </w:rPr>
            </w:pPr>
          </w:p>
        </w:tc>
        <w:tc>
          <w:tcPr>
            <w:tcW w:w="2684" w:type="dxa"/>
            <w:gridSpan w:val="3"/>
            <w:tcBorders>
              <w:bottom w:val="single" w:sz="6" w:space="0" w:color="auto"/>
            </w:tcBorders>
            <w:shd w:val="clear" w:color="auto" w:fill="auto"/>
            <w:vAlign w:val="bottom"/>
          </w:tcPr>
          <w:p w14:paraId="2BBA8C9C" w14:textId="77777777" w:rsidR="003351ED" w:rsidRPr="00F62D48" w:rsidRDefault="003351ED" w:rsidP="00F62D48">
            <w:pPr>
              <w:spacing w:line="240" w:lineRule="exact"/>
              <w:jc w:val="center"/>
              <w:rPr>
                <w:sz w:val="22"/>
              </w:rPr>
            </w:pPr>
            <w:r w:rsidRPr="00F62D48">
              <w:rPr>
                <w:rFonts w:hint="cs"/>
                <w:sz w:val="22"/>
                <w:rtl/>
              </w:rPr>
              <w:t>מכשירים פיננסיים</w:t>
            </w:r>
            <w:r w:rsidRPr="00F62D48">
              <w:rPr>
                <w:rStyle w:val="ab"/>
                <w:sz w:val="22"/>
              </w:rPr>
              <w:footnoteReference w:id="110"/>
            </w:r>
          </w:p>
        </w:tc>
      </w:tr>
      <w:tr w:rsidR="003351ED" w:rsidRPr="00F62D48" w14:paraId="61B052EC" w14:textId="77777777" w:rsidTr="00F62D48">
        <w:tc>
          <w:tcPr>
            <w:tcW w:w="5123" w:type="dxa"/>
            <w:shd w:val="clear" w:color="auto" w:fill="auto"/>
            <w:vAlign w:val="bottom"/>
          </w:tcPr>
          <w:p w14:paraId="5A9412F1" w14:textId="77777777" w:rsidR="003351ED" w:rsidRPr="00F62D48" w:rsidRDefault="003351ED" w:rsidP="00F62D48">
            <w:pPr>
              <w:tabs>
                <w:tab w:val="left" w:pos="227"/>
                <w:tab w:val="left" w:pos="397"/>
                <w:tab w:val="left" w:pos="567"/>
              </w:tabs>
              <w:spacing w:line="240" w:lineRule="exact"/>
              <w:ind w:left="227" w:hanging="170"/>
              <w:rPr>
                <w:rFonts w:ascii="Narkisim" w:hAnsi="Narkisim"/>
                <w:sz w:val="22"/>
                <w:rtl/>
              </w:rPr>
            </w:pPr>
          </w:p>
        </w:tc>
        <w:tc>
          <w:tcPr>
            <w:tcW w:w="102" w:type="dxa"/>
            <w:shd w:val="clear" w:color="auto" w:fill="auto"/>
            <w:vAlign w:val="bottom"/>
          </w:tcPr>
          <w:p w14:paraId="7DA79026" w14:textId="77777777" w:rsidR="003351ED" w:rsidRPr="00F62D48" w:rsidRDefault="003351ED" w:rsidP="00F62D48">
            <w:pPr>
              <w:spacing w:line="240" w:lineRule="exact"/>
              <w:rPr>
                <w:rFonts w:ascii="Narkisim" w:hAnsi="Narkisim"/>
                <w:sz w:val="22"/>
                <w:rtl/>
              </w:rPr>
            </w:pPr>
          </w:p>
        </w:tc>
        <w:tc>
          <w:tcPr>
            <w:tcW w:w="1231" w:type="dxa"/>
            <w:tcBorders>
              <w:top w:val="single" w:sz="6" w:space="0" w:color="auto"/>
              <w:bottom w:val="single" w:sz="6" w:space="0" w:color="auto"/>
            </w:tcBorders>
            <w:shd w:val="clear" w:color="auto" w:fill="auto"/>
            <w:vAlign w:val="bottom"/>
          </w:tcPr>
          <w:p w14:paraId="2051F186" w14:textId="089F74ED" w:rsidR="003351ED" w:rsidRPr="00F62D48" w:rsidRDefault="004A4A6B" w:rsidP="001F49C2">
            <w:pPr>
              <w:spacing w:line="240" w:lineRule="exact"/>
              <w:jc w:val="center"/>
              <w:rPr>
                <w:sz w:val="22"/>
                <w:rtl/>
              </w:rPr>
            </w:pPr>
            <w:r w:rsidRPr="00F62D48">
              <w:rPr>
                <w:rFonts w:hint="cs"/>
                <w:sz w:val="22"/>
                <w:rtl/>
              </w:rPr>
              <w:t>20</w:t>
            </w:r>
            <w:r w:rsidR="001F49C2">
              <w:rPr>
                <w:rFonts w:hint="cs"/>
                <w:sz w:val="22"/>
                <w:rtl/>
              </w:rPr>
              <w:t>19</w:t>
            </w:r>
          </w:p>
        </w:tc>
        <w:tc>
          <w:tcPr>
            <w:tcW w:w="222" w:type="dxa"/>
            <w:tcBorders>
              <w:top w:val="single" w:sz="6" w:space="0" w:color="auto"/>
            </w:tcBorders>
            <w:shd w:val="clear" w:color="auto" w:fill="auto"/>
            <w:vAlign w:val="bottom"/>
          </w:tcPr>
          <w:p w14:paraId="02AB74EE" w14:textId="77777777" w:rsidR="003351ED" w:rsidRPr="00F62D48" w:rsidRDefault="003351ED" w:rsidP="00F62D48">
            <w:pPr>
              <w:spacing w:line="240" w:lineRule="exact"/>
              <w:jc w:val="center"/>
              <w:rPr>
                <w:rFonts w:ascii="Narkisim" w:hAnsi="Narkisim"/>
                <w:sz w:val="22"/>
                <w:rtl/>
              </w:rPr>
            </w:pPr>
          </w:p>
        </w:tc>
        <w:tc>
          <w:tcPr>
            <w:tcW w:w="1231" w:type="dxa"/>
            <w:tcBorders>
              <w:top w:val="single" w:sz="6" w:space="0" w:color="auto"/>
              <w:bottom w:val="single" w:sz="6" w:space="0" w:color="auto"/>
            </w:tcBorders>
            <w:shd w:val="clear" w:color="auto" w:fill="auto"/>
            <w:vAlign w:val="bottom"/>
          </w:tcPr>
          <w:p w14:paraId="06B17A5F" w14:textId="2FAC50CC" w:rsidR="003351ED" w:rsidRPr="00F62D48" w:rsidRDefault="004F7D3D" w:rsidP="001F49C2">
            <w:pPr>
              <w:spacing w:line="240" w:lineRule="exact"/>
              <w:jc w:val="center"/>
              <w:rPr>
                <w:rFonts w:ascii="Narkisim" w:hAnsi="Narkisim"/>
                <w:sz w:val="22"/>
                <w:rtl/>
              </w:rPr>
            </w:pPr>
            <w:r w:rsidRPr="00F62D48">
              <w:rPr>
                <w:rFonts w:ascii="Narkisim" w:hAnsi="Narkisim" w:hint="cs"/>
                <w:sz w:val="22"/>
                <w:rtl/>
              </w:rPr>
              <w:t>201</w:t>
            </w:r>
            <w:r w:rsidR="001F49C2">
              <w:rPr>
                <w:rFonts w:ascii="Narkisim" w:hAnsi="Narkisim" w:hint="cs"/>
                <w:sz w:val="22"/>
                <w:rtl/>
              </w:rPr>
              <w:t>8</w:t>
            </w:r>
          </w:p>
        </w:tc>
      </w:tr>
      <w:tr w:rsidR="003351ED" w:rsidRPr="00F62D48" w14:paraId="16A55729" w14:textId="77777777" w:rsidTr="00F62D48">
        <w:tc>
          <w:tcPr>
            <w:tcW w:w="5123" w:type="dxa"/>
            <w:shd w:val="clear" w:color="auto" w:fill="auto"/>
            <w:vAlign w:val="bottom"/>
          </w:tcPr>
          <w:p w14:paraId="446A1259" w14:textId="77777777" w:rsidR="003351ED" w:rsidRPr="00F62D48" w:rsidRDefault="003351ED" w:rsidP="00F62D48">
            <w:pPr>
              <w:tabs>
                <w:tab w:val="left" w:pos="227"/>
                <w:tab w:val="left" w:pos="397"/>
                <w:tab w:val="left" w:pos="567"/>
              </w:tabs>
              <w:spacing w:line="240" w:lineRule="exact"/>
              <w:ind w:left="227" w:hanging="170"/>
              <w:rPr>
                <w:rFonts w:ascii="Narkisim" w:hAnsi="Narkisim"/>
                <w:sz w:val="22"/>
                <w:rtl/>
              </w:rPr>
            </w:pPr>
          </w:p>
        </w:tc>
        <w:tc>
          <w:tcPr>
            <w:tcW w:w="102" w:type="dxa"/>
            <w:shd w:val="clear" w:color="auto" w:fill="auto"/>
            <w:vAlign w:val="bottom"/>
          </w:tcPr>
          <w:p w14:paraId="344EBD18" w14:textId="77777777" w:rsidR="003351ED" w:rsidRPr="00F62D48" w:rsidRDefault="003351ED" w:rsidP="00F62D48">
            <w:pPr>
              <w:spacing w:line="240" w:lineRule="exact"/>
              <w:rPr>
                <w:rFonts w:ascii="Narkisim" w:hAnsi="Narkisim"/>
                <w:sz w:val="22"/>
                <w:rtl/>
              </w:rPr>
            </w:pPr>
          </w:p>
        </w:tc>
        <w:tc>
          <w:tcPr>
            <w:tcW w:w="2684" w:type="dxa"/>
            <w:gridSpan w:val="3"/>
            <w:tcBorders>
              <w:bottom w:val="single" w:sz="6" w:space="0" w:color="auto"/>
            </w:tcBorders>
            <w:shd w:val="clear" w:color="auto" w:fill="auto"/>
            <w:vAlign w:val="bottom"/>
          </w:tcPr>
          <w:p w14:paraId="4BB9169D" w14:textId="77777777" w:rsidR="003351ED" w:rsidRPr="00F62D48" w:rsidRDefault="003351ED" w:rsidP="00F62D48">
            <w:pPr>
              <w:spacing w:line="240" w:lineRule="exact"/>
              <w:jc w:val="center"/>
              <w:rPr>
                <w:rFonts w:ascii="Narkisim" w:hAnsi="Narkisim"/>
                <w:sz w:val="22"/>
                <w:rtl/>
              </w:rPr>
            </w:pPr>
            <w:r w:rsidRPr="00F62D48">
              <w:rPr>
                <w:rFonts w:ascii="Narkisim" w:hAnsi="Narkisim" w:hint="cs"/>
                <w:sz w:val="22"/>
                <w:rtl/>
              </w:rPr>
              <w:t>אלפי ש"ח</w:t>
            </w:r>
          </w:p>
        </w:tc>
      </w:tr>
      <w:tr w:rsidR="003351ED" w:rsidRPr="00F62D48" w14:paraId="3391C665" w14:textId="77777777" w:rsidTr="00F62D48">
        <w:tc>
          <w:tcPr>
            <w:tcW w:w="5123" w:type="dxa"/>
            <w:shd w:val="clear" w:color="auto" w:fill="auto"/>
          </w:tcPr>
          <w:p w14:paraId="5DC5D2E7" w14:textId="77777777" w:rsidR="003351ED" w:rsidRPr="00F62D48" w:rsidRDefault="003351ED" w:rsidP="00F62D48">
            <w:pPr>
              <w:pStyle w:val="a3"/>
              <w:tabs>
                <w:tab w:val="left" w:pos="2835"/>
                <w:tab w:val="left" w:pos="3402"/>
              </w:tabs>
              <w:rPr>
                <w:b/>
                <w:bCs/>
                <w:sz w:val="22"/>
                <w:rtl/>
              </w:rPr>
            </w:pPr>
            <w:r w:rsidRPr="00F62D48">
              <w:rPr>
                <w:rFonts w:hint="eastAsia"/>
                <w:b/>
                <w:bCs/>
                <w:sz w:val="22"/>
                <w:rtl/>
              </w:rPr>
              <w:t>יתרה</w:t>
            </w:r>
            <w:r w:rsidRPr="00F62D48">
              <w:rPr>
                <w:b/>
                <w:bCs/>
                <w:sz w:val="22"/>
                <w:rtl/>
              </w:rPr>
              <w:t xml:space="preserve"> </w:t>
            </w:r>
            <w:r w:rsidRPr="00F62D48">
              <w:rPr>
                <w:rFonts w:hint="eastAsia"/>
                <w:b/>
                <w:bCs/>
                <w:sz w:val="22"/>
                <w:rtl/>
              </w:rPr>
              <w:t>ליום</w:t>
            </w:r>
            <w:r w:rsidRPr="00F62D48">
              <w:rPr>
                <w:b/>
                <w:bCs/>
                <w:sz w:val="22"/>
                <w:rtl/>
              </w:rPr>
              <w:t xml:space="preserve"> 1 </w:t>
            </w:r>
            <w:r w:rsidRPr="00F62D48">
              <w:rPr>
                <w:rFonts w:hint="eastAsia"/>
                <w:b/>
                <w:bCs/>
                <w:sz w:val="22"/>
                <w:rtl/>
              </w:rPr>
              <w:t>בינואר</w:t>
            </w:r>
          </w:p>
        </w:tc>
        <w:tc>
          <w:tcPr>
            <w:tcW w:w="102" w:type="dxa"/>
            <w:shd w:val="clear" w:color="auto" w:fill="auto"/>
            <w:vAlign w:val="bottom"/>
          </w:tcPr>
          <w:p w14:paraId="0938DD09"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65845212" w14:textId="77777777" w:rsidR="003351ED" w:rsidRPr="00F62D48" w:rsidRDefault="003351ED" w:rsidP="00F62D48">
            <w:pPr>
              <w:tabs>
                <w:tab w:val="decimal" w:pos="74"/>
              </w:tabs>
              <w:spacing w:line="240" w:lineRule="exact"/>
              <w:ind w:left="57"/>
              <w:rPr>
                <w:rFonts w:ascii="Narkisim" w:hAnsi="Narkisim"/>
                <w:sz w:val="22"/>
              </w:rPr>
            </w:pPr>
          </w:p>
        </w:tc>
        <w:tc>
          <w:tcPr>
            <w:tcW w:w="222" w:type="dxa"/>
            <w:shd w:val="clear" w:color="auto" w:fill="auto"/>
            <w:vAlign w:val="bottom"/>
          </w:tcPr>
          <w:p w14:paraId="204D7866"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57109E32"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6C9B31BC" w14:textId="77777777" w:rsidTr="00F62D48">
        <w:tc>
          <w:tcPr>
            <w:tcW w:w="5123" w:type="dxa"/>
            <w:shd w:val="clear" w:color="auto" w:fill="auto"/>
          </w:tcPr>
          <w:p w14:paraId="7A74EF8C" w14:textId="77777777" w:rsidR="003351ED" w:rsidRPr="00F62D48" w:rsidRDefault="003351ED" w:rsidP="00F62D48">
            <w:pPr>
              <w:pStyle w:val="a3"/>
              <w:rPr>
                <w:sz w:val="22"/>
                <w:rtl/>
              </w:rPr>
            </w:pPr>
          </w:p>
        </w:tc>
        <w:tc>
          <w:tcPr>
            <w:tcW w:w="102" w:type="dxa"/>
            <w:shd w:val="clear" w:color="auto" w:fill="auto"/>
            <w:vAlign w:val="bottom"/>
          </w:tcPr>
          <w:p w14:paraId="7316CC69"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4CACD067"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1CC3EDCA"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23862737"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47B48E0E" w14:textId="77777777" w:rsidTr="00F62D48">
        <w:tc>
          <w:tcPr>
            <w:tcW w:w="5123" w:type="dxa"/>
            <w:shd w:val="clear" w:color="auto" w:fill="auto"/>
          </w:tcPr>
          <w:p w14:paraId="18CFE173" w14:textId="77777777" w:rsidR="003351ED" w:rsidRPr="00F62D48" w:rsidRDefault="003351ED" w:rsidP="00F62D48">
            <w:pPr>
              <w:widowControl/>
              <w:tabs>
                <w:tab w:val="left" w:pos="227"/>
                <w:tab w:val="left" w:pos="397"/>
                <w:tab w:val="left" w:pos="567"/>
                <w:tab w:val="left" w:pos="2835"/>
                <w:tab w:val="left" w:pos="3402"/>
              </w:tabs>
              <w:spacing w:line="240" w:lineRule="exact"/>
              <w:ind w:firstLine="57"/>
              <w:jc w:val="left"/>
              <w:rPr>
                <w:sz w:val="22"/>
                <w:rtl/>
              </w:rPr>
            </w:pPr>
            <w:r w:rsidRPr="00F62D48">
              <w:rPr>
                <w:rFonts w:hint="eastAsia"/>
                <w:sz w:val="22"/>
                <w:rtl/>
              </w:rPr>
              <w:t>סך</w:t>
            </w:r>
            <w:r w:rsidRPr="00F62D48">
              <w:rPr>
                <w:sz w:val="22"/>
                <w:rtl/>
              </w:rPr>
              <w:t xml:space="preserve"> </w:t>
            </w:r>
            <w:r w:rsidRPr="00F62D48">
              <w:rPr>
                <w:rFonts w:hint="eastAsia"/>
                <w:sz w:val="22"/>
                <w:rtl/>
              </w:rPr>
              <w:t>רווח</w:t>
            </w:r>
            <w:r w:rsidRPr="00F62D48">
              <w:rPr>
                <w:sz w:val="22"/>
                <w:rtl/>
              </w:rPr>
              <w:t xml:space="preserve"> (הפסד) </w:t>
            </w:r>
            <w:r w:rsidRPr="00F62D48">
              <w:rPr>
                <w:rFonts w:hint="eastAsia"/>
                <w:sz w:val="22"/>
                <w:rtl/>
              </w:rPr>
              <w:t>שהוכר</w:t>
            </w:r>
            <w:r w:rsidRPr="00F62D48">
              <w:rPr>
                <w:sz w:val="22"/>
                <w:rtl/>
              </w:rPr>
              <w:t>:</w:t>
            </w:r>
          </w:p>
        </w:tc>
        <w:tc>
          <w:tcPr>
            <w:tcW w:w="102" w:type="dxa"/>
            <w:shd w:val="clear" w:color="auto" w:fill="auto"/>
            <w:vAlign w:val="bottom"/>
          </w:tcPr>
          <w:p w14:paraId="7A08BED5"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3C8DEB36"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2B855DF2"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3671D2E6"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110FF9D2" w14:textId="77777777" w:rsidTr="00F62D48">
        <w:tc>
          <w:tcPr>
            <w:tcW w:w="5123" w:type="dxa"/>
            <w:shd w:val="clear" w:color="auto" w:fill="auto"/>
          </w:tcPr>
          <w:p w14:paraId="74BA9A61" w14:textId="60A68040" w:rsidR="003351ED" w:rsidRPr="00F62D48" w:rsidRDefault="003351ED" w:rsidP="00CF00B7">
            <w:pPr>
              <w:widowControl/>
              <w:tabs>
                <w:tab w:val="left" w:pos="227"/>
                <w:tab w:val="left" w:pos="397"/>
                <w:tab w:val="left" w:pos="567"/>
              </w:tabs>
              <w:spacing w:line="240" w:lineRule="exact"/>
              <w:ind w:left="567" w:hanging="340"/>
              <w:jc w:val="left"/>
              <w:rPr>
                <w:sz w:val="22"/>
                <w:rtl/>
              </w:rPr>
            </w:pPr>
            <w:r w:rsidRPr="00F62D48">
              <w:rPr>
                <w:rFonts w:hint="eastAsia"/>
                <w:sz w:val="22"/>
                <w:rtl/>
              </w:rPr>
              <w:t>ברווח</w:t>
            </w:r>
            <w:r w:rsidRPr="00F62D48">
              <w:rPr>
                <w:sz w:val="22"/>
                <w:rtl/>
              </w:rPr>
              <w:t xml:space="preserve"> </w:t>
            </w:r>
            <w:r w:rsidRPr="00F62D48">
              <w:rPr>
                <w:rFonts w:hint="eastAsia"/>
                <w:sz w:val="22"/>
                <w:rtl/>
              </w:rPr>
              <w:t>או</w:t>
            </w:r>
            <w:r w:rsidRPr="00F62D48">
              <w:rPr>
                <w:sz w:val="22"/>
                <w:rtl/>
              </w:rPr>
              <w:t xml:space="preserve"> </w:t>
            </w:r>
            <w:r w:rsidRPr="00F62D48">
              <w:rPr>
                <w:rFonts w:hint="eastAsia"/>
                <w:sz w:val="22"/>
                <w:rtl/>
              </w:rPr>
              <w:t>הפסד</w:t>
            </w:r>
            <w:r w:rsidR="00CF00B7" w:rsidRPr="00F62D48">
              <w:rPr>
                <w:sz w:val="22"/>
              </w:rPr>
              <w:t>*</w:t>
            </w:r>
            <w:r w:rsidR="00CF00B7">
              <w:rPr>
                <w:sz w:val="22"/>
              </w:rPr>
              <w:t xml:space="preserve"> </w:t>
            </w:r>
            <w:r w:rsidR="00F62D48" w:rsidRPr="00F62D48">
              <w:rPr>
                <w:rFonts w:hint="cs"/>
                <w:sz w:val="22"/>
                <w:rtl/>
              </w:rPr>
              <w:t>)</w:t>
            </w:r>
          </w:p>
        </w:tc>
        <w:tc>
          <w:tcPr>
            <w:tcW w:w="102" w:type="dxa"/>
            <w:shd w:val="clear" w:color="auto" w:fill="auto"/>
            <w:vAlign w:val="bottom"/>
          </w:tcPr>
          <w:p w14:paraId="35C17FA3"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5B4A688E"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5099EF58"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3C7FE20E"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5DCCEC4D" w14:textId="77777777" w:rsidTr="00F62D48">
        <w:tc>
          <w:tcPr>
            <w:tcW w:w="5123" w:type="dxa"/>
            <w:shd w:val="clear" w:color="auto" w:fill="auto"/>
          </w:tcPr>
          <w:p w14:paraId="2CEFB2C0" w14:textId="4DA80AD2" w:rsidR="003351ED" w:rsidRPr="00F62D48" w:rsidRDefault="003351ED" w:rsidP="00F62D48">
            <w:pPr>
              <w:widowControl/>
              <w:tabs>
                <w:tab w:val="left" w:pos="227"/>
                <w:tab w:val="left" w:pos="397"/>
                <w:tab w:val="left" w:pos="567"/>
              </w:tabs>
              <w:spacing w:line="240" w:lineRule="exact"/>
              <w:ind w:left="227"/>
              <w:jc w:val="left"/>
              <w:rPr>
                <w:sz w:val="22"/>
                <w:rtl/>
              </w:rPr>
            </w:pPr>
            <w:r w:rsidRPr="00F62D48">
              <w:rPr>
                <w:rFonts w:hint="eastAsia"/>
                <w:sz w:val="22"/>
                <w:rtl/>
              </w:rPr>
              <w:t>ברווח</w:t>
            </w:r>
            <w:r w:rsidRPr="00F62D48">
              <w:rPr>
                <w:sz w:val="22"/>
                <w:rtl/>
              </w:rPr>
              <w:t xml:space="preserve"> (הפסד) </w:t>
            </w:r>
            <w:r w:rsidRPr="00F62D48">
              <w:rPr>
                <w:rFonts w:hint="eastAsia"/>
                <w:sz w:val="22"/>
                <w:rtl/>
              </w:rPr>
              <w:t>כולל</w:t>
            </w:r>
            <w:r w:rsidRPr="00F62D48">
              <w:rPr>
                <w:sz w:val="22"/>
                <w:rtl/>
              </w:rPr>
              <w:t xml:space="preserve"> </w:t>
            </w:r>
            <w:r w:rsidRPr="00F62D48">
              <w:rPr>
                <w:rFonts w:hint="eastAsia"/>
                <w:sz w:val="22"/>
                <w:rtl/>
              </w:rPr>
              <w:t>אחר</w:t>
            </w:r>
          </w:p>
        </w:tc>
        <w:tc>
          <w:tcPr>
            <w:tcW w:w="102" w:type="dxa"/>
            <w:shd w:val="clear" w:color="auto" w:fill="auto"/>
            <w:vAlign w:val="bottom"/>
          </w:tcPr>
          <w:p w14:paraId="02A931D7"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2FE9C086"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358BB018"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4AEF6A46"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40CBF737" w14:textId="77777777" w:rsidTr="00F62D48">
        <w:tc>
          <w:tcPr>
            <w:tcW w:w="5123" w:type="dxa"/>
            <w:shd w:val="clear" w:color="auto" w:fill="auto"/>
          </w:tcPr>
          <w:p w14:paraId="19921CE4" w14:textId="77777777" w:rsidR="003351ED" w:rsidRPr="00F62D48" w:rsidRDefault="003351ED" w:rsidP="00F62D48">
            <w:pPr>
              <w:widowControl/>
              <w:tabs>
                <w:tab w:val="left" w:pos="227"/>
                <w:tab w:val="left" w:pos="397"/>
                <w:tab w:val="left" w:pos="567"/>
                <w:tab w:val="left" w:pos="2835"/>
                <w:tab w:val="left" w:pos="3402"/>
              </w:tabs>
              <w:spacing w:line="240" w:lineRule="exact"/>
              <w:ind w:left="3402" w:hanging="2972"/>
              <w:jc w:val="left"/>
              <w:rPr>
                <w:sz w:val="22"/>
                <w:rtl/>
              </w:rPr>
            </w:pPr>
            <w:r w:rsidRPr="00F62D48">
              <w:rPr>
                <w:rFonts w:hint="eastAsia"/>
                <w:sz w:val="22"/>
                <w:rtl/>
              </w:rPr>
              <w:t>רכישות</w:t>
            </w:r>
          </w:p>
        </w:tc>
        <w:tc>
          <w:tcPr>
            <w:tcW w:w="102" w:type="dxa"/>
            <w:shd w:val="clear" w:color="auto" w:fill="auto"/>
            <w:vAlign w:val="bottom"/>
          </w:tcPr>
          <w:p w14:paraId="156B2548"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4A81F573"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76B222C0"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2AEC281F"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4424093E" w14:textId="77777777" w:rsidTr="00F62D48">
        <w:tc>
          <w:tcPr>
            <w:tcW w:w="5123" w:type="dxa"/>
            <w:shd w:val="clear" w:color="auto" w:fill="auto"/>
          </w:tcPr>
          <w:p w14:paraId="6BD7DD88" w14:textId="77777777" w:rsidR="003351ED" w:rsidRPr="00F62D48" w:rsidRDefault="003351ED" w:rsidP="00F62D48">
            <w:pPr>
              <w:widowControl/>
              <w:tabs>
                <w:tab w:val="left" w:pos="227"/>
                <w:tab w:val="left" w:pos="397"/>
                <w:tab w:val="left" w:pos="567"/>
                <w:tab w:val="left" w:pos="2835"/>
                <w:tab w:val="left" w:pos="3402"/>
              </w:tabs>
              <w:spacing w:line="240" w:lineRule="exact"/>
              <w:ind w:left="3402" w:hanging="2972"/>
              <w:jc w:val="left"/>
              <w:rPr>
                <w:sz w:val="22"/>
                <w:rtl/>
              </w:rPr>
            </w:pPr>
            <w:r w:rsidRPr="00F62D48">
              <w:rPr>
                <w:rFonts w:hint="eastAsia"/>
                <w:sz w:val="22"/>
                <w:rtl/>
              </w:rPr>
              <w:t>מימושים</w:t>
            </w:r>
          </w:p>
        </w:tc>
        <w:tc>
          <w:tcPr>
            <w:tcW w:w="102" w:type="dxa"/>
            <w:shd w:val="clear" w:color="auto" w:fill="auto"/>
            <w:vAlign w:val="bottom"/>
          </w:tcPr>
          <w:p w14:paraId="535AA177"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56F14432"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00D21692"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16B8A1CE"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4F6A445F" w14:textId="77777777" w:rsidTr="00F62D48">
        <w:tc>
          <w:tcPr>
            <w:tcW w:w="5123" w:type="dxa"/>
            <w:shd w:val="clear" w:color="auto" w:fill="auto"/>
          </w:tcPr>
          <w:p w14:paraId="358377B6" w14:textId="77777777" w:rsidR="003351ED" w:rsidRPr="00F62D48" w:rsidRDefault="003351ED" w:rsidP="00F62D48">
            <w:pPr>
              <w:widowControl/>
              <w:tabs>
                <w:tab w:val="left" w:pos="227"/>
                <w:tab w:val="left" w:pos="397"/>
                <w:tab w:val="left" w:pos="567"/>
                <w:tab w:val="left" w:pos="2835"/>
                <w:tab w:val="left" w:pos="3402"/>
              </w:tabs>
              <w:spacing w:line="240" w:lineRule="exact"/>
              <w:ind w:left="3402" w:hanging="2972"/>
              <w:jc w:val="left"/>
              <w:rPr>
                <w:sz w:val="22"/>
                <w:rtl/>
              </w:rPr>
            </w:pPr>
            <w:r w:rsidRPr="00F62D48">
              <w:rPr>
                <w:rFonts w:hint="eastAsia"/>
                <w:sz w:val="22"/>
                <w:rtl/>
              </w:rPr>
              <w:t>העברות</w:t>
            </w:r>
            <w:r w:rsidRPr="00F62D48">
              <w:rPr>
                <w:sz w:val="22"/>
                <w:rtl/>
              </w:rPr>
              <w:t xml:space="preserve"> </w:t>
            </w:r>
            <w:r w:rsidRPr="00F62D48">
              <w:rPr>
                <w:rFonts w:hint="eastAsia"/>
                <w:sz w:val="22"/>
                <w:rtl/>
              </w:rPr>
              <w:t>מחוץ</w:t>
            </w:r>
            <w:r w:rsidRPr="00F62D48">
              <w:rPr>
                <w:sz w:val="22"/>
                <w:rtl/>
              </w:rPr>
              <w:t xml:space="preserve"> </w:t>
            </w:r>
            <w:r w:rsidRPr="00F62D48">
              <w:rPr>
                <w:rFonts w:hint="eastAsia"/>
                <w:sz w:val="22"/>
                <w:rtl/>
              </w:rPr>
              <w:t>לרמה</w:t>
            </w:r>
            <w:r w:rsidRPr="00F62D48">
              <w:rPr>
                <w:sz w:val="22"/>
                <w:rtl/>
              </w:rPr>
              <w:t xml:space="preserve"> 3</w:t>
            </w:r>
          </w:p>
        </w:tc>
        <w:tc>
          <w:tcPr>
            <w:tcW w:w="102" w:type="dxa"/>
            <w:shd w:val="clear" w:color="auto" w:fill="auto"/>
            <w:vAlign w:val="bottom"/>
          </w:tcPr>
          <w:p w14:paraId="0F945DBB"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49DC95E4"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2E6F2631"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791901E2"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652C5DB8" w14:textId="77777777" w:rsidTr="00F62D48">
        <w:tc>
          <w:tcPr>
            <w:tcW w:w="5123" w:type="dxa"/>
            <w:shd w:val="clear" w:color="auto" w:fill="auto"/>
          </w:tcPr>
          <w:p w14:paraId="3ACDC15C" w14:textId="77777777" w:rsidR="003351ED" w:rsidRPr="00F62D48" w:rsidRDefault="003351ED" w:rsidP="00F62D48">
            <w:pPr>
              <w:widowControl/>
              <w:tabs>
                <w:tab w:val="left" w:pos="227"/>
                <w:tab w:val="left" w:pos="397"/>
                <w:tab w:val="left" w:pos="567"/>
                <w:tab w:val="left" w:pos="2835"/>
                <w:tab w:val="left" w:pos="3402"/>
              </w:tabs>
              <w:spacing w:line="240" w:lineRule="exact"/>
              <w:ind w:left="3402" w:hanging="2972"/>
              <w:jc w:val="left"/>
              <w:rPr>
                <w:sz w:val="22"/>
                <w:rtl/>
              </w:rPr>
            </w:pPr>
            <w:r w:rsidRPr="00F62D48">
              <w:rPr>
                <w:rFonts w:hint="eastAsia"/>
                <w:sz w:val="22"/>
                <w:rtl/>
              </w:rPr>
              <w:t>העברות</w:t>
            </w:r>
            <w:r w:rsidRPr="00F62D48">
              <w:rPr>
                <w:sz w:val="22"/>
                <w:rtl/>
              </w:rPr>
              <w:t xml:space="preserve"> </w:t>
            </w:r>
            <w:r w:rsidRPr="00F62D48">
              <w:rPr>
                <w:rFonts w:hint="eastAsia"/>
                <w:sz w:val="22"/>
                <w:rtl/>
              </w:rPr>
              <w:t>לתוך</w:t>
            </w:r>
            <w:r w:rsidRPr="00F62D48">
              <w:rPr>
                <w:sz w:val="22"/>
                <w:rtl/>
              </w:rPr>
              <w:t xml:space="preserve"> </w:t>
            </w:r>
            <w:r w:rsidRPr="00F62D48">
              <w:rPr>
                <w:rFonts w:hint="eastAsia"/>
                <w:sz w:val="22"/>
                <w:rtl/>
              </w:rPr>
              <w:t>רמה</w:t>
            </w:r>
            <w:r w:rsidRPr="00F62D48">
              <w:rPr>
                <w:sz w:val="22"/>
                <w:rtl/>
              </w:rPr>
              <w:t xml:space="preserve"> 3</w:t>
            </w:r>
          </w:p>
        </w:tc>
        <w:tc>
          <w:tcPr>
            <w:tcW w:w="102" w:type="dxa"/>
            <w:shd w:val="clear" w:color="auto" w:fill="auto"/>
            <w:vAlign w:val="bottom"/>
          </w:tcPr>
          <w:p w14:paraId="027FBFE4"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79F13CA8"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36B0E707"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3B9BDAF9"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3E2C0E9A" w14:textId="77777777" w:rsidTr="00F62D48">
        <w:tc>
          <w:tcPr>
            <w:tcW w:w="5123" w:type="dxa"/>
            <w:shd w:val="clear" w:color="auto" w:fill="auto"/>
          </w:tcPr>
          <w:p w14:paraId="72143ED2" w14:textId="77777777" w:rsidR="003351ED" w:rsidRPr="00F62D48" w:rsidRDefault="003351ED" w:rsidP="00F62D48">
            <w:pPr>
              <w:widowControl/>
              <w:tabs>
                <w:tab w:val="left" w:pos="227"/>
                <w:tab w:val="left" w:pos="397"/>
                <w:tab w:val="left" w:pos="567"/>
              </w:tabs>
              <w:spacing w:line="240" w:lineRule="exact"/>
              <w:ind w:firstLine="57"/>
              <w:jc w:val="left"/>
              <w:rPr>
                <w:b/>
                <w:bCs/>
                <w:sz w:val="22"/>
                <w:rtl/>
              </w:rPr>
            </w:pPr>
          </w:p>
        </w:tc>
        <w:tc>
          <w:tcPr>
            <w:tcW w:w="102" w:type="dxa"/>
            <w:shd w:val="clear" w:color="auto" w:fill="auto"/>
            <w:vAlign w:val="bottom"/>
          </w:tcPr>
          <w:p w14:paraId="0DBAFC79"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59745CF0"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601E38C1"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02742E97"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7B2F29A1" w14:textId="77777777" w:rsidTr="00F62D48">
        <w:tc>
          <w:tcPr>
            <w:tcW w:w="5123" w:type="dxa"/>
            <w:shd w:val="clear" w:color="auto" w:fill="auto"/>
          </w:tcPr>
          <w:p w14:paraId="3B39092F" w14:textId="77777777" w:rsidR="003351ED" w:rsidRPr="00F62D48" w:rsidRDefault="003351ED" w:rsidP="00F62D48">
            <w:pPr>
              <w:widowControl/>
              <w:tabs>
                <w:tab w:val="left" w:pos="227"/>
                <w:tab w:val="left" w:pos="397"/>
                <w:tab w:val="left" w:pos="567"/>
              </w:tabs>
              <w:spacing w:line="240" w:lineRule="exact"/>
              <w:ind w:firstLine="57"/>
              <w:jc w:val="left"/>
              <w:rPr>
                <w:b/>
                <w:bCs/>
                <w:sz w:val="22"/>
                <w:rtl/>
              </w:rPr>
            </w:pPr>
            <w:r w:rsidRPr="00F62D48">
              <w:rPr>
                <w:rFonts w:hint="cs"/>
                <w:b/>
                <w:bCs/>
                <w:sz w:val="22"/>
                <w:rtl/>
              </w:rPr>
              <w:t>יתרה ליום 30 בספטמבר</w:t>
            </w:r>
          </w:p>
        </w:tc>
        <w:tc>
          <w:tcPr>
            <w:tcW w:w="102" w:type="dxa"/>
            <w:shd w:val="clear" w:color="auto" w:fill="auto"/>
            <w:vAlign w:val="bottom"/>
          </w:tcPr>
          <w:p w14:paraId="16221563"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349B2B1E"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3FD1E18F"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71C7059C"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6171708E" w14:textId="77777777" w:rsidTr="00F62D48">
        <w:tc>
          <w:tcPr>
            <w:tcW w:w="5123" w:type="dxa"/>
            <w:shd w:val="clear" w:color="auto" w:fill="auto"/>
          </w:tcPr>
          <w:p w14:paraId="5B5CFE59" w14:textId="77777777" w:rsidR="003351ED" w:rsidRPr="00F62D48" w:rsidRDefault="003351ED" w:rsidP="00F62D48">
            <w:pPr>
              <w:widowControl/>
              <w:tabs>
                <w:tab w:val="left" w:pos="227"/>
                <w:tab w:val="left" w:pos="397"/>
                <w:tab w:val="left" w:pos="567"/>
              </w:tabs>
              <w:spacing w:line="240" w:lineRule="exact"/>
              <w:ind w:firstLine="57"/>
              <w:jc w:val="left"/>
              <w:rPr>
                <w:b/>
                <w:bCs/>
                <w:sz w:val="22"/>
              </w:rPr>
            </w:pPr>
          </w:p>
        </w:tc>
        <w:tc>
          <w:tcPr>
            <w:tcW w:w="102" w:type="dxa"/>
            <w:shd w:val="clear" w:color="auto" w:fill="auto"/>
            <w:vAlign w:val="bottom"/>
          </w:tcPr>
          <w:p w14:paraId="199675B9"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3C2F086F"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73635613"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44EA093E"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569AF128" w14:textId="77777777" w:rsidTr="00F62D48">
        <w:tc>
          <w:tcPr>
            <w:tcW w:w="5123" w:type="dxa"/>
            <w:shd w:val="clear" w:color="auto" w:fill="auto"/>
          </w:tcPr>
          <w:p w14:paraId="57F7DA0A" w14:textId="0CDA4577" w:rsidR="003351ED" w:rsidRPr="00F62D48" w:rsidRDefault="003351ED" w:rsidP="00F62D48">
            <w:pPr>
              <w:widowControl/>
              <w:tabs>
                <w:tab w:val="left" w:pos="227"/>
                <w:tab w:val="left" w:pos="397"/>
                <w:tab w:val="left" w:pos="567"/>
                <w:tab w:val="left" w:pos="2835"/>
                <w:tab w:val="left" w:pos="3402"/>
              </w:tabs>
              <w:spacing w:line="240" w:lineRule="exact"/>
              <w:ind w:left="3402" w:hanging="3256"/>
              <w:jc w:val="left"/>
              <w:rPr>
                <w:sz w:val="22"/>
                <w:u w:val="single"/>
                <w:rtl/>
              </w:rPr>
            </w:pPr>
            <w:r w:rsidRPr="00CF00B7">
              <w:rPr>
                <w:sz w:val="22"/>
                <w:rtl/>
              </w:rPr>
              <w:t>*</w:t>
            </w:r>
            <w:r w:rsidR="00F62D48" w:rsidRPr="00CF00B7">
              <w:rPr>
                <w:rFonts w:hint="cs"/>
                <w:sz w:val="22"/>
                <w:rtl/>
              </w:rPr>
              <w:t>)</w:t>
            </w:r>
            <w:r w:rsidR="00F62D48" w:rsidRPr="00CF00B7">
              <w:rPr>
                <w:sz w:val="22"/>
                <w:rtl/>
              </w:rPr>
              <w:tab/>
            </w:r>
            <w:r w:rsidRPr="00F62D48">
              <w:rPr>
                <w:rFonts w:hint="eastAsia"/>
                <w:sz w:val="22"/>
                <w:u w:val="single"/>
                <w:rtl/>
              </w:rPr>
              <w:t>מתו</w:t>
            </w:r>
            <w:r w:rsidRPr="00F62D48">
              <w:rPr>
                <w:rFonts w:hint="cs"/>
                <w:sz w:val="22"/>
                <w:u w:val="single"/>
                <w:rtl/>
              </w:rPr>
              <w:t>כו</w:t>
            </w:r>
            <w:r w:rsidRPr="00F62D48">
              <w:rPr>
                <w:sz w:val="22"/>
                <w:u w:val="single"/>
                <w:rtl/>
              </w:rPr>
              <w:t>:</w:t>
            </w:r>
          </w:p>
        </w:tc>
        <w:tc>
          <w:tcPr>
            <w:tcW w:w="102" w:type="dxa"/>
            <w:shd w:val="clear" w:color="auto" w:fill="auto"/>
            <w:vAlign w:val="bottom"/>
          </w:tcPr>
          <w:p w14:paraId="5A74A565"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47FA05E2"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5DC0820C"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3D49E31F"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3D9F7A5F" w14:textId="77777777" w:rsidTr="00F62D48">
        <w:tc>
          <w:tcPr>
            <w:tcW w:w="5123" w:type="dxa"/>
            <w:shd w:val="clear" w:color="auto" w:fill="auto"/>
          </w:tcPr>
          <w:p w14:paraId="11225DA8" w14:textId="35AF1BB1" w:rsidR="003351ED" w:rsidRPr="00F62D48" w:rsidRDefault="00F62D48" w:rsidP="00F62D48">
            <w:pPr>
              <w:widowControl/>
              <w:tabs>
                <w:tab w:val="left" w:pos="396"/>
                <w:tab w:val="left" w:pos="567"/>
              </w:tabs>
              <w:spacing w:line="240" w:lineRule="exact"/>
              <w:ind w:left="396" w:hanging="396"/>
              <w:jc w:val="left"/>
              <w:rPr>
                <w:sz w:val="22"/>
                <w:rtl/>
              </w:rPr>
            </w:pPr>
            <w:r w:rsidRPr="00F62D48">
              <w:rPr>
                <w:sz w:val="22"/>
                <w:rtl/>
              </w:rPr>
              <w:tab/>
            </w:r>
            <w:r w:rsidR="003351ED" w:rsidRPr="00F62D48">
              <w:rPr>
                <w:rFonts w:hint="cs"/>
                <w:sz w:val="22"/>
                <w:rtl/>
              </w:rPr>
              <w:t xml:space="preserve">סך </w:t>
            </w:r>
            <w:r w:rsidR="003351ED" w:rsidRPr="00F62D48">
              <w:rPr>
                <w:rFonts w:hint="eastAsia"/>
                <w:sz w:val="22"/>
                <w:rtl/>
              </w:rPr>
              <w:t>רווח</w:t>
            </w:r>
            <w:r w:rsidR="003351ED" w:rsidRPr="00F62D48">
              <w:rPr>
                <w:rFonts w:hint="cs"/>
                <w:sz w:val="22"/>
                <w:rtl/>
              </w:rPr>
              <w:t xml:space="preserve"> (הפסד) לתקופה שלא מומש ושהוכר ברווח או הפסד בגין נכסים המוחזקים בסוף תקופת הדיווח</w:t>
            </w:r>
          </w:p>
        </w:tc>
        <w:tc>
          <w:tcPr>
            <w:tcW w:w="102" w:type="dxa"/>
            <w:shd w:val="clear" w:color="auto" w:fill="auto"/>
            <w:vAlign w:val="bottom"/>
          </w:tcPr>
          <w:p w14:paraId="6E6FAC80"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4D39ACBA"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38A429B9"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0CE162FF" w14:textId="77777777" w:rsidR="003351ED" w:rsidRPr="00F62D48" w:rsidRDefault="003351ED" w:rsidP="00F62D48">
            <w:pPr>
              <w:tabs>
                <w:tab w:val="decimal" w:pos="74"/>
              </w:tabs>
              <w:spacing w:line="240" w:lineRule="exact"/>
              <w:ind w:left="57"/>
              <w:rPr>
                <w:rFonts w:ascii="Narkisim" w:hAnsi="Narkisim"/>
                <w:sz w:val="22"/>
                <w:rtl/>
              </w:rPr>
            </w:pPr>
          </w:p>
        </w:tc>
      </w:tr>
    </w:tbl>
    <w:p w14:paraId="0A297768" w14:textId="3093DECF" w:rsidR="003351ED" w:rsidRDefault="003351ED" w:rsidP="003351ED">
      <w:pPr>
        <w:pStyle w:val="11"/>
        <w:rPr>
          <w:u w:val="single"/>
          <w:rtl/>
        </w:rPr>
      </w:pPr>
    </w:p>
    <w:tbl>
      <w:tblPr>
        <w:tblStyle w:val="af6"/>
        <w:bidiVisual/>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53"/>
        <w:gridCol w:w="102"/>
        <w:gridCol w:w="1231"/>
        <w:gridCol w:w="222"/>
        <w:gridCol w:w="1231"/>
      </w:tblGrid>
      <w:tr w:rsidR="003351ED" w:rsidRPr="007F1532" w14:paraId="58C080D0" w14:textId="77777777" w:rsidTr="00F62D48">
        <w:tc>
          <w:tcPr>
            <w:tcW w:w="5053" w:type="dxa"/>
            <w:shd w:val="clear" w:color="auto" w:fill="auto"/>
            <w:vAlign w:val="bottom"/>
          </w:tcPr>
          <w:p w14:paraId="73D69603" w14:textId="77777777" w:rsidR="003351ED" w:rsidRPr="007F1532" w:rsidRDefault="003351ED" w:rsidP="007F1532">
            <w:pPr>
              <w:tabs>
                <w:tab w:val="left" w:pos="227"/>
                <w:tab w:val="left" w:pos="397"/>
                <w:tab w:val="left" w:pos="567"/>
              </w:tabs>
              <w:spacing w:line="240" w:lineRule="exact"/>
              <w:ind w:left="227" w:hanging="170"/>
              <w:rPr>
                <w:rFonts w:ascii="Narkisim" w:hAnsi="Narkisim"/>
                <w:sz w:val="22"/>
                <w:rtl/>
              </w:rPr>
            </w:pPr>
          </w:p>
        </w:tc>
        <w:tc>
          <w:tcPr>
            <w:tcW w:w="102" w:type="dxa"/>
            <w:shd w:val="clear" w:color="auto" w:fill="auto"/>
            <w:vAlign w:val="bottom"/>
          </w:tcPr>
          <w:p w14:paraId="0A45EB00" w14:textId="77777777" w:rsidR="003351ED" w:rsidRPr="007F1532" w:rsidRDefault="003351ED" w:rsidP="007F1532">
            <w:pPr>
              <w:spacing w:line="240" w:lineRule="exact"/>
              <w:rPr>
                <w:rFonts w:ascii="Narkisim" w:hAnsi="Narkisim"/>
                <w:sz w:val="22"/>
                <w:rtl/>
              </w:rPr>
            </w:pPr>
          </w:p>
        </w:tc>
        <w:tc>
          <w:tcPr>
            <w:tcW w:w="2684" w:type="dxa"/>
            <w:gridSpan w:val="3"/>
            <w:tcBorders>
              <w:bottom w:val="single" w:sz="6" w:space="0" w:color="auto"/>
            </w:tcBorders>
            <w:shd w:val="clear" w:color="auto" w:fill="auto"/>
            <w:vAlign w:val="bottom"/>
          </w:tcPr>
          <w:p w14:paraId="375526DB" w14:textId="77777777" w:rsidR="003351ED" w:rsidRPr="007F1532" w:rsidRDefault="003351ED" w:rsidP="007F1532">
            <w:pPr>
              <w:spacing w:line="240" w:lineRule="exact"/>
              <w:jc w:val="center"/>
              <w:rPr>
                <w:sz w:val="22"/>
              </w:rPr>
            </w:pPr>
            <w:r w:rsidRPr="007F1532">
              <w:rPr>
                <w:rFonts w:hint="cs"/>
                <w:sz w:val="22"/>
                <w:rtl/>
              </w:rPr>
              <w:t>מכשירים פיננסיים</w:t>
            </w:r>
            <w:r w:rsidRPr="007F1532">
              <w:rPr>
                <w:rStyle w:val="ab"/>
                <w:sz w:val="22"/>
              </w:rPr>
              <w:footnoteReference w:id="111"/>
            </w:r>
          </w:p>
        </w:tc>
      </w:tr>
      <w:tr w:rsidR="001F49C2" w:rsidRPr="007F1532" w14:paraId="2C461280" w14:textId="77777777" w:rsidTr="00F62D48">
        <w:tc>
          <w:tcPr>
            <w:tcW w:w="5053" w:type="dxa"/>
            <w:shd w:val="clear" w:color="auto" w:fill="auto"/>
            <w:vAlign w:val="bottom"/>
          </w:tcPr>
          <w:p w14:paraId="6C1AA2EC" w14:textId="77777777" w:rsidR="001F49C2" w:rsidRPr="007F1532" w:rsidRDefault="001F49C2" w:rsidP="001F49C2">
            <w:pPr>
              <w:tabs>
                <w:tab w:val="left" w:pos="227"/>
                <w:tab w:val="left" w:pos="397"/>
                <w:tab w:val="left" w:pos="567"/>
              </w:tabs>
              <w:spacing w:line="240" w:lineRule="exact"/>
              <w:ind w:left="227" w:hanging="170"/>
              <w:rPr>
                <w:rFonts w:ascii="Narkisim" w:hAnsi="Narkisim"/>
                <w:sz w:val="22"/>
                <w:rtl/>
              </w:rPr>
            </w:pPr>
          </w:p>
        </w:tc>
        <w:tc>
          <w:tcPr>
            <w:tcW w:w="102" w:type="dxa"/>
            <w:shd w:val="clear" w:color="auto" w:fill="auto"/>
            <w:vAlign w:val="bottom"/>
          </w:tcPr>
          <w:p w14:paraId="54E91F22" w14:textId="77777777" w:rsidR="001F49C2" w:rsidRPr="007F1532" w:rsidRDefault="001F49C2" w:rsidP="001F49C2">
            <w:pPr>
              <w:spacing w:line="240" w:lineRule="exact"/>
              <w:rPr>
                <w:rFonts w:ascii="Narkisim" w:hAnsi="Narkisim"/>
                <w:sz w:val="22"/>
                <w:rtl/>
              </w:rPr>
            </w:pPr>
          </w:p>
        </w:tc>
        <w:tc>
          <w:tcPr>
            <w:tcW w:w="1231" w:type="dxa"/>
            <w:tcBorders>
              <w:top w:val="single" w:sz="6" w:space="0" w:color="auto"/>
              <w:bottom w:val="single" w:sz="6" w:space="0" w:color="auto"/>
            </w:tcBorders>
            <w:shd w:val="clear" w:color="auto" w:fill="auto"/>
            <w:vAlign w:val="bottom"/>
          </w:tcPr>
          <w:p w14:paraId="0E5C4EAB" w14:textId="30551804" w:rsidR="001F49C2" w:rsidRPr="007F1532" w:rsidRDefault="001F49C2" w:rsidP="001F49C2">
            <w:pPr>
              <w:spacing w:line="240" w:lineRule="exact"/>
              <w:jc w:val="center"/>
              <w:rPr>
                <w:sz w:val="22"/>
                <w:rtl/>
              </w:rPr>
            </w:pPr>
            <w:r w:rsidRPr="00F62D48">
              <w:rPr>
                <w:rFonts w:hint="cs"/>
                <w:sz w:val="22"/>
                <w:rtl/>
              </w:rPr>
              <w:t>20</w:t>
            </w:r>
            <w:r>
              <w:rPr>
                <w:rFonts w:hint="cs"/>
                <w:sz w:val="22"/>
                <w:rtl/>
              </w:rPr>
              <w:t>19</w:t>
            </w:r>
          </w:p>
        </w:tc>
        <w:tc>
          <w:tcPr>
            <w:tcW w:w="222" w:type="dxa"/>
            <w:tcBorders>
              <w:top w:val="single" w:sz="6" w:space="0" w:color="auto"/>
            </w:tcBorders>
            <w:shd w:val="clear" w:color="auto" w:fill="auto"/>
            <w:vAlign w:val="bottom"/>
          </w:tcPr>
          <w:p w14:paraId="0642BE81" w14:textId="77777777" w:rsidR="001F49C2" w:rsidRPr="007F1532" w:rsidRDefault="001F49C2" w:rsidP="001F49C2">
            <w:pPr>
              <w:spacing w:line="240" w:lineRule="exact"/>
              <w:jc w:val="center"/>
              <w:rPr>
                <w:rFonts w:ascii="Narkisim" w:hAnsi="Narkisim"/>
                <w:sz w:val="22"/>
                <w:rtl/>
              </w:rPr>
            </w:pPr>
          </w:p>
        </w:tc>
        <w:tc>
          <w:tcPr>
            <w:tcW w:w="1231" w:type="dxa"/>
            <w:tcBorders>
              <w:top w:val="single" w:sz="6" w:space="0" w:color="auto"/>
              <w:bottom w:val="single" w:sz="6" w:space="0" w:color="auto"/>
            </w:tcBorders>
            <w:shd w:val="clear" w:color="auto" w:fill="auto"/>
            <w:vAlign w:val="bottom"/>
          </w:tcPr>
          <w:p w14:paraId="4993202C" w14:textId="1AC8971A" w:rsidR="001F49C2" w:rsidRPr="007F1532" w:rsidRDefault="001F49C2" w:rsidP="001F49C2">
            <w:pPr>
              <w:spacing w:line="240" w:lineRule="exact"/>
              <w:jc w:val="center"/>
              <w:rPr>
                <w:rFonts w:ascii="Narkisim" w:hAnsi="Narkisim"/>
                <w:sz w:val="22"/>
                <w:rtl/>
              </w:rPr>
            </w:pPr>
            <w:r w:rsidRPr="00F62D48">
              <w:rPr>
                <w:rFonts w:ascii="Narkisim" w:hAnsi="Narkisim" w:hint="cs"/>
                <w:sz w:val="22"/>
                <w:rtl/>
              </w:rPr>
              <w:t>201</w:t>
            </w:r>
            <w:r>
              <w:rPr>
                <w:rFonts w:ascii="Narkisim" w:hAnsi="Narkisim" w:hint="cs"/>
                <w:sz w:val="22"/>
                <w:rtl/>
              </w:rPr>
              <w:t>8</w:t>
            </w:r>
          </w:p>
        </w:tc>
      </w:tr>
      <w:tr w:rsidR="001F49C2" w:rsidRPr="007F1532" w14:paraId="1E3C5348" w14:textId="77777777" w:rsidTr="00F62D48">
        <w:tc>
          <w:tcPr>
            <w:tcW w:w="5053" w:type="dxa"/>
            <w:shd w:val="clear" w:color="auto" w:fill="auto"/>
            <w:vAlign w:val="bottom"/>
          </w:tcPr>
          <w:p w14:paraId="17407C2A" w14:textId="77777777" w:rsidR="001F49C2" w:rsidRPr="007F1532" w:rsidRDefault="001F49C2" w:rsidP="001F49C2">
            <w:pPr>
              <w:tabs>
                <w:tab w:val="left" w:pos="227"/>
                <w:tab w:val="left" w:pos="397"/>
                <w:tab w:val="left" w:pos="567"/>
              </w:tabs>
              <w:spacing w:line="240" w:lineRule="exact"/>
              <w:ind w:left="227" w:hanging="170"/>
              <w:rPr>
                <w:rFonts w:ascii="Narkisim" w:hAnsi="Narkisim"/>
                <w:sz w:val="22"/>
                <w:rtl/>
              </w:rPr>
            </w:pPr>
          </w:p>
        </w:tc>
        <w:tc>
          <w:tcPr>
            <w:tcW w:w="102" w:type="dxa"/>
            <w:shd w:val="clear" w:color="auto" w:fill="auto"/>
            <w:vAlign w:val="bottom"/>
          </w:tcPr>
          <w:p w14:paraId="1FE80B8F" w14:textId="77777777" w:rsidR="001F49C2" w:rsidRPr="007F1532" w:rsidRDefault="001F49C2" w:rsidP="001F49C2">
            <w:pPr>
              <w:spacing w:line="240" w:lineRule="exact"/>
              <w:rPr>
                <w:rFonts w:ascii="Narkisim" w:hAnsi="Narkisim"/>
                <w:sz w:val="22"/>
                <w:rtl/>
              </w:rPr>
            </w:pPr>
          </w:p>
        </w:tc>
        <w:tc>
          <w:tcPr>
            <w:tcW w:w="2684" w:type="dxa"/>
            <w:gridSpan w:val="3"/>
            <w:tcBorders>
              <w:bottom w:val="single" w:sz="6" w:space="0" w:color="auto"/>
            </w:tcBorders>
            <w:shd w:val="clear" w:color="auto" w:fill="auto"/>
            <w:vAlign w:val="bottom"/>
          </w:tcPr>
          <w:p w14:paraId="24103E8C" w14:textId="77777777" w:rsidR="001F49C2" w:rsidRPr="007F1532" w:rsidRDefault="001F49C2" w:rsidP="001F49C2">
            <w:pPr>
              <w:spacing w:line="240" w:lineRule="exact"/>
              <w:jc w:val="center"/>
              <w:rPr>
                <w:rFonts w:ascii="Narkisim" w:hAnsi="Narkisim"/>
                <w:sz w:val="22"/>
                <w:rtl/>
              </w:rPr>
            </w:pPr>
            <w:r w:rsidRPr="007F1532">
              <w:rPr>
                <w:rFonts w:ascii="Narkisim" w:hAnsi="Narkisim" w:hint="cs"/>
                <w:sz w:val="22"/>
                <w:rtl/>
              </w:rPr>
              <w:t>אלפי ש"ח</w:t>
            </w:r>
          </w:p>
        </w:tc>
      </w:tr>
      <w:tr w:rsidR="001F49C2" w:rsidRPr="007F1532" w14:paraId="151A73D7" w14:textId="77777777" w:rsidTr="00F62D48">
        <w:tc>
          <w:tcPr>
            <w:tcW w:w="5053" w:type="dxa"/>
            <w:shd w:val="clear" w:color="auto" w:fill="auto"/>
          </w:tcPr>
          <w:p w14:paraId="7253DB92" w14:textId="77777777" w:rsidR="001F49C2" w:rsidRPr="007F1532" w:rsidRDefault="001F49C2" w:rsidP="001F49C2">
            <w:pPr>
              <w:pStyle w:val="a3"/>
              <w:rPr>
                <w:b/>
                <w:bCs/>
                <w:sz w:val="22"/>
                <w:rtl/>
              </w:rPr>
            </w:pPr>
            <w:r w:rsidRPr="007F1532">
              <w:rPr>
                <w:rFonts w:hint="cs"/>
                <w:b/>
                <w:bCs/>
                <w:sz w:val="22"/>
                <w:rtl/>
              </w:rPr>
              <w:t>יתרה ליום 1 ביולי</w:t>
            </w:r>
          </w:p>
        </w:tc>
        <w:tc>
          <w:tcPr>
            <w:tcW w:w="102" w:type="dxa"/>
            <w:shd w:val="clear" w:color="auto" w:fill="auto"/>
            <w:vAlign w:val="bottom"/>
          </w:tcPr>
          <w:p w14:paraId="161B62E8"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33AE234B" w14:textId="77777777" w:rsidR="001F49C2" w:rsidRPr="007F1532" w:rsidRDefault="001F49C2" w:rsidP="001F49C2">
            <w:pPr>
              <w:tabs>
                <w:tab w:val="decimal" w:pos="74"/>
              </w:tabs>
              <w:spacing w:line="240" w:lineRule="exact"/>
              <w:ind w:left="57"/>
              <w:rPr>
                <w:rFonts w:ascii="Narkisim" w:hAnsi="Narkisim"/>
                <w:sz w:val="22"/>
              </w:rPr>
            </w:pPr>
          </w:p>
        </w:tc>
        <w:tc>
          <w:tcPr>
            <w:tcW w:w="222" w:type="dxa"/>
            <w:shd w:val="clear" w:color="auto" w:fill="auto"/>
            <w:vAlign w:val="bottom"/>
          </w:tcPr>
          <w:p w14:paraId="3A8CB2E3"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42B7829C"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526CD764" w14:textId="77777777" w:rsidTr="00F62D48">
        <w:tc>
          <w:tcPr>
            <w:tcW w:w="5053" w:type="dxa"/>
            <w:shd w:val="clear" w:color="auto" w:fill="auto"/>
          </w:tcPr>
          <w:p w14:paraId="32DAB86D" w14:textId="77777777" w:rsidR="001F49C2" w:rsidRPr="007F1532" w:rsidRDefault="001F49C2" w:rsidP="001F49C2">
            <w:pPr>
              <w:pStyle w:val="a3"/>
              <w:rPr>
                <w:sz w:val="22"/>
                <w:rtl/>
              </w:rPr>
            </w:pPr>
          </w:p>
        </w:tc>
        <w:tc>
          <w:tcPr>
            <w:tcW w:w="102" w:type="dxa"/>
            <w:shd w:val="clear" w:color="auto" w:fill="auto"/>
            <w:vAlign w:val="bottom"/>
          </w:tcPr>
          <w:p w14:paraId="0BE205B8"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79020855"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5E069053"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3CDBAC46"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546A027A" w14:textId="77777777" w:rsidTr="00F62D48">
        <w:tc>
          <w:tcPr>
            <w:tcW w:w="5053" w:type="dxa"/>
            <w:shd w:val="clear" w:color="auto" w:fill="auto"/>
          </w:tcPr>
          <w:p w14:paraId="348FE8A0" w14:textId="77777777" w:rsidR="001F49C2" w:rsidRPr="007F1532" w:rsidRDefault="001F49C2" w:rsidP="001F49C2">
            <w:pPr>
              <w:widowControl/>
              <w:tabs>
                <w:tab w:val="left" w:pos="227"/>
                <w:tab w:val="left" w:pos="397"/>
                <w:tab w:val="left" w:pos="567"/>
              </w:tabs>
              <w:spacing w:line="240" w:lineRule="exact"/>
              <w:ind w:firstLine="57"/>
              <w:jc w:val="left"/>
              <w:rPr>
                <w:sz w:val="22"/>
                <w:rtl/>
              </w:rPr>
            </w:pPr>
            <w:r w:rsidRPr="007F1532">
              <w:rPr>
                <w:rFonts w:hint="eastAsia"/>
                <w:sz w:val="22"/>
                <w:rtl/>
              </w:rPr>
              <w:t>סך</w:t>
            </w:r>
            <w:r w:rsidRPr="007F1532">
              <w:rPr>
                <w:sz w:val="22"/>
                <w:rtl/>
              </w:rPr>
              <w:t xml:space="preserve"> </w:t>
            </w:r>
            <w:r w:rsidRPr="007F1532">
              <w:rPr>
                <w:rFonts w:hint="eastAsia"/>
                <w:sz w:val="22"/>
                <w:rtl/>
              </w:rPr>
              <w:t>רווח</w:t>
            </w:r>
            <w:r w:rsidRPr="007F1532">
              <w:rPr>
                <w:sz w:val="22"/>
                <w:rtl/>
              </w:rPr>
              <w:t xml:space="preserve"> (הפסד) </w:t>
            </w:r>
            <w:r w:rsidRPr="007F1532">
              <w:rPr>
                <w:rFonts w:hint="eastAsia"/>
                <w:sz w:val="22"/>
                <w:rtl/>
              </w:rPr>
              <w:t>שהוכר</w:t>
            </w:r>
            <w:r w:rsidRPr="007F1532">
              <w:rPr>
                <w:sz w:val="22"/>
                <w:rtl/>
              </w:rPr>
              <w:t>:</w:t>
            </w:r>
          </w:p>
        </w:tc>
        <w:tc>
          <w:tcPr>
            <w:tcW w:w="102" w:type="dxa"/>
            <w:shd w:val="clear" w:color="auto" w:fill="auto"/>
            <w:vAlign w:val="bottom"/>
          </w:tcPr>
          <w:p w14:paraId="0FDC1F0A"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0A9F7F1B"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23DBD254"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432097BD"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7DC875D4" w14:textId="77777777" w:rsidTr="00F62D48">
        <w:tc>
          <w:tcPr>
            <w:tcW w:w="5053" w:type="dxa"/>
            <w:shd w:val="clear" w:color="auto" w:fill="auto"/>
          </w:tcPr>
          <w:p w14:paraId="01EDF3D7" w14:textId="6E930491" w:rsidR="001F49C2" w:rsidRPr="007F1532" w:rsidRDefault="001F49C2" w:rsidP="001F49C2">
            <w:pPr>
              <w:widowControl/>
              <w:tabs>
                <w:tab w:val="left" w:pos="227"/>
                <w:tab w:val="left" w:pos="397"/>
                <w:tab w:val="left" w:pos="567"/>
              </w:tabs>
              <w:spacing w:line="240" w:lineRule="exact"/>
              <w:ind w:left="567" w:hanging="340"/>
              <w:jc w:val="left"/>
              <w:rPr>
                <w:sz w:val="22"/>
                <w:rtl/>
              </w:rPr>
            </w:pPr>
            <w:r w:rsidRPr="007F1532">
              <w:rPr>
                <w:rFonts w:hint="eastAsia"/>
                <w:sz w:val="22"/>
                <w:rtl/>
              </w:rPr>
              <w:t>ברווח</w:t>
            </w:r>
            <w:r w:rsidRPr="007F1532">
              <w:rPr>
                <w:sz w:val="22"/>
                <w:rtl/>
              </w:rPr>
              <w:t xml:space="preserve"> </w:t>
            </w:r>
            <w:r w:rsidRPr="007F1532">
              <w:rPr>
                <w:rFonts w:hint="eastAsia"/>
                <w:sz w:val="22"/>
                <w:rtl/>
              </w:rPr>
              <w:t>או</w:t>
            </w:r>
            <w:r w:rsidRPr="007F1532">
              <w:rPr>
                <w:sz w:val="22"/>
                <w:rtl/>
              </w:rPr>
              <w:t xml:space="preserve"> </w:t>
            </w:r>
            <w:r w:rsidRPr="007F1532">
              <w:rPr>
                <w:rFonts w:hint="eastAsia"/>
                <w:sz w:val="22"/>
                <w:rtl/>
              </w:rPr>
              <w:t>הפסד</w:t>
            </w:r>
            <w:r>
              <w:rPr>
                <w:rFonts w:hint="cs"/>
                <w:sz w:val="22"/>
              </w:rPr>
              <w:t xml:space="preserve"> </w:t>
            </w:r>
            <w:r w:rsidRPr="007F1532">
              <w:rPr>
                <w:rFonts w:hint="cs"/>
                <w:sz w:val="22"/>
                <w:rtl/>
              </w:rPr>
              <w:t>*</w:t>
            </w:r>
            <w:r>
              <w:rPr>
                <w:rFonts w:hint="cs"/>
                <w:sz w:val="22"/>
                <w:rtl/>
              </w:rPr>
              <w:t>)</w:t>
            </w:r>
          </w:p>
        </w:tc>
        <w:tc>
          <w:tcPr>
            <w:tcW w:w="102" w:type="dxa"/>
            <w:shd w:val="clear" w:color="auto" w:fill="auto"/>
            <w:vAlign w:val="bottom"/>
          </w:tcPr>
          <w:p w14:paraId="20B039B4"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23A26385"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27D0A77B"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0AB5DC13"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53D91477" w14:textId="77777777" w:rsidTr="00F62D48">
        <w:tc>
          <w:tcPr>
            <w:tcW w:w="5053" w:type="dxa"/>
            <w:shd w:val="clear" w:color="auto" w:fill="auto"/>
          </w:tcPr>
          <w:p w14:paraId="0E5D3750" w14:textId="77777777" w:rsidR="001F49C2" w:rsidRPr="007F1532" w:rsidRDefault="001F49C2" w:rsidP="001F49C2">
            <w:pPr>
              <w:widowControl/>
              <w:tabs>
                <w:tab w:val="left" w:pos="227"/>
                <w:tab w:val="left" w:pos="397"/>
                <w:tab w:val="left" w:pos="567"/>
              </w:tabs>
              <w:spacing w:line="240" w:lineRule="exact"/>
              <w:ind w:left="397" w:hanging="170"/>
              <w:jc w:val="left"/>
              <w:rPr>
                <w:sz w:val="22"/>
                <w:rtl/>
              </w:rPr>
            </w:pPr>
            <w:r w:rsidRPr="007F1532">
              <w:rPr>
                <w:rFonts w:hint="eastAsia"/>
                <w:sz w:val="22"/>
                <w:rtl/>
              </w:rPr>
              <w:t>ברווח</w:t>
            </w:r>
            <w:r w:rsidRPr="007F1532">
              <w:rPr>
                <w:sz w:val="22"/>
                <w:rtl/>
              </w:rPr>
              <w:t xml:space="preserve"> (הפסד ) </w:t>
            </w:r>
            <w:r w:rsidRPr="007F1532">
              <w:rPr>
                <w:rFonts w:hint="eastAsia"/>
                <w:sz w:val="22"/>
                <w:rtl/>
              </w:rPr>
              <w:t>כולל</w:t>
            </w:r>
            <w:r w:rsidRPr="007F1532">
              <w:rPr>
                <w:sz w:val="22"/>
                <w:rtl/>
              </w:rPr>
              <w:t xml:space="preserve"> </w:t>
            </w:r>
            <w:r w:rsidRPr="007F1532">
              <w:rPr>
                <w:rFonts w:hint="eastAsia"/>
                <w:sz w:val="22"/>
                <w:rtl/>
              </w:rPr>
              <w:t>אחר</w:t>
            </w:r>
          </w:p>
        </w:tc>
        <w:tc>
          <w:tcPr>
            <w:tcW w:w="102" w:type="dxa"/>
            <w:shd w:val="clear" w:color="auto" w:fill="auto"/>
            <w:vAlign w:val="bottom"/>
          </w:tcPr>
          <w:p w14:paraId="291F9DC1"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3CF3B69A"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6CB10257"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5DB3BFFC"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1D7F8B2E" w14:textId="77777777" w:rsidTr="00F62D48">
        <w:tc>
          <w:tcPr>
            <w:tcW w:w="5053" w:type="dxa"/>
            <w:shd w:val="clear" w:color="auto" w:fill="auto"/>
          </w:tcPr>
          <w:p w14:paraId="49F304FA" w14:textId="77777777" w:rsidR="001F49C2" w:rsidRPr="007F1532" w:rsidRDefault="001F49C2" w:rsidP="001F49C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רכישות</w:t>
            </w:r>
          </w:p>
        </w:tc>
        <w:tc>
          <w:tcPr>
            <w:tcW w:w="102" w:type="dxa"/>
            <w:shd w:val="clear" w:color="auto" w:fill="auto"/>
            <w:vAlign w:val="bottom"/>
          </w:tcPr>
          <w:p w14:paraId="0B12CC4E"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6B348BDF"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59E6EB69"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0AE20FA9"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34DF82B4" w14:textId="77777777" w:rsidTr="00F62D48">
        <w:tc>
          <w:tcPr>
            <w:tcW w:w="5053" w:type="dxa"/>
            <w:shd w:val="clear" w:color="auto" w:fill="auto"/>
          </w:tcPr>
          <w:p w14:paraId="410B33CF" w14:textId="77777777" w:rsidR="001F49C2" w:rsidRPr="007F1532" w:rsidRDefault="001F49C2" w:rsidP="001F49C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מימושים</w:t>
            </w:r>
          </w:p>
        </w:tc>
        <w:tc>
          <w:tcPr>
            <w:tcW w:w="102" w:type="dxa"/>
            <w:shd w:val="clear" w:color="auto" w:fill="auto"/>
            <w:vAlign w:val="bottom"/>
          </w:tcPr>
          <w:p w14:paraId="65CF6CB4"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618A33CB"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0DF1DCFF"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12B7EBD8"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5FF7F4A1" w14:textId="77777777" w:rsidTr="00F62D48">
        <w:tc>
          <w:tcPr>
            <w:tcW w:w="5053" w:type="dxa"/>
            <w:shd w:val="clear" w:color="auto" w:fill="auto"/>
          </w:tcPr>
          <w:p w14:paraId="7DA606EF" w14:textId="77777777" w:rsidR="001F49C2" w:rsidRPr="007F1532" w:rsidRDefault="001F49C2" w:rsidP="001F49C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העברות</w:t>
            </w:r>
            <w:r w:rsidRPr="007F1532">
              <w:rPr>
                <w:sz w:val="22"/>
                <w:rtl/>
              </w:rPr>
              <w:t xml:space="preserve"> </w:t>
            </w:r>
            <w:r w:rsidRPr="007F1532">
              <w:rPr>
                <w:rFonts w:hint="eastAsia"/>
                <w:sz w:val="22"/>
                <w:rtl/>
              </w:rPr>
              <w:t>מחוץ</w:t>
            </w:r>
            <w:r w:rsidRPr="007F1532">
              <w:rPr>
                <w:sz w:val="22"/>
                <w:rtl/>
              </w:rPr>
              <w:t xml:space="preserve"> </w:t>
            </w:r>
            <w:r w:rsidRPr="007F1532">
              <w:rPr>
                <w:rFonts w:hint="eastAsia"/>
                <w:sz w:val="22"/>
                <w:rtl/>
              </w:rPr>
              <w:t>לרמה</w:t>
            </w:r>
            <w:r w:rsidRPr="007F1532">
              <w:rPr>
                <w:sz w:val="22"/>
                <w:rtl/>
              </w:rPr>
              <w:t xml:space="preserve"> 3</w:t>
            </w:r>
          </w:p>
        </w:tc>
        <w:tc>
          <w:tcPr>
            <w:tcW w:w="102" w:type="dxa"/>
            <w:shd w:val="clear" w:color="auto" w:fill="auto"/>
            <w:vAlign w:val="bottom"/>
          </w:tcPr>
          <w:p w14:paraId="6564ECF8"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6BE3C088"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1B5E0477"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00DE01CE"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2AEC697C" w14:textId="77777777" w:rsidTr="00F62D48">
        <w:tc>
          <w:tcPr>
            <w:tcW w:w="5053" w:type="dxa"/>
            <w:shd w:val="clear" w:color="auto" w:fill="auto"/>
          </w:tcPr>
          <w:p w14:paraId="4670B88E" w14:textId="77777777" w:rsidR="001F49C2" w:rsidRPr="007F1532" w:rsidRDefault="001F49C2" w:rsidP="001F49C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העברות</w:t>
            </w:r>
            <w:r w:rsidRPr="007F1532">
              <w:rPr>
                <w:sz w:val="22"/>
                <w:rtl/>
              </w:rPr>
              <w:t xml:space="preserve"> </w:t>
            </w:r>
            <w:r w:rsidRPr="007F1532">
              <w:rPr>
                <w:rFonts w:hint="eastAsia"/>
                <w:sz w:val="22"/>
                <w:rtl/>
              </w:rPr>
              <w:t>לתוך</w:t>
            </w:r>
            <w:r w:rsidRPr="007F1532">
              <w:rPr>
                <w:sz w:val="22"/>
                <w:rtl/>
              </w:rPr>
              <w:t xml:space="preserve"> </w:t>
            </w:r>
            <w:r w:rsidRPr="007F1532">
              <w:rPr>
                <w:rFonts w:hint="eastAsia"/>
                <w:sz w:val="22"/>
                <w:rtl/>
              </w:rPr>
              <w:t>רמה</w:t>
            </w:r>
            <w:r w:rsidRPr="007F1532">
              <w:rPr>
                <w:sz w:val="22"/>
                <w:rtl/>
              </w:rPr>
              <w:t xml:space="preserve"> 3</w:t>
            </w:r>
          </w:p>
        </w:tc>
        <w:tc>
          <w:tcPr>
            <w:tcW w:w="102" w:type="dxa"/>
            <w:shd w:val="clear" w:color="auto" w:fill="auto"/>
            <w:vAlign w:val="bottom"/>
          </w:tcPr>
          <w:p w14:paraId="6D64EC63"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53CD72C5"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0BB8E37C"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4EFBBF72"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72A19079" w14:textId="77777777" w:rsidTr="00F62D48">
        <w:tc>
          <w:tcPr>
            <w:tcW w:w="5053" w:type="dxa"/>
            <w:shd w:val="clear" w:color="auto" w:fill="auto"/>
          </w:tcPr>
          <w:p w14:paraId="4A977132" w14:textId="77777777" w:rsidR="001F49C2" w:rsidRPr="007F1532" w:rsidRDefault="001F49C2" w:rsidP="001F49C2">
            <w:pPr>
              <w:widowControl/>
              <w:tabs>
                <w:tab w:val="left" w:pos="227"/>
                <w:tab w:val="left" w:pos="397"/>
                <w:tab w:val="left" w:pos="567"/>
              </w:tabs>
              <w:spacing w:line="240" w:lineRule="exact"/>
              <w:ind w:firstLine="57"/>
              <w:jc w:val="left"/>
              <w:rPr>
                <w:b/>
                <w:bCs/>
                <w:sz w:val="22"/>
                <w:rtl/>
              </w:rPr>
            </w:pPr>
          </w:p>
        </w:tc>
        <w:tc>
          <w:tcPr>
            <w:tcW w:w="102" w:type="dxa"/>
            <w:shd w:val="clear" w:color="auto" w:fill="auto"/>
            <w:vAlign w:val="bottom"/>
          </w:tcPr>
          <w:p w14:paraId="2EDE5904"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2309BDBB"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47C06927"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3B8EDC2D"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6C7CB900" w14:textId="77777777" w:rsidTr="00F62D48">
        <w:tc>
          <w:tcPr>
            <w:tcW w:w="5053" w:type="dxa"/>
            <w:shd w:val="clear" w:color="auto" w:fill="auto"/>
          </w:tcPr>
          <w:p w14:paraId="3B3061E7" w14:textId="77777777" w:rsidR="001F49C2" w:rsidRPr="007F1532" w:rsidRDefault="001F49C2" w:rsidP="001F49C2">
            <w:pPr>
              <w:widowControl/>
              <w:tabs>
                <w:tab w:val="left" w:pos="227"/>
                <w:tab w:val="left" w:pos="397"/>
                <w:tab w:val="left" w:pos="567"/>
              </w:tabs>
              <w:spacing w:line="240" w:lineRule="exact"/>
              <w:ind w:firstLine="57"/>
              <w:jc w:val="left"/>
              <w:rPr>
                <w:b/>
                <w:bCs/>
                <w:sz w:val="22"/>
                <w:rtl/>
              </w:rPr>
            </w:pPr>
            <w:r w:rsidRPr="007F1532">
              <w:rPr>
                <w:rFonts w:hint="cs"/>
                <w:b/>
                <w:bCs/>
                <w:sz w:val="22"/>
                <w:rtl/>
              </w:rPr>
              <w:t>יתרה ליום 30 בספטמבר</w:t>
            </w:r>
          </w:p>
        </w:tc>
        <w:tc>
          <w:tcPr>
            <w:tcW w:w="102" w:type="dxa"/>
            <w:shd w:val="clear" w:color="auto" w:fill="auto"/>
            <w:vAlign w:val="bottom"/>
          </w:tcPr>
          <w:p w14:paraId="4A289CC8"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13137189"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6BF7562E"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0AB21282"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792C012D" w14:textId="77777777" w:rsidTr="00F62D48">
        <w:tc>
          <w:tcPr>
            <w:tcW w:w="5053" w:type="dxa"/>
            <w:shd w:val="clear" w:color="auto" w:fill="auto"/>
          </w:tcPr>
          <w:p w14:paraId="07D2228D" w14:textId="77777777" w:rsidR="001F49C2" w:rsidRPr="007F1532" w:rsidRDefault="001F49C2" w:rsidP="001F49C2">
            <w:pPr>
              <w:widowControl/>
              <w:tabs>
                <w:tab w:val="left" w:pos="227"/>
                <w:tab w:val="left" w:pos="397"/>
                <w:tab w:val="left" w:pos="567"/>
              </w:tabs>
              <w:spacing w:line="240" w:lineRule="exact"/>
              <w:ind w:firstLine="57"/>
              <w:jc w:val="left"/>
              <w:rPr>
                <w:b/>
                <w:bCs/>
                <w:sz w:val="22"/>
                <w:rtl/>
              </w:rPr>
            </w:pPr>
          </w:p>
        </w:tc>
        <w:tc>
          <w:tcPr>
            <w:tcW w:w="102" w:type="dxa"/>
            <w:shd w:val="clear" w:color="auto" w:fill="auto"/>
            <w:vAlign w:val="bottom"/>
          </w:tcPr>
          <w:p w14:paraId="23841DEB"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1E7C77AC"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2807B6E9"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4B00CFAD"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55CA289E" w14:textId="77777777" w:rsidTr="00F62D48">
        <w:tc>
          <w:tcPr>
            <w:tcW w:w="5053" w:type="dxa"/>
            <w:shd w:val="clear" w:color="auto" w:fill="auto"/>
          </w:tcPr>
          <w:p w14:paraId="283619AE" w14:textId="4F022583" w:rsidR="001F49C2" w:rsidRPr="007F1532" w:rsidRDefault="001F49C2" w:rsidP="001F49C2">
            <w:pPr>
              <w:widowControl/>
              <w:tabs>
                <w:tab w:val="left" w:pos="227"/>
                <w:tab w:val="left" w:pos="397"/>
                <w:tab w:val="left" w:pos="567"/>
              </w:tabs>
              <w:spacing w:line="240" w:lineRule="exact"/>
              <w:ind w:firstLine="57"/>
              <w:jc w:val="left"/>
              <w:rPr>
                <w:b/>
                <w:bCs/>
                <w:sz w:val="22"/>
                <w:rtl/>
              </w:rPr>
            </w:pPr>
            <w:r w:rsidRPr="00CF00B7">
              <w:rPr>
                <w:rFonts w:hint="cs"/>
                <w:sz w:val="22"/>
                <w:rtl/>
              </w:rPr>
              <w:t>*)</w:t>
            </w:r>
            <w:r w:rsidRPr="00CF00B7">
              <w:rPr>
                <w:sz w:val="22"/>
                <w:rtl/>
              </w:rPr>
              <w:tab/>
            </w:r>
            <w:r w:rsidRPr="00CF00B7">
              <w:rPr>
                <w:sz w:val="22"/>
                <w:rtl/>
              </w:rPr>
              <w:tab/>
            </w:r>
            <w:r w:rsidRPr="007F1532">
              <w:rPr>
                <w:rFonts w:hint="cs"/>
                <w:sz w:val="22"/>
                <w:u w:val="single"/>
                <w:rtl/>
              </w:rPr>
              <w:t>מתוכו:</w:t>
            </w:r>
          </w:p>
        </w:tc>
        <w:tc>
          <w:tcPr>
            <w:tcW w:w="102" w:type="dxa"/>
            <w:shd w:val="clear" w:color="auto" w:fill="auto"/>
            <w:vAlign w:val="bottom"/>
          </w:tcPr>
          <w:p w14:paraId="3E83E547"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64FFB00E"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4011EC11"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0A9A1FFF"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046CF6D0" w14:textId="77777777" w:rsidTr="00F62D48">
        <w:tc>
          <w:tcPr>
            <w:tcW w:w="5053" w:type="dxa"/>
            <w:shd w:val="clear" w:color="auto" w:fill="auto"/>
          </w:tcPr>
          <w:p w14:paraId="47850AF7" w14:textId="7177A9D4" w:rsidR="001F49C2" w:rsidRPr="007F1532" w:rsidRDefault="001F49C2" w:rsidP="001F49C2">
            <w:pPr>
              <w:widowControl/>
              <w:tabs>
                <w:tab w:val="left" w:pos="227"/>
                <w:tab w:val="left" w:pos="397"/>
                <w:tab w:val="left" w:pos="567"/>
              </w:tabs>
              <w:spacing w:line="240" w:lineRule="exact"/>
              <w:ind w:left="227" w:hanging="170"/>
              <w:jc w:val="left"/>
              <w:rPr>
                <w:sz w:val="22"/>
                <w:rtl/>
              </w:rPr>
            </w:pPr>
            <w:r>
              <w:rPr>
                <w:sz w:val="22"/>
                <w:rtl/>
              </w:rPr>
              <w:tab/>
            </w:r>
            <w:r>
              <w:rPr>
                <w:sz w:val="22"/>
                <w:rtl/>
              </w:rPr>
              <w:tab/>
            </w:r>
            <w:r w:rsidRPr="007F1532">
              <w:rPr>
                <w:rFonts w:hint="cs"/>
                <w:sz w:val="22"/>
                <w:rtl/>
              </w:rPr>
              <w:t xml:space="preserve">סך רווח (הפסד) לתקופה שלא מומש ושהוכר ברווח או </w:t>
            </w:r>
            <w:r>
              <w:rPr>
                <w:sz w:val="22"/>
                <w:rtl/>
              </w:rPr>
              <w:tab/>
            </w:r>
            <w:r w:rsidRPr="007F1532">
              <w:rPr>
                <w:rFonts w:hint="cs"/>
                <w:sz w:val="22"/>
                <w:rtl/>
              </w:rPr>
              <w:t>הפסד בגין נכסים המוחזקים בסוף תקופת הדיווח</w:t>
            </w:r>
          </w:p>
        </w:tc>
        <w:tc>
          <w:tcPr>
            <w:tcW w:w="102" w:type="dxa"/>
            <w:shd w:val="clear" w:color="auto" w:fill="auto"/>
            <w:vAlign w:val="bottom"/>
          </w:tcPr>
          <w:p w14:paraId="56029034"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3B62F900"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5EF7543B"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51675677" w14:textId="77777777" w:rsidR="001F49C2" w:rsidRPr="007F1532" w:rsidRDefault="001F49C2" w:rsidP="001F49C2">
            <w:pPr>
              <w:tabs>
                <w:tab w:val="decimal" w:pos="74"/>
              </w:tabs>
              <w:spacing w:line="240" w:lineRule="exact"/>
              <w:ind w:left="57"/>
              <w:rPr>
                <w:rFonts w:ascii="Narkisim" w:hAnsi="Narkisim"/>
                <w:sz w:val="22"/>
                <w:rtl/>
              </w:rPr>
            </w:pPr>
          </w:p>
        </w:tc>
      </w:tr>
    </w:tbl>
    <w:p w14:paraId="2E0788F3" w14:textId="77777777" w:rsidR="00F62D48" w:rsidRDefault="00F62D48">
      <w:pPr>
        <w:widowControl/>
        <w:overflowPunct/>
        <w:autoSpaceDE/>
        <w:autoSpaceDN/>
        <w:bidi w:val="0"/>
        <w:adjustRightInd/>
        <w:spacing w:line="240" w:lineRule="auto"/>
        <w:jc w:val="left"/>
        <w:textAlignment w:val="auto"/>
        <w:rPr>
          <w:rtl/>
        </w:rPr>
      </w:pPr>
      <w:r>
        <w:rPr>
          <w:rtl/>
        </w:rPr>
        <w:br w:type="page"/>
      </w:r>
    </w:p>
    <w:p w14:paraId="2C88EA63" w14:textId="77777777" w:rsidR="00F62D48" w:rsidRDefault="00F62D48" w:rsidP="00A56010">
      <w:pPr>
        <w:pStyle w:val="11"/>
        <w:rPr>
          <w:rtl/>
        </w:rPr>
      </w:pPr>
    </w:p>
    <w:p w14:paraId="1833E231" w14:textId="77777777" w:rsidR="00F62D48" w:rsidRDefault="00F62D48" w:rsidP="00A56010">
      <w:pPr>
        <w:pStyle w:val="11"/>
        <w:rPr>
          <w:rtl/>
        </w:rPr>
      </w:pPr>
    </w:p>
    <w:p w14:paraId="1B94B0E8" w14:textId="77777777" w:rsidR="00F62D48" w:rsidRDefault="00F62D48" w:rsidP="00A56010">
      <w:pPr>
        <w:pStyle w:val="11"/>
        <w:rPr>
          <w:u w:val="single"/>
          <w:rtl/>
        </w:rPr>
      </w:pPr>
      <w:r>
        <w:rPr>
          <w:rFonts w:hint="cs"/>
          <w:rtl/>
        </w:rPr>
        <w:t>באור 15:-</w:t>
      </w:r>
      <w:r>
        <w:rPr>
          <w:rFonts w:hint="cs"/>
          <w:rtl/>
        </w:rPr>
        <w:tab/>
      </w:r>
      <w:r w:rsidRPr="007B75CB">
        <w:rPr>
          <w:rFonts w:hint="eastAsia"/>
          <w:u w:val="single"/>
          <w:rtl/>
        </w:rPr>
        <w:t>מכשירים</w:t>
      </w:r>
      <w:r w:rsidRPr="007B75CB">
        <w:rPr>
          <w:u w:val="single"/>
          <w:rtl/>
        </w:rPr>
        <w:t xml:space="preserve"> </w:t>
      </w:r>
      <w:r w:rsidRPr="007B75CB">
        <w:rPr>
          <w:rFonts w:hint="eastAsia"/>
          <w:u w:val="single"/>
          <w:rtl/>
        </w:rPr>
        <w:t>פיננסיים</w:t>
      </w:r>
      <w:r w:rsidRPr="007B75CB">
        <w:rPr>
          <w:rtl/>
        </w:rPr>
        <w:t xml:space="preserve"> (המשך)</w:t>
      </w:r>
    </w:p>
    <w:p w14:paraId="32537F10" w14:textId="77777777" w:rsidR="00F62D48" w:rsidRDefault="00F62D48" w:rsidP="00A56010">
      <w:pPr>
        <w:pStyle w:val="21"/>
        <w:ind w:left="1689" w:firstLine="0"/>
        <w:rPr>
          <w:rtl/>
        </w:rPr>
      </w:pPr>
    </w:p>
    <w:p w14:paraId="483E46EE" w14:textId="77777777" w:rsidR="00F62D48" w:rsidRPr="00F62D48" w:rsidRDefault="00F62D48" w:rsidP="00F62D48">
      <w:pPr>
        <w:pStyle w:val="21"/>
      </w:pPr>
      <w:r>
        <w:rPr>
          <w:rFonts w:hint="cs"/>
          <w:rtl/>
        </w:rPr>
        <w:t>ב.</w:t>
      </w:r>
      <w:r>
        <w:rPr>
          <w:rFonts w:hint="cs"/>
          <w:rtl/>
        </w:rPr>
        <w:tab/>
      </w:r>
      <w:r w:rsidRPr="002F0A8F">
        <w:rPr>
          <w:rFonts w:hint="cs"/>
          <w:u w:val="single"/>
          <w:rtl/>
        </w:rPr>
        <w:t>סיווג מכשירים פיננסים לפי מדרג שווי הוגן</w:t>
      </w:r>
      <w:r>
        <w:rPr>
          <w:rFonts w:hint="cs"/>
          <w:rtl/>
        </w:rPr>
        <w:t xml:space="preserve"> (המשך)</w:t>
      </w:r>
    </w:p>
    <w:tbl>
      <w:tblPr>
        <w:tblStyle w:val="af6"/>
        <w:bidiVisual/>
        <w:tblW w:w="0" w:type="auto"/>
        <w:tblInd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51"/>
        <w:gridCol w:w="229"/>
        <w:gridCol w:w="1373"/>
      </w:tblGrid>
      <w:tr w:rsidR="00AA1373" w:rsidRPr="007F1532" w14:paraId="6C7C6052" w14:textId="77777777" w:rsidTr="00AA1373">
        <w:tc>
          <w:tcPr>
            <w:tcW w:w="6251" w:type="dxa"/>
            <w:shd w:val="clear" w:color="auto" w:fill="auto"/>
            <w:vAlign w:val="bottom"/>
          </w:tcPr>
          <w:p w14:paraId="7490BFCA" w14:textId="77777777" w:rsidR="00AA1373" w:rsidRPr="00F62D48" w:rsidRDefault="00AA1373" w:rsidP="007F1532">
            <w:pPr>
              <w:spacing w:line="240" w:lineRule="exact"/>
              <w:rPr>
                <w:sz w:val="22"/>
                <w:rtl/>
              </w:rPr>
            </w:pPr>
          </w:p>
        </w:tc>
        <w:tc>
          <w:tcPr>
            <w:tcW w:w="229" w:type="dxa"/>
            <w:shd w:val="clear" w:color="auto" w:fill="auto"/>
            <w:vAlign w:val="bottom"/>
          </w:tcPr>
          <w:p w14:paraId="701AA74F" w14:textId="77777777" w:rsidR="00AA1373" w:rsidRPr="007F1532" w:rsidRDefault="00AA1373" w:rsidP="007F1532">
            <w:pPr>
              <w:spacing w:line="240" w:lineRule="exact"/>
              <w:rPr>
                <w:sz w:val="22"/>
                <w:rtl/>
              </w:rPr>
            </w:pPr>
          </w:p>
        </w:tc>
        <w:tc>
          <w:tcPr>
            <w:tcW w:w="1373" w:type="dxa"/>
            <w:tcBorders>
              <w:bottom w:val="single" w:sz="6" w:space="0" w:color="auto"/>
            </w:tcBorders>
            <w:shd w:val="clear" w:color="auto" w:fill="auto"/>
            <w:vAlign w:val="bottom"/>
          </w:tcPr>
          <w:p w14:paraId="49917683" w14:textId="77777777" w:rsidR="00AA1373" w:rsidRPr="007F1532" w:rsidRDefault="00AA1373" w:rsidP="007F1532">
            <w:pPr>
              <w:spacing w:line="240" w:lineRule="exact"/>
              <w:jc w:val="center"/>
              <w:rPr>
                <w:sz w:val="22"/>
                <w:rtl/>
              </w:rPr>
            </w:pPr>
            <w:r w:rsidRPr="007F1532">
              <w:rPr>
                <w:rFonts w:hint="cs"/>
                <w:sz w:val="22"/>
                <w:rtl/>
              </w:rPr>
              <w:t>מכשירים פיננסיים</w:t>
            </w:r>
            <w:r w:rsidRPr="007F1532">
              <w:rPr>
                <w:rFonts w:hint="cs"/>
                <w:sz w:val="22"/>
                <w:vertAlign w:val="superscript"/>
                <w:rtl/>
              </w:rPr>
              <w:t>1</w:t>
            </w:r>
          </w:p>
        </w:tc>
      </w:tr>
      <w:tr w:rsidR="00AA1373" w:rsidRPr="007F1532" w14:paraId="2CF1AD1B" w14:textId="77777777" w:rsidTr="00AA1373">
        <w:tc>
          <w:tcPr>
            <w:tcW w:w="6251" w:type="dxa"/>
            <w:shd w:val="clear" w:color="auto" w:fill="auto"/>
            <w:vAlign w:val="bottom"/>
          </w:tcPr>
          <w:p w14:paraId="7A8816BB" w14:textId="77777777" w:rsidR="00AA1373" w:rsidRPr="007F1532" w:rsidRDefault="00AA1373" w:rsidP="007F1532">
            <w:pPr>
              <w:spacing w:line="240" w:lineRule="exact"/>
              <w:rPr>
                <w:sz w:val="22"/>
              </w:rPr>
            </w:pPr>
          </w:p>
        </w:tc>
        <w:tc>
          <w:tcPr>
            <w:tcW w:w="229" w:type="dxa"/>
            <w:shd w:val="clear" w:color="auto" w:fill="auto"/>
            <w:vAlign w:val="bottom"/>
          </w:tcPr>
          <w:p w14:paraId="51DD0855" w14:textId="77777777" w:rsidR="00AA1373" w:rsidRPr="007F1532" w:rsidRDefault="00AA1373" w:rsidP="007F1532">
            <w:pPr>
              <w:spacing w:line="240" w:lineRule="exact"/>
              <w:rPr>
                <w:sz w:val="22"/>
                <w:rtl/>
              </w:rPr>
            </w:pPr>
          </w:p>
        </w:tc>
        <w:tc>
          <w:tcPr>
            <w:tcW w:w="1373" w:type="dxa"/>
            <w:tcBorders>
              <w:top w:val="single" w:sz="6" w:space="0" w:color="auto"/>
              <w:bottom w:val="single" w:sz="6" w:space="0" w:color="auto"/>
            </w:tcBorders>
            <w:shd w:val="clear" w:color="auto" w:fill="auto"/>
            <w:vAlign w:val="bottom"/>
          </w:tcPr>
          <w:p w14:paraId="27957D39" w14:textId="77777777" w:rsidR="00AA1373" w:rsidRPr="007F1532" w:rsidRDefault="00AA1373" w:rsidP="007F1532">
            <w:pPr>
              <w:spacing w:line="240" w:lineRule="exact"/>
              <w:jc w:val="center"/>
              <w:rPr>
                <w:sz w:val="22"/>
                <w:rtl/>
              </w:rPr>
            </w:pPr>
            <w:r w:rsidRPr="007F1532">
              <w:rPr>
                <w:rFonts w:hint="cs"/>
                <w:sz w:val="22"/>
                <w:rtl/>
              </w:rPr>
              <w:t>אלפי ש"ח</w:t>
            </w:r>
          </w:p>
        </w:tc>
      </w:tr>
      <w:tr w:rsidR="00AA1373" w:rsidRPr="007F1532" w14:paraId="7CE42B37" w14:textId="77777777" w:rsidTr="00AA1373">
        <w:tc>
          <w:tcPr>
            <w:tcW w:w="6251" w:type="dxa"/>
            <w:shd w:val="clear" w:color="auto" w:fill="auto"/>
            <w:vAlign w:val="bottom"/>
          </w:tcPr>
          <w:p w14:paraId="4E8A9D87" w14:textId="77777777" w:rsidR="00AA1373" w:rsidRPr="007F1532" w:rsidRDefault="00AA1373" w:rsidP="007F1532">
            <w:pPr>
              <w:spacing w:line="240" w:lineRule="exact"/>
              <w:rPr>
                <w:sz w:val="22"/>
                <w:rtl/>
              </w:rPr>
            </w:pPr>
          </w:p>
        </w:tc>
        <w:tc>
          <w:tcPr>
            <w:tcW w:w="229" w:type="dxa"/>
            <w:shd w:val="clear" w:color="auto" w:fill="auto"/>
            <w:vAlign w:val="bottom"/>
          </w:tcPr>
          <w:p w14:paraId="36CA3124" w14:textId="77777777" w:rsidR="00AA1373" w:rsidRPr="007F1532" w:rsidRDefault="00AA1373" w:rsidP="007F1532">
            <w:pPr>
              <w:spacing w:line="240" w:lineRule="exact"/>
              <w:rPr>
                <w:sz w:val="22"/>
                <w:rtl/>
              </w:rPr>
            </w:pPr>
          </w:p>
        </w:tc>
        <w:tc>
          <w:tcPr>
            <w:tcW w:w="1373" w:type="dxa"/>
            <w:tcBorders>
              <w:top w:val="single" w:sz="6" w:space="0" w:color="auto"/>
            </w:tcBorders>
            <w:shd w:val="clear" w:color="auto" w:fill="auto"/>
            <w:vAlign w:val="bottom"/>
          </w:tcPr>
          <w:p w14:paraId="05CBF78A" w14:textId="77777777" w:rsidR="00AA1373" w:rsidRPr="007F1532" w:rsidRDefault="00AA1373" w:rsidP="007F1532">
            <w:pPr>
              <w:spacing w:line="240" w:lineRule="exact"/>
              <w:rPr>
                <w:sz w:val="22"/>
                <w:rtl/>
              </w:rPr>
            </w:pPr>
          </w:p>
        </w:tc>
      </w:tr>
      <w:tr w:rsidR="00AA1373" w:rsidRPr="007F1532" w14:paraId="5A5CE4E7" w14:textId="77777777" w:rsidTr="00BE65C6">
        <w:tc>
          <w:tcPr>
            <w:tcW w:w="6251" w:type="dxa"/>
            <w:shd w:val="clear" w:color="auto" w:fill="auto"/>
          </w:tcPr>
          <w:p w14:paraId="585AE520" w14:textId="324A6DAB" w:rsidR="00AA1373" w:rsidRPr="007F1532" w:rsidRDefault="00AA1373" w:rsidP="001F49C2">
            <w:pPr>
              <w:pStyle w:val="a3"/>
              <w:rPr>
                <w:b/>
                <w:bCs/>
                <w:sz w:val="22"/>
                <w:rtl/>
              </w:rPr>
            </w:pPr>
            <w:r w:rsidRPr="007F1532">
              <w:rPr>
                <w:rFonts w:hint="cs"/>
                <w:b/>
                <w:bCs/>
                <w:sz w:val="22"/>
                <w:rtl/>
              </w:rPr>
              <w:t xml:space="preserve">יתרה ליום 1 בינואר, </w:t>
            </w:r>
            <w:r w:rsidR="004F7D3D" w:rsidRPr="007F1532">
              <w:rPr>
                <w:rFonts w:hint="cs"/>
                <w:b/>
                <w:bCs/>
                <w:sz w:val="22"/>
                <w:rtl/>
              </w:rPr>
              <w:t>201</w:t>
            </w:r>
            <w:r w:rsidR="001F49C2">
              <w:rPr>
                <w:rFonts w:hint="cs"/>
                <w:b/>
                <w:bCs/>
                <w:sz w:val="22"/>
                <w:rtl/>
              </w:rPr>
              <w:t>8</w:t>
            </w:r>
          </w:p>
        </w:tc>
        <w:tc>
          <w:tcPr>
            <w:tcW w:w="229" w:type="dxa"/>
            <w:shd w:val="clear" w:color="auto" w:fill="auto"/>
            <w:vAlign w:val="bottom"/>
          </w:tcPr>
          <w:p w14:paraId="3214D81D" w14:textId="77777777" w:rsidR="00AA1373" w:rsidRPr="007F1532" w:rsidRDefault="00AA1373" w:rsidP="007F1532">
            <w:pPr>
              <w:spacing w:line="240" w:lineRule="exact"/>
              <w:rPr>
                <w:sz w:val="22"/>
                <w:rtl/>
              </w:rPr>
            </w:pPr>
          </w:p>
        </w:tc>
        <w:tc>
          <w:tcPr>
            <w:tcW w:w="1373" w:type="dxa"/>
            <w:shd w:val="clear" w:color="auto" w:fill="auto"/>
            <w:vAlign w:val="bottom"/>
          </w:tcPr>
          <w:p w14:paraId="64B3A20E" w14:textId="77777777" w:rsidR="00AA1373" w:rsidRPr="007F1532" w:rsidRDefault="00AA1373" w:rsidP="007F1532">
            <w:pPr>
              <w:spacing w:line="240" w:lineRule="exact"/>
              <w:rPr>
                <w:sz w:val="22"/>
                <w:rtl/>
              </w:rPr>
            </w:pPr>
          </w:p>
        </w:tc>
      </w:tr>
      <w:tr w:rsidR="00AA1373" w:rsidRPr="007F1532" w14:paraId="51B82D44" w14:textId="77777777" w:rsidTr="00BE65C6">
        <w:tc>
          <w:tcPr>
            <w:tcW w:w="6251" w:type="dxa"/>
            <w:shd w:val="clear" w:color="auto" w:fill="auto"/>
          </w:tcPr>
          <w:p w14:paraId="38C64863" w14:textId="77777777" w:rsidR="00AA1373" w:rsidRPr="007F1532" w:rsidRDefault="00AA1373" w:rsidP="007F1532">
            <w:pPr>
              <w:pStyle w:val="a3"/>
              <w:rPr>
                <w:sz w:val="22"/>
                <w:rtl/>
              </w:rPr>
            </w:pPr>
          </w:p>
        </w:tc>
        <w:tc>
          <w:tcPr>
            <w:tcW w:w="229" w:type="dxa"/>
            <w:shd w:val="clear" w:color="auto" w:fill="auto"/>
            <w:vAlign w:val="bottom"/>
          </w:tcPr>
          <w:p w14:paraId="29D3C8F8" w14:textId="77777777" w:rsidR="00AA1373" w:rsidRPr="007F1532" w:rsidRDefault="00AA1373" w:rsidP="007F1532">
            <w:pPr>
              <w:spacing w:line="240" w:lineRule="exact"/>
              <w:rPr>
                <w:sz w:val="22"/>
                <w:rtl/>
              </w:rPr>
            </w:pPr>
          </w:p>
        </w:tc>
        <w:tc>
          <w:tcPr>
            <w:tcW w:w="1373" w:type="dxa"/>
            <w:shd w:val="clear" w:color="auto" w:fill="auto"/>
            <w:vAlign w:val="bottom"/>
          </w:tcPr>
          <w:p w14:paraId="3CD1A51D" w14:textId="77777777" w:rsidR="00AA1373" w:rsidRPr="007F1532" w:rsidRDefault="00AA1373" w:rsidP="007F1532">
            <w:pPr>
              <w:spacing w:line="240" w:lineRule="exact"/>
              <w:rPr>
                <w:sz w:val="22"/>
                <w:rtl/>
              </w:rPr>
            </w:pPr>
          </w:p>
        </w:tc>
      </w:tr>
      <w:tr w:rsidR="00AA1373" w:rsidRPr="007F1532" w14:paraId="74D3DCC7" w14:textId="77777777" w:rsidTr="00BE65C6">
        <w:tc>
          <w:tcPr>
            <w:tcW w:w="6251" w:type="dxa"/>
            <w:shd w:val="clear" w:color="auto" w:fill="auto"/>
          </w:tcPr>
          <w:p w14:paraId="21AD5A7A" w14:textId="77777777" w:rsidR="00AA1373" w:rsidRPr="007F1532" w:rsidRDefault="00AA1373" w:rsidP="007F1532">
            <w:pPr>
              <w:widowControl/>
              <w:tabs>
                <w:tab w:val="left" w:pos="227"/>
                <w:tab w:val="left" w:pos="397"/>
                <w:tab w:val="left" w:pos="567"/>
              </w:tabs>
              <w:spacing w:line="240" w:lineRule="exact"/>
              <w:ind w:firstLine="57"/>
              <w:jc w:val="left"/>
              <w:rPr>
                <w:sz w:val="22"/>
                <w:rtl/>
              </w:rPr>
            </w:pPr>
            <w:r w:rsidRPr="007F1532">
              <w:rPr>
                <w:rFonts w:hint="eastAsia"/>
                <w:sz w:val="22"/>
                <w:rtl/>
              </w:rPr>
              <w:t>סך</w:t>
            </w:r>
            <w:r w:rsidRPr="007F1532">
              <w:rPr>
                <w:sz w:val="22"/>
                <w:rtl/>
              </w:rPr>
              <w:t xml:space="preserve"> </w:t>
            </w:r>
            <w:r w:rsidRPr="007F1532">
              <w:rPr>
                <w:rFonts w:hint="eastAsia"/>
                <w:sz w:val="22"/>
                <w:rtl/>
              </w:rPr>
              <w:t>רווח</w:t>
            </w:r>
            <w:r w:rsidRPr="007F1532">
              <w:rPr>
                <w:sz w:val="22"/>
                <w:rtl/>
              </w:rPr>
              <w:t xml:space="preserve"> (הפסד) </w:t>
            </w:r>
            <w:r w:rsidRPr="007F1532">
              <w:rPr>
                <w:rFonts w:hint="eastAsia"/>
                <w:sz w:val="22"/>
                <w:rtl/>
              </w:rPr>
              <w:t>שהוכר</w:t>
            </w:r>
            <w:r w:rsidRPr="007F1532">
              <w:rPr>
                <w:sz w:val="22"/>
                <w:rtl/>
              </w:rPr>
              <w:t>:</w:t>
            </w:r>
          </w:p>
        </w:tc>
        <w:tc>
          <w:tcPr>
            <w:tcW w:w="229" w:type="dxa"/>
            <w:shd w:val="clear" w:color="auto" w:fill="auto"/>
            <w:vAlign w:val="bottom"/>
          </w:tcPr>
          <w:p w14:paraId="1274CCD2" w14:textId="77777777" w:rsidR="00AA1373" w:rsidRPr="007F1532" w:rsidRDefault="00AA1373" w:rsidP="007F1532">
            <w:pPr>
              <w:spacing w:line="240" w:lineRule="exact"/>
              <w:rPr>
                <w:sz w:val="22"/>
                <w:rtl/>
              </w:rPr>
            </w:pPr>
          </w:p>
        </w:tc>
        <w:tc>
          <w:tcPr>
            <w:tcW w:w="1373" w:type="dxa"/>
            <w:shd w:val="clear" w:color="auto" w:fill="auto"/>
            <w:vAlign w:val="bottom"/>
          </w:tcPr>
          <w:p w14:paraId="25E2473E" w14:textId="77777777" w:rsidR="00AA1373" w:rsidRPr="007F1532" w:rsidRDefault="00AA1373" w:rsidP="007F1532">
            <w:pPr>
              <w:spacing w:line="240" w:lineRule="exact"/>
              <w:rPr>
                <w:sz w:val="22"/>
                <w:rtl/>
              </w:rPr>
            </w:pPr>
          </w:p>
        </w:tc>
      </w:tr>
      <w:tr w:rsidR="00AA1373" w:rsidRPr="007F1532" w14:paraId="098834C5" w14:textId="77777777" w:rsidTr="00BE65C6">
        <w:tc>
          <w:tcPr>
            <w:tcW w:w="6251" w:type="dxa"/>
            <w:shd w:val="clear" w:color="auto" w:fill="auto"/>
          </w:tcPr>
          <w:p w14:paraId="7EC9B487" w14:textId="19232F68" w:rsidR="00AA1373" w:rsidRPr="007F1532" w:rsidRDefault="00AA1373" w:rsidP="007F1532">
            <w:pPr>
              <w:widowControl/>
              <w:tabs>
                <w:tab w:val="left" w:pos="227"/>
                <w:tab w:val="left" w:pos="397"/>
                <w:tab w:val="left" w:pos="567"/>
              </w:tabs>
              <w:spacing w:line="240" w:lineRule="exact"/>
              <w:ind w:left="567" w:hanging="340"/>
              <w:jc w:val="left"/>
              <w:rPr>
                <w:sz w:val="22"/>
                <w:rtl/>
              </w:rPr>
            </w:pPr>
            <w:r w:rsidRPr="007F1532">
              <w:rPr>
                <w:rFonts w:hint="eastAsia"/>
                <w:sz w:val="22"/>
                <w:rtl/>
              </w:rPr>
              <w:t>ברווח</w:t>
            </w:r>
            <w:r w:rsidRPr="007F1532">
              <w:rPr>
                <w:sz w:val="22"/>
                <w:rtl/>
              </w:rPr>
              <w:t xml:space="preserve"> </w:t>
            </w:r>
            <w:r w:rsidRPr="007F1532">
              <w:rPr>
                <w:rFonts w:hint="eastAsia"/>
                <w:sz w:val="22"/>
                <w:rtl/>
              </w:rPr>
              <w:t>או</w:t>
            </w:r>
            <w:r w:rsidRPr="007F1532">
              <w:rPr>
                <w:sz w:val="22"/>
                <w:rtl/>
              </w:rPr>
              <w:t xml:space="preserve"> </w:t>
            </w:r>
            <w:r w:rsidRPr="007F1532">
              <w:rPr>
                <w:rFonts w:hint="eastAsia"/>
                <w:sz w:val="22"/>
                <w:rtl/>
              </w:rPr>
              <w:t>הפסד</w:t>
            </w:r>
            <w:r w:rsidR="00CF00B7">
              <w:rPr>
                <w:rFonts w:hint="cs"/>
                <w:sz w:val="22"/>
              </w:rPr>
              <w:t xml:space="preserve"> </w:t>
            </w:r>
            <w:r w:rsidRPr="007F1532">
              <w:rPr>
                <w:rFonts w:hint="cs"/>
                <w:sz w:val="22"/>
                <w:rtl/>
              </w:rPr>
              <w:t>*</w:t>
            </w:r>
            <w:r w:rsidR="00E72837">
              <w:rPr>
                <w:rFonts w:hint="cs"/>
                <w:sz w:val="22"/>
                <w:rtl/>
              </w:rPr>
              <w:t>)</w:t>
            </w:r>
          </w:p>
        </w:tc>
        <w:tc>
          <w:tcPr>
            <w:tcW w:w="229" w:type="dxa"/>
            <w:shd w:val="clear" w:color="auto" w:fill="auto"/>
            <w:vAlign w:val="bottom"/>
          </w:tcPr>
          <w:p w14:paraId="1B1F9129" w14:textId="77777777" w:rsidR="00AA1373" w:rsidRPr="007F1532" w:rsidRDefault="00AA1373" w:rsidP="007F1532">
            <w:pPr>
              <w:spacing w:line="240" w:lineRule="exact"/>
              <w:rPr>
                <w:sz w:val="22"/>
                <w:rtl/>
              </w:rPr>
            </w:pPr>
          </w:p>
        </w:tc>
        <w:tc>
          <w:tcPr>
            <w:tcW w:w="1373" w:type="dxa"/>
            <w:shd w:val="clear" w:color="auto" w:fill="auto"/>
            <w:vAlign w:val="bottom"/>
          </w:tcPr>
          <w:p w14:paraId="25109DF3" w14:textId="77777777" w:rsidR="00AA1373" w:rsidRPr="007F1532" w:rsidRDefault="00AA1373" w:rsidP="007F1532">
            <w:pPr>
              <w:spacing w:line="240" w:lineRule="exact"/>
              <w:rPr>
                <w:sz w:val="22"/>
                <w:rtl/>
              </w:rPr>
            </w:pPr>
          </w:p>
        </w:tc>
      </w:tr>
      <w:tr w:rsidR="00AA1373" w:rsidRPr="007F1532" w14:paraId="5830EB44" w14:textId="77777777" w:rsidTr="00BE65C6">
        <w:tc>
          <w:tcPr>
            <w:tcW w:w="6251" w:type="dxa"/>
            <w:shd w:val="clear" w:color="auto" w:fill="auto"/>
          </w:tcPr>
          <w:p w14:paraId="495D139A" w14:textId="77777777" w:rsidR="00AA1373" w:rsidRPr="007F1532" w:rsidRDefault="00AA1373" w:rsidP="007F1532">
            <w:pPr>
              <w:widowControl/>
              <w:tabs>
                <w:tab w:val="left" w:pos="227"/>
                <w:tab w:val="left" w:pos="397"/>
                <w:tab w:val="left" w:pos="567"/>
              </w:tabs>
              <w:spacing w:line="240" w:lineRule="exact"/>
              <w:ind w:left="397" w:hanging="170"/>
              <w:jc w:val="left"/>
              <w:rPr>
                <w:sz w:val="22"/>
                <w:rtl/>
              </w:rPr>
            </w:pPr>
            <w:r w:rsidRPr="007F1532">
              <w:rPr>
                <w:rFonts w:hint="eastAsia"/>
                <w:sz w:val="22"/>
                <w:rtl/>
              </w:rPr>
              <w:t>ברווח</w:t>
            </w:r>
            <w:r w:rsidRPr="007F1532">
              <w:rPr>
                <w:sz w:val="22"/>
                <w:rtl/>
              </w:rPr>
              <w:t xml:space="preserve"> (הפסד ) </w:t>
            </w:r>
            <w:r w:rsidRPr="007F1532">
              <w:rPr>
                <w:rFonts w:hint="eastAsia"/>
                <w:sz w:val="22"/>
                <w:rtl/>
              </w:rPr>
              <w:t>כולל</w:t>
            </w:r>
            <w:r w:rsidRPr="007F1532">
              <w:rPr>
                <w:sz w:val="22"/>
                <w:rtl/>
              </w:rPr>
              <w:t xml:space="preserve"> </w:t>
            </w:r>
            <w:r w:rsidRPr="007F1532">
              <w:rPr>
                <w:rFonts w:hint="eastAsia"/>
                <w:sz w:val="22"/>
                <w:rtl/>
              </w:rPr>
              <w:t>אחר</w:t>
            </w:r>
          </w:p>
        </w:tc>
        <w:tc>
          <w:tcPr>
            <w:tcW w:w="229" w:type="dxa"/>
            <w:shd w:val="clear" w:color="auto" w:fill="auto"/>
            <w:vAlign w:val="bottom"/>
          </w:tcPr>
          <w:p w14:paraId="12C5D0F7" w14:textId="77777777" w:rsidR="00AA1373" w:rsidRPr="007F1532" w:rsidRDefault="00AA1373" w:rsidP="007F1532">
            <w:pPr>
              <w:spacing w:line="240" w:lineRule="exact"/>
              <w:rPr>
                <w:sz w:val="22"/>
                <w:rtl/>
              </w:rPr>
            </w:pPr>
          </w:p>
        </w:tc>
        <w:tc>
          <w:tcPr>
            <w:tcW w:w="1373" w:type="dxa"/>
            <w:shd w:val="clear" w:color="auto" w:fill="auto"/>
            <w:vAlign w:val="bottom"/>
          </w:tcPr>
          <w:p w14:paraId="49EE5B49" w14:textId="77777777" w:rsidR="00AA1373" w:rsidRPr="007F1532" w:rsidRDefault="00AA1373" w:rsidP="007F1532">
            <w:pPr>
              <w:spacing w:line="240" w:lineRule="exact"/>
              <w:rPr>
                <w:sz w:val="22"/>
                <w:rtl/>
              </w:rPr>
            </w:pPr>
          </w:p>
        </w:tc>
      </w:tr>
      <w:tr w:rsidR="00AA1373" w:rsidRPr="007F1532" w14:paraId="7152D7FF" w14:textId="77777777" w:rsidTr="00BE65C6">
        <w:tc>
          <w:tcPr>
            <w:tcW w:w="6251" w:type="dxa"/>
            <w:shd w:val="clear" w:color="auto" w:fill="auto"/>
          </w:tcPr>
          <w:p w14:paraId="67BE712F" w14:textId="77777777" w:rsidR="00AA1373" w:rsidRPr="007F1532" w:rsidRDefault="00AA1373" w:rsidP="007F153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רכישות</w:t>
            </w:r>
          </w:p>
        </w:tc>
        <w:tc>
          <w:tcPr>
            <w:tcW w:w="229" w:type="dxa"/>
            <w:shd w:val="clear" w:color="auto" w:fill="auto"/>
            <w:vAlign w:val="bottom"/>
          </w:tcPr>
          <w:p w14:paraId="1008FDFB" w14:textId="77777777" w:rsidR="00AA1373" w:rsidRPr="007F1532" w:rsidRDefault="00AA1373" w:rsidP="007F1532">
            <w:pPr>
              <w:spacing w:line="240" w:lineRule="exact"/>
              <w:rPr>
                <w:sz w:val="22"/>
                <w:rtl/>
              </w:rPr>
            </w:pPr>
          </w:p>
        </w:tc>
        <w:tc>
          <w:tcPr>
            <w:tcW w:w="1373" w:type="dxa"/>
            <w:shd w:val="clear" w:color="auto" w:fill="auto"/>
            <w:vAlign w:val="bottom"/>
          </w:tcPr>
          <w:p w14:paraId="44043ADC" w14:textId="77777777" w:rsidR="00AA1373" w:rsidRPr="007F1532" w:rsidRDefault="00AA1373" w:rsidP="007F1532">
            <w:pPr>
              <w:spacing w:line="240" w:lineRule="exact"/>
              <w:rPr>
                <w:sz w:val="22"/>
                <w:rtl/>
              </w:rPr>
            </w:pPr>
          </w:p>
        </w:tc>
      </w:tr>
      <w:tr w:rsidR="00AA1373" w:rsidRPr="007F1532" w14:paraId="7E260ADA" w14:textId="77777777" w:rsidTr="00BE65C6">
        <w:tc>
          <w:tcPr>
            <w:tcW w:w="6251" w:type="dxa"/>
            <w:shd w:val="clear" w:color="auto" w:fill="auto"/>
          </w:tcPr>
          <w:p w14:paraId="123535D2" w14:textId="77777777" w:rsidR="00AA1373" w:rsidRPr="007F1532" w:rsidRDefault="00AA1373" w:rsidP="007F153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מימושים</w:t>
            </w:r>
          </w:p>
        </w:tc>
        <w:tc>
          <w:tcPr>
            <w:tcW w:w="229" w:type="dxa"/>
            <w:shd w:val="clear" w:color="auto" w:fill="auto"/>
            <w:vAlign w:val="bottom"/>
          </w:tcPr>
          <w:p w14:paraId="1E5E6739" w14:textId="77777777" w:rsidR="00AA1373" w:rsidRPr="007F1532" w:rsidRDefault="00AA1373" w:rsidP="007F1532">
            <w:pPr>
              <w:spacing w:line="240" w:lineRule="exact"/>
              <w:rPr>
                <w:sz w:val="22"/>
                <w:rtl/>
              </w:rPr>
            </w:pPr>
          </w:p>
        </w:tc>
        <w:tc>
          <w:tcPr>
            <w:tcW w:w="1373" w:type="dxa"/>
            <w:shd w:val="clear" w:color="auto" w:fill="auto"/>
            <w:vAlign w:val="bottom"/>
          </w:tcPr>
          <w:p w14:paraId="26AAB672" w14:textId="77777777" w:rsidR="00AA1373" w:rsidRPr="007F1532" w:rsidRDefault="00AA1373" w:rsidP="007F1532">
            <w:pPr>
              <w:spacing w:line="240" w:lineRule="exact"/>
              <w:rPr>
                <w:sz w:val="22"/>
                <w:rtl/>
              </w:rPr>
            </w:pPr>
          </w:p>
        </w:tc>
      </w:tr>
      <w:tr w:rsidR="00AA1373" w:rsidRPr="007F1532" w14:paraId="55CC2FBD" w14:textId="77777777" w:rsidTr="00BE65C6">
        <w:tc>
          <w:tcPr>
            <w:tcW w:w="6251" w:type="dxa"/>
            <w:shd w:val="clear" w:color="auto" w:fill="auto"/>
          </w:tcPr>
          <w:p w14:paraId="147B4C6D" w14:textId="77777777" w:rsidR="00AA1373" w:rsidRPr="007F1532" w:rsidRDefault="00AA1373" w:rsidP="007F153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העברות</w:t>
            </w:r>
            <w:r w:rsidRPr="007F1532">
              <w:rPr>
                <w:sz w:val="22"/>
                <w:rtl/>
              </w:rPr>
              <w:t xml:space="preserve"> </w:t>
            </w:r>
            <w:r w:rsidRPr="007F1532">
              <w:rPr>
                <w:rFonts w:hint="eastAsia"/>
                <w:sz w:val="22"/>
                <w:rtl/>
              </w:rPr>
              <w:t>מחוץ</w:t>
            </w:r>
            <w:r w:rsidRPr="007F1532">
              <w:rPr>
                <w:sz w:val="22"/>
                <w:rtl/>
              </w:rPr>
              <w:t xml:space="preserve"> </w:t>
            </w:r>
            <w:r w:rsidRPr="007F1532">
              <w:rPr>
                <w:rFonts w:hint="eastAsia"/>
                <w:sz w:val="22"/>
                <w:rtl/>
              </w:rPr>
              <w:t>לרמה</w:t>
            </w:r>
            <w:r w:rsidRPr="007F1532">
              <w:rPr>
                <w:sz w:val="22"/>
                <w:rtl/>
              </w:rPr>
              <w:t xml:space="preserve"> 3</w:t>
            </w:r>
          </w:p>
        </w:tc>
        <w:tc>
          <w:tcPr>
            <w:tcW w:w="229" w:type="dxa"/>
            <w:shd w:val="clear" w:color="auto" w:fill="auto"/>
            <w:vAlign w:val="bottom"/>
          </w:tcPr>
          <w:p w14:paraId="592FB58E" w14:textId="77777777" w:rsidR="00AA1373" w:rsidRPr="007F1532" w:rsidRDefault="00AA1373" w:rsidP="007F1532">
            <w:pPr>
              <w:spacing w:line="240" w:lineRule="exact"/>
              <w:rPr>
                <w:sz w:val="22"/>
                <w:rtl/>
              </w:rPr>
            </w:pPr>
          </w:p>
        </w:tc>
        <w:tc>
          <w:tcPr>
            <w:tcW w:w="1373" w:type="dxa"/>
            <w:shd w:val="clear" w:color="auto" w:fill="auto"/>
            <w:vAlign w:val="bottom"/>
          </w:tcPr>
          <w:p w14:paraId="1654FF20" w14:textId="77777777" w:rsidR="00AA1373" w:rsidRPr="007F1532" w:rsidRDefault="00AA1373" w:rsidP="007F1532">
            <w:pPr>
              <w:spacing w:line="240" w:lineRule="exact"/>
              <w:rPr>
                <w:sz w:val="22"/>
                <w:rtl/>
              </w:rPr>
            </w:pPr>
          </w:p>
        </w:tc>
      </w:tr>
      <w:tr w:rsidR="00AA1373" w:rsidRPr="007F1532" w14:paraId="444DB915" w14:textId="77777777" w:rsidTr="00BE65C6">
        <w:tc>
          <w:tcPr>
            <w:tcW w:w="6251" w:type="dxa"/>
            <w:shd w:val="clear" w:color="auto" w:fill="auto"/>
          </w:tcPr>
          <w:p w14:paraId="15503995" w14:textId="77777777" w:rsidR="00AA1373" w:rsidRPr="007F1532" w:rsidRDefault="00AA1373" w:rsidP="007F153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העברות</w:t>
            </w:r>
            <w:r w:rsidRPr="007F1532">
              <w:rPr>
                <w:sz w:val="22"/>
                <w:rtl/>
              </w:rPr>
              <w:t xml:space="preserve"> </w:t>
            </w:r>
            <w:r w:rsidRPr="007F1532">
              <w:rPr>
                <w:rFonts w:hint="eastAsia"/>
                <w:sz w:val="22"/>
                <w:rtl/>
              </w:rPr>
              <w:t>לתוך</w:t>
            </w:r>
            <w:r w:rsidRPr="007F1532">
              <w:rPr>
                <w:sz w:val="22"/>
                <w:rtl/>
              </w:rPr>
              <w:t xml:space="preserve"> </w:t>
            </w:r>
            <w:r w:rsidRPr="007F1532">
              <w:rPr>
                <w:rFonts w:hint="eastAsia"/>
                <w:sz w:val="22"/>
                <w:rtl/>
              </w:rPr>
              <w:t>רמה</w:t>
            </w:r>
            <w:r w:rsidRPr="007F1532">
              <w:rPr>
                <w:sz w:val="22"/>
                <w:rtl/>
              </w:rPr>
              <w:t xml:space="preserve"> 3</w:t>
            </w:r>
          </w:p>
        </w:tc>
        <w:tc>
          <w:tcPr>
            <w:tcW w:w="229" w:type="dxa"/>
            <w:shd w:val="clear" w:color="auto" w:fill="auto"/>
            <w:vAlign w:val="bottom"/>
          </w:tcPr>
          <w:p w14:paraId="41BDCD64" w14:textId="77777777" w:rsidR="00AA1373" w:rsidRPr="007F1532" w:rsidRDefault="00AA1373" w:rsidP="007F1532">
            <w:pPr>
              <w:spacing w:line="240" w:lineRule="exact"/>
              <w:rPr>
                <w:sz w:val="22"/>
                <w:rtl/>
              </w:rPr>
            </w:pPr>
          </w:p>
        </w:tc>
        <w:tc>
          <w:tcPr>
            <w:tcW w:w="1373" w:type="dxa"/>
            <w:shd w:val="clear" w:color="auto" w:fill="auto"/>
            <w:vAlign w:val="bottom"/>
          </w:tcPr>
          <w:p w14:paraId="297D3B03" w14:textId="77777777" w:rsidR="00AA1373" w:rsidRPr="007F1532" w:rsidRDefault="00AA1373" w:rsidP="007F1532">
            <w:pPr>
              <w:spacing w:line="240" w:lineRule="exact"/>
              <w:rPr>
                <w:sz w:val="22"/>
                <w:rtl/>
              </w:rPr>
            </w:pPr>
          </w:p>
        </w:tc>
      </w:tr>
      <w:tr w:rsidR="00AA1373" w:rsidRPr="007F1532" w14:paraId="734A65D9" w14:textId="77777777" w:rsidTr="00BE65C6">
        <w:tc>
          <w:tcPr>
            <w:tcW w:w="6251" w:type="dxa"/>
            <w:shd w:val="clear" w:color="auto" w:fill="auto"/>
          </w:tcPr>
          <w:p w14:paraId="74C2300B" w14:textId="77777777" w:rsidR="00AA1373" w:rsidRPr="007F1532" w:rsidRDefault="00AA1373" w:rsidP="007F1532">
            <w:pPr>
              <w:widowControl/>
              <w:tabs>
                <w:tab w:val="left" w:pos="227"/>
                <w:tab w:val="left" w:pos="397"/>
                <w:tab w:val="left" w:pos="567"/>
              </w:tabs>
              <w:spacing w:line="240" w:lineRule="exact"/>
              <w:ind w:firstLine="57"/>
              <w:jc w:val="left"/>
              <w:rPr>
                <w:b/>
                <w:bCs/>
                <w:sz w:val="22"/>
                <w:rtl/>
              </w:rPr>
            </w:pPr>
          </w:p>
        </w:tc>
        <w:tc>
          <w:tcPr>
            <w:tcW w:w="229" w:type="dxa"/>
            <w:shd w:val="clear" w:color="auto" w:fill="auto"/>
            <w:vAlign w:val="bottom"/>
          </w:tcPr>
          <w:p w14:paraId="58BA18E5" w14:textId="77777777" w:rsidR="00AA1373" w:rsidRPr="007F1532" w:rsidRDefault="00AA1373" w:rsidP="007F1532">
            <w:pPr>
              <w:spacing w:line="240" w:lineRule="exact"/>
              <w:rPr>
                <w:sz w:val="22"/>
                <w:rtl/>
              </w:rPr>
            </w:pPr>
          </w:p>
        </w:tc>
        <w:tc>
          <w:tcPr>
            <w:tcW w:w="1373" w:type="dxa"/>
            <w:shd w:val="clear" w:color="auto" w:fill="auto"/>
            <w:vAlign w:val="bottom"/>
          </w:tcPr>
          <w:p w14:paraId="7659EF9E" w14:textId="77777777" w:rsidR="00AA1373" w:rsidRPr="007F1532" w:rsidRDefault="00AA1373" w:rsidP="007F1532">
            <w:pPr>
              <w:spacing w:line="240" w:lineRule="exact"/>
              <w:rPr>
                <w:sz w:val="22"/>
                <w:rtl/>
              </w:rPr>
            </w:pPr>
          </w:p>
        </w:tc>
      </w:tr>
      <w:tr w:rsidR="00AA1373" w:rsidRPr="007F1532" w14:paraId="40B7F5FD" w14:textId="77777777" w:rsidTr="00BE65C6">
        <w:tc>
          <w:tcPr>
            <w:tcW w:w="6251" w:type="dxa"/>
            <w:shd w:val="clear" w:color="auto" w:fill="auto"/>
          </w:tcPr>
          <w:p w14:paraId="083233F1" w14:textId="70E78F14" w:rsidR="00AA1373" w:rsidRPr="007F1532" w:rsidRDefault="00AA1373" w:rsidP="001F49C2">
            <w:pPr>
              <w:widowControl/>
              <w:tabs>
                <w:tab w:val="left" w:pos="227"/>
                <w:tab w:val="left" w:pos="397"/>
                <w:tab w:val="left" w:pos="567"/>
              </w:tabs>
              <w:spacing w:line="240" w:lineRule="exact"/>
              <w:ind w:firstLine="57"/>
              <w:jc w:val="left"/>
              <w:rPr>
                <w:b/>
                <w:bCs/>
                <w:sz w:val="22"/>
                <w:rtl/>
              </w:rPr>
            </w:pPr>
            <w:r w:rsidRPr="007F1532">
              <w:rPr>
                <w:rFonts w:hint="cs"/>
                <w:b/>
                <w:bCs/>
                <w:sz w:val="22"/>
                <w:rtl/>
              </w:rPr>
              <w:t xml:space="preserve">יתרה ליום 31 בדצמבר, </w:t>
            </w:r>
            <w:r w:rsidR="004F7D3D" w:rsidRPr="007F1532">
              <w:rPr>
                <w:rFonts w:hint="cs"/>
                <w:b/>
                <w:bCs/>
                <w:sz w:val="22"/>
                <w:rtl/>
              </w:rPr>
              <w:t>201</w:t>
            </w:r>
            <w:r w:rsidR="001F49C2">
              <w:rPr>
                <w:rFonts w:hint="cs"/>
                <w:b/>
                <w:bCs/>
                <w:sz w:val="22"/>
                <w:rtl/>
              </w:rPr>
              <w:t>8</w:t>
            </w:r>
          </w:p>
        </w:tc>
        <w:tc>
          <w:tcPr>
            <w:tcW w:w="229" w:type="dxa"/>
            <w:shd w:val="clear" w:color="auto" w:fill="auto"/>
            <w:vAlign w:val="bottom"/>
          </w:tcPr>
          <w:p w14:paraId="08FF4CA4" w14:textId="77777777" w:rsidR="00AA1373" w:rsidRPr="007F1532" w:rsidRDefault="00AA1373" w:rsidP="007F1532">
            <w:pPr>
              <w:spacing w:line="240" w:lineRule="exact"/>
              <w:rPr>
                <w:sz w:val="22"/>
                <w:rtl/>
              </w:rPr>
            </w:pPr>
          </w:p>
        </w:tc>
        <w:tc>
          <w:tcPr>
            <w:tcW w:w="1373" w:type="dxa"/>
            <w:shd w:val="clear" w:color="auto" w:fill="auto"/>
            <w:vAlign w:val="bottom"/>
          </w:tcPr>
          <w:p w14:paraId="452BE9DF" w14:textId="77777777" w:rsidR="00AA1373" w:rsidRPr="007F1532" w:rsidRDefault="00AA1373" w:rsidP="007F1532">
            <w:pPr>
              <w:spacing w:line="240" w:lineRule="exact"/>
              <w:rPr>
                <w:sz w:val="22"/>
                <w:rtl/>
              </w:rPr>
            </w:pPr>
          </w:p>
        </w:tc>
      </w:tr>
      <w:tr w:rsidR="00AA1373" w:rsidRPr="007F1532" w14:paraId="3F9C1966" w14:textId="77777777" w:rsidTr="00BE65C6">
        <w:tc>
          <w:tcPr>
            <w:tcW w:w="6251" w:type="dxa"/>
            <w:shd w:val="clear" w:color="auto" w:fill="auto"/>
          </w:tcPr>
          <w:p w14:paraId="6C64CCEA" w14:textId="77777777" w:rsidR="00AA1373" w:rsidRPr="007F1532" w:rsidRDefault="00AA1373" w:rsidP="007F1532">
            <w:pPr>
              <w:widowControl/>
              <w:tabs>
                <w:tab w:val="left" w:pos="227"/>
                <w:tab w:val="left" w:pos="397"/>
                <w:tab w:val="left" w:pos="567"/>
              </w:tabs>
              <w:spacing w:line="240" w:lineRule="exact"/>
              <w:ind w:firstLine="57"/>
              <w:jc w:val="left"/>
              <w:rPr>
                <w:b/>
                <w:bCs/>
                <w:sz w:val="22"/>
                <w:rtl/>
              </w:rPr>
            </w:pPr>
          </w:p>
        </w:tc>
        <w:tc>
          <w:tcPr>
            <w:tcW w:w="229" w:type="dxa"/>
            <w:shd w:val="clear" w:color="auto" w:fill="auto"/>
            <w:vAlign w:val="bottom"/>
          </w:tcPr>
          <w:p w14:paraId="72161D53" w14:textId="77777777" w:rsidR="00AA1373" w:rsidRPr="007F1532" w:rsidRDefault="00AA1373" w:rsidP="007F1532">
            <w:pPr>
              <w:spacing w:line="240" w:lineRule="exact"/>
              <w:rPr>
                <w:sz w:val="22"/>
                <w:rtl/>
              </w:rPr>
            </w:pPr>
          </w:p>
        </w:tc>
        <w:tc>
          <w:tcPr>
            <w:tcW w:w="1373" w:type="dxa"/>
            <w:shd w:val="clear" w:color="auto" w:fill="auto"/>
            <w:vAlign w:val="bottom"/>
          </w:tcPr>
          <w:p w14:paraId="556FDDC8" w14:textId="77777777" w:rsidR="00AA1373" w:rsidRPr="007F1532" w:rsidRDefault="00AA1373" w:rsidP="007F1532">
            <w:pPr>
              <w:spacing w:line="240" w:lineRule="exact"/>
              <w:rPr>
                <w:sz w:val="22"/>
                <w:rtl/>
              </w:rPr>
            </w:pPr>
          </w:p>
        </w:tc>
      </w:tr>
      <w:tr w:rsidR="00AA1373" w:rsidRPr="007F1532" w14:paraId="3B9F4C0D" w14:textId="77777777" w:rsidTr="00BE65C6">
        <w:tc>
          <w:tcPr>
            <w:tcW w:w="6251" w:type="dxa"/>
            <w:shd w:val="clear" w:color="auto" w:fill="auto"/>
          </w:tcPr>
          <w:p w14:paraId="62872C6E" w14:textId="6F7E1AB7" w:rsidR="00AA1373" w:rsidRPr="007F1532" w:rsidRDefault="00AA1373" w:rsidP="007F1532">
            <w:pPr>
              <w:widowControl/>
              <w:tabs>
                <w:tab w:val="left" w:pos="227"/>
                <w:tab w:val="left" w:pos="397"/>
                <w:tab w:val="left" w:pos="567"/>
              </w:tabs>
              <w:spacing w:line="240" w:lineRule="exact"/>
              <w:ind w:firstLine="57"/>
              <w:jc w:val="left"/>
              <w:rPr>
                <w:b/>
                <w:bCs/>
                <w:sz w:val="22"/>
                <w:rtl/>
              </w:rPr>
            </w:pPr>
            <w:r w:rsidRPr="00CF00B7">
              <w:rPr>
                <w:rFonts w:hint="cs"/>
                <w:sz w:val="22"/>
                <w:rtl/>
              </w:rPr>
              <w:t>*</w:t>
            </w:r>
            <w:r w:rsidR="00E72837" w:rsidRPr="00CF00B7">
              <w:rPr>
                <w:rFonts w:hint="cs"/>
                <w:sz w:val="22"/>
                <w:rtl/>
              </w:rPr>
              <w:t>)</w:t>
            </w:r>
            <w:r w:rsidR="00E72837" w:rsidRPr="00CF00B7">
              <w:rPr>
                <w:sz w:val="22"/>
                <w:rtl/>
              </w:rPr>
              <w:tab/>
            </w:r>
            <w:r w:rsidR="00E72837" w:rsidRPr="00CF00B7">
              <w:rPr>
                <w:sz w:val="22"/>
                <w:rtl/>
              </w:rPr>
              <w:tab/>
            </w:r>
            <w:r w:rsidRPr="007F1532">
              <w:rPr>
                <w:rFonts w:hint="cs"/>
                <w:sz w:val="22"/>
                <w:u w:val="single"/>
                <w:rtl/>
              </w:rPr>
              <w:t>מתוכו:</w:t>
            </w:r>
          </w:p>
        </w:tc>
        <w:tc>
          <w:tcPr>
            <w:tcW w:w="229" w:type="dxa"/>
            <w:shd w:val="clear" w:color="auto" w:fill="auto"/>
            <w:vAlign w:val="bottom"/>
          </w:tcPr>
          <w:p w14:paraId="76C051A6" w14:textId="77777777" w:rsidR="00AA1373" w:rsidRPr="007F1532" w:rsidRDefault="00AA1373" w:rsidP="007F1532">
            <w:pPr>
              <w:spacing w:line="240" w:lineRule="exact"/>
              <w:rPr>
                <w:sz w:val="22"/>
                <w:rtl/>
              </w:rPr>
            </w:pPr>
          </w:p>
        </w:tc>
        <w:tc>
          <w:tcPr>
            <w:tcW w:w="1373" w:type="dxa"/>
            <w:shd w:val="clear" w:color="auto" w:fill="auto"/>
            <w:vAlign w:val="bottom"/>
          </w:tcPr>
          <w:p w14:paraId="4B093767" w14:textId="77777777" w:rsidR="00AA1373" w:rsidRPr="007F1532" w:rsidRDefault="00AA1373" w:rsidP="007F1532">
            <w:pPr>
              <w:spacing w:line="240" w:lineRule="exact"/>
              <w:rPr>
                <w:sz w:val="22"/>
                <w:rtl/>
              </w:rPr>
            </w:pPr>
          </w:p>
        </w:tc>
      </w:tr>
      <w:tr w:rsidR="00AA1373" w:rsidRPr="007F1532" w14:paraId="6C6914F4" w14:textId="77777777" w:rsidTr="00BE65C6">
        <w:tc>
          <w:tcPr>
            <w:tcW w:w="6251" w:type="dxa"/>
            <w:shd w:val="clear" w:color="auto" w:fill="auto"/>
          </w:tcPr>
          <w:p w14:paraId="69355C32" w14:textId="3FA9BCF6" w:rsidR="00AA1373" w:rsidRPr="007F1532" w:rsidRDefault="00E72837" w:rsidP="007F1532">
            <w:pPr>
              <w:widowControl/>
              <w:tabs>
                <w:tab w:val="left" w:pos="227"/>
                <w:tab w:val="left" w:pos="397"/>
                <w:tab w:val="left" w:pos="567"/>
              </w:tabs>
              <w:spacing w:line="240" w:lineRule="exact"/>
              <w:ind w:left="227" w:hanging="170"/>
              <w:jc w:val="left"/>
              <w:rPr>
                <w:sz w:val="22"/>
                <w:rtl/>
              </w:rPr>
            </w:pPr>
            <w:r>
              <w:rPr>
                <w:sz w:val="22"/>
                <w:rtl/>
              </w:rPr>
              <w:tab/>
            </w:r>
            <w:r>
              <w:rPr>
                <w:sz w:val="22"/>
                <w:rtl/>
              </w:rPr>
              <w:tab/>
            </w:r>
            <w:r w:rsidR="00AA1373" w:rsidRPr="007F1532">
              <w:rPr>
                <w:rFonts w:hint="cs"/>
                <w:sz w:val="22"/>
                <w:rtl/>
              </w:rPr>
              <w:t xml:space="preserve">סך רווח (הפסד) לתקופה שלא מומש ושהוכר ברווח או הפסד בגין </w:t>
            </w:r>
            <w:r>
              <w:rPr>
                <w:sz w:val="22"/>
                <w:rtl/>
              </w:rPr>
              <w:tab/>
            </w:r>
            <w:r w:rsidR="00AA1373" w:rsidRPr="007F1532">
              <w:rPr>
                <w:rFonts w:hint="cs"/>
                <w:sz w:val="22"/>
                <w:rtl/>
              </w:rPr>
              <w:t>נכסים המוחזקים בסוף תקופת הדיווח</w:t>
            </w:r>
          </w:p>
        </w:tc>
        <w:tc>
          <w:tcPr>
            <w:tcW w:w="229" w:type="dxa"/>
            <w:shd w:val="clear" w:color="auto" w:fill="auto"/>
            <w:vAlign w:val="bottom"/>
          </w:tcPr>
          <w:p w14:paraId="3F1EE353" w14:textId="77777777" w:rsidR="00AA1373" w:rsidRPr="007F1532" w:rsidRDefault="00AA1373" w:rsidP="007F1532">
            <w:pPr>
              <w:spacing w:line="240" w:lineRule="exact"/>
              <w:rPr>
                <w:sz w:val="22"/>
                <w:rtl/>
              </w:rPr>
            </w:pPr>
          </w:p>
        </w:tc>
        <w:tc>
          <w:tcPr>
            <w:tcW w:w="1373" w:type="dxa"/>
            <w:shd w:val="clear" w:color="auto" w:fill="auto"/>
            <w:vAlign w:val="bottom"/>
          </w:tcPr>
          <w:p w14:paraId="1F03B5FB" w14:textId="77777777" w:rsidR="00AA1373" w:rsidRPr="007F1532" w:rsidRDefault="00AA1373" w:rsidP="007F1532">
            <w:pPr>
              <w:spacing w:line="240" w:lineRule="exact"/>
              <w:rPr>
                <w:sz w:val="22"/>
                <w:rtl/>
              </w:rPr>
            </w:pPr>
          </w:p>
        </w:tc>
      </w:tr>
    </w:tbl>
    <w:p w14:paraId="1655CC61" w14:textId="77777777" w:rsidR="00AA1373" w:rsidRDefault="00AA1373" w:rsidP="00892691">
      <w:pPr>
        <w:pStyle w:val="21"/>
        <w:ind w:left="1689" w:firstLine="0"/>
        <w:rPr>
          <w:rtl/>
        </w:rPr>
      </w:pPr>
    </w:p>
    <w:tbl>
      <w:tblPr>
        <w:tblStyle w:val="af6"/>
        <w:bidiVisual/>
        <w:tblW w:w="9739"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596"/>
        <w:gridCol w:w="8181"/>
      </w:tblGrid>
      <w:tr w:rsidR="003517FC" w14:paraId="0E98A61B" w14:textId="77777777" w:rsidTr="003351ED">
        <w:tc>
          <w:tcPr>
            <w:tcW w:w="962" w:type="dxa"/>
            <w:tcBorders>
              <w:bottom w:val="single" w:sz="6" w:space="0" w:color="auto"/>
              <w:right w:val="single" w:sz="6" w:space="0" w:color="auto"/>
            </w:tcBorders>
            <w:tcMar>
              <w:left w:w="0" w:type="dxa"/>
              <w:right w:w="0" w:type="dxa"/>
            </w:tcMar>
            <w:vAlign w:val="center"/>
          </w:tcPr>
          <w:p w14:paraId="748E62E7" w14:textId="77777777" w:rsidR="003D46A8" w:rsidRDefault="003517FC">
            <w:pPr>
              <w:rPr>
                <w:i/>
                <w:iCs/>
                <w:sz w:val="13"/>
                <w:szCs w:val="13"/>
                <w:rtl/>
              </w:rPr>
            </w:pPr>
            <w:r>
              <w:rPr>
                <w:i/>
                <w:iCs/>
                <w:sz w:val="13"/>
                <w:szCs w:val="13"/>
              </w:rPr>
              <w:t>IFRS 13.91(b)</w:t>
            </w:r>
          </w:p>
          <w:p w14:paraId="15752491" w14:textId="77777777" w:rsidR="00892691" w:rsidRDefault="003517FC">
            <w:pPr>
              <w:rPr>
                <w:i/>
                <w:iCs/>
                <w:sz w:val="13"/>
                <w:szCs w:val="13"/>
              </w:rPr>
            </w:pPr>
            <w:r>
              <w:rPr>
                <w:rFonts w:hint="cs"/>
                <w:i/>
                <w:iCs/>
                <w:sz w:val="13"/>
                <w:szCs w:val="13"/>
                <w:rtl/>
              </w:rPr>
              <w:t>ן</w:t>
            </w:r>
            <w:r>
              <w:rPr>
                <w:i/>
                <w:iCs/>
                <w:sz w:val="13"/>
                <w:szCs w:val="13"/>
              </w:rPr>
              <w:t>IFRS 13.93(c)(f)</w:t>
            </w:r>
            <w:r>
              <w:rPr>
                <w:rFonts w:hint="cs"/>
                <w:i/>
                <w:iCs/>
                <w:sz w:val="13"/>
                <w:szCs w:val="13"/>
                <w:rtl/>
              </w:rPr>
              <w:t xml:space="preserve"> </w:t>
            </w:r>
            <w:r>
              <w:rPr>
                <w:i/>
                <w:iCs/>
                <w:sz w:val="13"/>
                <w:szCs w:val="13"/>
              </w:rPr>
              <w:t>IFRS 13.93(e)(ii)</w:t>
            </w:r>
          </w:p>
          <w:p w14:paraId="4A0890D6" w14:textId="77777777" w:rsidR="00892691" w:rsidRDefault="003517FC">
            <w:pPr>
              <w:rPr>
                <w:i/>
                <w:iCs/>
                <w:sz w:val="13"/>
                <w:szCs w:val="13"/>
              </w:rPr>
            </w:pPr>
            <w:r>
              <w:rPr>
                <w:i/>
                <w:iCs/>
                <w:sz w:val="13"/>
                <w:szCs w:val="13"/>
              </w:rPr>
              <w:t>IFRS 13.93(e)(iv)</w:t>
            </w:r>
          </w:p>
        </w:tc>
        <w:tc>
          <w:tcPr>
            <w:tcW w:w="596" w:type="dxa"/>
            <w:tcBorders>
              <w:left w:val="single" w:sz="6" w:space="0" w:color="auto"/>
            </w:tcBorders>
          </w:tcPr>
          <w:p w14:paraId="45A94A7E" w14:textId="77777777" w:rsidR="003517FC" w:rsidDel="001A4186" w:rsidRDefault="003517FC" w:rsidP="003517FC">
            <w:pPr>
              <w:widowControl/>
              <w:ind w:left="57"/>
              <w:jc w:val="left"/>
              <w:rPr>
                <w:rtl/>
              </w:rPr>
            </w:pPr>
          </w:p>
        </w:tc>
        <w:tc>
          <w:tcPr>
            <w:tcW w:w="8181" w:type="dxa"/>
            <w:tcBorders>
              <w:left w:val="nil"/>
            </w:tcBorders>
            <w:tcMar>
              <w:left w:w="0" w:type="dxa"/>
              <w:right w:w="0" w:type="dxa"/>
            </w:tcMar>
          </w:tcPr>
          <w:p w14:paraId="0A9B9B12" w14:textId="198CC9F7" w:rsidR="003517FC" w:rsidRDefault="003517FC" w:rsidP="001F49C2">
            <w:pPr>
              <w:rPr>
                <w:rtl/>
              </w:rPr>
            </w:pPr>
            <w:r>
              <w:rPr>
                <w:rFonts w:hint="cs"/>
                <w:rtl/>
              </w:rPr>
              <w:t xml:space="preserve">במהלך התקופה של תשעה חודשים שהסתיימה ביום 30 בספטמבר, </w:t>
            </w:r>
            <w:r w:rsidR="004A4A6B">
              <w:rPr>
                <w:rFonts w:hint="cs"/>
                <w:rtl/>
              </w:rPr>
              <w:t>201</w:t>
            </w:r>
            <w:r w:rsidR="001F49C2">
              <w:rPr>
                <w:rFonts w:hint="cs"/>
                <w:rtl/>
              </w:rPr>
              <w:t>9</w:t>
            </w:r>
            <w:r>
              <w:rPr>
                <w:rFonts w:hint="cs"/>
                <w:rtl/>
              </w:rPr>
              <w:t xml:space="preserve">, לא היו מעברים בין רמה 1 ובין רמה 2 וכן לא היו מעברים מרמה </w:t>
            </w:r>
            <w:r w:rsidR="00517C4D">
              <w:rPr>
                <w:rFonts w:hint="cs"/>
                <w:rtl/>
              </w:rPr>
              <w:t xml:space="preserve">3 </w:t>
            </w:r>
            <w:r>
              <w:rPr>
                <w:rFonts w:hint="cs"/>
                <w:rtl/>
              </w:rPr>
              <w:t>או אל רמה 3. עלייה בשווי ההוגן בסך ___ אלפי ש"ח הוכרה ברווח כולל אחר.</w:t>
            </w:r>
          </w:p>
        </w:tc>
      </w:tr>
    </w:tbl>
    <w:p w14:paraId="3838D617" w14:textId="77777777" w:rsidR="003776A6" w:rsidRPr="003700B8" w:rsidRDefault="003776A6" w:rsidP="003776A6">
      <w:pPr>
        <w:pStyle w:val="21"/>
        <w:rPr>
          <w:rtl/>
        </w:rPr>
      </w:pPr>
    </w:p>
    <w:tbl>
      <w:tblPr>
        <w:tblStyle w:val="af6"/>
        <w:bidiVisual/>
        <w:tblW w:w="9739"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812"/>
        <w:gridCol w:w="7965"/>
      </w:tblGrid>
      <w:tr w:rsidR="003517FC" w14:paraId="6391097A" w14:textId="77777777" w:rsidTr="009D61A0">
        <w:tc>
          <w:tcPr>
            <w:tcW w:w="962" w:type="dxa"/>
            <w:tcBorders>
              <w:bottom w:val="single" w:sz="6" w:space="0" w:color="auto"/>
              <w:right w:val="single" w:sz="6" w:space="0" w:color="auto"/>
            </w:tcBorders>
            <w:tcMar>
              <w:left w:w="0" w:type="dxa"/>
              <w:right w:w="0" w:type="dxa"/>
            </w:tcMar>
            <w:vAlign w:val="center"/>
          </w:tcPr>
          <w:p w14:paraId="7C70273C" w14:textId="77777777" w:rsidR="00892691" w:rsidRDefault="003517FC" w:rsidP="00892691">
            <w:pPr>
              <w:jc w:val="left"/>
              <w:rPr>
                <w:i/>
                <w:iCs/>
                <w:sz w:val="13"/>
                <w:szCs w:val="13"/>
                <w:rtl/>
              </w:rPr>
            </w:pPr>
            <w:r>
              <w:rPr>
                <w:i/>
                <w:iCs/>
                <w:sz w:val="13"/>
                <w:szCs w:val="13"/>
              </w:rPr>
              <w:t>IFRS 13.91(a))</w:t>
            </w:r>
          </w:p>
          <w:p w14:paraId="759E318A" w14:textId="77777777" w:rsidR="00892691" w:rsidRDefault="003517FC" w:rsidP="00892691">
            <w:pPr>
              <w:jc w:val="left"/>
              <w:rPr>
                <w:i/>
                <w:iCs/>
                <w:sz w:val="13"/>
                <w:szCs w:val="13"/>
              </w:rPr>
            </w:pPr>
            <w:r>
              <w:rPr>
                <w:i/>
                <w:iCs/>
                <w:sz w:val="13"/>
                <w:szCs w:val="13"/>
              </w:rPr>
              <w:t>IFRS 13.</w:t>
            </w:r>
            <w:r w:rsidR="00E8280F">
              <w:rPr>
                <w:i/>
                <w:iCs/>
                <w:sz w:val="13"/>
                <w:szCs w:val="13"/>
              </w:rPr>
              <w:t>93</w:t>
            </w:r>
            <w:r>
              <w:rPr>
                <w:i/>
                <w:iCs/>
                <w:sz w:val="13"/>
                <w:szCs w:val="13"/>
              </w:rPr>
              <w:t>(d)</w:t>
            </w:r>
          </w:p>
        </w:tc>
        <w:tc>
          <w:tcPr>
            <w:tcW w:w="812" w:type="dxa"/>
            <w:tcBorders>
              <w:left w:val="single" w:sz="6" w:space="0" w:color="auto"/>
            </w:tcBorders>
          </w:tcPr>
          <w:p w14:paraId="50DF6801" w14:textId="77777777" w:rsidR="003517FC" w:rsidDel="001A4186" w:rsidRDefault="003517FC" w:rsidP="003517FC">
            <w:pPr>
              <w:widowControl/>
              <w:ind w:left="57"/>
              <w:jc w:val="left"/>
              <w:rPr>
                <w:rtl/>
              </w:rPr>
            </w:pPr>
            <w:r>
              <w:rPr>
                <w:rFonts w:hint="cs"/>
                <w:rtl/>
              </w:rPr>
              <w:t>ג.</w:t>
            </w:r>
          </w:p>
        </w:tc>
        <w:tc>
          <w:tcPr>
            <w:tcW w:w="7965" w:type="dxa"/>
            <w:tcBorders>
              <w:left w:val="nil"/>
            </w:tcBorders>
            <w:tcMar>
              <w:left w:w="0" w:type="dxa"/>
              <w:right w:w="0" w:type="dxa"/>
            </w:tcMar>
          </w:tcPr>
          <w:p w14:paraId="25A5C55B" w14:textId="77777777" w:rsidR="003517FC" w:rsidRPr="009D61A0" w:rsidRDefault="00892691" w:rsidP="009D61A0">
            <w:pPr>
              <w:rPr>
                <w:u w:val="single"/>
                <w:rtl/>
              </w:rPr>
            </w:pPr>
            <w:r w:rsidRPr="009D61A0">
              <w:rPr>
                <w:rFonts w:hint="eastAsia"/>
                <w:u w:val="single"/>
                <w:rtl/>
              </w:rPr>
              <w:t>טכניקות</w:t>
            </w:r>
            <w:r w:rsidRPr="009D61A0">
              <w:rPr>
                <w:u w:val="single"/>
                <w:rtl/>
              </w:rPr>
              <w:t xml:space="preserve"> </w:t>
            </w:r>
            <w:r w:rsidRPr="009D61A0">
              <w:rPr>
                <w:rFonts w:hint="eastAsia"/>
                <w:u w:val="single"/>
                <w:rtl/>
              </w:rPr>
              <w:t>הערכה</w:t>
            </w:r>
          </w:p>
        </w:tc>
      </w:tr>
    </w:tbl>
    <w:p w14:paraId="75DE5EA7" w14:textId="77777777" w:rsidR="00CF00B7" w:rsidRDefault="00CF00B7" w:rsidP="00CF00B7">
      <w:pPr>
        <w:rPr>
          <w:rtl/>
        </w:rPr>
      </w:pPr>
    </w:p>
    <w:p w14:paraId="0C5ADCEA" w14:textId="77777777" w:rsidR="00892691" w:rsidRDefault="00E44186" w:rsidP="00892691">
      <w:pPr>
        <w:pStyle w:val="21"/>
        <w:ind w:left="1689" w:firstLine="0"/>
        <w:rPr>
          <w:rtl/>
        </w:rPr>
      </w:pPr>
      <w:r>
        <w:rPr>
          <w:rFonts w:hint="cs"/>
          <w:rtl/>
        </w:rPr>
        <w:t xml:space="preserve">לחברה חוזי אקדמה במטבע חוץ הנמדדים </w:t>
      </w:r>
      <w:r w:rsidR="00057AAC">
        <w:rPr>
          <w:rFonts w:hint="cs"/>
          <w:rtl/>
        </w:rPr>
        <w:t xml:space="preserve">בהתבסס על שער ספוט נצפה, עקומות תשואה של המטבעות הרלוונטיים וכן המרווחים בין המטבעות. כל חוזי האקדמה מגובים באופן מלא אל מול מזומנים, לפיכך לא קיים סיכון אשראי של הצד שכנגד ושל החברה עצמה בגינם. </w:t>
      </w:r>
    </w:p>
    <w:p w14:paraId="14D9B522" w14:textId="77777777" w:rsidR="00892691" w:rsidRDefault="00892691" w:rsidP="00892691">
      <w:pPr>
        <w:pStyle w:val="21"/>
        <w:ind w:left="1689" w:firstLine="0"/>
        <w:rPr>
          <w:rtl/>
        </w:rPr>
      </w:pPr>
    </w:p>
    <w:p w14:paraId="7F068EB2" w14:textId="77777777" w:rsidR="00892691" w:rsidRDefault="00E8280F" w:rsidP="00892691">
      <w:pPr>
        <w:pStyle w:val="21"/>
        <w:ind w:left="1689" w:firstLine="0"/>
        <w:rPr>
          <w:rtl/>
        </w:rPr>
      </w:pPr>
      <w:r>
        <w:rPr>
          <w:rFonts w:hint="cs"/>
          <w:rtl/>
        </w:rPr>
        <w:t>הנ</w:t>
      </w:r>
      <w:r w:rsidR="00517C4D">
        <w:rPr>
          <w:rFonts w:hint="cs"/>
          <w:rtl/>
        </w:rPr>
        <w:t>גזרים המשובצים הם חוזי</w:t>
      </w:r>
      <w:r w:rsidR="00F92379">
        <w:rPr>
          <w:rFonts w:hint="cs"/>
          <w:rtl/>
        </w:rPr>
        <w:t xml:space="preserve"> אקדמה במטבע חוץ המופרד</w:t>
      </w:r>
      <w:r w:rsidR="00517C4D">
        <w:rPr>
          <w:rFonts w:hint="cs"/>
          <w:rtl/>
        </w:rPr>
        <w:t>ים מחוזי</w:t>
      </w:r>
      <w:r w:rsidR="00F92379">
        <w:rPr>
          <w:rFonts w:hint="cs"/>
          <w:rtl/>
        </w:rPr>
        <w:t xml:space="preserve"> מכירות לטווח ארוך במקרים בהם מטבע העסקה שונה ממטבע</w:t>
      </w:r>
      <w:r w:rsidR="00517C4D">
        <w:rPr>
          <w:rFonts w:hint="cs"/>
          <w:rtl/>
        </w:rPr>
        <w:t>ות הפעילות של הצדדים</w:t>
      </w:r>
      <w:r w:rsidR="00F92379">
        <w:rPr>
          <w:rFonts w:hint="cs"/>
          <w:rtl/>
        </w:rPr>
        <w:t xml:space="preserve">. </w:t>
      </w:r>
      <w:r w:rsidR="00517C4D">
        <w:rPr>
          <w:rFonts w:hint="cs"/>
          <w:rtl/>
        </w:rPr>
        <w:t>החוזים</w:t>
      </w:r>
      <w:r w:rsidR="00F92379">
        <w:rPr>
          <w:rFonts w:hint="cs"/>
          <w:rtl/>
        </w:rPr>
        <w:t xml:space="preserve"> נמדד</w:t>
      </w:r>
      <w:r w:rsidR="00517C4D">
        <w:rPr>
          <w:rFonts w:hint="cs"/>
          <w:rtl/>
        </w:rPr>
        <w:t>ים</w:t>
      </w:r>
      <w:r w:rsidR="00F92379">
        <w:rPr>
          <w:rFonts w:hint="cs"/>
          <w:rtl/>
        </w:rPr>
        <w:t xml:space="preserve"> באופן דומה למדידת חוזי אקדמה במטבע חוץ כפי שמתואר לעיל. עם זאת, מאחר והחוזים אינם </w:t>
      </w:r>
      <w:r w:rsidR="00730F89">
        <w:rPr>
          <w:rFonts w:hint="cs"/>
          <w:rtl/>
        </w:rPr>
        <w:t xml:space="preserve">מגובים </w:t>
      </w:r>
      <w:r w:rsidR="00517C4D">
        <w:rPr>
          <w:rFonts w:hint="cs"/>
          <w:rtl/>
        </w:rPr>
        <w:t>בביטחונות</w:t>
      </w:r>
      <w:r w:rsidR="00F92379">
        <w:rPr>
          <w:rFonts w:hint="cs"/>
          <w:rtl/>
        </w:rPr>
        <w:t xml:space="preserve">, החברה מביאה בחשבון </w:t>
      </w:r>
      <w:r w:rsidR="00517C4D">
        <w:rPr>
          <w:rFonts w:hint="cs"/>
          <w:rtl/>
        </w:rPr>
        <w:t xml:space="preserve">גם </w:t>
      </w:r>
      <w:r w:rsidR="00F92379">
        <w:rPr>
          <w:rFonts w:hint="cs"/>
          <w:rtl/>
        </w:rPr>
        <w:t xml:space="preserve">שינויים כלשהם בסיכוני האשראי של הצד שכנגד (עבור </w:t>
      </w:r>
      <w:r w:rsidR="00517C4D">
        <w:rPr>
          <w:rFonts w:hint="cs"/>
          <w:rtl/>
        </w:rPr>
        <w:t>הנגזרים</w:t>
      </w:r>
      <w:r w:rsidR="00F92379">
        <w:rPr>
          <w:rFonts w:hint="cs"/>
          <w:rtl/>
        </w:rPr>
        <w:t xml:space="preserve"> המשובצים</w:t>
      </w:r>
      <w:r w:rsidR="00517C4D">
        <w:rPr>
          <w:rFonts w:hint="cs"/>
          <w:rtl/>
        </w:rPr>
        <w:t xml:space="preserve"> המהווים נכסים</w:t>
      </w:r>
      <w:r w:rsidR="00ED12D8">
        <w:rPr>
          <w:rFonts w:hint="cs"/>
          <w:rtl/>
        </w:rPr>
        <w:t>), או את סיכון האשראי של החברה</w:t>
      </w:r>
      <w:r w:rsidR="00517C4D">
        <w:rPr>
          <w:rFonts w:hint="cs"/>
          <w:rtl/>
        </w:rPr>
        <w:t xml:space="preserve"> עצמה</w:t>
      </w:r>
      <w:r w:rsidR="00F92379">
        <w:rPr>
          <w:rFonts w:hint="cs"/>
          <w:rtl/>
        </w:rPr>
        <w:t xml:space="preserve"> (עבור </w:t>
      </w:r>
      <w:r w:rsidR="00517C4D">
        <w:rPr>
          <w:rFonts w:hint="cs"/>
          <w:rtl/>
        </w:rPr>
        <w:t>נגזרים משובצים המהווים התחייבויות</w:t>
      </w:r>
      <w:r w:rsidR="00F92379">
        <w:rPr>
          <w:rFonts w:hint="cs"/>
          <w:rtl/>
        </w:rPr>
        <w:t>).</w:t>
      </w:r>
    </w:p>
    <w:p w14:paraId="399D4F74" w14:textId="77777777" w:rsidR="00892691" w:rsidRDefault="00892691" w:rsidP="00892691">
      <w:pPr>
        <w:pStyle w:val="21"/>
        <w:ind w:left="1689" w:firstLine="0"/>
        <w:rPr>
          <w:rtl/>
        </w:rPr>
      </w:pPr>
    </w:p>
    <w:p w14:paraId="62FDFAAB" w14:textId="77777777" w:rsidR="00892691" w:rsidRDefault="00E34D4A" w:rsidP="00892691">
      <w:pPr>
        <w:pStyle w:val="21"/>
        <w:ind w:left="1689" w:firstLine="0"/>
        <w:rPr>
          <w:rtl/>
        </w:rPr>
      </w:pPr>
      <w:r>
        <w:rPr>
          <w:rFonts w:hint="cs"/>
          <w:rtl/>
        </w:rPr>
        <w:t xml:space="preserve">השווי ההוגן של </w:t>
      </w:r>
      <w:r w:rsidR="00F92379">
        <w:rPr>
          <w:rFonts w:hint="cs"/>
          <w:rtl/>
        </w:rPr>
        <w:t>מניות שלגביה</w:t>
      </w:r>
      <w:r>
        <w:rPr>
          <w:rFonts w:hint="cs"/>
          <w:rtl/>
        </w:rPr>
        <w:t>ן</w:t>
      </w:r>
      <w:r w:rsidR="00F92379">
        <w:rPr>
          <w:rFonts w:hint="cs"/>
          <w:rtl/>
        </w:rPr>
        <w:t xml:space="preserve"> לא קיי</w:t>
      </w:r>
      <w:r w:rsidR="00AB6F1E">
        <w:rPr>
          <w:rFonts w:hint="cs"/>
          <w:rtl/>
        </w:rPr>
        <w:t xml:space="preserve">ם מחיר שוק מצוטט, נקבע </w:t>
      </w:r>
      <w:r w:rsidR="00C93B68">
        <w:rPr>
          <w:rFonts w:hint="cs"/>
          <w:rtl/>
        </w:rPr>
        <w:t xml:space="preserve">על ידי </w:t>
      </w:r>
      <w:r>
        <w:rPr>
          <w:rFonts w:hint="cs"/>
          <w:rtl/>
        </w:rPr>
        <w:t>מודל היוון תזרימי מזומנים</w:t>
      </w:r>
      <w:r w:rsidR="00C93B68">
        <w:rPr>
          <w:rFonts w:hint="cs"/>
          <w:rtl/>
        </w:rPr>
        <w:t>. ההערכה מצריכה מהחברה להניח הנחות מסוימות לגבי נתונים שאינם ניתנים לצפייה</w:t>
      </w:r>
      <w:r>
        <w:rPr>
          <w:rFonts w:hint="cs"/>
          <w:rtl/>
        </w:rPr>
        <w:t xml:space="preserve"> הנכללים ב</w:t>
      </w:r>
      <w:r w:rsidR="00C93B68">
        <w:rPr>
          <w:rFonts w:hint="cs"/>
          <w:rtl/>
        </w:rPr>
        <w:t>מודל. הנתונים המשמעותיים שאינם ניתנים לצפייה מובאים בטבלה שלהלן:</w:t>
      </w:r>
      <w:r w:rsidR="00060688">
        <w:rPr>
          <w:rtl/>
        </w:rPr>
        <w:t xml:space="preserve"> </w:t>
      </w:r>
    </w:p>
    <w:p w14:paraId="448650AE" w14:textId="77777777" w:rsidR="00892691" w:rsidRDefault="00892691" w:rsidP="00892691">
      <w:pPr>
        <w:pStyle w:val="21"/>
        <w:ind w:left="1689" w:firstLine="0"/>
        <w:rPr>
          <w:rtl/>
        </w:rPr>
      </w:pPr>
    </w:p>
    <w:tbl>
      <w:tblPr>
        <w:bidiVisual/>
        <w:tblW w:w="0" w:type="auto"/>
        <w:tblInd w:w="114" w:type="dxa"/>
        <w:tblLayout w:type="fixed"/>
        <w:tblCellMar>
          <w:left w:w="0" w:type="dxa"/>
          <w:right w:w="0" w:type="dxa"/>
        </w:tblCellMar>
        <w:tblLook w:val="01E0" w:firstRow="1" w:lastRow="1" w:firstColumn="1" w:lastColumn="1" w:noHBand="0" w:noVBand="0"/>
      </w:tblPr>
      <w:tblGrid>
        <w:gridCol w:w="980"/>
        <w:gridCol w:w="588"/>
        <w:gridCol w:w="6521"/>
        <w:gridCol w:w="168"/>
        <w:gridCol w:w="1191"/>
      </w:tblGrid>
      <w:tr w:rsidR="00BD0F19" w:rsidRPr="007D4534" w14:paraId="43919D00" w14:textId="77777777" w:rsidTr="00AA2FCC">
        <w:tc>
          <w:tcPr>
            <w:tcW w:w="980" w:type="dxa"/>
            <w:vMerge w:val="restart"/>
            <w:tcBorders>
              <w:bottom w:val="single" w:sz="6" w:space="0" w:color="auto"/>
              <w:right w:val="single" w:sz="6" w:space="0" w:color="auto"/>
            </w:tcBorders>
            <w:shd w:val="clear" w:color="auto" w:fill="auto"/>
            <w:vAlign w:val="center"/>
          </w:tcPr>
          <w:p w14:paraId="6FD205E4" w14:textId="77777777" w:rsidR="00892691" w:rsidRPr="00892691" w:rsidRDefault="00892691" w:rsidP="00892691">
            <w:pPr>
              <w:pStyle w:val="a3"/>
              <w:ind w:left="35" w:firstLine="22"/>
              <w:rPr>
                <w:i/>
                <w:iCs/>
                <w:sz w:val="13"/>
                <w:szCs w:val="13"/>
              </w:rPr>
            </w:pPr>
            <w:r w:rsidRPr="00892691">
              <w:rPr>
                <w:i/>
                <w:iCs/>
                <w:sz w:val="13"/>
                <w:szCs w:val="13"/>
              </w:rPr>
              <w:t>IFRS 13.93 (h</w:t>
            </w:r>
            <w:r w:rsidR="00BD0F19">
              <w:rPr>
                <w:i/>
                <w:iCs/>
                <w:sz w:val="13"/>
                <w:szCs w:val="13"/>
              </w:rPr>
              <w:t>)</w:t>
            </w:r>
          </w:p>
        </w:tc>
        <w:tc>
          <w:tcPr>
            <w:tcW w:w="588" w:type="dxa"/>
            <w:tcBorders>
              <w:left w:val="single" w:sz="6" w:space="0" w:color="auto"/>
            </w:tcBorders>
            <w:shd w:val="clear" w:color="auto" w:fill="auto"/>
            <w:vAlign w:val="bottom"/>
          </w:tcPr>
          <w:p w14:paraId="6738DE22" w14:textId="77777777" w:rsidR="00BD0F19" w:rsidRPr="007D4534" w:rsidRDefault="00BD0F19" w:rsidP="00666C81">
            <w:pPr>
              <w:pStyle w:val="a3"/>
              <w:rPr>
                <w:sz w:val="22"/>
                <w:rtl/>
              </w:rPr>
            </w:pPr>
          </w:p>
        </w:tc>
        <w:tc>
          <w:tcPr>
            <w:tcW w:w="6521" w:type="dxa"/>
            <w:shd w:val="clear" w:color="auto" w:fill="auto"/>
            <w:vAlign w:val="bottom"/>
          </w:tcPr>
          <w:p w14:paraId="0BAEA42F" w14:textId="77777777" w:rsidR="00892691" w:rsidRDefault="00892691" w:rsidP="00892691">
            <w:pPr>
              <w:widowControl/>
              <w:tabs>
                <w:tab w:val="left" w:pos="227"/>
                <w:tab w:val="left" w:pos="397"/>
                <w:tab w:val="left" w:pos="567"/>
              </w:tabs>
              <w:spacing w:line="240" w:lineRule="exact"/>
              <w:ind w:left="227" w:hanging="170"/>
              <w:jc w:val="left"/>
              <w:rPr>
                <w:sz w:val="22"/>
                <w:rtl/>
              </w:rPr>
            </w:pPr>
          </w:p>
        </w:tc>
        <w:tc>
          <w:tcPr>
            <w:tcW w:w="168" w:type="dxa"/>
            <w:shd w:val="clear" w:color="auto" w:fill="auto"/>
            <w:vAlign w:val="bottom"/>
          </w:tcPr>
          <w:p w14:paraId="45DD4CC8" w14:textId="77777777" w:rsidR="00BD0F19" w:rsidRPr="007D4534" w:rsidRDefault="00BD0F19" w:rsidP="00666C81">
            <w:pPr>
              <w:spacing w:line="240" w:lineRule="exact"/>
              <w:jc w:val="center"/>
              <w:rPr>
                <w:sz w:val="22"/>
                <w:rtl/>
              </w:rPr>
            </w:pPr>
          </w:p>
        </w:tc>
        <w:tc>
          <w:tcPr>
            <w:tcW w:w="1191" w:type="dxa"/>
            <w:tcBorders>
              <w:bottom w:val="single" w:sz="6" w:space="0" w:color="auto"/>
            </w:tcBorders>
            <w:shd w:val="clear" w:color="auto" w:fill="auto"/>
            <w:vAlign w:val="bottom"/>
          </w:tcPr>
          <w:p w14:paraId="55D766DA" w14:textId="57EBE481" w:rsidR="00BD0F19" w:rsidRPr="007D4534" w:rsidRDefault="00BD0F19" w:rsidP="001F49C2">
            <w:pPr>
              <w:spacing w:line="240" w:lineRule="exact"/>
              <w:jc w:val="center"/>
              <w:rPr>
                <w:sz w:val="22"/>
                <w:rtl/>
              </w:rPr>
            </w:pPr>
            <w:r>
              <w:rPr>
                <w:rFonts w:hint="cs"/>
                <w:sz w:val="22"/>
                <w:rtl/>
              </w:rPr>
              <w:t>30 בספטמבר</w:t>
            </w:r>
            <w:r w:rsidR="00AA2FCC">
              <w:rPr>
                <w:rFonts w:hint="cs"/>
                <w:sz w:val="22"/>
                <w:rtl/>
              </w:rPr>
              <w:t>,</w:t>
            </w:r>
            <w:r>
              <w:rPr>
                <w:rFonts w:hint="cs"/>
                <w:sz w:val="22"/>
                <w:rtl/>
              </w:rPr>
              <w:t xml:space="preserve"> </w:t>
            </w:r>
            <w:r w:rsidR="004A4A6B">
              <w:rPr>
                <w:rFonts w:hint="cs"/>
                <w:sz w:val="22"/>
                <w:rtl/>
              </w:rPr>
              <w:t>201</w:t>
            </w:r>
            <w:r w:rsidR="001F49C2">
              <w:rPr>
                <w:rFonts w:hint="cs"/>
                <w:sz w:val="22"/>
                <w:rtl/>
              </w:rPr>
              <w:t>9</w:t>
            </w:r>
          </w:p>
        </w:tc>
      </w:tr>
      <w:tr w:rsidR="00BD0F19" w:rsidRPr="007D4534" w14:paraId="0DF688AC" w14:textId="77777777" w:rsidTr="00AA2FCC">
        <w:tc>
          <w:tcPr>
            <w:tcW w:w="980" w:type="dxa"/>
            <w:vMerge/>
            <w:tcBorders>
              <w:bottom w:val="single" w:sz="6" w:space="0" w:color="auto"/>
              <w:right w:val="single" w:sz="6" w:space="0" w:color="auto"/>
            </w:tcBorders>
            <w:shd w:val="clear" w:color="auto" w:fill="auto"/>
            <w:vAlign w:val="bottom"/>
          </w:tcPr>
          <w:p w14:paraId="4440E0BE" w14:textId="77777777" w:rsidR="00BD0F19" w:rsidRPr="007D4534" w:rsidRDefault="00BD0F19" w:rsidP="00666C81">
            <w:pPr>
              <w:pStyle w:val="a3"/>
              <w:rPr>
                <w:sz w:val="22"/>
                <w:rtl/>
              </w:rPr>
            </w:pPr>
          </w:p>
        </w:tc>
        <w:tc>
          <w:tcPr>
            <w:tcW w:w="588" w:type="dxa"/>
            <w:tcBorders>
              <w:left w:val="single" w:sz="6" w:space="0" w:color="auto"/>
            </w:tcBorders>
            <w:shd w:val="clear" w:color="auto" w:fill="auto"/>
            <w:vAlign w:val="bottom"/>
          </w:tcPr>
          <w:p w14:paraId="07FAA767" w14:textId="77777777" w:rsidR="00BD0F19" w:rsidRPr="007D4534" w:rsidRDefault="00BD0F19" w:rsidP="00666C81">
            <w:pPr>
              <w:pStyle w:val="a3"/>
              <w:rPr>
                <w:sz w:val="22"/>
                <w:rtl/>
              </w:rPr>
            </w:pPr>
          </w:p>
        </w:tc>
        <w:tc>
          <w:tcPr>
            <w:tcW w:w="6521" w:type="dxa"/>
            <w:shd w:val="clear" w:color="auto" w:fill="auto"/>
            <w:vAlign w:val="bottom"/>
          </w:tcPr>
          <w:p w14:paraId="35F4CDBF" w14:textId="77777777" w:rsidR="00892691" w:rsidRDefault="00892691" w:rsidP="00892691">
            <w:pPr>
              <w:pStyle w:val="a3"/>
              <w:rPr>
                <w:sz w:val="22"/>
                <w:rtl/>
              </w:rPr>
            </w:pPr>
          </w:p>
        </w:tc>
        <w:tc>
          <w:tcPr>
            <w:tcW w:w="168" w:type="dxa"/>
            <w:shd w:val="clear" w:color="auto" w:fill="auto"/>
            <w:vAlign w:val="bottom"/>
          </w:tcPr>
          <w:p w14:paraId="0B85DC20" w14:textId="77777777" w:rsidR="00BD0F19" w:rsidRPr="007D4534" w:rsidRDefault="00BD0F19" w:rsidP="00666C81">
            <w:pPr>
              <w:spacing w:line="240" w:lineRule="exact"/>
              <w:jc w:val="center"/>
              <w:rPr>
                <w:sz w:val="22"/>
                <w:rtl/>
              </w:rPr>
            </w:pPr>
          </w:p>
        </w:tc>
        <w:tc>
          <w:tcPr>
            <w:tcW w:w="1191" w:type="dxa"/>
            <w:tcBorders>
              <w:bottom w:val="single" w:sz="6" w:space="0" w:color="auto"/>
            </w:tcBorders>
            <w:shd w:val="clear" w:color="auto" w:fill="auto"/>
            <w:vAlign w:val="bottom"/>
          </w:tcPr>
          <w:p w14:paraId="295A72E5" w14:textId="77777777" w:rsidR="00BD0F19" w:rsidRPr="007D4534" w:rsidRDefault="00BD0F19" w:rsidP="00666C81">
            <w:pPr>
              <w:spacing w:line="240" w:lineRule="exact"/>
              <w:jc w:val="center"/>
              <w:rPr>
                <w:sz w:val="22"/>
                <w:rtl/>
              </w:rPr>
            </w:pPr>
            <w:r>
              <w:rPr>
                <w:rFonts w:hint="cs"/>
                <w:sz w:val="22"/>
                <w:rtl/>
              </w:rPr>
              <w:t>אלפי ש"ח</w:t>
            </w:r>
          </w:p>
        </w:tc>
      </w:tr>
      <w:tr w:rsidR="00BD0F19" w:rsidRPr="007D4534" w14:paraId="5AC63C8A" w14:textId="77777777" w:rsidTr="00AA2FCC">
        <w:tc>
          <w:tcPr>
            <w:tcW w:w="980" w:type="dxa"/>
            <w:vMerge/>
            <w:tcBorders>
              <w:bottom w:val="single" w:sz="6" w:space="0" w:color="auto"/>
              <w:right w:val="single" w:sz="6" w:space="0" w:color="auto"/>
            </w:tcBorders>
            <w:shd w:val="clear" w:color="auto" w:fill="auto"/>
          </w:tcPr>
          <w:p w14:paraId="45E5DAEB" w14:textId="77777777" w:rsidR="00BD0F19" w:rsidRPr="007D4534" w:rsidRDefault="00BD0F19" w:rsidP="00666C81">
            <w:pPr>
              <w:pStyle w:val="a3"/>
              <w:rPr>
                <w:sz w:val="22"/>
                <w:rtl/>
              </w:rPr>
            </w:pPr>
          </w:p>
        </w:tc>
        <w:tc>
          <w:tcPr>
            <w:tcW w:w="588" w:type="dxa"/>
            <w:tcBorders>
              <w:left w:val="single" w:sz="6" w:space="0" w:color="auto"/>
            </w:tcBorders>
            <w:shd w:val="clear" w:color="auto" w:fill="auto"/>
          </w:tcPr>
          <w:p w14:paraId="1E0C3833" w14:textId="77777777" w:rsidR="00BD0F19" w:rsidRPr="007D4534" w:rsidRDefault="00BD0F19" w:rsidP="00666C81">
            <w:pPr>
              <w:pStyle w:val="a3"/>
              <w:rPr>
                <w:sz w:val="22"/>
                <w:rtl/>
              </w:rPr>
            </w:pPr>
          </w:p>
        </w:tc>
        <w:tc>
          <w:tcPr>
            <w:tcW w:w="6521" w:type="dxa"/>
            <w:shd w:val="clear" w:color="auto" w:fill="auto"/>
            <w:vAlign w:val="bottom"/>
          </w:tcPr>
          <w:p w14:paraId="55D4B34D" w14:textId="77777777" w:rsidR="00892691" w:rsidRDefault="00892691" w:rsidP="00892691">
            <w:pPr>
              <w:pStyle w:val="a3"/>
              <w:rPr>
                <w:sz w:val="22"/>
                <w:rtl/>
              </w:rPr>
            </w:pPr>
          </w:p>
        </w:tc>
        <w:tc>
          <w:tcPr>
            <w:tcW w:w="168" w:type="dxa"/>
            <w:shd w:val="clear" w:color="auto" w:fill="auto"/>
            <w:vAlign w:val="bottom"/>
          </w:tcPr>
          <w:p w14:paraId="5BEF6258" w14:textId="77777777" w:rsidR="00BD0F19" w:rsidRPr="007D4534" w:rsidRDefault="00BD0F19" w:rsidP="00666C81">
            <w:pPr>
              <w:tabs>
                <w:tab w:val="decimal" w:pos="113"/>
              </w:tabs>
              <w:spacing w:line="240" w:lineRule="exact"/>
              <w:rPr>
                <w:sz w:val="22"/>
                <w:rtl/>
              </w:rPr>
            </w:pPr>
          </w:p>
        </w:tc>
        <w:tc>
          <w:tcPr>
            <w:tcW w:w="1191" w:type="dxa"/>
            <w:tcBorders>
              <w:top w:val="single" w:sz="6" w:space="0" w:color="auto"/>
            </w:tcBorders>
            <w:shd w:val="clear" w:color="auto" w:fill="auto"/>
            <w:vAlign w:val="bottom"/>
          </w:tcPr>
          <w:p w14:paraId="099CADDA" w14:textId="77777777" w:rsidR="00BD0F19" w:rsidRPr="007D4534" w:rsidRDefault="00BD0F19" w:rsidP="00666C81">
            <w:pPr>
              <w:tabs>
                <w:tab w:val="decimal" w:pos="113"/>
              </w:tabs>
              <w:spacing w:line="240" w:lineRule="exact"/>
              <w:rPr>
                <w:sz w:val="22"/>
                <w:rtl/>
              </w:rPr>
            </w:pPr>
          </w:p>
        </w:tc>
      </w:tr>
      <w:tr w:rsidR="00BD0F19" w:rsidRPr="007D4534" w14:paraId="117BFE85" w14:textId="77777777" w:rsidTr="00AA2FCC">
        <w:tc>
          <w:tcPr>
            <w:tcW w:w="980" w:type="dxa"/>
            <w:vMerge/>
            <w:tcBorders>
              <w:bottom w:val="single" w:sz="6" w:space="0" w:color="auto"/>
              <w:right w:val="single" w:sz="6" w:space="0" w:color="auto"/>
            </w:tcBorders>
            <w:shd w:val="clear" w:color="auto" w:fill="auto"/>
          </w:tcPr>
          <w:p w14:paraId="020D6AC1" w14:textId="77777777" w:rsidR="00BD0F19" w:rsidRDefault="00BD0F19" w:rsidP="00666C81">
            <w:pPr>
              <w:pStyle w:val="a3"/>
              <w:rPr>
                <w:sz w:val="22"/>
                <w:rtl/>
              </w:rPr>
            </w:pPr>
          </w:p>
        </w:tc>
        <w:tc>
          <w:tcPr>
            <w:tcW w:w="588" w:type="dxa"/>
            <w:tcBorders>
              <w:left w:val="single" w:sz="6" w:space="0" w:color="auto"/>
            </w:tcBorders>
            <w:shd w:val="clear" w:color="auto" w:fill="auto"/>
          </w:tcPr>
          <w:p w14:paraId="57C521D0" w14:textId="77777777" w:rsidR="00BD0F19" w:rsidRDefault="00BD0F19" w:rsidP="00666C81">
            <w:pPr>
              <w:pStyle w:val="a3"/>
              <w:rPr>
                <w:sz w:val="22"/>
                <w:rtl/>
              </w:rPr>
            </w:pPr>
          </w:p>
        </w:tc>
        <w:tc>
          <w:tcPr>
            <w:tcW w:w="6521" w:type="dxa"/>
            <w:shd w:val="clear" w:color="auto" w:fill="auto"/>
          </w:tcPr>
          <w:p w14:paraId="40AF0F24" w14:textId="77777777" w:rsidR="00892691" w:rsidRDefault="00BD0F19" w:rsidP="00892691">
            <w:pPr>
              <w:widowControl/>
              <w:tabs>
                <w:tab w:val="left" w:pos="227"/>
                <w:tab w:val="left" w:pos="397"/>
                <w:tab w:val="left" w:pos="567"/>
              </w:tabs>
              <w:spacing w:line="240" w:lineRule="exact"/>
              <w:ind w:left="227" w:hanging="170"/>
              <w:jc w:val="left"/>
              <w:rPr>
                <w:sz w:val="22"/>
                <w:rtl/>
              </w:rPr>
            </w:pPr>
            <w:r>
              <w:rPr>
                <w:rFonts w:hint="cs"/>
                <w:sz w:val="22"/>
                <w:rtl/>
              </w:rPr>
              <w:t xml:space="preserve">שיעור צמיחה ממוצע </w:t>
            </w:r>
            <w:r w:rsidR="005A7CCD">
              <w:rPr>
                <w:rFonts w:hint="cs"/>
                <w:sz w:val="22"/>
                <w:rtl/>
              </w:rPr>
              <w:t xml:space="preserve">של </w:t>
            </w:r>
            <w:r>
              <w:rPr>
                <w:rFonts w:hint="cs"/>
                <w:sz w:val="22"/>
                <w:rtl/>
              </w:rPr>
              <w:t>תזרימי המזומנים בשנים עוקבות</w:t>
            </w:r>
          </w:p>
        </w:tc>
        <w:tc>
          <w:tcPr>
            <w:tcW w:w="168" w:type="dxa"/>
            <w:shd w:val="clear" w:color="auto" w:fill="auto"/>
            <w:vAlign w:val="bottom"/>
          </w:tcPr>
          <w:p w14:paraId="16E4BC1C" w14:textId="77777777" w:rsidR="00BD0F19" w:rsidRPr="007D4534" w:rsidRDefault="00BD0F19" w:rsidP="00666C81">
            <w:pPr>
              <w:tabs>
                <w:tab w:val="decimal" w:pos="113"/>
              </w:tabs>
              <w:spacing w:line="240" w:lineRule="exact"/>
              <w:rPr>
                <w:sz w:val="22"/>
                <w:rtl/>
              </w:rPr>
            </w:pPr>
          </w:p>
        </w:tc>
        <w:tc>
          <w:tcPr>
            <w:tcW w:w="1191" w:type="dxa"/>
            <w:shd w:val="clear" w:color="auto" w:fill="auto"/>
            <w:vAlign w:val="bottom"/>
          </w:tcPr>
          <w:p w14:paraId="60114474" w14:textId="77777777" w:rsidR="00BD0F19" w:rsidRPr="007D4534" w:rsidRDefault="00BD0F19" w:rsidP="00666C81">
            <w:pPr>
              <w:tabs>
                <w:tab w:val="decimal" w:pos="113"/>
              </w:tabs>
              <w:spacing w:line="240" w:lineRule="exact"/>
              <w:rPr>
                <w:sz w:val="22"/>
                <w:rtl/>
              </w:rPr>
            </w:pPr>
          </w:p>
        </w:tc>
      </w:tr>
      <w:tr w:rsidR="00BD0F19" w:rsidRPr="007D4534" w14:paraId="0B0A05BA" w14:textId="77777777" w:rsidTr="00AA2FCC">
        <w:tc>
          <w:tcPr>
            <w:tcW w:w="980" w:type="dxa"/>
            <w:vMerge/>
            <w:tcBorders>
              <w:bottom w:val="single" w:sz="6" w:space="0" w:color="auto"/>
              <w:right w:val="single" w:sz="6" w:space="0" w:color="auto"/>
            </w:tcBorders>
            <w:shd w:val="clear" w:color="auto" w:fill="auto"/>
          </w:tcPr>
          <w:p w14:paraId="5CDFE8C4" w14:textId="77777777" w:rsidR="00BD0F19" w:rsidRDefault="00BD0F19" w:rsidP="00666C81">
            <w:pPr>
              <w:pStyle w:val="a3"/>
              <w:rPr>
                <w:sz w:val="22"/>
                <w:rtl/>
              </w:rPr>
            </w:pPr>
          </w:p>
        </w:tc>
        <w:tc>
          <w:tcPr>
            <w:tcW w:w="588" w:type="dxa"/>
            <w:tcBorders>
              <w:left w:val="single" w:sz="6" w:space="0" w:color="auto"/>
            </w:tcBorders>
            <w:shd w:val="clear" w:color="auto" w:fill="auto"/>
          </w:tcPr>
          <w:p w14:paraId="14F186BD" w14:textId="77777777" w:rsidR="00BD0F19" w:rsidRDefault="00BD0F19" w:rsidP="00666C81">
            <w:pPr>
              <w:pStyle w:val="a3"/>
              <w:rPr>
                <w:sz w:val="22"/>
                <w:rtl/>
              </w:rPr>
            </w:pPr>
          </w:p>
        </w:tc>
        <w:tc>
          <w:tcPr>
            <w:tcW w:w="6521" w:type="dxa"/>
            <w:shd w:val="clear" w:color="auto" w:fill="auto"/>
          </w:tcPr>
          <w:p w14:paraId="10CACAD8" w14:textId="77777777" w:rsidR="00892691" w:rsidRDefault="00BD0F19" w:rsidP="00892691">
            <w:pPr>
              <w:widowControl/>
              <w:tabs>
                <w:tab w:val="left" w:pos="227"/>
                <w:tab w:val="left" w:pos="397"/>
                <w:tab w:val="left" w:pos="567"/>
              </w:tabs>
              <w:spacing w:line="240" w:lineRule="exact"/>
              <w:ind w:left="227" w:hanging="170"/>
              <w:jc w:val="left"/>
              <w:rPr>
                <w:sz w:val="22"/>
                <w:rtl/>
              </w:rPr>
            </w:pPr>
            <w:r w:rsidRPr="00ED12D8">
              <w:rPr>
                <w:rFonts w:hint="cs"/>
                <w:sz w:val="22"/>
                <w:rtl/>
              </w:rPr>
              <w:t>שיעור ה</w:t>
            </w:r>
            <w:r w:rsidR="005A7CCD">
              <w:rPr>
                <w:rFonts w:hint="cs"/>
                <w:sz w:val="22"/>
                <w:rtl/>
              </w:rPr>
              <w:t>ה</w:t>
            </w:r>
            <w:r w:rsidRPr="00ED12D8">
              <w:rPr>
                <w:rFonts w:hint="cs"/>
                <w:sz w:val="22"/>
                <w:rtl/>
              </w:rPr>
              <w:t xml:space="preserve">יוון </w:t>
            </w:r>
          </w:p>
        </w:tc>
        <w:tc>
          <w:tcPr>
            <w:tcW w:w="168" w:type="dxa"/>
            <w:shd w:val="clear" w:color="auto" w:fill="auto"/>
            <w:vAlign w:val="bottom"/>
          </w:tcPr>
          <w:p w14:paraId="4ED46D33" w14:textId="77777777" w:rsidR="00BD0F19" w:rsidRPr="007D4534" w:rsidRDefault="00BD0F19" w:rsidP="00666C81">
            <w:pPr>
              <w:tabs>
                <w:tab w:val="decimal" w:pos="113"/>
              </w:tabs>
              <w:spacing w:line="240" w:lineRule="exact"/>
              <w:rPr>
                <w:sz w:val="22"/>
                <w:rtl/>
              </w:rPr>
            </w:pPr>
          </w:p>
        </w:tc>
        <w:tc>
          <w:tcPr>
            <w:tcW w:w="1191" w:type="dxa"/>
            <w:shd w:val="clear" w:color="auto" w:fill="auto"/>
            <w:vAlign w:val="bottom"/>
          </w:tcPr>
          <w:p w14:paraId="466E283A" w14:textId="77777777" w:rsidR="00BD0F19" w:rsidRPr="007D4534" w:rsidRDefault="00BD0F19" w:rsidP="00666C81">
            <w:pPr>
              <w:tabs>
                <w:tab w:val="decimal" w:pos="113"/>
              </w:tabs>
              <w:spacing w:line="240" w:lineRule="exact"/>
              <w:rPr>
                <w:sz w:val="22"/>
                <w:rtl/>
              </w:rPr>
            </w:pPr>
          </w:p>
        </w:tc>
      </w:tr>
    </w:tbl>
    <w:p w14:paraId="1A8A5D15" w14:textId="1CCB19BD" w:rsidR="00E72837" w:rsidRDefault="00E72837" w:rsidP="00892691">
      <w:pPr>
        <w:pStyle w:val="21"/>
        <w:ind w:left="1689" w:firstLine="0"/>
        <w:rPr>
          <w:rtl/>
        </w:rPr>
      </w:pPr>
    </w:p>
    <w:p w14:paraId="36A73B48" w14:textId="77777777" w:rsidR="00E72837" w:rsidRDefault="00E72837">
      <w:pPr>
        <w:widowControl/>
        <w:overflowPunct/>
        <w:autoSpaceDE/>
        <w:autoSpaceDN/>
        <w:bidi w:val="0"/>
        <w:adjustRightInd/>
        <w:spacing w:line="240" w:lineRule="auto"/>
        <w:jc w:val="left"/>
        <w:textAlignment w:val="auto"/>
        <w:rPr>
          <w:rtl/>
        </w:rPr>
      </w:pPr>
      <w:r>
        <w:rPr>
          <w:rtl/>
        </w:rPr>
        <w:br w:type="page"/>
      </w:r>
    </w:p>
    <w:p w14:paraId="489A07E8" w14:textId="77777777" w:rsidR="00E72837" w:rsidRDefault="00E72837" w:rsidP="00E72837">
      <w:pPr>
        <w:pStyle w:val="11"/>
        <w:rPr>
          <w:rtl/>
        </w:rPr>
      </w:pPr>
    </w:p>
    <w:p w14:paraId="582E2573" w14:textId="77777777" w:rsidR="00E72837" w:rsidRDefault="00E72837" w:rsidP="00E72837">
      <w:pPr>
        <w:pStyle w:val="11"/>
        <w:rPr>
          <w:rtl/>
        </w:rPr>
      </w:pPr>
    </w:p>
    <w:p w14:paraId="7D5F8244" w14:textId="77777777" w:rsidR="00E72837" w:rsidRDefault="00E72837" w:rsidP="00E72837">
      <w:pPr>
        <w:pStyle w:val="11"/>
        <w:rPr>
          <w:u w:val="single"/>
          <w:rtl/>
        </w:rPr>
      </w:pPr>
      <w:r>
        <w:rPr>
          <w:rFonts w:hint="cs"/>
          <w:rtl/>
        </w:rPr>
        <w:t>באור 15:-</w:t>
      </w:r>
      <w:r>
        <w:rPr>
          <w:rFonts w:hint="cs"/>
          <w:rtl/>
        </w:rPr>
        <w:tab/>
      </w:r>
      <w:r w:rsidRPr="007B75CB">
        <w:rPr>
          <w:rFonts w:hint="eastAsia"/>
          <w:u w:val="single"/>
          <w:rtl/>
        </w:rPr>
        <w:t>מכשירים</w:t>
      </w:r>
      <w:r w:rsidRPr="007B75CB">
        <w:rPr>
          <w:u w:val="single"/>
          <w:rtl/>
        </w:rPr>
        <w:t xml:space="preserve"> </w:t>
      </w:r>
      <w:r w:rsidRPr="007B75CB">
        <w:rPr>
          <w:rFonts w:hint="eastAsia"/>
          <w:u w:val="single"/>
          <w:rtl/>
        </w:rPr>
        <w:t>פיננסיים</w:t>
      </w:r>
      <w:r w:rsidRPr="007B75CB">
        <w:rPr>
          <w:rtl/>
        </w:rPr>
        <w:t xml:space="preserve"> (המשך)</w:t>
      </w:r>
    </w:p>
    <w:p w14:paraId="35A52D64" w14:textId="77777777" w:rsidR="003351ED" w:rsidRDefault="003351ED" w:rsidP="00892691">
      <w:pPr>
        <w:pStyle w:val="21"/>
        <w:ind w:left="1689" w:firstLine="0"/>
        <w:rPr>
          <w:rtl/>
        </w:rPr>
      </w:pPr>
    </w:p>
    <w:p w14:paraId="54157492" w14:textId="50542511" w:rsidR="00E72837" w:rsidRPr="00E72837" w:rsidRDefault="00E72837" w:rsidP="00E72837">
      <w:pPr>
        <w:pStyle w:val="21"/>
        <w:rPr>
          <w:rtl/>
        </w:rPr>
      </w:pPr>
      <w:r>
        <w:rPr>
          <w:rFonts w:hint="cs"/>
          <w:rtl/>
        </w:rPr>
        <w:t>ג.</w:t>
      </w:r>
      <w:r>
        <w:rPr>
          <w:rFonts w:hint="cs"/>
          <w:rtl/>
        </w:rPr>
        <w:tab/>
      </w:r>
      <w:r w:rsidRPr="009D61A0">
        <w:rPr>
          <w:rFonts w:hint="eastAsia"/>
          <w:u w:val="single"/>
          <w:rtl/>
        </w:rPr>
        <w:t>טכניקות</w:t>
      </w:r>
      <w:r w:rsidRPr="009D61A0">
        <w:rPr>
          <w:u w:val="single"/>
          <w:rtl/>
        </w:rPr>
        <w:t xml:space="preserve"> </w:t>
      </w:r>
      <w:r w:rsidRPr="009D61A0">
        <w:rPr>
          <w:rFonts w:hint="eastAsia"/>
          <w:u w:val="single"/>
          <w:rtl/>
        </w:rPr>
        <w:t>הערכה</w:t>
      </w:r>
      <w:r>
        <w:rPr>
          <w:rFonts w:hint="cs"/>
          <w:u w:val="single"/>
          <w:rtl/>
        </w:rPr>
        <w:t xml:space="preserve"> </w:t>
      </w:r>
      <w:r w:rsidRPr="00E72837">
        <w:rPr>
          <w:rFonts w:hint="cs"/>
          <w:rtl/>
        </w:rPr>
        <w:t>(המשך)</w:t>
      </w:r>
    </w:p>
    <w:p w14:paraId="7CEA04B7" w14:textId="77777777" w:rsidR="00E72837" w:rsidRDefault="00E72837" w:rsidP="00E72837">
      <w:pPr>
        <w:pStyle w:val="21"/>
        <w:rPr>
          <w:rtl/>
        </w:rPr>
      </w:pPr>
    </w:p>
    <w:p w14:paraId="49219E0F" w14:textId="77777777" w:rsidR="00892691" w:rsidRDefault="005A7CCD" w:rsidP="00892691">
      <w:pPr>
        <w:pStyle w:val="21"/>
        <w:ind w:left="1689" w:firstLine="0"/>
        <w:rPr>
          <w:rtl/>
        </w:rPr>
      </w:pPr>
      <w:r>
        <w:rPr>
          <w:rFonts w:hint="cs"/>
          <w:rtl/>
        </w:rPr>
        <w:t xml:space="preserve">בנוסף לאמור לעיל, תזרימי </w:t>
      </w:r>
      <w:r w:rsidR="00DC3653">
        <w:rPr>
          <w:rFonts w:hint="cs"/>
          <w:rtl/>
        </w:rPr>
        <w:t>המזומנים החזוי</w:t>
      </w:r>
      <w:r>
        <w:rPr>
          <w:rFonts w:hint="cs"/>
          <w:rtl/>
        </w:rPr>
        <w:t>ים</w:t>
      </w:r>
      <w:r w:rsidR="00DC3653">
        <w:rPr>
          <w:rFonts w:hint="cs"/>
          <w:rtl/>
        </w:rPr>
        <w:t xml:space="preserve"> לחמש השנים הראשונות </w:t>
      </w:r>
      <w:r w:rsidR="00CB7E50">
        <w:rPr>
          <w:rFonts w:hint="cs"/>
          <w:rtl/>
        </w:rPr>
        <w:t>מהווים</w:t>
      </w:r>
      <w:r w:rsidR="00DC3653">
        <w:rPr>
          <w:rFonts w:hint="cs"/>
          <w:rtl/>
        </w:rPr>
        <w:t xml:space="preserve"> נתונים משמעותיים שאינם ניתנים לצפייה. </w:t>
      </w:r>
      <w:r>
        <w:rPr>
          <w:rFonts w:hint="cs"/>
          <w:rtl/>
        </w:rPr>
        <w:t xml:space="preserve">החברה מעריכה על בסיס מתמשך </w:t>
      </w:r>
      <w:r w:rsidR="00AB6F1E">
        <w:rPr>
          <w:rFonts w:hint="cs"/>
          <w:rtl/>
        </w:rPr>
        <w:t xml:space="preserve">טווח </w:t>
      </w:r>
      <w:r w:rsidR="00E530BD">
        <w:rPr>
          <w:rFonts w:hint="cs"/>
          <w:rtl/>
        </w:rPr>
        <w:t xml:space="preserve">סביר </w:t>
      </w:r>
      <w:r>
        <w:rPr>
          <w:rFonts w:hint="cs"/>
          <w:rtl/>
        </w:rPr>
        <w:t xml:space="preserve">של חלופות </w:t>
      </w:r>
      <w:r w:rsidR="00AB6F1E">
        <w:rPr>
          <w:rFonts w:hint="cs"/>
          <w:rtl/>
        </w:rPr>
        <w:t>עבור אותם נתונים משמעותיים ש</w:t>
      </w:r>
      <w:r w:rsidR="00E530BD">
        <w:rPr>
          <w:rFonts w:hint="cs"/>
          <w:rtl/>
        </w:rPr>
        <w:t xml:space="preserve">אינם </w:t>
      </w:r>
      <w:r w:rsidR="00AB6F1E">
        <w:rPr>
          <w:rFonts w:hint="cs"/>
          <w:rtl/>
        </w:rPr>
        <w:t>ניתנים לצפייה וקובעת את השפעתם על השווי ההוגן. עליה בתזרים המזומנים החזוי ו</w:t>
      </w:r>
      <w:r>
        <w:rPr>
          <w:rFonts w:hint="cs"/>
          <w:rtl/>
        </w:rPr>
        <w:t>עליה ב</w:t>
      </w:r>
      <w:r w:rsidR="00AB6F1E">
        <w:rPr>
          <w:rFonts w:hint="cs"/>
          <w:rtl/>
        </w:rPr>
        <w:t xml:space="preserve">קצב הצמיחה של תזרימי המזומנים בתקופות עוקבות, </w:t>
      </w:r>
      <w:r>
        <w:rPr>
          <w:rFonts w:hint="cs"/>
          <w:rtl/>
        </w:rPr>
        <w:t xml:space="preserve">יובילו </w:t>
      </w:r>
      <w:r w:rsidR="00AB6F1E">
        <w:rPr>
          <w:rFonts w:hint="cs"/>
          <w:rtl/>
        </w:rPr>
        <w:t>לעליה בשווי ההוגן של המכשירים ההוניים. עליה ב</w:t>
      </w:r>
      <w:r w:rsidR="00E530BD">
        <w:rPr>
          <w:rFonts w:hint="cs"/>
          <w:rtl/>
        </w:rPr>
        <w:t xml:space="preserve">שיעור ההיוון </w:t>
      </w:r>
      <w:r w:rsidR="00057AAC">
        <w:rPr>
          <w:rFonts w:hint="cs"/>
          <w:rtl/>
        </w:rPr>
        <w:t xml:space="preserve">ששימש להיוון </w:t>
      </w:r>
      <w:r w:rsidR="00E530BD">
        <w:rPr>
          <w:rFonts w:hint="cs"/>
          <w:rtl/>
        </w:rPr>
        <w:t xml:space="preserve">תזרימי </w:t>
      </w:r>
      <w:r w:rsidR="00057AAC">
        <w:rPr>
          <w:rFonts w:hint="cs"/>
          <w:rtl/>
        </w:rPr>
        <w:t>ה</w:t>
      </w:r>
      <w:r w:rsidR="00E530BD">
        <w:rPr>
          <w:rFonts w:hint="cs"/>
          <w:rtl/>
        </w:rPr>
        <w:t xml:space="preserve">מזומנים </w:t>
      </w:r>
      <w:r>
        <w:rPr>
          <w:rFonts w:hint="cs"/>
          <w:rtl/>
        </w:rPr>
        <w:t xml:space="preserve">החזויים תוביל </w:t>
      </w:r>
      <w:r w:rsidR="00E530BD">
        <w:rPr>
          <w:rFonts w:hint="cs"/>
          <w:rtl/>
        </w:rPr>
        <w:t>לירידה בשווי ההוגן של המכשירים ההוניים. ה</w:t>
      </w:r>
      <w:r>
        <w:rPr>
          <w:rFonts w:hint="cs"/>
          <w:rtl/>
        </w:rPr>
        <w:t>שווי ההוגן של המכשירים ההוניים</w:t>
      </w:r>
      <w:r w:rsidR="00E530BD">
        <w:rPr>
          <w:rFonts w:hint="cs"/>
          <w:rtl/>
        </w:rPr>
        <w:t xml:space="preserve"> א</w:t>
      </w:r>
      <w:r w:rsidR="00BC7951">
        <w:rPr>
          <w:rFonts w:hint="cs"/>
          <w:rtl/>
        </w:rPr>
        <w:t>ינו רגיש</w:t>
      </w:r>
      <w:r w:rsidR="00E530BD">
        <w:rPr>
          <w:rFonts w:hint="cs"/>
          <w:rtl/>
        </w:rPr>
        <w:t xml:space="preserve"> באופן משמעותי לשינוי בתחזית תזרימי המזומנים או </w:t>
      </w:r>
      <w:r>
        <w:rPr>
          <w:rFonts w:hint="cs"/>
          <w:rtl/>
        </w:rPr>
        <w:t>ב</w:t>
      </w:r>
      <w:r w:rsidR="00E530BD">
        <w:rPr>
          <w:rFonts w:hint="cs"/>
          <w:rtl/>
        </w:rPr>
        <w:t xml:space="preserve">שיעור ההיוון, </w:t>
      </w:r>
      <w:r>
        <w:rPr>
          <w:rFonts w:hint="cs"/>
          <w:rtl/>
        </w:rPr>
        <w:t>אולם השווי ההוגן רגיש באופן משמעותי ל</w:t>
      </w:r>
      <w:r w:rsidR="00BC7951">
        <w:rPr>
          <w:rFonts w:hint="cs"/>
          <w:rtl/>
        </w:rPr>
        <w:t xml:space="preserve">שינוי בקצב הצמיחה </w:t>
      </w:r>
      <w:r>
        <w:rPr>
          <w:rFonts w:hint="cs"/>
          <w:rtl/>
        </w:rPr>
        <w:t xml:space="preserve">של תזרימי המזומנים החזויים, </w:t>
      </w:r>
      <w:r w:rsidR="00BC7951">
        <w:rPr>
          <w:rFonts w:hint="cs"/>
          <w:rtl/>
        </w:rPr>
        <w:t>כמתואר</w:t>
      </w:r>
      <w:r>
        <w:rPr>
          <w:rFonts w:hint="cs"/>
          <w:rtl/>
        </w:rPr>
        <w:t xml:space="preserve"> בניתוח הרגישות</w:t>
      </w:r>
      <w:r w:rsidR="00BC7951">
        <w:rPr>
          <w:rFonts w:hint="cs"/>
          <w:rtl/>
        </w:rPr>
        <w:t xml:space="preserve"> להלן:</w:t>
      </w:r>
    </w:p>
    <w:p w14:paraId="29B97E77" w14:textId="77777777" w:rsidR="00892691" w:rsidRDefault="00892691" w:rsidP="00892691">
      <w:pPr>
        <w:pStyle w:val="21"/>
        <w:ind w:left="1689" w:firstLine="0"/>
        <w:rPr>
          <w:rtl/>
        </w:rPr>
      </w:pPr>
    </w:p>
    <w:tbl>
      <w:tblPr>
        <w:bidiVisual/>
        <w:tblW w:w="0" w:type="auto"/>
        <w:tblInd w:w="1696" w:type="dxa"/>
        <w:tblLayout w:type="fixed"/>
        <w:tblCellMar>
          <w:left w:w="0" w:type="dxa"/>
          <w:right w:w="0" w:type="dxa"/>
        </w:tblCellMar>
        <w:tblLook w:val="01E0" w:firstRow="1" w:lastRow="1" w:firstColumn="1" w:lastColumn="1" w:noHBand="0" w:noVBand="0"/>
      </w:tblPr>
      <w:tblGrid>
        <w:gridCol w:w="4065"/>
        <w:gridCol w:w="192"/>
        <w:gridCol w:w="1167"/>
      </w:tblGrid>
      <w:tr w:rsidR="00D54DC0" w:rsidRPr="00E72837" w14:paraId="0852BF0F" w14:textId="77777777" w:rsidTr="00AA2FCC">
        <w:tc>
          <w:tcPr>
            <w:tcW w:w="4065" w:type="dxa"/>
            <w:shd w:val="clear" w:color="auto" w:fill="auto"/>
            <w:vAlign w:val="bottom"/>
          </w:tcPr>
          <w:p w14:paraId="4C356CFA" w14:textId="77777777" w:rsidR="00D54DC0" w:rsidRPr="00E72837" w:rsidRDefault="00D54DC0" w:rsidP="00E72837">
            <w:pPr>
              <w:widowControl/>
              <w:tabs>
                <w:tab w:val="left" w:pos="227"/>
                <w:tab w:val="left" w:pos="397"/>
                <w:tab w:val="left" w:pos="567"/>
              </w:tabs>
              <w:spacing w:line="240" w:lineRule="exact"/>
              <w:ind w:left="57"/>
              <w:jc w:val="left"/>
              <w:rPr>
                <w:sz w:val="22"/>
                <w:rtl/>
              </w:rPr>
            </w:pPr>
          </w:p>
        </w:tc>
        <w:tc>
          <w:tcPr>
            <w:tcW w:w="192" w:type="dxa"/>
            <w:shd w:val="clear" w:color="auto" w:fill="auto"/>
            <w:vAlign w:val="bottom"/>
          </w:tcPr>
          <w:p w14:paraId="38A2932E" w14:textId="77777777" w:rsidR="00D54DC0" w:rsidRPr="00E72837" w:rsidRDefault="00D54DC0" w:rsidP="00E72837">
            <w:pPr>
              <w:spacing w:line="240" w:lineRule="exact"/>
              <w:jc w:val="center"/>
              <w:rPr>
                <w:sz w:val="22"/>
                <w:rtl/>
              </w:rPr>
            </w:pPr>
          </w:p>
        </w:tc>
        <w:tc>
          <w:tcPr>
            <w:tcW w:w="1167" w:type="dxa"/>
            <w:tcBorders>
              <w:bottom w:val="single" w:sz="6" w:space="0" w:color="auto"/>
            </w:tcBorders>
            <w:shd w:val="clear" w:color="auto" w:fill="auto"/>
            <w:vAlign w:val="bottom"/>
          </w:tcPr>
          <w:p w14:paraId="4FF515D0" w14:textId="2D8550A7" w:rsidR="00D54DC0" w:rsidRPr="00E72837" w:rsidRDefault="00D54DC0" w:rsidP="00BF3BAF">
            <w:pPr>
              <w:spacing w:line="240" w:lineRule="exact"/>
              <w:jc w:val="center"/>
              <w:rPr>
                <w:sz w:val="22"/>
                <w:rtl/>
              </w:rPr>
            </w:pPr>
            <w:r w:rsidRPr="00E72837">
              <w:rPr>
                <w:rFonts w:hint="cs"/>
                <w:sz w:val="22"/>
                <w:rtl/>
              </w:rPr>
              <w:t>30 בספטמבר</w:t>
            </w:r>
            <w:r w:rsidR="00AA2FCC" w:rsidRPr="00E72837">
              <w:rPr>
                <w:rFonts w:hint="cs"/>
                <w:sz w:val="22"/>
                <w:rtl/>
              </w:rPr>
              <w:t>,</w:t>
            </w:r>
            <w:r w:rsidRPr="00E72837">
              <w:rPr>
                <w:rFonts w:hint="cs"/>
                <w:sz w:val="22"/>
                <w:rtl/>
              </w:rPr>
              <w:t xml:space="preserve"> </w:t>
            </w:r>
            <w:r w:rsidR="004A4A6B" w:rsidRPr="00E72837">
              <w:rPr>
                <w:rFonts w:hint="cs"/>
                <w:sz w:val="22"/>
                <w:rtl/>
              </w:rPr>
              <w:t>201</w:t>
            </w:r>
            <w:r w:rsidR="00BF3BAF">
              <w:rPr>
                <w:rFonts w:hint="cs"/>
                <w:sz w:val="22"/>
                <w:rtl/>
              </w:rPr>
              <w:t>9</w:t>
            </w:r>
          </w:p>
        </w:tc>
      </w:tr>
      <w:tr w:rsidR="00D54DC0" w:rsidRPr="00E72837" w14:paraId="59D66230" w14:textId="77777777" w:rsidTr="00AA2FCC">
        <w:tc>
          <w:tcPr>
            <w:tcW w:w="4065" w:type="dxa"/>
            <w:shd w:val="clear" w:color="auto" w:fill="auto"/>
            <w:vAlign w:val="bottom"/>
          </w:tcPr>
          <w:p w14:paraId="6978448A" w14:textId="77777777" w:rsidR="00D54DC0" w:rsidRPr="00E72837" w:rsidRDefault="00D54DC0" w:rsidP="00E72837">
            <w:pPr>
              <w:widowControl/>
              <w:tabs>
                <w:tab w:val="left" w:pos="227"/>
                <w:tab w:val="left" w:pos="397"/>
                <w:tab w:val="left" w:pos="567"/>
              </w:tabs>
              <w:spacing w:line="240" w:lineRule="exact"/>
              <w:ind w:left="57"/>
              <w:jc w:val="left"/>
              <w:rPr>
                <w:sz w:val="22"/>
                <w:rtl/>
              </w:rPr>
            </w:pPr>
          </w:p>
        </w:tc>
        <w:tc>
          <w:tcPr>
            <w:tcW w:w="192" w:type="dxa"/>
            <w:shd w:val="clear" w:color="auto" w:fill="auto"/>
            <w:vAlign w:val="bottom"/>
          </w:tcPr>
          <w:p w14:paraId="45EA54C6" w14:textId="77777777" w:rsidR="00D54DC0" w:rsidRPr="00E72837" w:rsidRDefault="00D54DC0" w:rsidP="00E72837">
            <w:pPr>
              <w:spacing w:line="240" w:lineRule="exact"/>
              <w:jc w:val="center"/>
              <w:rPr>
                <w:sz w:val="22"/>
                <w:rtl/>
              </w:rPr>
            </w:pPr>
          </w:p>
        </w:tc>
        <w:tc>
          <w:tcPr>
            <w:tcW w:w="1167" w:type="dxa"/>
            <w:tcBorders>
              <w:bottom w:val="single" w:sz="6" w:space="0" w:color="auto"/>
            </w:tcBorders>
            <w:shd w:val="clear" w:color="auto" w:fill="auto"/>
            <w:vAlign w:val="bottom"/>
          </w:tcPr>
          <w:p w14:paraId="49C30652" w14:textId="77777777" w:rsidR="00D54DC0" w:rsidRPr="00E72837" w:rsidRDefault="00D54DC0" w:rsidP="00E72837">
            <w:pPr>
              <w:spacing w:line="240" w:lineRule="exact"/>
              <w:jc w:val="center"/>
              <w:rPr>
                <w:sz w:val="22"/>
                <w:rtl/>
              </w:rPr>
            </w:pPr>
            <w:r w:rsidRPr="00E72837">
              <w:rPr>
                <w:rFonts w:hint="cs"/>
                <w:sz w:val="22"/>
                <w:rtl/>
              </w:rPr>
              <w:t>אלפי ש"ח</w:t>
            </w:r>
          </w:p>
        </w:tc>
      </w:tr>
      <w:tr w:rsidR="00D54DC0" w:rsidRPr="00E72837" w14:paraId="089EA6B1" w14:textId="77777777" w:rsidTr="00AA2FCC">
        <w:tc>
          <w:tcPr>
            <w:tcW w:w="4065" w:type="dxa"/>
            <w:shd w:val="clear" w:color="auto" w:fill="auto"/>
          </w:tcPr>
          <w:p w14:paraId="1081A295" w14:textId="77777777" w:rsidR="00D54DC0" w:rsidRPr="00E72837" w:rsidRDefault="00D54DC0" w:rsidP="00E72837">
            <w:pPr>
              <w:widowControl/>
              <w:tabs>
                <w:tab w:val="left" w:pos="227"/>
                <w:tab w:val="left" w:pos="397"/>
                <w:tab w:val="left" w:pos="567"/>
              </w:tabs>
              <w:spacing w:line="240" w:lineRule="exact"/>
              <w:ind w:left="57"/>
              <w:jc w:val="left"/>
              <w:rPr>
                <w:sz w:val="22"/>
                <w:rtl/>
              </w:rPr>
            </w:pPr>
          </w:p>
        </w:tc>
        <w:tc>
          <w:tcPr>
            <w:tcW w:w="192" w:type="dxa"/>
            <w:tcBorders>
              <w:top w:val="single" w:sz="6" w:space="0" w:color="auto"/>
            </w:tcBorders>
            <w:shd w:val="clear" w:color="auto" w:fill="auto"/>
            <w:vAlign w:val="bottom"/>
          </w:tcPr>
          <w:p w14:paraId="5846EB1F" w14:textId="77777777" w:rsidR="00D54DC0" w:rsidRPr="00E72837" w:rsidRDefault="00D54DC0" w:rsidP="00E72837">
            <w:pPr>
              <w:tabs>
                <w:tab w:val="decimal" w:pos="113"/>
              </w:tabs>
              <w:spacing w:line="240" w:lineRule="exact"/>
              <w:rPr>
                <w:sz w:val="22"/>
                <w:rtl/>
              </w:rPr>
            </w:pPr>
          </w:p>
        </w:tc>
        <w:tc>
          <w:tcPr>
            <w:tcW w:w="1167" w:type="dxa"/>
            <w:tcBorders>
              <w:top w:val="single" w:sz="6" w:space="0" w:color="auto"/>
            </w:tcBorders>
            <w:shd w:val="clear" w:color="auto" w:fill="auto"/>
            <w:vAlign w:val="bottom"/>
          </w:tcPr>
          <w:p w14:paraId="33B6D88F" w14:textId="77777777" w:rsidR="00D54DC0" w:rsidRPr="00E72837" w:rsidRDefault="00D54DC0" w:rsidP="00E72837">
            <w:pPr>
              <w:tabs>
                <w:tab w:val="decimal" w:pos="113"/>
              </w:tabs>
              <w:spacing w:line="240" w:lineRule="exact"/>
              <w:rPr>
                <w:sz w:val="22"/>
                <w:rtl/>
              </w:rPr>
            </w:pPr>
          </w:p>
        </w:tc>
      </w:tr>
      <w:tr w:rsidR="00D54DC0" w:rsidRPr="00E72837" w14:paraId="2ADF5400" w14:textId="77777777" w:rsidTr="00AA2FCC">
        <w:tc>
          <w:tcPr>
            <w:tcW w:w="4065" w:type="dxa"/>
            <w:shd w:val="clear" w:color="auto" w:fill="auto"/>
          </w:tcPr>
          <w:p w14:paraId="496D8561" w14:textId="77777777" w:rsidR="00D54DC0" w:rsidRPr="00E72837" w:rsidRDefault="00D54DC0" w:rsidP="00E72837">
            <w:pPr>
              <w:pStyle w:val="a3"/>
              <w:rPr>
                <w:sz w:val="22"/>
                <w:rtl/>
              </w:rPr>
            </w:pPr>
            <w:r w:rsidRPr="00E72837">
              <w:rPr>
                <w:rFonts w:hint="cs"/>
                <w:sz w:val="22"/>
                <w:rtl/>
              </w:rPr>
              <w:t>גידול של 0.3% בשיעור הצמיחה</w:t>
            </w:r>
          </w:p>
        </w:tc>
        <w:tc>
          <w:tcPr>
            <w:tcW w:w="192" w:type="dxa"/>
            <w:shd w:val="clear" w:color="auto" w:fill="auto"/>
            <w:vAlign w:val="bottom"/>
          </w:tcPr>
          <w:p w14:paraId="09A2B31B" w14:textId="77777777" w:rsidR="00D54DC0" w:rsidRPr="00E72837" w:rsidRDefault="00D54DC0" w:rsidP="00E72837">
            <w:pPr>
              <w:tabs>
                <w:tab w:val="decimal" w:pos="113"/>
              </w:tabs>
              <w:spacing w:line="240" w:lineRule="exact"/>
              <w:rPr>
                <w:sz w:val="22"/>
                <w:rtl/>
              </w:rPr>
            </w:pPr>
          </w:p>
        </w:tc>
        <w:tc>
          <w:tcPr>
            <w:tcW w:w="1167" w:type="dxa"/>
            <w:shd w:val="clear" w:color="auto" w:fill="auto"/>
            <w:vAlign w:val="bottom"/>
          </w:tcPr>
          <w:p w14:paraId="41BDD69E" w14:textId="77777777" w:rsidR="00D54DC0" w:rsidRPr="00E72837" w:rsidRDefault="00D54DC0" w:rsidP="00E72837">
            <w:pPr>
              <w:tabs>
                <w:tab w:val="decimal" w:pos="113"/>
              </w:tabs>
              <w:spacing w:line="240" w:lineRule="exact"/>
              <w:rPr>
                <w:sz w:val="22"/>
                <w:rtl/>
              </w:rPr>
            </w:pPr>
          </w:p>
        </w:tc>
      </w:tr>
      <w:tr w:rsidR="00D54DC0" w:rsidRPr="00E72837" w14:paraId="0D5D1C32" w14:textId="77777777" w:rsidTr="00AA2FCC">
        <w:tc>
          <w:tcPr>
            <w:tcW w:w="4065" w:type="dxa"/>
            <w:shd w:val="clear" w:color="auto" w:fill="auto"/>
          </w:tcPr>
          <w:p w14:paraId="54A64D5B" w14:textId="77777777" w:rsidR="00D54DC0" w:rsidRPr="00E72837" w:rsidRDefault="00D54DC0" w:rsidP="00E72837">
            <w:pPr>
              <w:pStyle w:val="a3"/>
              <w:rPr>
                <w:sz w:val="22"/>
                <w:rtl/>
              </w:rPr>
            </w:pPr>
          </w:p>
        </w:tc>
        <w:tc>
          <w:tcPr>
            <w:tcW w:w="192" w:type="dxa"/>
            <w:shd w:val="clear" w:color="auto" w:fill="auto"/>
            <w:vAlign w:val="bottom"/>
          </w:tcPr>
          <w:p w14:paraId="0AF26F3C" w14:textId="77777777" w:rsidR="00D54DC0" w:rsidRPr="00E72837" w:rsidRDefault="00D54DC0" w:rsidP="00E72837">
            <w:pPr>
              <w:tabs>
                <w:tab w:val="decimal" w:pos="113"/>
              </w:tabs>
              <w:spacing w:line="240" w:lineRule="exact"/>
              <w:rPr>
                <w:sz w:val="22"/>
                <w:rtl/>
              </w:rPr>
            </w:pPr>
          </w:p>
        </w:tc>
        <w:tc>
          <w:tcPr>
            <w:tcW w:w="1167" w:type="dxa"/>
            <w:shd w:val="clear" w:color="auto" w:fill="auto"/>
            <w:vAlign w:val="bottom"/>
          </w:tcPr>
          <w:p w14:paraId="11A1F5BD" w14:textId="77777777" w:rsidR="00D54DC0" w:rsidRPr="00E72837" w:rsidRDefault="00D54DC0" w:rsidP="00E72837">
            <w:pPr>
              <w:tabs>
                <w:tab w:val="decimal" w:pos="113"/>
              </w:tabs>
              <w:spacing w:line="240" w:lineRule="exact"/>
              <w:rPr>
                <w:sz w:val="22"/>
                <w:rtl/>
              </w:rPr>
            </w:pPr>
          </w:p>
        </w:tc>
      </w:tr>
      <w:tr w:rsidR="00D54DC0" w:rsidRPr="00E72837" w14:paraId="7B929DF5" w14:textId="77777777" w:rsidTr="00AA2FCC">
        <w:tc>
          <w:tcPr>
            <w:tcW w:w="4065" w:type="dxa"/>
            <w:shd w:val="clear" w:color="auto" w:fill="auto"/>
          </w:tcPr>
          <w:p w14:paraId="480F570C" w14:textId="77777777" w:rsidR="00D54DC0" w:rsidRPr="00E72837" w:rsidRDefault="00D54DC0" w:rsidP="00E72837">
            <w:pPr>
              <w:widowControl/>
              <w:tabs>
                <w:tab w:val="left" w:pos="227"/>
                <w:tab w:val="left" w:pos="397"/>
                <w:tab w:val="left" w:pos="567"/>
              </w:tabs>
              <w:spacing w:line="240" w:lineRule="exact"/>
              <w:ind w:firstLine="57"/>
              <w:jc w:val="left"/>
              <w:rPr>
                <w:sz w:val="22"/>
                <w:rtl/>
              </w:rPr>
            </w:pPr>
            <w:r w:rsidRPr="00E72837">
              <w:rPr>
                <w:rFonts w:hint="cs"/>
                <w:sz w:val="22"/>
                <w:rtl/>
              </w:rPr>
              <w:t>קיטון של 0.3% בשיעור הצמיחה</w:t>
            </w:r>
          </w:p>
        </w:tc>
        <w:tc>
          <w:tcPr>
            <w:tcW w:w="192" w:type="dxa"/>
            <w:shd w:val="clear" w:color="auto" w:fill="auto"/>
            <w:vAlign w:val="bottom"/>
          </w:tcPr>
          <w:p w14:paraId="0F8B39A2" w14:textId="77777777" w:rsidR="00D54DC0" w:rsidRPr="00E72837" w:rsidRDefault="00D54DC0" w:rsidP="00E72837">
            <w:pPr>
              <w:tabs>
                <w:tab w:val="decimal" w:pos="113"/>
              </w:tabs>
              <w:spacing w:line="240" w:lineRule="exact"/>
              <w:rPr>
                <w:sz w:val="22"/>
                <w:rtl/>
              </w:rPr>
            </w:pPr>
          </w:p>
        </w:tc>
        <w:tc>
          <w:tcPr>
            <w:tcW w:w="1167" w:type="dxa"/>
            <w:shd w:val="clear" w:color="auto" w:fill="auto"/>
            <w:vAlign w:val="bottom"/>
          </w:tcPr>
          <w:p w14:paraId="6B2EC042" w14:textId="77777777" w:rsidR="00D54DC0" w:rsidRPr="00E72837" w:rsidRDefault="00D54DC0" w:rsidP="00E72837">
            <w:pPr>
              <w:tabs>
                <w:tab w:val="decimal" w:pos="113"/>
              </w:tabs>
              <w:spacing w:line="240" w:lineRule="exact"/>
              <w:rPr>
                <w:sz w:val="22"/>
                <w:rtl/>
              </w:rPr>
            </w:pPr>
          </w:p>
        </w:tc>
      </w:tr>
    </w:tbl>
    <w:p w14:paraId="7556FB49" w14:textId="77777777" w:rsidR="001F2C90" w:rsidRDefault="001F2C90" w:rsidP="001F2C90">
      <w:pPr>
        <w:pStyle w:val="21"/>
        <w:ind w:left="1134" w:firstLine="0"/>
        <w:rPr>
          <w:rtl/>
        </w:rPr>
      </w:pPr>
    </w:p>
    <w:p w14:paraId="24F30978" w14:textId="77777777" w:rsidR="001F2C90" w:rsidRDefault="001F2C90" w:rsidP="00B21F52">
      <w:pPr>
        <w:pStyle w:val="21"/>
        <w:shd w:val="clear" w:color="auto" w:fill="BFBFBF" w:themeFill="background1" w:themeFillShade="BF"/>
        <w:ind w:left="1134" w:firstLine="0"/>
        <w:rPr>
          <w:rtl/>
        </w:rPr>
      </w:pPr>
      <w:r w:rsidRPr="00892691">
        <w:rPr>
          <w:rFonts w:hint="eastAsia"/>
          <w:u w:val="single"/>
          <w:rtl/>
        </w:rPr>
        <w:t>הערה</w:t>
      </w:r>
      <w:r>
        <w:rPr>
          <w:rFonts w:hint="cs"/>
          <w:rtl/>
        </w:rPr>
        <w:t xml:space="preserve">: </w:t>
      </w:r>
    </w:p>
    <w:p w14:paraId="1ABF1471" w14:textId="77777777" w:rsidR="001F2C90" w:rsidRDefault="001F2C90" w:rsidP="00892691">
      <w:pPr>
        <w:pStyle w:val="21"/>
        <w:shd w:val="clear" w:color="auto" w:fill="BFBFBF" w:themeFill="background1" w:themeFillShade="BF"/>
        <w:ind w:left="1134" w:firstLine="0"/>
        <w:rPr>
          <w:rtl/>
        </w:rPr>
      </w:pPr>
    </w:p>
    <w:p w14:paraId="2F7FF058" w14:textId="77777777" w:rsidR="00892691" w:rsidRDefault="00FD12B2" w:rsidP="008073D6">
      <w:pPr>
        <w:pStyle w:val="21"/>
        <w:shd w:val="clear" w:color="auto" w:fill="BFBFBF" w:themeFill="background1" w:themeFillShade="BF"/>
        <w:ind w:left="1134" w:firstLine="0"/>
        <w:rPr>
          <w:rtl/>
        </w:rPr>
      </w:pPr>
      <w:r>
        <w:rPr>
          <w:rFonts w:hint="cs"/>
          <w:rtl/>
        </w:rPr>
        <w:t xml:space="preserve">13.98 </w:t>
      </w:r>
      <w:r>
        <w:rPr>
          <w:rFonts w:hint="cs"/>
        </w:rPr>
        <w:t>IFRS</w:t>
      </w:r>
      <w:r>
        <w:rPr>
          <w:rFonts w:hint="cs"/>
          <w:rtl/>
        </w:rPr>
        <w:t xml:space="preserve"> דורש, לעניין </w:t>
      </w:r>
      <w:r w:rsidR="008073D6">
        <w:rPr>
          <w:rFonts w:hint="cs"/>
          <w:sz w:val="24"/>
          <w:rtl/>
        </w:rPr>
        <w:t xml:space="preserve">חיזוק אשראי </w:t>
      </w:r>
      <w:r w:rsidR="008073D6" w:rsidRPr="00245D54">
        <w:rPr>
          <w:rFonts w:hint="cs"/>
          <w:szCs w:val="20"/>
          <w:rtl/>
        </w:rPr>
        <w:t>(</w:t>
      </w:r>
      <w:r w:rsidR="008073D6" w:rsidRPr="00245D54">
        <w:rPr>
          <w:szCs w:val="20"/>
        </w:rPr>
        <w:t>credit enhancement</w:t>
      </w:r>
      <w:r w:rsidR="008073D6" w:rsidRPr="00245D54">
        <w:rPr>
          <w:rFonts w:hint="cs"/>
          <w:szCs w:val="20"/>
          <w:rtl/>
        </w:rPr>
        <w:t xml:space="preserve">) </w:t>
      </w:r>
      <w:r w:rsidR="008073D6">
        <w:rPr>
          <w:rFonts w:hint="cs"/>
          <w:sz w:val="24"/>
          <w:rtl/>
        </w:rPr>
        <w:t>מצד שלישי בגין התחייבות הנמדדת בשווי הוגן</w:t>
      </w:r>
      <w:r>
        <w:rPr>
          <w:rFonts w:hint="cs"/>
          <w:rtl/>
        </w:rPr>
        <w:t xml:space="preserve">, לתת גילוי לאותם </w:t>
      </w:r>
      <w:r w:rsidR="008073D6">
        <w:rPr>
          <w:rFonts w:hint="cs"/>
          <w:rtl/>
        </w:rPr>
        <w:t xml:space="preserve">חיזוקי </w:t>
      </w:r>
      <w:r>
        <w:rPr>
          <w:rFonts w:hint="cs"/>
          <w:rtl/>
        </w:rPr>
        <w:t>אשראי ואם הם משתקפים במדידת השווי ההוגן של ההתחייבויות.</w:t>
      </w:r>
    </w:p>
    <w:p w14:paraId="5A3429C6" w14:textId="77777777" w:rsidR="00892691" w:rsidRDefault="00FD12B2" w:rsidP="00892691">
      <w:pPr>
        <w:pStyle w:val="21"/>
        <w:shd w:val="clear" w:color="auto" w:fill="BFBFBF" w:themeFill="background1" w:themeFillShade="BF"/>
        <w:ind w:left="1134" w:firstLine="0"/>
        <w:rPr>
          <w:rtl/>
        </w:rPr>
      </w:pPr>
      <w:r>
        <w:rPr>
          <w:rFonts w:hint="cs"/>
          <w:rtl/>
        </w:rPr>
        <w:t>(</w:t>
      </w:r>
      <w:r>
        <w:t>e</w:t>
      </w:r>
      <w:r>
        <w:rPr>
          <w:rFonts w:hint="cs"/>
          <w:rtl/>
        </w:rPr>
        <w:t xml:space="preserve">)13.93 </w:t>
      </w:r>
      <w:r>
        <w:rPr>
          <w:rFonts w:hint="cs"/>
        </w:rPr>
        <w:t>IFRS</w:t>
      </w:r>
      <w:r w:rsidR="006B3458">
        <w:rPr>
          <w:rFonts w:hint="cs"/>
          <w:rtl/>
        </w:rPr>
        <w:t xml:space="preserve"> דורש מתן גילוי </w:t>
      </w:r>
      <w:r>
        <w:rPr>
          <w:rFonts w:hint="cs"/>
          <w:rtl/>
        </w:rPr>
        <w:t xml:space="preserve">נפרד לפרטים </w:t>
      </w:r>
      <w:r w:rsidR="00EB5F3A">
        <w:rPr>
          <w:rFonts w:hint="cs"/>
          <w:rtl/>
        </w:rPr>
        <w:t>הבאים</w:t>
      </w:r>
      <w:r>
        <w:rPr>
          <w:rFonts w:hint="cs"/>
          <w:rtl/>
        </w:rPr>
        <w:t xml:space="preserve"> במסגרת ההתאמה בין יתרות הפתיחה לבין יתרות הסגירה של הנכסים וההתחייבויות שמדידתם מסווגת ברמה 3 של מדרג השווי ההוגן:</w:t>
      </w:r>
    </w:p>
    <w:p w14:paraId="1E33678D" w14:textId="77777777" w:rsidR="00CB3850" w:rsidRDefault="00CB3850" w:rsidP="00CB3850">
      <w:pPr>
        <w:pStyle w:val="21"/>
        <w:widowControl/>
        <w:shd w:val="clear" w:color="auto" w:fill="BFBFBF" w:themeFill="background1" w:themeFillShade="BF"/>
        <w:spacing w:line="120" w:lineRule="auto"/>
        <w:ind w:left="1134" w:firstLine="0"/>
        <w:rPr>
          <w:rtl/>
        </w:rPr>
      </w:pPr>
    </w:p>
    <w:p w14:paraId="35183ECD" w14:textId="77777777" w:rsidR="00892691" w:rsidRDefault="00185ABB" w:rsidP="00A20542">
      <w:pPr>
        <w:pStyle w:val="21"/>
        <w:numPr>
          <w:ilvl w:val="0"/>
          <w:numId w:val="1"/>
        </w:numPr>
        <w:shd w:val="clear" w:color="auto" w:fill="BFBFBF" w:themeFill="background1" w:themeFillShade="BF"/>
        <w:ind w:left="1701" w:hanging="567"/>
      </w:pPr>
      <w:r>
        <w:rPr>
          <w:rFonts w:hint="cs"/>
          <w:rtl/>
        </w:rPr>
        <w:t>סך רווחים או הפסדים לתקופה שהוכרו ברווח כולל אחר, והסעיף (הסעיפים) ברווח כולל אחר שבהם אותם רווחים או הפסדים מוכרים;</w:t>
      </w:r>
    </w:p>
    <w:p w14:paraId="7E2E093F" w14:textId="77777777" w:rsidR="00892691" w:rsidRDefault="00185ABB" w:rsidP="00A20542">
      <w:pPr>
        <w:pStyle w:val="21"/>
        <w:numPr>
          <w:ilvl w:val="0"/>
          <w:numId w:val="1"/>
        </w:numPr>
        <w:shd w:val="clear" w:color="auto" w:fill="BFBFBF" w:themeFill="background1" w:themeFillShade="BF"/>
        <w:ind w:left="1701" w:hanging="567"/>
      </w:pPr>
      <w:r>
        <w:rPr>
          <w:rFonts w:hint="cs"/>
          <w:rtl/>
        </w:rPr>
        <w:t>רכישות;</w:t>
      </w:r>
    </w:p>
    <w:p w14:paraId="4725C0BB" w14:textId="77777777" w:rsidR="00892691" w:rsidRDefault="00185ABB" w:rsidP="00A20542">
      <w:pPr>
        <w:pStyle w:val="21"/>
        <w:numPr>
          <w:ilvl w:val="0"/>
          <w:numId w:val="1"/>
        </w:numPr>
        <w:shd w:val="clear" w:color="auto" w:fill="BFBFBF" w:themeFill="background1" w:themeFillShade="BF"/>
        <w:ind w:left="1701" w:hanging="567"/>
      </w:pPr>
      <w:r>
        <w:rPr>
          <w:rFonts w:hint="cs"/>
          <w:rtl/>
        </w:rPr>
        <w:t>מכירות;</w:t>
      </w:r>
    </w:p>
    <w:p w14:paraId="0E5F8FBE" w14:textId="77777777" w:rsidR="00892691" w:rsidRDefault="00185ABB" w:rsidP="00A20542">
      <w:pPr>
        <w:pStyle w:val="21"/>
        <w:numPr>
          <w:ilvl w:val="0"/>
          <w:numId w:val="1"/>
        </w:numPr>
        <w:shd w:val="clear" w:color="auto" w:fill="BFBFBF" w:themeFill="background1" w:themeFillShade="BF"/>
        <w:ind w:left="1701" w:hanging="567"/>
      </w:pPr>
      <w:r>
        <w:rPr>
          <w:rFonts w:hint="cs"/>
          <w:rtl/>
        </w:rPr>
        <w:t>הנפקות;</w:t>
      </w:r>
    </w:p>
    <w:p w14:paraId="031A1C48" w14:textId="77777777" w:rsidR="00892691" w:rsidRDefault="00E8280F" w:rsidP="00A20542">
      <w:pPr>
        <w:pStyle w:val="21"/>
        <w:numPr>
          <w:ilvl w:val="0"/>
          <w:numId w:val="1"/>
        </w:numPr>
        <w:shd w:val="clear" w:color="auto" w:fill="BFBFBF" w:themeFill="background1" w:themeFillShade="BF"/>
        <w:ind w:left="1701" w:hanging="567"/>
      </w:pPr>
      <w:r>
        <w:rPr>
          <w:rFonts w:hint="cs"/>
          <w:rtl/>
        </w:rPr>
        <w:t xml:space="preserve">  </w:t>
      </w:r>
      <w:r w:rsidR="00185ABB">
        <w:rPr>
          <w:rFonts w:hint="cs"/>
          <w:rtl/>
        </w:rPr>
        <w:t>סילוקים;</w:t>
      </w:r>
    </w:p>
    <w:p w14:paraId="1BBBA8BC" w14:textId="77777777" w:rsidR="00892691" w:rsidRDefault="00185ABB" w:rsidP="00A20542">
      <w:pPr>
        <w:pStyle w:val="21"/>
        <w:numPr>
          <w:ilvl w:val="0"/>
          <w:numId w:val="1"/>
        </w:numPr>
        <w:shd w:val="clear" w:color="auto" w:fill="BFBFBF" w:themeFill="background1" w:themeFillShade="BF"/>
        <w:ind w:left="1701" w:hanging="567"/>
      </w:pPr>
      <w:r>
        <w:rPr>
          <w:rFonts w:hint="cs"/>
          <w:rtl/>
        </w:rPr>
        <w:t>העברות לתוך רמה 3, הסיבות לאותן העברות והמדיניות של החברה לקביעה מתי התרחשו העברות אלה;</w:t>
      </w:r>
    </w:p>
    <w:p w14:paraId="0944FF15" w14:textId="77777777" w:rsidR="00892691" w:rsidRDefault="00185ABB" w:rsidP="00A20542">
      <w:pPr>
        <w:pStyle w:val="21"/>
        <w:numPr>
          <w:ilvl w:val="0"/>
          <w:numId w:val="1"/>
        </w:numPr>
        <w:shd w:val="clear" w:color="auto" w:fill="BFBFBF" w:themeFill="background1" w:themeFillShade="BF"/>
        <w:ind w:left="1701" w:hanging="567"/>
      </w:pPr>
      <w:r>
        <w:rPr>
          <w:rFonts w:hint="cs"/>
          <w:rtl/>
        </w:rPr>
        <w:t>העברות מחוץ לרמה 3, הסיבות לאותן העברות והמדיניות של החברה לקביעה מתי התרחשו העברות אלה;</w:t>
      </w:r>
    </w:p>
    <w:p w14:paraId="36FA7763" w14:textId="77777777" w:rsidR="00892691" w:rsidRDefault="00185ABB" w:rsidP="00892691">
      <w:pPr>
        <w:pStyle w:val="21"/>
        <w:shd w:val="clear" w:color="auto" w:fill="BFBFBF" w:themeFill="background1" w:themeFillShade="BF"/>
        <w:rPr>
          <w:rtl/>
        </w:rPr>
      </w:pPr>
      <w:r>
        <w:rPr>
          <w:rFonts w:hint="cs"/>
          <w:rtl/>
        </w:rPr>
        <w:t xml:space="preserve">למעט הפריטים שלעיל, לא היו לחברה פרטי התאמות </w:t>
      </w:r>
      <w:r w:rsidR="00E8280F">
        <w:rPr>
          <w:rFonts w:hint="cs"/>
          <w:rtl/>
        </w:rPr>
        <w:t xml:space="preserve">נוספים </w:t>
      </w:r>
      <w:r>
        <w:rPr>
          <w:rFonts w:hint="cs"/>
          <w:rtl/>
        </w:rPr>
        <w:t>בתקופה.</w:t>
      </w:r>
    </w:p>
    <w:p w14:paraId="41C2D1A1" w14:textId="77777777" w:rsidR="00892691" w:rsidRDefault="00892691" w:rsidP="00892691">
      <w:pPr>
        <w:pStyle w:val="21"/>
        <w:ind w:left="1689" w:firstLine="0"/>
      </w:pPr>
    </w:p>
    <w:p w14:paraId="69F0DDF6" w14:textId="77777777" w:rsidR="001F2C90" w:rsidRDefault="00302AA4" w:rsidP="005B3CD0">
      <w:pPr>
        <w:pStyle w:val="21"/>
        <w:spacing w:line="240" w:lineRule="auto"/>
        <w:rPr>
          <w:rtl/>
        </w:rPr>
      </w:pPr>
      <w:r>
        <w:rPr>
          <w:rtl/>
        </w:rPr>
        <w:br w:type="page"/>
      </w:r>
    </w:p>
    <w:p w14:paraId="5880035A" w14:textId="77777777" w:rsidR="00151B8D" w:rsidRDefault="00151B8D" w:rsidP="00E470B3">
      <w:pPr>
        <w:pStyle w:val="21"/>
        <w:spacing w:line="240" w:lineRule="auto"/>
        <w:rPr>
          <w:rtl/>
        </w:rPr>
      </w:pPr>
    </w:p>
    <w:p w14:paraId="2201ABB2" w14:textId="77777777" w:rsidR="00BB6998" w:rsidRDefault="00BB6998" w:rsidP="00E470B3">
      <w:pPr>
        <w:pStyle w:val="21"/>
        <w:spacing w:line="240" w:lineRule="auto"/>
        <w:rPr>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1819"/>
        <w:gridCol w:w="1417"/>
      </w:tblGrid>
      <w:tr w:rsidR="00626492" w:rsidRPr="008A7508" w14:paraId="45D00C24" w14:textId="77777777" w:rsidTr="00646B60">
        <w:tc>
          <w:tcPr>
            <w:tcW w:w="998" w:type="dxa"/>
            <w:tcMar>
              <w:left w:w="0" w:type="dxa"/>
              <w:right w:w="0" w:type="dxa"/>
            </w:tcMar>
          </w:tcPr>
          <w:p w14:paraId="1A9436E6" w14:textId="77777777" w:rsidR="003D46A8" w:rsidRDefault="00626492">
            <w:pPr>
              <w:pStyle w:val="11"/>
              <w:tabs>
                <w:tab w:val="clear" w:pos="1134"/>
              </w:tabs>
              <w:ind w:left="0" w:firstLine="0"/>
              <w:rPr>
                <w:sz w:val="24"/>
                <w:rtl/>
              </w:rPr>
            </w:pPr>
            <w:r w:rsidRPr="008A7508">
              <w:rPr>
                <w:sz w:val="24"/>
                <w:rtl/>
              </w:rPr>
              <w:t xml:space="preserve">באור </w:t>
            </w:r>
            <w:r w:rsidR="00DB3160">
              <w:rPr>
                <w:rFonts w:hint="cs"/>
                <w:sz w:val="24"/>
                <w:rtl/>
              </w:rPr>
              <w:t>16</w:t>
            </w:r>
            <w:r w:rsidRPr="008A7508">
              <w:rPr>
                <w:sz w:val="24"/>
                <w:rtl/>
              </w:rPr>
              <w:t>: -</w:t>
            </w:r>
          </w:p>
        </w:tc>
        <w:tc>
          <w:tcPr>
            <w:tcW w:w="1819" w:type="dxa"/>
          </w:tcPr>
          <w:p w14:paraId="430ACD27" w14:textId="77777777" w:rsidR="00626492" w:rsidRPr="008A7508" w:rsidRDefault="00626492" w:rsidP="00744C06">
            <w:pPr>
              <w:pStyle w:val="11"/>
              <w:tabs>
                <w:tab w:val="clear" w:pos="1134"/>
              </w:tabs>
              <w:ind w:left="4" w:firstLine="0"/>
              <w:rPr>
                <w:sz w:val="24"/>
                <w:rtl/>
              </w:rPr>
            </w:pPr>
            <w:r>
              <w:rPr>
                <w:rFonts w:hint="cs"/>
                <w:u w:val="single"/>
                <w:rtl/>
              </w:rPr>
              <w:t>מגזרי פעילות</w:t>
            </w:r>
          </w:p>
        </w:tc>
        <w:tc>
          <w:tcPr>
            <w:tcW w:w="1417" w:type="dxa"/>
            <w:tcBorders>
              <w:bottom w:val="single" w:sz="4" w:space="0" w:color="auto"/>
              <w:right w:val="single" w:sz="4" w:space="0" w:color="auto"/>
            </w:tcBorders>
            <w:vAlign w:val="center"/>
          </w:tcPr>
          <w:p w14:paraId="106D2278" w14:textId="77777777" w:rsidR="00626492" w:rsidRPr="008A7508" w:rsidRDefault="00626492" w:rsidP="00626492">
            <w:pPr>
              <w:pStyle w:val="11"/>
              <w:tabs>
                <w:tab w:val="clear" w:pos="1134"/>
              </w:tabs>
              <w:bidi w:val="0"/>
              <w:ind w:left="4" w:firstLine="0"/>
              <w:jc w:val="right"/>
              <w:rPr>
                <w:i/>
                <w:iCs/>
                <w:sz w:val="13"/>
                <w:szCs w:val="13"/>
              </w:rPr>
            </w:pPr>
            <w:r>
              <w:rPr>
                <w:i/>
                <w:iCs/>
                <w:sz w:val="13"/>
                <w:szCs w:val="13"/>
              </w:rPr>
              <w:t>IAS 34.16A(g)</w:t>
            </w:r>
          </w:p>
        </w:tc>
      </w:tr>
    </w:tbl>
    <w:p w14:paraId="596EA3E8" w14:textId="77777777" w:rsidR="00AB7D68" w:rsidRDefault="00AB7D68" w:rsidP="00E470B3">
      <w:pPr>
        <w:pStyle w:val="11"/>
        <w:spacing w:line="240" w:lineRule="auto"/>
        <w:rPr>
          <w:u w:val="single"/>
          <w:rtl/>
        </w:rPr>
      </w:pPr>
    </w:p>
    <w:p w14:paraId="0492EB87" w14:textId="77777777" w:rsidR="00AB7D68" w:rsidRDefault="00626492" w:rsidP="00626492">
      <w:pPr>
        <w:pStyle w:val="21"/>
        <w:rPr>
          <w:rtl/>
        </w:rPr>
      </w:pPr>
      <w:r>
        <w:rPr>
          <w:rFonts w:hint="cs"/>
          <w:rtl/>
        </w:rPr>
        <w:t>א.</w:t>
      </w:r>
      <w:r w:rsidR="00AB7D68">
        <w:rPr>
          <w:rFonts w:hint="cs"/>
          <w:rtl/>
        </w:rPr>
        <w:tab/>
      </w:r>
      <w:r w:rsidR="00AB7D68" w:rsidRPr="00925A9F">
        <w:rPr>
          <w:rFonts w:hint="cs"/>
          <w:u w:val="single"/>
          <w:rtl/>
        </w:rPr>
        <w:t>כללי</w:t>
      </w:r>
    </w:p>
    <w:p w14:paraId="13625145" w14:textId="77777777" w:rsidR="00AB7D68" w:rsidRDefault="00AB7D68" w:rsidP="00E470B3">
      <w:pPr>
        <w:spacing w:line="240" w:lineRule="auto"/>
        <w:rPr>
          <w:sz w:val="24"/>
          <w:rtl/>
        </w:rPr>
      </w:pPr>
    </w:p>
    <w:p w14:paraId="3DD47286" w14:textId="77777777" w:rsidR="00F41C12" w:rsidRDefault="004C2705">
      <w:pPr>
        <w:pStyle w:val="30"/>
        <w:ind w:left="1701" w:firstLine="0"/>
        <w:rPr>
          <w:rtl/>
        </w:rPr>
      </w:pPr>
      <w:r>
        <w:rPr>
          <w:rFonts w:hint="cs"/>
          <w:rtl/>
        </w:rPr>
        <w:t>כאמור בדוחות הכספיים השנתיים</w:t>
      </w:r>
      <w:r w:rsidR="00721C11">
        <w:rPr>
          <w:rFonts w:hint="cs"/>
          <w:rtl/>
        </w:rPr>
        <w:t xml:space="preserve"> המאוחדים</w:t>
      </w:r>
      <w:r>
        <w:rPr>
          <w:rFonts w:hint="cs"/>
          <w:rtl/>
        </w:rPr>
        <w:t>, בקבוצה</w:t>
      </w:r>
      <w:r w:rsidR="00AB7D68">
        <w:rPr>
          <w:rFonts w:hint="cs"/>
          <w:rtl/>
        </w:rPr>
        <w:t xml:space="preserve"> מגזרי פעילות כדלקמן:</w:t>
      </w:r>
    </w:p>
    <w:p w14:paraId="1A3A49D6" w14:textId="77777777" w:rsidR="00AB7D68" w:rsidRDefault="00AB7D68" w:rsidP="00E470B3">
      <w:pPr>
        <w:pStyle w:val="30"/>
        <w:spacing w:line="240" w:lineRule="auto"/>
        <w:rPr>
          <w:rtl/>
        </w:rPr>
      </w:pPr>
    </w:p>
    <w:tbl>
      <w:tblPr>
        <w:bidiVisual/>
        <w:tblW w:w="0" w:type="auto"/>
        <w:tblInd w:w="1701" w:type="dxa"/>
        <w:tblLook w:val="01E0" w:firstRow="1" w:lastRow="1" w:firstColumn="1" w:lastColumn="1" w:noHBand="0" w:noVBand="0"/>
      </w:tblPr>
      <w:tblGrid>
        <w:gridCol w:w="563"/>
        <w:gridCol w:w="2251"/>
        <w:gridCol w:w="283"/>
        <w:gridCol w:w="4841"/>
      </w:tblGrid>
      <w:tr w:rsidR="00763B2F" w14:paraId="7F7C5A78" w14:textId="77777777" w:rsidTr="0031447D">
        <w:trPr>
          <w:cantSplit/>
        </w:trPr>
        <w:tc>
          <w:tcPr>
            <w:tcW w:w="567" w:type="dxa"/>
          </w:tcPr>
          <w:p w14:paraId="492F5156" w14:textId="77777777" w:rsidR="00225232" w:rsidRDefault="00763B2F">
            <w:pPr>
              <w:spacing w:line="240" w:lineRule="auto"/>
            </w:pPr>
            <w:r>
              <w:rPr>
                <w:rFonts w:hint="cs"/>
                <w:rtl/>
              </w:rPr>
              <w:t>1.</w:t>
            </w:r>
          </w:p>
        </w:tc>
        <w:tc>
          <w:tcPr>
            <w:tcW w:w="2278" w:type="dxa"/>
            <w:tcMar>
              <w:left w:w="0" w:type="dxa"/>
              <w:right w:w="0" w:type="dxa"/>
            </w:tcMar>
          </w:tcPr>
          <w:p w14:paraId="37502BBB" w14:textId="77777777" w:rsidR="00225232" w:rsidRDefault="00763B2F">
            <w:pPr>
              <w:spacing w:line="240" w:lineRule="auto"/>
            </w:pPr>
            <w:r>
              <w:rPr>
                <w:rFonts w:hint="cs"/>
                <w:rtl/>
              </w:rPr>
              <w:t>מגזר ציוד למניעת שריפות</w:t>
            </w:r>
          </w:p>
        </w:tc>
        <w:tc>
          <w:tcPr>
            <w:tcW w:w="283" w:type="dxa"/>
          </w:tcPr>
          <w:p w14:paraId="19AA7675" w14:textId="77777777" w:rsidR="00225232" w:rsidRDefault="00763B2F">
            <w:pPr>
              <w:spacing w:line="240" w:lineRule="auto"/>
            </w:pPr>
            <w:r>
              <w:rPr>
                <w:rFonts w:hint="cs"/>
                <w:rtl/>
              </w:rPr>
              <w:t>-</w:t>
            </w:r>
          </w:p>
        </w:tc>
        <w:tc>
          <w:tcPr>
            <w:tcW w:w="4929" w:type="dxa"/>
          </w:tcPr>
          <w:p w14:paraId="3B8F31F5" w14:textId="77777777" w:rsidR="00225232" w:rsidRDefault="00225232">
            <w:pPr>
              <w:spacing w:line="240" w:lineRule="auto"/>
            </w:pPr>
          </w:p>
        </w:tc>
      </w:tr>
      <w:tr w:rsidR="00763B2F" w14:paraId="228C0363" w14:textId="77777777" w:rsidTr="0031447D">
        <w:trPr>
          <w:cantSplit/>
        </w:trPr>
        <w:tc>
          <w:tcPr>
            <w:tcW w:w="567" w:type="dxa"/>
          </w:tcPr>
          <w:p w14:paraId="60A79EF5" w14:textId="77777777" w:rsidR="00B648B5" w:rsidRDefault="00B648B5">
            <w:pPr>
              <w:spacing w:line="240" w:lineRule="auto"/>
            </w:pPr>
          </w:p>
        </w:tc>
        <w:tc>
          <w:tcPr>
            <w:tcW w:w="2278" w:type="dxa"/>
            <w:tcMar>
              <w:left w:w="0" w:type="dxa"/>
              <w:right w:w="0" w:type="dxa"/>
            </w:tcMar>
          </w:tcPr>
          <w:p w14:paraId="198A1677" w14:textId="77777777" w:rsidR="00B648B5" w:rsidRDefault="00B648B5">
            <w:pPr>
              <w:spacing w:line="240" w:lineRule="auto"/>
            </w:pPr>
          </w:p>
        </w:tc>
        <w:tc>
          <w:tcPr>
            <w:tcW w:w="283" w:type="dxa"/>
          </w:tcPr>
          <w:p w14:paraId="618C9790" w14:textId="77777777" w:rsidR="00B648B5" w:rsidRDefault="00B648B5">
            <w:pPr>
              <w:spacing w:line="240" w:lineRule="auto"/>
            </w:pPr>
          </w:p>
        </w:tc>
        <w:tc>
          <w:tcPr>
            <w:tcW w:w="4929" w:type="dxa"/>
          </w:tcPr>
          <w:p w14:paraId="699F6253" w14:textId="77777777" w:rsidR="00B648B5" w:rsidRDefault="00B648B5">
            <w:pPr>
              <w:spacing w:line="240" w:lineRule="auto"/>
            </w:pPr>
          </w:p>
        </w:tc>
      </w:tr>
      <w:tr w:rsidR="00763B2F" w14:paraId="085010F5" w14:textId="77777777" w:rsidTr="0031447D">
        <w:trPr>
          <w:cantSplit/>
        </w:trPr>
        <w:tc>
          <w:tcPr>
            <w:tcW w:w="567" w:type="dxa"/>
          </w:tcPr>
          <w:p w14:paraId="706AC2C1" w14:textId="77777777" w:rsidR="00225232" w:rsidRDefault="00763B2F">
            <w:pPr>
              <w:spacing w:line="240" w:lineRule="auto"/>
            </w:pPr>
            <w:r>
              <w:rPr>
                <w:rFonts w:hint="cs"/>
                <w:rtl/>
              </w:rPr>
              <w:t>2.</w:t>
            </w:r>
          </w:p>
        </w:tc>
        <w:tc>
          <w:tcPr>
            <w:tcW w:w="2278" w:type="dxa"/>
            <w:tcMar>
              <w:left w:w="0" w:type="dxa"/>
              <w:right w:w="0" w:type="dxa"/>
            </w:tcMar>
          </w:tcPr>
          <w:p w14:paraId="4ABE657E" w14:textId="77777777" w:rsidR="00225232" w:rsidRDefault="00763B2F">
            <w:pPr>
              <w:spacing w:line="240" w:lineRule="auto"/>
            </w:pPr>
            <w:r>
              <w:rPr>
                <w:rFonts w:hint="cs"/>
                <w:rtl/>
              </w:rPr>
              <w:t>מגזר אלקטרוניקה</w:t>
            </w:r>
          </w:p>
        </w:tc>
        <w:tc>
          <w:tcPr>
            <w:tcW w:w="283" w:type="dxa"/>
          </w:tcPr>
          <w:p w14:paraId="05486486" w14:textId="77777777" w:rsidR="00225232" w:rsidRDefault="00763B2F">
            <w:pPr>
              <w:spacing w:line="240" w:lineRule="auto"/>
            </w:pPr>
            <w:r>
              <w:rPr>
                <w:rFonts w:hint="cs"/>
                <w:rtl/>
              </w:rPr>
              <w:t>-</w:t>
            </w:r>
          </w:p>
        </w:tc>
        <w:tc>
          <w:tcPr>
            <w:tcW w:w="4929" w:type="dxa"/>
          </w:tcPr>
          <w:p w14:paraId="454522AD" w14:textId="77777777" w:rsidR="00225232" w:rsidRDefault="00225232">
            <w:pPr>
              <w:spacing w:line="240" w:lineRule="auto"/>
            </w:pPr>
          </w:p>
        </w:tc>
      </w:tr>
      <w:tr w:rsidR="00763B2F" w14:paraId="6EBB0DE2" w14:textId="77777777" w:rsidTr="0031447D">
        <w:trPr>
          <w:cantSplit/>
        </w:trPr>
        <w:tc>
          <w:tcPr>
            <w:tcW w:w="567" w:type="dxa"/>
          </w:tcPr>
          <w:p w14:paraId="02A72CC6" w14:textId="77777777" w:rsidR="00B648B5" w:rsidRDefault="00B648B5">
            <w:pPr>
              <w:spacing w:line="240" w:lineRule="auto"/>
            </w:pPr>
          </w:p>
        </w:tc>
        <w:tc>
          <w:tcPr>
            <w:tcW w:w="2278" w:type="dxa"/>
            <w:tcMar>
              <w:left w:w="0" w:type="dxa"/>
              <w:right w:w="0" w:type="dxa"/>
            </w:tcMar>
          </w:tcPr>
          <w:p w14:paraId="626D4A05" w14:textId="77777777" w:rsidR="00B648B5" w:rsidRDefault="00B648B5">
            <w:pPr>
              <w:spacing w:line="240" w:lineRule="auto"/>
            </w:pPr>
          </w:p>
        </w:tc>
        <w:tc>
          <w:tcPr>
            <w:tcW w:w="283" w:type="dxa"/>
          </w:tcPr>
          <w:p w14:paraId="15BD9476" w14:textId="77777777" w:rsidR="00B648B5" w:rsidRDefault="00B648B5">
            <w:pPr>
              <w:spacing w:line="240" w:lineRule="auto"/>
            </w:pPr>
          </w:p>
        </w:tc>
        <w:tc>
          <w:tcPr>
            <w:tcW w:w="4929" w:type="dxa"/>
          </w:tcPr>
          <w:p w14:paraId="24F539E7" w14:textId="77777777" w:rsidR="00B648B5" w:rsidRDefault="00B648B5">
            <w:pPr>
              <w:spacing w:line="240" w:lineRule="auto"/>
            </w:pPr>
          </w:p>
        </w:tc>
      </w:tr>
      <w:tr w:rsidR="00763B2F" w14:paraId="0563CF90" w14:textId="77777777" w:rsidTr="0031447D">
        <w:trPr>
          <w:cantSplit/>
        </w:trPr>
        <w:tc>
          <w:tcPr>
            <w:tcW w:w="567" w:type="dxa"/>
          </w:tcPr>
          <w:p w14:paraId="1910956F" w14:textId="77777777" w:rsidR="00225232" w:rsidRDefault="00763B2F">
            <w:pPr>
              <w:spacing w:line="240" w:lineRule="auto"/>
            </w:pPr>
            <w:r>
              <w:rPr>
                <w:rFonts w:hint="cs"/>
                <w:rtl/>
              </w:rPr>
              <w:t>3.</w:t>
            </w:r>
          </w:p>
        </w:tc>
        <w:tc>
          <w:tcPr>
            <w:tcW w:w="2278" w:type="dxa"/>
            <w:tcMar>
              <w:left w:w="0" w:type="dxa"/>
              <w:right w:w="0" w:type="dxa"/>
            </w:tcMar>
          </w:tcPr>
          <w:p w14:paraId="2C418064" w14:textId="77777777" w:rsidR="00225232" w:rsidRDefault="00763B2F">
            <w:pPr>
              <w:spacing w:line="240" w:lineRule="auto"/>
            </w:pPr>
            <w:r>
              <w:rPr>
                <w:rFonts w:hint="cs"/>
                <w:rtl/>
              </w:rPr>
              <w:t>מגזר נדל"ן להשקעה</w:t>
            </w:r>
          </w:p>
        </w:tc>
        <w:tc>
          <w:tcPr>
            <w:tcW w:w="283" w:type="dxa"/>
          </w:tcPr>
          <w:p w14:paraId="67E75797" w14:textId="77777777" w:rsidR="00225232" w:rsidRDefault="00763B2F">
            <w:pPr>
              <w:spacing w:line="240" w:lineRule="auto"/>
            </w:pPr>
            <w:r>
              <w:rPr>
                <w:rFonts w:hint="cs"/>
                <w:rtl/>
              </w:rPr>
              <w:t>-</w:t>
            </w:r>
          </w:p>
        </w:tc>
        <w:tc>
          <w:tcPr>
            <w:tcW w:w="4929" w:type="dxa"/>
          </w:tcPr>
          <w:p w14:paraId="31181ED6" w14:textId="77777777" w:rsidR="00225232" w:rsidRDefault="00225232">
            <w:pPr>
              <w:spacing w:line="240" w:lineRule="auto"/>
            </w:pPr>
          </w:p>
        </w:tc>
      </w:tr>
      <w:tr w:rsidR="00763B2F" w14:paraId="4E2B5979" w14:textId="77777777" w:rsidTr="0031447D">
        <w:trPr>
          <w:cantSplit/>
        </w:trPr>
        <w:tc>
          <w:tcPr>
            <w:tcW w:w="567" w:type="dxa"/>
          </w:tcPr>
          <w:p w14:paraId="611E764A" w14:textId="77777777" w:rsidR="00B648B5" w:rsidRDefault="00B648B5">
            <w:pPr>
              <w:spacing w:line="240" w:lineRule="auto"/>
              <w:rPr>
                <w:rtl/>
              </w:rPr>
            </w:pPr>
          </w:p>
        </w:tc>
        <w:tc>
          <w:tcPr>
            <w:tcW w:w="2278" w:type="dxa"/>
            <w:tcMar>
              <w:left w:w="0" w:type="dxa"/>
              <w:right w:w="0" w:type="dxa"/>
            </w:tcMar>
          </w:tcPr>
          <w:p w14:paraId="68ACF0D0" w14:textId="77777777" w:rsidR="00B648B5" w:rsidRDefault="00B648B5">
            <w:pPr>
              <w:spacing w:line="240" w:lineRule="auto"/>
              <w:rPr>
                <w:rtl/>
              </w:rPr>
            </w:pPr>
          </w:p>
        </w:tc>
        <w:tc>
          <w:tcPr>
            <w:tcW w:w="283" w:type="dxa"/>
          </w:tcPr>
          <w:p w14:paraId="4D9F4609" w14:textId="77777777" w:rsidR="00B648B5" w:rsidRDefault="00B648B5">
            <w:pPr>
              <w:spacing w:line="240" w:lineRule="auto"/>
              <w:rPr>
                <w:rtl/>
              </w:rPr>
            </w:pPr>
          </w:p>
        </w:tc>
        <w:tc>
          <w:tcPr>
            <w:tcW w:w="4929" w:type="dxa"/>
          </w:tcPr>
          <w:p w14:paraId="724EA560" w14:textId="77777777" w:rsidR="00B648B5" w:rsidRDefault="00B648B5">
            <w:pPr>
              <w:spacing w:line="240" w:lineRule="auto"/>
              <w:rPr>
                <w:rtl/>
              </w:rPr>
            </w:pPr>
          </w:p>
        </w:tc>
      </w:tr>
      <w:tr w:rsidR="00763B2F" w14:paraId="06BFF7F0" w14:textId="77777777" w:rsidTr="0031447D">
        <w:trPr>
          <w:cantSplit/>
        </w:trPr>
        <w:tc>
          <w:tcPr>
            <w:tcW w:w="567" w:type="dxa"/>
            <w:shd w:val="clear" w:color="auto" w:fill="D9D9D9" w:themeFill="background1" w:themeFillShade="D9"/>
          </w:tcPr>
          <w:p w14:paraId="70144BB3" w14:textId="77777777" w:rsidR="00225232" w:rsidRDefault="00763B2F">
            <w:pPr>
              <w:spacing w:line="240" w:lineRule="auto"/>
              <w:rPr>
                <w:rtl/>
              </w:rPr>
            </w:pPr>
            <w:r w:rsidRPr="007911F0">
              <w:rPr>
                <w:rFonts w:hint="cs"/>
                <w:rtl/>
              </w:rPr>
              <w:t>4.</w:t>
            </w:r>
          </w:p>
        </w:tc>
        <w:tc>
          <w:tcPr>
            <w:tcW w:w="2278" w:type="dxa"/>
            <w:shd w:val="clear" w:color="auto" w:fill="D9D9D9" w:themeFill="background1" w:themeFillShade="D9"/>
            <w:tcMar>
              <w:left w:w="0" w:type="dxa"/>
              <w:right w:w="0" w:type="dxa"/>
            </w:tcMar>
          </w:tcPr>
          <w:p w14:paraId="55A8FC93" w14:textId="77777777" w:rsidR="00225232" w:rsidRDefault="00763B2F">
            <w:pPr>
              <w:spacing w:line="240" w:lineRule="auto"/>
              <w:rPr>
                <w:rtl/>
              </w:rPr>
            </w:pPr>
            <w:r w:rsidRPr="007911F0">
              <w:rPr>
                <w:rFonts w:hint="eastAsia"/>
                <w:rtl/>
              </w:rPr>
              <w:t>פעילויות</w:t>
            </w:r>
            <w:r w:rsidRPr="007911F0">
              <w:rPr>
                <w:rtl/>
              </w:rPr>
              <w:t xml:space="preserve"> </w:t>
            </w:r>
            <w:r w:rsidRPr="007911F0">
              <w:rPr>
                <w:rFonts w:hint="eastAsia"/>
                <w:rtl/>
              </w:rPr>
              <w:t>אחרות</w:t>
            </w:r>
          </w:p>
        </w:tc>
        <w:tc>
          <w:tcPr>
            <w:tcW w:w="283" w:type="dxa"/>
            <w:shd w:val="clear" w:color="auto" w:fill="D9D9D9" w:themeFill="background1" w:themeFillShade="D9"/>
          </w:tcPr>
          <w:p w14:paraId="4EEE78A1" w14:textId="77777777" w:rsidR="00225232" w:rsidRDefault="00763B2F">
            <w:pPr>
              <w:spacing w:line="240" w:lineRule="auto"/>
              <w:rPr>
                <w:rtl/>
              </w:rPr>
            </w:pPr>
            <w:r w:rsidRPr="007911F0">
              <w:rPr>
                <w:rtl/>
              </w:rPr>
              <w:t>-</w:t>
            </w:r>
          </w:p>
        </w:tc>
        <w:tc>
          <w:tcPr>
            <w:tcW w:w="4929" w:type="dxa"/>
            <w:shd w:val="clear" w:color="auto" w:fill="D9D9D9" w:themeFill="background1" w:themeFillShade="D9"/>
          </w:tcPr>
          <w:p w14:paraId="2D96A18A" w14:textId="77777777" w:rsidR="00225232" w:rsidRDefault="00763B2F">
            <w:pPr>
              <w:spacing w:line="240" w:lineRule="auto"/>
              <w:rPr>
                <w:rtl/>
              </w:rPr>
            </w:pPr>
            <w:r w:rsidRPr="007911F0">
              <w:rPr>
                <w:rtl/>
              </w:rPr>
              <w:t xml:space="preserve">[יובא </w:t>
            </w:r>
            <w:r w:rsidRPr="007911F0">
              <w:rPr>
                <w:rFonts w:hint="eastAsia"/>
                <w:rtl/>
              </w:rPr>
              <w:t>תאור</w:t>
            </w:r>
            <w:r w:rsidRPr="007911F0">
              <w:rPr>
                <w:rtl/>
              </w:rPr>
              <w:t xml:space="preserve"> </w:t>
            </w:r>
            <w:r w:rsidRPr="007911F0">
              <w:rPr>
                <w:rFonts w:hint="eastAsia"/>
                <w:rtl/>
              </w:rPr>
              <w:t>תמציתי</w:t>
            </w:r>
            <w:r w:rsidRPr="007911F0">
              <w:rPr>
                <w:rtl/>
              </w:rPr>
              <w:t xml:space="preserve"> </w:t>
            </w:r>
            <w:r w:rsidRPr="007911F0">
              <w:rPr>
                <w:rFonts w:hint="eastAsia"/>
                <w:rtl/>
              </w:rPr>
              <w:t>אודות</w:t>
            </w:r>
            <w:r w:rsidRPr="007911F0">
              <w:rPr>
                <w:rtl/>
              </w:rPr>
              <w:t xml:space="preserve"> </w:t>
            </w:r>
            <w:r w:rsidRPr="007911F0">
              <w:rPr>
                <w:rFonts w:hint="eastAsia"/>
                <w:rtl/>
              </w:rPr>
              <w:t>המגזרים</w:t>
            </w:r>
            <w:r w:rsidRPr="007911F0">
              <w:rPr>
                <w:rtl/>
              </w:rPr>
              <w:t xml:space="preserve"> </w:t>
            </w:r>
            <w:r w:rsidRPr="007911F0">
              <w:rPr>
                <w:rFonts w:hint="eastAsia"/>
                <w:rtl/>
              </w:rPr>
              <w:t>האחרים</w:t>
            </w:r>
            <w:r w:rsidRPr="007911F0">
              <w:rPr>
                <w:rtl/>
              </w:rPr>
              <w:t xml:space="preserve">, </w:t>
            </w:r>
            <w:r w:rsidRPr="007911F0">
              <w:rPr>
                <w:rFonts w:hint="eastAsia"/>
                <w:rtl/>
              </w:rPr>
              <w:t>אשר</w:t>
            </w:r>
            <w:r w:rsidRPr="007911F0">
              <w:rPr>
                <w:rtl/>
              </w:rPr>
              <w:t xml:space="preserve"> </w:t>
            </w:r>
            <w:r w:rsidRPr="007911F0">
              <w:rPr>
                <w:rFonts w:hint="eastAsia"/>
                <w:rtl/>
              </w:rPr>
              <w:t>אינם</w:t>
            </w:r>
            <w:r w:rsidRPr="007911F0">
              <w:rPr>
                <w:rtl/>
              </w:rPr>
              <w:t xml:space="preserve"> </w:t>
            </w:r>
            <w:r w:rsidRPr="007911F0">
              <w:rPr>
                <w:rFonts w:hint="eastAsia"/>
                <w:rtl/>
              </w:rPr>
              <w:t>מדווחים</w:t>
            </w:r>
            <w:r w:rsidRPr="007911F0">
              <w:rPr>
                <w:rtl/>
              </w:rPr>
              <w:t xml:space="preserve"> </w:t>
            </w:r>
            <w:r w:rsidRPr="007911F0">
              <w:rPr>
                <w:rFonts w:hint="eastAsia"/>
                <w:rtl/>
              </w:rPr>
              <w:t>בנפרד</w:t>
            </w:r>
            <w:r w:rsidRPr="007911F0">
              <w:rPr>
                <w:rtl/>
              </w:rPr>
              <w:t xml:space="preserve">, </w:t>
            </w:r>
            <w:r w:rsidRPr="007911F0">
              <w:rPr>
                <w:rFonts w:hint="eastAsia"/>
                <w:rtl/>
              </w:rPr>
              <w:t>ואודות</w:t>
            </w:r>
            <w:r w:rsidRPr="007911F0">
              <w:rPr>
                <w:rtl/>
              </w:rPr>
              <w:t xml:space="preserve"> </w:t>
            </w:r>
            <w:r w:rsidRPr="007911F0">
              <w:rPr>
                <w:rFonts w:hint="eastAsia"/>
                <w:rtl/>
              </w:rPr>
              <w:t>פעיל</w:t>
            </w:r>
            <w:r w:rsidRPr="007911F0">
              <w:rPr>
                <w:rFonts w:hint="cs"/>
                <w:rtl/>
              </w:rPr>
              <w:t>ו</w:t>
            </w:r>
            <w:r w:rsidRPr="007911F0">
              <w:rPr>
                <w:rFonts w:hint="eastAsia"/>
                <w:rtl/>
              </w:rPr>
              <w:t>יות</w:t>
            </w:r>
            <w:r w:rsidRPr="007911F0">
              <w:rPr>
                <w:rtl/>
              </w:rPr>
              <w:t xml:space="preserve"> </w:t>
            </w:r>
            <w:r w:rsidRPr="007911F0">
              <w:rPr>
                <w:rFonts w:hint="eastAsia"/>
                <w:rtl/>
              </w:rPr>
              <w:t>אחרות</w:t>
            </w:r>
            <w:r w:rsidRPr="007911F0">
              <w:rPr>
                <w:rtl/>
              </w:rPr>
              <w:t xml:space="preserve"> </w:t>
            </w:r>
            <w:r w:rsidRPr="007911F0">
              <w:rPr>
                <w:rFonts w:hint="eastAsia"/>
                <w:rtl/>
              </w:rPr>
              <w:t>שאינן</w:t>
            </w:r>
            <w:r w:rsidRPr="007911F0">
              <w:rPr>
                <w:rtl/>
              </w:rPr>
              <w:t xml:space="preserve"> </w:t>
            </w:r>
            <w:r w:rsidRPr="007911F0">
              <w:rPr>
                <w:rFonts w:hint="eastAsia"/>
                <w:rtl/>
              </w:rPr>
              <w:t>מגזרים</w:t>
            </w:r>
            <w:r w:rsidRPr="007911F0">
              <w:rPr>
                <w:rtl/>
              </w:rPr>
              <w:t>]</w:t>
            </w:r>
            <w:r w:rsidRPr="007911F0">
              <w:rPr>
                <w:rFonts w:hint="cs"/>
                <w:rtl/>
              </w:rPr>
              <w:t>.</w:t>
            </w:r>
          </w:p>
        </w:tc>
      </w:tr>
    </w:tbl>
    <w:p w14:paraId="0D976CA3" w14:textId="77777777" w:rsidR="00CD5639" w:rsidRDefault="00CD5639" w:rsidP="004D50C7">
      <w:pPr>
        <w:pStyle w:val="21"/>
        <w:rPr>
          <w:rtl/>
        </w:rPr>
      </w:pPr>
    </w:p>
    <w:p w14:paraId="052F5068" w14:textId="77777777" w:rsidR="00AB7D68" w:rsidRDefault="00AB7D68" w:rsidP="004D50C7">
      <w:pPr>
        <w:pStyle w:val="21"/>
        <w:rPr>
          <w:u w:val="single"/>
          <w:rtl/>
        </w:rPr>
      </w:pPr>
      <w:r>
        <w:rPr>
          <w:rFonts w:hint="cs"/>
          <w:rtl/>
        </w:rPr>
        <w:t>ב.</w:t>
      </w:r>
      <w:r>
        <w:rPr>
          <w:rFonts w:hint="cs"/>
          <w:rtl/>
        </w:rPr>
        <w:tab/>
      </w:r>
      <w:r>
        <w:rPr>
          <w:rFonts w:hint="cs"/>
          <w:u w:val="single"/>
          <w:rtl/>
        </w:rPr>
        <w:t xml:space="preserve">דיווח בדבר מגזרי </w:t>
      </w:r>
      <w:r w:rsidR="004D50C7">
        <w:rPr>
          <w:rFonts w:hint="cs"/>
          <w:u w:val="single"/>
          <w:rtl/>
        </w:rPr>
        <w:t>פעילות</w:t>
      </w:r>
    </w:p>
    <w:p w14:paraId="352489EE" w14:textId="77777777" w:rsidR="00BB6998" w:rsidRDefault="00BB6998" w:rsidP="004D50C7">
      <w:pPr>
        <w:pStyle w:val="21"/>
        <w:rPr>
          <w:u w:val="single"/>
          <w:rtl/>
        </w:rPr>
      </w:pPr>
    </w:p>
    <w:p w14:paraId="6AE960C4" w14:textId="7C0AB1F8" w:rsidR="00D1565B" w:rsidRDefault="00D1565B" w:rsidP="00414876">
      <w:pPr>
        <w:pStyle w:val="afffff"/>
        <w:widowControl/>
        <w:spacing w:after="200" w:line="276" w:lineRule="auto"/>
        <w:ind w:left="1701"/>
        <w:rPr>
          <w:highlight w:val="lightGray"/>
          <w:rtl/>
        </w:rPr>
      </w:pPr>
      <w:r w:rsidRPr="00D1565B">
        <w:rPr>
          <w:rFonts w:hint="cs"/>
          <w:highlight w:val="lightGray"/>
          <w:rtl/>
        </w:rPr>
        <w:t xml:space="preserve">במסגרת יישום הוראות </w:t>
      </w:r>
      <w:r w:rsidRPr="00D1565B">
        <w:rPr>
          <w:rFonts w:hint="cs"/>
          <w:highlight w:val="lightGray"/>
        </w:rPr>
        <w:t>IFRS 15</w:t>
      </w:r>
      <w:r w:rsidR="00414876">
        <w:rPr>
          <w:rFonts w:hint="cs"/>
          <w:highlight w:val="lightGray"/>
          <w:rtl/>
        </w:rPr>
        <w:t xml:space="preserve"> נדרש </w:t>
      </w:r>
      <w:r w:rsidRPr="00D1565B">
        <w:rPr>
          <w:rFonts w:hint="cs"/>
          <w:highlight w:val="lightGray"/>
          <w:rtl/>
        </w:rPr>
        <w:t xml:space="preserve">לפצל את ההכנסות שהוכרו מחוזים עם לקוחות לקבוצות המתארות את האופן שבו המהות, הסכום, העיתוי וחוסר הוודאות של הכנסות ותזרימי מזומנים מושפעים מגורמים כלכליים. בנוסף יש לתת גילוי המקשר בין ההכנסות המפוצלות של החברה כאמור לעיל, לבין המידע על ההכנסות הכלול בבאור מגזרי הפעילות שלה. </w:t>
      </w:r>
    </w:p>
    <w:p w14:paraId="2E0FA725" w14:textId="77777777" w:rsidR="00BF3BAF" w:rsidRPr="00D1565B" w:rsidRDefault="00BF3BAF" w:rsidP="00BF3BAF">
      <w:pPr>
        <w:pStyle w:val="afffff"/>
        <w:widowControl/>
        <w:spacing w:after="200" w:line="276" w:lineRule="auto"/>
        <w:ind w:left="1701"/>
        <w:rPr>
          <w:highlight w:val="lightGray"/>
        </w:rPr>
      </w:pPr>
    </w:p>
    <w:p w14:paraId="163220FD" w14:textId="415A5FEB" w:rsidR="00D1565B" w:rsidRDefault="00D1565B" w:rsidP="00414876">
      <w:pPr>
        <w:pStyle w:val="afffff"/>
        <w:widowControl/>
        <w:spacing w:after="200" w:line="276" w:lineRule="auto"/>
        <w:ind w:left="1701"/>
        <w:rPr>
          <w:rtl/>
        </w:rPr>
      </w:pPr>
      <w:r w:rsidRPr="00D1565B">
        <w:rPr>
          <w:rFonts w:hint="cs"/>
          <w:highlight w:val="lightGray"/>
          <w:rtl/>
        </w:rPr>
        <w:t xml:space="preserve">להלן </w:t>
      </w:r>
      <w:r w:rsidRPr="000632CC">
        <w:rPr>
          <w:rFonts w:hint="eastAsia"/>
          <w:b/>
          <w:bCs/>
          <w:highlight w:val="lightGray"/>
          <w:u w:val="single"/>
          <w:rtl/>
        </w:rPr>
        <w:t>דוגמ</w:t>
      </w:r>
      <w:r w:rsidR="00F55CBC">
        <w:rPr>
          <w:rFonts w:hint="cs"/>
          <w:b/>
          <w:bCs/>
          <w:highlight w:val="lightGray"/>
          <w:u w:val="single"/>
          <w:rtl/>
        </w:rPr>
        <w:t>אות</w:t>
      </w:r>
      <w:r w:rsidRPr="00D1565B">
        <w:rPr>
          <w:rFonts w:hint="cs"/>
          <w:highlight w:val="lightGray"/>
          <w:rtl/>
        </w:rPr>
        <w:t xml:space="preserve"> לפיצול כאמור בגין ההכנסות. </w:t>
      </w:r>
      <w:r w:rsidRPr="000632CC">
        <w:rPr>
          <w:rFonts w:hint="eastAsia"/>
          <w:b/>
          <w:bCs/>
          <w:highlight w:val="lightGray"/>
          <w:u w:val="single"/>
          <w:rtl/>
        </w:rPr>
        <w:t>הפיצול</w:t>
      </w:r>
      <w:r w:rsidRPr="000632CC">
        <w:rPr>
          <w:b/>
          <w:bCs/>
          <w:highlight w:val="lightGray"/>
          <w:u w:val="single"/>
          <w:rtl/>
        </w:rPr>
        <w:t xml:space="preserve"> </w:t>
      </w:r>
      <w:r w:rsidRPr="000632CC">
        <w:rPr>
          <w:rFonts w:hint="eastAsia"/>
          <w:b/>
          <w:bCs/>
          <w:highlight w:val="lightGray"/>
          <w:u w:val="single"/>
          <w:rtl/>
        </w:rPr>
        <w:t>צריך</w:t>
      </w:r>
      <w:r w:rsidRPr="000632CC">
        <w:rPr>
          <w:b/>
          <w:bCs/>
          <w:highlight w:val="lightGray"/>
          <w:u w:val="single"/>
          <w:rtl/>
        </w:rPr>
        <w:t xml:space="preserve"> </w:t>
      </w:r>
      <w:r w:rsidRPr="000632CC">
        <w:rPr>
          <w:rFonts w:hint="eastAsia"/>
          <w:b/>
          <w:bCs/>
          <w:highlight w:val="lightGray"/>
          <w:u w:val="single"/>
          <w:rtl/>
        </w:rPr>
        <w:t>להיעשות</w:t>
      </w:r>
      <w:r w:rsidRPr="000632CC">
        <w:rPr>
          <w:b/>
          <w:bCs/>
          <w:highlight w:val="lightGray"/>
          <w:u w:val="single"/>
          <w:rtl/>
        </w:rPr>
        <w:t xml:space="preserve"> </w:t>
      </w:r>
      <w:r w:rsidRPr="000632CC">
        <w:rPr>
          <w:rFonts w:hint="eastAsia"/>
          <w:b/>
          <w:bCs/>
          <w:highlight w:val="lightGray"/>
          <w:u w:val="single"/>
          <w:rtl/>
        </w:rPr>
        <w:t>בהתאם</w:t>
      </w:r>
      <w:r w:rsidRPr="000632CC">
        <w:rPr>
          <w:b/>
          <w:bCs/>
          <w:highlight w:val="lightGray"/>
          <w:u w:val="single"/>
          <w:rtl/>
        </w:rPr>
        <w:t xml:space="preserve"> </w:t>
      </w:r>
      <w:r w:rsidRPr="000632CC">
        <w:rPr>
          <w:rFonts w:hint="eastAsia"/>
          <w:b/>
          <w:bCs/>
          <w:highlight w:val="lightGray"/>
          <w:u w:val="single"/>
          <w:rtl/>
        </w:rPr>
        <w:t>לאופי</w:t>
      </w:r>
      <w:r w:rsidRPr="000632CC">
        <w:rPr>
          <w:b/>
          <w:bCs/>
          <w:highlight w:val="lightGray"/>
          <w:u w:val="single"/>
          <w:rtl/>
        </w:rPr>
        <w:t xml:space="preserve"> </w:t>
      </w:r>
      <w:r w:rsidRPr="000632CC">
        <w:rPr>
          <w:rFonts w:hint="eastAsia"/>
          <w:b/>
          <w:bCs/>
          <w:highlight w:val="lightGray"/>
          <w:u w:val="single"/>
          <w:rtl/>
        </w:rPr>
        <w:t>ההכנסות</w:t>
      </w:r>
      <w:r w:rsidRPr="000632CC">
        <w:rPr>
          <w:b/>
          <w:bCs/>
          <w:highlight w:val="lightGray"/>
          <w:u w:val="single"/>
          <w:rtl/>
        </w:rPr>
        <w:t xml:space="preserve"> </w:t>
      </w:r>
      <w:r w:rsidRPr="000632CC">
        <w:rPr>
          <w:rFonts w:hint="eastAsia"/>
          <w:b/>
          <w:bCs/>
          <w:highlight w:val="lightGray"/>
          <w:u w:val="single"/>
          <w:rtl/>
        </w:rPr>
        <w:t>של</w:t>
      </w:r>
      <w:r w:rsidRPr="000632CC">
        <w:rPr>
          <w:b/>
          <w:bCs/>
          <w:highlight w:val="lightGray"/>
          <w:u w:val="single"/>
          <w:rtl/>
        </w:rPr>
        <w:t xml:space="preserve"> </w:t>
      </w:r>
      <w:r w:rsidRPr="000632CC">
        <w:rPr>
          <w:rFonts w:hint="eastAsia"/>
          <w:b/>
          <w:bCs/>
          <w:highlight w:val="lightGray"/>
          <w:u w:val="single"/>
          <w:rtl/>
        </w:rPr>
        <w:t>החברה</w:t>
      </w:r>
      <w:r w:rsidRPr="000632CC">
        <w:rPr>
          <w:b/>
          <w:bCs/>
          <w:highlight w:val="lightGray"/>
          <w:u w:val="single"/>
          <w:rtl/>
        </w:rPr>
        <w:t>.</w:t>
      </w:r>
      <w:r w:rsidRPr="00D1565B">
        <w:rPr>
          <w:rFonts w:hint="cs"/>
          <w:highlight w:val="lightGray"/>
          <w:rtl/>
        </w:rPr>
        <w:t xml:space="preserve"> למשל, ניתן לפלח את ההכנסות גם לפי - סוגי לקוחות (ממשלתי ולא ממשלתי), משך החוזה (חוזים ארוכי טווח וקצרי טווח), ערוץ הפצה (מכירה ישירה, מכירה דרך מפיצים).</w:t>
      </w:r>
    </w:p>
    <w:p w14:paraId="2F8956A5" w14:textId="77777777" w:rsidR="00E72837" w:rsidRDefault="00E72837">
      <w:pPr>
        <w:widowControl/>
        <w:overflowPunct/>
        <w:autoSpaceDE/>
        <w:autoSpaceDN/>
        <w:bidi w:val="0"/>
        <w:adjustRightInd/>
        <w:spacing w:line="240" w:lineRule="auto"/>
        <w:jc w:val="left"/>
        <w:textAlignment w:val="auto"/>
      </w:pPr>
      <w:r>
        <w:rPr>
          <w:rtl/>
        </w:rPr>
        <w:br w:type="page"/>
      </w:r>
    </w:p>
    <w:p w14:paraId="42CDC617" w14:textId="77777777" w:rsidR="00E72837" w:rsidRDefault="00E72837" w:rsidP="000632CC">
      <w:pPr>
        <w:pStyle w:val="11"/>
        <w:rPr>
          <w:rtl/>
        </w:rPr>
      </w:pPr>
    </w:p>
    <w:p w14:paraId="6B354B80" w14:textId="77777777" w:rsidR="00E72837" w:rsidRDefault="00E72837" w:rsidP="000632CC">
      <w:pPr>
        <w:pStyle w:val="11"/>
        <w:rPr>
          <w:rtl/>
        </w:rPr>
      </w:pPr>
    </w:p>
    <w:p w14:paraId="3F16BC1C" w14:textId="193C0B47" w:rsidR="000632CC" w:rsidRDefault="000632CC" w:rsidP="000632CC">
      <w:pPr>
        <w:pStyle w:val="11"/>
        <w:rPr>
          <w:rtl/>
        </w:rPr>
      </w:pPr>
      <w:r>
        <w:rPr>
          <w:rFonts w:hint="cs"/>
          <w:rtl/>
        </w:rPr>
        <w:t>באור 16: -</w:t>
      </w:r>
      <w:r>
        <w:rPr>
          <w:rFonts w:hint="cs"/>
          <w:rtl/>
        </w:rPr>
        <w:tab/>
      </w:r>
      <w:r>
        <w:rPr>
          <w:rFonts w:hint="cs"/>
          <w:u w:val="single"/>
          <w:rtl/>
        </w:rPr>
        <w:t>מגזרי פעילות</w:t>
      </w:r>
      <w:r>
        <w:rPr>
          <w:rFonts w:hint="cs"/>
          <w:rtl/>
        </w:rPr>
        <w:t xml:space="preserve"> (המשך)</w:t>
      </w:r>
    </w:p>
    <w:tbl>
      <w:tblPr>
        <w:bidiVisual/>
        <w:tblW w:w="8116" w:type="dxa"/>
        <w:tblInd w:w="1700" w:type="dxa"/>
        <w:tblLayout w:type="fixed"/>
        <w:tblCellMar>
          <w:left w:w="0" w:type="dxa"/>
          <w:right w:w="0" w:type="dxa"/>
        </w:tblCellMar>
        <w:tblLook w:val="0000" w:firstRow="0" w:lastRow="0" w:firstColumn="0" w:lastColumn="0" w:noHBand="0" w:noVBand="0"/>
      </w:tblPr>
      <w:tblGrid>
        <w:gridCol w:w="2437"/>
        <w:gridCol w:w="86"/>
        <w:gridCol w:w="804"/>
        <w:gridCol w:w="140"/>
        <w:gridCol w:w="930"/>
        <w:gridCol w:w="113"/>
        <w:gridCol w:w="804"/>
        <w:gridCol w:w="140"/>
        <w:gridCol w:w="804"/>
        <w:gridCol w:w="140"/>
        <w:gridCol w:w="820"/>
        <w:gridCol w:w="94"/>
        <w:gridCol w:w="804"/>
      </w:tblGrid>
      <w:tr w:rsidR="00AB7D68" w:rsidRPr="0031447D" w14:paraId="02B02E82" w14:textId="77777777" w:rsidTr="0031447D">
        <w:tc>
          <w:tcPr>
            <w:tcW w:w="2437" w:type="dxa"/>
            <w:vAlign w:val="bottom"/>
          </w:tcPr>
          <w:p w14:paraId="57662AC7" w14:textId="77777777" w:rsidR="00AB7D68" w:rsidRPr="0031447D" w:rsidRDefault="00AB7D68" w:rsidP="0031447D">
            <w:pPr>
              <w:pStyle w:val="a3"/>
              <w:tabs>
                <w:tab w:val="left" w:pos="227"/>
                <w:tab w:val="left" w:pos="397"/>
                <w:tab w:val="left" w:pos="567"/>
              </w:tabs>
              <w:spacing w:line="180" w:lineRule="exact"/>
              <w:jc w:val="center"/>
              <w:rPr>
                <w:sz w:val="18"/>
                <w:szCs w:val="18"/>
              </w:rPr>
            </w:pPr>
          </w:p>
        </w:tc>
        <w:tc>
          <w:tcPr>
            <w:tcW w:w="86" w:type="dxa"/>
          </w:tcPr>
          <w:p w14:paraId="0583F1CF" w14:textId="77777777" w:rsidR="00AB7D68" w:rsidRPr="0031447D" w:rsidRDefault="00AB7D68" w:rsidP="0031447D">
            <w:pPr>
              <w:pStyle w:val="a3"/>
              <w:tabs>
                <w:tab w:val="left" w:pos="227"/>
                <w:tab w:val="left" w:pos="397"/>
                <w:tab w:val="left" w:pos="567"/>
              </w:tabs>
              <w:spacing w:line="180" w:lineRule="exact"/>
              <w:ind w:left="227" w:hanging="397"/>
              <w:jc w:val="center"/>
              <w:rPr>
                <w:sz w:val="18"/>
                <w:szCs w:val="18"/>
              </w:rPr>
            </w:pPr>
          </w:p>
        </w:tc>
        <w:tc>
          <w:tcPr>
            <w:tcW w:w="804" w:type="dxa"/>
            <w:tcBorders>
              <w:top w:val="nil"/>
              <w:left w:val="nil"/>
              <w:bottom w:val="single" w:sz="6" w:space="0" w:color="auto"/>
              <w:right w:val="nil"/>
            </w:tcBorders>
            <w:vAlign w:val="bottom"/>
          </w:tcPr>
          <w:p w14:paraId="31E050B1" w14:textId="77777777" w:rsidR="00AB7D68" w:rsidRPr="0031447D" w:rsidRDefault="00AB7D68" w:rsidP="0031447D">
            <w:pPr>
              <w:spacing w:line="180" w:lineRule="exact"/>
              <w:jc w:val="center"/>
              <w:rPr>
                <w:b/>
                <w:sz w:val="18"/>
                <w:szCs w:val="18"/>
              </w:rPr>
            </w:pPr>
            <w:r w:rsidRPr="0031447D">
              <w:rPr>
                <w:rFonts w:hint="cs"/>
                <w:b/>
                <w:sz w:val="18"/>
                <w:szCs w:val="18"/>
                <w:rtl/>
              </w:rPr>
              <w:t>מגזר ציוד למניעת שריפות</w:t>
            </w:r>
          </w:p>
        </w:tc>
        <w:tc>
          <w:tcPr>
            <w:tcW w:w="140" w:type="dxa"/>
            <w:vAlign w:val="bottom"/>
          </w:tcPr>
          <w:p w14:paraId="05845C83" w14:textId="77777777" w:rsidR="00AB7D68" w:rsidRPr="0031447D" w:rsidRDefault="00AB7D68" w:rsidP="0031447D">
            <w:pPr>
              <w:spacing w:line="180" w:lineRule="exact"/>
              <w:jc w:val="center"/>
              <w:rPr>
                <w:sz w:val="18"/>
                <w:szCs w:val="18"/>
              </w:rPr>
            </w:pPr>
          </w:p>
        </w:tc>
        <w:tc>
          <w:tcPr>
            <w:tcW w:w="930" w:type="dxa"/>
            <w:tcBorders>
              <w:top w:val="nil"/>
              <w:left w:val="nil"/>
              <w:bottom w:val="single" w:sz="6" w:space="0" w:color="auto"/>
              <w:right w:val="nil"/>
            </w:tcBorders>
            <w:vAlign w:val="bottom"/>
          </w:tcPr>
          <w:p w14:paraId="41DDC8A2" w14:textId="77777777" w:rsidR="00AB7D68" w:rsidRPr="0031447D" w:rsidRDefault="00AB7D68" w:rsidP="0031447D">
            <w:pPr>
              <w:spacing w:line="180" w:lineRule="exact"/>
              <w:jc w:val="center"/>
              <w:rPr>
                <w:b/>
                <w:sz w:val="18"/>
                <w:szCs w:val="18"/>
              </w:rPr>
            </w:pPr>
            <w:r w:rsidRPr="0031447D">
              <w:rPr>
                <w:rFonts w:hint="cs"/>
                <w:b/>
                <w:sz w:val="18"/>
                <w:szCs w:val="18"/>
                <w:rtl/>
              </w:rPr>
              <w:t>מגזר אלקטרוניקה</w:t>
            </w:r>
          </w:p>
        </w:tc>
        <w:tc>
          <w:tcPr>
            <w:tcW w:w="113" w:type="dxa"/>
            <w:vAlign w:val="bottom"/>
          </w:tcPr>
          <w:p w14:paraId="7466CDC8" w14:textId="77777777" w:rsidR="00AB7D68" w:rsidRPr="0031447D" w:rsidRDefault="00AB7D68" w:rsidP="0031447D">
            <w:pPr>
              <w:spacing w:line="180" w:lineRule="exact"/>
              <w:jc w:val="center"/>
              <w:rPr>
                <w:sz w:val="18"/>
                <w:szCs w:val="18"/>
              </w:rPr>
            </w:pPr>
          </w:p>
        </w:tc>
        <w:tc>
          <w:tcPr>
            <w:tcW w:w="804" w:type="dxa"/>
            <w:tcBorders>
              <w:top w:val="nil"/>
              <w:left w:val="nil"/>
              <w:bottom w:val="single" w:sz="6" w:space="0" w:color="auto"/>
              <w:right w:val="nil"/>
            </w:tcBorders>
            <w:vAlign w:val="bottom"/>
          </w:tcPr>
          <w:p w14:paraId="26F1772E" w14:textId="77777777" w:rsidR="00AB7D68" w:rsidRPr="0031447D" w:rsidRDefault="00AB7D68" w:rsidP="0031447D">
            <w:pPr>
              <w:spacing w:line="180" w:lineRule="exact"/>
              <w:jc w:val="center"/>
              <w:rPr>
                <w:b/>
                <w:sz w:val="18"/>
                <w:szCs w:val="18"/>
              </w:rPr>
            </w:pPr>
            <w:r w:rsidRPr="0031447D">
              <w:rPr>
                <w:rFonts w:hint="cs"/>
                <w:b/>
                <w:sz w:val="18"/>
                <w:szCs w:val="18"/>
                <w:rtl/>
              </w:rPr>
              <w:t>מגזר נדל"ן להשקעה</w:t>
            </w:r>
          </w:p>
        </w:tc>
        <w:tc>
          <w:tcPr>
            <w:tcW w:w="140" w:type="dxa"/>
            <w:vAlign w:val="bottom"/>
          </w:tcPr>
          <w:p w14:paraId="1875ED90" w14:textId="77777777" w:rsidR="00AB7D68" w:rsidRPr="0031447D" w:rsidRDefault="00AB7D68" w:rsidP="0031447D">
            <w:pPr>
              <w:spacing w:line="180" w:lineRule="exact"/>
              <w:jc w:val="center"/>
              <w:rPr>
                <w:sz w:val="18"/>
                <w:szCs w:val="18"/>
              </w:rPr>
            </w:pPr>
          </w:p>
        </w:tc>
        <w:tc>
          <w:tcPr>
            <w:tcW w:w="804" w:type="dxa"/>
            <w:tcBorders>
              <w:top w:val="nil"/>
              <w:left w:val="nil"/>
              <w:bottom w:val="single" w:sz="6" w:space="0" w:color="auto"/>
              <w:right w:val="nil"/>
            </w:tcBorders>
            <w:vAlign w:val="bottom"/>
          </w:tcPr>
          <w:p w14:paraId="7F277C95" w14:textId="77777777" w:rsidR="00AB7D68" w:rsidRPr="0031447D" w:rsidRDefault="001565D5" w:rsidP="0031447D">
            <w:pPr>
              <w:spacing w:line="180" w:lineRule="exact"/>
              <w:jc w:val="center"/>
              <w:rPr>
                <w:sz w:val="18"/>
                <w:szCs w:val="18"/>
              </w:rPr>
            </w:pPr>
            <w:r w:rsidRPr="0031447D">
              <w:rPr>
                <w:rFonts w:hint="cs"/>
                <w:sz w:val="18"/>
                <w:szCs w:val="18"/>
                <w:rtl/>
              </w:rPr>
              <w:t>פעילויות אחרות</w:t>
            </w:r>
          </w:p>
        </w:tc>
        <w:tc>
          <w:tcPr>
            <w:tcW w:w="140" w:type="dxa"/>
            <w:vAlign w:val="bottom"/>
          </w:tcPr>
          <w:p w14:paraId="28E36714" w14:textId="77777777" w:rsidR="00AB7D68" w:rsidRPr="0031447D" w:rsidRDefault="00AB7D68" w:rsidP="0031447D">
            <w:pPr>
              <w:spacing w:line="180" w:lineRule="exact"/>
              <w:jc w:val="center"/>
              <w:rPr>
                <w:sz w:val="18"/>
                <w:szCs w:val="18"/>
              </w:rPr>
            </w:pPr>
          </w:p>
        </w:tc>
        <w:tc>
          <w:tcPr>
            <w:tcW w:w="820" w:type="dxa"/>
            <w:tcBorders>
              <w:top w:val="nil"/>
              <w:left w:val="nil"/>
              <w:bottom w:val="single" w:sz="6" w:space="0" w:color="auto"/>
              <w:right w:val="nil"/>
            </w:tcBorders>
            <w:vAlign w:val="bottom"/>
          </w:tcPr>
          <w:p w14:paraId="36F622FD" w14:textId="77777777" w:rsidR="00AB7D68" w:rsidRPr="0031447D" w:rsidRDefault="00AB7D68" w:rsidP="0031447D">
            <w:pPr>
              <w:spacing w:line="180" w:lineRule="exact"/>
              <w:jc w:val="center"/>
              <w:rPr>
                <w:sz w:val="18"/>
                <w:szCs w:val="18"/>
              </w:rPr>
            </w:pPr>
            <w:r w:rsidRPr="0031447D">
              <w:rPr>
                <w:rFonts w:hint="cs"/>
                <w:sz w:val="18"/>
                <w:szCs w:val="18"/>
                <w:rtl/>
              </w:rPr>
              <w:t>התאמות</w:t>
            </w:r>
            <w:r w:rsidR="001565D5" w:rsidRPr="0031447D">
              <w:rPr>
                <w:rStyle w:val="ab"/>
                <w:sz w:val="18"/>
                <w:szCs w:val="18"/>
              </w:rPr>
              <w:footnoteReference w:id="112"/>
            </w:r>
          </w:p>
        </w:tc>
        <w:tc>
          <w:tcPr>
            <w:tcW w:w="94" w:type="dxa"/>
            <w:vAlign w:val="bottom"/>
          </w:tcPr>
          <w:p w14:paraId="1BA90AA5" w14:textId="77777777" w:rsidR="00AB7D68" w:rsidRPr="0031447D" w:rsidRDefault="00AB7D68" w:rsidP="0031447D">
            <w:pPr>
              <w:spacing w:line="180" w:lineRule="exact"/>
              <w:jc w:val="center"/>
              <w:rPr>
                <w:sz w:val="18"/>
                <w:szCs w:val="18"/>
              </w:rPr>
            </w:pPr>
          </w:p>
        </w:tc>
        <w:tc>
          <w:tcPr>
            <w:tcW w:w="804" w:type="dxa"/>
            <w:tcBorders>
              <w:top w:val="nil"/>
              <w:left w:val="nil"/>
              <w:bottom w:val="single" w:sz="6" w:space="0" w:color="auto"/>
              <w:right w:val="nil"/>
            </w:tcBorders>
            <w:vAlign w:val="bottom"/>
          </w:tcPr>
          <w:p w14:paraId="3F0A2166" w14:textId="77777777" w:rsidR="00AB7D68" w:rsidRPr="0031447D" w:rsidRDefault="00163CF0" w:rsidP="0031447D">
            <w:pPr>
              <w:spacing w:line="180" w:lineRule="exact"/>
              <w:jc w:val="center"/>
              <w:rPr>
                <w:sz w:val="18"/>
                <w:szCs w:val="18"/>
              </w:rPr>
            </w:pPr>
            <w:r w:rsidRPr="0031447D">
              <w:rPr>
                <w:rFonts w:hint="cs"/>
                <w:sz w:val="18"/>
                <w:szCs w:val="18"/>
                <w:rtl/>
              </w:rPr>
              <w:t>סה"כ</w:t>
            </w:r>
          </w:p>
        </w:tc>
      </w:tr>
      <w:tr w:rsidR="00AB7D68" w:rsidRPr="0031447D" w14:paraId="260A00E8" w14:textId="77777777" w:rsidTr="0031447D">
        <w:tc>
          <w:tcPr>
            <w:tcW w:w="2437" w:type="dxa"/>
            <w:vAlign w:val="bottom"/>
          </w:tcPr>
          <w:p w14:paraId="3BF4ECA5" w14:textId="77777777" w:rsidR="00AB7D68" w:rsidRPr="0031447D" w:rsidRDefault="00AB7D68" w:rsidP="0031447D">
            <w:pPr>
              <w:pStyle w:val="a3"/>
              <w:tabs>
                <w:tab w:val="left" w:pos="227"/>
                <w:tab w:val="left" w:pos="397"/>
                <w:tab w:val="left" w:pos="567"/>
              </w:tabs>
              <w:spacing w:line="180" w:lineRule="exact"/>
              <w:jc w:val="center"/>
              <w:rPr>
                <w:sz w:val="18"/>
                <w:szCs w:val="18"/>
              </w:rPr>
            </w:pPr>
          </w:p>
        </w:tc>
        <w:tc>
          <w:tcPr>
            <w:tcW w:w="86" w:type="dxa"/>
          </w:tcPr>
          <w:p w14:paraId="3E27515B" w14:textId="77777777" w:rsidR="00AB7D68" w:rsidRPr="0031447D" w:rsidRDefault="00AB7D68" w:rsidP="0031447D">
            <w:pPr>
              <w:pStyle w:val="a3"/>
              <w:tabs>
                <w:tab w:val="left" w:pos="227"/>
                <w:tab w:val="left" w:pos="397"/>
                <w:tab w:val="left" w:pos="567"/>
              </w:tabs>
              <w:spacing w:line="180" w:lineRule="exact"/>
              <w:ind w:left="227" w:hanging="397"/>
              <w:jc w:val="center"/>
              <w:rPr>
                <w:sz w:val="18"/>
                <w:szCs w:val="18"/>
              </w:rPr>
            </w:pPr>
          </w:p>
        </w:tc>
        <w:tc>
          <w:tcPr>
            <w:tcW w:w="5593" w:type="dxa"/>
            <w:gridSpan w:val="11"/>
            <w:tcBorders>
              <w:top w:val="nil"/>
              <w:left w:val="nil"/>
              <w:bottom w:val="single" w:sz="6" w:space="0" w:color="auto"/>
              <w:right w:val="nil"/>
            </w:tcBorders>
            <w:vAlign w:val="bottom"/>
          </w:tcPr>
          <w:p w14:paraId="0568F19E" w14:textId="77777777" w:rsidR="00AB7D68" w:rsidRPr="0031447D" w:rsidRDefault="00AB7D68" w:rsidP="0031447D">
            <w:pPr>
              <w:pStyle w:val="af5"/>
              <w:pBdr>
                <w:bottom w:val="none" w:sz="0" w:space="0" w:color="auto"/>
              </w:pBdr>
              <w:spacing w:line="180" w:lineRule="exact"/>
              <w:rPr>
                <w:b w:val="0"/>
                <w:bCs w:val="0"/>
                <w:sz w:val="18"/>
                <w:szCs w:val="18"/>
              </w:rPr>
            </w:pPr>
            <w:r w:rsidRPr="0031447D">
              <w:rPr>
                <w:rFonts w:hint="cs"/>
                <w:b w:val="0"/>
                <w:bCs w:val="0"/>
                <w:sz w:val="18"/>
                <w:szCs w:val="18"/>
                <w:rtl/>
              </w:rPr>
              <w:t>בלתי מבוקר</w:t>
            </w:r>
          </w:p>
        </w:tc>
      </w:tr>
      <w:tr w:rsidR="00AB7D68" w:rsidRPr="0031447D" w14:paraId="6CBA524C" w14:textId="77777777" w:rsidTr="0031447D">
        <w:tc>
          <w:tcPr>
            <w:tcW w:w="2437" w:type="dxa"/>
            <w:vAlign w:val="bottom"/>
          </w:tcPr>
          <w:p w14:paraId="68D19B32" w14:textId="77777777" w:rsidR="00AB7D68" w:rsidRPr="0031447D" w:rsidRDefault="00AB7D68" w:rsidP="0031447D">
            <w:pPr>
              <w:pStyle w:val="a3"/>
              <w:tabs>
                <w:tab w:val="left" w:pos="227"/>
                <w:tab w:val="left" w:pos="397"/>
                <w:tab w:val="left" w:pos="567"/>
              </w:tabs>
              <w:spacing w:line="180" w:lineRule="exact"/>
              <w:jc w:val="center"/>
              <w:rPr>
                <w:sz w:val="18"/>
                <w:szCs w:val="18"/>
              </w:rPr>
            </w:pPr>
          </w:p>
        </w:tc>
        <w:tc>
          <w:tcPr>
            <w:tcW w:w="86" w:type="dxa"/>
          </w:tcPr>
          <w:p w14:paraId="4C3BC1FA" w14:textId="77777777" w:rsidR="00AB7D68" w:rsidRPr="0031447D" w:rsidRDefault="00AB7D68" w:rsidP="0031447D">
            <w:pPr>
              <w:pStyle w:val="a3"/>
              <w:tabs>
                <w:tab w:val="left" w:pos="227"/>
                <w:tab w:val="left" w:pos="397"/>
                <w:tab w:val="left" w:pos="567"/>
              </w:tabs>
              <w:spacing w:line="180" w:lineRule="exact"/>
              <w:ind w:left="227" w:hanging="397"/>
              <w:jc w:val="center"/>
              <w:rPr>
                <w:sz w:val="18"/>
                <w:szCs w:val="18"/>
              </w:rPr>
            </w:pPr>
          </w:p>
        </w:tc>
        <w:tc>
          <w:tcPr>
            <w:tcW w:w="5593" w:type="dxa"/>
            <w:gridSpan w:val="11"/>
            <w:tcBorders>
              <w:top w:val="nil"/>
              <w:left w:val="nil"/>
              <w:bottom w:val="single" w:sz="6" w:space="0" w:color="auto"/>
              <w:right w:val="nil"/>
            </w:tcBorders>
            <w:vAlign w:val="bottom"/>
          </w:tcPr>
          <w:p w14:paraId="2B8D747B" w14:textId="77777777" w:rsidR="00AB7D68" w:rsidRPr="0031447D" w:rsidRDefault="00AB7D68" w:rsidP="0031447D">
            <w:pPr>
              <w:pStyle w:val="af5"/>
              <w:pBdr>
                <w:bottom w:val="none" w:sz="0" w:space="0" w:color="auto"/>
              </w:pBdr>
              <w:spacing w:line="180" w:lineRule="exact"/>
              <w:rPr>
                <w:sz w:val="18"/>
                <w:szCs w:val="18"/>
              </w:rPr>
            </w:pPr>
            <w:r w:rsidRPr="0031447D">
              <w:rPr>
                <w:rFonts w:hint="cs"/>
                <w:b w:val="0"/>
                <w:bCs w:val="0"/>
                <w:sz w:val="18"/>
                <w:szCs w:val="18"/>
                <w:rtl/>
              </w:rPr>
              <w:t>אלפי ש"ח</w:t>
            </w:r>
          </w:p>
        </w:tc>
      </w:tr>
      <w:tr w:rsidR="007811CD" w:rsidRPr="0031447D" w14:paraId="1BE56686" w14:textId="77777777" w:rsidTr="00473B27">
        <w:trPr>
          <w:trHeight w:val="249"/>
        </w:trPr>
        <w:tc>
          <w:tcPr>
            <w:tcW w:w="2437" w:type="dxa"/>
            <w:vAlign w:val="bottom"/>
          </w:tcPr>
          <w:p w14:paraId="42F40F9E" w14:textId="7A48AF21" w:rsidR="008D22FA" w:rsidRPr="0031447D" w:rsidRDefault="007811CD" w:rsidP="00BF3BAF">
            <w:pPr>
              <w:pStyle w:val="a3"/>
              <w:tabs>
                <w:tab w:val="left" w:pos="567"/>
              </w:tabs>
              <w:spacing w:line="180" w:lineRule="exact"/>
              <w:rPr>
                <w:sz w:val="18"/>
                <w:szCs w:val="18"/>
                <w:u w:val="single"/>
              </w:rPr>
            </w:pPr>
            <w:r w:rsidRPr="0031447D">
              <w:rPr>
                <w:rFonts w:hint="cs"/>
                <w:sz w:val="18"/>
                <w:szCs w:val="18"/>
                <w:u w:val="single"/>
                <w:rtl/>
              </w:rPr>
              <w:t xml:space="preserve">לתקופה של </w:t>
            </w:r>
            <w:r w:rsidR="00D469FD" w:rsidRPr="0031447D">
              <w:rPr>
                <w:rFonts w:hint="cs"/>
                <w:sz w:val="18"/>
                <w:szCs w:val="18"/>
                <w:u w:val="single"/>
                <w:rtl/>
              </w:rPr>
              <w:t>תשעה</w:t>
            </w:r>
            <w:r w:rsidRPr="0031447D">
              <w:rPr>
                <w:rFonts w:hint="cs"/>
                <w:sz w:val="18"/>
                <w:szCs w:val="18"/>
                <w:u w:val="single"/>
                <w:rtl/>
              </w:rPr>
              <w:t xml:space="preserve"> חודשים</w:t>
            </w:r>
            <w:r w:rsidR="00276F4A" w:rsidRPr="0031447D">
              <w:rPr>
                <w:rFonts w:hint="cs"/>
                <w:sz w:val="18"/>
                <w:szCs w:val="18"/>
                <w:u w:val="single"/>
                <w:rtl/>
              </w:rPr>
              <w:t xml:space="preserve"> שהסתיימה ביום </w:t>
            </w:r>
            <w:r w:rsidR="00D469FD" w:rsidRPr="0031447D">
              <w:rPr>
                <w:rFonts w:hint="cs"/>
                <w:sz w:val="18"/>
                <w:szCs w:val="18"/>
                <w:u w:val="single"/>
                <w:rtl/>
              </w:rPr>
              <w:t>30 בספטמבר</w:t>
            </w:r>
            <w:r w:rsidR="00276F4A" w:rsidRPr="0031447D">
              <w:rPr>
                <w:rFonts w:hint="cs"/>
                <w:sz w:val="18"/>
                <w:szCs w:val="18"/>
                <w:u w:val="single"/>
                <w:rtl/>
              </w:rPr>
              <w:t xml:space="preserve">, </w:t>
            </w:r>
            <w:r w:rsidR="004A4A6B">
              <w:rPr>
                <w:rFonts w:hint="cs"/>
                <w:sz w:val="18"/>
                <w:szCs w:val="18"/>
                <w:u w:val="single"/>
                <w:rtl/>
              </w:rPr>
              <w:t>201</w:t>
            </w:r>
            <w:r w:rsidR="00BF3BAF">
              <w:rPr>
                <w:rFonts w:hint="cs"/>
                <w:sz w:val="18"/>
                <w:szCs w:val="18"/>
                <w:u w:val="single"/>
                <w:rtl/>
              </w:rPr>
              <w:t>9</w:t>
            </w:r>
          </w:p>
        </w:tc>
        <w:tc>
          <w:tcPr>
            <w:tcW w:w="86" w:type="dxa"/>
          </w:tcPr>
          <w:p w14:paraId="2807EA5B" w14:textId="77777777" w:rsidR="007811CD" w:rsidRPr="0031447D" w:rsidRDefault="007811CD" w:rsidP="0031447D">
            <w:pPr>
              <w:pStyle w:val="a3"/>
              <w:tabs>
                <w:tab w:val="left" w:pos="227"/>
                <w:tab w:val="left" w:pos="397"/>
                <w:tab w:val="left" w:pos="567"/>
              </w:tabs>
              <w:spacing w:line="180" w:lineRule="exact"/>
              <w:ind w:left="227" w:hanging="397"/>
              <w:rPr>
                <w:sz w:val="18"/>
                <w:szCs w:val="18"/>
              </w:rPr>
            </w:pPr>
          </w:p>
        </w:tc>
        <w:tc>
          <w:tcPr>
            <w:tcW w:w="804" w:type="dxa"/>
            <w:vAlign w:val="bottom"/>
          </w:tcPr>
          <w:p w14:paraId="52B66340" w14:textId="77777777" w:rsidR="007811CD" w:rsidRPr="0031447D" w:rsidRDefault="007811CD" w:rsidP="0031447D">
            <w:pPr>
              <w:tabs>
                <w:tab w:val="decimal" w:pos="113"/>
              </w:tabs>
              <w:spacing w:line="180" w:lineRule="exact"/>
              <w:ind w:left="57"/>
              <w:rPr>
                <w:sz w:val="18"/>
                <w:szCs w:val="18"/>
              </w:rPr>
            </w:pPr>
          </w:p>
        </w:tc>
        <w:tc>
          <w:tcPr>
            <w:tcW w:w="140" w:type="dxa"/>
          </w:tcPr>
          <w:p w14:paraId="3A0A5EF3" w14:textId="77777777" w:rsidR="007811CD" w:rsidRPr="0031447D" w:rsidRDefault="007811CD" w:rsidP="0031447D">
            <w:pPr>
              <w:tabs>
                <w:tab w:val="decimal" w:pos="113"/>
              </w:tabs>
              <w:spacing w:line="180" w:lineRule="exact"/>
              <w:ind w:left="57"/>
              <w:rPr>
                <w:sz w:val="18"/>
                <w:szCs w:val="18"/>
              </w:rPr>
            </w:pPr>
          </w:p>
        </w:tc>
        <w:tc>
          <w:tcPr>
            <w:tcW w:w="930" w:type="dxa"/>
            <w:vAlign w:val="bottom"/>
          </w:tcPr>
          <w:p w14:paraId="3AE95BCE" w14:textId="77777777" w:rsidR="007811CD" w:rsidRPr="0031447D" w:rsidRDefault="007811CD" w:rsidP="0031447D">
            <w:pPr>
              <w:tabs>
                <w:tab w:val="decimal" w:pos="113"/>
              </w:tabs>
              <w:spacing w:line="180" w:lineRule="exact"/>
              <w:ind w:left="57"/>
              <w:rPr>
                <w:sz w:val="18"/>
                <w:szCs w:val="18"/>
              </w:rPr>
            </w:pPr>
          </w:p>
        </w:tc>
        <w:tc>
          <w:tcPr>
            <w:tcW w:w="113" w:type="dxa"/>
          </w:tcPr>
          <w:p w14:paraId="2573CB46" w14:textId="77777777" w:rsidR="007811CD" w:rsidRPr="0031447D" w:rsidRDefault="007811CD" w:rsidP="0031447D">
            <w:pPr>
              <w:tabs>
                <w:tab w:val="decimal" w:pos="113"/>
              </w:tabs>
              <w:spacing w:line="180" w:lineRule="exact"/>
              <w:ind w:left="57"/>
              <w:rPr>
                <w:sz w:val="18"/>
                <w:szCs w:val="18"/>
              </w:rPr>
            </w:pPr>
          </w:p>
        </w:tc>
        <w:tc>
          <w:tcPr>
            <w:tcW w:w="804" w:type="dxa"/>
            <w:vAlign w:val="bottom"/>
          </w:tcPr>
          <w:p w14:paraId="664A034F" w14:textId="77777777" w:rsidR="007811CD" w:rsidRPr="0031447D" w:rsidRDefault="007811CD" w:rsidP="0031447D">
            <w:pPr>
              <w:tabs>
                <w:tab w:val="decimal" w:pos="113"/>
              </w:tabs>
              <w:spacing w:line="180" w:lineRule="exact"/>
              <w:ind w:left="57"/>
              <w:rPr>
                <w:sz w:val="18"/>
                <w:szCs w:val="18"/>
              </w:rPr>
            </w:pPr>
          </w:p>
        </w:tc>
        <w:tc>
          <w:tcPr>
            <w:tcW w:w="140" w:type="dxa"/>
          </w:tcPr>
          <w:p w14:paraId="406DE775" w14:textId="77777777" w:rsidR="007811CD" w:rsidRPr="0031447D" w:rsidRDefault="007811CD" w:rsidP="0031447D">
            <w:pPr>
              <w:tabs>
                <w:tab w:val="decimal" w:pos="113"/>
              </w:tabs>
              <w:spacing w:line="180" w:lineRule="exact"/>
              <w:ind w:left="57"/>
              <w:rPr>
                <w:sz w:val="18"/>
                <w:szCs w:val="18"/>
              </w:rPr>
            </w:pPr>
          </w:p>
        </w:tc>
        <w:tc>
          <w:tcPr>
            <w:tcW w:w="804" w:type="dxa"/>
            <w:vAlign w:val="bottom"/>
          </w:tcPr>
          <w:p w14:paraId="535553B6" w14:textId="77777777" w:rsidR="007811CD" w:rsidRPr="0031447D" w:rsidRDefault="007811CD" w:rsidP="0031447D">
            <w:pPr>
              <w:tabs>
                <w:tab w:val="decimal" w:pos="113"/>
              </w:tabs>
              <w:spacing w:line="180" w:lineRule="exact"/>
              <w:ind w:left="57"/>
              <w:rPr>
                <w:sz w:val="18"/>
                <w:szCs w:val="18"/>
              </w:rPr>
            </w:pPr>
          </w:p>
        </w:tc>
        <w:tc>
          <w:tcPr>
            <w:tcW w:w="140" w:type="dxa"/>
          </w:tcPr>
          <w:p w14:paraId="0B794FA7" w14:textId="77777777" w:rsidR="007811CD" w:rsidRPr="0031447D" w:rsidRDefault="007811CD" w:rsidP="0031447D">
            <w:pPr>
              <w:tabs>
                <w:tab w:val="decimal" w:pos="113"/>
              </w:tabs>
              <w:spacing w:line="180" w:lineRule="exact"/>
              <w:ind w:left="57"/>
              <w:rPr>
                <w:sz w:val="18"/>
                <w:szCs w:val="18"/>
              </w:rPr>
            </w:pPr>
          </w:p>
        </w:tc>
        <w:tc>
          <w:tcPr>
            <w:tcW w:w="820" w:type="dxa"/>
            <w:vAlign w:val="bottom"/>
          </w:tcPr>
          <w:p w14:paraId="47F167AC" w14:textId="77777777" w:rsidR="007811CD" w:rsidRPr="0031447D" w:rsidRDefault="007811CD" w:rsidP="0031447D">
            <w:pPr>
              <w:tabs>
                <w:tab w:val="decimal" w:pos="113"/>
              </w:tabs>
              <w:spacing w:line="180" w:lineRule="exact"/>
              <w:ind w:left="57"/>
              <w:rPr>
                <w:sz w:val="18"/>
                <w:szCs w:val="18"/>
              </w:rPr>
            </w:pPr>
          </w:p>
        </w:tc>
        <w:tc>
          <w:tcPr>
            <w:tcW w:w="94" w:type="dxa"/>
          </w:tcPr>
          <w:p w14:paraId="13231F8F" w14:textId="77777777" w:rsidR="007811CD" w:rsidRPr="0031447D" w:rsidRDefault="007811CD" w:rsidP="0031447D">
            <w:pPr>
              <w:tabs>
                <w:tab w:val="decimal" w:pos="113"/>
              </w:tabs>
              <w:spacing w:line="180" w:lineRule="exact"/>
              <w:ind w:left="57"/>
              <w:rPr>
                <w:sz w:val="18"/>
                <w:szCs w:val="18"/>
              </w:rPr>
            </w:pPr>
          </w:p>
        </w:tc>
        <w:tc>
          <w:tcPr>
            <w:tcW w:w="804" w:type="dxa"/>
            <w:vAlign w:val="bottom"/>
          </w:tcPr>
          <w:p w14:paraId="457E5DE8" w14:textId="77777777" w:rsidR="007811CD" w:rsidRPr="0031447D" w:rsidRDefault="007811CD" w:rsidP="0031447D">
            <w:pPr>
              <w:tabs>
                <w:tab w:val="decimal" w:pos="113"/>
              </w:tabs>
              <w:spacing w:line="180" w:lineRule="exact"/>
              <w:ind w:left="57"/>
              <w:rPr>
                <w:sz w:val="18"/>
                <w:szCs w:val="18"/>
              </w:rPr>
            </w:pPr>
          </w:p>
        </w:tc>
      </w:tr>
      <w:tr w:rsidR="007811CD" w:rsidRPr="0031447D" w14:paraId="7068EC65" w14:textId="77777777" w:rsidTr="0031447D">
        <w:tc>
          <w:tcPr>
            <w:tcW w:w="2437" w:type="dxa"/>
            <w:vAlign w:val="bottom"/>
          </w:tcPr>
          <w:p w14:paraId="4A9AE2F8" w14:textId="77777777" w:rsidR="007811CD" w:rsidRPr="0031447D" w:rsidRDefault="007811CD" w:rsidP="0031447D">
            <w:pPr>
              <w:pStyle w:val="a3"/>
              <w:tabs>
                <w:tab w:val="left" w:pos="227"/>
                <w:tab w:val="left" w:pos="397"/>
                <w:tab w:val="left" w:pos="567"/>
              </w:tabs>
              <w:spacing w:line="180" w:lineRule="exact"/>
              <w:ind w:left="0"/>
              <w:rPr>
                <w:sz w:val="18"/>
                <w:szCs w:val="18"/>
                <w:rtl/>
              </w:rPr>
            </w:pPr>
          </w:p>
        </w:tc>
        <w:tc>
          <w:tcPr>
            <w:tcW w:w="86" w:type="dxa"/>
          </w:tcPr>
          <w:p w14:paraId="33021817" w14:textId="77777777" w:rsidR="007811CD" w:rsidRPr="0031447D" w:rsidRDefault="007811CD" w:rsidP="0031447D">
            <w:pPr>
              <w:pStyle w:val="a3"/>
              <w:tabs>
                <w:tab w:val="left" w:pos="227"/>
                <w:tab w:val="left" w:pos="397"/>
                <w:tab w:val="left" w:pos="567"/>
              </w:tabs>
              <w:spacing w:line="180" w:lineRule="exact"/>
              <w:ind w:left="0"/>
              <w:rPr>
                <w:sz w:val="18"/>
                <w:szCs w:val="18"/>
              </w:rPr>
            </w:pPr>
          </w:p>
        </w:tc>
        <w:tc>
          <w:tcPr>
            <w:tcW w:w="804" w:type="dxa"/>
            <w:tcBorders>
              <w:top w:val="nil"/>
              <w:left w:val="nil"/>
              <w:right w:val="nil"/>
            </w:tcBorders>
            <w:vAlign w:val="bottom"/>
          </w:tcPr>
          <w:p w14:paraId="7262F595" w14:textId="77777777" w:rsidR="007811CD" w:rsidRPr="0031447D" w:rsidRDefault="007811CD" w:rsidP="0031447D">
            <w:pPr>
              <w:pStyle w:val="a5"/>
              <w:widowControl/>
              <w:tabs>
                <w:tab w:val="clear" w:pos="4153"/>
                <w:tab w:val="clear" w:pos="8306"/>
                <w:tab w:val="decimal" w:pos="113"/>
              </w:tabs>
              <w:spacing w:line="180" w:lineRule="exact"/>
              <w:rPr>
                <w:sz w:val="18"/>
                <w:szCs w:val="18"/>
              </w:rPr>
            </w:pPr>
          </w:p>
        </w:tc>
        <w:tc>
          <w:tcPr>
            <w:tcW w:w="140" w:type="dxa"/>
          </w:tcPr>
          <w:p w14:paraId="59743D0E" w14:textId="77777777" w:rsidR="007811CD" w:rsidRPr="0031447D" w:rsidRDefault="007811CD" w:rsidP="0031447D">
            <w:pPr>
              <w:pStyle w:val="a5"/>
              <w:widowControl/>
              <w:tabs>
                <w:tab w:val="clear" w:pos="4153"/>
                <w:tab w:val="clear" w:pos="8306"/>
                <w:tab w:val="decimal" w:pos="113"/>
              </w:tabs>
              <w:spacing w:line="180" w:lineRule="exact"/>
              <w:rPr>
                <w:sz w:val="18"/>
                <w:szCs w:val="18"/>
              </w:rPr>
            </w:pPr>
          </w:p>
        </w:tc>
        <w:tc>
          <w:tcPr>
            <w:tcW w:w="930" w:type="dxa"/>
            <w:tcBorders>
              <w:top w:val="nil"/>
              <w:left w:val="nil"/>
              <w:right w:val="nil"/>
            </w:tcBorders>
            <w:vAlign w:val="bottom"/>
          </w:tcPr>
          <w:p w14:paraId="5B571987" w14:textId="77777777" w:rsidR="007811CD" w:rsidRPr="0031447D" w:rsidRDefault="007811CD" w:rsidP="0031447D">
            <w:pPr>
              <w:pStyle w:val="a5"/>
              <w:widowControl/>
              <w:tabs>
                <w:tab w:val="clear" w:pos="4153"/>
                <w:tab w:val="clear" w:pos="8306"/>
                <w:tab w:val="decimal" w:pos="113"/>
              </w:tabs>
              <w:spacing w:line="180" w:lineRule="exact"/>
              <w:rPr>
                <w:sz w:val="18"/>
                <w:szCs w:val="18"/>
              </w:rPr>
            </w:pPr>
          </w:p>
        </w:tc>
        <w:tc>
          <w:tcPr>
            <w:tcW w:w="113" w:type="dxa"/>
          </w:tcPr>
          <w:p w14:paraId="377B28E9" w14:textId="77777777" w:rsidR="007811CD" w:rsidRPr="0031447D" w:rsidRDefault="007811CD" w:rsidP="0031447D">
            <w:pPr>
              <w:pStyle w:val="a5"/>
              <w:widowControl/>
              <w:tabs>
                <w:tab w:val="clear" w:pos="4153"/>
                <w:tab w:val="clear" w:pos="8306"/>
                <w:tab w:val="decimal" w:pos="113"/>
              </w:tabs>
              <w:spacing w:line="180" w:lineRule="exact"/>
              <w:rPr>
                <w:sz w:val="18"/>
                <w:szCs w:val="18"/>
              </w:rPr>
            </w:pPr>
          </w:p>
        </w:tc>
        <w:tc>
          <w:tcPr>
            <w:tcW w:w="804" w:type="dxa"/>
            <w:tcBorders>
              <w:top w:val="nil"/>
              <w:left w:val="nil"/>
              <w:right w:val="nil"/>
            </w:tcBorders>
            <w:vAlign w:val="bottom"/>
          </w:tcPr>
          <w:p w14:paraId="0ADD3675" w14:textId="77777777" w:rsidR="007811CD" w:rsidRPr="0031447D" w:rsidRDefault="007811CD" w:rsidP="0031447D">
            <w:pPr>
              <w:widowControl/>
              <w:tabs>
                <w:tab w:val="decimal" w:pos="113"/>
              </w:tabs>
              <w:spacing w:line="180" w:lineRule="exact"/>
              <w:rPr>
                <w:sz w:val="18"/>
                <w:szCs w:val="18"/>
              </w:rPr>
            </w:pPr>
          </w:p>
        </w:tc>
        <w:tc>
          <w:tcPr>
            <w:tcW w:w="140" w:type="dxa"/>
          </w:tcPr>
          <w:p w14:paraId="637EE8BD" w14:textId="77777777" w:rsidR="007811CD" w:rsidRPr="0031447D" w:rsidRDefault="007811CD" w:rsidP="0031447D">
            <w:pPr>
              <w:widowControl/>
              <w:tabs>
                <w:tab w:val="decimal" w:pos="113"/>
              </w:tabs>
              <w:spacing w:line="180" w:lineRule="exact"/>
              <w:rPr>
                <w:sz w:val="18"/>
                <w:szCs w:val="18"/>
              </w:rPr>
            </w:pPr>
          </w:p>
        </w:tc>
        <w:tc>
          <w:tcPr>
            <w:tcW w:w="804" w:type="dxa"/>
            <w:tcBorders>
              <w:top w:val="nil"/>
              <w:left w:val="nil"/>
              <w:right w:val="nil"/>
            </w:tcBorders>
            <w:vAlign w:val="bottom"/>
          </w:tcPr>
          <w:p w14:paraId="16B38A62" w14:textId="77777777" w:rsidR="007811CD" w:rsidRPr="0031447D" w:rsidRDefault="007811CD" w:rsidP="0031447D">
            <w:pPr>
              <w:widowControl/>
              <w:tabs>
                <w:tab w:val="decimal" w:pos="113"/>
              </w:tabs>
              <w:spacing w:line="180" w:lineRule="exact"/>
              <w:rPr>
                <w:sz w:val="18"/>
                <w:szCs w:val="18"/>
              </w:rPr>
            </w:pPr>
          </w:p>
        </w:tc>
        <w:tc>
          <w:tcPr>
            <w:tcW w:w="140" w:type="dxa"/>
          </w:tcPr>
          <w:p w14:paraId="00D07E6A" w14:textId="77777777" w:rsidR="007811CD" w:rsidRPr="0031447D" w:rsidRDefault="007811CD" w:rsidP="0031447D">
            <w:pPr>
              <w:widowControl/>
              <w:tabs>
                <w:tab w:val="decimal" w:pos="113"/>
              </w:tabs>
              <w:spacing w:line="180" w:lineRule="exact"/>
              <w:rPr>
                <w:sz w:val="18"/>
                <w:szCs w:val="18"/>
              </w:rPr>
            </w:pPr>
          </w:p>
        </w:tc>
        <w:tc>
          <w:tcPr>
            <w:tcW w:w="820" w:type="dxa"/>
            <w:tcBorders>
              <w:top w:val="nil"/>
              <w:left w:val="nil"/>
              <w:right w:val="nil"/>
            </w:tcBorders>
            <w:vAlign w:val="bottom"/>
          </w:tcPr>
          <w:p w14:paraId="598E4D72" w14:textId="77777777" w:rsidR="007811CD" w:rsidRPr="0031447D" w:rsidRDefault="007811CD" w:rsidP="0031447D">
            <w:pPr>
              <w:widowControl/>
              <w:tabs>
                <w:tab w:val="decimal" w:pos="113"/>
              </w:tabs>
              <w:spacing w:line="180" w:lineRule="exact"/>
              <w:rPr>
                <w:sz w:val="18"/>
                <w:szCs w:val="18"/>
              </w:rPr>
            </w:pPr>
          </w:p>
        </w:tc>
        <w:tc>
          <w:tcPr>
            <w:tcW w:w="94" w:type="dxa"/>
          </w:tcPr>
          <w:p w14:paraId="433DFD4F" w14:textId="77777777" w:rsidR="007811CD" w:rsidRPr="0031447D" w:rsidRDefault="007811CD" w:rsidP="0031447D">
            <w:pPr>
              <w:widowControl/>
              <w:tabs>
                <w:tab w:val="decimal" w:pos="113"/>
              </w:tabs>
              <w:spacing w:line="180" w:lineRule="exact"/>
              <w:rPr>
                <w:sz w:val="18"/>
                <w:szCs w:val="18"/>
              </w:rPr>
            </w:pPr>
          </w:p>
        </w:tc>
        <w:tc>
          <w:tcPr>
            <w:tcW w:w="804" w:type="dxa"/>
            <w:tcBorders>
              <w:top w:val="nil"/>
              <w:left w:val="nil"/>
              <w:right w:val="nil"/>
            </w:tcBorders>
            <w:vAlign w:val="bottom"/>
          </w:tcPr>
          <w:p w14:paraId="3C2B9E69" w14:textId="77777777" w:rsidR="007811CD" w:rsidRPr="0031447D" w:rsidRDefault="007811CD" w:rsidP="0031447D">
            <w:pPr>
              <w:widowControl/>
              <w:tabs>
                <w:tab w:val="decimal" w:pos="113"/>
              </w:tabs>
              <w:spacing w:line="180" w:lineRule="exact"/>
              <w:rPr>
                <w:sz w:val="18"/>
                <w:szCs w:val="18"/>
              </w:rPr>
            </w:pPr>
          </w:p>
        </w:tc>
      </w:tr>
      <w:tr w:rsidR="007811CD" w:rsidRPr="0031447D" w14:paraId="2D8025D2" w14:textId="77777777" w:rsidTr="0031447D">
        <w:tc>
          <w:tcPr>
            <w:tcW w:w="2437" w:type="dxa"/>
            <w:vAlign w:val="bottom"/>
          </w:tcPr>
          <w:p w14:paraId="0441DF1F" w14:textId="60F14BE3" w:rsidR="007811CD" w:rsidRPr="00B0420D" w:rsidRDefault="00D1565B" w:rsidP="0031447D">
            <w:pPr>
              <w:pStyle w:val="a3"/>
              <w:tabs>
                <w:tab w:val="left" w:pos="227"/>
                <w:tab w:val="left" w:pos="397"/>
                <w:tab w:val="left" w:pos="567"/>
              </w:tabs>
              <w:spacing w:line="180" w:lineRule="exact"/>
              <w:rPr>
                <w:b/>
                <w:bCs/>
                <w:sz w:val="18"/>
                <w:szCs w:val="18"/>
                <w:rtl/>
              </w:rPr>
            </w:pPr>
            <w:r>
              <w:rPr>
                <w:rFonts w:hint="cs"/>
                <w:b/>
                <w:bCs/>
                <w:sz w:val="18"/>
                <w:szCs w:val="18"/>
                <w:rtl/>
              </w:rPr>
              <w:t>פילוח גיאורגרפי:</w:t>
            </w:r>
          </w:p>
        </w:tc>
        <w:tc>
          <w:tcPr>
            <w:tcW w:w="86" w:type="dxa"/>
          </w:tcPr>
          <w:p w14:paraId="6E19689F" w14:textId="77777777" w:rsidR="007811CD" w:rsidRPr="0031447D" w:rsidRDefault="007811CD" w:rsidP="0031447D">
            <w:pPr>
              <w:pStyle w:val="a3"/>
              <w:tabs>
                <w:tab w:val="left" w:pos="227"/>
                <w:tab w:val="left" w:pos="397"/>
                <w:tab w:val="left" w:pos="567"/>
              </w:tabs>
              <w:spacing w:line="180" w:lineRule="exact"/>
              <w:ind w:left="227" w:hanging="397"/>
              <w:rPr>
                <w:sz w:val="18"/>
                <w:szCs w:val="18"/>
              </w:rPr>
            </w:pPr>
          </w:p>
        </w:tc>
        <w:tc>
          <w:tcPr>
            <w:tcW w:w="804" w:type="dxa"/>
            <w:vAlign w:val="bottom"/>
          </w:tcPr>
          <w:p w14:paraId="5FCF9D16" w14:textId="77777777" w:rsidR="007811CD" w:rsidRPr="0031447D" w:rsidRDefault="007811CD" w:rsidP="0031447D">
            <w:pPr>
              <w:tabs>
                <w:tab w:val="decimal" w:pos="113"/>
              </w:tabs>
              <w:spacing w:line="180" w:lineRule="exact"/>
              <w:ind w:left="57"/>
              <w:rPr>
                <w:sz w:val="18"/>
                <w:szCs w:val="18"/>
              </w:rPr>
            </w:pPr>
          </w:p>
        </w:tc>
        <w:tc>
          <w:tcPr>
            <w:tcW w:w="140" w:type="dxa"/>
          </w:tcPr>
          <w:p w14:paraId="3ACA429D" w14:textId="77777777" w:rsidR="007811CD" w:rsidRPr="0031447D" w:rsidRDefault="007811CD" w:rsidP="0031447D">
            <w:pPr>
              <w:tabs>
                <w:tab w:val="decimal" w:pos="113"/>
              </w:tabs>
              <w:spacing w:line="180" w:lineRule="exact"/>
              <w:ind w:left="57"/>
              <w:rPr>
                <w:sz w:val="18"/>
                <w:szCs w:val="18"/>
              </w:rPr>
            </w:pPr>
          </w:p>
        </w:tc>
        <w:tc>
          <w:tcPr>
            <w:tcW w:w="930" w:type="dxa"/>
            <w:vAlign w:val="bottom"/>
          </w:tcPr>
          <w:p w14:paraId="7C6A50E8" w14:textId="77777777" w:rsidR="007811CD" w:rsidRPr="0031447D" w:rsidRDefault="007811CD" w:rsidP="0031447D">
            <w:pPr>
              <w:tabs>
                <w:tab w:val="decimal" w:pos="113"/>
              </w:tabs>
              <w:spacing w:line="180" w:lineRule="exact"/>
              <w:ind w:left="57"/>
              <w:rPr>
                <w:sz w:val="18"/>
                <w:szCs w:val="18"/>
              </w:rPr>
            </w:pPr>
          </w:p>
        </w:tc>
        <w:tc>
          <w:tcPr>
            <w:tcW w:w="113" w:type="dxa"/>
          </w:tcPr>
          <w:p w14:paraId="15AEC640" w14:textId="77777777" w:rsidR="007811CD" w:rsidRPr="0031447D" w:rsidRDefault="007811CD" w:rsidP="0031447D">
            <w:pPr>
              <w:tabs>
                <w:tab w:val="decimal" w:pos="113"/>
              </w:tabs>
              <w:spacing w:line="180" w:lineRule="exact"/>
              <w:ind w:left="57"/>
              <w:rPr>
                <w:sz w:val="18"/>
                <w:szCs w:val="18"/>
              </w:rPr>
            </w:pPr>
          </w:p>
        </w:tc>
        <w:tc>
          <w:tcPr>
            <w:tcW w:w="804" w:type="dxa"/>
            <w:vAlign w:val="bottom"/>
          </w:tcPr>
          <w:p w14:paraId="6CF8435D" w14:textId="77777777" w:rsidR="007811CD" w:rsidRPr="0031447D" w:rsidRDefault="007811CD" w:rsidP="0031447D">
            <w:pPr>
              <w:tabs>
                <w:tab w:val="decimal" w:pos="113"/>
              </w:tabs>
              <w:spacing w:line="180" w:lineRule="exact"/>
              <w:ind w:left="57"/>
              <w:rPr>
                <w:sz w:val="18"/>
                <w:szCs w:val="18"/>
              </w:rPr>
            </w:pPr>
          </w:p>
        </w:tc>
        <w:tc>
          <w:tcPr>
            <w:tcW w:w="140" w:type="dxa"/>
          </w:tcPr>
          <w:p w14:paraId="0B3D36E2" w14:textId="77777777" w:rsidR="007811CD" w:rsidRPr="0031447D" w:rsidRDefault="007811CD" w:rsidP="0031447D">
            <w:pPr>
              <w:tabs>
                <w:tab w:val="decimal" w:pos="113"/>
              </w:tabs>
              <w:spacing w:line="180" w:lineRule="exact"/>
              <w:ind w:left="57"/>
              <w:rPr>
                <w:sz w:val="18"/>
                <w:szCs w:val="18"/>
              </w:rPr>
            </w:pPr>
          </w:p>
        </w:tc>
        <w:tc>
          <w:tcPr>
            <w:tcW w:w="804" w:type="dxa"/>
            <w:vAlign w:val="bottom"/>
          </w:tcPr>
          <w:p w14:paraId="466F2563" w14:textId="77777777" w:rsidR="007811CD" w:rsidRPr="0031447D" w:rsidRDefault="007811CD" w:rsidP="0031447D">
            <w:pPr>
              <w:tabs>
                <w:tab w:val="decimal" w:pos="113"/>
              </w:tabs>
              <w:spacing w:line="180" w:lineRule="exact"/>
              <w:ind w:left="57"/>
              <w:rPr>
                <w:sz w:val="18"/>
                <w:szCs w:val="18"/>
              </w:rPr>
            </w:pPr>
          </w:p>
        </w:tc>
        <w:tc>
          <w:tcPr>
            <w:tcW w:w="140" w:type="dxa"/>
          </w:tcPr>
          <w:p w14:paraId="30FA2407" w14:textId="77777777" w:rsidR="007811CD" w:rsidRPr="0031447D" w:rsidRDefault="007811CD" w:rsidP="0031447D">
            <w:pPr>
              <w:tabs>
                <w:tab w:val="decimal" w:pos="113"/>
              </w:tabs>
              <w:spacing w:line="180" w:lineRule="exact"/>
              <w:ind w:left="57"/>
              <w:rPr>
                <w:sz w:val="18"/>
                <w:szCs w:val="18"/>
              </w:rPr>
            </w:pPr>
          </w:p>
        </w:tc>
        <w:tc>
          <w:tcPr>
            <w:tcW w:w="820" w:type="dxa"/>
            <w:vAlign w:val="bottom"/>
          </w:tcPr>
          <w:p w14:paraId="0744EAF3" w14:textId="77777777" w:rsidR="007811CD" w:rsidRPr="0031447D" w:rsidRDefault="007811CD" w:rsidP="0031447D">
            <w:pPr>
              <w:tabs>
                <w:tab w:val="decimal" w:pos="113"/>
              </w:tabs>
              <w:spacing w:line="180" w:lineRule="exact"/>
              <w:ind w:left="57"/>
              <w:rPr>
                <w:sz w:val="18"/>
                <w:szCs w:val="18"/>
              </w:rPr>
            </w:pPr>
          </w:p>
        </w:tc>
        <w:tc>
          <w:tcPr>
            <w:tcW w:w="94" w:type="dxa"/>
          </w:tcPr>
          <w:p w14:paraId="79F62DE9" w14:textId="77777777" w:rsidR="007811CD" w:rsidRPr="0031447D" w:rsidRDefault="007811CD" w:rsidP="0031447D">
            <w:pPr>
              <w:tabs>
                <w:tab w:val="decimal" w:pos="113"/>
              </w:tabs>
              <w:spacing w:line="180" w:lineRule="exact"/>
              <w:ind w:left="57"/>
              <w:rPr>
                <w:sz w:val="18"/>
                <w:szCs w:val="18"/>
              </w:rPr>
            </w:pPr>
          </w:p>
        </w:tc>
        <w:tc>
          <w:tcPr>
            <w:tcW w:w="804" w:type="dxa"/>
            <w:vAlign w:val="bottom"/>
          </w:tcPr>
          <w:p w14:paraId="744C4857" w14:textId="77777777" w:rsidR="007811CD" w:rsidRPr="0031447D" w:rsidRDefault="007811CD" w:rsidP="0031447D">
            <w:pPr>
              <w:tabs>
                <w:tab w:val="decimal" w:pos="113"/>
              </w:tabs>
              <w:spacing w:line="180" w:lineRule="exact"/>
              <w:ind w:left="57"/>
              <w:rPr>
                <w:sz w:val="18"/>
                <w:szCs w:val="18"/>
              </w:rPr>
            </w:pPr>
          </w:p>
        </w:tc>
      </w:tr>
      <w:tr w:rsidR="00D1565B" w:rsidRPr="0031447D" w14:paraId="46214218" w14:textId="77777777" w:rsidTr="0031447D">
        <w:tc>
          <w:tcPr>
            <w:tcW w:w="2437" w:type="dxa"/>
            <w:vAlign w:val="bottom"/>
          </w:tcPr>
          <w:p w14:paraId="2C7EE716" w14:textId="03E4FDCA" w:rsidR="00D1565B" w:rsidRPr="0031447D" w:rsidRDefault="00D1565B" w:rsidP="0031447D">
            <w:pPr>
              <w:pStyle w:val="a3"/>
              <w:tabs>
                <w:tab w:val="left" w:pos="227"/>
                <w:tab w:val="left" w:pos="397"/>
                <w:tab w:val="left" w:pos="567"/>
              </w:tabs>
              <w:spacing w:line="180" w:lineRule="exact"/>
              <w:rPr>
                <w:sz w:val="18"/>
                <w:szCs w:val="18"/>
                <w:rtl/>
              </w:rPr>
            </w:pPr>
            <w:r>
              <w:rPr>
                <w:rFonts w:hint="cs"/>
                <w:sz w:val="18"/>
                <w:szCs w:val="18"/>
                <w:rtl/>
              </w:rPr>
              <w:t>צפון אמריקה</w:t>
            </w:r>
          </w:p>
        </w:tc>
        <w:tc>
          <w:tcPr>
            <w:tcW w:w="86" w:type="dxa"/>
          </w:tcPr>
          <w:p w14:paraId="1B740BE3" w14:textId="77777777" w:rsidR="00D1565B" w:rsidRPr="0031447D" w:rsidRDefault="00D1565B" w:rsidP="0031447D">
            <w:pPr>
              <w:pStyle w:val="a3"/>
              <w:tabs>
                <w:tab w:val="left" w:pos="227"/>
                <w:tab w:val="left" w:pos="397"/>
                <w:tab w:val="left" w:pos="567"/>
              </w:tabs>
              <w:spacing w:line="180" w:lineRule="exact"/>
              <w:ind w:left="227" w:hanging="397"/>
              <w:rPr>
                <w:sz w:val="18"/>
                <w:szCs w:val="18"/>
              </w:rPr>
            </w:pPr>
          </w:p>
        </w:tc>
        <w:tc>
          <w:tcPr>
            <w:tcW w:w="804" w:type="dxa"/>
            <w:vAlign w:val="bottom"/>
          </w:tcPr>
          <w:p w14:paraId="4DF8D596" w14:textId="77777777" w:rsidR="00D1565B" w:rsidRPr="0031447D" w:rsidRDefault="00D1565B" w:rsidP="0031447D">
            <w:pPr>
              <w:tabs>
                <w:tab w:val="decimal" w:pos="113"/>
              </w:tabs>
              <w:spacing w:line="180" w:lineRule="exact"/>
              <w:ind w:left="57"/>
              <w:rPr>
                <w:sz w:val="18"/>
                <w:szCs w:val="18"/>
              </w:rPr>
            </w:pPr>
          </w:p>
        </w:tc>
        <w:tc>
          <w:tcPr>
            <w:tcW w:w="140" w:type="dxa"/>
          </w:tcPr>
          <w:p w14:paraId="5E26B854" w14:textId="77777777" w:rsidR="00D1565B" w:rsidRPr="0031447D" w:rsidRDefault="00D1565B" w:rsidP="0031447D">
            <w:pPr>
              <w:tabs>
                <w:tab w:val="decimal" w:pos="113"/>
              </w:tabs>
              <w:spacing w:line="180" w:lineRule="exact"/>
              <w:ind w:left="57"/>
              <w:rPr>
                <w:sz w:val="18"/>
                <w:szCs w:val="18"/>
              </w:rPr>
            </w:pPr>
          </w:p>
        </w:tc>
        <w:tc>
          <w:tcPr>
            <w:tcW w:w="930" w:type="dxa"/>
            <w:vAlign w:val="bottom"/>
          </w:tcPr>
          <w:p w14:paraId="0E7A4A62" w14:textId="77777777" w:rsidR="00D1565B" w:rsidRPr="0031447D" w:rsidRDefault="00D1565B" w:rsidP="0031447D">
            <w:pPr>
              <w:tabs>
                <w:tab w:val="decimal" w:pos="113"/>
              </w:tabs>
              <w:spacing w:line="180" w:lineRule="exact"/>
              <w:ind w:left="57"/>
              <w:rPr>
                <w:sz w:val="18"/>
                <w:szCs w:val="18"/>
              </w:rPr>
            </w:pPr>
          </w:p>
        </w:tc>
        <w:tc>
          <w:tcPr>
            <w:tcW w:w="113" w:type="dxa"/>
          </w:tcPr>
          <w:p w14:paraId="0484393E"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5F94B65F" w14:textId="77777777" w:rsidR="00D1565B" w:rsidRPr="0031447D" w:rsidRDefault="00D1565B" w:rsidP="0031447D">
            <w:pPr>
              <w:tabs>
                <w:tab w:val="decimal" w:pos="113"/>
              </w:tabs>
              <w:spacing w:line="180" w:lineRule="exact"/>
              <w:ind w:left="57"/>
              <w:rPr>
                <w:sz w:val="18"/>
                <w:szCs w:val="18"/>
              </w:rPr>
            </w:pPr>
          </w:p>
        </w:tc>
        <w:tc>
          <w:tcPr>
            <w:tcW w:w="140" w:type="dxa"/>
          </w:tcPr>
          <w:p w14:paraId="672532DA"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191CB4F5" w14:textId="77777777" w:rsidR="00D1565B" w:rsidRPr="0031447D" w:rsidRDefault="00D1565B" w:rsidP="0031447D">
            <w:pPr>
              <w:tabs>
                <w:tab w:val="decimal" w:pos="113"/>
              </w:tabs>
              <w:spacing w:line="180" w:lineRule="exact"/>
              <w:ind w:left="57"/>
              <w:rPr>
                <w:sz w:val="18"/>
                <w:szCs w:val="18"/>
              </w:rPr>
            </w:pPr>
          </w:p>
        </w:tc>
        <w:tc>
          <w:tcPr>
            <w:tcW w:w="140" w:type="dxa"/>
          </w:tcPr>
          <w:p w14:paraId="7D56D3B9" w14:textId="77777777" w:rsidR="00D1565B" w:rsidRPr="0031447D" w:rsidRDefault="00D1565B" w:rsidP="0031447D">
            <w:pPr>
              <w:tabs>
                <w:tab w:val="decimal" w:pos="113"/>
              </w:tabs>
              <w:spacing w:line="180" w:lineRule="exact"/>
              <w:ind w:left="57"/>
              <w:rPr>
                <w:sz w:val="18"/>
                <w:szCs w:val="18"/>
              </w:rPr>
            </w:pPr>
          </w:p>
        </w:tc>
        <w:tc>
          <w:tcPr>
            <w:tcW w:w="820" w:type="dxa"/>
            <w:vAlign w:val="bottom"/>
          </w:tcPr>
          <w:p w14:paraId="07054D4E" w14:textId="77777777" w:rsidR="00D1565B" w:rsidRPr="0031447D" w:rsidRDefault="00D1565B" w:rsidP="0031447D">
            <w:pPr>
              <w:tabs>
                <w:tab w:val="decimal" w:pos="113"/>
              </w:tabs>
              <w:spacing w:line="180" w:lineRule="exact"/>
              <w:ind w:left="57"/>
              <w:rPr>
                <w:sz w:val="18"/>
                <w:szCs w:val="18"/>
              </w:rPr>
            </w:pPr>
          </w:p>
        </w:tc>
        <w:tc>
          <w:tcPr>
            <w:tcW w:w="94" w:type="dxa"/>
          </w:tcPr>
          <w:p w14:paraId="71736ECB"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746E4A31" w14:textId="77777777" w:rsidR="00D1565B" w:rsidRPr="0031447D" w:rsidRDefault="00D1565B" w:rsidP="0031447D">
            <w:pPr>
              <w:tabs>
                <w:tab w:val="decimal" w:pos="113"/>
              </w:tabs>
              <w:spacing w:line="180" w:lineRule="exact"/>
              <w:ind w:left="57"/>
              <w:rPr>
                <w:sz w:val="18"/>
                <w:szCs w:val="18"/>
              </w:rPr>
            </w:pPr>
          </w:p>
        </w:tc>
      </w:tr>
      <w:tr w:rsidR="00D1565B" w:rsidRPr="0031447D" w14:paraId="0A86838D" w14:textId="77777777" w:rsidTr="0031447D">
        <w:tc>
          <w:tcPr>
            <w:tcW w:w="2437" w:type="dxa"/>
            <w:vAlign w:val="bottom"/>
          </w:tcPr>
          <w:p w14:paraId="51CEC9D6" w14:textId="02E8D799" w:rsidR="00D1565B" w:rsidRPr="0031447D" w:rsidRDefault="00D1565B" w:rsidP="0031447D">
            <w:pPr>
              <w:pStyle w:val="a3"/>
              <w:tabs>
                <w:tab w:val="left" w:pos="227"/>
                <w:tab w:val="left" w:pos="397"/>
                <w:tab w:val="left" w:pos="567"/>
              </w:tabs>
              <w:spacing w:line="180" w:lineRule="exact"/>
              <w:rPr>
                <w:sz w:val="18"/>
                <w:szCs w:val="18"/>
                <w:rtl/>
              </w:rPr>
            </w:pPr>
            <w:r>
              <w:rPr>
                <w:rFonts w:hint="cs"/>
                <w:sz w:val="18"/>
                <w:szCs w:val="18"/>
                <w:rtl/>
              </w:rPr>
              <w:t>אירופה</w:t>
            </w:r>
          </w:p>
        </w:tc>
        <w:tc>
          <w:tcPr>
            <w:tcW w:w="86" w:type="dxa"/>
          </w:tcPr>
          <w:p w14:paraId="0521E87E" w14:textId="77777777" w:rsidR="00D1565B" w:rsidRPr="0031447D" w:rsidRDefault="00D1565B" w:rsidP="0031447D">
            <w:pPr>
              <w:pStyle w:val="a3"/>
              <w:tabs>
                <w:tab w:val="left" w:pos="227"/>
                <w:tab w:val="left" w:pos="397"/>
                <w:tab w:val="left" w:pos="567"/>
              </w:tabs>
              <w:spacing w:line="180" w:lineRule="exact"/>
              <w:ind w:left="227" w:hanging="397"/>
              <w:rPr>
                <w:sz w:val="18"/>
                <w:szCs w:val="18"/>
              </w:rPr>
            </w:pPr>
          </w:p>
        </w:tc>
        <w:tc>
          <w:tcPr>
            <w:tcW w:w="804" w:type="dxa"/>
            <w:vAlign w:val="bottom"/>
          </w:tcPr>
          <w:p w14:paraId="00E0E3C6" w14:textId="77777777" w:rsidR="00D1565B" w:rsidRPr="0031447D" w:rsidRDefault="00D1565B" w:rsidP="0031447D">
            <w:pPr>
              <w:tabs>
                <w:tab w:val="decimal" w:pos="113"/>
              </w:tabs>
              <w:spacing w:line="180" w:lineRule="exact"/>
              <w:ind w:left="57"/>
              <w:rPr>
                <w:sz w:val="18"/>
                <w:szCs w:val="18"/>
              </w:rPr>
            </w:pPr>
          </w:p>
        </w:tc>
        <w:tc>
          <w:tcPr>
            <w:tcW w:w="140" w:type="dxa"/>
          </w:tcPr>
          <w:p w14:paraId="4E8EC6AC" w14:textId="77777777" w:rsidR="00D1565B" w:rsidRPr="0031447D" w:rsidRDefault="00D1565B" w:rsidP="0031447D">
            <w:pPr>
              <w:tabs>
                <w:tab w:val="decimal" w:pos="113"/>
              </w:tabs>
              <w:spacing w:line="180" w:lineRule="exact"/>
              <w:ind w:left="57"/>
              <w:rPr>
                <w:sz w:val="18"/>
                <w:szCs w:val="18"/>
              </w:rPr>
            </w:pPr>
          </w:p>
        </w:tc>
        <w:tc>
          <w:tcPr>
            <w:tcW w:w="930" w:type="dxa"/>
            <w:vAlign w:val="bottom"/>
          </w:tcPr>
          <w:p w14:paraId="5668809D" w14:textId="77777777" w:rsidR="00D1565B" w:rsidRPr="0031447D" w:rsidRDefault="00D1565B" w:rsidP="0031447D">
            <w:pPr>
              <w:tabs>
                <w:tab w:val="decimal" w:pos="113"/>
              </w:tabs>
              <w:spacing w:line="180" w:lineRule="exact"/>
              <w:ind w:left="57"/>
              <w:rPr>
                <w:sz w:val="18"/>
                <w:szCs w:val="18"/>
              </w:rPr>
            </w:pPr>
          </w:p>
        </w:tc>
        <w:tc>
          <w:tcPr>
            <w:tcW w:w="113" w:type="dxa"/>
          </w:tcPr>
          <w:p w14:paraId="021ADAF5"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5B4EAD43" w14:textId="77777777" w:rsidR="00D1565B" w:rsidRPr="0031447D" w:rsidRDefault="00D1565B" w:rsidP="0031447D">
            <w:pPr>
              <w:tabs>
                <w:tab w:val="decimal" w:pos="113"/>
              </w:tabs>
              <w:spacing w:line="180" w:lineRule="exact"/>
              <w:ind w:left="57"/>
              <w:rPr>
                <w:sz w:val="18"/>
                <w:szCs w:val="18"/>
              </w:rPr>
            </w:pPr>
          </w:p>
        </w:tc>
        <w:tc>
          <w:tcPr>
            <w:tcW w:w="140" w:type="dxa"/>
          </w:tcPr>
          <w:p w14:paraId="7459CF63"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3475F6F6" w14:textId="77777777" w:rsidR="00D1565B" w:rsidRPr="0031447D" w:rsidRDefault="00D1565B" w:rsidP="0031447D">
            <w:pPr>
              <w:tabs>
                <w:tab w:val="decimal" w:pos="113"/>
              </w:tabs>
              <w:spacing w:line="180" w:lineRule="exact"/>
              <w:ind w:left="57"/>
              <w:rPr>
                <w:sz w:val="18"/>
                <w:szCs w:val="18"/>
              </w:rPr>
            </w:pPr>
          </w:p>
        </w:tc>
        <w:tc>
          <w:tcPr>
            <w:tcW w:w="140" w:type="dxa"/>
          </w:tcPr>
          <w:p w14:paraId="2C9007B8" w14:textId="77777777" w:rsidR="00D1565B" w:rsidRPr="0031447D" w:rsidRDefault="00D1565B" w:rsidP="0031447D">
            <w:pPr>
              <w:tabs>
                <w:tab w:val="decimal" w:pos="113"/>
              </w:tabs>
              <w:spacing w:line="180" w:lineRule="exact"/>
              <w:ind w:left="57"/>
              <w:rPr>
                <w:sz w:val="18"/>
                <w:szCs w:val="18"/>
              </w:rPr>
            </w:pPr>
          </w:p>
        </w:tc>
        <w:tc>
          <w:tcPr>
            <w:tcW w:w="820" w:type="dxa"/>
            <w:vAlign w:val="bottom"/>
          </w:tcPr>
          <w:p w14:paraId="2C84FB35" w14:textId="77777777" w:rsidR="00D1565B" w:rsidRPr="0031447D" w:rsidRDefault="00D1565B" w:rsidP="0031447D">
            <w:pPr>
              <w:tabs>
                <w:tab w:val="decimal" w:pos="113"/>
              </w:tabs>
              <w:spacing w:line="180" w:lineRule="exact"/>
              <w:ind w:left="57"/>
              <w:rPr>
                <w:sz w:val="18"/>
                <w:szCs w:val="18"/>
              </w:rPr>
            </w:pPr>
          </w:p>
        </w:tc>
        <w:tc>
          <w:tcPr>
            <w:tcW w:w="94" w:type="dxa"/>
          </w:tcPr>
          <w:p w14:paraId="04A5E02C"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6A95A923" w14:textId="77777777" w:rsidR="00D1565B" w:rsidRPr="0031447D" w:rsidRDefault="00D1565B" w:rsidP="0031447D">
            <w:pPr>
              <w:tabs>
                <w:tab w:val="decimal" w:pos="113"/>
              </w:tabs>
              <w:spacing w:line="180" w:lineRule="exact"/>
              <w:ind w:left="57"/>
              <w:rPr>
                <w:sz w:val="18"/>
                <w:szCs w:val="18"/>
              </w:rPr>
            </w:pPr>
          </w:p>
        </w:tc>
      </w:tr>
      <w:tr w:rsidR="00D1565B" w:rsidRPr="0031447D" w14:paraId="6AE6E581" w14:textId="77777777" w:rsidTr="0031447D">
        <w:tc>
          <w:tcPr>
            <w:tcW w:w="2437" w:type="dxa"/>
            <w:vAlign w:val="bottom"/>
          </w:tcPr>
          <w:p w14:paraId="657177E9" w14:textId="39A3B850" w:rsidR="00D1565B" w:rsidRPr="0031447D" w:rsidRDefault="00D1565B" w:rsidP="0031447D">
            <w:pPr>
              <w:pStyle w:val="a3"/>
              <w:tabs>
                <w:tab w:val="left" w:pos="227"/>
                <w:tab w:val="left" w:pos="397"/>
                <w:tab w:val="left" w:pos="567"/>
              </w:tabs>
              <w:spacing w:line="180" w:lineRule="exact"/>
              <w:rPr>
                <w:sz w:val="18"/>
                <w:szCs w:val="18"/>
                <w:rtl/>
              </w:rPr>
            </w:pPr>
            <w:r>
              <w:rPr>
                <w:rFonts w:hint="cs"/>
                <w:sz w:val="18"/>
                <w:szCs w:val="18"/>
                <w:rtl/>
              </w:rPr>
              <w:t>ישראל</w:t>
            </w:r>
          </w:p>
        </w:tc>
        <w:tc>
          <w:tcPr>
            <w:tcW w:w="86" w:type="dxa"/>
          </w:tcPr>
          <w:p w14:paraId="4D120E9E" w14:textId="77777777" w:rsidR="00D1565B" w:rsidRPr="0031447D" w:rsidRDefault="00D1565B" w:rsidP="0031447D">
            <w:pPr>
              <w:pStyle w:val="a3"/>
              <w:tabs>
                <w:tab w:val="left" w:pos="227"/>
                <w:tab w:val="left" w:pos="397"/>
                <w:tab w:val="left" w:pos="567"/>
              </w:tabs>
              <w:spacing w:line="180" w:lineRule="exact"/>
              <w:ind w:left="227" w:hanging="397"/>
              <w:rPr>
                <w:sz w:val="18"/>
                <w:szCs w:val="18"/>
              </w:rPr>
            </w:pPr>
          </w:p>
        </w:tc>
        <w:tc>
          <w:tcPr>
            <w:tcW w:w="804" w:type="dxa"/>
            <w:vAlign w:val="bottom"/>
          </w:tcPr>
          <w:p w14:paraId="48C7AF98" w14:textId="77777777" w:rsidR="00D1565B" w:rsidRPr="0031447D" w:rsidRDefault="00D1565B" w:rsidP="0031447D">
            <w:pPr>
              <w:tabs>
                <w:tab w:val="decimal" w:pos="113"/>
              </w:tabs>
              <w:spacing w:line="180" w:lineRule="exact"/>
              <w:ind w:left="57"/>
              <w:rPr>
                <w:sz w:val="18"/>
                <w:szCs w:val="18"/>
              </w:rPr>
            </w:pPr>
          </w:p>
        </w:tc>
        <w:tc>
          <w:tcPr>
            <w:tcW w:w="140" w:type="dxa"/>
          </w:tcPr>
          <w:p w14:paraId="2FA83F26" w14:textId="77777777" w:rsidR="00D1565B" w:rsidRPr="0031447D" w:rsidRDefault="00D1565B" w:rsidP="0031447D">
            <w:pPr>
              <w:tabs>
                <w:tab w:val="decimal" w:pos="113"/>
              </w:tabs>
              <w:spacing w:line="180" w:lineRule="exact"/>
              <w:ind w:left="57"/>
              <w:rPr>
                <w:sz w:val="18"/>
                <w:szCs w:val="18"/>
              </w:rPr>
            </w:pPr>
          </w:p>
        </w:tc>
        <w:tc>
          <w:tcPr>
            <w:tcW w:w="930" w:type="dxa"/>
            <w:vAlign w:val="bottom"/>
          </w:tcPr>
          <w:p w14:paraId="648B61FB" w14:textId="77777777" w:rsidR="00D1565B" w:rsidRPr="0031447D" w:rsidRDefault="00D1565B" w:rsidP="0031447D">
            <w:pPr>
              <w:tabs>
                <w:tab w:val="decimal" w:pos="113"/>
              </w:tabs>
              <w:spacing w:line="180" w:lineRule="exact"/>
              <w:ind w:left="57"/>
              <w:rPr>
                <w:sz w:val="18"/>
                <w:szCs w:val="18"/>
              </w:rPr>
            </w:pPr>
          </w:p>
        </w:tc>
        <w:tc>
          <w:tcPr>
            <w:tcW w:w="113" w:type="dxa"/>
          </w:tcPr>
          <w:p w14:paraId="523AB778"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319D55E7" w14:textId="77777777" w:rsidR="00D1565B" w:rsidRPr="0031447D" w:rsidRDefault="00D1565B" w:rsidP="0031447D">
            <w:pPr>
              <w:tabs>
                <w:tab w:val="decimal" w:pos="113"/>
              </w:tabs>
              <w:spacing w:line="180" w:lineRule="exact"/>
              <w:ind w:left="57"/>
              <w:rPr>
                <w:sz w:val="18"/>
                <w:szCs w:val="18"/>
              </w:rPr>
            </w:pPr>
          </w:p>
        </w:tc>
        <w:tc>
          <w:tcPr>
            <w:tcW w:w="140" w:type="dxa"/>
          </w:tcPr>
          <w:p w14:paraId="7BF55A8D"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0E9FD90C" w14:textId="77777777" w:rsidR="00D1565B" w:rsidRPr="0031447D" w:rsidRDefault="00D1565B" w:rsidP="0031447D">
            <w:pPr>
              <w:tabs>
                <w:tab w:val="decimal" w:pos="113"/>
              </w:tabs>
              <w:spacing w:line="180" w:lineRule="exact"/>
              <w:ind w:left="57"/>
              <w:rPr>
                <w:sz w:val="18"/>
                <w:szCs w:val="18"/>
              </w:rPr>
            </w:pPr>
          </w:p>
        </w:tc>
        <w:tc>
          <w:tcPr>
            <w:tcW w:w="140" w:type="dxa"/>
          </w:tcPr>
          <w:p w14:paraId="255664B9" w14:textId="77777777" w:rsidR="00D1565B" w:rsidRPr="0031447D" w:rsidRDefault="00D1565B" w:rsidP="0031447D">
            <w:pPr>
              <w:tabs>
                <w:tab w:val="decimal" w:pos="113"/>
              </w:tabs>
              <w:spacing w:line="180" w:lineRule="exact"/>
              <w:ind w:left="57"/>
              <w:rPr>
                <w:sz w:val="18"/>
                <w:szCs w:val="18"/>
              </w:rPr>
            </w:pPr>
          </w:p>
        </w:tc>
        <w:tc>
          <w:tcPr>
            <w:tcW w:w="820" w:type="dxa"/>
            <w:vAlign w:val="bottom"/>
          </w:tcPr>
          <w:p w14:paraId="7E62CBFE" w14:textId="77777777" w:rsidR="00D1565B" w:rsidRPr="0031447D" w:rsidRDefault="00D1565B" w:rsidP="0031447D">
            <w:pPr>
              <w:tabs>
                <w:tab w:val="decimal" w:pos="113"/>
              </w:tabs>
              <w:spacing w:line="180" w:lineRule="exact"/>
              <w:ind w:left="57"/>
              <w:rPr>
                <w:sz w:val="18"/>
                <w:szCs w:val="18"/>
              </w:rPr>
            </w:pPr>
          </w:p>
        </w:tc>
        <w:tc>
          <w:tcPr>
            <w:tcW w:w="94" w:type="dxa"/>
          </w:tcPr>
          <w:p w14:paraId="2F38D7B8"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32B87ED8" w14:textId="77777777" w:rsidR="00D1565B" w:rsidRPr="0031447D" w:rsidRDefault="00D1565B" w:rsidP="0031447D">
            <w:pPr>
              <w:tabs>
                <w:tab w:val="decimal" w:pos="113"/>
              </w:tabs>
              <w:spacing w:line="180" w:lineRule="exact"/>
              <w:ind w:left="57"/>
              <w:rPr>
                <w:sz w:val="18"/>
                <w:szCs w:val="18"/>
              </w:rPr>
            </w:pPr>
          </w:p>
        </w:tc>
      </w:tr>
      <w:tr w:rsidR="00D1565B" w:rsidRPr="0031447D" w14:paraId="1684544D" w14:textId="77777777" w:rsidTr="00D1565B">
        <w:tc>
          <w:tcPr>
            <w:tcW w:w="2437" w:type="dxa"/>
            <w:vAlign w:val="bottom"/>
          </w:tcPr>
          <w:p w14:paraId="68E5EE4C" w14:textId="77777777" w:rsidR="00D1565B" w:rsidRPr="0031447D" w:rsidRDefault="00D1565B" w:rsidP="0031447D">
            <w:pPr>
              <w:pStyle w:val="a3"/>
              <w:tabs>
                <w:tab w:val="left" w:pos="227"/>
                <w:tab w:val="left" w:pos="397"/>
                <w:tab w:val="left" w:pos="567"/>
              </w:tabs>
              <w:spacing w:line="180" w:lineRule="exact"/>
              <w:rPr>
                <w:sz w:val="18"/>
                <w:szCs w:val="18"/>
                <w:rtl/>
              </w:rPr>
            </w:pPr>
          </w:p>
        </w:tc>
        <w:tc>
          <w:tcPr>
            <w:tcW w:w="86" w:type="dxa"/>
          </w:tcPr>
          <w:p w14:paraId="57F3D025" w14:textId="77777777" w:rsidR="00D1565B" w:rsidRPr="0031447D" w:rsidRDefault="00D1565B" w:rsidP="0031447D">
            <w:pPr>
              <w:pStyle w:val="a3"/>
              <w:tabs>
                <w:tab w:val="left" w:pos="227"/>
                <w:tab w:val="left" w:pos="397"/>
                <w:tab w:val="left" w:pos="567"/>
              </w:tabs>
              <w:spacing w:line="180" w:lineRule="exact"/>
              <w:ind w:left="227" w:hanging="397"/>
              <w:rPr>
                <w:sz w:val="18"/>
                <w:szCs w:val="18"/>
              </w:rPr>
            </w:pPr>
          </w:p>
        </w:tc>
        <w:tc>
          <w:tcPr>
            <w:tcW w:w="804" w:type="dxa"/>
            <w:tcBorders>
              <w:bottom w:val="single" w:sz="4" w:space="0" w:color="auto"/>
            </w:tcBorders>
            <w:vAlign w:val="bottom"/>
          </w:tcPr>
          <w:p w14:paraId="3F8502EB" w14:textId="77777777" w:rsidR="00D1565B" w:rsidRPr="0031447D" w:rsidRDefault="00D1565B" w:rsidP="0031447D">
            <w:pPr>
              <w:tabs>
                <w:tab w:val="decimal" w:pos="113"/>
              </w:tabs>
              <w:spacing w:line="180" w:lineRule="exact"/>
              <w:ind w:left="57"/>
              <w:rPr>
                <w:sz w:val="18"/>
                <w:szCs w:val="18"/>
              </w:rPr>
            </w:pPr>
          </w:p>
        </w:tc>
        <w:tc>
          <w:tcPr>
            <w:tcW w:w="140" w:type="dxa"/>
          </w:tcPr>
          <w:p w14:paraId="6CCDC54A" w14:textId="77777777" w:rsidR="00D1565B" w:rsidRPr="0031447D" w:rsidRDefault="00D1565B" w:rsidP="0031447D">
            <w:pPr>
              <w:tabs>
                <w:tab w:val="decimal" w:pos="113"/>
              </w:tabs>
              <w:spacing w:line="180" w:lineRule="exact"/>
              <w:ind w:left="57"/>
              <w:rPr>
                <w:sz w:val="18"/>
                <w:szCs w:val="18"/>
              </w:rPr>
            </w:pPr>
          </w:p>
        </w:tc>
        <w:tc>
          <w:tcPr>
            <w:tcW w:w="930" w:type="dxa"/>
            <w:tcBorders>
              <w:bottom w:val="single" w:sz="4" w:space="0" w:color="auto"/>
            </w:tcBorders>
            <w:vAlign w:val="bottom"/>
          </w:tcPr>
          <w:p w14:paraId="2D169282" w14:textId="77777777" w:rsidR="00D1565B" w:rsidRPr="0031447D" w:rsidRDefault="00D1565B" w:rsidP="0031447D">
            <w:pPr>
              <w:tabs>
                <w:tab w:val="decimal" w:pos="113"/>
              </w:tabs>
              <w:spacing w:line="180" w:lineRule="exact"/>
              <w:ind w:left="57"/>
              <w:rPr>
                <w:sz w:val="18"/>
                <w:szCs w:val="18"/>
              </w:rPr>
            </w:pPr>
          </w:p>
        </w:tc>
        <w:tc>
          <w:tcPr>
            <w:tcW w:w="113" w:type="dxa"/>
          </w:tcPr>
          <w:p w14:paraId="55FF4AFC" w14:textId="77777777" w:rsidR="00D1565B" w:rsidRPr="0031447D" w:rsidRDefault="00D1565B" w:rsidP="0031447D">
            <w:pPr>
              <w:tabs>
                <w:tab w:val="decimal" w:pos="113"/>
              </w:tabs>
              <w:spacing w:line="180" w:lineRule="exact"/>
              <w:ind w:left="57"/>
              <w:rPr>
                <w:sz w:val="18"/>
                <w:szCs w:val="18"/>
              </w:rPr>
            </w:pPr>
          </w:p>
        </w:tc>
        <w:tc>
          <w:tcPr>
            <w:tcW w:w="804" w:type="dxa"/>
            <w:tcBorders>
              <w:bottom w:val="single" w:sz="4" w:space="0" w:color="auto"/>
            </w:tcBorders>
            <w:vAlign w:val="bottom"/>
          </w:tcPr>
          <w:p w14:paraId="3DEC8382" w14:textId="77777777" w:rsidR="00D1565B" w:rsidRPr="0031447D" w:rsidRDefault="00D1565B" w:rsidP="0031447D">
            <w:pPr>
              <w:tabs>
                <w:tab w:val="decimal" w:pos="113"/>
              </w:tabs>
              <w:spacing w:line="180" w:lineRule="exact"/>
              <w:ind w:left="57"/>
              <w:rPr>
                <w:sz w:val="18"/>
                <w:szCs w:val="18"/>
              </w:rPr>
            </w:pPr>
          </w:p>
        </w:tc>
        <w:tc>
          <w:tcPr>
            <w:tcW w:w="140" w:type="dxa"/>
          </w:tcPr>
          <w:p w14:paraId="357DE386" w14:textId="77777777" w:rsidR="00D1565B" w:rsidRPr="0031447D" w:rsidRDefault="00D1565B" w:rsidP="0031447D">
            <w:pPr>
              <w:tabs>
                <w:tab w:val="decimal" w:pos="113"/>
              </w:tabs>
              <w:spacing w:line="180" w:lineRule="exact"/>
              <w:ind w:left="57"/>
              <w:rPr>
                <w:sz w:val="18"/>
                <w:szCs w:val="18"/>
              </w:rPr>
            </w:pPr>
          </w:p>
        </w:tc>
        <w:tc>
          <w:tcPr>
            <w:tcW w:w="804" w:type="dxa"/>
            <w:tcBorders>
              <w:bottom w:val="single" w:sz="4" w:space="0" w:color="auto"/>
            </w:tcBorders>
            <w:vAlign w:val="bottom"/>
          </w:tcPr>
          <w:p w14:paraId="398E6897" w14:textId="77777777" w:rsidR="00D1565B" w:rsidRPr="0031447D" w:rsidRDefault="00D1565B" w:rsidP="0031447D">
            <w:pPr>
              <w:tabs>
                <w:tab w:val="decimal" w:pos="113"/>
              </w:tabs>
              <w:spacing w:line="180" w:lineRule="exact"/>
              <w:ind w:left="57"/>
              <w:rPr>
                <w:sz w:val="18"/>
                <w:szCs w:val="18"/>
              </w:rPr>
            </w:pPr>
          </w:p>
        </w:tc>
        <w:tc>
          <w:tcPr>
            <w:tcW w:w="140" w:type="dxa"/>
          </w:tcPr>
          <w:p w14:paraId="274F4BB0" w14:textId="77777777" w:rsidR="00D1565B" w:rsidRPr="0031447D" w:rsidRDefault="00D1565B" w:rsidP="0031447D">
            <w:pPr>
              <w:tabs>
                <w:tab w:val="decimal" w:pos="113"/>
              </w:tabs>
              <w:spacing w:line="180" w:lineRule="exact"/>
              <w:ind w:left="57"/>
              <w:rPr>
                <w:sz w:val="18"/>
                <w:szCs w:val="18"/>
              </w:rPr>
            </w:pPr>
          </w:p>
        </w:tc>
        <w:tc>
          <w:tcPr>
            <w:tcW w:w="820" w:type="dxa"/>
            <w:tcBorders>
              <w:bottom w:val="single" w:sz="4" w:space="0" w:color="auto"/>
            </w:tcBorders>
            <w:vAlign w:val="bottom"/>
          </w:tcPr>
          <w:p w14:paraId="281768D2" w14:textId="77777777" w:rsidR="00D1565B" w:rsidRPr="0031447D" w:rsidRDefault="00D1565B" w:rsidP="0031447D">
            <w:pPr>
              <w:tabs>
                <w:tab w:val="decimal" w:pos="113"/>
              </w:tabs>
              <w:spacing w:line="180" w:lineRule="exact"/>
              <w:ind w:left="57"/>
              <w:rPr>
                <w:sz w:val="18"/>
                <w:szCs w:val="18"/>
              </w:rPr>
            </w:pPr>
          </w:p>
        </w:tc>
        <w:tc>
          <w:tcPr>
            <w:tcW w:w="94" w:type="dxa"/>
          </w:tcPr>
          <w:p w14:paraId="251CF783" w14:textId="77777777" w:rsidR="00D1565B" w:rsidRPr="0031447D" w:rsidRDefault="00D1565B" w:rsidP="0031447D">
            <w:pPr>
              <w:tabs>
                <w:tab w:val="decimal" w:pos="113"/>
              </w:tabs>
              <w:spacing w:line="180" w:lineRule="exact"/>
              <w:ind w:left="57"/>
              <w:rPr>
                <w:sz w:val="18"/>
                <w:szCs w:val="18"/>
              </w:rPr>
            </w:pPr>
          </w:p>
        </w:tc>
        <w:tc>
          <w:tcPr>
            <w:tcW w:w="804" w:type="dxa"/>
            <w:tcBorders>
              <w:bottom w:val="single" w:sz="4" w:space="0" w:color="auto"/>
            </w:tcBorders>
            <w:vAlign w:val="bottom"/>
          </w:tcPr>
          <w:p w14:paraId="63503168" w14:textId="77777777" w:rsidR="00D1565B" w:rsidRPr="0031447D" w:rsidRDefault="00D1565B" w:rsidP="0031447D">
            <w:pPr>
              <w:tabs>
                <w:tab w:val="decimal" w:pos="113"/>
              </w:tabs>
              <w:spacing w:line="180" w:lineRule="exact"/>
              <w:ind w:left="57"/>
              <w:rPr>
                <w:sz w:val="18"/>
                <w:szCs w:val="18"/>
              </w:rPr>
            </w:pPr>
          </w:p>
        </w:tc>
      </w:tr>
      <w:tr w:rsidR="00D1565B" w:rsidRPr="0031447D" w14:paraId="31D92ADE" w14:textId="77777777" w:rsidTr="00B0420D">
        <w:tc>
          <w:tcPr>
            <w:tcW w:w="2437" w:type="dxa"/>
            <w:vAlign w:val="bottom"/>
          </w:tcPr>
          <w:p w14:paraId="6DA2C890" w14:textId="69C92FD1" w:rsidR="00D1565B" w:rsidRPr="0031447D" w:rsidRDefault="00D1565B" w:rsidP="0031447D">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86" w:type="dxa"/>
          </w:tcPr>
          <w:p w14:paraId="18F53E2A" w14:textId="77777777" w:rsidR="00D1565B" w:rsidRPr="0031447D" w:rsidRDefault="00D1565B" w:rsidP="0031447D">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bottom w:val="single" w:sz="4" w:space="0" w:color="auto"/>
            </w:tcBorders>
            <w:vAlign w:val="bottom"/>
          </w:tcPr>
          <w:p w14:paraId="135EA2DC" w14:textId="77777777" w:rsidR="00D1565B" w:rsidRPr="0031447D" w:rsidRDefault="00D1565B" w:rsidP="0031447D">
            <w:pPr>
              <w:tabs>
                <w:tab w:val="decimal" w:pos="113"/>
              </w:tabs>
              <w:spacing w:line="180" w:lineRule="exact"/>
              <w:ind w:left="57"/>
              <w:rPr>
                <w:sz w:val="18"/>
                <w:szCs w:val="18"/>
              </w:rPr>
            </w:pPr>
          </w:p>
        </w:tc>
        <w:tc>
          <w:tcPr>
            <w:tcW w:w="140" w:type="dxa"/>
          </w:tcPr>
          <w:p w14:paraId="309A7DFB" w14:textId="77777777" w:rsidR="00D1565B" w:rsidRPr="0031447D" w:rsidRDefault="00D1565B" w:rsidP="0031447D">
            <w:pPr>
              <w:tabs>
                <w:tab w:val="decimal" w:pos="113"/>
              </w:tabs>
              <w:spacing w:line="180" w:lineRule="exact"/>
              <w:ind w:left="57"/>
              <w:rPr>
                <w:sz w:val="18"/>
                <w:szCs w:val="18"/>
              </w:rPr>
            </w:pPr>
          </w:p>
        </w:tc>
        <w:tc>
          <w:tcPr>
            <w:tcW w:w="930" w:type="dxa"/>
            <w:tcBorders>
              <w:top w:val="single" w:sz="4" w:space="0" w:color="auto"/>
              <w:bottom w:val="single" w:sz="4" w:space="0" w:color="auto"/>
            </w:tcBorders>
            <w:vAlign w:val="bottom"/>
          </w:tcPr>
          <w:p w14:paraId="31DFD888" w14:textId="77777777" w:rsidR="00D1565B" w:rsidRPr="0031447D" w:rsidRDefault="00D1565B" w:rsidP="0031447D">
            <w:pPr>
              <w:tabs>
                <w:tab w:val="decimal" w:pos="113"/>
              </w:tabs>
              <w:spacing w:line="180" w:lineRule="exact"/>
              <w:ind w:left="57"/>
              <w:rPr>
                <w:sz w:val="18"/>
                <w:szCs w:val="18"/>
              </w:rPr>
            </w:pPr>
          </w:p>
        </w:tc>
        <w:tc>
          <w:tcPr>
            <w:tcW w:w="113" w:type="dxa"/>
          </w:tcPr>
          <w:p w14:paraId="7382A4C8" w14:textId="77777777" w:rsidR="00D1565B" w:rsidRPr="0031447D" w:rsidRDefault="00D1565B" w:rsidP="0031447D">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75F88284" w14:textId="77777777" w:rsidR="00D1565B" w:rsidRPr="0031447D" w:rsidRDefault="00D1565B" w:rsidP="0031447D">
            <w:pPr>
              <w:tabs>
                <w:tab w:val="decimal" w:pos="113"/>
              </w:tabs>
              <w:spacing w:line="180" w:lineRule="exact"/>
              <w:ind w:left="57"/>
              <w:rPr>
                <w:sz w:val="18"/>
                <w:szCs w:val="18"/>
              </w:rPr>
            </w:pPr>
          </w:p>
        </w:tc>
        <w:tc>
          <w:tcPr>
            <w:tcW w:w="140" w:type="dxa"/>
          </w:tcPr>
          <w:p w14:paraId="59B3F784" w14:textId="77777777" w:rsidR="00D1565B" w:rsidRPr="0031447D" w:rsidRDefault="00D1565B" w:rsidP="0031447D">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682B5CA4" w14:textId="77777777" w:rsidR="00D1565B" w:rsidRPr="0031447D" w:rsidRDefault="00D1565B" w:rsidP="0031447D">
            <w:pPr>
              <w:tabs>
                <w:tab w:val="decimal" w:pos="113"/>
              </w:tabs>
              <w:spacing w:line="180" w:lineRule="exact"/>
              <w:ind w:left="57"/>
              <w:rPr>
                <w:sz w:val="18"/>
                <w:szCs w:val="18"/>
              </w:rPr>
            </w:pPr>
          </w:p>
        </w:tc>
        <w:tc>
          <w:tcPr>
            <w:tcW w:w="140" w:type="dxa"/>
          </w:tcPr>
          <w:p w14:paraId="628DE9AD" w14:textId="77777777" w:rsidR="00D1565B" w:rsidRPr="0031447D" w:rsidRDefault="00D1565B" w:rsidP="0031447D">
            <w:pPr>
              <w:tabs>
                <w:tab w:val="decimal" w:pos="113"/>
              </w:tabs>
              <w:spacing w:line="180" w:lineRule="exact"/>
              <w:ind w:left="57"/>
              <w:rPr>
                <w:sz w:val="18"/>
                <w:szCs w:val="18"/>
              </w:rPr>
            </w:pPr>
          </w:p>
        </w:tc>
        <w:tc>
          <w:tcPr>
            <w:tcW w:w="820" w:type="dxa"/>
            <w:tcBorders>
              <w:top w:val="single" w:sz="4" w:space="0" w:color="auto"/>
              <w:bottom w:val="single" w:sz="4" w:space="0" w:color="auto"/>
            </w:tcBorders>
            <w:vAlign w:val="bottom"/>
          </w:tcPr>
          <w:p w14:paraId="794A737A" w14:textId="77777777" w:rsidR="00D1565B" w:rsidRPr="0031447D" w:rsidRDefault="00D1565B" w:rsidP="0031447D">
            <w:pPr>
              <w:tabs>
                <w:tab w:val="decimal" w:pos="113"/>
              </w:tabs>
              <w:spacing w:line="180" w:lineRule="exact"/>
              <w:ind w:left="57"/>
              <w:rPr>
                <w:sz w:val="18"/>
                <w:szCs w:val="18"/>
              </w:rPr>
            </w:pPr>
          </w:p>
        </w:tc>
        <w:tc>
          <w:tcPr>
            <w:tcW w:w="94" w:type="dxa"/>
          </w:tcPr>
          <w:p w14:paraId="383D0329" w14:textId="77777777" w:rsidR="00D1565B" w:rsidRPr="0031447D" w:rsidRDefault="00D1565B" w:rsidP="0031447D">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17AF0ED8" w14:textId="77777777" w:rsidR="00D1565B" w:rsidRPr="0031447D" w:rsidRDefault="00D1565B" w:rsidP="0031447D">
            <w:pPr>
              <w:tabs>
                <w:tab w:val="decimal" w:pos="113"/>
              </w:tabs>
              <w:spacing w:line="180" w:lineRule="exact"/>
              <w:ind w:left="57"/>
              <w:rPr>
                <w:sz w:val="18"/>
                <w:szCs w:val="18"/>
              </w:rPr>
            </w:pPr>
          </w:p>
        </w:tc>
      </w:tr>
      <w:tr w:rsidR="00D1565B" w:rsidRPr="0031447D" w14:paraId="4EB4AFDB" w14:textId="77777777" w:rsidTr="00B0420D">
        <w:tc>
          <w:tcPr>
            <w:tcW w:w="2437" w:type="dxa"/>
            <w:vAlign w:val="bottom"/>
          </w:tcPr>
          <w:p w14:paraId="734E5B8A" w14:textId="77777777" w:rsidR="00D1565B" w:rsidRPr="0031447D" w:rsidRDefault="00D1565B" w:rsidP="0031447D">
            <w:pPr>
              <w:pStyle w:val="a3"/>
              <w:tabs>
                <w:tab w:val="left" w:pos="227"/>
                <w:tab w:val="left" w:pos="397"/>
                <w:tab w:val="left" w:pos="567"/>
              </w:tabs>
              <w:spacing w:line="180" w:lineRule="exact"/>
              <w:rPr>
                <w:sz w:val="18"/>
                <w:szCs w:val="18"/>
                <w:rtl/>
              </w:rPr>
            </w:pPr>
          </w:p>
        </w:tc>
        <w:tc>
          <w:tcPr>
            <w:tcW w:w="86" w:type="dxa"/>
          </w:tcPr>
          <w:p w14:paraId="201AB59F" w14:textId="77777777" w:rsidR="00D1565B" w:rsidRPr="0031447D" w:rsidRDefault="00D1565B" w:rsidP="0031447D">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tcBorders>
            <w:vAlign w:val="bottom"/>
          </w:tcPr>
          <w:p w14:paraId="3BB64B3C" w14:textId="77777777" w:rsidR="00D1565B" w:rsidRPr="0031447D" w:rsidRDefault="00D1565B" w:rsidP="0031447D">
            <w:pPr>
              <w:tabs>
                <w:tab w:val="decimal" w:pos="113"/>
              </w:tabs>
              <w:spacing w:line="180" w:lineRule="exact"/>
              <w:ind w:left="57"/>
              <w:rPr>
                <w:sz w:val="18"/>
                <w:szCs w:val="18"/>
              </w:rPr>
            </w:pPr>
          </w:p>
        </w:tc>
        <w:tc>
          <w:tcPr>
            <w:tcW w:w="140" w:type="dxa"/>
          </w:tcPr>
          <w:p w14:paraId="5B7118A8" w14:textId="77777777" w:rsidR="00D1565B" w:rsidRPr="0031447D" w:rsidRDefault="00D1565B" w:rsidP="0031447D">
            <w:pPr>
              <w:tabs>
                <w:tab w:val="decimal" w:pos="113"/>
              </w:tabs>
              <w:spacing w:line="180" w:lineRule="exact"/>
              <w:ind w:left="57"/>
              <w:rPr>
                <w:sz w:val="18"/>
                <w:szCs w:val="18"/>
              </w:rPr>
            </w:pPr>
          </w:p>
        </w:tc>
        <w:tc>
          <w:tcPr>
            <w:tcW w:w="930" w:type="dxa"/>
            <w:tcBorders>
              <w:top w:val="single" w:sz="4" w:space="0" w:color="auto"/>
            </w:tcBorders>
            <w:vAlign w:val="bottom"/>
          </w:tcPr>
          <w:p w14:paraId="1CCBD966" w14:textId="77777777" w:rsidR="00D1565B" w:rsidRPr="0031447D" w:rsidRDefault="00D1565B" w:rsidP="0031447D">
            <w:pPr>
              <w:tabs>
                <w:tab w:val="decimal" w:pos="113"/>
              </w:tabs>
              <w:spacing w:line="180" w:lineRule="exact"/>
              <w:ind w:left="57"/>
              <w:rPr>
                <w:sz w:val="18"/>
                <w:szCs w:val="18"/>
              </w:rPr>
            </w:pPr>
          </w:p>
        </w:tc>
        <w:tc>
          <w:tcPr>
            <w:tcW w:w="113" w:type="dxa"/>
          </w:tcPr>
          <w:p w14:paraId="535FD4E7" w14:textId="77777777" w:rsidR="00D1565B" w:rsidRPr="0031447D" w:rsidRDefault="00D1565B" w:rsidP="0031447D">
            <w:pPr>
              <w:tabs>
                <w:tab w:val="decimal" w:pos="113"/>
              </w:tabs>
              <w:spacing w:line="180" w:lineRule="exact"/>
              <w:ind w:left="57"/>
              <w:rPr>
                <w:sz w:val="18"/>
                <w:szCs w:val="18"/>
              </w:rPr>
            </w:pPr>
          </w:p>
        </w:tc>
        <w:tc>
          <w:tcPr>
            <w:tcW w:w="804" w:type="dxa"/>
            <w:tcBorders>
              <w:top w:val="single" w:sz="4" w:space="0" w:color="auto"/>
            </w:tcBorders>
            <w:vAlign w:val="bottom"/>
          </w:tcPr>
          <w:p w14:paraId="1E777A43" w14:textId="77777777" w:rsidR="00D1565B" w:rsidRPr="0031447D" w:rsidRDefault="00D1565B" w:rsidP="0031447D">
            <w:pPr>
              <w:tabs>
                <w:tab w:val="decimal" w:pos="113"/>
              </w:tabs>
              <w:spacing w:line="180" w:lineRule="exact"/>
              <w:ind w:left="57"/>
              <w:rPr>
                <w:sz w:val="18"/>
                <w:szCs w:val="18"/>
              </w:rPr>
            </w:pPr>
          </w:p>
        </w:tc>
        <w:tc>
          <w:tcPr>
            <w:tcW w:w="140" w:type="dxa"/>
          </w:tcPr>
          <w:p w14:paraId="689A15BC" w14:textId="77777777" w:rsidR="00D1565B" w:rsidRPr="0031447D" w:rsidRDefault="00D1565B" w:rsidP="0031447D">
            <w:pPr>
              <w:tabs>
                <w:tab w:val="decimal" w:pos="113"/>
              </w:tabs>
              <w:spacing w:line="180" w:lineRule="exact"/>
              <w:ind w:left="57"/>
              <w:rPr>
                <w:sz w:val="18"/>
                <w:szCs w:val="18"/>
              </w:rPr>
            </w:pPr>
          </w:p>
        </w:tc>
        <w:tc>
          <w:tcPr>
            <w:tcW w:w="804" w:type="dxa"/>
            <w:tcBorders>
              <w:top w:val="single" w:sz="4" w:space="0" w:color="auto"/>
            </w:tcBorders>
            <w:vAlign w:val="bottom"/>
          </w:tcPr>
          <w:p w14:paraId="7A40AC61" w14:textId="77777777" w:rsidR="00D1565B" w:rsidRPr="0031447D" w:rsidRDefault="00D1565B" w:rsidP="0031447D">
            <w:pPr>
              <w:tabs>
                <w:tab w:val="decimal" w:pos="113"/>
              </w:tabs>
              <w:spacing w:line="180" w:lineRule="exact"/>
              <w:ind w:left="57"/>
              <w:rPr>
                <w:sz w:val="18"/>
                <w:szCs w:val="18"/>
              </w:rPr>
            </w:pPr>
          </w:p>
        </w:tc>
        <w:tc>
          <w:tcPr>
            <w:tcW w:w="140" w:type="dxa"/>
          </w:tcPr>
          <w:p w14:paraId="1E21F256" w14:textId="77777777" w:rsidR="00D1565B" w:rsidRPr="0031447D" w:rsidRDefault="00D1565B" w:rsidP="0031447D">
            <w:pPr>
              <w:tabs>
                <w:tab w:val="decimal" w:pos="113"/>
              </w:tabs>
              <w:spacing w:line="180" w:lineRule="exact"/>
              <w:ind w:left="57"/>
              <w:rPr>
                <w:sz w:val="18"/>
                <w:szCs w:val="18"/>
              </w:rPr>
            </w:pPr>
          </w:p>
        </w:tc>
        <w:tc>
          <w:tcPr>
            <w:tcW w:w="820" w:type="dxa"/>
            <w:tcBorders>
              <w:top w:val="single" w:sz="4" w:space="0" w:color="auto"/>
            </w:tcBorders>
            <w:vAlign w:val="bottom"/>
          </w:tcPr>
          <w:p w14:paraId="175A92B4" w14:textId="77777777" w:rsidR="00D1565B" w:rsidRPr="0031447D" w:rsidRDefault="00D1565B" w:rsidP="0031447D">
            <w:pPr>
              <w:tabs>
                <w:tab w:val="decimal" w:pos="113"/>
              </w:tabs>
              <w:spacing w:line="180" w:lineRule="exact"/>
              <w:ind w:left="57"/>
              <w:rPr>
                <w:sz w:val="18"/>
                <w:szCs w:val="18"/>
              </w:rPr>
            </w:pPr>
          </w:p>
        </w:tc>
        <w:tc>
          <w:tcPr>
            <w:tcW w:w="94" w:type="dxa"/>
          </w:tcPr>
          <w:p w14:paraId="08BAC57B" w14:textId="77777777" w:rsidR="00D1565B" w:rsidRPr="0031447D" w:rsidRDefault="00D1565B" w:rsidP="0031447D">
            <w:pPr>
              <w:tabs>
                <w:tab w:val="decimal" w:pos="113"/>
              </w:tabs>
              <w:spacing w:line="180" w:lineRule="exact"/>
              <w:ind w:left="57"/>
              <w:rPr>
                <w:sz w:val="18"/>
                <w:szCs w:val="18"/>
              </w:rPr>
            </w:pPr>
          </w:p>
        </w:tc>
        <w:tc>
          <w:tcPr>
            <w:tcW w:w="804" w:type="dxa"/>
            <w:tcBorders>
              <w:top w:val="single" w:sz="4" w:space="0" w:color="auto"/>
            </w:tcBorders>
            <w:vAlign w:val="bottom"/>
          </w:tcPr>
          <w:p w14:paraId="0036BB1B" w14:textId="77777777" w:rsidR="00D1565B" w:rsidRPr="0031447D" w:rsidRDefault="00D1565B" w:rsidP="0031447D">
            <w:pPr>
              <w:tabs>
                <w:tab w:val="decimal" w:pos="113"/>
              </w:tabs>
              <w:spacing w:line="180" w:lineRule="exact"/>
              <w:ind w:left="57"/>
              <w:rPr>
                <w:sz w:val="18"/>
                <w:szCs w:val="18"/>
              </w:rPr>
            </w:pPr>
          </w:p>
        </w:tc>
      </w:tr>
      <w:tr w:rsidR="00D1565B" w:rsidRPr="0031447D" w14:paraId="41CCE4E1" w14:textId="77777777" w:rsidTr="0031447D">
        <w:tc>
          <w:tcPr>
            <w:tcW w:w="2437" w:type="dxa"/>
            <w:vAlign w:val="bottom"/>
          </w:tcPr>
          <w:p w14:paraId="1F68C0BE" w14:textId="661134FD" w:rsidR="00D1565B" w:rsidRPr="0031447D" w:rsidRDefault="00D1565B" w:rsidP="00D1565B">
            <w:pPr>
              <w:pStyle w:val="a3"/>
              <w:tabs>
                <w:tab w:val="left" w:pos="227"/>
                <w:tab w:val="left" w:pos="397"/>
                <w:tab w:val="left" w:pos="567"/>
              </w:tabs>
              <w:spacing w:line="180" w:lineRule="exact"/>
              <w:rPr>
                <w:sz w:val="18"/>
                <w:szCs w:val="18"/>
                <w:rtl/>
              </w:rPr>
            </w:pPr>
            <w:r>
              <w:rPr>
                <w:rFonts w:hint="cs"/>
                <w:b/>
                <w:bCs/>
                <w:sz w:val="18"/>
                <w:szCs w:val="18"/>
                <w:rtl/>
              </w:rPr>
              <w:t>פילוח לפי קווי מוצר/שירות:</w:t>
            </w:r>
          </w:p>
        </w:tc>
        <w:tc>
          <w:tcPr>
            <w:tcW w:w="86" w:type="dxa"/>
          </w:tcPr>
          <w:p w14:paraId="10B70049"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57929A07" w14:textId="77777777" w:rsidR="00D1565B" w:rsidRPr="0031447D" w:rsidRDefault="00D1565B" w:rsidP="00D1565B">
            <w:pPr>
              <w:tabs>
                <w:tab w:val="decimal" w:pos="113"/>
              </w:tabs>
              <w:spacing w:line="180" w:lineRule="exact"/>
              <w:ind w:left="57"/>
              <w:rPr>
                <w:sz w:val="18"/>
                <w:szCs w:val="18"/>
              </w:rPr>
            </w:pPr>
          </w:p>
        </w:tc>
        <w:tc>
          <w:tcPr>
            <w:tcW w:w="140" w:type="dxa"/>
          </w:tcPr>
          <w:p w14:paraId="2E2BF083"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66B68FA1" w14:textId="77777777" w:rsidR="00D1565B" w:rsidRPr="0031447D" w:rsidRDefault="00D1565B" w:rsidP="00D1565B">
            <w:pPr>
              <w:tabs>
                <w:tab w:val="decimal" w:pos="113"/>
              </w:tabs>
              <w:spacing w:line="180" w:lineRule="exact"/>
              <w:ind w:left="57"/>
              <w:rPr>
                <w:sz w:val="18"/>
                <w:szCs w:val="18"/>
              </w:rPr>
            </w:pPr>
          </w:p>
        </w:tc>
        <w:tc>
          <w:tcPr>
            <w:tcW w:w="113" w:type="dxa"/>
          </w:tcPr>
          <w:p w14:paraId="04B0FC9E"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14D7E6CF" w14:textId="77777777" w:rsidR="00D1565B" w:rsidRPr="0031447D" w:rsidRDefault="00D1565B" w:rsidP="00D1565B">
            <w:pPr>
              <w:tabs>
                <w:tab w:val="decimal" w:pos="113"/>
              </w:tabs>
              <w:spacing w:line="180" w:lineRule="exact"/>
              <w:ind w:left="57"/>
              <w:rPr>
                <w:sz w:val="18"/>
                <w:szCs w:val="18"/>
              </w:rPr>
            </w:pPr>
          </w:p>
        </w:tc>
        <w:tc>
          <w:tcPr>
            <w:tcW w:w="140" w:type="dxa"/>
          </w:tcPr>
          <w:p w14:paraId="39BE4986"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5417679B" w14:textId="77777777" w:rsidR="00D1565B" w:rsidRPr="0031447D" w:rsidRDefault="00D1565B" w:rsidP="00D1565B">
            <w:pPr>
              <w:tabs>
                <w:tab w:val="decimal" w:pos="113"/>
              </w:tabs>
              <w:spacing w:line="180" w:lineRule="exact"/>
              <w:ind w:left="57"/>
              <w:rPr>
                <w:sz w:val="18"/>
                <w:szCs w:val="18"/>
              </w:rPr>
            </w:pPr>
          </w:p>
        </w:tc>
        <w:tc>
          <w:tcPr>
            <w:tcW w:w="140" w:type="dxa"/>
          </w:tcPr>
          <w:p w14:paraId="20EE7B8E"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7806ACAE" w14:textId="77777777" w:rsidR="00D1565B" w:rsidRPr="0031447D" w:rsidRDefault="00D1565B" w:rsidP="00D1565B">
            <w:pPr>
              <w:tabs>
                <w:tab w:val="decimal" w:pos="113"/>
              </w:tabs>
              <w:spacing w:line="180" w:lineRule="exact"/>
              <w:ind w:left="57"/>
              <w:rPr>
                <w:sz w:val="18"/>
                <w:szCs w:val="18"/>
              </w:rPr>
            </w:pPr>
          </w:p>
        </w:tc>
        <w:tc>
          <w:tcPr>
            <w:tcW w:w="94" w:type="dxa"/>
          </w:tcPr>
          <w:p w14:paraId="331B94F6"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442E5DAF" w14:textId="77777777" w:rsidR="00D1565B" w:rsidRPr="0031447D" w:rsidRDefault="00D1565B" w:rsidP="00D1565B">
            <w:pPr>
              <w:tabs>
                <w:tab w:val="decimal" w:pos="113"/>
              </w:tabs>
              <w:spacing w:line="180" w:lineRule="exact"/>
              <w:ind w:left="57"/>
              <w:rPr>
                <w:sz w:val="18"/>
                <w:szCs w:val="18"/>
              </w:rPr>
            </w:pPr>
          </w:p>
        </w:tc>
      </w:tr>
      <w:tr w:rsidR="00D1565B" w:rsidRPr="0031447D" w14:paraId="58189B80" w14:textId="77777777" w:rsidTr="0031447D">
        <w:tc>
          <w:tcPr>
            <w:tcW w:w="2437" w:type="dxa"/>
            <w:vAlign w:val="bottom"/>
          </w:tcPr>
          <w:p w14:paraId="4E5B85A6" w14:textId="52D5316F" w:rsidR="00D1565B" w:rsidRPr="0031447D" w:rsidRDefault="00D1565B" w:rsidP="00D1565B">
            <w:pPr>
              <w:pStyle w:val="a3"/>
              <w:tabs>
                <w:tab w:val="left" w:pos="227"/>
                <w:tab w:val="left" w:pos="397"/>
                <w:tab w:val="left" w:pos="567"/>
              </w:tabs>
              <w:spacing w:line="180" w:lineRule="exact"/>
              <w:rPr>
                <w:sz w:val="18"/>
                <w:szCs w:val="18"/>
                <w:rtl/>
              </w:rPr>
            </w:pPr>
            <w:r>
              <w:rPr>
                <w:rFonts w:hint="cs"/>
                <w:sz w:val="18"/>
                <w:szCs w:val="18"/>
                <w:rtl/>
              </w:rPr>
              <w:t>הכנסות ממכירת ציוד כיבוי למפעלים גדולים</w:t>
            </w:r>
          </w:p>
        </w:tc>
        <w:tc>
          <w:tcPr>
            <w:tcW w:w="86" w:type="dxa"/>
          </w:tcPr>
          <w:p w14:paraId="28230F0B"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6404D563" w14:textId="77777777" w:rsidR="00D1565B" w:rsidRPr="0031447D" w:rsidRDefault="00D1565B" w:rsidP="00D1565B">
            <w:pPr>
              <w:tabs>
                <w:tab w:val="decimal" w:pos="113"/>
              </w:tabs>
              <w:spacing w:line="180" w:lineRule="exact"/>
              <w:ind w:left="57"/>
              <w:rPr>
                <w:sz w:val="18"/>
                <w:szCs w:val="18"/>
              </w:rPr>
            </w:pPr>
          </w:p>
        </w:tc>
        <w:tc>
          <w:tcPr>
            <w:tcW w:w="140" w:type="dxa"/>
          </w:tcPr>
          <w:p w14:paraId="287B203E"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1690A5DF" w14:textId="77777777" w:rsidR="00D1565B" w:rsidRPr="0031447D" w:rsidRDefault="00D1565B" w:rsidP="00D1565B">
            <w:pPr>
              <w:tabs>
                <w:tab w:val="decimal" w:pos="113"/>
              </w:tabs>
              <w:spacing w:line="180" w:lineRule="exact"/>
              <w:ind w:left="57"/>
              <w:rPr>
                <w:sz w:val="18"/>
                <w:szCs w:val="18"/>
              </w:rPr>
            </w:pPr>
          </w:p>
        </w:tc>
        <w:tc>
          <w:tcPr>
            <w:tcW w:w="113" w:type="dxa"/>
          </w:tcPr>
          <w:p w14:paraId="46380A18"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6EE80964" w14:textId="77777777" w:rsidR="00D1565B" w:rsidRPr="0031447D" w:rsidRDefault="00D1565B" w:rsidP="00D1565B">
            <w:pPr>
              <w:tabs>
                <w:tab w:val="decimal" w:pos="113"/>
              </w:tabs>
              <w:spacing w:line="180" w:lineRule="exact"/>
              <w:ind w:left="57"/>
              <w:rPr>
                <w:sz w:val="18"/>
                <w:szCs w:val="18"/>
              </w:rPr>
            </w:pPr>
          </w:p>
        </w:tc>
        <w:tc>
          <w:tcPr>
            <w:tcW w:w="140" w:type="dxa"/>
          </w:tcPr>
          <w:p w14:paraId="56BD36E4"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33EFA285" w14:textId="77777777" w:rsidR="00D1565B" w:rsidRPr="0031447D" w:rsidRDefault="00D1565B" w:rsidP="00D1565B">
            <w:pPr>
              <w:tabs>
                <w:tab w:val="decimal" w:pos="113"/>
              </w:tabs>
              <w:spacing w:line="180" w:lineRule="exact"/>
              <w:ind w:left="57"/>
              <w:rPr>
                <w:sz w:val="18"/>
                <w:szCs w:val="18"/>
              </w:rPr>
            </w:pPr>
          </w:p>
        </w:tc>
        <w:tc>
          <w:tcPr>
            <w:tcW w:w="140" w:type="dxa"/>
          </w:tcPr>
          <w:p w14:paraId="0B3A8C0E"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601BB05A" w14:textId="77777777" w:rsidR="00D1565B" w:rsidRPr="0031447D" w:rsidRDefault="00D1565B" w:rsidP="00D1565B">
            <w:pPr>
              <w:tabs>
                <w:tab w:val="decimal" w:pos="113"/>
              </w:tabs>
              <w:spacing w:line="180" w:lineRule="exact"/>
              <w:ind w:left="57"/>
              <w:rPr>
                <w:sz w:val="18"/>
                <w:szCs w:val="18"/>
              </w:rPr>
            </w:pPr>
          </w:p>
        </w:tc>
        <w:tc>
          <w:tcPr>
            <w:tcW w:w="94" w:type="dxa"/>
          </w:tcPr>
          <w:p w14:paraId="21496089"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17093A91" w14:textId="77777777" w:rsidR="00D1565B" w:rsidRPr="0031447D" w:rsidRDefault="00D1565B" w:rsidP="00D1565B">
            <w:pPr>
              <w:tabs>
                <w:tab w:val="decimal" w:pos="113"/>
              </w:tabs>
              <w:spacing w:line="180" w:lineRule="exact"/>
              <w:ind w:left="57"/>
              <w:rPr>
                <w:sz w:val="18"/>
                <w:szCs w:val="18"/>
              </w:rPr>
            </w:pPr>
          </w:p>
        </w:tc>
      </w:tr>
      <w:tr w:rsidR="00D1565B" w:rsidRPr="0031447D" w14:paraId="45EC0326" w14:textId="77777777" w:rsidTr="0031447D">
        <w:tc>
          <w:tcPr>
            <w:tcW w:w="2437" w:type="dxa"/>
            <w:vAlign w:val="bottom"/>
          </w:tcPr>
          <w:p w14:paraId="43125AA3" w14:textId="7129A2ED" w:rsidR="00D1565B" w:rsidRPr="0031447D" w:rsidRDefault="00D1565B" w:rsidP="00D1565B">
            <w:pPr>
              <w:pStyle w:val="a3"/>
              <w:tabs>
                <w:tab w:val="left" w:pos="227"/>
                <w:tab w:val="left" w:pos="397"/>
                <w:tab w:val="left" w:pos="567"/>
              </w:tabs>
              <w:spacing w:line="180" w:lineRule="exact"/>
              <w:rPr>
                <w:sz w:val="18"/>
                <w:szCs w:val="18"/>
                <w:rtl/>
              </w:rPr>
            </w:pPr>
            <w:r>
              <w:rPr>
                <w:rFonts w:hint="cs"/>
                <w:sz w:val="18"/>
                <w:szCs w:val="18"/>
                <w:rtl/>
              </w:rPr>
              <w:t>הכנסות ממכירות ציוד כיבוי לעסקים קטנים</w:t>
            </w:r>
          </w:p>
        </w:tc>
        <w:tc>
          <w:tcPr>
            <w:tcW w:w="86" w:type="dxa"/>
          </w:tcPr>
          <w:p w14:paraId="322BF097"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5AB98E5F" w14:textId="77777777" w:rsidR="00D1565B" w:rsidRPr="0031447D" w:rsidRDefault="00D1565B" w:rsidP="00D1565B">
            <w:pPr>
              <w:tabs>
                <w:tab w:val="decimal" w:pos="113"/>
              </w:tabs>
              <w:spacing w:line="180" w:lineRule="exact"/>
              <w:ind w:left="57"/>
              <w:rPr>
                <w:sz w:val="18"/>
                <w:szCs w:val="18"/>
              </w:rPr>
            </w:pPr>
          </w:p>
        </w:tc>
        <w:tc>
          <w:tcPr>
            <w:tcW w:w="140" w:type="dxa"/>
          </w:tcPr>
          <w:p w14:paraId="1B97B139"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2576A1F7" w14:textId="77777777" w:rsidR="00D1565B" w:rsidRPr="0031447D" w:rsidRDefault="00D1565B" w:rsidP="00D1565B">
            <w:pPr>
              <w:tabs>
                <w:tab w:val="decimal" w:pos="113"/>
              </w:tabs>
              <w:spacing w:line="180" w:lineRule="exact"/>
              <w:ind w:left="57"/>
              <w:rPr>
                <w:sz w:val="18"/>
                <w:szCs w:val="18"/>
              </w:rPr>
            </w:pPr>
          </w:p>
        </w:tc>
        <w:tc>
          <w:tcPr>
            <w:tcW w:w="113" w:type="dxa"/>
          </w:tcPr>
          <w:p w14:paraId="5330346E"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7B584689" w14:textId="77777777" w:rsidR="00D1565B" w:rsidRPr="0031447D" w:rsidRDefault="00D1565B" w:rsidP="00D1565B">
            <w:pPr>
              <w:tabs>
                <w:tab w:val="decimal" w:pos="113"/>
              </w:tabs>
              <w:spacing w:line="180" w:lineRule="exact"/>
              <w:ind w:left="57"/>
              <w:rPr>
                <w:sz w:val="18"/>
                <w:szCs w:val="18"/>
              </w:rPr>
            </w:pPr>
          </w:p>
        </w:tc>
        <w:tc>
          <w:tcPr>
            <w:tcW w:w="140" w:type="dxa"/>
          </w:tcPr>
          <w:p w14:paraId="0496E92A"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2C7B993F" w14:textId="77777777" w:rsidR="00D1565B" w:rsidRPr="0031447D" w:rsidRDefault="00D1565B" w:rsidP="00D1565B">
            <w:pPr>
              <w:tabs>
                <w:tab w:val="decimal" w:pos="113"/>
              </w:tabs>
              <w:spacing w:line="180" w:lineRule="exact"/>
              <w:ind w:left="57"/>
              <w:rPr>
                <w:sz w:val="18"/>
                <w:szCs w:val="18"/>
              </w:rPr>
            </w:pPr>
          </w:p>
        </w:tc>
        <w:tc>
          <w:tcPr>
            <w:tcW w:w="140" w:type="dxa"/>
          </w:tcPr>
          <w:p w14:paraId="1CB2C714"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118BFECB" w14:textId="77777777" w:rsidR="00D1565B" w:rsidRPr="0031447D" w:rsidRDefault="00D1565B" w:rsidP="00D1565B">
            <w:pPr>
              <w:tabs>
                <w:tab w:val="decimal" w:pos="113"/>
              </w:tabs>
              <w:spacing w:line="180" w:lineRule="exact"/>
              <w:ind w:left="57"/>
              <w:rPr>
                <w:sz w:val="18"/>
                <w:szCs w:val="18"/>
              </w:rPr>
            </w:pPr>
          </w:p>
        </w:tc>
        <w:tc>
          <w:tcPr>
            <w:tcW w:w="94" w:type="dxa"/>
          </w:tcPr>
          <w:p w14:paraId="42BA71E3"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5AFD787" w14:textId="77777777" w:rsidR="00D1565B" w:rsidRPr="0031447D" w:rsidRDefault="00D1565B" w:rsidP="00D1565B">
            <w:pPr>
              <w:tabs>
                <w:tab w:val="decimal" w:pos="113"/>
              </w:tabs>
              <w:spacing w:line="180" w:lineRule="exact"/>
              <w:ind w:left="57"/>
              <w:rPr>
                <w:sz w:val="18"/>
                <w:szCs w:val="18"/>
              </w:rPr>
            </w:pPr>
          </w:p>
        </w:tc>
      </w:tr>
      <w:tr w:rsidR="00D1565B" w:rsidRPr="0031447D" w14:paraId="01F2DBF3" w14:textId="77777777" w:rsidTr="0031447D">
        <w:tc>
          <w:tcPr>
            <w:tcW w:w="2437" w:type="dxa"/>
            <w:vAlign w:val="bottom"/>
          </w:tcPr>
          <w:p w14:paraId="0A41AFFC" w14:textId="6E578D76" w:rsidR="00D1565B" w:rsidRPr="0031447D" w:rsidRDefault="00D1565B" w:rsidP="00D1565B">
            <w:pPr>
              <w:pStyle w:val="a3"/>
              <w:tabs>
                <w:tab w:val="left" w:pos="227"/>
                <w:tab w:val="left" w:pos="397"/>
                <w:tab w:val="left" w:pos="567"/>
              </w:tabs>
              <w:spacing w:line="180" w:lineRule="exact"/>
              <w:rPr>
                <w:sz w:val="18"/>
                <w:szCs w:val="18"/>
                <w:rtl/>
              </w:rPr>
            </w:pPr>
            <w:r>
              <w:rPr>
                <w:rFonts w:hint="cs"/>
                <w:sz w:val="18"/>
                <w:szCs w:val="18"/>
                <w:rtl/>
              </w:rPr>
              <w:t>הכנסות מביצוע התקנת ציוד כיבוי</w:t>
            </w:r>
          </w:p>
        </w:tc>
        <w:tc>
          <w:tcPr>
            <w:tcW w:w="86" w:type="dxa"/>
          </w:tcPr>
          <w:p w14:paraId="15090E99"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1781B1F7" w14:textId="77777777" w:rsidR="00D1565B" w:rsidRPr="0031447D" w:rsidRDefault="00D1565B" w:rsidP="00D1565B">
            <w:pPr>
              <w:tabs>
                <w:tab w:val="decimal" w:pos="113"/>
              </w:tabs>
              <w:spacing w:line="180" w:lineRule="exact"/>
              <w:ind w:left="57"/>
              <w:rPr>
                <w:sz w:val="18"/>
                <w:szCs w:val="18"/>
              </w:rPr>
            </w:pPr>
          </w:p>
        </w:tc>
        <w:tc>
          <w:tcPr>
            <w:tcW w:w="140" w:type="dxa"/>
          </w:tcPr>
          <w:p w14:paraId="659514EA"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23503A17" w14:textId="77777777" w:rsidR="00D1565B" w:rsidRPr="0031447D" w:rsidRDefault="00D1565B" w:rsidP="00D1565B">
            <w:pPr>
              <w:tabs>
                <w:tab w:val="decimal" w:pos="113"/>
              </w:tabs>
              <w:spacing w:line="180" w:lineRule="exact"/>
              <w:ind w:left="57"/>
              <w:rPr>
                <w:sz w:val="18"/>
                <w:szCs w:val="18"/>
              </w:rPr>
            </w:pPr>
          </w:p>
        </w:tc>
        <w:tc>
          <w:tcPr>
            <w:tcW w:w="113" w:type="dxa"/>
          </w:tcPr>
          <w:p w14:paraId="57D1391B"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108895DB" w14:textId="77777777" w:rsidR="00D1565B" w:rsidRPr="0031447D" w:rsidRDefault="00D1565B" w:rsidP="00D1565B">
            <w:pPr>
              <w:tabs>
                <w:tab w:val="decimal" w:pos="113"/>
              </w:tabs>
              <w:spacing w:line="180" w:lineRule="exact"/>
              <w:ind w:left="57"/>
              <w:rPr>
                <w:sz w:val="18"/>
                <w:szCs w:val="18"/>
              </w:rPr>
            </w:pPr>
          </w:p>
        </w:tc>
        <w:tc>
          <w:tcPr>
            <w:tcW w:w="140" w:type="dxa"/>
          </w:tcPr>
          <w:p w14:paraId="62E9AC40"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39820E35" w14:textId="77777777" w:rsidR="00D1565B" w:rsidRPr="0031447D" w:rsidRDefault="00D1565B" w:rsidP="00D1565B">
            <w:pPr>
              <w:tabs>
                <w:tab w:val="decimal" w:pos="113"/>
              </w:tabs>
              <w:spacing w:line="180" w:lineRule="exact"/>
              <w:ind w:left="57"/>
              <w:rPr>
                <w:sz w:val="18"/>
                <w:szCs w:val="18"/>
              </w:rPr>
            </w:pPr>
          </w:p>
        </w:tc>
        <w:tc>
          <w:tcPr>
            <w:tcW w:w="140" w:type="dxa"/>
          </w:tcPr>
          <w:p w14:paraId="4D67E3DD"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259D829C" w14:textId="77777777" w:rsidR="00D1565B" w:rsidRPr="0031447D" w:rsidRDefault="00D1565B" w:rsidP="00D1565B">
            <w:pPr>
              <w:tabs>
                <w:tab w:val="decimal" w:pos="113"/>
              </w:tabs>
              <w:spacing w:line="180" w:lineRule="exact"/>
              <w:ind w:left="57"/>
              <w:rPr>
                <w:sz w:val="18"/>
                <w:szCs w:val="18"/>
              </w:rPr>
            </w:pPr>
          </w:p>
        </w:tc>
        <w:tc>
          <w:tcPr>
            <w:tcW w:w="94" w:type="dxa"/>
          </w:tcPr>
          <w:p w14:paraId="26A84EAD"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21DEF893" w14:textId="77777777" w:rsidR="00D1565B" w:rsidRPr="0031447D" w:rsidRDefault="00D1565B" w:rsidP="00D1565B">
            <w:pPr>
              <w:tabs>
                <w:tab w:val="decimal" w:pos="113"/>
              </w:tabs>
              <w:spacing w:line="180" w:lineRule="exact"/>
              <w:ind w:left="57"/>
              <w:rPr>
                <w:sz w:val="18"/>
                <w:szCs w:val="18"/>
              </w:rPr>
            </w:pPr>
          </w:p>
        </w:tc>
      </w:tr>
      <w:tr w:rsidR="00D1565B" w:rsidRPr="0031447D" w14:paraId="7E044D55" w14:textId="77777777" w:rsidTr="0031447D">
        <w:tc>
          <w:tcPr>
            <w:tcW w:w="2437" w:type="dxa"/>
            <w:vAlign w:val="bottom"/>
          </w:tcPr>
          <w:p w14:paraId="517DCF09" w14:textId="2ED847E7" w:rsidR="00D1565B" w:rsidRPr="00D1565B" w:rsidRDefault="00D1565B" w:rsidP="00D1565B">
            <w:pPr>
              <w:pStyle w:val="a3"/>
              <w:tabs>
                <w:tab w:val="left" w:pos="227"/>
                <w:tab w:val="left" w:pos="397"/>
                <w:tab w:val="left" w:pos="567"/>
              </w:tabs>
              <w:spacing w:line="180" w:lineRule="exact"/>
              <w:rPr>
                <w:sz w:val="18"/>
                <w:szCs w:val="18"/>
                <w:rtl/>
              </w:rPr>
            </w:pPr>
            <w:r>
              <w:rPr>
                <w:rFonts w:hint="cs"/>
                <w:sz w:val="18"/>
                <w:szCs w:val="18"/>
                <w:rtl/>
              </w:rPr>
              <w:t>הכנסות מביצוע עבודות אלקטרוניקה</w:t>
            </w:r>
          </w:p>
        </w:tc>
        <w:tc>
          <w:tcPr>
            <w:tcW w:w="86" w:type="dxa"/>
          </w:tcPr>
          <w:p w14:paraId="627C6163"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58B0F9FD" w14:textId="77777777" w:rsidR="00D1565B" w:rsidRPr="0031447D" w:rsidRDefault="00D1565B" w:rsidP="00D1565B">
            <w:pPr>
              <w:tabs>
                <w:tab w:val="decimal" w:pos="113"/>
              </w:tabs>
              <w:spacing w:line="180" w:lineRule="exact"/>
              <w:ind w:left="57"/>
              <w:rPr>
                <w:sz w:val="18"/>
                <w:szCs w:val="18"/>
              </w:rPr>
            </w:pPr>
          </w:p>
        </w:tc>
        <w:tc>
          <w:tcPr>
            <w:tcW w:w="140" w:type="dxa"/>
          </w:tcPr>
          <w:p w14:paraId="187355C0"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1BAD5D60" w14:textId="77777777" w:rsidR="00D1565B" w:rsidRPr="0031447D" w:rsidRDefault="00D1565B" w:rsidP="00D1565B">
            <w:pPr>
              <w:tabs>
                <w:tab w:val="decimal" w:pos="113"/>
              </w:tabs>
              <w:spacing w:line="180" w:lineRule="exact"/>
              <w:ind w:left="57"/>
              <w:rPr>
                <w:sz w:val="18"/>
                <w:szCs w:val="18"/>
              </w:rPr>
            </w:pPr>
          </w:p>
        </w:tc>
        <w:tc>
          <w:tcPr>
            <w:tcW w:w="113" w:type="dxa"/>
          </w:tcPr>
          <w:p w14:paraId="64E3EF4F"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176095D3" w14:textId="77777777" w:rsidR="00D1565B" w:rsidRPr="0031447D" w:rsidRDefault="00D1565B" w:rsidP="00D1565B">
            <w:pPr>
              <w:tabs>
                <w:tab w:val="decimal" w:pos="113"/>
              </w:tabs>
              <w:spacing w:line="180" w:lineRule="exact"/>
              <w:ind w:left="57"/>
              <w:rPr>
                <w:sz w:val="18"/>
                <w:szCs w:val="18"/>
              </w:rPr>
            </w:pPr>
          </w:p>
        </w:tc>
        <w:tc>
          <w:tcPr>
            <w:tcW w:w="140" w:type="dxa"/>
          </w:tcPr>
          <w:p w14:paraId="6F60773F"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62CBA38C" w14:textId="77777777" w:rsidR="00D1565B" w:rsidRPr="0031447D" w:rsidRDefault="00D1565B" w:rsidP="00D1565B">
            <w:pPr>
              <w:tabs>
                <w:tab w:val="decimal" w:pos="113"/>
              </w:tabs>
              <w:spacing w:line="180" w:lineRule="exact"/>
              <w:ind w:left="57"/>
              <w:rPr>
                <w:sz w:val="18"/>
                <w:szCs w:val="18"/>
              </w:rPr>
            </w:pPr>
          </w:p>
        </w:tc>
        <w:tc>
          <w:tcPr>
            <w:tcW w:w="140" w:type="dxa"/>
          </w:tcPr>
          <w:p w14:paraId="394E0ED9"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029C5E46" w14:textId="77777777" w:rsidR="00D1565B" w:rsidRPr="0031447D" w:rsidRDefault="00D1565B" w:rsidP="00D1565B">
            <w:pPr>
              <w:tabs>
                <w:tab w:val="decimal" w:pos="113"/>
              </w:tabs>
              <w:spacing w:line="180" w:lineRule="exact"/>
              <w:ind w:left="57"/>
              <w:rPr>
                <w:sz w:val="18"/>
                <w:szCs w:val="18"/>
              </w:rPr>
            </w:pPr>
          </w:p>
        </w:tc>
        <w:tc>
          <w:tcPr>
            <w:tcW w:w="94" w:type="dxa"/>
          </w:tcPr>
          <w:p w14:paraId="43D942D3"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0E5769E" w14:textId="77777777" w:rsidR="00D1565B" w:rsidRPr="0031447D" w:rsidRDefault="00D1565B" w:rsidP="00D1565B">
            <w:pPr>
              <w:tabs>
                <w:tab w:val="decimal" w:pos="113"/>
              </w:tabs>
              <w:spacing w:line="180" w:lineRule="exact"/>
              <w:ind w:left="57"/>
              <w:rPr>
                <w:sz w:val="18"/>
                <w:szCs w:val="18"/>
              </w:rPr>
            </w:pPr>
          </w:p>
        </w:tc>
      </w:tr>
      <w:tr w:rsidR="00D1565B" w:rsidRPr="0031447D" w14:paraId="01F8DDCB" w14:textId="77777777" w:rsidTr="0031447D">
        <w:tc>
          <w:tcPr>
            <w:tcW w:w="2437" w:type="dxa"/>
            <w:vAlign w:val="bottom"/>
          </w:tcPr>
          <w:p w14:paraId="0617B018" w14:textId="1387FEFA" w:rsidR="00D1565B" w:rsidRPr="00D1565B" w:rsidRDefault="004A7360" w:rsidP="00D1565B">
            <w:pPr>
              <w:pStyle w:val="a3"/>
              <w:tabs>
                <w:tab w:val="left" w:pos="227"/>
                <w:tab w:val="left" w:pos="397"/>
                <w:tab w:val="left" w:pos="567"/>
              </w:tabs>
              <w:spacing w:line="180" w:lineRule="exact"/>
              <w:rPr>
                <w:sz w:val="18"/>
                <w:szCs w:val="18"/>
                <w:rtl/>
              </w:rPr>
            </w:pPr>
            <w:r>
              <w:rPr>
                <w:rFonts w:hint="cs"/>
                <w:sz w:val="18"/>
                <w:szCs w:val="18"/>
                <w:rtl/>
              </w:rPr>
              <w:t>ה</w:t>
            </w:r>
            <w:r w:rsidR="00B0420D">
              <w:rPr>
                <w:rFonts w:hint="cs"/>
                <w:sz w:val="18"/>
                <w:szCs w:val="18"/>
                <w:rtl/>
              </w:rPr>
              <w:t>כנסות ממכירת מוצרי אלקטרוניקה</w:t>
            </w:r>
          </w:p>
        </w:tc>
        <w:tc>
          <w:tcPr>
            <w:tcW w:w="86" w:type="dxa"/>
          </w:tcPr>
          <w:p w14:paraId="55CB2B42"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6E477910" w14:textId="77777777" w:rsidR="00D1565B" w:rsidRPr="0031447D" w:rsidRDefault="00D1565B" w:rsidP="00D1565B">
            <w:pPr>
              <w:tabs>
                <w:tab w:val="decimal" w:pos="113"/>
              </w:tabs>
              <w:spacing w:line="180" w:lineRule="exact"/>
              <w:ind w:left="57"/>
              <w:rPr>
                <w:sz w:val="18"/>
                <w:szCs w:val="18"/>
              </w:rPr>
            </w:pPr>
          </w:p>
        </w:tc>
        <w:tc>
          <w:tcPr>
            <w:tcW w:w="140" w:type="dxa"/>
          </w:tcPr>
          <w:p w14:paraId="46FC3ED7"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5603AAD3" w14:textId="77777777" w:rsidR="00D1565B" w:rsidRPr="0031447D" w:rsidRDefault="00D1565B" w:rsidP="00D1565B">
            <w:pPr>
              <w:tabs>
                <w:tab w:val="decimal" w:pos="113"/>
              </w:tabs>
              <w:spacing w:line="180" w:lineRule="exact"/>
              <w:ind w:left="57"/>
              <w:rPr>
                <w:sz w:val="18"/>
                <w:szCs w:val="18"/>
              </w:rPr>
            </w:pPr>
          </w:p>
        </w:tc>
        <w:tc>
          <w:tcPr>
            <w:tcW w:w="113" w:type="dxa"/>
          </w:tcPr>
          <w:p w14:paraId="65BD4FFE"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2AB2C055" w14:textId="77777777" w:rsidR="00D1565B" w:rsidRPr="0031447D" w:rsidRDefault="00D1565B" w:rsidP="00D1565B">
            <w:pPr>
              <w:tabs>
                <w:tab w:val="decimal" w:pos="113"/>
              </w:tabs>
              <w:spacing w:line="180" w:lineRule="exact"/>
              <w:ind w:left="57"/>
              <w:rPr>
                <w:sz w:val="18"/>
                <w:szCs w:val="18"/>
              </w:rPr>
            </w:pPr>
          </w:p>
        </w:tc>
        <w:tc>
          <w:tcPr>
            <w:tcW w:w="140" w:type="dxa"/>
          </w:tcPr>
          <w:p w14:paraId="2689366D"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78F9BA40" w14:textId="77777777" w:rsidR="00D1565B" w:rsidRPr="0031447D" w:rsidRDefault="00D1565B" w:rsidP="00D1565B">
            <w:pPr>
              <w:tabs>
                <w:tab w:val="decimal" w:pos="113"/>
              </w:tabs>
              <w:spacing w:line="180" w:lineRule="exact"/>
              <w:ind w:left="57"/>
              <w:rPr>
                <w:sz w:val="18"/>
                <w:szCs w:val="18"/>
              </w:rPr>
            </w:pPr>
          </w:p>
        </w:tc>
        <w:tc>
          <w:tcPr>
            <w:tcW w:w="140" w:type="dxa"/>
          </w:tcPr>
          <w:p w14:paraId="1F6B3478"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6EC8A5F3" w14:textId="77777777" w:rsidR="00D1565B" w:rsidRPr="0031447D" w:rsidRDefault="00D1565B" w:rsidP="00D1565B">
            <w:pPr>
              <w:tabs>
                <w:tab w:val="decimal" w:pos="113"/>
              </w:tabs>
              <w:spacing w:line="180" w:lineRule="exact"/>
              <w:ind w:left="57"/>
              <w:rPr>
                <w:sz w:val="18"/>
                <w:szCs w:val="18"/>
              </w:rPr>
            </w:pPr>
          </w:p>
        </w:tc>
        <w:tc>
          <w:tcPr>
            <w:tcW w:w="94" w:type="dxa"/>
          </w:tcPr>
          <w:p w14:paraId="22934A9F"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7A28C9B" w14:textId="77777777" w:rsidR="00D1565B" w:rsidRPr="0031447D" w:rsidRDefault="00D1565B" w:rsidP="00D1565B">
            <w:pPr>
              <w:tabs>
                <w:tab w:val="decimal" w:pos="113"/>
              </w:tabs>
              <w:spacing w:line="180" w:lineRule="exact"/>
              <w:ind w:left="57"/>
              <w:rPr>
                <w:sz w:val="18"/>
                <w:szCs w:val="18"/>
              </w:rPr>
            </w:pPr>
          </w:p>
        </w:tc>
      </w:tr>
      <w:tr w:rsidR="00D1565B" w:rsidRPr="0031447D" w14:paraId="67473106" w14:textId="77777777" w:rsidTr="0031447D">
        <w:tc>
          <w:tcPr>
            <w:tcW w:w="2437" w:type="dxa"/>
            <w:vAlign w:val="bottom"/>
          </w:tcPr>
          <w:p w14:paraId="43617329" w14:textId="2B9DB382" w:rsidR="00D1565B" w:rsidRPr="00D1565B" w:rsidRDefault="00B0420D" w:rsidP="00D1565B">
            <w:pPr>
              <w:pStyle w:val="a3"/>
              <w:tabs>
                <w:tab w:val="left" w:pos="227"/>
                <w:tab w:val="left" w:pos="397"/>
                <w:tab w:val="left" w:pos="567"/>
              </w:tabs>
              <w:spacing w:line="180" w:lineRule="exact"/>
              <w:rPr>
                <w:sz w:val="18"/>
                <w:szCs w:val="18"/>
                <w:rtl/>
              </w:rPr>
            </w:pPr>
            <w:r>
              <w:rPr>
                <w:rFonts w:hint="cs"/>
                <w:sz w:val="18"/>
                <w:szCs w:val="18"/>
                <w:rtl/>
              </w:rPr>
              <w:t>הכנסות ממכירת משרדים</w:t>
            </w:r>
          </w:p>
        </w:tc>
        <w:tc>
          <w:tcPr>
            <w:tcW w:w="86" w:type="dxa"/>
          </w:tcPr>
          <w:p w14:paraId="0C8BD181"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6AF0F1AA" w14:textId="77777777" w:rsidR="00D1565B" w:rsidRPr="0031447D" w:rsidRDefault="00D1565B" w:rsidP="00D1565B">
            <w:pPr>
              <w:tabs>
                <w:tab w:val="decimal" w:pos="113"/>
              </w:tabs>
              <w:spacing w:line="180" w:lineRule="exact"/>
              <w:ind w:left="57"/>
              <w:rPr>
                <w:sz w:val="18"/>
                <w:szCs w:val="18"/>
              </w:rPr>
            </w:pPr>
          </w:p>
        </w:tc>
        <w:tc>
          <w:tcPr>
            <w:tcW w:w="140" w:type="dxa"/>
          </w:tcPr>
          <w:p w14:paraId="3874029D"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5595249D" w14:textId="77777777" w:rsidR="00D1565B" w:rsidRPr="0031447D" w:rsidRDefault="00D1565B" w:rsidP="00D1565B">
            <w:pPr>
              <w:tabs>
                <w:tab w:val="decimal" w:pos="113"/>
              </w:tabs>
              <w:spacing w:line="180" w:lineRule="exact"/>
              <w:ind w:left="57"/>
              <w:rPr>
                <w:sz w:val="18"/>
                <w:szCs w:val="18"/>
              </w:rPr>
            </w:pPr>
          </w:p>
        </w:tc>
        <w:tc>
          <w:tcPr>
            <w:tcW w:w="113" w:type="dxa"/>
          </w:tcPr>
          <w:p w14:paraId="55AA843C"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99FCC8A" w14:textId="77777777" w:rsidR="00D1565B" w:rsidRPr="0031447D" w:rsidRDefault="00D1565B" w:rsidP="00D1565B">
            <w:pPr>
              <w:tabs>
                <w:tab w:val="decimal" w:pos="113"/>
              </w:tabs>
              <w:spacing w:line="180" w:lineRule="exact"/>
              <w:ind w:left="57"/>
              <w:rPr>
                <w:sz w:val="18"/>
                <w:szCs w:val="18"/>
              </w:rPr>
            </w:pPr>
          </w:p>
        </w:tc>
        <w:tc>
          <w:tcPr>
            <w:tcW w:w="140" w:type="dxa"/>
          </w:tcPr>
          <w:p w14:paraId="52767C55"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268CBD8B" w14:textId="77777777" w:rsidR="00D1565B" w:rsidRPr="0031447D" w:rsidRDefault="00D1565B" w:rsidP="00D1565B">
            <w:pPr>
              <w:tabs>
                <w:tab w:val="decimal" w:pos="113"/>
              </w:tabs>
              <w:spacing w:line="180" w:lineRule="exact"/>
              <w:ind w:left="57"/>
              <w:rPr>
                <w:sz w:val="18"/>
                <w:szCs w:val="18"/>
              </w:rPr>
            </w:pPr>
          </w:p>
        </w:tc>
        <w:tc>
          <w:tcPr>
            <w:tcW w:w="140" w:type="dxa"/>
          </w:tcPr>
          <w:p w14:paraId="00505039"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24223C34" w14:textId="77777777" w:rsidR="00D1565B" w:rsidRPr="0031447D" w:rsidRDefault="00D1565B" w:rsidP="00D1565B">
            <w:pPr>
              <w:tabs>
                <w:tab w:val="decimal" w:pos="113"/>
              </w:tabs>
              <w:spacing w:line="180" w:lineRule="exact"/>
              <w:ind w:left="57"/>
              <w:rPr>
                <w:sz w:val="18"/>
                <w:szCs w:val="18"/>
              </w:rPr>
            </w:pPr>
          </w:p>
        </w:tc>
        <w:tc>
          <w:tcPr>
            <w:tcW w:w="94" w:type="dxa"/>
          </w:tcPr>
          <w:p w14:paraId="506C51C9"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668A6B67" w14:textId="77777777" w:rsidR="00D1565B" w:rsidRPr="0031447D" w:rsidRDefault="00D1565B" w:rsidP="00D1565B">
            <w:pPr>
              <w:tabs>
                <w:tab w:val="decimal" w:pos="113"/>
              </w:tabs>
              <w:spacing w:line="180" w:lineRule="exact"/>
              <w:ind w:left="57"/>
              <w:rPr>
                <w:sz w:val="18"/>
                <w:szCs w:val="18"/>
              </w:rPr>
            </w:pPr>
          </w:p>
        </w:tc>
      </w:tr>
      <w:tr w:rsidR="00D1565B" w:rsidRPr="0031447D" w14:paraId="092950DD" w14:textId="77777777" w:rsidTr="0031447D">
        <w:tc>
          <w:tcPr>
            <w:tcW w:w="2437" w:type="dxa"/>
            <w:vAlign w:val="bottom"/>
          </w:tcPr>
          <w:p w14:paraId="5CECA3C3" w14:textId="7A4556C7" w:rsidR="00D1565B" w:rsidRPr="00D1565B" w:rsidRDefault="00B0420D" w:rsidP="00D1565B">
            <w:pPr>
              <w:pStyle w:val="a3"/>
              <w:tabs>
                <w:tab w:val="left" w:pos="227"/>
                <w:tab w:val="left" w:pos="397"/>
                <w:tab w:val="left" w:pos="567"/>
              </w:tabs>
              <w:spacing w:line="180" w:lineRule="exact"/>
              <w:rPr>
                <w:sz w:val="18"/>
                <w:szCs w:val="18"/>
                <w:rtl/>
              </w:rPr>
            </w:pPr>
            <w:r>
              <w:rPr>
                <w:rFonts w:hint="cs"/>
                <w:sz w:val="18"/>
                <w:szCs w:val="18"/>
                <w:rtl/>
              </w:rPr>
              <w:t>הכנסות ממכירת דירות למגורים</w:t>
            </w:r>
          </w:p>
        </w:tc>
        <w:tc>
          <w:tcPr>
            <w:tcW w:w="86" w:type="dxa"/>
          </w:tcPr>
          <w:p w14:paraId="7D53494E"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7F302187" w14:textId="77777777" w:rsidR="00D1565B" w:rsidRPr="0031447D" w:rsidRDefault="00D1565B" w:rsidP="00D1565B">
            <w:pPr>
              <w:tabs>
                <w:tab w:val="decimal" w:pos="113"/>
              </w:tabs>
              <w:spacing w:line="180" w:lineRule="exact"/>
              <w:ind w:left="57"/>
              <w:rPr>
                <w:sz w:val="18"/>
                <w:szCs w:val="18"/>
              </w:rPr>
            </w:pPr>
          </w:p>
        </w:tc>
        <w:tc>
          <w:tcPr>
            <w:tcW w:w="140" w:type="dxa"/>
          </w:tcPr>
          <w:p w14:paraId="74834355"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6ABB077E" w14:textId="77777777" w:rsidR="00D1565B" w:rsidRPr="0031447D" w:rsidRDefault="00D1565B" w:rsidP="00D1565B">
            <w:pPr>
              <w:tabs>
                <w:tab w:val="decimal" w:pos="113"/>
              </w:tabs>
              <w:spacing w:line="180" w:lineRule="exact"/>
              <w:ind w:left="57"/>
              <w:rPr>
                <w:sz w:val="18"/>
                <w:szCs w:val="18"/>
              </w:rPr>
            </w:pPr>
          </w:p>
        </w:tc>
        <w:tc>
          <w:tcPr>
            <w:tcW w:w="113" w:type="dxa"/>
          </w:tcPr>
          <w:p w14:paraId="241B511B"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4703349A" w14:textId="77777777" w:rsidR="00D1565B" w:rsidRPr="0031447D" w:rsidRDefault="00D1565B" w:rsidP="00D1565B">
            <w:pPr>
              <w:tabs>
                <w:tab w:val="decimal" w:pos="113"/>
              </w:tabs>
              <w:spacing w:line="180" w:lineRule="exact"/>
              <w:ind w:left="57"/>
              <w:rPr>
                <w:sz w:val="18"/>
                <w:szCs w:val="18"/>
              </w:rPr>
            </w:pPr>
          </w:p>
        </w:tc>
        <w:tc>
          <w:tcPr>
            <w:tcW w:w="140" w:type="dxa"/>
          </w:tcPr>
          <w:p w14:paraId="6105CFD6"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3703210E" w14:textId="77777777" w:rsidR="00D1565B" w:rsidRPr="0031447D" w:rsidRDefault="00D1565B" w:rsidP="00D1565B">
            <w:pPr>
              <w:tabs>
                <w:tab w:val="decimal" w:pos="113"/>
              </w:tabs>
              <w:spacing w:line="180" w:lineRule="exact"/>
              <w:ind w:left="57"/>
              <w:rPr>
                <w:sz w:val="18"/>
                <w:szCs w:val="18"/>
              </w:rPr>
            </w:pPr>
          </w:p>
        </w:tc>
        <w:tc>
          <w:tcPr>
            <w:tcW w:w="140" w:type="dxa"/>
          </w:tcPr>
          <w:p w14:paraId="0E17E789"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461A3741" w14:textId="77777777" w:rsidR="00D1565B" w:rsidRPr="0031447D" w:rsidRDefault="00D1565B" w:rsidP="00D1565B">
            <w:pPr>
              <w:tabs>
                <w:tab w:val="decimal" w:pos="113"/>
              </w:tabs>
              <w:spacing w:line="180" w:lineRule="exact"/>
              <w:ind w:left="57"/>
              <w:rPr>
                <w:sz w:val="18"/>
                <w:szCs w:val="18"/>
              </w:rPr>
            </w:pPr>
          </w:p>
        </w:tc>
        <w:tc>
          <w:tcPr>
            <w:tcW w:w="94" w:type="dxa"/>
          </w:tcPr>
          <w:p w14:paraId="76C69333"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3B09FC85" w14:textId="77777777" w:rsidR="00D1565B" w:rsidRPr="0031447D" w:rsidRDefault="00D1565B" w:rsidP="00D1565B">
            <w:pPr>
              <w:tabs>
                <w:tab w:val="decimal" w:pos="113"/>
              </w:tabs>
              <w:spacing w:line="180" w:lineRule="exact"/>
              <w:ind w:left="57"/>
              <w:rPr>
                <w:sz w:val="18"/>
                <w:szCs w:val="18"/>
              </w:rPr>
            </w:pPr>
          </w:p>
        </w:tc>
      </w:tr>
      <w:tr w:rsidR="00B0420D" w:rsidRPr="0031447D" w14:paraId="05E27D99" w14:textId="77777777" w:rsidTr="00B0420D">
        <w:tc>
          <w:tcPr>
            <w:tcW w:w="2437" w:type="dxa"/>
            <w:vAlign w:val="bottom"/>
          </w:tcPr>
          <w:p w14:paraId="3346D2D9" w14:textId="77777777" w:rsidR="00B0420D" w:rsidRDefault="00B0420D" w:rsidP="00D1565B">
            <w:pPr>
              <w:pStyle w:val="a3"/>
              <w:tabs>
                <w:tab w:val="left" w:pos="227"/>
                <w:tab w:val="left" w:pos="397"/>
                <w:tab w:val="left" w:pos="567"/>
              </w:tabs>
              <w:spacing w:line="180" w:lineRule="exact"/>
              <w:rPr>
                <w:sz w:val="18"/>
                <w:szCs w:val="18"/>
                <w:rtl/>
              </w:rPr>
            </w:pPr>
          </w:p>
        </w:tc>
        <w:tc>
          <w:tcPr>
            <w:tcW w:w="86" w:type="dxa"/>
          </w:tcPr>
          <w:p w14:paraId="3F138C80" w14:textId="77777777" w:rsidR="00B0420D" w:rsidRPr="0031447D" w:rsidRDefault="00B0420D" w:rsidP="00D1565B">
            <w:pPr>
              <w:pStyle w:val="a3"/>
              <w:tabs>
                <w:tab w:val="left" w:pos="227"/>
                <w:tab w:val="left" w:pos="397"/>
                <w:tab w:val="left" w:pos="567"/>
              </w:tabs>
              <w:spacing w:line="180" w:lineRule="exact"/>
              <w:ind w:left="227" w:hanging="397"/>
              <w:rPr>
                <w:sz w:val="18"/>
                <w:szCs w:val="18"/>
              </w:rPr>
            </w:pPr>
          </w:p>
        </w:tc>
        <w:tc>
          <w:tcPr>
            <w:tcW w:w="804" w:type="dxa"/>
            <w:tcBorders>
              <w:bottom w:val="single" w:sz="4" w:space="0" w:color="auto"/>
            </w:tcBorders>
            <w:vAlign w:val="bottom"/>
          </w:tcPr>
          <w:p w14:paraId="6C01D0C8" w14:textId="77777777" w:rsidR="00B0420D" w:rsidRPr="0031447D" w:rsidRDefault="00B0420D" w:rsidP="00D1565B">
            <w:pPr>
              <w:tabs>
                <w:tab w:val="decimal" w:pos="113"/>
              </w:tabs>
              <w:spacing w:line="180" w:lineRule="exact"/>
              <w:ind w:left="57"/>
              <w:rPr>
                <w:sz w:val="18"/>
                <w:szCs w:val="18"/>
              </w:rPr>
            </w:pPr>
          </w:p>
        </w:tc>
        <w:tc>
          <w:tcPr>
            <w:tcW w:w="140" w:type="dxa"/>
          </w:tcPr>
          <w:p w14:paraId="1CB37109" w14:textId="77777777" w:rsidR="00B0420D" w:rsidRPr="0031447D" w:rsidRDefault="00B0420D" w:rsidP="00D1565B">
            <w:pPr>
              <w:tabs>
                <w:tab w:val="decimal" w:pos="113"/>
              </w:tabs>
              <w:spacing w:line="180" w:lineRule="exact"/>
              <w:ind w:left="57"/>
              <w:rPr>
                <w:sz w:val="18"/>
                <w:szCs w:val="18"/>
              </w:rPr>
            </w:pPr>
          </w:p>
        </w:tc>
        <w:tc>
          <w:tcPr>
            <w:tcW w:w="930" w:type="dxa"/>
            <w:tcBorders>
              <w:bottom w:val="single" w:sz="4" w:space="0" w:color="auto"/>
            </w:tcBorders>
            <w:vAlign w:val="bottom"/>
          </w:tcPr>
          <w:p w14:paraId="2B041ACC" w14:textId="77777777" w:rsidR="00B0420D" w:rsidRPr="0031447D" w:rsidRDefault="00B0420D" w:rsidP="00D1565B">
            <w:pPr>
              <w:tabs>
                <w:tab w:val="decimal" w:pos="113"/>
              </w:tabs>
              <w:spacing w:line="180" w:lineRule="exact"/>
              <w:ind w:left="57"/>
              <w:rPr>
                <w:sz w:val="18"/>
                <w:szCs w:val="18"/>
              </w:rPr>
            </w:pPr>
          </w:p>
        </w:tc>
        <w:tc>
          <w:tcPr>
            <w:tcW w:w="113" w:type="dxa"/>
          </w:tcPr>
          <w:p w14:paraId="5784C43F" w14:textId="77777777" w:rsidR="00B0420D" w:rsidRPr="0031447D" w:rsidRDefault="00B0420D" w:rsidP="00D1565B">
            <w:pPr>
              <w:tabs>
                <w:tab w:val="decimal" w:pos="113"/>
              </w:tabs>
              <w:spacing w:line="180" w:lineRule="exact"/>
              <w:ind w:left="57"/>
              <w:rPr>
                <w:sz w:val="18"/>
                <w:szCs w:val="18"/>
              </w:rPr>
            </w:pPr>
          </w:p>
        </w:tc>
        <w:tc>
          <w:tcPr>
            <w:tcW w:w="804" w:type="dxa"/>
            <w:tcBorders>
              <w:bottom w:val="single" w:sz="4" w:space="0" w:color="auto"/>
            </w:tcBorders>
            <w:vAlign w:val="bottom"/>
          </w:tcPr>
          <w:p w14:paraId="1B69914F" w14:textId="77777777" w:rsidR="00B0420D" w:rsidRPr="0031447D" w:rsidRDefault="00B0420D" w:rsidP="00D1565B">
            <w:pPr>
              <w:tabs>
                <w:tab w:val="decimal" w:pos="113"/>
              </w:tabs>
              <w:spacing w:line="180" w:lineRule="exact"/>
              <w:ind w:left="57"/>
              <w:rPr>
                <w:sz w:val="18"/>
                <w:szCs w:val="18"/>
              </w:rPr>
            </w:pPr>
          </w:p>
        </w:tc>
        <w:tc>
          <w:tcPr>
            <w:tcW w:w="140" w:type="dxa"/>
          </w:tcPr>
          <w:p w14:paraId="3BF8572B" w14:textId="77777777" w:rsidR="00B0420D" w:rsidRPr="0031447D" w:rsidRDefault="00B0420D" w:rsidP="00D1565B">
            <w:pPr>
              <w:tabs>
                <w:tab w:val="decimal" w:pos="113"/>
              </w:tabs>
              <w:spacing w:line="180" w:lineRule="exact"/>
              <w:ind w:left="57"/>
              <w:rPr>
                <w:sz w:val="18"/>
                <w:szCs w:val="18"/>
              </w:rPr>
            </w:pPr>
          </w:p>
        </w:tc>
        <w:tc>
          <w:tcPr>
            <w:tcW w:w="804" w:type="dxa"/>
            <w:tcBorders>
              <w:bottom w:val="single" w:sz="4" w:space="0" w:color="auto"/>
            </w:tcBorders>
            <w:vAlign w:val="bottom"/>
          </w:tcPr>
          <w:p w14:paraId="4134F3CC" w14:textId="77777777" w:rsidR="00B0420D" w:rsidRPr="0031447D" w:rsidRDefault="00B0420D" w:rsidP="00D1565B">
            <w:pPr>
              <w:tabs>
                <w:tab w:val="decimal" w:pos="113"/>
              </w:tabs>
              <w:spacing w:line="180" w:lineRule="exact"/>
              <w:ind w:left="57"/>
              <w:rPr>
                <w:sz w:val="18"/>
                <w:szCs w:val="18"/>
              </w:rPr>
            </w:pPr>
          </w:p>
        </w:tc>
        <w:tc>
          <w:tcPr>
            <w:tcW w:w="140" w:type="dxa"/>
          </w:tcPr>
          <w:p w14:paraId="2779B785" w14:textId="77777777" w:rsidR="00B0420D" w:rsidRPr="0031447D" w:rsidRDefault="00B0420D" w:rsidP="00D1565B">
            <w:pPr>
              <w:tabs>
                <w:tab w:val="decimal" w:pos="113"/>
              </w:tabs>
              <w:spacing w:line="180" w:lineRule="exact"/>
              <w:ind w:left="57"/>
              <w:rPr>
                <w:sz w:val="18"/>
                <w:szCs w:val="18"/>
              </w:rPr>
            </w:pPr>
          </w:p>
        </w:tc>
        <w:tc>
          <w:tcPr>
            <w:tcW w:w="820" w:type="dxa"/>
            <w:tcBorders>
              <w:bottom w:val="single" w:sz="4" w:space="0" w:color="auto"/>
            </w:tcBorders>
            <w:vAlign w:val="bottom"/>
          </w:tcPr>
          <w:p w14:paraId="03823E10" w14:textId="77777777" w:rsidR="00B0420D" w:rsidRPr="0031447D" w:rsidRDefault="00B0420D" w:rsidP="00D1565B">
            <w:pPr>
              <w:tabs>
                <w:tab w:val="decimal" w:pos="113"/>
              </w:tabs>
              <w:spacing w:line="180" w:lineRule="exact"/>
              <w:ind w:left="57"/>
              <w:rPr>
                <w:sz w:val="18"/>
                <w:szCs w:val="18"/>
              </w:rPr>
            </w:pPr>
          </w:p>
        </w:tc>
        <w:tc>
          <w:tcPr>
            <w:tcW w:w="94" w:type="dxa"/>
          </w:tcPr>
          <w:p w14:paraId="3693B000" w14:textId="77777777" w:rsidR="00B0420D" w:rsidRPr="0031447D" w:rsidRDefault="00B0420D" w:rsidP="00D1565B">
            <w:pPr>
              <w:tabs>
                <w:tab w:val="decimal" w:pos="113"/>
              </w:tabs>
              <w:spacing w:line="180" w:lineRule="exact"/>
              <w:ind w:left="57"/>
              <w:rPr>
                <w:sz w:val="18"/>
                <w:szCs w:val="18"/>
              </w:rPr>
            </w:pPr>
          </w:p>
        </w:tc>
        <w:tc>
          <w:tcPr>
            <w:tcW w:w="804" w:type="dxa"/>
            <w:tcBorders>
              <w:bottom w:val="single" w:sz="4" w:space="0" w:color="auto"/>
            </w:tcBorders>
            <w:vAlign w:val="bottom"/>
          </w:tcPr>
          <w:p w14:paraId="5AD3AEB7" w14:textId="77777777" w:rsidR="00B0420D" w:rsidRPr="0031447D" w:rsidRDefault="00B0420D" w:rsidP="00D1565B">
            <w:pPr>
              <w:tabs>
                <w:tab w:val="decimal" w:pos="113"/>
              </w:tabs>
              <w:spacing w:line="180" w:lineRule="exact"/>
              <w:ind w:left="57"/>
              <w:rPr>
                <w:sz w:val="18"/>
                <w:szCs w:val="18"/>
              </w:rPr>
            </w:pPr>
          </w:p>
        </w:tc>
      </w:tr>
      <w:tr w:rsidR="00D1565B" w:rsidRPr="0031447D" w14:paraId="3612DC1A" w14:textId="77777777" w:rsidTr="00B0420D">
        <w:tc>
          <w:tcPr>
            <w:tcW w:w="2437" w:type="dxa"/>
            <w:vAlign w:val="bottom"/>
          </w:tcPr>
          <w:p w14:paraId="110FD9E6" w14:textId="51768E13" w:rsidR="00D1565B" w:rsidRPr="0031447D" w:rsidRDefault="00D1565B" w:rsidP="00D1565B">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86" w:type="dxa"/>
          </w:tcPr>
          <w:p w14:paraId="2826F518"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bottom w:val="single" w:sz="4" w:space="0" w:color="auto"/>
            </w:tcBorders>
            <w:vAlign w:val="bottom"/>
          </w:tcPr>
          <w:p w14:paraId="79955775" w14:textId="77777777" w:rsidR="00D1565B" w:rsidRPr="0031447D" w:rsidRDefault="00D1565B" w:rsidP="00D1565B">
            <w:pPr>
              <w:tabs>
                <w:tab w:val="decimal" w:pos="113"/>
              </w:tabs>
              <w:spacing w:line="180" w:lineRule="exact"/>
              <w:ind w:left="57"/>
              <w:rPr>
                <w:sz w:val="18"/>
                <w:szCs w:val="18"/>
              </w:rPr>
            </w:pPr>
          </w:p>
        </w:tc>
        <w:tc>
          <w:tcPr>
            <w:tcW w:w="140" w:type="dxa"/>
          </w:tcPr>
          <w:p w14:paraId="7149171E" w14:textId="77777777" w:rsidR="00D1565B" w:rsidRPr="0031447D" w:rsidRDefault="00D1565B" w:rsidP="00D1565B">
            <w:pPr>
              <w:tabs>
                <w:tab w:val="decimal" w:pos="113"/>
              </w:tabs>
              <w:spacing w:line="180" w:lineRule="exact"/>
              <w:ind w:left="57"/>
              <w:rPr>
                <w:sz w:val="18"/>
                <w:szCs w:val="18"/>
              </w:rPr>
            </w:pPr>
          </w:p>
        </w:tc>
        <w:tc>
          <w:tcPr>
            <w:tcW w:w="930" w:type="dxa"/>
            <w:tcBorders>
              <w:top w:val="single" w:sz="4" w:space="0" w:color="auto"/>
              <w:bottom w:val="single" w:sz="4" w:space="0" w:color="auto"/>
            </w:tcBorders>
            <w:vAlign w:val="bottom"/>
          </w:tcPr>
          <w:p w14:paraId="1C08BE3B" w14:textId="77777777" w:rsidR="00D1565B" w:rsidRPr="0031447D" w:rsidRDefault="00D1565B" w:rsidP="00D1565B">
            <w:pPr>
              <w:tabs>
                <w:tab w:val="decimal" w:pos="113"/>
              </w:tabs>
              <w:spacing w:line="180" w:lineRule="exact"/>
              <w:ind w:left="57"/>
              <w:rPr>
                <w:sz w:val="18"/>
                <w:szCs w:val="18"/>
              </w:rPr>
            </w:pPr>
          </w:p>
        </w:tc>
        <w:tc>
          <w:tcPr>
            <w:tcW w:w="113" w:type="dxa"/>
          </w:tcPr>
          <w:p w14:paraId="1676994E" w14:textId="77777777" w:rsidR="00D1565B" w:rsidRPr="0031447D" w:rsidRDefault="00D1565B" w:rsidP="00D1565B">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5EE3FDD5" w14:textId="77777777" w:rsidR="00D1565B" w:rsidRPr="0031447D" w:rsidRDefault="00D1565B" w:rsidP="00D1565B">
            <w:pPr>
              <w:tabs>
                <w:tab w:val="decimal" w:pos="113"/>
              </w:tabs>
              <w:spacing w:line="180" w:lineRule="exact"/>
              <w:ind w:left="57"/>
              <w:rPr>
                <w:sz w:val="18"/>
                <w:szCs w:val="18"/>
              </w:rPr>
            </w:pPr>
          </w:p>
        </w:tc>
        <w:tc>
          <w:tcPr>
            <w:tcW w:w="140" w:type="dxa"/>
          </w:tcPr>
          <w:p w14:paraId="6B8DAC91" w14:textId="77777777" w:rsidR="00D1565B" w:rsidRPr="0031447D" w:rsidRDefault="00D1565B" w:rsidP="00D1565B">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35222EDD" w14:textId="77777777" w:rsidR="00D1565B" w:rsidRPr="0031447D" w:rsidRDefault="00D1565B" w:rsidP="00D1565B">
            <w:pPr>
              <w:tabs>
                <w:tab w:val="decimal" w:pos="113"/>
              </w:tabs>
              <w:spacing w:line="180" w:lineRule="exact"/>
              <w:ind w:left="57"/>
              <w:rPr>
                <w:sz w:val="18"/>
                <w:szCs w:val="18"/>
              </w:rPr>
            </w:pPr>
          </w:p>
        </w:tc>
        <w:tc>
          <w:tcPr>
            <w:tcW w:w="140" w:type="dxa"/>
          </w:tcPr>
          <w:p w14:paraId="7B6C953F" w14:textId="77777777" w:rsidR="00D1565B" w:rsidRPr="0031447D" w:rsidRDefault="00D1565B" w:rsidP="00D1565B">
            <w:pPr>
              <w:tabs>
                <w:tab w:val="decimal" w:pos="113"/>
              </w:tabs>
              <w:spacing w:line="180" w:lineRule="exact"/>
              <w:ind w:left="57"/>
              <w:rPr>
                <w:sz w:val="18"/>
                <w:szCs w:val="18"/>
              </w:rPr>
            </w:pPr>
          </w:p>
        </w:tc>
        <w:tc>
          <w:tcPr>
            <w:tcW w:w="820" w:type="dxa"/>
            <w:tcBorders>
              <w:top w:val="single" w:sz="4" w:space="0" w:color="auto"/>
              <w:bottom w:val="single" w:sz="4" w:space="0" w:color="auto"/>
            </w:tcBorders>
            <w:vAlign w:val="bottom"/>
          </w:tcPr>
          <w:p w14:paraId="0FA67E3C" w14:textId="77777777" w:rsidR="00D1565B" w:rsidRPr="0031447D" w:rsidRDefault="00D1565B" w:rsidP="00D1565B">
            <w:pPr>
              <w:tabs>
                <w:tab w:val="decimal" w:pos="113"/>
              </w:tabs>
              <w:spacing w:line="180" w:lineRule="exact"/>
              <w:ind w:left="57"/>
              <w:rPr>
                <w:sz w:val="18"/>
                <w:szCs w:val="18"/>
              </w:rPr>
            </w:pPr>
          </w:p>
        </w:tc>
        <w:tc>
          <w:tcPr>
            <w:tcW w:w="94" w:type="dxa"/>
          </w:tcPr>
          <w:p w14:paraId="01459074" w14:textId="77777777" w:rsidR="00D1565B" w:rsidRPr="0031447D" w:rsidRDefault="00D1565B" w:rsidP="00D1565B">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64C35EA5" w14:textId="77777777" w:rsidR="00D1565B" w:rsidRPr="0031447D" w:rsidRDefault="00D1565B" w:rsidP="00D1565B">
            <w:pPr>
              <w:tabs>
                <w:tab w:val="decimal" w:pos="113"/>
              </w:tabs>
              <w:spacing w:line="180" w:lineRule="exact"/>
              <w:ind w:left="57"/>
              <w:rPr>
                <w:sz w:val="18"/>
                <w:szCs w:val="18"/>
              </w:rPr>
            </w:pPr>
          </w:p>
        </w:tc>
      </w:tr>
      <w:tr w:rsidR="00D1565B" w:rsidRPr="0031447D" w14:paraId="49EDB5C0" w14:textId="77777777" w:rsidTr="00B0420D">
        <w:tc>
          <w:tcPr>
            <w:tcW w:w="2437" w:type="dxa"/>
            <w:vAlign w:val="bottom"/>
          </w:tcPr>
          <w:p w14:paraId="6C757190" w14:textId="77777777" w:rsidR="00D1565B" w:rsidRPr="0031447D" w:rsidRDefault="00D1565B" w:rsidP="00D1565B">
            <w:pPr>
              <w:pStyle w:val="a3"/>
              <w:tabs>
                <w:tab w:val="left" w:pos="227"/>
                <w:tab w:val="left" w:pos="397"/>
                <w:tab w:val="left" w:pos="567"/>
              </w:tabs>
              <w:spacing w:line="180" w:lineRule="exact"/>
              <w:rPr>
                <w:sz w:val="18"/>
                <w:szCs w:val="18"/>
                <w:rtl/>
              </w:rPr>
            </w:pPr>
          </w:p>
        </w:tc>
        <w:tc>
          <w:tcPr>
            <w:tcW w:w="86" w:type="dxa"/>
          </w:tcPr>
          <w:p w14:paraId="70929BBE"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tcBorders>
            <w:vAlign w:val="bottom"/>
          </w:tcPr>
          <w:p w14:paraId="436DC0BC" w14:textId="77777777" w:rsidR="00D1565B" w:rsidRPr="0031447D" w:rsidRDefault="00D1565B" w:rsidP="00D1565B">
            <w:pPr>
              <w:tabs>
                <w:tab w:val="decimal" w:pos="113"/>
              </w:tabs>
              <w:spacing w:line="180" w:lineRule="exact"/>
              <w:ind w:left="57"/>
              <w:rPr>
                <w:sz w:val="18"/>
                <w:szCs w:val="18"/>
              </w:rPr>
            </w:pPr>
          </w:p>
        </w:tc>
        <w:tc>
          <w:tcPr>
            <w:tcW w:w="140" w:type="dxa"/>
          </w:tcPr>
          <w:p w14:paraId="6487B7BF" w14:textId="77777777" w:rsidR="00D1565B" w:rsidRPr="0031447D" w:rsidRDefault="00D1565B" w:rsidP="00D1565B">
            <w:pPr>
              <w:tabs>
                <w:tab w:val="decimal" w:pos="113"/>
              </w:tabs>
              <w:spacing w:line="180" w:lineRule="exact"/>
              <w:ind w:left="57"/>
              <w:rPr>
                <w:sz w:val="18"/>
                <w:szCs w:val="18"/>
              </w:rPr>
            </w:pPr>
          </w:p>
        </w:tc>
        <w:tc>
          <w:tcPr>
            <w:tcW w:w="930" w:type="dxa"/>
            <w:tcBorders>
              <w:top w:val="single" w:sz="4" w:space="0" w:color="auto"/>
            </w:tcBorders>
            <w:vAlign w:val="bottom"/>
          </w:tcPr>
          <w:p w14:paraId="45A11738" w14:textId="77777777" w:rsidR="00D1565B" w:rsidRPr="0031447D" w:rsidRDefault="00D1565B" w:rsidP="00D1565B">
            <w:pPr>
              <w:tabs>
                <w:tab w:val="decimal" w:pos="113"/>
              </w:tabs>
              <w:spacing w:line="180" w:lineRule="exact"/>
              <w:ind w:left="57"/>
              <w:rPr>
                <w:sz w:val="18"/>
                <w:szCs w:val="18"/>
              </w:rPr>
            </w:pPr>
          </w:p>
        </w:tc>
        <w:tc>
          <w:tcPr>
            <w:tcW w:w="113" w:type="dxa"/>
          </w:tcPr>
          <w:p w14:paraId="50048A59" w14:textId="77777777" w:rsidR="00D1565B" w:rsidRPr="0031447D" w:rsidRDefault="00D1565B" w:rsidP="00D1565B">
            <w:pPr>
              <w:tabs>
                <w:tab w:val="decimal" w:pos="113"/>
              </w:tabs>
              <w:spacing w:line="180" w:lineRule="exact"/>
              <w:ind w:left="57"/>
              <w:rPr>
                <w:sz w:val="18"/>
                <w:szCs w:val="18"/>
              </w:rPr>
            </w:pPr>
          </w:p>
        </w:tc>
        <w:tc>
          <w:tcPr>
            <w:tcW w:w="804" w:type="dxa"/>
            <w:tcBorders>
              <w:top w:val="single" w:sz="4" w:space="0" w:color="auto"/>
            </w:tcBorders>
            <w:vAlign w:val="bottom"/>
          </w:tcPr>
          <w:p w14:paraId="593C4B5A" w14:textId="77777777" w:rsidR="00D1565B" w:rsidRPr="0031447D" w:rsidRDefault="00D1565B" w:rsidP="00D1565B">
            <w:pPr>
              <w:tabs>
                <w:tab w:val="decimal" w:pos="113"/>
              </w:tabs>
              <w:spacing w:line="180" w:lineRule="exact"/>
              <w:ind w:left="57"/>
              <w:rPr>
                <w:sz w:val="18"/>
                <w:szCs w:val="18"/>
              </w:rPr>
            </w:pPr>
          </w:p>
        </w:tc>
        <w:tc>
          <w:tcPr>
            <w:tcW w:w="140" w:type="dxa"/>
          </w:tcPr>
          <w:p w14:paraId="79239F6C" w14:textId="77777777" w:rsidR="00D1565B" w:rsidRPr="0031447D" w:rsidRDefault="00D1565B" w:rsidP="00D1565B">
            <w:pPr>
              <w:tabs>
                <w:tab w:val="decimal" w:pos="113"/>
              </w:tabs>
              <w:spacing w:line="180" w:lineRule="exact"/>
              <w:ind w:left="57"/>
              <w:rPr>
                <w:sz w:val="18"/>
                <w:szCs w:val="18"/>
              </w:rPr>
            </w:pPr>
          </w:p>
        </w:tc>
        <w:tc>
          <w:tcPr>
            <w:tcW w:w="804" w:type="dxa"/>
            <w:tcBorders>
              <w:top w:val="single" w:sz="4" w:space="0" w:color="auto"/>
            </w:tcBorders>
            <w:vAlign w:val="bottom"/>
          </w:tcPr>
          <w:p w14:paraId="66A7E95E" w14:textId="77777777" w:rsidR="00D1565B" w:rsidRPr="0031447D" w:rsidRDefault="00D1565B" w:rsidP="00D1565B">
            <w:pPr>
              <w:tabs>
                <w:tab w:val="decimal" w:pos="113"/>
              </w:tabs>
              <w:spacing w:line="180" w:lineRule="exact"/>
              <w:ind w:left="57"/>
              <w:rPr>
                <w:sz w:val="18"/>
                <w:szCs w:val="18"/>
              </w:rPr>
            </w:pPr>
          </w:p>
        </w:tc>
        <w:tc>
          <w:tcPr>
            <w:tcW w:w="140" w:type="dxa"/>
          </w:tcPr>
          <w:p w14:paraId="52B0B428" w14:textId="77777777" w:rsidR="00D1565B" w:rsidRPr="0031447D" w:rsidRDefault="00D1565B" w:rsidP="00D1565B">
            <w:pPr>
              <w:tabs>
                <w:tab w:val="decimal" w:pos="113"/>
              </w:tabs>
              <w:spacing w:line="180" w:lineRule="exact"/>
              <w:ind w:left="57"/>
              <w:rPr>
                <w:sz w:val="18"/>
                <w:szCs w:val="18"/>
              </w:rPr>
            </w:pPr>
          </w:p>
        </w:tc>
        <w:tc>
          <w:tcPr>
            <w:tcW w:w="820" w:type="dxa"/>
            <w:tcBorders>
              <w:top w:val="single" w:sz="4" w:space="0" w:color="auto"/>
            </w:tcBorders>
            <w:vAlign w:val="bottom"/>
          </w:tcPr>
          <w:p w14:paraId="5FFC49C8" w14:textId="77777777" w:rsidR="00D1565B" w:rsidRPr="0031447D" w:rsidRDefault="00D1565B" w:rsidP="00D1565B">
            <w:pPr>
              <w:tabs>
                <w:tab w:val="decimal" w:pos="113"/>
              </w:tabs>
              <w:spacing w:line="180" w:lineRule="exact"/>
              <w:ind w:left="57"/>
              <w:rPr>
                <w:sz w:val="18"/>
                <w:szCs w:val="18"/>
              </w:rPr>
            </w:pPr>
          </w:p>
        </w:tc>
        <w:tc>
          <w:tcPr>
            <w:tcW w:w="94" w:type="dxa"/>
          </w:tcPr>
          <w:p w14:paraId="6CA76308" w14:textId="77777777" w:rsidR="00D1565B" w:rsidRPr="0031447D" w:rsidRDefault="00D1565B" w:rsidP="00D1565B">
            <w:pPr>
              <w:tabs>
                <w:tab w:val="decimal" w:pos="113"/>
              </w:tabs>
              <w:spacing w:line="180" w:lineRule="exact"/>
              <w:ind w:left="57"/>
              <w:rPr>
                <w:sz w:val="18"/>
                <w:szCs w:val="18"/>
              </w:rPr>
            </w:pPr>
          </w:p>
        </w:tc>
        <w:tc>
          <w:tcPr>
            <w:tcW w:w="804" w:type="dxa"/>
            <w:tcBorders>
              <w:top w:val="single" w:sz="4" w:space="0" w:color="auto"/>
            </w:tcBorders>
            <w:vAlign w:val="bottom"/>
          </w:tcPr>
          <w:p w14:paraId="6C8F20E4" w14:textId="77777777" w:rsidR="00D1565B" w:rsidRPr="0031447D" w:rsidRDefault="00D1565B" w:rsidP="00D1565B">
            <w:pPr>
              <w:tabs>
                <w:tab w:val="decimal" w:pos="113"/>
              </w:tabs>
              <w:spacing w:line="180" w:lineRule="exact"/>
              <w:ind w:left="57"/>
              <w:rPr>
                <w:sz w:val="18"/>
                <w:szCs w:val="18"/>
              </w:rPr>
            </w:pPr>
          </w:p>
        </w:tc>
      </w:tr>
      <w:tr w:rsidR="00D1565B" w:rsidRPr="0031447D" w14:paraId="27FB843B" w14:textId="77777777" w:rsidTr="0031447D">
        <w:tc>
          <w:tcPr>
            <w:tcW w:w="2437" w:type="dxa"/>
            <w:vAlign w:val="bottom"/>
          </w:tcPr>
          <w:p w14:paraId="3F626862" w14:textId="4E350E8C" w:rsidR="00D1565B" w:rsidRPr="000632CC" w:rsidRDefault="00B0420D" w:rsidP="00D1565B">
            <w:pPr>
              <w:pStyle w:val="a3"/>
              <w:tabs>
                <w:tab w:val="left" w:pos="227"/>
                <w:tab w:val="left" w:pos="397"/>
                <w:tab w:val="left" w:pos="567"/>
              </w:tabs>
              <w:spacing w:line="180" w:lineRule="exact"/>
              <w:rPr>
                <w:b/>
                <w:bCs/>
                <w:sz w:val="18"/>
                <w:szCs w:val="18"/>
                <w:rtl/>
              </w:rPr>
            </w:pPr>
            <w:r>
              <w:rPr>
                <w:rFonts w:hint="cs"/>
                <w:b/>
                <w:bCs/>
                <w:sz w:val="18"/>
                <w:szCs w:val="18"/>
                <w:rtl/>
              </w:rPr>
              <w:t>עיתוי ההכרה בהכנסה:</w:t>
            </w:r>
          </w:p>
        </w:tc>
        <w:tc>
          <w:tcPr>
            <w:tcW w:w="86" w:type="dxa"/>
          </w:tcPr>
          <w:p w14:paraId="3D4B4514"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0BA5E311" w14:textId="77777777" w:rsidR="00D1565B" w:rsidRPr="0031447D" w:rsidRDefault="00D1565B" w:rsidP="00D1565B">
            <w:pPr>
              <w:tabs>
                <w:tab w:val="decimal" w:pos="113"/>
              </w:tabs>
              <w:spacing w:line="180" w:lineRule="exact"/>
              <w:ind w:left="57"/>
              <w:rPr>
                <w:sz w:val="18"/>
                <w:szCs w:val="18"/>
              </w:rPr>
            </w:pPr>
          </w:p>
        </w:tc>
        <w:tc>
          <w:tcPr>
            <w:tcW w:w="140" w:type="dxa"/>
          </w:tcPr>
          <w:p w14:paraId="7604ABA2"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2C39695A" w14:textId="77777777" w:rsidR="00D1565B" w:rsidRPr="0031447D" w:rsidRDefault="00D1565B" w:rsidP="00D1565B">
            <w:pPr>
              <w:tabs>
                <w:tab w:val="decimal" w:pos="113"/>
              </w:tabs>
              <w:spacing w:line="180" w:lineRule="exact"/>
              <w:ind w:left="57"/>
              <w:rPr>
                <w:sz w:val="18"/>
                <w:szCs w:val="18"/>
              </w:rPr>
            </w:pPr>
          </w:p>
        </w:tc>
        <w:tc>
          <w:tcPr>
            <w:tcW w:w="113" w:type="dxa"/>
          </w:tcPr>
          <w:p w14:paraId="318B7325"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4DCD16ED" w14:textId="77777777" w:rsidR="00D1565B" w:rsidRPr="0031447D" w:rsidRDefault="00D1565B" w:rsidP="00D1565B">
            <w:pPr>
              <w:tabs>
                <w:tab w:val="decimal" w:pos="113"/>
              </w:tabs>
              <w:spacing w:line="180" w:lineRule="exact"/>
              <w:ind w:left="57"/>
              <w:rPr>
                <w:sz w:val="18"/>
                <w:szCs w:val="18"/>
              </w:rPr>
            </w:pPr>
          </w:p>
        </w:tc>
        <w:tc>
          <w:tcPr>
            <w:tcW w:w="140" w:type="dxa"/>
          </w:tcPr>
          <w:p w14:paraId="4FF55CAF"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12F19692" w14:textId="77777777" w:rsidR="00D1565B" w:rsidRPr="0031447D" w:rsidRDefault="00D1565B" w:rsidP="00D1565B">
            <w:pPr>
              <w:tabs>
                <w:tab w:val="decimal" w:pos="113"/>
              </w:tabs>
              <w:spacing w:line="180" w:lineRule="exact"/>
              <w:ind w:left="57"/>
              <w:rPr>
                <w:sz w:val="18"/>
                <w:szCs w:val="18"/>
              </w:rPr>
            </w:pPr>
          </w:p>
        </w:tc>
        <w:tc>
          <w:tcPr>
            <w:tcW w:w="140" w:type="dxa"/>
          </w:tcPr>
          <w:p w14:paraId="592A0F37"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3D96A951" w14:textId="77777777" w:rsidR="00D1565B" w:rsidRPr="0031447D" w:rsidRDefault="00D1565B" w:rsidP="00D1565B">
            <w:pPr>
              <w:tabs>
                <w:tab w:val="decimal" w:pos="113"/>
              </w:tabs>
              <w:spacing w:line="180" w:lineRule="exact"/>
              <w:ind w:left="57"/>
              <w:rPr>
                <w:sz w:val="18"/>
                <w:szCs w:val="18"/>
              </w:rPr>
            </w:pPr>
          </w:p>
        </w:tc>
        <w:tc>
          <w:tcPr>
            <w:tcW w:w="94" w:type="dxa"/>
          </w:tcPr>
          <w:p w14:paraId="57EA5753"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5424EF41" w14:textId="77777777" w:rsidR="00D1565B" w:rsidRPr="0031447D" w:rsidRDefault="00D1565B" w:rsidP="00D1565B">
            <w:pPr>
              <w:tabs>
                <w:tab w:val="decimal" w:pos="113"/>
              </w:tabs>
              <w:spacing w:line="180" w:lineRule="exact"/>
              <w:ind w:left="57"/>
              <w:rPr>
                <w:sz w:val="18"/>
                <w:szCs w:val="18"/>
              </w:rPr>
            </w:pPr>
          </w:p>
        </w:tc>
      </w:tr>
      <w:tr w:rsidR="00D1565B" w:rsidRPr="0031447D" w14:paraId="0C93B449" w14:textId="77777777" w:rsidTr="00B0420D">
        <w:tc>
          <w:tcPr>
            <w:tcW w:w="2437" w:type="dxa"/>
            <w:vAlign w:val="bottom"/>
          </w:tcPr>
          <w:p w14:paraId="770C8952" w14:textId="3C0E44DC" w:rsidR="00D1565B" w:rsidRPr="0031447D" w:rsidRDefault="00B0420D" w:rsidP="00D1565B">
            <w:pPr>
              <w:pStyle w:val="a3"/>
              <w:tabs>
                <w:tab w:val="left" w:pos="227"/>
                <w:tab w:val="left" w:pos="397"/>
                <w:tab w:val="left" w:pos="567"/>
              </w:tabs>
              <w:spacing w:line="180" w:lineRule="exact"/>
              <w:rPr>
                <w:sz w:val="18"/>
                <w:szCs w:val="18"/>
                <w:rtl/>
              </w:rPr>
            </w:pPr>
            <w:r>
              <w:rPr>
                <w:rFonts w:hint="cs"/>
                <w:sz w:val="18"/>
                <w:szCs w:val="18"/>
                <w:rtl/>
              </w:rPr>
              <w:t>הכרה בהכנסה בנקודת זמן</w:t>
            </w:r>
          </w:p>
        </w:tc>
        <w:tc>
          <w:tcPr>
            <w:tcW w:w="86" w:type="dxa"/>
          </w:tcPr>
          <w:p w14:paraId="36FD1057"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2568B5B2" w14:textId="77777777" w:rsidR="00D1565B" w:rsidRPr="0031447D" w:rsidRDefault="00D1565B" w:rsidP="00D1565B">
            <w:pPr>
              <w:tabs>
                <w:tab w:val="decimal" w:pos="113"/>
              </w:tabs>
              <w:spacing w:line="180" w:lineRule="exact"/>
              <w:ind w:left="57"/>
              <w:rPr>
                <w:sz w:val="18"/>
                <w:szCs w:val="18"/>
              </w:rPr>
            </w:pPr>
          </w:p>
        </w:tc>
        <w:tc>
          <w:tcPr>
            <w:tcW w:w="140" w:type="dxa"/>
          </w:tcPr>
          <w:p w14:paraId="3D0F2A35"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09D3041B" w14:textId="77777777" w:rsidR="00D1565B" w:rsidRPr="0031447D" w:rsidRDefault="00D1565B" w:rsidP="00D1565B">
            <w:pPr>
              <w:tabs>
                <w:tab w:val="decimal" w:pos="113"/>
              </w:tabs>
              <w:spacing w:line="180" w:lineRule="exact"/>
              <w:ind w:left="57"/>
              <w:rPr>
                <w:sz w:val="18"/>
                <w:szCs w:val="18"/>
              </w:rPr>
            </w:pPr>
          </w:p>
        </w:tc>
        <w:tc>
          <w:tcPr>
            <w:tcW w:w="113" w:type="dxa"/>
          </w:tcPr>
          <w:p w14:paraId="7F5132E8"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691AE9D6" w14:textId="77777777" w:rsidR="00D1565B" w:rsidRPr="0031447D" w:rsidRDefault="00D1565B" w:rsidP="00D1565B">
            <w:pPr>
              <w:tabs>
                <w:tab w:val="decimal" w:pos="113"/>
              </w:tabs>
              <w:spacing w:line="180" w:lineRule="exact"/>
              <w:ind w:left="57"/>
              <w:rPr>
                <w:sz w:val="18"/>
                <w:szCs w:val="18"/>
              </w:rPr>
            </w:pPr>
          </w:p>
        </w:tc>
        <w:tc>
          <w:tcPr>
            <w:tcW w:w="140" w:type="dxa"/>
            <w:tcBorders>
              <w:left w:val="nil"/>
            </w:tcBorders>
          </w:tcPr>
          <w:p w14:paraId="4889A4D0"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638492E2" w14:textId="77777777" w:rsidR="00D1565B" w:rsidRPr="0031447D" w:rsidRDefault="00D1565B" w:rsidP="00D1565B">
            <w:pPr>
              <w:tabs>
                <w:tab w:val="decimal" w:pos="113"/>
              </w:tabs>
              <w:spacing w:line="180" w:lineRule="exact"/>
              <w:ind w:left="57"/>
              <w:rPr>
                <w:sz w:val="18"/>
                <w:szCs w:val="18"/>
              </w:rPr>
            </w:pPr>
          </w:p>
        </w:tc>
        <w:tc>
          <w:tcPr>
            <w:tcW w:w="140" w:type="dxa"/>
          </w:tcPr>
          <w:p w14:paraId="7003C157"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5B1D0D42" w14:textId="77777777" w:rsidR="00D1565B" w:rsidRPr="0031447D" w:rsidRDefault="00D1565B" w:rsidP="00D1565B">
            <w:pPr>
              <w:tabs>
                <w:tab w:val="decimal" w:pos="113"/>
              </w:tabs>
              <w:spacing w:line="180" w:lineRule="exact"/>
              <w:ind w:left="57"/>
              <w:rPr>
                <w:sz w:val="18"/>
                <w:szCs w:val="18"/>
              </w:rPr>
            </w:pPr>
          </w:p>
        </w:tc>
        <w:tc>
          <w:tcPr>
            <w:tcW w:w="94" w:type="dxa"/>
          </w:tcPr>
          <w:p w14:paraId="04927120"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10A8B6E" w14:textId="77777777" w:rsidR="00D1565B" w:rsidRPr="0031447D" w:rsidRDefault="00D1565B" w:rsidP="00D1565B">
            <w:pPr>
              <w:tabs>
                <w:tab w:val="decimal" w:pos="113"/>
              </w:tabs>
              <w:spacing w:line="180" w:lineRule="exact"/>
              <w:ind w:left="57"/>
              <w:rPr>
                <w:sz w:val="18"/>
                <w:szCs w:val="18"/>
              </w:rPr>
            </w:pPr>
          </w:p>
        </w:tc>
      </w:tr>
      <w:tr w:rsidR="00D1565B" w:rsidRPr="0031447D" w14:paraId="2FE58594" w14:textId="77777777" w:rsidTr="0031447D">
        <w:tc>
          <w:tcPr>
            <w:tcW w:w="2437" w:type="dxa"/>
            <w:vAlign w:val="bottom"/>
          </w:tcPr>
          <w:p w14:paraId="19780647" w14:textId="7214916A" w:rsidR="00D1565B" w:rsidRPr="0031447D" w:rsidRDefault="00B0420D" w:rsidP="00D1565B">
            <w:pPr>
              <w:pStyle w:val="a3"/>
              <w:tabs>
                <w:tab w:val="left" w:pos="227"/>
                <w:tab w:val="left" w:pos="397"/>
                <w:tab w:val="left" w:pos="567"/>
              </w:tabs>
              <w:spacing w:line="180" w:lineRule="exact"/>
              <w:rPr>
                <w:sz w:val="18"/>
                <w:szCs w:val="18"/>
                <w:rtl/>
              </w:rPr>
            </w:pPr>
            <w:r>
              <w:rPr>
                <w:rFonts w:hint="cs"/>
                <w:sz w:val="18"/>
                <w:szCs w:val="18"/>
                <w:rtl/>
              </w:rPr>
              <w:t>הכרה בהכנסה על פני תקופת זמן</w:t>
            </w:r>
          </w:p>
        </w:tc>
        <w:tc>
          <w:tcPr>
            <w:tcW w:w="86" w:type="dxa"/>
          </w:tcPr>
          <w:p w14:paraId="2C9581C9"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7EA0CFC0" w14:textId="77777777" w:rsidR="00D1565B" w:rsidRPr="0031447D" w:rsidRDefault="00D1565B" w:rsidP="00D1565B">
            <w:pPr>
              <w:tabs>
                <w:tab w:val="decimal" w:pos="113"/>
              </w:tabs>
              <w:spacing w:line="180" w:lineRule="exact"/>
              <w:ind w:left="57"/>
              <w:rPr>
                <w:sz w:val="18"/>
                <w:szCs w:val="18"/>
              </w:rPr>
            </w:pPr>
          </w:p>
        </w:tc>
        <w:tc>
          <w:tcPr>
            <w:tcW w:w="140" w:type="dxa"/>
          </w:tcPr>
          <w:p w14:paraId="7A4EE521"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3FB92CA2" w14:textId="77777777" w:rsidR="00D1565B" w:rsidRPr="0031447D" w:rsidRDefault="00D1565B" w:rsidP="00D1565B">
            <w:pPr>
              <w:tabs>
                <w:tab w:val="decimal" w:pos="113"/>
              </w:tabs>
              <w:spacing w:line="180" w:lineRule="exact"/>
              <w:ind w:left="57"/>
              <w:rPr>
                <w:sz w:val="18"/>
                <w:szCs w:val="18"/>
              </w:rPr>
            </w:pPr>
          </w:p>
        </w:tc>
        <w:tc>
          <w:tcPr>
            <w:tcW w:w="113" w:type="dxa"/>
          </w:tcPr>
          <w:p w14:paraId="3DF21041"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A665972" w14:textId="77777777" w:rsidR="00D1565B" w:rsidRPr="0031447D" w:rsidRDefault="00D1565B" w:rsidP="00D1565B">
            <w:pPr>
              <w:tabs>
                <w:tab w:val="decimal" w:pos="113"/>
              </w:tabs>
              <w:spacing w:line="180" w:lineRule="exact"/>
              <w:ind w:left="57"/>
              <w:rPr>
                <w:sz w:val="18"/>
                <w:szCs w:val="18"/>
              </w:rPr>
            </w:pPr>
          </w:p>
        </w:tc>
        <w:tc>
          <w:tcPr>
            <w:tcW w:w="140" w:type="dxa"/>
          </w:tcPr>
          <w:p w14:paraId="13821700"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0B91167" w14:textId="77777777" w:rsidR="00D1565B" w:rsidRPr="0031447D" w:rsidRDefault="00D1565B" w:rsidP="00D1565B">
            <w:pPr>
              <w:tabs>
                <w:tab w:val="decimal" w:pos="113"/>
              </w:tabs>
              <w:spacing w:line="180" w:lineRule="exact"/>
              <w:ind w:left="57"/>
              <w:rPr>
                <w:sz w:val="18"/>
                <w:szCs w:val="18"/>
              </w:rPr>
            </w:pPr>
          </w:p>
        </w:tc>
        <w:tc>
          <w:tcPr>
            <w:tcW w:w="140" w:type="dxa"/>
          </w:tcPr>
          <w:p w14:paraId="56DD4AF3"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02911E67" w14:textId="77777777" w:rsidR="00D1565B" w:rsidRPr="0031447D" w:rsidRDefault="00D1565B" w:rsidP="00D1565B">
            <w:pPr>
              <w:tabs>
                <w:tab w:val="decimal" w:pos="113"/>
              </w:tabs>
              <w:spacing w:line="180" w:lineRule="exact"/>
              <w:ind w:left="57"/>
              <w:rPr>
                <w:sz w:val="18"/>
                <w:szCs w:val="18"/>
              </w:rPr>
            </w:pPr>
          </w:p>
        </w:tc>
        <w:tc>
          <w:tcPr>
            <w:tcW w:w="94" w:type="dxa"/>
          </w:tcPr>
          <w:p w14:paraId="1448175C"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2CB4D1E8" w14:textId="77777777" w:rsidR="00D1565B" w:rsidRPr="0031447D" w:rsidRDefault="00D1565B" w:rsidP="00D1565B">
            <w:pPr>
              <w:tabs>
                <w:tab w:val="decimal" w:pos="113"/>
              </w:tabs>
              <w:spacing w:line="180" w:lineRule="exact"/>
              <w:ind w:left="57"/>
              <w:rPr>
                <w:sz w:val="18"/>
                <w:szCs w:val="18"/>
              </w:rPr>
            </w:pPr>
          </w:p>
        </w:tc>
      </w:tr>
      <w:tr w:rsidR="00D1565B" w:rsidRPr="0031447D" w14:paraId="5665A531" w14:textId="77777777" w:rsidTr="00B0420D">
        <w:tc>
          <w:tcPr>
            <w:tcW w:w="2437" w:type="dxa"/>
            <w:vAlign w:val="bottom"/>
          </w:tcPr>
          <w:p w14:paraId="04CB557B" w14:textId="77777777" w:rsidR="00D1565B" w:rsidRPr="0031447D" w:rsidRDefault="00D1565B" w:rsidP="00D1565B">
            <w:pPr>
              <w:pStyle w:val="a3"/>
              <w:tabs>
                <w:tab w:val="left" w:pos="227"/>
                <w:tab w:val="left" w:pos="397"/>
                <w:tab w:val="left" w:pos="567"/>
              </w:tabs>
              <w:spacing w:line="180" w:lineRule="exact"/>
              <w:rPr>
                <w:sz w:val="18"/>
                <w:szCs w:val="18"/>
                <w:rtl/>
              </w:rPr>
            </w:pPr>
          </w:p>
        </w:tc>
        <w:tc>
          <w:tcPr>
            <w:tcW w:w="86" w:type="dxa"/>
          </w:tcPr>
          <w:p w14:paraId="079B0749"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bottom w:val="single" w:sz="4" w:space="0" w:color="auto"/>
            </w:tcBorders>
            <w:vAlign w:val="bottom"/>
          </w:tcPr>
          <w:p w14:paraId="61732674" w14:textId="77777777" w:rsidR="00D1565B" w:rsidRPr="0031447D" w:rsidRDefault="00D1565B" w:rsidP="00D1565B">
            <w:pPr>
              <w:tabs>
                <w:tab w:val="decimal" w:pos="113"/>
              </w:tabs>
              <w:spacing w:line="180" w:lineRule="exact"/>
              <w:ind w:left="57"/>
              <w:rPr>
                <w:sz w:val="18"/>
                <w:szCs w:val="18"/>
              </w:rPr>
            </w:pPr>
          </w:p>
        </w:tc>
        <w:tc>
          <w:tcPr>
            <w:tcW w:w="140" w:type="dxa"/>
          </w:tcPr>
          <w:p w14:paraId="19970D0E" w14:textId="77777777" w:rsidR="00D1565B" w:rsidRPr="0031447D" w:rsidRDefault="00D1565B" w:rsidP="00D1565B">
            <w:pPr>
              <w:tabs>
                <w:tab w:val="decimal" w:pos="113"/>
              </w:tabs>
              <w:spacing w:line="180" w:lineRule="exact"/>
              <w:ind w:left="57"/>
              <w:rPr>
                <w:sz w:val="18"/>
                <w:szCs w:val="18"/>
              </w:rPr>
            </w:pPr>
          </w:p>
        </w:tc>
        <w:tc>
          <w:tcPr>
            <w:tcW w:w="930" w:type="dxa"/>
            <w:tcBorders>
              <w:bottom w:val="single" w:sz="4" w:space="0" w:color="auto"/>
            </w:tcBorders>
            <w:vAlign w:val="bottom"/>
          </w:tcPr>
          <w:p w14:paraId="52DC8E8D" w14:textId="77777777" w:rsidR="00D1565B" w:rsidRPr="0031447D" w:rsidRDefault="00D1565B" w:rsidP="00D1565B">
            <w:pPr>
              <w:tabs>
                <w:tab w:val="decimal" w:pos="113"/>
              </w:tabs>
              <w:spacing w:line="180" w:lineRule="exact"/>
              <w:ind w:left="57"/>
              <w:rPr>
                <w:sz w:val="18"/>
                <w:szCs w:val="18"/>
              </w:rPr>
            </w:pPr>
          </w:p>
        </w:tc>
        <w:tc>
          <w:tcPr>
            <w:tcW w:w="113" w:type="dxa"/>
          </w:tcPr>
          <w:p w14:paraId="7255A776" w14:textId="77777777" w:rsidR="00D1565B" w:rsidRPr="0031447D" w:rsidRDefault="00D1565B" w:rsidP="00D1565B">
            <w:pPr>
              <w:tabs>
                <w:tab w:val="decimal" w:pos="113"/>
              </w:tabs>
              <w:spacing w:line="180" w:lineRule="exact"/>
              <w:ind w:left="57"/>
              <w:rPr>
                <w:sz w:val="18"/>
                <w:szCs w:val="18"/>
              </w:rPr>
            </w:pPr>
          </w:p>
        </w:tc>
        <w:tc>
          <w:tcPr>
            <w:tcW w:w="804" w:type="dxa"/>
            <w:tcBorders>
              <w:bottom w:val="single" w:sz="4" w:space="0" w:color="auto"/>
            </w:tcBorders>
            <w:vAlign w:val="bottom"/>
          </w:tcPr>
          <w:p w14:paraId="5B065DD1" w14:textId="77777777" w:rsidR="00D1565B" w:rsidRPr="0031447D" w:rsidRDefault="00D1565B" w:rsidP="00D1565B">
            <w:pPr>
              <w:tabs>
                <w:tab w:val="decimal" w:pos="113"/>
              </w:tabs>
              <w:spacing w:line="180" w:lineRule="exact"/>
              <w:ind w:left="57"/>
              <w:rPr>
                <w:sz w:val="18"/>
                <w:szCs w:val="18"/>
              </w:rPr>
            </w:pPr>
          </w:p>
        </w:tc>
        <w:tc>
          <w:tcPr>
            <w:tcW w:w="140" w:type="dxa"/>
          </w:tcPr>
          <w:p w14:paraId="1E49EFD2" w14:textId="77777777" w:rsidR="00D1565B" w:rsidRPr="0031447D" w:rsidRDefault="00D1565B" w:rsidP="00D1565B">
            <w:pPr>
              <w:tabs>
                <w:tab w:val="decimal" w:pos="113"/>
              </w:tabs>
              <w:spacing w:line="180" w:lineRule="exact"/>
              <w:ind w:left="57"/>
              <w:rPr>
                <w:sz w:val="18"/>
                <w:szCs w:val="18"/>
              </w:rPr>
            </w:pPr>
          </w:p>
        </w:tc>
        <w:tc>
          <w:tcPr>
            <w:tcW w:w="804" w:type="dxa"/>
            <w:tcBorders>
              <w:bottom w:val="single" w:sz="4" w:space="0" w:color="auto"/>
            </w:tcBorders>
            <w:vAlign w:val="bottom"/>
          </w:tcPr>
          <w:p w14:paraId="15821D6A" w14:textId="77777777" w:rsidR="00D1565B" w:rsidRPr="0031447D" w:rsidRDefault="00D1565B" w:rsidP="00D1565B">
            <w:pPr>
              <w:tabs>
                <w:tab w:val="decimal" w:pos="113"/>
              </w:tabs>
              <w:spacing w:line="180" w:lineRule="exact"/>
              <w:ind w:left="57"/>
              <w:rPr>
                <w:sz w:val="18"/>
                <w:szCs w:val="18"/>
              </w:rPr>
            </w:pPr>
          </w:p>
        </w:tc>
        <w:tc>
          <w:tcPr>
            <w:tcW w:w="140" w:type="dxa"/>
          </w:tcPr>
          <w:p w14:paraId="3BAF21FB" w14:textId="77777777" w:rsidR="00D1565B" w:rsidRPr="0031447D" w:rsidRDefault="00D1565B" w:rsidP="00D1565B">
            <w:pPr>
              <w:tabs>
                <w:tab w:val="decimal" w:pos="113"/>
              </w:tabs>
              <w:spacing w:line="180" w:lineRule="exact"/>
              <w:ind w:left="57"/>
              <w:rPr>
                <w:sz w:val="18"/>
                <w:szCs w:val="18"/>
              </w:rPr>
            </w:pPr>
          </w:p>
        </w:tc>
        <w:tc>
          <w:tcPr>
            <w:tcW w:w="820" w:type="dxa"/>
            <w:tcBorders>
              <w:bottom w:val="single" w:sz="4" w:space="0" w:color="auto"/>
            </w:tcBorders>
            <w:vAlign w:val="bottom"/>
          </w:tcPr>
          <w:p w14:paraId="48B7760C" w14:textId="77777777" w:rsidR="00D1565B" w:rsidRPr="0031447D" w:rsidRDefault="00D1565B" w:rsidP="00D1565B">
            <w:pPr>
              <w:tabs>
                <w:tab w:val="decimal" w:pos="113"/>
              </w:tabs>
              <w:spacing w:line="180" w:lineRule="exact"/>
              <w:ind w:left="57"/>
              <w:rPr>
                <w:sz w:val="18"/>
                <w:szCs w:val="18"/>
              </w:rPr>
            </w:pPr>
          </w:p>
        </w:tc>
        <w:tc>
          <w:tcPr>
            <w:tcW w:w="94" w:type="dxa"/>
          </w:tcPr>
          <w:p w14:paraId="4138785C" w14:textId="77777777" w:rsidR="00D1565B" w:rsidRPr="0031447D" w:rsidRDefault="00D1565B" w:rsidP="00D1565B">
            <w:pPr>
              <w:tabs>
                <w:tab w:val="decimal" w:pos="113"/>
              </w:tabs>
              <w:spacing w:line="180" w:lineRule="exact"/>
              <w:ind w:left="57"/>
              <w:rPr>
                <w:sz w:val="18"/>
                <w:szCs w:val="18"/>
              </w:rPr>
            </w:pPr>
          </w:p>
        </w:tc>
        <w:tc>
          <w:tcPr>
            <w:tcW w:w="804" w:type="dxa"/>
            <w:tcBorders>
              <w:bottom w:val="single" w:sz="4" w:space="0" w:color="auto"/>
            </w:tcBorders>
            <w:vAlign w:val="bottom"/>
          </w:tcPr>
          <w:p w14:paraId="2E6E3EA2" w14:textId="77777777" w:rsidR="00D1565B" w:rsidRPr="0031447D" w:rsidRDefault="00D1565B" w:rsidP="00D1565B">
            <w:pPr>
              <w:tabs>
                <w:tab w:val="decimal" w:pos="113"/>
              </w:tabs>
              <w:spacing w:line="180" w:lineRule="exact"/>
              <w:ind w:left="57"/>
              <w:rPr>
                <w:sz w:val="18"/>
                <w:szCs w:val="18"/>
              </w:rPr>
            </w:pPr>
          </w:p>
        </w:tc>
      </w:tr>
      <w:tr w:rsidR="00B0420D" w:rsidRPr="0031447D" w14:paraId="126B6229" w14:textId="77777777" w:rsidTr="00B0420D">
        <w:tc>
          <w:tcPr>
            <w:tcW w:w="2437" w:type="dxa"/>
            <w:vAlign w:val="bottom"/>
          </w:tcPr>
          <w:p w14:paraId="73CB9D1E" w14:textId="4E25F7BE" w:rsidR="00B0420D" w:rsidRPr="0031447D" w:rsidRDefault="00B0420D" w:rsidP="00D1565B">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86" w:type="dxa"/>
          </w:tcPr>
          <w:p w14:paraId="65578B78" w14:textId="77777777" w:rsidR="00B0420D" w:rsidRPr="0031447D" w:rsidRDefault="00B0420D" w:rsidP="00D1565B">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bottom w:val="single" w:sz="4" w:space="0" w:color="auto"/>
            </w:tcBorders>
            <w:vAlign w:val="bottom"/>
          </w:tcPr>
          <w:p w14:paraId="6A8E794C" w14:textId="77777777" w:rsidR="00B0420D" w:rsidRPr="0031447D" w:rsidRDefault="00B0420D" w:rsidP="00D1565B">
            <w:pPr>
              <w:tabs>
                <w:tab w:val="decimal" w:pos="113"/>
              </w:tabs>
              <w:spacing w:line="180" w:lineRule="exact"/>
              <w:ind w:left="57"/>
              <w:rPr>
                <w:sz w:val="18"/>
                <w:szCs w:val="18"/>
              </w:rPr>
            </w:pPr>
          </w:p>
        </w:tc>
        <w:tc>
          <w:tcPr>
            <w:tcW w:w="140" w:type="dxa"/>
          </w:tcPr>
          <w:p w14:paraId="76D0385D" w14:textId="77777777" w:rsidR="00B0420D" w:rsidRPr="0031447D" w:rsidRDefault="00B0420D" w:rsidP="00D1565B">
            <w:pPr>
              <w:tabs>
                <w:tab w:val="decimal" w:pos="113"/>
              </w:tabs>
              <w:spacing w:line="180" w:lineRule="exact"/>
              <w:ind w:left="57"/>
              <w:rPr>
                <w:sz w:val="18"/>
                <w:szCs w:val="18"/>
              </w:rPr>
            </w:pPr>
          </w:p>
        </w:tc>
        <w:tc>
          <w:tcPr>
            <w:tcW w:w="930" w:type="dxa"/>
            <w:tcBorders>
              <w:top w:val="single" w:sz="4" w:space="0" w:color="auto"/>
              <w:bottom w:val="single" w:sz="4" w:space="0" w:color="auto"/>
            </w:tcBorders>
            <w:vAlign w:val="bottom"/>
          </w:tcPr>
          <w:p w14:paraId="2D0F4D3C" w14:textId="77777777" w:rsidR="00B0420D" w:rsidRPr="0031447D" w:rsidRDefault="00B0420D" w:rsidP="00D1565B">
            <w:pPr>
              <w:tabs>
                <w:tab w:val="decimal" w:pos="113"/>
              </w:tabs>
              <w:spacing w:line="180" w:lineRule="exact"/>
              <w:ind w:left="57"/>
              <w:rPr>
                <w:sz w:val="18"/>
                <w:szCs w:val="18"/>
              </w:rPr>
            </w:pPr>
          </w:p>
        </w:tc>
        <w:tc>
          <w:tcPr>
            <w:tcW w:w="113" w:type="dxa"/>
          </w:tcPr>
          <w:p w14:paraId="3F12BD9B" w14:textId="77777777" w:rsidR="00B0420D" w:rsidRPr="0031447D" w:rsidRDefault="00B0420D" w:rsidP="00D1565B">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4D00AFBC" w14:textId="77777777" w:rsidR="00B0420D" w:rsidRPr="0031447D" w:rsidRDefault="00B0420D" w:rsidP="00D1565B">
            <w:pPr>
              <w:tabs>
                <w:tab w:val="decimal" w:pos="113"/>
              </w:tabs>
              <w:spacing w:line="180" w:lineRule="exact"/>
              <w:ind w:left="57"/>
              <w:rPr>
                <w:sz w:val="18"/>
                <w:szCs w:val="18"/>
              </w:rPr>
            </w:pPr>
          </w:p>
        </w:tc>
        <w:tc>
          <w:tcPr>
            <w:tcW w:w="140" w:type="dxa"/>
          </w:tcPr>
          <w:p w14:paraId="2E62A3A1" w14:textId="77777777" w:rsidR="00B0420D" w:rsidRPr="0031447D" w:rsidRDefault="00B0420D" w:rsidP="00D1565B">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192C1349" w14:textId="77777777" w:rsidR="00B0420D" w:rsidRPr="0031447D" w:rsidRDefault="00B0420D" w:rsidP="00D1565B">
            <w:pPr>
              <w:tabs>
                <w:tab w:val="decimal" w:pos="113"/>
              </w:tabs>
              <w:spacing w:line="180" w:lineRule="exact"/>
              <w:ind w:left="57"/>
              <w:rPr>
                <w:sz w:val="18"/>
                <w:szCs w:val="18"/>
              </w:rPr>
            </w:pPr>
          </w:p>
        </w:tc>
        <w:tc>
          <w:tcPr>
            <w:tcW w:w="140" w:type="dxa"/>
          </w:tcPr>
          <w:p w14:paraId="4AEC890C" w14:textId="77777777" w:rsidR="00B0420D" w:rsidRPr="0031447D" w:rsidRDefault="00B0420D" w:rsidP="00D1565B">
            <w:pPr>
              <w:tabs>
                <w:tab w:val="decimal" w:pos="113"/>
              </w:tabs>
              <w:spacing w:line="180" w:lineRule="exact"/>
              <w:ind w:left="57"/>
              <w:rPr>
                <w:sz w:val="18"/>
                <w:szCs w:val="18"/>
              </w:rPr>
            </w:pPr>
          </w:p>
        </w:tc>
        <w:tc>
          <w:tcPr>
            <w:tcW w:w="820" w:type="dxa"/>
            <w:tcBorders>
              <w:top w:val="single" w:sz="4" w:space="0" w:color="auto"/>
              <w:bottom w:val="single" w:sz="4" w:space="0" w:color="auto"/>
            </w:tcBorders>
            <w:vAlign w:val="bottom"/>
          </w:tcPr>
          <w:p w14:paraId="6F526DAB" w14:textId="77777777" w:rsidR="00B0420D" w:rsidRPr="0031447D" w:rsidRDefault="00B0420D" w:rsidP="00D1565B">
            <w:pPr>
              <w:tabs>
                <w:tab w:val="decimal" w:pos="113"/>
              </w:tabs>
              <w:spacing w:line="180" w:lineRule="exact"/>
              <w:ind w:left="57"/>
              <w:rPr>
                <w:sz w:val="18"/>
                <w:szCs w:val="18"/>
              </w:rPr>
            </w:pPr>
          </w:p>
        </w:tc>
        <w:tc>
          <w:tcPr>
            <w:tcW w:w="94" w:type="dxa"/>
          </w:tcPr>
          <w:p w14:paraId="484630EE" w14:textId="77777777" w:rsidR="00B0420D" w:rsidRPr="0031447D" w:rsidRDefault="00B0420D" w:rsidP="00D1565B">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47D00562" w14:textId="77777777" w:rsidR="00B0420D" w:rsidRPr="0031447D" w:rsidRDefault="00B0420D" w:rsidP="00D1565B">
            <w:pPr>
              <w:tabs>
                <w:tab w:val="decimal" w:pos="113"/>
              </w:tabs>
              <w:spacing w:line="180" w:lineRule="exact"/>
              <w:ind w:left="57"/>
              <w:rPr>
                <w:sz w:val="18"/>
                <w:szCs w:val="18"/>
              </w:rPr>
            </w:pPr>
          </w:p>
        </w:tc>
      </w:tr>
      <w:tr w:rsidR="00B0420D" w:rsidRPr="0031447D" w14:paraId="35E12995" w14:textId="77777777" w:rsidTr="00B0420D">
        <w:tc>
          <w:tcPr>
            <w:tcW w:w="2437" w:type="dxa"/>
            <w:vAlign w:val="bottom"/>
          </w:tcPr>
          <w:p w14:paraId="0DAF5273" w14:textId="77777777" w:rsidR="00B0420D" w:rsidRPr="0031447D" w:rsidRDefault="00B0420D" w:rsidP="00D1565B">
            <w:pPr>
              <w:pStyle w:val="a3"/>
              <w:tabs>
                <w:tab w:val="left" w:pos="227"/>
                <w:tab w:val="left" w:pos="397"/>
                <w:tab w:val="left" w:pos="567"/>
              </w:tabs>
              <w:spacing w:line="180" w:lineRule="exact"/>
              <w:rPr>
                <w:sz w:val="18"/>
                <w:szCs w:val="18"/>
                <w:rtl/>
              </w:rPr>
            </w:pPr>
          </w:p>
        </w:tc>
        <w:tc>
          <w:tcPr>
            <w:tcW w:w="86" w:type="dxa"/>
          </w:tcPr>
          <w:p w14:paraId="19FABBA7" w14:textId="77777777" w:rsidR="00B0420D" w:rsidRPr="0031447D" w:rsidRDefault="00B0420D" w:rsidP="00D1565B">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tcBorders>
            <w:vAlign w:val="bottom"/>
          </w:tcPr>
          <w:p w14:paraId="42FDC026" w14:textId="77777777" w:rsidR="00B0420D" w:rsidRPr="0031447D" w:rsidRDefault="00B0420D" w:rsidP="00D1565B">
            <w:pPr>
              <w:tabs>
                <w:tab w:val="decimal" w:pos="113"/>
              </w:tabs>
              <w:spacing w:line="180" w:lineRule="exact"/>
              <w:ind w:left="57"/>
              <w:rPr>
                <w:sz w:val="18"/>
                <w:szCs w:val="18"/>
              </w:rPr>
            </w:pPr>
          </w:p>
        </w:tc>
        <w:tc>
          <w:tcPr>
            <w:tcW w:w="140" w:type="dxa"/>
          </w:tcPr>
          <w:p w14:paraId="1BC13A6A" w14:textId="77777777" w:rsidR="00B0420D" w:rsidRPr="0031447D" w:rsidRDefault="00B0420D" w:rsidP="00D1565B">
            <w:pPr>
              <w:tabs>
                <w:tab w:val="decimal" w:pos="113"/>
              </w:tabs>
              <w:spacing w:line="180" w:lineRule="exact"/>
              <w:ind w:left="57"/>
              <w:rPr>
                <w:sz w:val="18"/>
                <w:szCs w:val="18"/>
              </w:rPr>
            </w:pPr>
          </w:p>
        </w:tc>
        <w:tc>
          <w:tcPr>
            <w:tcW w:w="930" w:type="dxa"/>
            <w:tcBorders>
              <w:top w:val="single" w:sz="4" w:space="0" w:color="auto"/>
            </w:tcBorders>
            <w:vAlign w:val="bottom"/>
          </w:tcPr>
          <w:p w14:paraId="5EEAA85B" w14:textId="77777777" w:rsidR="00B0420D" w:rsidRPr="0031447D" w:rsidRDefault="00B0420D" w:rsidP="00D1565B">
            <w:pPr>
              <w:tabs>
                <w:tab w:val="decimal" w:pos="113"/>
              </w:tabs>
              <w:spacing w:line="180" w:lineRule="exact"/>
              <w:ind w:left="57"/>
              <w:rPr>
                <w:sz w:val="18"/>
                <w:szCs w:val="18"/>
              </w:rPr>
            </w:pPr>
          </w:p>
        </w:tc>
        <w:tc>
          <w:tcPr>
            <w:tcW w:w="113" w:type="dxa"/>
          </w:tcPr>
          <w:p w14:paraId="6B499F92" w14:textId="77777777" w:rsidR="00B0420D" w:rsidRPr="0031447D" w:rsidRDefault="00B0420D" w:rsidP="00D1565B">
            <w:pPr>
              <w:tabs>
                <w:tab w:val="decimal" w:pos="113"/>
              </w:tabs>
              <w:spacing w:line="180" w:lineRule="exact"/>
              <w:ind w:left="57"/>
              <w:rPr>
                <w:sz w:val="18"/>
                <w:szCs w:val="18"/>
              </w:rPr>
            </w:pPr>
          </w:p>
        </w:tc>
        <w:tc>
          <w:tcPr>
            <w:tcW w:w="804" w:type="dxa"/>
            <w:tcBorders>
              <w:top w:val="single" w:sz="4" w:space="0" w:color="auto"/>
            </w:tcBorders>
            <w:vAlign w:val="bottom"/>
          </w:tcPr>
          <w:p w14:paraId="027B8F31" w14:textId="77777777" w:rsidR="00B0420D" w:rsidRPr="0031447D" w:rsidRDefault="00B0420D" w:rsidP="00D1565B">
            <w:pPr>
              <w:tabs>
                <w:tab w:val="decimal" w:pos="113"/>
              </w:tabs>
              <w:spacing w:line="180" w:lineRule="exact"/>
              <w:ind w:left="57"/>
              <w:rPr>
                <w:sz w:val="18"/>
                <w:szCs w:val="18"/>
              </w:rPr>
            </w:pPr>
          </w:p>
        </w:tc>
        <w:tc>
          <w:tcPr>
            <w:tcW w:w="140" w:type="dxa"/>
          </w:tcPr>
          <w:p w14:paraId="5930F4AF" w14:textId="77777777" w:rsidR="00B0420D" w:rsidRPr="0031447D" w:rsidRDefault="00B0420D" w:rsidP="00D1565B">
            <w:pPr>
              <w:tabs>
                <w:tab w:val="decimal" w:pos="113"/>
              </w:tabs>
              <w:spacing w:line="180" w:lineRule="exact"/>
              <w:ind w:left="57"/>
              <w:rPr>
                <w:sz w:val="18"/>
                <w:szCs w:val="18"/>
              </w:rPr>
            </w:pPr>
          </w:p>
        </w:tc>
        <w:tc>
          <w:tcPr>
            <w:tcW w:w="804" w:type="dxa"/>
            <w:tcBorders>
              <w:top w:val="single" w:sz="4" w:space="0" w:color="auto"/>
            </w:tcBorders>
            <w:vAlign w:val="bottom"/>
          </w:tcPr>
          <w:p w14:paraId="4627CC05" w14:textId="77777777" w:rsidR="00B0420D" w:rsidRPr="0031447D" w:rsidRDefault="00B0420D" w:rsidP="00D1565B">
            <w:pPr>
              <w:tabs>
                <w:tab w:val="decimal" w:pos="113"/>
              </w:tabs>
              <w:spacing w:line="180" w:lineRule="exact"/>
              <w:ind w:left="57"/>
              <w:rPr>
                <w:sz w:val="18"/>
                <w:szCs w:val="18"/>
              </w:rPr>
            </w:pPr>
          </w:p>
        </w:tc>
        <w:tc>
          <w:tcPr>
            <w:tcW w:w="140" w:type="dxa"/>
          </w:tcPr>
          <w:p w14:paraId="7FCAC29D" w14:textId="77777777" w:rsidR="00B0420D" w:rsidRPr="0031447D" w:rsidRDefault="00B0420D" w:rsidP="00D1565B">
            <w:pPr>
              <w:tabs>
                <w:tab w:val="decimal" w:pos="113"/>
              </w:tabs>
              <w:spacing w:line="180" w:lineRule="exact"/>
              <w:ind w:left="57"/>
              <w:rPr>
                <w:sz w:val="18"/>
                <w:szCs w:val="18"/>
              </w:rPr>
            </w:pPr>
          </w:p>
        </w:tc>
        <w:tc>
          <w:tcPr>
            <w:tcW w:w="820" w:type="dxa"/>
            <w:tcBorders>
              <w:top w:val="single" w:sz="4" w:space="0" w:color="auto"/>
            </w:tcBorders>
            <w:vAlign w:val="bottom"/>
          </w:tcPr>
          <w:p w14:paraId="20990955" w14:textId="77777777" w:rsidR="00B0420D" w:rsidRPr="0031447D" w:rsidRDefault="00B0420D" w:rsidP="00D1565B">
            <w:pPr>
              <w:tabs>
                <w:tab w:val="decimal" w:pos="113"/>
              </w:tabs>
              <w:spacing w:line="180" w:lineRule="exact"/>
              <w:ind w:left="57"/>
              <w:rPr>
                <w:sz w:val="18"/>
                <w:szCs w:val="18"/>
              </w:rPr>
            </w:pPr>
          </w:p>
        </w:tc>
        <w:tc>
          <w:tcPr>
            <w:tcW w:w="94" w:type="dxa"/>
          </w:tcPr>
          <w:p w14:paraId="2A07C4F1" w14:textId="77777777" w:rsidR="00B0420D" w:rsidRPr="0031447D" w:rsidRDefault="00B0420D" w:rsidP="00D1565B">
            <w:pPr>
              <w:tabs>
                <w:tab w:val="decimal" w:pos="113"/>
              </w:tabs>
              <w:spacing w:line="180" w:lineRule="exact"/>
              <w:ind w:left="57"/>
              <w:rPr>
                <w:sz w:val="18"/>
                <w:szCs w:val="18"/>
              </w:rPr>
            </w:pPr>
          </w:p>
        </w:tc>
        <w:tc>
          <w:tcPr>
            <w:tcW w:w="804" w:type="dxa"/>
            <w:tcBorders>
              <w:top w:val="single" w:sz="4" w:space="0" w:color="auto"/>
            </w:tcBorders>
            <w:vAlign w:val="bottom"/>
          </w:tcPr>
          <w:p w14:paraId="071B1AD6" w14:textId="77777777" w:rsidR="00B0420D" w:rsidRPr="0031447D" w:rsidRDefault="00B0420D" w:rsidP="00D1565B">
            <w:pPr>
              <w:tabs>
                <w:tab w:val="decimal" w:pos="113"/>
              </w:tabs>
              <w:spacing w:line="180" w:lineRule="exact"/>
              <w:ind w:left="57"/>
              <w:rPr>
                <w:sz w:val="18"/>
                <w:szCs w:val="18"/>
              </w:rPr>
            </w:pPr>
          </w:p>
        </w:tc>
      </w:tr>
      <w:tr w:rsidR="00D1565B" w:rsidRPr="0031447D" w14:paraId="06AB4176" w14:textId="77777777" w:rsidTr="0031447D">
        <w:tc>
          <w:tcPr>
            <w:tcW w:w="2437" w:type="dxa"/>
            <w:vAlign w:val="bottom"/>
          </w:tcPr>
          <w:p w14:paraId="2837B8A4" w14:textId="77777777" w:rsidR="00D1565B" w:rsidRPr="0031447D" w:rsidRDefault="00D1565B" w:rsidP="00D1565B">
            <w:pPr>
              <w:pStyle w:val="a3"/>
              <w:tabs>
                <w:tab w:val="left" w:pos="227"/>
                <w:tab w:val="left" w:pos="397"/>
                <w:tab w:val="left" w:pos="567"/>
              </w:tabs>
              <w:spacing w:line="180" w:lineRule="exact"/>
              <w:rPr>
                <w:sz w:val="18"/>
                <w:szCs w:val="18"/>
              </w:rPr>
            </w:pPr>
            <w:r w:rsidRPr="0031447D">
              <w:rPr>
                <w:rFonts w:hint="cs"/>
                <w:sz w:val="18"/>
                <w:szCs w:val="18"/>
                <w:rtl/>
              </w:rPr>
              <w:t>הכנסות בין-מגזריות</w:t>
            </w:r>
          </w:p>
        </w:tc>
        <w:tc>
          <w:tcPr>
            <w:tcW w:w="86" w:type="dxa"/>
          </w:tcPr>
          <w:p w14:paraId="7CB32CC3"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left w:val="nil"/>
              <w:bottom w:val="single" w:sz="4" w:space="0" w:color="auto"/>
              <w:right w:val="nil"/>
            </w:tcBorders>
            <w:vAlign w:val="bottom"/>
          </w:tcPr>
          <w:p w14:paraId="00C93618" w14:textId="77777777" w:rsidR="00D1565B" w:rsidRPr="0031447D" w:rsidRDefault="00D1565B" w:rsidP="00D1565B">
            <w:pPr>
              <w:tabs>
                <w:tab w:val="decimal" w:pos="113"/>
              </w:tabs>
              <w:spacing w:line="180" w:lineRule="exact"/>
              <w:ind w:left="57"/>
              <w:rPr>
                <w:sz w:val="18"/>
                <w:szCs w:val="18"/>
              </w:rPr>
            </w:pPr>
          </w:p>
        </w:tc>
        <w:tc>
          <w:tcPr>
            <w:tcW w:w="140" w:type="dxa"/>
          </w:tcPr>
          <w:p w14:paraId="422CF6EF" w14:textId="77777777" w:rsidR="00D1565B" w:rsidRPr="0031447D" w:rsidRDefault="00D1565B" w:rsidP="00D1565B">
            <w:pPr>
              <w:tabs>
                <w:tab w:val="decimal" w:pos="113"/>
              </w:tabs>
              <w:spacing w:line="180" w:lineRule="exact"/>
              <w:ind w:left="57"/>
              <w:rPr>
                <w:sz w:val="18"/>
                <w:szCs w:val="18"/>
              </w:rPr>
            </w:pPr>
          </w:p>
        </w:tc>
        <w:tc>
          <w:tcPr>
            <w:tcW w:w="930" w:type="dxa"/>
            <w:tcBorders>
              <w:left w:val="nil"/>
              <w:bottom w:val="single" w:sz="4" w:space="0" w:color="auto"/>
              <w:right w:val="nil"/>
            </w:tcBorders>
            <w:vAlign w:val="bottom"/>
          </w:tcPr>
          <w:p w14:paraId="5209FBDA" w14:textId="77777777" w:rsidR="00D1565B" w:rsidRPr="0031447D" w:rsidRDefault="00D1565B" w:rsidP="00D1565B">
            <w:pPr>
              <w:tabs>
                <w:tab w:val="decimal" w:pos="113"/>
              </w:tabs>
              <w:spacing w:line="180" w:lineRule="exact"/>
              <w:ind w:left="57"/>
              <w:rPr>
                <w:sz w:val="18"/>
                <w:szCs w:val="18"/>
              </w:rPr>
            </w:pPr>
          </w:p>
        </w:tc>
        <w:tc>
          <w:tcPr>
            <w:tcW w:w="113" w:type="dxa"/>
          </w:tcPr>
          <w:p w14:paraId="640FB502"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single" w:sz="4" w:space="0" w:color="auto"/>
              <w:right w:val="nil"/>
            </w:tcBorders>
            <w:vAlign w:val="bottom"/>
          </w:tcPr>
          <w:p w14:paraId="499FED43" w14:textId="77777777" w:rsidR="00D1565B" w:rsidRPr="0031447D" w:rsidRDefault="00D1565B" w:rsidP="00D1565B">
            <w:pPr>
              <w:tabs>
                <w:tab w:val="decimal" w:pos="113"/>
              </w:tabs>
              <w:spacing w:line="180" w:lineRule="exact"/>
              <w:ind w:left="57"/>
              <w:rPr>
                <w:sz w:val="18"/>
                <w:szCs w:val="18"/>
              </w:rPr>
            </w:pPr>
          </w:p>
        </w:tc>
        <w:tc>
          <w:tcPr>
            <w:tcW w:w="140" w:type="dxa"/>
          </w:tcPr>
          <w:p w14:paraId="175DED86"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single" w:sz="4" w:space="0" w:color="auto"/>
              <w:right w:val="nil"/>
            </w:tcBorders>
            <w:vAlign w:val="bottom"/>
          </w:tcPr>
          <w:p w14:paraId="096DDA6A" w14:textId="77777777" w:rsidR="00D1565B" w:rsidRPr="0031447D" w:rsidRDefault="00D1565B" w:rsidP="00D1565B">
            <w:pPr>
              <w:tabs>
                <w:tab w:val="decimal" w:pos="113"/>
              </w:tabs>
              <w:spacing w:line="180" w:lineRule="exact"/>
              <w:ind w:left="57"/>
              <w:rPr>
                <w:sz w:val="18"/>
                <w:szCs w:val="18"/>
              </w:rPr>
            </w:pPr>
          </w:p>
        </w:tc>
        <w:tc>
          <w:tcPr>
            <w:tcW w:w="140" w:type="dxa"/>
          </w:tcPr>
          <w:p w14:paraId="5660D8D7" w14:textId="77777777" w:rsidR="00D1565B" w:rsidRPr="0031447D" w:rsidRDefault="00D1565B" w:rsidP="00D1565B">
            <w:pPr>
              <w:tabs>
                <w:tab w:val="decimal" w:pos="113"/>
              </w:tabs>
              <w:spacing w:line="180" w:lineRule="exact"/>
              <w:ind w:left="57"/>
              <w:rPr>
                <w:sz w:val="18"/>
                <w:szCs w:val="18"/>
              </w:rPr>
            </w:pPr>
          </w:p>
        </w:tc>
        <w:tc>
          <w:tcPr>
            <w:tcW w:w="820" w:type="dxa"/>
            <w:tcBorders>
              <w:top w:val="nil"/>
              <w:left w:val="nil"/>
              <w:bottom w:val="single" w:sz="4" w:space="0" w:color="auto"/>
              <w:right w:val="nil"/>
            </w:tcBorders>
            <w:vAlign w:val="bottom"/>
          </w:tcPr>
          <w:p w14:paraId="5C6BA31E" w14:textId="77777777" w:rsidR="00D1565B" w:rsidRPr="0031447D" w:rsidRDefault="00D1565B" w:rsidP="00D1565B">
            <w:pPr>
              <w:tabs>
                <w:tab w:val="decimal" w:pos="113"/>
              </w:tabs>
              <w:spacing w:line="180" w:lineRule="exact"/>
              <w:ind w:left="57"/>
              <w:rPr>
                <w:sz w:val="18"/>
                <w:szCs w:val="18"/>
              </w:rPr>
            </w:pPr>
          </w:p>
        </w:tc>
        <w:tc>
          <w:tcPr>
            <w:tcW w:w="94" w:type="dxa"/>
          </w:tcPr>
          <w:p w14:paraId="285DAF22" w14:textId="77777777" w:rsidR="00D1565B" w:rsidRPr="0031447D" w:rsidRDefault="00D1565B" w:rsidP="00D1565B">
            <w:pPr>
              <w:tabs>
                <w:tab w:val="decimal" w:pos="113"/>
              </w:tabs>
              <w:spacing w:line="180" w:lineRule="exact"/>
              <w:ind w:left="57"/>
              <w:rPr>
                <w:sz w:val="18"/>
                <w:szCs w:val="18"/>
              </w:rPr>
            </w:pPr>
          </w:p>
        </w:tc>
        <w:tc>
          <w:tcPr>
            <w:tcW w:w="804" w:type="dxa"/>
            <w:tcBorders>
              <w:top w:val="nil"/>
              <w:left w:val="nil"/>
              <w:bottom w:val="single" w:sz="4" w:space="0" w:color="auto"/>
              <w:right w:val="nil"/>
            </w:tcBorders>
            <w:vAlign w:val="bottom"/>
          </w:tcPr>
          <w:p w14:paraId="2D148125" w14:textId="77777777" w:rsidR="00D1565B" w:rsidRPr="0031447D" w:rsidRDefault="00D1565B" w:rsidP="00D1565B">
            <w:pPr>
              <w:tabs>
                <w:tab w:val="decimal" w:pos="113"/>
              </w:tabs>
              <w:spacing w:line="180" w:lineRule="exact"/>
              <w:ind w:left="57"/>
              <w:rPr>
                <w:sz w:val="18"/>
                <w:szCs w:val="18"/>
              </w:rPr>
            </w:pPr>
          </w:p>
        </w:tc>
      </w:tr>
      <w:tr w:rsidR="00D1565B" w:rsidRPr="0031447D" w14:paraId="69629108" w14:textId="77777777" w:rsidTr="0031447D">
        <w:tc>
          <w:tcPr>
            <w:tcW w:w="2437" w:type="dxa"/>
            <w:vAlign w:val="bottom"/>
          </w:tcPr>
          <w:p w14:paraId="72FAF73F" w14:textId="77777777" w:rsidR="00D1565B" w:rsidRPr="0031447D" w:rsidRDefault="00D1565B" w:rsidP="00D1565B">
            <w:pPr>
              <w:pStyle w:val="a3"/>
              <w:tabs>
                <w:tab w:val="left" w:pos="227"/>
                <w:tab w:val="left" w:pos="397"/>
                <w:tab w:val="left" w:pos="567"/>
              </w:tabs>
              <w:spacing w:line="180" w:lineRule="exact"/>
              <w:rPr>
                <w:sz w:val="18"/>
                <w:szCs w:val="18"/>
                <w:rtl/>
              </w:rPr>
            </w:pPr>
          </w:p>
        </w:tc>
        <w:tc>
          <w:tcPr>
            <w:tcW w:w="86" w:type="dxa"/>
          </w:tcPr>
          <w:p w14:paraId="20EC329C" w14:textId="77777777" w:rsidR="00D1565B" w:rsidRPr="0031447D" w:rsidRDefault="00D1565B" w:rsidP="00D1565B">
            <w:pPr>
              <w:pStyle w:val="a3"/>
              <w:tabs>
                <w:tab w:val="left" w:pos="227"/>
                <w:tab w:val="left" w:pos="397"/>
                <w:tab w:val="left" w:pos="567"/>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205E54EE" w14:textId="77777777" w:rsidR="00D1565B" w:rsidRPr="0031447D" w:rsidRDefault="00D1565B" w:rsidP="00D1565B">
            <w:pPr>
              <w:pStyle w:val="a3"/>
              <w:tabs>
                <w:tab w:val="decimal" w:pos="113"/>
              </w:tabs>
              <w:spacing w:line="180" w:lineRule="exact"/>
              <w:rPr>
                <w:sz w:val="18"/>
                <w:szCs w:val="18"/>
              </w:rPr>
            </w:pPr>
          </w:p>
        </w:tc>
        <w:tc>
          <w:tcPr>
            <w:tcW w:w="140" w:type="dxa"/>
          </w:tcPr>
          <w:p w14:paraId="5DECE229" w14:textId="77777777" w:rsidR="00D1565B" w:rsidRPr="0031447D" w:rsidRDefault="00D1565B" w:rsidP="00D1565B">
            <w:pPr>
              <w:pStyle w:val="a3"/>
              <w:tabs>
                <w:tab w:val="decimal" w:pos="113"/>
              </w:tabs>
              <w:spacing w:line="180" w:lineRule="exact"/>
              <w:rPr>
                <w:sz w:val="18"/>
                <w:szCs w:val="18"/>
              </w:rPr>
            </w:pPr>
          </w:p>
        </w:tc>
        <w:tc>
          <w:tcPr>
            <w:tcW w:w="930" w:type="dxa"/>
            <w:tcBorders>
              <w:top w:val="single" w:sz="4" w:space="0" w:color="auto"/>
              <w:left w:val="nil"/>
              <w:right w:val="nil"/>
            </w:tcBorders>
            <w:shd w:val="clear" w:color="auto" w:fill="auto"/>
            <w:vAlign w:val="bottom"/>
          </w:tcPr>
          <w:p w14:paraId="63AD2578" w14:textId="77777777" w:rsidR="00D1565B" w:rsidRPr="0031447D" w:rsidRDefault="00D1565B" w:rsidP="00D1565B">
            <w:pPr>
              <w:pStyle w:val="a3"/>
              <w:tabs>
                <w:tab w:val="decimal" w:pos="113"/>
              </w:tabs>
              <w:spacing w:line="180" w:lineRule="exact"/>
              <w:rPr>
                <w:sz w:val="18"/>
                <w:szCs w:val="18"/>
              </w:rPr>
            </w:pPr>
          </w:p>
        </w:tc>
        <w:tc>
          <w:tcPr>
            <w:tcW w:w="113" w:type="dxa"/>
          </w:tcPr>
          <w:p w14:paraId="04835FFD" w14:textId="77777777" w:rsidR="00D1565B" w:rsidRPr="0031447D" w:rsidRDefault="00D1565B" w:rsidP="00D1565B">
            <w:pPr>
              <w:pStyle w:val="a3"/>
              <w:tabs>
                <w:tab w:val="decimal" w:pos="113"/>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3F0615E5" w14:textId="77777777" w:rsidR="00D1565B" w:rsidRPr="0031447D" w:rsidRDefault="00D1565B" w:rsidP="00D1565B">
            <w:pPr>
              <w:pStyle w:val="a3"/>
              <w:tabs>
                <w:tab w:val="decimal" w:pos="113"/>
              </w:tabs>
              <w:spacing w:line="180" w:lineRule="exact"/>
              <w:rPr>
                <w:sz w:val="18"/>
                <w:szCs w:val="18"/>
              </w:rPr>
            </w:pPr>
          </w:p>
        </w:tc>
        <w:tc>
          <w:tcPr>
            <w:tcW w:w="140" w:type="dxa"/>
          </w:tcPr>
          <w:p w14:paraId="6782D9BD" w14:textId="77777777" w:rsidR="00D1565B" w:rsidRPr="0031447D" w:rsidRDefault="00D1565B" w:rsidP="00D1565B">
            <w:pPr>
              <w:pStyle w:val="a3"/>
              <w:tabs>
                <w:tab w:val="decimal" w:pos="113"/>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21E828EA" w14:textId="77777777" w:rsidR="00D1565B" w:rsidRPr="0031447D" w:rsidRDefault="00D1565B" w:rsidP="00D1565B">
            <w:pPr>
              <w:pStyle w:val="a3"/>
              <w:tabs>
                <w:tab w:val="decimal" w:pos="113"/>
              </w:tabs>
              <w:spacing w:line="180" w:lineRule="exact"/>
              <w:rPr>
                <w:sz w:val="18"/>
                <w:szCs w:val="18"/>
              </w:rPr>
            </w:pPr>
          </w:p>
        </w:tc>
        <w:tc>
          <w:tcPr>
            <w:tcW w:w="140" w:type="dxa"/>
          </w:tcPr>
          <w:p w14:paraId="62765925" w14:textId="77777777" w:rsidR="00D1565B" w:rsidRPr="0031447D" w:rsidRDefault="00D1565B" w:rsidP="00D1565B">
            <w:pPr>
              <w:pStyle w:val="a3"/>
              <w:tabs>
                <w:tab w:val="decimal" w:pos="113"/>
              </w:tabs>
              <w:spacing w:line="180" w:lineRule="exact"/>
              <w:rPr>
                <w:sz w:val="18"/>
                <w:szCs w:val="18"/>
              </w:rPr>
            </w:pPr>
          </w:p>
        </w:tc>
        <w:tc>
          <w:tcPr>
            <w:tcW w:w="820" w:type="dxa"/>
            <w:tcBorders>
              <w:top w:val="single" w:sz="4" w:space="0" w:color="auto"/>
              <w:left w:val="nil"/>
              <w:right w:val="nil"/>
            </w:tcBorders>
            <w:shd w:val="clear" w:color="auto" w:fill="auto"/>
            <w:vAlign w:val="bottom"/>
          </w:tcPr>
          <w:p w14:paraId="7146CCDC" w14:textId="77777777" w:rsidR="00D1565B" w:rsidRPr="0031447D" w:rsidRDefault="00D1565B" w:rsidP="00D1565B">
            <w:pPr>
              <w:pStyle w:val="a3"/>
              <w:tabs>
                <w:tab w:val="decimal" w:pos="113"/>
              </w:tabs>
              <w:spacing w:line="180" w:lineRule="exact"/>
              <w:rPr>
                <w:sz w:val="18"/>
                <w:szCs w:val="18"/>
              </w:rPr>
            </w:pPr>
          </w:p>
        </w:tc>
        <w:tc>
          <w:tcPr>
            <w:tcW w:w="94" w:type="dxa"/>
          </w:tcPr>
          <w:p w14:paraId="442E0DC1" w14:textId="77777777" w:rsidR="00D1565B" w:rsidRPr="0031447D" w:rsidRDefault="00D1565B" w:rsidP="00D1565B">
            <w:pPr>
              <w:pStyle w:val="a3"/>
              <w:tabs>
                <w:tab w:val="decimal" w:pos="113"/>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35D28C71" w14:textId="77777777" w:rsidR="00D1565B" w:rsidRPr="0031447D" w:rsidRDefault="00D1565B" w:rsidP="00D1565B">
            <w:pPr>
              <w:pStyle w:val="a3"/>
              <w:tabs>
                <w:tab w:val="decimal" w:pos="113"/>
              </w:tabs>
              <w:spacing w:line="180" w:lineRule="exact"/>
              <w:rPr>
                <w:sz w:val="18"/>
                <w:szCs w:val="18"/>
              </w:rPr>
            </w:pPr>
          </w:p>
        </w:tc>
      </w:tr>
      <w:tr w:rsidR="00D1565B" w:rsidRPr="0031447D" w14:paraId="6D9ED98A" w14:textId="77777777" w:rsidTr="0031447D">
        <w:tc>
          <w:tcPr>
            <w:tcW w:w="2437" w:type="dxa"/>
            <w:vAlign w:val="bottom"/>
          </w:tcPr>
          <w:p w14:paraId="0562D2C6" w14:textId="77777777" w:rsidR="00D1565B" w:rsidRPr="0031447D" w:rsidRDefault="00D1565B" w:rsidP="00D1565B">
            <w:pPr>
              <w:pStyle w:val="a3"/>
              <w:tabs>
                <w:tab w:val="left" w:pos="227"/>
                <w:tab w:val="left" w:pos="397"/>
                <w:tab w:val="left" w:pos="567"/>
              </w:tabs>
              <w:spacing w:line="180" w:lineRule="exact"/>
              <w:rPr>
                <w:sz w:val="18"/>
                <w:szCs w:val="18"/>
              </w:rPr>
            </w:pPr>
            <w:r w:rsidRPr="0031447D">
              <w:rPr>
                <w:rFonts w:hint="cs"/>
                <w:sz w:val="18"/>
                <w:szCs w:val="18"/>
                <w:rtl/>
              </w:rPr>
              <w:t>סה"כ הכנסות</w:t>
            </w:r>
          </w:p>
        </w:tc>
        <w:tc>
          <w:tcPr>
            <w:tcW w:w="86" w:type="dxa"/>
          </w:tcPr>
          <w:p w14:paraId="3B3CBADD"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left w:val="nil"/>
              <w:bottom w:val="double" w:sz="6" w:space="0" w:color="auto"/>
              <w:right w:val="nil"/>
            </w:tcBorders>
            <w:vAlign w:val="bottom"/>
          </w:tcPr>
          <w:p w14:paraId="23D98E52" w14:textId="77777777" w:rsidR="00D1565B" w:rsidRPr="0031447D" w:rsidRDefault="00D1565B" w:rsidP="00D1565B">
            <w:pPr>
              <w:tabs>
                <w:tab w:val="decimal" w:pos="113"/>
              </w:tabs>
              <w:spacing w:line="180" w:lineRule="exact"/>
              <w:ind w:left="57"/>
              <w:rPr>
                <w:sz w:val="18"/>
                <w:szCs w:val="18"/>
              </w:rPr>
            </w:pPr>
          </w:p>
        </w:tc>
        <w:tc>
          <w:tcPr>
            <w:tcW w:w="140" w:type="dxa"/>
          </w:tcPr>
          <w:p w14:paraId="6C35B80D" w14:textId="77777777" w:rsidR="00D1565B" w:rsidRPr="0031447D" w:rsidRDefault="00D1565B" w:rsidP="00D1565B">
            <w:pPr>
              <w:tabs>
                <w:tab w:val="decimal" w:pos="113"/>
              </w:tabs>
              <w:spacing w:line="180" w:lineRule="exact"/>
              <w:ind w:left="57"/>
              <w:rPr>
                <w:sz w:val="18"/>
                <w:szCs w:val="18"/>
              </w:rPr>
            </w:pPr>
          </w:p>
        </w:tc>
        <w:tc>
          <w:tcPr>
            <w:tcW w:w="930" w:type="dxa"/>
            <w:tcBorders>
              <w:left w:val="nil"/>
              <w:bottom w:val="double" w:sz="6" w:space="0" w:color="auto"/>
              <w:right w:val="nil"/>
            </w:tcBorders>
            <w:vAlign w:val="bottom"/>
          </w:tcPr>
          <w:p w14:paraId="63E2C9E0" w14:textId="77777777" w:rsidR="00D1565B" w:rsidRPr="0031447D" w:rsidRDefault="00D1565B" w:rsidP="00D1565B">
            <w:pPr>
              <w:tabs>
                <w:tab w:val="decimal" w:pos="113"/>
              </w:tabs>
              <w:spacing w:line="180" w:lineRule="exact"/>
              <w:ind w:left="57"/>
              <w:rPr>
                <w:sz w:val="18"/>
                <w:szCs w:val="18"/>
              </w:rPr>
            </w:pPr>
          </w:p>
        </w:tc>
        <w:tc>
          <w:tcPr>
            <w:tcW w:w="113" w:type="dxa"/>
          </w:tcPr>
          <w:p w14:paraId="0E6779A9"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32B2EF5C" w14:textId="77777777" w:rsidR="00D1565B" w:rsidRPr="0031447D" w:rsidRDefault="00D1565B" w:rsidP="00D1565B">
            <w:pPr>
              <w:tabs>
                <w:tab w:val="decimal" w:pos="113"/>
              </w:tabs>
              <w:spacing w:line="180" w:lineRule="exact"/>
              <w:ind w:left="57"/>
              <w:rPr>
                <w:sz w:val="18"/>
                <w:szCs w:val="18"/>
              </w:rPr>
            </w:pPr>
          </w:p>
        </w:tc>
        <w:tc>
          <w:tcPr>
            <w:tcW w:w="140" w:type="dxa"/>
          </w:tcPr>
          <w:p w14:paraId="15956149"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1EC1DE3A" w14:textId="77777777" w:rsidR="00D1565B" w:rsidRPr="0031447D" w:rsidRDefault="00D1565B" w:rsidP="00D1565B">
            <w:pPr>
              <w:tabs>
                <w:tab w:val="decimal" w:pos="113"/>
              </w:tabs>
              <w:spacing w:line="180" w:lineRule="exact"/>
              <w:ind w:left="57"/>
              <w:rPr>
                <w:sz w:val="18"/>
                <w:szCs w:val="18"/>
              </w:rPr>
            </w:pPr>
          </w:p>
        </w:tc>
        <w:tc>
          <w:tcPr>
            <w:tcW w:w="140" w:type="dxa"/>
          </w:tcPr>
          <w:p w14:paraId="0E770D19" w14:textId="77777777" w:rsidR="00D1565B" w:rsidRPr="0031447D" w:rsidRDefault="00D1565B" w:rsidP="00D1565B">
            <w:pPr>
              <w:tabs>
                <w:tab w:val="decimal" w:pos="113"/>
              </w:tabs>
              <w:spacing w:line="180" w:lineRule="exact"/>
              <w:ind w:left="57"/>
              <w:rPr>
                <w:sz w:val="18"/>
                <w:szCs w:val="18"/>
              </w:rPr>
            </w:pPr>
          </w:p>
        </w:tc>
        <w:tc>
          <w:tcPr>
            <w:tcW w:w="820" w:type="dxa"/>
            <w:tcBorders>
              <w:left w:val="nil"/>
              <w:bottom w:val="double" w:sz="6" w:space="0" w:color="auto"/>
              <w:right w:val="nil"/>
            </w:tcBorders>
            <w:vAlign w:val="bottom"/>
          </w:tcPr>
          <w:p w14:paraId="083E2A23" w14:textId="77777777" w:rsidR="00D1565B" w:rsidRPr="0031447D" w:rsidRDefault="00D1565B" w:rsidP="00D1565B">
            <w:pPr>
              <w:tabs>
                <w:tab w:val="decimal" w:pos="113"/>
              </w:tabs>
              <w:spacing w:line="180" w:lineRule="exact"/>
              <w:ind w:left="57"/>
              <w:rPr>
                <w:sz w:val="18"/>
                <w:szCs w:val="18"/>
              </w:rPr>
            </w:pPr>
          </w:p>
        </w:tc>
        <w:tc>
          <w:tcPr>
            <w:tcW w:w="94" w:type="dxa"/>
          </w:tcPr>
          <w:p w14:paraId="53E34114"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5044773A" w14:textId="77777777" w:rsidR="00D1565B" w:rsidRPr="0031447D" w:rsidRDefault="00D1565B" w:rsidP="00D1565B">
            <w:pPr>
              <w:tabs>
                <w:tab w:val="decimal" w:pos="113"/>
              </w:tabs>
              <w:spacing w:line="180" w:lineRule="exact"/>
              <w:ind w:left="57"/>
              <w:rPr>
                <w:sz w:val="18"/>
                <w:szCs w:val="18"/>
              </w:rPr>
            </w:pPr>
          </w:p>
        </w:tc>
      </w:tr>
      <w:tr w:rsidR="00D1565B" w:rsidRPr="0031447D" w14:paraId="4579BBDA" w14:textId="77777777" w:rsidTr="0031447D">
        <w:tc>
          <w:tcPr>
            <w:tcW w:w="2437" w:type="dxa"/>
            <w:vAlign w:val="bottom"/>
          </w:tcPr>
          <w:p w14:paraId="020C6B70" w14:textId="77777777" w:rsidR="00D1565B" w:rsidRPr="0031447D" w:rsidRDefault="00D1565B" w:rsidP="00D1565B">
            <w:pPr>
              <w:pStyle w:val="a3"/>
              <w:tabs>
                <w:tab w:val="left" w:pos="227"/>
                <w:tab w:val="left" w:pos="397"/>
                <w:tab w:val="left" w:pos="567"/>
              </w:tabs>
              <w:spacing w:line="180" w:lineRule="exact"/>
              <w:rPr>
                <w:sz w:val="18"/>
                <w:szCs w:val="18"/>
              </w:rPr>
            </w:pPr>
          </w:p>
        </w:tc>
        <w:tc>
          <w:tcPr>
            <w:tcW w:w="86" w:type="dxa"/>
          </w:tcPr>
          <w:p w14:paraId="3182552C"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top w:val="double" w:sz="6" w:space="0" w:color="auto"/>
              <w:left w:val="nil"/>
              <w:bottom w:val="nil"/>
              <w:right w:val="nil"/>
            </w:tcBorders>
            <w:vAlign w:val="bottom"/>
          </w:tcPr>
          <w:p w14:paraId="700A3647" w14:textId="77777777" w:rsidR="00D1565B" w:rsidRPr="0031447D" w:rsidRDefault="00D1565B" w:rsidP="00D1565B">
            <w:pPr>
              <w:tabs>
                <w:tab w:val="decimal" w:pos="113"/>
              </w:tabs>
              <w:spacing w:line="180" w:lineRule="exact"/>
              <w:ind w:left="57"/>
              <w:rPr>
                <w:sz w:val="18"/>
                <w:szCs w:val="18"/>
              </w:rPr>
            </w:pPr>
          </w:p>
        </w:tc>
        <w:tc>
          <w:tcPr>
            <w:tcW w:w="140" w:type="dxa"/>
          </w:tcPr>
          <w:p w14:paraId="52D12299" w14:textId="77777777" w:rsidR="00D1565B" w:rsidRPr="0031447D" w:rsidRDefault="00D1565B" w:rsidP="00D1565B">
            <w:pPr>
              <w:tabs>
                <w:tab w:val="decimal" w:pos="113"/>
              </w:tabs>
              <w:spacing w:line="180" w:lineRule="exact"/>
              <w:ind w:left="57"/>
              <w:rPr>
                <w:sz w:val="18"/>
                <w:szCs w:val="18"/>
              </w:rPr>
            </w:pPr>
          </w:p>
        </w:tc>
        <w:tc>
          <w:tcPr>
            <w:tcW w:w="930" w:type="dxa"/>
            <w:tcBorders>
              <w:top w:val="double" w:sz="6" w:space="0" w:color="auto"/>
              <w:left w:val="nil"/>
              <w:bottom w:val="nil"/>
              <w:right w:val="nil"/>
            </w:tcBorders>
            <w:vAlign w:val="bottom"/>
          </w:tcPr>
          <w:p w14:paraId="3C293B7F" w14:textId="77777777" w:rsidR="00D1565B" w:rsidRPr="0031447D" w:rsidRDefault="00D1565B" w:rsidP="00D1565B">
            <w:pPr>
              <w:tabs>
                <w:tab w:val="decimal" w:pos="113"/>
              </w:tabs>
              <w:spacing w:line="180" w:lineRule="exact"/>
              <w:ind w:left="57"/>
              <w:rPr>
                <w:sz w:val="18"/>
                <w:szCs w:val="18"/>
              </w:rPr>
            </w:pPr>
          </w:p>
        </w:tc>
        <w:tc>
          <w:tcPr>
            <w:tcW w:w="113" w:type="dxa"/>
          </w:tcPr>
          <w:p w14:paraId="14DC50E7" w14:textId="77777777" w:rsidR="00D1565B" w:rsidRPr="0031447D" w:rsidRDefault="00D1565B" w:rsidP="00D1565B">
            <w:pPr>
              <w:tabs>
                <w:tab w:val="decimal" w:pos="113"/>
              </w:tabs>
              <w:spacing w:line="180" w:lineRule="exact"/>
              <w:ind w:left="57"/>
              <w:rPr>
                <w:sz w:val="18"/>
                <w:szCs w:val="18"/>
              </w:rPr>
            </w:pPr>
          </w:p>
        </w:tc>
        <w:tc>
          <w:tcPr>
            <w:tcW w:w="804" w:type="dxa"/>
            <w:tcBorders>
              <w:top w:val="double" w:sz="6" w:space="0" w:color="auto"/>
              <w:left w:val="nil"/>
              <w:bottom w:val="nil"/>
              <w:right w:val="nil"/>
            </w:tcBorders>
            <w:vAlign w:val="bottom"/>
          </w:tcPr>
          <w:p w14:paraId="6318789F" w14:textId="77777777" w:rsidR="00D1565B" w:rsidRPr="0031447D" w:rsidRDefault="00D1565B" w:rsidP="00D1565B">
            <w:pPr>
              <w:tabs>
                <w:tab w:val="decimal" w:pos="113"/>
              </w:tabs>
              <w:spacing w:line="180" w:lineRule="exact"/>
              <w:ind w:left="57"/>
              <w:rPr>
                <w:sz w:val="18"/>
                <w:szCs w:val="18"/>
              </w:rPr>
            </w:pPr>
          </w:p>
        </w:tc>
        <w:tc>
          <w:tcPr>
            <w:tcW w:w="140" w:type="dxa"/>
          </w:tcPr>
          <w:p w14:paraId="3CD84946" w14:textId="77777777" w:rsidR="00D1565B" w:rsidRPr="0031447D" w:rsidRDefault="00D1565B" w:rsidP="00D1565B">
            <w:pPr>
              <w:tabs>
                <w:tab w:val="decimal" w:pos="113"/>
              </w:tabs>
              <w:spacing w:line="180" w:lineRule="exact"/>
              <w:ind w:left="57"/>
              <w:rPr>
                <w:sz w:val="18"/>
                <w:szCs w:val="18"/>
              </w:rPr>
            </w:pPr>
          </w:p>
        </w:tc>
        <w:tc>
          <w:tcPr>
            <w:tcW w:w="804" w:type="dxa"/>
            <w:tcBorders>
              <w:top w:val="double" w:sz="6" w:space="0" w:color="auto"/>
              <w:left w:val="nil"/>
              <w:bottom w:val="nil"/>
              <w:right w:val="nil"/>
            </w:tcBorders>
            <w:vAlign w:val="bottom"/>
          </w:tcPr>
          <w:p w14:paraId="507FD048" w14:textId="77777777" w:rsidR="00D1565B" w:rsidRPr="0031447D" w:rsidRDefault="00D1565B" w:rsidP="00D1565B">
            <w:pPr>
              <w:tabs>
                <w:tab w:val="decimal" w:pos="113"/>
              </w:tabs>
              <w:spacing w:line="180" w:lineRule="exact"/>
              <w:ind w:left="57"/>
              <w:rPr>
                <w:sz w:val="18"/>
                <w:szCs w:val="18"/>
              </w:rPr>
            </w:pPr>
          </w:p>
        </w:tc>
        <w:tc>
          <w:tcPr>
            <w:tcW w:w="140" w:type="dxa"/>
          </w:tcPr>
          <w:p w14:paraId="5266296E" w14:textId="77777777" w:rsidR="00D1565B" w:rsidRPr="0031447D" w:rsidRDefault="00D1565B" w:rsidP="00D1565B">
            <w:pPr>
              <w:tabs>
                <w:tab w:val="decimal" w:pos="113"/>
              </w:tabs>
              <w:spacing w:line="180" w:lineRule="exact"/>
              <w:ind w:left="57"/>
              <w:rPr>
                <w:sz w:val="18"/>
                <w:szCs w:val="18"/>
              </w:rPr>
            </w:pPr>
          </w:p>
        </w:tc>
        <w:tc>
          <w:tcPr>
            <w:tcW w:w="820" w:type="dxa"/>
            <w:tcBorders>
              <w:top w:val="double" w:sz="6" w:space="0" w:color="auto"/>
              <w:left w:val="nil"/>
              <w:bottom w:val="nil"/>
              <w:right w:val="nil"/>
            </w:tcBorders>
            <w:vAlign w:val="bottom"/>
          </w:tcPr>
          <w:p w14:paraId="3450418B" w14:textId="77777777" w:rsidR="00D1565B" w:rsidRPr="0031447D" w:rsidRDefault="00D1565B" w:rsidP="00D1565B">
            <w:pPr>
              <w:tabs>
                <w:tab w:val="decimal" w:pos="113"/>
              </w:tabs>
              <w:spacing w:line="180" w:lineRule="exact"/>
              <w:ind w:left="57"/>
              <w:rPr>
                <w:sz w:val="18"/>
                <w:szCs w:val="18"/>
              </w:rPr>
            </w:pPr>
          </w:p>
        </w:tc>
        <w:tc>
          <w:tcPr>
            <w:tcW w:w="94" w:type="dxa"/>
          </w:tcPr>
          <w:p w14:paraId="05EF5082" w14:textId="77777777" w:rsidR="00D1565B" w:rsidRPr="0031447D" w:rsidRDefault="00D1565B" w:rsidP="00D1565B">
            <w:pPr>
              <w:tabs>
                <w:tab w:val="decimal" w:pos="113"/>
              </w:tabs>
              <w:spacing w:line="180" w:lineRule="exact"/>
              <w:ind w:left="57"/>
              <w:rPr>
                <w:sz w:val="18"/>
                <w:szCs w:val="18"/>
              </w:rPr>
            </w:pPr>
          </w:p>
        </w:tc>
        <w:tc>
          <w:tcPr>
            <w:tcW w:w="804" w:type="dxa"/>
            <w:tcBorders>
              <w:top w:val="double" w:sz="6" w:space="0" w:color="auto"/>
              <w:left w:val="nil"/>
              <w:right w:val="nil"/>
            </w:tcBorders>
            <w:vAlign w:val="bottom"/>
          </w:tcPr>
          <w:p w14:paraId="48F04AFE" w14:textId="77777777" w:rsidR="00D1565B" w:rsidRPr="0031447D" w:rsidRDefault="00D1565B" w:rsidP="00D1565B">
            <w:pPr>
              <w:tabs>
                <w:tab w:val="decimal" w:pos="113"/>
              </w:tabs>
              <w:spacing w:line="180" w:lineRule="exact"/>
              <w:ind w:left="57"/>
              <w:rPr>
                <w:sz w:val="18"/>
                <w:szCs w:val="18"/>
              </w:rPr>
            </w:pPr>
          </w:p>
        </w:tc>
      </w:tr>
      <w:tr w:rsidR="00D1565B" w:rsidRPr="0031447D" w14:paraId="7CA395D4" w14:textId="77777777" w:rsidTr="0031447D">
        <w:tc>
          <w:tcPr>
            <w:tcW w:w="2437" w:type="dxa"/>
            <w:vAlign w:val="bottom"/>
          </w:tcPr>
          <w:p w14:paraId="6A288245" w14:textId="77777777" w:rsidR="00D1565B" w:rsidRPr="0031447D" w:rsidRDefault="00D1565B" w:rsidP="00D1565B">
            <w:pPr>
              <w:pStyle w:val="a3"/>
              <w:tabs>
                <w:tab w:val="left" w:pos="227"/>
                <w:tab w:val="left" w:pos="397"/>
                <w:tab w:val="left" w:pos="567"/>
              </w:tabs>
              <w:spacing w:line="180" w:lineRule="exact"/>
              <w:rPr>
                <w:sz w:val="18"/>
                <w:szCs w:val="18"/>
              </w:rPr>
            </w:pPr>
            <w:r w:rsidRPr="0031447D">
              <w:rPr>
                <w:rFonts w:hint="cs"/>
                <w:sz w:val="18"/>
                <w:szCs w:val="18"/>
                <w:rtl/>
              </w:rPr>
              <w:t>רווח (הפסד) מגזרי</w:t>
            </w:r>
          </w:p>
        </w:tc>
        <w:tc>
          <w:tcPr>
            <w:tcW w:w="86" w:type="dxa"/>
          </w:tcPr>
          <w:p w14:paraId="2F1A765F"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left w:val="nil"/>
              <w:bottom w:val="double" w:sz="6" w:space="0" w:color="auto"/>
              <w:right w:val="nil"/>
            </w:tcBorders>
            <w:vAlign w:val="bottom"/>
          </w:tcPr>
          <w:p w14:paraId="253BE42B" w14:textId="77777777" w:rsidR="00D1565B" w:rsidRPr="0031447D" w:rsidRDefault="00D1565B" w:rsidP="00D1565B">
            <w:pPr>
              <w:tabs>
                <w:tab w:val="decimal" w:pos="113"/>
              </w:tabs>
              <w:spacing w:line="180" w:lineRule="exact"/>
              <w:ind w:left="57"/>
              <w:rPr>
                <w:sz w:val="18"/>
                <w:szCs w:val="18"/>
              </w:rPr>
            </w:pPr>
          </w:p>
        </w:tc>
        <w:tc>
          <w:tcPr>
            <w:tcW w:w="140" w:type="dxa"/>
          </w:tcPr>
          <w:p w14:paraId="05AD0E4E" w14:textId="77777777" w:rsidR="00D1565B" w:rsidRPr="0031447D" w:rsidRDefault="00D1565B" w:rsidP="00D1565B">
            <w:pPr>
              <w:tabs>
                <w:tab w:val="decimal" w:pos="113"/>
              </w:tabs>
              <w:spacing w:line="180" w:lineRule="exact"/>
              <w:ind w:left="57"/>
              <w:rPr>
                <w:sz w:val="18"/>
                <w:szCs w:val="18"/>
              </w:rPr>
            </w:pPr>
          </w:p>
        </w:tc>
        <w:tc>
          <w:tcPr>
            <w:tcW w:w="930" w:type="dxa"/>
            <w:tcBorders>
              <w:left w:val="nil"/>
              <w:bottom w:val="double" w:sz="6" w:space="0" w:color="auto"/>
              <w:right w:val="nil"/>
            </w:tcBorders>
            <w:vAlign w:val="bottom"/>
          </w:tcPr>
          <w:p w14:paraId="5B0A8127" w14:textId="77777777" w:rsidR="00D1565B" w:rsidRPr="0031447D" w:rsidRDefault="00D1565B" w:rsidP="00D1565B">
            <w:pPr>
              <w:tabs>
                <w:tab w:val="decimal" w:pos="113"/>
              </w:tabs>
              <w:spacing w:line="180" w:lineRule="exact"/>
              <w:ind w:left="57"/>
              <w:rPr>
                <w:sz w:val="18"/>
                <w:szCs w:val="18"/>
              </w:rPr>
            </w:pPr>
          </w:p>
        </w:tc>
        <w:tc>
          <w:tcPr>
            <w:tcW w:w="113" w:type="dxa"/>
          </w:tcPr>
          <w:p w14:paraId="3D09A590"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36214A79" w14:textId="77777777" w:rsidR="00D1565B" w:rsidRPr="0031447D" w:rsidRDefault="00D1565B" w:rsidP="00D1565B">
            <w:pPr>
              <w:tabs>
                <w:tab w:val="decimal" w:pos="113"/>
              </w:tabs>
              <w:spacing w:line="180" w:lineRule="exact"/>
              <w:ind w:left="57"/>
              <w:rPr>
                <w:sz w:val="18"/>
                <w:szCs w:val="18"/>
              </w:rPr>
            </w:pPr>
          </w:p>
        </w:tc>
        <w:tc>
          <w:tcPr>
            <w:tcW w:w="140" w:type="dxa"/>
          </w:tcPr>
          <w:p w14:paraId="3632D089"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5676E3AC" w14:textId="77777777" w:rsidR="00D1565B" w:rsidRPr="0031447D" w:rsidRDefault="00D1565B" w:rsidP="00D1565B">
            <w:pPr>
              <w:tabs>
                <w:tab w:val="decimal" w:pos="113"/>
              </w:tabs>
              <w:spacing w:line="180" w:lineRule="exact"/>
              <w:ind w:left="57"/>
              <w:rPr>
                <w:sz w:val="18"/>
                <w:szCs w:val="18"/>
              </w:rPr>
            </w:pPr>
          </w:p>
        </w:tc>
        <w:tc>
          <w:tcPr>
            <w:tcW w:w="140" w:type="dxa"/>
          </w:tcPr>
          <w:p w14:paraId="2A091766" w14:textId="77777777" w:rsidR="00D1565B" w:rsidRPr="0031447D" w:rsidRDefault="00D1565B" w:rsidP="00D1565B">
            <w:pPr>
              <w:tabs>
                <w:tab w:val="decimal" w:pos="113"/>
              </w:tabs>
              <w:spacing w:line="180" w:lineRule="exact"/>
              <w:ind w:left="57"/>
              <w:rPr>
                <w:sz w:val="18"/>
                <w:szCs w:val="18"/>
              </w:rPr>
            </w:pPr>
          </w:p>
        </w:tc>
        <w:tc>
          <w:tcPr>
            <w:tcW w:w="820" w:type="dxa"/>
            <w:tcBorders>
              <w:left w:val="nil"/>
              <w:bottom w:val="double" w:sz="6" w:space="0" w:color="auto"/>
              <w:right w:val="nil"/>
            </w:tcBorders>
            <w:vAlign w:val="bottom"/>
          </w:tcPr>
          <w:p w14:paraId="39D37CB2" w14:textId="77777777" w:rsidR="00D1565B" w:rsidRPr="0031447D" w:rsidRDefault="00D1565B" w:rsidP="00D1565B">
            <w:pPr>
              <w:tabs>
                <w:tab w:val="decimal" w:pos="113"/>
              </w:tabs>
              <w:spacing w:line="180" w:lineRule="exact"/>
              <w:ind w:left="57"/>
              <w:rPr>
                <w:sz w:val="18"/>
                <w:szCs w:val="18"/>
              </w:rPr>
            </w:pPr>
          </w:p>
        </w:tc>
        <w:tc>
          <w:tcPr>
            <w:tcW w:w="94" w:type="dxa"/>
          </w:tcPr>
          <w:p w14:paraId="01638DF0" w14:textId="77777777" w:rsidR="00D1565B" w:rsidRPr="0031447D" w:rsidRDefault="00D1565B" w:rsidP="00D1565B">
            <w:pPr>
              <w:tabs>
                <w:tab w:val="decimal" w:pos="113"/>
              </w:tabs>
              <w:spacing w:line="180" w:lineRule="exact"/>
              <w:ind w:left="57"/>
              <w:rPr>
                <w:sz w:val="18"/>
                <w:szCs w:val="18"/>
              </w:rPr>
            </w:pPr>
          </w:p>
        </w:tc>
        <w:tc>
          <w:tcPr>
            <w:tcW w:w="804" w:type="dxa"/>
            <w:tcBorders>
              <w:left w:val="nil"/>
              <w:right w:val="nil"/>
            </w:tcBorders>
            <w:vAlign w:val="bottom"/>
          </w:tcPr>
          <w:p w14:paraId="6348D86C" w14:textId="77777777" w:rsidR="00D1565B" w:rsidRPr="0031447D" w:rsidRDefault="00D1565B" w:rsidP="00D1565B">
            <w:pPr>
              <w:tabs>
                <w:tab w:val="decimal" w:pos="113"/>
              </w:tabs>
              <w:spacing w:line="180" w:lineRule="exact"/>
              <w:ind w:left="57"/>
              <w:rPr>
                <w:sz w:val="18"/>
                <w:szCs w:val="18"/>
              </w:rPr>
            </w:pPr>
          </w:p>
        </w:tc>
      </w:tr>
      <w:tr w:rsidR="00D1565B" w:rsidRPr="0031447D" w14:paraId="1FEC0A41" w14:textId="77777777" w:rsidTr="0031447D">
        <w:tc>
          <w:tcPr>
            <w:tcW w:w="2437" w:type="dxa"/>
            <w:vAlign w:val="bottom"/>
          </w:tcPr>
          <w:p w14:paraId="2AB7CF37" w14:textId="77777777" w:rsidR="00D1565B" w:rsidRPr="0031447D" w:rsidRDefault="00D1565B" w:rsidP="00D1565B">
            <w:pPr>
              <w:pStyle w:val="a3"/>
              <w:widowControl/>
              <w:tabs>
                <w:tab w:val="left" w:pos="227"/>
                <w:tab w:val="left" w:pos="397"/>
                <w:tab w:val="left" w:pos="567"/>
              </w:tabs>
              <w:bidi w:val="0"/>
              <w:spacing w:line="180" w:lineRule="exact"/>
              <w:ind w:left="0"/>
              <w:rPr>
                <w:sz w:val="18"/>
                <w:szCs w:val="18"/>
              </w:rPr>
            </w:pPr>
          </w:p>
        </w:tc>
        <w:tc>
          <w:tcPr>
            <w:tcW w:w="86" w:type="dxa"/>
          </w:tcPr>
          <w:p w14:paraId="68954BB7" w14:textId="77777777" w:rsidR="00D1565B" w:rsidRPr="0031447D" w:rsidRDefault="00D1565B" w:rsidP="00D1565B">
            <w:pPr>
              <w:pStyle w:val="a3"/>
              <w:widowControl/>
              <w:tabs>
                <w:tab w:val="left" w:pos="227"/>
                <w:tab w:val="left" w:pos="397"/>
                <w:tab w:val="left" w:pos="567"/>
              </w:tabs>
              <w:bidi w:val="0"/>
              <w:spacing w:line="180" w:lineRule="exact"/>
              <w:ind w:left="0"/>
              <w:rPr>
                <w:sz w:val="18"/>
                <w:szCs w:val="18"/>
              </w:rPr>
            </w:pPr>
          </w:p>
        </w:tc>
        <w:tc>
          <w:tcPr>
            <w:tcW w:w="804" w:type="dxa"/>
            <w:tcBorders>
              <w:top w:val="double" w:sz="6" w:space="0" w:color="auto"/>
              <w:left w:val="nil"/>
              <w:bottom w:val="nil"/>
              <w:right w:val="nil"/>
            </w:tcBorders>
            <w:vAlign w:val="bottom"/>
          </w:tcPr>
          <w:p w14:paraId="4286AA69"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43444C72" w14:textId="77777777" w:rsidR="00D1565B" w:rsidRPr="0031447D" w:rsidRDefault="00D1565B" w:rsidP="00D1565B">
            <w:pPr>
              <w:widowControl/>
              <w:tabs>
                <w:tab w:val="decimal" w:pos="113"/>
              </w:tabs>
              <w:bidi w:val="0"/>
              <w:spacing w:line="180" w:lineRule="exact"/>
              <w:rPr>
                <w:sz w:val="18"/>
                <w:szCs w:val="18"/>
              </w:rPr>
            </w:pPr>
          </w:p>
        </w:tc>
        <w:tc>
          <w:tcPr>
            <w:tcW w:w="930" w:type="dxa"/>
            <w:tcBorders>
              <w:top w:val="double" w:sz="6" w:space="0" w:color="auto"/>
              <w:left w:val="nil"/>
              <w:bottom w:val="nil"/>
              <w:right w:val="nil"/>
            </w:tcBorders>
            <w:vAlign w:val="bottom"/>
          </w:tcPr>
          <w:p w14:paraId="2E358423" w14:textId="77777777" w:rsidR="00D1565B" w:rsidRPr="0031447D" w:rsidRDefault="00D1565B" w:rsidP="00D1565B">
            <w:pPr>
              <w:widowControl/>
              <w:tabs>
                <w:tab w:val="decimal" w:pos="113"/>
              </w:tabs>
              <w:bidi w:val="0"/>
              <w:spacing w:line="180" w:lineRule="exact"/>
              <w:rPr>
                <w:sz w:val="18"/>
                <w:szCs w:val="18"/>
              </w:rPr>
            </w:pPr>
          </w:p>
        </w:tc>
        <w:tc>
          <w:tcPr>
            <w:tcW w:w="113" w:type="dxa"/>
          </w:tcPr>
          <w:p w14:paraId="561AFA92" w14:textId="77777777" w:rsidR="00D1565B" w:rsidRPr="0031447D" w:rsidRDefault="00D1565B" w:rsidP="00D1565B">
            <w:pPr>
              <w:widowControl/>
              <w:tabs>
                <w:tab w:val="decimal" w:pos="113"/>
              </w:tabs>
              <w:bidi w:val="0"/>
              <w:spacing w:line="180" w:lineRule="exact"/>
              <w:rPr>
                <w:sz w:val="18"/>
                <w:szCs w:val="18"/>
              </w:rPr>
            </w:pPr>
          </w:p>
        </w:tc>
        <w:tc>
          <w:tcPr>
            <w:tcW w:w="804" w:type="dxa"/>
            <w:tcBorders>
              <w:top w:val="double" w:sz="6" w:space="0" w:color="auto"/>
              <w:left w:val="nil"/>
              <w:bottom w:val="nil"/>
              <w:right w:val="nil"/>
            </w:tcBorders>
            <w:vAlign w:val="bottom"/>
          </w:tcPr>
          <w:p w14:paraId="640B944B"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2B44F89C" w14:textId="77777777" w:rsidR="00D1565B" w:rsidRPr="0031447D" w:rsidRDefault="00D1565B" w:rsidP="00D1565B">
            <w:pPr>
              <w:widowControl/>
              <w:tabs>
                <w:tab w:val="decimal" w:pos="113"/>
              </w:tabs>
              <w:bidi w:val="0"/>
              <w:spacing w:line="180" w:lineRule="exact"/>
              <w:rPr>
                <w:sz w:val="18"/>
                <w:szCs w:val="18"/>
              </w:rPr>
            </w:pPr>
          </w:p>
        </w:tc>
        <w:tc>
          <w:tcPr>
            <w:tcW w:w="804" w:type="dxa"/>
            <w:tcBorders>
              <w:top w:val="double" w:sz="6" w:space="0" w:color="auto"/>
              <w:left w:val="nil"/>
              <w:bottom w:val="nil"/>
              <w:right w:val="nil"/>
            </w:tcBorders>
            <w:vAlign w:val="bottom"/>
          </w:tcPr>
          <w:p w14:paraId="100239B6"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406CC812" w14:textId="77777777" w:rsidR="00D1565B" w:rsidRPr="0031447D" w:rsidRDefault="00D1565B" w:rsidP="00D1565B">
            <w:pPr>
              <w:widowControl/>
              <w:tabs>
                <w:tab w:val="decimal" w:pos="113"/>
              </w:tabs>
              <w:bidi w:val="0"/>
              <w:spacing w:line="180" w:lineRule="exact"/>
              <w:rPr>
                <w:sz w:val="18"/>
                <w:szCs w:val="18"/>
              </w:rPr>
            </w:pPr>
          </w:p>
        </w:tc>
        <w:tc>
          <w:tcPr>
            <w:tcW w:w="820" w:type="dxa"/>
            <w:tcBorders>
              <w:top w:val="double" w:sz="6" w:space="0" w:color="auto"/>
              <w:left w:val="nil"/>
              <w:bottom w:val="nil"/>
              <w:right w:val="nil"/>
            </w:tcBorders>
            <w:vAlign w:val="bottom"/>
          </w:tcPr>
          <w:p w14:paraId="284422EC" w14:textId="77777777" w:rsidR="00D1565B" w:rsidRPr="0031447D" w:rsidRDefault="00D1565B" w:rsidP="00D1565B">
            <w:pPr>
              <w:widowControl/>
              <w:tabs>
                <w:tab w:val="decimal" w:pos="113"/>
              </w:tabs>
              <w:bidi w:val="0"/>
              <w:spacing w:line="180" w:lineRule="exact"/>
              <w:rPr>
                <w:sz w:val="18"/>
                <w:szCs w:val="18"/>
              </w:rPr>
            </w:pPr>
          </w:p>
        </w:tc>
        <w:tc>
          <w:tcPr>
            <w:tcW w:w="94" w:type="dxa"/>
          </w:tcPr>
          <w:p w14:paraId="58FC7D0B" w14:textId="77777777" w:rsidR="00D1565B" w:rsidRPr="0031447D" w:rsidRDefault="00D1565B" w:rsidP="00D1565B">
            <w:pPr>
              <w:widowControl/>
              <w:tabs>
                <w:tab w:val="decimal" w:pos="113"/>
              </w:tabs>
              <w:bidi w:val="0"/>
              <w:spacing w:line="180" w:lineRule="exact"/>
              <w:rPr>
                <w:sz w:val="18"/>
                <w:szCs w:val="18"/>
              </w:rPr>
            </w:pPr>
          </w:p>
        </w:tc>
        <w:tc>
          <w:tcPr>
            <w:tcW w:w="804" w:type="dxa"/>
            <w:tcBorders>
              <w:left w:val="nil"/>
              <w:bottom w:val="nil"/>
              <w:right w:val="nil"/>
            </w:tcBorders>
            <w:vAlign w:val="bottom"/>
          </w:tcPr>
          <w:p w14:paraId="6955E982" w14:textId="77777777" w:rsidR="00D1565B" w:rsidRPr="0031447D" w:rsidRDefault="00D1565B" w:rsidP="00D1565B">
            <w:pPr>
              <w:widowControl/>
              <w:tabs>
                <w:tab w:val="decimal" w:pos="113"/>
              </w:tabs>
              <w:bidi w:val="0"/>
              <w:spacing w:line="180" w:lineRule="exact"/>
              <w:rPr>
                <w:sz w:val="18"/>
                <w:szCs w:val="18"/>
              </w:rPr>
            </w:pPr>
          </w:p>
        </w:tc>
      </w:tr>
      <w:tr w:rsidR="00D1565B" w:rsidRPr="0031447D" w14:paraId="7BA9BFBA" w14:textId="77777777" w:rsidTr="0031447D">
        <w:tc>
          <w:tcPr>
            <w:tcW w:w="2437" w:type="dxa"/>
            <w:vAlign w:val="bottom"/>
          </w:tcPr>
          <w:p w14:paraId="3D5213EA" w14:textId="77777777" w:rsidR="00D1565B" w:rsidRPr="0031447D" w:rsidRDefault="00D1565B" w:rsidP="00D1565B">
            <w:pPr>
              <w:pStyle w:val="a3"/>
              <w:tabs>
                <w:tab w:val="left" w:pos="227"/>
                <w:tab w:val="left" w:pos="397"/>
                <w:tab w:val="left" w:pos="567"/>
              </w:tabs>
              <w:spacing w:line="180" w:lineRule="exact"/>
              <w:ind w:left="227" w:hanging="170"/>
              <w:rPr>
                <w:sz w:val="18"/>
                <w:szCs w:val="18"/>
                <w:rtl/>
              </w:rPr>
            </w:pPr>
            <w:r w:rsidRPr="0031447D">
              <w:rPr>
                <w:rFonts w:hint="cs"/>
                <w:sz w:val="18"/>
                <w:szCs w:val="18"/>
                <w:rtl/>
              </w:rPr>
              <w:t>הוצאות משותפות בלתי מוקצות</w:t>
            </w:r>
          </w:p>
        </w:tc>
        <w:tc>
          <w:tcPr>
            <w:tcW w:w="86" w:type="dxa"/>
          </w:tcPr>
          <w:p w14:paraId="10D2C99C"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018D11BC" w14:textId="77777777" w:rsidR="00D1565B" w:rsidRPr="0031447D" w:rsidRDefault="00D1565B" w:rsidP="00D1565B">
            <w:pPr>
              <w:tabs>
                <w:tab w:val="decimal" w:pos="113"/>
              </w:tabs>
              <w:spacing w:line="180" w:lineRule="exact"/>
              <w:ind w:left="57"/>
              <w:rPr>
                <w:sz w:val="18"/>
                <w:szCs w:val="18"/>
              </w:rPr>
            </w:pPr>
          </w:p>
        </w:tc>
        <w:tc>
          <w:tcPr>
            <w:tcW w:w="140" w:type="dxa"/>
          </w:tcPr>
          <w:p w14:paraId="1BEE0548"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154D668A" w14:textId="77777777" w:rsidR="00D1565B" w:rsidRPr="0031447D" w:rsidRDefault="00D1565B" w:rsidP="00D1565B">
            <w:pPr>
              <w:tabs>
                <w:tab w:val="decimal" w:pos="113"/>
              </w:tabs>
              <w:spacing w:line="180" w:lineRule="exact"/>
              <w:ind w:left="57"/>
              <w:rPr>
                <w:sz w:val="18"/>
                <w:szCs w:val="18"/>
              </w:rPr>
            </w:pPr>
          </w:p>
        </w:tc>
        <w:tc>
          <w:tcPr>
            <w:tcW w:w="113" w:type="dxa"/>
          </w:tcPr>
          <w:p w14:paraId="556370C5"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62EA1356" w14:textId="77777777" w:rsidR="00D1565B" w:rsidRPr="0031447D" w:rsidRDefault="00D1565B" w:rsidP="00D1565B">
            <w:pPr>
              <w:tabs>
                <w:tab w:val="decimal" w:pos="113"/>
              </w:tabs>
              <w:spacing w:line="180" w:lineRule="exact"/>
              <w:ind w:left="57"/>
              <w:rPr>
                <w:sz w:val="18"/>
                <w:szCs w:val="18"/>
              </w:rPr>
            </w:pPr>
          </w:p>
        </w:tc>
        <w:tc>
          <w:tcPr>
            <w:tcW w:w="140" w:type="dxa"/>
          </w:tcPr>
          <w:p w14:paraId="48F4C3A0"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7101B4DA" w14:textId="77777777" w:rsidR="00D1565B" w:rsidRPr="0031447D" w:rsidRDefault="00D1565B" w:rsidP="00D1565B">
            <w:pPr>
              <w:tabs>
                <w:tab w:val="decimal" w:pos="113"/>
              </w:tabs>
              <w:spacing w:line="180" w:lineRule="exact"/>
              <w:ind w:left="57"/>
              <w:rPr>
                <w:sz w:val="18"/>
                <w:szCs w:val="18"/>
              </w:rPr>
            </w:pPr>
          </w:p>
        </w:tc>
        <w:tc>
          <w:tcPr>
            <w:tcW w:w="140" w:type="dxa"/>
          </w:tcPr>
          <w:p w14:paraId="69840654"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08F3BD87" w14:textId="77777777" w:rsidR="00D1565B" w:rsidRPr="0031447D" w:rsidRDefault="00D1565B" w:rsidP="00D1565B">
            <w:pPr>
              <w:tabs>
                <w:tab w:val="decimal" w:pos="113"/>
              </w:tabs>
              <w:spacing w:line="180" w:lineRule="exact"/>
              <w:ind w:left="57"/>
              <w:rPr>
                <w:sz w:val="18"/>
                <w:szCs w:val="18"/>
              </w:rPr>
            </w:pPr>
          </w:p>
        </w:tc>
        <w:tc>
          <w:tcPr>
            <w:tcW w:w="94" w:type="dxa"/>
          </w:tcPr>
          <w:p w14:paraId="09BAA4EF"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585623D6" w14:textId="77777777" w:rsidR="00D1565B" w:rsidRPr="0031447D" w:rsidRDefault="00D1565B" w:rsidP="00D1565B">
            <w:pPr>
              <w:tabs>
                <w:tab w:val="decimal" w:pos="113"/>
              </w:tabs>
              <w:spacing w:line="180" w:lineRule="exact"/>
              <w:ind w:left="57"/>
              <w:rPr>
                <w:sz w:val="18"/>
                <w:szCs w:val="18"/>
              </w:rPr>
            </w:pPr>
          </w:p>
        </w:tc>
      </w:tr>
      <w:tr w:rsidR="00D1565B" w:rsidRPr="0031447D" w14:paraId="5CD10297" w14:textId="77777777" w:rsidTr="0031447D">
        <w:tc>
          <w:tcPr>
            <w:tcW w:w="2437" w:type="dxa"/>
            <w:vAlign w:val="bottom"/>
          </w:tcPr>
          <w:p w14:paraId="3A2D2D7E" w14:textId="77777777" w:rsidR="00D1565B" w:rsidRPr="0031447D" w:rsidRDefault="00D1565B" w:rsidP="00D1565B">
            <w:pPr>
              <w:pStyle w:val="a3"/>
              <w:tabs>
                <w:tab w:val="left" w:pos="227"/>
                <w:tab w:val="left" w:pos="397"/>
                <w:tab w:val="left" w:pos="567"/>
              </w:tabs>
              <w:spacing w:line="180" w:lineRule="exact"/>
              <w:ind w:left="227" w:hanging="170"/>
              <w:rPr>
                <w:sz w:val="18"/>
                <w:szCs w:val="18"/>
                <w:rtl/>
              </w:rPr>
            </w:pPr>
            <w:r w:rsidRPr="0031447D">
              <w:rPr>
                <w:rFonts w:hint="cs"/>
                <w:sz w:val="18"/>
                <w:szCs w:val="18"/>
                <w:rtl/>
              </w:rPr>
              <w:t>הכנסות (הוצאות) מימון, נטו</w:t>
            </w:r>
          </w:p>
        </w:tc>
        <w:tc>
          <w:tcPr>
            <w:tcW w:w="86" w:type="dxa"/>
          </w:tcPr>
          <w:p w14:paraId="72371C67"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47498F42" w14:textId="77777777" w:rsidR="00D1565B" w:rsidRPr="0031447D" w:rsidRDefault="00D1565B" w:rsidP="00D1565B">
            <w:pPr>
              <w:tabs>
                <w:tab w:val="decimal" w:pos="113"/>
              </w:tabs>
              <w:spacing w:line="180" w:lineRule="exact"/>
              <w:ind w:left="57"/>
              <w:rPr>
                <w:sz w:val="18"/>
                <w:szCs w:val="18"/>
              </w:rPr>
            </w:pPr>
          </w:p>
        </w:tc>
        <w:tc>
          <w:tcPr>
            <w:tcW w:w="140" w:type="dxa"/>
          </w:tcPr>
          <w:p w14:paraId="6C09A9EB"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49C89F7F" w14:textId="77777777" w:rsidR="00D1565B" w:rsidRPr="0031447D" w:rsidRDefault="00D1565B" w:rsidP="00D1565B">
            <w:pPr>
              <w:tabs>
                <w:tab w:val="decimal" w:pos="113"/>
              </w:tabs>
              <w:spacing w:line="180" w:lineRule="exact"/>
              <w:ind w:left="57"/>
              <w:rPr>
                <w:sz w:val="18"/>
                <w:szCs w:val="18"/>
              </w:rPr>
            </w:pPr>
          </w:p>
        </w:tc>
        <w:tc>
          <w:tcPr>
            <w:tcW w:w="113" w:type="dxa"/>
          </w:tcPr>
          <w:p w14:paraId="309BA02E"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5D5CE4C4" w14:textId="77777777" w:rsidR="00D1565B" w:rsidRPr="0031447D" w:rsidRDefault="00D1565B" w:rsidP="00D1565B">
            <w:pPr>
              <w:tabs>
                <w:tab w:val="decimal" w:pos="113"/>
              </w:tabs>
              <w:spacing w:line="180" w:lineRule="exact"/>
              <w:ind w:left="57"/>
              <w:rPr>
                <w:sz w:val="18"/>
                <w:szCs w:val="18"/>
              </w:rPr>
            </w:pPr>
          </w:p>
        </w:tc>
        <w:tc>
          <w:tcPr>
            <w:tcW w:w="140" w:type="dxa"/>
          </w:tcPr>
          <w:p w14:paraId="4FC12E29"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4114B782" w14:textId="77777777" w:rsidR="00D1565B" w:rsidRPr="0031447D" w:rsidRDefault="00D1565B" w:rsidP="00D1565B">
            <w:pPr>
              <w:tabs>
                <w:tab w:val="decimal" w:pos="113"/>
              </w:tabs>
              <w:spacing w:line="180" w:lineRule="exact"/>
              <w:ind w:left="57"/>
              <w:rPr>
                <w:sz w:val="18"/>
                <w:szCs w:val="18"/>
              </w:rPr>
            </w:pPr>
          </w:p>
        </w:tc>
        <w:tc>
          <w:tcPr>
            <w:tcW w:w="140" w:type="dxa"/>
          </w:tcPr>
          <w:p w14:paraId="52D0BD2F"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2CF68E70" w14:textId="77777777" w:rsidR="00D1565B" w:rsidRPr="0031447D" w:rsidRDefault="00D1565B" w:rsidP="00D1565B">
            <w:pPr>
              <w:tabs>
                <w:tab w:val="decimal" w:pos="113"/>
              </w:tabs>
              <w:spacing w:line="180" w:lineRule="exact"/>
              <w:ind w:left="57"/>
              <w:rPr>
                <w:sz w:val="18"/>
                <w:szCs w:val="18"/>
              </w:rPr>
            </w:pPr>
          </w:p>
        </w:tc>
        <w:tc>
          <w:tcPr>
            <w:tcW w:w="94" w:type="dxa"/>
          </w:tcPr>
          <w:p w14:paraId="09C33AC7"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21B2A0D6" w14:textId="77777777" w:rsidR="00D1565B" w:rsidRPr="0031447D" w:rsidRDefault="00D1565B" w:rsidP="00D1565B">
            <w:pPr>
              <w:tabs>
                <w:tab w:val="decimal" w:pos="113"/>
              </w:tabs>
              <w:spacing w:line="180" w:lineRule="exact"/>
              <w:ind w:left="57"/>
              <w:rPr>
                <w:sz w:val="18"/>
                <w:szCs w:val="18"/>
              </w:rPr>
            </w:pPr>
          </w:p>
        </w:tc>
      </w:tr>
      <w:tr w:rsidR="00D1565B" w:rsidRPr="0031447D" w14:paraId="66A67A09" w14:textId="77777777" w:rsidTr="0031447D">
        <w:tc>
          <w:tcPr>
            <w:tcW w:w="2437" w:type="dxa"/>
            <w:vAlign w:val="bottom"/>
          </w:tcPr>
          <w:p w14:paraId="595D3452" w14:textId="77777777" w:rsidR="00D1565B" w:rsidRPr="0031447D" w:rsidRDefault="00D1565B" w:rsidP="00D1565B">
            <w:pPr>
              <w:pStyle w:val="a3"/>
              <w:tabs>
                <w:tab w:val="left" w:pos="227"/>
                <w:tab w:val="left" w:pos="397"/>
                <w:tab w:val="left" w:pos="567"/>
              </w:tabs>
              <w:spacing w:line="180" w:lineRule="exact"/>
              <w:ind w:left="227" w:hanging="170"/>
              <w:rPr>
                <w:sz w:val="18"/>
                <w:szCs w:val="18"/>
                <w:rtl/>
              </w:rPr>
            </w:pPr>
            <w:r w:rsidRPr="0031447D">
              <w:rPr>
                <w:rFonts w:hint="cs"/>
                <w:sz w:val="18"/>
                <w:szCs w:val="18"/>
                <w:rtl/>
              </w:rPr>
              <w:t xml:space="preserve">חלק הקבוצה ברווחי (בהפסדי) חברות המטופלות לפי שיטת השווי </w:t>
            </w:r>
            <w:r w:rsidRPr="0031447D">
              <w:rPr>
                <w:rFonts w:hint="eastAsia"/>
                <w:sz w:val="18"/>
                <w:szCs w:val="18"/>
                <w:rtl/>
              </w:rPr>
              <w:t>המאזני</w:t>
            </w:r>
            <w:r w:rsidRPr="0031447D">
              <w:rPr>
                <w:sz w:val="18"/>
                <w:szCs w:val="18"/>
                <w:rtl/>
              </w:rPr>
              <w:t xml:space="preserve">, </w:t>
            </w:r>
            <w:r w:rsidRPr="0031447D">
              <w:rPr>
                <w:rFonts w:hint="eastAsia"/>
                <w:sz w:val="18"/>
                <w:szCs w:val="18"/>
                <w:rtl/>
              </w:rPr>
              <w:t>נטו</w:t>
            </w:r>
          </w:p>
        </w:tc>
        <w:tc>
          <w:tcPr>
            <w:tcW w:w="86" w:type="dxa"/>
          </w:tcPr>
          <w:p w14:paraId="67AD02FB"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shd w:val="clear" w:color="auto" w:fill="auto"/>
            <w:vAlign w:val="bottom"/>
          </w:tcPr>
          <w:p w14:paraId="7358452D" w14:textId="77777777" w:rsidR="00D1565B" w:rsidRPr="0031447D" w:rsidRDefault="00D1565B" w:rsidP="00D1565B">
            <w:pPr>
              <w:tabs>
                <w:tab w:val="decimal" w:pos="113"/>
              </w:tabs>
              <w:spacing w:line="180" w:lineRule="exact"/>
              <w:ind w:left="57"/>
              <w:rPr>
                <w:sz w:val="18"/>
                <w:szCs w:val="18"/>
              </w:rPr>
            </w:pPr>
          </w:p>
        </w:tc>
        <w:tc>
          <w:tcPr>
            <w:tcW w:w="140" w:type="dxa"/>
          </w:tcPr>
          <w:p w14:paraId="1C62C211" w14:textId="77777777" w:rsidR="00D1565B" w:rsidRPr="0031447D" w:rsidRDefault="00D1565B" w:rsidP="00D1565B">
            <w:pPr>
              <w:tabs>
                <w:tab w:val="decimal" w:pos="113"/>
              </w:tabs>
              <w:spacing w:line="180" w:lineRule="exact"/>
              <w:ind w:left="57"/>
              <w:rPr>
                <w:sz w:val="18"/>
                <w:szCs w:val="18"/>
              </w:rPr>
            </w:pPr>
          </w:p>
        </w:tc>
        <w:tc>
          <w:tcPr>
            <w:tcW w:w="930" w:type="dxa"/>
            <w:shd w:val="clear" w:color="auto" w:fill="auto"/>
            <w:vAlign w:val="bottom"/>
          </w:tcPr>
          <w:p w14:paraId="13BBBD40" w14:textId="77777777" w:rsidR="00D1565B" w:rsidRPr="0031447D" w:rsidRDefault="00D1565B" w:rsidP="00D1565B">
            <w:pPr>
              <w:tabs>
                <w:tab w:val="decimal" w:pos="113"/>
              </w:tabs>
              <w:spacing w:line="180" w:lineRule="exact"/>
              <w:ind w:left="57"/>
              <w:rPr>
                <w:sz w:val="18"/>
                <w:szCs w:val="18"/>
              </w:rPr>
            </w:pPr>
          </w:p>
        </w:tc>
        <w:tc>
          <w:tcPr>
            <w:tcW w:w="113" w:type="dxa"/>
          </w:tcPr>
          <w:p w14:paraId="24580722" w14:textId="77777777" w:rsidR="00D1565B" w:rsidRPr="0031447D" w:rsidRDefault="00D1565B" w:rsidP="00D1565B">
            <w:pPr>
              <w:tabs>
                <w:tab w:val="decimal" w:pos="113"/>
              </w:tabs>
              <w:spacing w:line="180" w:lineRule="exact"/>
              <w:ind w:left="57"/>
              <w:rPr>
                <w:sz w:val="18"/>
                <w:szCs w:val="18"/>
              </w:rPr>
            </w:pPr>
          </w:p>
        </w:tc>
        <w:tc>
          <w:tcPr>
            <w:tcW w:w="804" w:type="dxa"/>
            <w:shd w:val="clear" w:color="auto" w:fill="auto"/>
            <w:vAlign w:val="bottom"/>
          </w:tcPr>
          <w:p w14:paraId="601676BF" w14:textId="77777777" w:rsidR="00D1565B" w:rsidRPr="0031447D" w:rsidRDefault="00D1565B" w:rsidP="00D1565B">
            <w:pPr>
              <w:tabs>
                <w:tab w:val="decimal" w:pos="113"/>
              </w:tabs>
              <w:spacing w:line="180" w:lineRule="exact"/>
              <w:ind w:left="57"/>
              <w:rPr>
                <w:sz w:val="18"/>
                <w:szCs w:val="18"/>
              </w:rPr>
            </w:pPr>
          </w:p>
        </w:tc>
        <w:tc>
          <w:tcPr>
            <w:tcW w:w="140" w:type="dxa"/>
          </w:tcPr>
          <w:p w14:paraId="58D65D98" w14:textId="77777777" w:rsidR="00D1565B" w:rsidRPr="0031447D" w:rsidRDefault="00D1565B" w:rsidP="00D1565B">
            <w:pPr>
              <w:tabs>
                <w:tab w:val="decimal" w:pos="113"/>
              </w:tabs>
              <w:spacing w:line="180" w:lineRule="exact"/>
              <w:ind w:left="57"/>
              <w:rPr>
                <w:sz w:val="18"/>
                <w:szCs w:val="18"/>
              </w:rPr>
            </w:pPr>
          </w:p>
        </w:tc>
        <w:tc>
          <w:tcPr>
            <w:tcW w:w="804" w:type="dxa"/>
            <w:shd w:val="clear" w:color="auto" w:fill="auto"/>
            <w:vAlign w:val="bottom"/>
          </w:tcPr>
          <w:p w14:paraId="32D172C0" w14:textId="77777777" w:rsidR="00D1565B" w:rsidRPr="0031447D" w:rsidRDefault="00D1565B" w:rsidP="00D1565B">
            <w:pPr>
              <w:tabs>
                <w:tab w:val="decimal" w:pos="113"/>
              </w:tabs>
              <w:spacing w:line="180" w:lineRule="exact"/>
              <w:ind w:left="57"/>
              <w:rPr>
                <w:sz w:val="18"/>
                <w:szCs w:val="18"/>
              </w:rPr>
            </w:pPr>
          </w:p>
        </w:tc>
        <w:tc>
          <w:tcPr>
            <w:tcW w:w="140" w:type="dxa"/>
          </w:tcPr>
          <w:p w14:paraId="282C041F" w14:textId="77777777" w:rsidR="00D1565B" w:rsidRPr="0031447D" w:rsidRDefault="00D1565B" w:rsidP="00D1565B">
            <w:pPr>
              <w:tabs>
                <w:tab w:val="decimal" w:pos="113"/>
              </w:tabs>
              <w:spacing w:line="180" w:lineRule="exact"/>
              <w:ind w:left="57"/>
              <w:rPr>
                <w:sz w:val="18"/>
                <w:szCs w:val="18"/>
              </w:rPr>
            </w:pPr>
          </w:p>
        </w:tc>
        <w:tc>
          <w:tcPr>
            <w:tcW w:w="820" w:type="dxa"/>
            <w:shd w:val="clear" w:color="auto" w:fill="auto"/>
            <w:vAlign w:val="bottom"/>
          </w:tcPr>
          <w:p w14:paraId="3BA6E0F8" w14:textId="77777777" w:rsidR="00D1565B" w:rsidRPr="0031447D" w:rsidRDefault="00D1565B" w:rsidP="00D1565B">
            <w:pPr>
              <w:tabs>
                <w:tab w:val="decimal" w:pos="113"/>
              </w:tabs>
              <w:spacing w:line="180" w:lineRule="exact"/>
              <w:ind w:left="57"/>
              <w:rPr>
                <w:sz w:val="18"/>
                <w:szCs w:val="18"/>
              </w:rPr>
            </w:pPr>
          </w:p>
        </w:tc>
        <w:tc>
          <w:tcPr>
            <w:tcW w:w="94" w:type="dxa"/>
          </w:tcPr>
          <w:p w14:paraId="0C115D6B" w14:textId="77777777" w:rsidR="00D1565B" w:rsidRPr="0031447D" w:rsidRDefault="00D1565B" w:rsidP="00D1565B">
            <w:pPr>
              <w:tabs>
                <w:tab w:val="decimal" w:pos="113"/>
              </w:tabs>
              <w:spacing w:line="180" w:lineRule="exact"/>
              <w:ind w:left="57"/>
              <w:rPr>
                <w:sz w:val="18"/>
                <w:szCs w:val="18"/>
              </w:rPr>
            </w:pPr>
          </w:p>
        </w:tc>
        <w:tc>
          <w:tcPr>
            <w:tcW w:w="804" w:type="dxa"/>
            <w:tcBorders>
              <w:bottom w:val="single" w:sz="6" w:space="0" w:color="auto"/>
            </w:tcBorders>
            <w:shd w:val="clear" w:color="auto" w:fill="auto"/>
            <w:vAlign w:val="bottom"/>
          </w:tcPr>
          <w:p w14:paraId="113984C0" w14:textId="77777777" w:rsidR="00D1565B" w:rsidRPr="0031447D" w:rsidRDefault="00D1565B" w:rsidP="00D1565B">
            <w:pPr>
              <w:tabs>
                <w:tab w:val="decimal" w:pos="113"/>
              </w:tabs>
              <w:spacing w:line="180" w:lineRule="exact"/>
              <w:ind w:left="57"/>
              <w:rPr>
                <w:sz w:val="18"/>
                <w:szCs w:val="18"/>
              </w:rPr>
            </w:pPr>
          </w:p>
        </w:tc>
      </w:tr>
      <w:tr w:rsidR="00D1565B" w:rsidRPr="0031447D" w14:paraId="670C30BD" w14:textId="77777777" w:rsidTr="0031447D">
        <w:tc>
          <w:tcPr>
            <w:tcW w:w="2437" w:type="dxa"/>
            <w:vAlign w:val="bottom"/>
          </w:tcPr>
          <w:p w14:paraId="1BA4A5A1" w14:textId="77777777" w:rsidR="00D1565B" w:rsidRPr="0031447D" w:rsidRDefault="00D1565B" w:rsidP="00D1565B">
            <w:pPr>
              <w:pStyle w:val="a3"/>
              <w:widowControl/>
              <w:tabs>
                <w:tab w:val="left" w:pos="227"/>
                <w:tab w:val="left" w:pos="397"/>
                <w:tab w:val="left" w:pos="567"/>
              </w:tabs>
              <w:bidi w:val="0"/>
              <w:spacing w:line="180" w:lineRule="exact"/>
              <w:ind w:left="0"/>
              <w:rPr>
                <w:sz w:val="18"/>
                <w:szCs w:val="18"/>
                <w:rtl/>
              </w:rPr>
            </w:pPr>
          </w:p>
        </w:tc>
        <w:tc>
          <w:tcPr>
            <w:tcW w:w="86" w:type="dxa"/>
          </w:tcPr>
          <w:p w14:paraId="1672DCB8" w14:textId="77777777" w:rsidR="00D1565B" w:rsidRPr="0031447D" w:rsidRDefault="00D1565B" w:rsidP="00D1565B">
            <w:pPr>
              <w:pStyle w:val="a3"/>
              <w:widowControl/>
              <w:tabs>
                <w:tab w:val="left" w:pos="227"/>
                <w:tab w:val="left" w:pos="397"/>
                <w:tab w:val="left" w:pos="567"/>
              </w:tabs>
              <w:bidi w:val="0"/>
              <w:spacing w:line="180" w:lineRule="exact"/>
              <w:ind w:left="0"/>
              <w:rPr>
                <w:sz w:val="18"/>
                <w:szCs w:val="18"/>
              </w:rPr>
            </w:pPr>
          </w:p>
        </w:tc>
        <w:tc>
          <w:tcPr>
            <w:tcW w:w="804" w:type="dxa"/>
            <w:vAlign w:val="bottom"/>
          </w:tcPr>
          <w:p w14:paraId="4F8A4068"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05D5AD27" w14:textId="77777777" w:rsidR="00D1565B" w:rsidRPr="0031447D" w:rsidRDefault="00D1565B" w:rsidP="00D1565B">
            <w:pPr>
              <w:widowControl/>
              <w:tabs>
                <w:tab w:val="decimal" w:pos="113"/>
              </w:tabs>
              <w:bidi w:val="0"/>
              <w:spacing w:line="180" w:lineRule="exact"/>
              <w:rPr>
                <w:sz w:val="18"/>
                <w:szCs w:val="18"/>
              </w:rPr>
            </w:pPr>
          </w:p>
        </w:tc>
        <w:tc>
          <w:tcPr>
            <w:tcW w:w="930" w:type="dxa"/>
            <w:vAlign w:val="bottom"/>
          </w:tcPr>
          <w:p w14:paraId="71605CB3" w14:textId="77777777" w:rsidR="00D1565B" w:rsidRPr="0031447D" w:rsidRDefault="00D1565B" w:rsidP="00D1565B">
            <w:pPr>
              <w:widowControl/>
              <w:tabs>
                <w:tab w:val="decimal" w:pos="113"/>
              </w:tabs>
              <w:bidi w:val="0"/>
              <w:spacing w:line="180" w:lineRule="exact"/>
              <w:rPr>
                <w:sz w:val="18"/>
                <w:szCs w:val="18"/>
              </w:rPr>
            </w:pPr>
          </w:p>
        </w:tc>
        <w:tc>
          <w:tcPr>
            <w:tcW w:w="113" w:type="dxa"/>
          </w:tcPr>
          <w:p w14:paraId="18D12D53" w14:textId="77777777" w:rsidR="00D1565B" w:rsidRPr="0031447D" w:rsidRDefault="00D1565B" w:rsidP="00D1565B">
            <w:pPr>
              <w:widowControl/>
              <w:tabs>
                <w:tab w:val="decimal" w:pos="113"/>
              </w:tabs>
              <w:bidi w:val="0"/>
              <w:spacing w:line="180" w:lineRule="exact"/>
              <w:rPr>
                <w:sz w:val="18"/>
                <w:szCs w:val="18"/>
              </w:rPr>
            </w:pPr>
          </w:p>
        </w:tc>
        <w:tc>
          <w:tcPr>
            <w:tcW w:w="804" w:type="dxa"/>
            <w:vAlign w:val="bottom"/>
          </w:tcPr>
          <w:p w14:paraId="2BC48B04"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2E15E555" w14:textId="77777777" w:rsidR="00D1565B" w:rsidRPr="0031447D" w:rsidRDefault="00D1565B" w:rsidP="00D1565B">
            <w:pPr>
              <w:widowControl/>
              <w:tabs>
                <w:tab w:val="decimal" w:pos="113"/>
              </w:tabs>
              <w:bidi w:val="0"/>
              <w:spacing w:line="180" w:lineRule="exact"/>
              <w:rPr>
                <w:sz w:val="18"/>
                <w:szCs w:val="18"/>
              </w:rPr>
            </w:pPr>
          </w:p>
        </w:tc>
        <w:tc>
          <w:tcPr>
            <w:tcW w:w="804" w:type="dxa"/>
            <w:vAlign w:val="bottom"/>
          </w:tcPr>
          <w:p w14:paraId="190BAF4B"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705099AC" w14:textId="77777777" w:rsidR="00D1565B" w:rsidRPr="0031447D" w:rsidRDefault="00D1565B" w:rsidP="00D1565B">
            <w:pPr>
              <w:widowControl/>
              <w:tabs>
                <w:tab w:val="decimal" w:pos="113"/>
              </w:tabs>
              <w:bidi w:val="0"/>
              <w:spacing w:line="180" w:lineRule="exact"/>
              <w:rPr>
                <w:sz w:val="18"/>
                <w:szCs w:val="18"/>
              </w:rPr>
            </w:pPr>
          </w:p>
        </w:tc>
        <w:tc>
          <w:tcPr>
            <w:tcW w:w="820" w:type="dxa"/>
            <w:vAlign w:val="bottom"/>
          </w:tcPr>
          <w:p w14:paraId="5F245BFC" w14:textId="77777777" w:rsidR="00D1565B" w:rsidRPr="0031447D" w:rsidRDefault="00D1565B" w:rsidP="00D1565B">
            <w:pPr>
              <w:widowControl/>
              <w:tabs>
                <w:tab w:val="decimal" w:pos="113"/>
              </w:tabs>
              <w:bidi w:val="0"/>
              <w:spacing w:line="180" w:lineRule="exact"/>
              <w:rPr>
                <w:sz w:val="18"/>
                <w:szCs w:val="18"/>
              </w:rPr>
            </w:pPr>
          </w:p>
        </w:tc>
        <w:tc>
          <w:tcPr>
            <w:tcW w:w="94" w:type="dxa"/>
          </w:tcPr>
          <w:p w14:paraId="10E9C02C" w14:textId="77777777" w:rsidR="00D1565B" w:rsidRPr="0031447D" w:rsidRDefault="00D1565B" w:rsidP="00D1565B">
            <w:pPr>
              <w:widowControl/>
              <w:tabs>
                <w:tab w:val="decimal" w:pos="113"/>
              </w:tabs>
              <w:bidi w:val="0"/>
              <w:spacing w:line="180" w:lineRule="exact"/>
              <w:rPr>
                <w:sz w:val="18"/>
                <w:szCs w:val="18"/>
              </w:rPr>
            </w:pPr>
          </w:p>
        </w:tc>
        <w:tc>
          <w:tcPr>
            <w:tcW w:w="804" w:type="dxa"/>
            <w:tcBorders>
              <w:top w:val="single" w:sz="6" w:space="0" w:color="auto"/>
            </w:tcBorders>
            <w:vAlign w:val="bottom"/>
          </w:tcPr>
          <w:p w14:paraId="727E017E" w14:textId="77777777" w:rsidR="00D1565B" w:rsidRPr="0031447D" w:rsidRDefault="00D1565B" w:rsidP="00D1565B">
            <w:pPr>
              <w:widowControl/>
              <w:tabs>
                <w:tab w:val="decimal" w:pos="113"/>
              </w:tabs>
              <w:bidi w:val="0"/>
              <w:spacing w:line="180" w:lineRule="exact"/>
              <w:rPr>
                <w:sz w:val="18"/>
                <w:szCs w:val="18"/>
              </w:rPr>
            </w:pPr>
          </w:p>
        </w:tc>
      </w:tr>
      <w:tr w:rsidR="00D1565B" w:rsidRPr="0031447D" w14:paraId="30D69B05" w14:textId="77777777" w:rsidTr="0031447D">
        <w:tc>
          <w:tcPr>
            <w:tcW w:w="2437" w:type="dxa"/>
            <w:vAlign w:val="bottom"/>
          </w:tcPr>
          <w:p w14:paraId="59B6A723" w14:textId="77777777" w:rsidR="00D1565B" w:rsidRPr="0031447D" w:rsidRDefault="00D1565B" w:rsidP="00D1565B">
            <w:pPr>
              <w:pStyle w:val="a3"/>
              <w:tabs>
                <w:tab w:val="left" w:pos="227"/>
                <w:tab w:val="left" w:pos="397"/>
                <w:tab w:val="left" w:pos="567"/>
              </w:tabs>
              <w:spacing w:line="180" w:lineRule="exact"/>
              <w:ind w:left="227" w:hanging="170"/>
              <w:rPr>
                <w:sz w:val="18"/>
                <w:szCs w:val="18"/>
                <w:rtl/>
              </w:rPr>
            </w:pPr>
            <w:r w:rsidRPr="0031447D">
              <w:rPr>
                <w:rFonts w:hint="cs"/>
                <w:sz w:val="18"/>
                <w:szCs w:val="18"/>
                <w:rtl/>
              </w:rPr>
              <w:t>רווח (הפסד) לפני מסים על ההכנסה</w:t>
            </w:r>
          </w:p>
        </w:tc>
        <w:tc>
          <w:tcPr>
            <w:tcW w:w="86" w:type="dxa"/>
          </w:tcPr>
          <w:p w14:paraId="4F36D9CF"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shd w:val="clear" w:color="auto" w:fill="auto"/>
            <w:vAlign w:val="bottom"/>
          </w:tcPr>
          <w:p w14:paraId="064EA9DA" w14:textId="77777777" w:rsidR="00D1565B" w:rsidRPr="0031447D" w:rsidRDefault="00D1565B" w:rsidP="00D1565B">
            <w:pPr>
              <w:tabs>
                <w:tab w:val="decimal" w:pos="113"/>
              </w:tabs>
              <w:spacing w:line="180" w:lineRule="exact"/>
              <w:ind w:left="57"/>
              <w:rPr>
                <w:sz w:val="18"/>
                <w:szCs w:val="18"/>
              </w:rPr>
            </w:pPr>
          </w:p>
        </w:tc>
        <w:tc>
          <w:tcPr>
            <w:tcW w:w="140" w:type="dxa"/>
          </w:tcPr>
          <w:p w14:paraId="12D6C6E5" w14:textId="77777777" w:rsidR="00D1565B" w:rsidRPr="0031447D" w:rsidRDefault="00D1565B" w:rsidP="00D1565B">
            <w:pPr>
              <w:tabs>
                <w:tab w:val="decimal" w:pos="113"/>
              </w:tabs>
              <w:spacing w:line="180" w:lineRule="exact"/>
              <w:ind w:left="57"/>
              <w:rPr>
                <w:sz w:val="18"/>
                <w:szCs w:val="18"/>
              </w:rPr>
            </w:pPr>
          </w:p>
        </w:tc>
        <w:tc>
          <w:tcPr>
            <w:tcW w:w="930" w:type="dxa"/>
            <w:shd w:val="clear" w:color="auto" w:fill="auto"/>
            <w:vAlign w:val="bottom"/>
          </w:tcPr>
          <w:p w14:paraId="54990998" w14:textId="77777777" w:rsidR="00D1565B" w:rsidRPr="0031447D" w:rsidRDefault="00D1565B" w:rsidP="00D1565B">
            <w:pPr>
              <w:tabs>
                <w:tab w:val="decimal" w:pos="113"/>
              </w:tabs>
              <w:spacing w:line="180" w:lineRule="exact"/>
              <w:ind w:left="57"/>
              <w:rPr>
                <w:sz w:val="18"/>
                <w:szCs w:val="18"/>
              </w:rPr>
            </w:pPr>
          </w:p>
        </w:tc>
        <w:tc>
          <w:tcPr>
            <w:tcW w:w="113" w:type="dxa"/>
          </w:tcPr>
          <w:p w14:paraId="0E11F439" w14:textId="77777777" w:rsidR="00D1565B" w:rsidRPr="0031447D" w:rsidRDefault="00D1565B" w:rsidP="00D1565B">
            <w:pPr>
              <w:tabs>
                <w:tab w:val="decimal" w:pos="113"/>
              </w:tabs>
              <w:spacing w:line="180" w:lineRule="exact"/>
              <w:ind w:left="57"/>
              <w:rPr>
                <w:sz w:val="18"/>
                <w:szCs w:val="18"/>
              </w:rPr>
            </w:pPr>
          </w:p>
        </w:tc>
        <w:tc>
          <w:tcPr>
            <w:tcW w:w="804" w:type="dxa"/>
            <w:shd w:val="clear" w:color="auto" w:fill="auto"/>
            <w:vAlign w:val="bottom"/>
          </w:tcPr>
          <w:p w14:paraId="61D2E6AD" w14:textId="77777777" w:rsidR="00D1565B" w:rsidRPr="0031447D" w:rsidRDefault="00D1565B" w:rsidP="00D1565B">
            <w:pPr>
              <w:tabs>
                <w:tab w:val="decimal" w:pos="113"/>
              </w:tabs>
              <w:spacing w:line="180" w:lineRule="exact"/>
              <w:ind w:left="57"/>
              <w:rPr>
                <w:sz w:val="18"/>
                <w:szCs w:val="18"/>
              </w:rPr>
            </w:pPr>
          </w:p>
        </w:tc>
        <w:tc>
          <w:tcPr>
            <w:tcW w:w="140" w:type="dxa"/>
          </w:tcPr>
          <w:p w14:paraId="72E86EFC" w14:textId="77777777" w:rsidR="00D1565B" w:rsidRPr="0031447D" w:rsidRDefault="00D1565B" w:rsidP="00D1565B">
            <w:pPr>
              <w:tabs>
                <w:tab w:val="decimal" w:pos="113"/>
              </w:tabs>
              <w:spacing w:line="180" w:lineRule="exact"/>
              <w:ind w:left="57"/>
              <w:rPr>
                <w:sz w:val="18"/>
                <w:szCs w:val="18"/>
              </w:rPr>
            </w:pPr>
          </w:p>
        </w:tc>
        <w:tc>
          <w:tcPr>
            <w:tcW w:w="804" w:type="dxa"/>
            <w:shd w:val="clear" w:color="auto" w:fill="auto"/>
            <w:vAlign w:val="bottom"/>
          </w:tcPr>
          <w:p w14:paraId="59F6A837" w14:textId="77777777" w:rsidR="00D1565B" w:rsidRPr="0031447D" w:rsidRDefault="00D1565B" w:rsidP="00D1565B">
            <w:pPr>
              <w:tabs>
                <w:tab w:val="decimal" w:pos="113"/>
              </w:tabs>
              <w:spacing w:line="180" w:lineRule="exact"/>
              <w:ind w:left="57"/>
              <w:rPr>
                <w:sz w:val="18"/>
                <w:szCs w:val="18"/>
              </w:rPr>
            </w:pPr>
          </w:p>
        </w:tc>
        <w:tc>
          <w:tcPr>
            <w:tcW w:w="140" w:type="dxa"/>
          </w:tcPr>
          <w:p w14:paraId="66A02AC2" w14:textId="77777777" w:rsidR="00D1565B" w:rsidRPr="0031447D" w:rsidRDefault="00D1565B" w:rsidP="00D1565B">
            <w:pPr>
              <w:tabs>
                <w:tab w:val="decimal" w:pos="113"/>
              </w:tabs>
              <w:spacing w:line="180" w:lineRule="exact"/>
              <w:ind w:left="57"/>
              <w:rPr>
                <w:sz w:val="18"/>
                <w:szCs w:val="18"/>
              </w:rPr>
            </w:pPr>
          </w:p>
        </w:tc>
        <w:tc>
          <w:tcPr>
            <w:tcW w:w="820" w:type="dxa"/>
            <w:shd w:val="clear" w:color="auto" w:fill="auto"/>
            <w:vAlign w:val="bottom"/>
          </w:tcPr>
          <w:p w14:paraId="29953A15" w14:textId="77777777" w:rsidR="00D1565B" w:rsidRPr="0031447D" w:rsidRDefault="00D1565B" w:rsidP="00D1565B">
            <w:pPr>
              <w:tabs>
                <w:tab w:val="decimal" w:pos="113"/>
              </w:tabs>
              <w:spacing w:line="180" w:lineRule="exact"/>
              <w:ind w:left="57"/>
              <w:rPr>
                <w:sz w:val="18"/>
                <w:szCs w:val="18"/>
              </w:rPr>
            </w:pPr>
          </w:p>
        </w:tc>
        <w:tc>
          <w:tcPr>
            <w:tcW w:w="94" w:type="dxa"/>
          </w:tcPr>
          <w:p w14:paraId="5CE1F6CB" w14:textId="77777777" w:rsidR="00D1565B" w:rsidRPr="0031447D" w:rsidRDefault="00D1565B" w:rsidP="00D1565B">
            <w:pPr>
              <w:tabs>
                <w:tab w:val="decimal" w:pos="113"/>
              </w:tabs>
              <w:spacing w:line="180" w:lineRule="exact"/>
              <w:ind w:left="57"/>
              <w:rPr>
                <w:sz w:val="18"/>
                <w:szCs w:val="18"/>
              </w:rPr>
            </w:pPr>
          </w:p>
        </w:tc>
        <w:tc>
          <w:tcPr>
            <w:tcW w:w="804" w:type="dxa"/>
            <w:tcBorders>
              <w:bottom w:val="double" w:sz="6" w:space="0" w:color="auto"/>
            </w:tcBorders>
            <w:shd w:val="clear" w:color="auto" w:fill="auto"/>
            <w:vAlign w:val="bottom"/>
          </w:tcPr>
          <w:p w14:paraId="63C5A84E" w14:textId="77777777" w:rsidR="00D1565B" w:rsidRPr="0031447D" w:rsidRDefault="00D1565B" w:rsidP="00D1565B">
            <w:pPr>
              <w:tabs>
                <w:tab w:val="decimal" w:pos="113"/>
              </w:tabs>
              <w:spacing w:line="180" w:lineRule="exact"/>
              <w:ind w:left="57"/>
              <w:rPr>
                <w:sz w:val="18"/>
                <w:szCs w:val="18"/>
              </w:rPr>
            </w:pPr>
          </w:p>
        </w:tc>
      </w:tr>
      <w:tr w:rsidR="00D1565B" w:rsidRPr="0031447D" w14:paraId="650C9A54" w14:textId="77777777" w:rsidTr="0031447D">
        <w:tc>
          <w:tcPr>
            <w:tcW w:w="2437" w:type="dxa"/>
            <w:vAlign w:val="bottom"/>
          </w:tcPr>
          <w:p w14:paraId="3405CAC3" w14:textId="77777777" w:rsidR="00D1565B" w:rsidRPr="0031447D" w:rsidRDefault="00D1565B" w:rsidP="00D1565B">
            <w:pPr>
              <w:pStyle w:val="a3"/>
              <w:widowControl/>
              <w:tabs>
                <w:tab w:val="left" w:pos="227"/>
                <w:tab w:val="left" w:pos="397"/>
                <w:tab w:val="left" w:pos="567"/>
              </w:tabs>
              <w:bidi w:val="0"/>
              <w:spacing w:line="180" w:lineRule="exact"/>
              <w:ind w:left="0"/>
              <w:rPr>
                <w:sz w:val="18"/>
                <w:szCs w:val="18"/>
                <w:rtl/>
              </w:rPr>
            </w:pPr>
          </w:p>
        </w:tc>
        <w:tc>
          <w:tcPr>
            <w:tcW w:w="86" w:type="dxa"/>
          </w:tcPr>
          <w:p w14:paraId="5D405A4D" w14:textId="77777777" w:rsidR="00D1565B" w:rsidRPr="0031447D" w:rsidRDefault="00D1565B" w:rsidP="00D1565B">
            <w:pPr>
              <w:pStyle w:val="a3"/>
              <w:widowControl/>
              <w:tabs>
                <w:tab w:val="left" w:pos="227"/>
                <w:tab w:val="left" w:pos="397"/>
                <w:tab w:val="left" w:pos="567"/>
              </w:tabs>
              <w:bidi w:val="0"/>
              <w:spacing w:line="180" w:lineRule="exact"/>
              <w:ind w:left="0"/>
              <w:rPr>
                <w:sz w:val="18"/>
                <w:szCs w:val="18"/>
              </w:rPr>
            </w:pPr>
          </w:p>
        </w:tc>
        <w:tc>
          <w:tcPr>
            <w:tcW w:w="804" w:type="dxa"/>
            <w:vAlign w:val="bottom"/>
          </w:tcPr>
          <w:p w14:paraId="08D53669"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769505F9" w14:textId="77777777" w:rsidR="00D1565B" w:rsidRPr="0031447D" w:rsidRDefault="00D1565B" w:rsidP="00D1565B">
            <w:pPr>
              <w:widowControl/>
              <w:tabs>
                <w:tab w:val="decimal" w:pos="113"/>
              </w:tabs>
              <w:bidi w:val="0"/>
              <w:spacing w:line="180" w:lineRule="exact"/>
              <w:rPr>
                <w:sz w:val="18"/>
                <w:szCs w:val="18"/>
              </w:rPr>
            </w:pPr>
          </w:p>
        </w:tc>
        <w:tc>
          <w:tcPr>
            <w:tcW w:w="930" w:type="dxa"/>
            <w:vAlign w:val="bottom"/>
          </w:tcPr>
          <w:p w14:paraId="4E132BA0" w14:textId="77777777" w:rsidR="00D1565B" w:rsidRPr="0031447D" w:rsidRDefault="00D1565B" w:rsidP="00D1565B">
            <w:pPr>
              <w:widowControl/>
              <w:tabs>
                <w:tab w:val="decimal" w:pos="113"/>
              </w:tabs>
              <w:bidi w:val="0"/>
              <w:spacing w:line="180" w:lineRule="exact"/>
              <w:rPr>
                <w:sz w:val="18"/>
                <w:szCs w:val="18"/>
              </w:rPr>
            </w:pPr>
          </w:p>
        </w:tc>
        <w:tc>
          <w:tcPr>
            <w:tcW w:w="113" w:type="dxa"/>
          </w:tcPr>
          <w:p w14:paraId="507D70DE" w14:textId="77777777" w:rsidR="00D1565B" w:rsidRPr="0031447D" w:rsidRDefault="00D1565B" w:rsidP="00D1565B">
            <w:pPr>
              <w:widowControl/>
              <w:tabs>
                <w:tab w:val="decimal" w:pos="113"/>
              </w:tabs>
              <w:bidi w:val="0"/>
              <w:spacing w:line="180" w:lineRule="exact"/>
              <w:rPr>
                <w:sz w:val="18"/>
                <w:szCs w:val="18"/>
              </w:rPr>
            </w:pPr>
          </w:p>
        </w:tc>
        <w:tc>
          <w:tcPr>
            <w:tcW w:w="804" w:type="dxa"/>
            <w:vAlign w:val="bottom"/>
          </w:tcPr>
          <w:p w14:paraId="775FC305"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2FC996DF" w14:textId="77777777" w:rsidR="00D1565B" w:rsidRPr="0031447D" w:rsidRDefault="00D1565B" w:rsidP="00D1565B">
            <w:pPr>
              <w:widowControl/>
              <w:tabs>
                <w:tab w:val="decimal" w:pos="113"/>
              </w:tabs>
              <w:bidi w:val="0"/>
              <w:spacing w:line="180" w:lineRule="exact"/>
              <w:rPr>
                <w:sz w:val="18"/>
                <w:szCs w:val="18"/>
              </w:rPr>
            </w:pPr>
          </w:p>
        </w:tc>
        <w:tc>
          <w:tcPr>
            <w:tcW w:w="804" w:type="dxa"/>
            <w:vAlign w:val="bottom"/>
          </w:tcPr>
          <w:p w14:paraId="63ADACD2"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18CBDCE4" w14:textId="77777777" w:rsidR="00D1565B" w:rsidRPr="0031447D" w:rsidRDefault="00D1565B" w:rsidP="00D1565B">
            <w:pPr>
              <w:widowControl/>
              <w:tabs>
                <w:tab w:val="decimal" w:pos="113"/>
              </w:tabs>
              <w:bidi w:val="0"/>
              <w:spacing w:line="180" w:lineRule="exact"/>
              <w:rPr>
                <w:sz w:val="18"/>
                <w:szCs w:val="18"/>
              </w:rPr>
            </w:pPr>
          </w:p>
        </w:tc>
        <w:tc>
          <w:tcPr>
            <w:tcW w:w="820" w:type="dxa"/>
            <w:vAlign w:val="bottom"/>
          </w:tcPr>
          <w:p w14:paraId="5FE5E02E" w14:textId="77777777" w:rsidR="00D1565B" w:rsidRPr="0031447D" w:rsidRDefault="00D1565B" w:rsidP="00D1565B">
            <w:pPr>
              <w:widowControl/>
              <w:tabs>
                <w:tab w:val="decimal" w:pos="113"/>
              </w:tabs>
              <w:bidi w:val="0"/>
              <w:spacing w:line="180" w:lineRule="exact"/>
              <w:rPr>
                <w:sz w:val="18"/>
                <w:szCs w:val="18"/>
              </w:rPr>
            </w:pPr>
          </w:p>
        </w:tc>
        <w:tc>
          <w:tcPr>
            <w:tcW w:w="94" w:type="dxa"/>
          </w:tcPr>
          <w:p w14:paraId="10D63E3F" w14:textId="77777777" w:rsidR="00D1565B" w:rsidRPr="0031447D" w:rsidRDefault="00D1565B" w:rsidP="00D1565B">
            <w:pPr>
              <w:widowControl/>
              <w:tabs>
                <w:tab w:val="decimal" w:pos="113"/>
              </w:tabs>
              <w:bidi w:val="0"/>
              <w:spacing w:line="180" w:lineRule="exact"/>
              <w:rPr>
                <w:sz w:val="18"/>
                <w:szCs w:val="18"/>
              </w:rPr>
            </w:pPr>
          </w:p>
        </w:tc>
        <w:tc>
          <w:tcPr>
            <w:tcW w:w="804" w:type="dxa"/>
            <w:tcBorders>
              <w:top w:val="double" w:sz="6" w:space="0" w:color="auto"/>
            </w:tcBorders>
            <w:vAlign w:val="bottom"/>
          </w:tcPr>
          <w:p w14:paraId="061EC232" w14:textId="77777777" w:rsidR="00D1565B" w:rsidRPr="0031447D" w:rsidRDefault="00D1565B" w:rsidP="00D1565B">
            <w:pPr>
              <w:widowControl/>
              <w:tabs>
                <w:tab w:val="decimal" w:pos="113"/>
              </w:tabs>
              <w:bidi w:val="0"/>
              <w:spacing w:line="180" w:lineRule="exact"/>
              <w:rPr>
                <w:sz w:val="18"/>
                <w:szCs w:val="18"/>
              </w:rPr>
            </w:pPr>
          </w:p>
        </w:tc>
      </w:tr>
    </w:tbl>
    <w:p w14:paraId="17B94835" w14:textId="77777777" w:rsidR="00473B27" w:rsidRDefault="00473B27">
      <w:pPr>
        <w:rPr>
          <w:rtl/>
        </w:rPr>
      </w:pPr>
    </w:p>
    <w:p w14:paraId="33B87F1D" w14:textId="77777777" w:rsidR="00473B27" w:rsidRDefault="00526253">
      <w:pPr>
        <w:rPr>
          <w:rtl/>
        </w:rPr>
      </w:pPr>
      <w:r>
        <w:rPr>
          <w:rtl/>
        </w:rPr>
        <w:br w:type="page"/>
      </w:r>
    </w:p>
    <w:p w14:paraId="08E3F60F" w14:textId="77777777" w:rsidR="00A27D0C" w:rsidRDefault="00A27D0C">
      <w:pPr>
        <w:rPr>
          <w:rtl/>
        </w:rPr>
      </w:pPr>
    </w:p>
    <w:p w14:paraId="2C636382" w14:textId="77777777" w:rsidR="00A27D0C" w:rsidRDefault="00A27D0C">
      <w:pPr>
        <w:rPr>
          <w:rtl/>
        </w:rPr>
      </w:pPr>
    </w:p>
    <w:p w14:paraId="0AEC3E92" w14:textId="77777777" w:rsidR="00A27D0C" w:rsidRDefault="00A27D0C" w:rsidP="00A27D0C">
      <w:pPr>
        <w:pStyle w:val="11"/>
        <w:rPr>
          <w:rtl/>
        </w:rPr>
      </w:pPr>
      <w:r>
        <w:rPr>
          <w:rFonts w:hint="cs"/>
          <w:rtl/>
        </w:rPr>
        <w:t>באור 16: -</w:t>
      </w:r>
      <w:r>
        <w:rPr>
          <w:rFonts w:hint="cs"/>
          <w:rtl/>
        </w:rPr>
        <w:tab/>
      </w:r>
      <w:r>
        <w:rPr>
          <w:rFonts w:hint="cs"/>
          <w:u w:val="single"/>
          <w:rtl/>
        </w:rPr>
        <w:t>מגזרי פעילות</w:t>
      </w:r>
      <w:r>
        <w:rPr>
          <w:rFonts w:hint="cs"/>
          <w:rtl/>
        </w:rPr>
        <w:t xml:space="preserve"> (המשך)</w:t>
      </w:r>
    </w:p>
    <w:p w14:paraId="4C9BAA97" w14:textId="77777777" w:rsidR="00A27D0C" w:rsidRDefault="00A27D0C">
      <w:pPr>
        <w:rPr>
          <w:rtl/>
        </w:rPr>
      </w:pPr>
    </w:p>
    <w:tbl>
      <w:tblPr>
        <w:bidiVisual/>
        <w:tblW w:w="7973" w:type="dxa"/>
        <w:tblInd w:w="1700" w:type="dxa"/>
        <w:tblLayout w:type="fixed"/>
        <w:tblCellMar>
          <w:left w:w="0" w:type="dxa"/>
          <w:right w:w="0" w:type="dxa"/>
        </w:tblCellMar>
        <w:tblLook w:val="0000" w:firstRow="0" w:lastRow="0" w:firstColumn="0" w:lastColumn="0" w:noHBand="0" w:noVBand="0"/>
      </w:tblPr>
      <w:tblGrid>
        <w:gridCol w:w="2127"/>
        <w:gridCol w:w="113"/>
        <w:gridCol w:w="804"/>
        <w:gridCol w:w="140"/>
        <w:gridCol w:w="1043"/>
        <w:gridCol w:w="140"/>
        <w:gridCol w:w="804"/>
        <w:gridCol w:w="140"/>
        <w:gridCol w:w="804"/>
        <w:gridCol w:w="140"/>
        <w:gridCol w:w="804"/>
        <w:gridCol w:w="110"/>
        <w:gridCol w:w="804"/>
      </w:tblGrid>
      <w:tr w:rsidR="00473B27" w:rsidRPr="0097675E" w14:paraId="68EDED02" w14:textId="77777777" w:rsidTr="00A27D0C">
        <w:tc>
          <w:tcPr>
            <w:tcW w:w="2127" w:type="dxa"/>
            <w:vAlign w:val="bottom"/>
          </w:tcPr>
          <w:p w14:paraId="47F13B00" w14:textId="77777777" w:rsidR="00473B27" w:rsidRPr="00E72837" w:rsidRDefault="00473B27" w:rsidP="00A27D0C">
            <w:pPr>
              <w:pStyle w:val="a3"/>
              <w:tabs>
                <w:tab w:val="left" w:pos="227"/>
                <w:tab w:val="left" w:pos="397"/>
                <w:tab w:val="left" w:pos="567"/>
              </w:tabs>
              <w:spacing w:line="200" w:lineRule="exact"/>
              <w:jc w:val="center"/>
              <w:rPr>
                <w:sz w:val="16"/>
                <w:szCs w:val="18"/>
              </w:rPr>
            </w:pPr>
          </w:p>
        </w:tc>
        <w:tc>
          <w:tcPr>
            <w:tcW w:w="113" w:type="dxa"/>
          </w:tcPr>
          <w:p w14:paraId="0C714313" w14:textId="77777777" w:rsidR="00473B27" w:rsidRPr="0097675E" w:rsidRDefault="00473B27" w:rsidP="00A27D0C">
            <w:pPr>
              <w:pStyle w:val="a3"/>
              <w:tabs>
                <w:tab w:val="left" w:pos="227"/>
                <w:tab w:val="left" w:pos="397"/>
                <w:tab w:val="left" w:pos="567"/>
              </w:tabs>
              <w:spacing w:line="200" w:lineRule="exact"/>
              <w:ind w:left="227" w:hanging="397"/>
              <w:jc w:val="center"/>
              <w:rPr>
                <w:sz w:val="18"/>
                <w:szCs w:val="20"/>
              </w:rPr>
            </w:pPr>
          </w:p>
        </w:tc>
        <w:tc>
          <w:tcPr>
            <w:tcW w:w="804" w:type="dxa"/>
            <w:tcBorders>
              <w:top w:val="nil"/>
              <w:left w:val="nil"/>
              <w:bottom w:val="single" w:sz="6" w:space="0" w:color="auto"/>
              <w:right w:val="nil"/>
            </w:tcBorders>
            <w:vAlign w:val="bottom"/>
          </w:tcPr>
          <w:p w14:paraId="7026DBBC" w14:textId="77777777" w:rsidR="00473B27" w:rsidRPr="00E72837" w:rsidRDefault="00473B27" w:rsidP="00A27D0C">
            <w:pPr>
              <w:spacing w:line="180" w:lineRule="exact"/>
              <w:jc w:val="center"/>
              <w:rPr>
                <w:b/>
                <w:sz w:val="18"/>
                <w:szCs w:val="18"/>
              </w:rPr>
            </w:pPr>
            <w:r w:rsidRPr="00E72837">
              <w:rPr>
                <w:rFonts w:hint="cs"/>
                <w:b/>
                <w:sz w:val="18"/>
                <w:szCs w:val="18"/>
                <w:rtl/>
              </w:rPr>
              <w:t>מגזר ציוד למניעת שריפות</w:t>
            </w:r>
          </w:p>
        </w:tc>
        <w:tc>
          <w:tcPr>
            <w:tcW w:w="140" w:type="dxa"/>
            <w:vAlign w:val="bottom"/>
          </w:tcPr>
          <w:p w14:paraId="1DC89F1B" w14:textId="77777777" w:rsidR="00473B27" w:rsidRPr="00E72837" w:rsidRDefault="00473B27" w:rsidP="00A27D0C">
            <w:pPr>
              <w:spacing w:line="180" w:lineRule="exact"/>
              <w:jc w:val="center"/>
              <w:rPr>
                <w:b/>
                <w:sz w:val="18"/>
                <w:szCs w:val="18"/>
              </w:rPr>
            </w:pPr>
          </w:p>
        </w:tc>
        <w:tc>
          <w:tcPr>
            <w:tcW w:w="1043" w:type="dxa"/>
            <w:tcBorders>
              <w:top w:val="nil"/>
              <w:left w:val="nil"/>
              <w:bottom w:val="single" w:sz="6" w:space="0" w:color="auto"/>
              <w:right w:val="nil"/>
            </w:tcBorders>
            <w:vAlign w:val="bottom"/>
          </w:tcPr>
          <w:p w14:paraId="348C8030" w14:textId="77777777" w:rsidR="00473B27" w:rsidRPr="00E72837" w:rsidRDefault="00473B27" w:rsidP="00A27D0C">
            <w:pPr>
              <w:spacing w:line="180" w:lineRule="exact"/>
              <w:jc w:val="center"/>
              <w:rPr>
                <w:b/>
                <w:sz w:val="18"/>
                <w:szCs w:val="18"/>
              </w:rPr>
            </w:pPr>
            <w:r w:rsidRPr="00E72837">
              <w:rPr>
                <w:rFonts w:hint="cs"/>
                <w:b/>
                <w:sz w:val="18"/>
                <w:szCs w:val="18"/>
                <w:rtl/>
              </w:rPr>
              <w:t>מגזר אלקטרוניקה</w:t>
            </w:r>
          </w:p>
        </w:tc>
        <w:tc>
          <w:tcPr>
            <w:tcW w:w="140" w:type="dxa"/>
            <w:vAlign w:val="bottom"/>
          </w:tcPr>
          <w:p w14:paraId="0D1E7FD1"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661A2840" w14:textId="77777777" w:rsidR="00473B27" w:rsidRPr="00E72837" w:rsidRDefault="00473B27" w:rsidP="00A27D0C">
            <w:pPr>
              <w:spacing w:line="180" w:lineRule="exact"/>
              <w:jc w:val="center"/>
              <w:rPr>
                <w:b/>
                <w:sz w:val="18"/>
                <w:szCs w:val="18"/>
              </w:rPr>
            </w:pPr>
            <w:r w:rsidRPr="00E72837">
              <w:rPr>
                <w:rFonts w:hint="cs"/>
                <w:b/>
                <w:sz w:val="18"/>
                <w:szCs w:val="18"/>
                <w:rtl/>
              </w:rPr>
              <w:t>מגזר נדל"ן להשקעה</w:t>
            </w:r>
          </w:p>
        </w:tc>
        <w:tc>
          <w:tcPr>
            <w:tcW w:w="140" w:type="dxa"/>
            <w:vAlign w:val="bottom"/>
          </w:tcPr>
          <w:p w14:paraId="1487095A"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1B7E7CF7" w14:textId="77777777" w:rsidR="00473B27" w:rsidRPr="00E72837" w:rsidRDefault="00473B27" w:rsidP="00A27D0C">
            <w:pPr>
              <w:spacing w:line="180" w:lineRule="exact"/>
              <w:jc w:val="center"/>
              <w:rPr>
                <w:b/>
                <w:sz w:val="18"/>
                <w:szCs w:val="18"/>
              </w:rPr>
            </w:pPr>
            <w:r w:rsidRPr="00E72837">
              <w:rPr>
                <w:rFonts w:hint="cs"/>
                <w:b/>
                <w:sz w:val="18"/>
                <w:szCs w:val="18"/>
                <w:rtl/>
              </w:rPr>
              <w:t>פעילויות אחרות</w:t>
            </w:r>
          </w:p>
        </w:tc>
        <w:tc>
          <w:tcPr>
            <w:tcW w:w="140" w:type="dxa"/>
            <w:vAlign w:val="bottom"/>
          </w:tcPr>
          <w:p w14:paraId="5E8CDD34"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5D0F0D0C" w14:textId="77777777" w:rsidR="00473B27" w:rsidRPr="00E72837" w:rsidRDefault="00473B27" w:rsidP="00A27D0C">
            <w:pPr>
              <w:spacing w:line="180" w:lineRule="exact"/>
              <w:jc w:val="center"/>
              <w:rPr>
                <w:b/>
                <w:sz w:val="18"/>
                <w:szCs w:val="18"/>
              </w:rPr>
            </w:pPr>
            <w:r w:rsidRPr="00E72837">
              <w:rPr>
                <w:rFonts w:hint="cs"/>
                <w:b/>
                <w:sz w:val="18"/>
                <w:szCs w:val="18"/>
                <w:rtl/>
              </w:rPr>
              <w:t>התאמות</w:t>
            </w:r>
            <w:r w:rsidRPr="00E72837">
              <w:rPr>
                <w:b/>
                <w:color w:val="FF0000"/>
                <w:sz w:val="18"/>
                <w:szCs w:val="18"/>
                <w:rtl/>
              </w:rPr>
              <w:footnoteReference w:id="113"/>
            </w:r>
          </w:p>
        </w:tc>
        <w:tc>
          <w:tcPr>
            <w:tcW w:w="110" w:type="dxa"/>
            <w:vAlign w:val="bottom"/>
          </w:tcPr>
          <w:p w14:paraId="25747A8D"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008E2A00" w14:textId="77777777" w:rsidR="00473B27" w:rsidRPr="00E72837" w:rsidRDefault="00473B27" w:rsidP="00A27D0C">
            <w:pPr>
              <w:spacing w:line="180" w:lineRule="exact"/>
              <w:jc w:val="center"/>
              <w:rPr>
                <w:b/>
                <w:sz w:val="18"/>
                <w:szCs w:val="18"/>
              </w:rPr>
            </w:pPr>
            <w:r w:rsidRPr="00E72837">
              <w:rPr>
                <w:rFonts w:hint="cs"/>
                <w:b/>
                <w:sz w:val="18"/>
                <w:szCs w:val="18"/>
                <w:rtl/>
              </w:rPr>
              <w:t>סה"כ</w:t>
            </w:r>
          </w:p>
        </w:tc>
      </w:tr>
      <w:tr w:rsidR="00473B27" w:rsidRPr="0097675E" w14:paraId="5FB405DF" w14:textId="77777777" w:rsidTr="00A27D0C">
        <w:tc>
          <w:tcPr>
            <w:tcW w:w="2127" w:type="dxa"/>
            <w:vAlign w:val="bottom"/>
          </w:tcPr>
          <w:p w14:paraId="0AAA499C" w14:textId="77777777" w:rsidR="00473B27" w:rsidRPr="00E72837" w:rsidRDefault="00473B27" w:rsidP="00A27D0C">
            <w:pPr>
              <w:pStyle w:val="a3"/>
              <w:tabs>
                <w:tab w:val="left" w:pos="227"/>
                <w:tab w:val="left" w:pos="397"/>
                <w:tab w:val="left" w:pos="567"/>
              </w:tabs>
              <w:spacing w:line="200" w:lineRule="exact"/>
              <w:jc w:val="center"/>
              <w:rPr>
                <w:sz w:val="16"/>
                <w:szCs w:val="18"/>
              </w:rPr>
            </w:pPr>
          </w:p>
        </w:tc>
        <w:tc>
          <w:tcPr>
            <w:tcW w:w="113" w:type="dxa"/>
          </w:tcPr>
          <w:p w14:paraId="41D6A97B" w14:textId="77777777" w:rsidR="00473B27" w:rsidRPr="0097675E" w:rsidRDefault="00473B27" w:rsidP="00A27D0C">
            <w:pPr>
              <w:pStyle w:val="a3"/>
              <w:tabs>
                <w:tab w:val="left" w:pos="227"/>
                <w:tab w:val="left" w:pos="397"/>
                <w:tab w:val="left" w:pos="567"/>
              </w:tabs>
              <w:spacing w:line="200" w:lineRule="exact"/>
              <w:ind w:left="227" w:hanging="397"/>
              <w:jc w:val="center"/>
              <w:rPr>
                <w:sz w:val="18"/>
                <w:szCs w:val="20"/>
              </w:rPr>
            </w:pPr>
          </w:p>
        </w:tc>
        <w:tc>
          <w:tcPr>
            <w:tcW w:w="5733" w:type="dxa"/>
            <w:gridSpan w:val="11"/>
            <w:tcBorders>
              <w:top w:val="nil"/>
              <w:left w:val="nil"/>
              <w:bottom w:val="single" w:sz="6" w:space="0" w:color="auto"/>
              <w:right w:val="nil"/>
            </w:tcBorders>
            <w:vAlign w:val="bottom"/>
          </w:tcPr>
          <w:p w14:paraId="6330BC48" w14:textId="77777777" w:rsidR="00473B27" w:rsidRPr="0097675E" w:rsidRDefault="00473B27" w:rsidP="00A27D0C">
            <w:pPr>
              <w:pStyle w:val="af5"/>
              <w:pBdr>
                <w:bottom w:val="none" w:sz="0" w:space="0" w:color="auto"/>
              </w:pBdr>
              <w:spacing w:line="200" w:lineRule="exact"/>
              <w:ind w:left="57"/>
              <w:rPr>
                <w:b w:val="0"/>
                <w:bCs w:val="0"/>
                <w:sz w:val="18"/>
                <w:szCs w:val="20"/>
              </w:rPr>
            </w:pPr>
            <w:r w:rsidRPr="0097675E">
              <w:rPr>
                <w:rFonts w:hint="cs"/>
                <w:b w:val="0"/>
                <w:bCs w:val="0"/>
                <w:sz w:val="18"/>
                <w:szCs w:val="20"/>
                <w:rtl/>
              </w:rPr>
              <w:t>מבוקר</w:t>
            </w:r>
          </w:p>
        </w:tc>
      </w:tr>
      <w:tr w:rsidR="00473B27" w:rsidRPr="0097675E" w14:paraId="1EA07EA1" w14:textId="77777777" w:rsidTr="00A27D0C">
        <w:tc>
          <w:tcPr>
            <w:tcW w:w="2127" w:type="dxa"/>
            <w:vAlign w:val="bottom"/>
          </w:tcPr>
          <w:p w14:paraId="1852358C" w14:textId="77777777" w:rsidR="00473B27" w:rsidRPr="00E72837" w:rsidRDefault="00473B27" w:rsidP="00A27D0C">
            <w:pPr>
              <w:pStyle w:val="a3"/>
              <w:tabs>
                <w:tab w:val="left" w:pos="227"/>
                <w:tab w:val="left" w:pos="397"/>
                <w:tab w:val="left" w:pos="567"/>
              </w:tabs>
              <w:spacing w:line="200" w:lineRule="exact"/>
              <w:jc w:val="center"/>
              <w:rPr>
                <w:sz w:val="16"/>
                <w:szCs w:val="18"/>
              </w:rPr>
            </w:pPr>
          </w:p>
        </w:tc>
        <w:tc>
          <w:tcPr>
            <w:tcW w:w="113" w:type="dxa"/>
          </w:tcPr>
          <w:p w14:paraId="24DD072A" w14:textId="77777777" w:rsidR="00473B27" w:rsidRPr="0097675E" w:rsidRDefault="00473B27" w:rsidP="00A27D0C">
            <w:pPr>
              <w:pStyle w:val="a3"/>
              <w:tabs>
                <w:tab w:val="left" w:pos="227"/>
                <w:tab w:val="left" w:pos="397"/>
                <w:tab w:val="left" w:pos="567"/>
              </w:tabs>
              <w:spacing w:line="200" w:lineRule="exact"/>
              <w:ind w:left="227" w:hanging="397"/>
              <w:jc w:val="center"/>
              <w:rPr>
                <w:sz w:val="18"/>
                <w:szCs w:val="20"/>
              </w:rPr>
            </w:pPr>
          </w:p>
        </w:tc>
        <w:tc>
          <w:tcPr>
            <w:tcW w:w="5733" w:type="dxa"/>
            <w:gridSpan w:val="11"/>
            <w:tcBorders>
              <w:top w:val="nil"/>
              <w:left w:val="nil"/>
              <w:bottom w:val="single" w:sz="6" w:space="0" w:color="auto"/>
              <w:right w:val="nil"/>
            </w:tcBorders>
            <w:vAlign w:val="bottom"/>
          </w:tcPr>
          <w:p w14:paraId="4E689ECA" w14:textId="77777777" w:rsidR="00473B27" w:rsidRPr="0097675E" w:rsidRDefault="00473B27" w:rsidP="00A27D0C">
            <w:pPr>
              <w:pStyle w:val="af5"/>
              <w:pBdr>
                <w:bottom w:val="none" w:sz="0" w:space="0" w:color="auto"/>
              </w:pBdr>
              <w:spacing w:line="200" w:lineRule="exact"/>
              <w:ind w:left="57"/>
              <w:rPr>
                <w:sz w:val="18"/>
                <w:szCs w:val="20"/>
              </w:rPr>
            </w:pPr>
            <w:r w:rsidRPr="0097675E">
              <w:rPr>
                <w:rFonts w:hint="cs"/>
                <w:b w:val="0"/>
                <w:bCs w:val="0"/>
                <w:sz w:val="18"/>
                <w:szCs w:val="20"/>
                <w:rtl/>
              </w:rPr>
              <w:t>אלפי ש"ח</w:t>
            </w:r>
          </w:p>
        </w:tc>
      </w:tr>
      <w:tr w:rsidR="00473B27" w:rsidRPr="0097675E" w14:paraId="6DD4575B" w14:textId="77777777" w:rsidTr="00A27D0C">
        <w:tc>
          <w:tcPr>
            <w:tcW w:w="2127" w:type="dxa"/>
            <w:vAlign w:val="bottom"/>
          </w:tcPr>
          <w:p w14:paraId="0E26B8C3" w14:textId="77777777" w:rsidR="00473B27" w:rsidRPr="00E72837" w:rsidRDefault="00473B27" w:rsidP="00A27D0C">
            <w:pPr>
              <w:pStyle w:val="a3"/>
              <w:widowControl/>
              <w:tabs>
                <w:tab w:val="left" w:pos="227"/>
                <w:tab w:val="left" w:pos="397"/>
                <w:tab w:val="left" w:pos="567"/>
              </w:tabs>
              <w:spacing w:line="200" w:lineRule="exact"/>
              <w:ind w:left="0"/>
              <w:rPr>
                <w:sz w:val="16"/>
                <w:szCs w:val="18"/>
                <w:rtl/>
              </w:rPr>
            </w:pPr>
          </w:p>
        </w:tc>
        <w:tc>
          <w:tcPr>
            <w:tcW w:w="113" w:type="dxa"/>
          </w:tcPr>
          <w:p w14:paraId="7E8AD53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2F23CBD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0B50F8C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shd w:val="clear" w:color="auto" w:fill="auto"/>
            <w:vAlign w:val="bottom"/>
          </w:tcPr>
          <w:p w14:paraId="3C64270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9394D3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565440D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948A70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733DEFA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A2071D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39BB8B7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6AE2FA1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6" w:space="0" w:color="auto"/>
            </w:tcBorders>
            <w:shd w:val="clear" w:color="auto" w:fill="auto"/>
            <w:vAlign w:val="bottom"/>
          </w:tcPr>
          <w:p w14:paraId="20A17A0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2CA4C119" w14:textId="77777777" w:rsidTr="00A27D0C">
        <w:tc>
          <w:tcPr>
            <w:tcW w:w="2127" w:type="dxa"/>
            <w:vAlign w:val="bottom"/>
          </w:tcPr>
          <w:p w14:paraId="062829F6" w14:textId="6A8C97A9" w:rsidR="00473B27" w:rsidRPr="00E72837" w:rsidRDefault="00473B27" w:rsidP="00473B27">
            <w:pPr>
              <w:pStyle w:val="a3"/>
              <w:tabs>
                <w:tab w:val="left" w:pos="227"/>
                <w:tab w:val="left" w:pos="397"/>
                <w:tab w:val="left" w:pos="567"/>
              </w:tabs>
              <w:spacing w:line="200" w:lineRule="exact"/>
              <w:ind w:left="227" w:hanging="170"/>
              <w:rPr>
                <w:sz w:val="16"/>
                <w:szCs w:val="18"/>
              </w:rPr>
            </w:pPr>
            <w:r w:rsidRPr="0031447D">
              <w:rPr>
                <w:rFonts w:hint="cs"/>
                <w:sz w:val="18"/>
                <w:szCs w:val="18"/>
                <w:u w:val="single"/>
                <w:rtl/>
              </w:rPr>
              <w:t xml:space="preserve">לתקופה של תשעה חודשים שהסתיימה ביום 30 בספטמבר, </w:t>
            </w:r>
            <w:r>
              <w:rPr>
                <w:rFonts w:hint="cs"/>
                <w:sz w:val="18"/>
                <w:szCs w:val="18"/>
                <w:u w:val="single"/>
                <w:rtl/>
              </w:rPr>
              <w:t>2018</w:t>
            </w:r>
          </w:p>
        </w:tc>
        <w:tc>
          <w:tcPr>
            <w:tcW w:w="113" w:type="dxa"/>
          </w:tcPr>
          <w:p w14:paraId="4DDE650F"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67D7CE1C" w14:textId="77777777" w:rsidR="00473B27" w:rsidRPr="0097675E" w:rsidRDefault="00473B27" w:rsidP="00A27D0C">
            <w:pPr>
              <w:tabs>
                <w:tab w:val="decimal" w:pos="113"/>
              </w:tabs>
              <w:spacing w:line="200" w:lineRule="exact"/>
              <w:ind w:left="57"/>
              <w:rPr>
                <w:sz w:val="18"/>
                <w:szCs w:val="20"/>
              </w:rPr>
            </w:pPr>
          </w:p>
        </w:tc>
        <w:tc>
          <w:tcPr>
            <w:tcW w:w="140" w:type="dxa"/>
          </w:tcPr>
          <w:p w14:paraId="5D0AE3F5"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05D81B67" w14:textId="77777777" w:rsidR="00473B27" w:rsidRPr="0097675E" w:rsidRDefault="00473B27" w:rsidP="00A27D0C">
            <w:pPr>
              <w:tabs>
                <w:tab w:val="decimal" w:pos="113"/>
              </w:tabs>
              <w:spacing w:line="200" w:lineRule="exact"/>
              <w:ind w:left="57"/>
              <w:rPr>
                <w:sz w:val="18"/>
                <w:szCs w:val="20"/>
              </w:rPr>
            </w:pPr>
          </w:p>
        </w:tc>
        <w:tc>
          <w:tcPr>
            <w:tcW w:w="140" w:type="dxa"/>
          </w:tcPr>
          <w:p w14:paraId="4E9FF96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A2F22EE" w14:textId="77777777" w:rsidR="00473B27" w:rsidRPr="0097675E" w:rsidRDefault="00473B27" w:rsidP="00A27D0C">
            <w:pPr>
              <w:tabs>
                <w:tab w:val="decimal" w:pos="113"/>
              </w:tabs>
              <w:spacing w:line="200" w:lineRule="exact"/>
              <w:ind w:left="57"/>
              <w:rPr>
                <w:sz w:val="18"/>
                <w:szCs w:val="20"/>
              </w:rPr>
            </w:pPr>
          </w:p>
        </w:tc>
        <w:tc>
          <w:tcPr>
            <w:tcW w:w="140" w:type="dxa"/>
          </w:tcPr>
          <w:p w14:paraId="2D5BE7B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9D6315A" w14:textId="77777777" w:rsidR="00473B27" w:rsidRPr="0097675E" w:rsidRDefault="00473B27" w:rsidP="00A27D0C">
            <w:pPr>
              <w:tabs>
                <w:tab w:val="decimal" w:pos="113"/>
              </w:tabs>
              <w:spacing w:line="200" w:lineRule="exact"/>
              <w:ind w:left="57"/>
              <w:rPr>
                <w:sz w:val="18"/>
                <w:szCs w:val="20"/>
              </w:rPr>
            </w:pPr>
          </w:p>
        </w:tc>
        <w:tc>
          <w:tcPr>
            <w:tcW w:w="140" w:type="dxa"/>
          </w:tcPr>
          <w:p w14:paraId="69300E8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3AB34A6" w14:textId="77777777" w:rsidR="00473B27" w:rsidRPr="0097675E" w:rsidRDefault="00473B27" w:rsidP="00A27D0C">
            <w:pPr>
              <w:tabs>
                <w:tab w:val="decimal" w:pos="113"/>
              </w:tabs>
              <w:spacing w:line="200" w:lineRule="exact"/>
              <w:ind w:left="57"/>
              <w:rPr>
                <w:sz w:val="18"/>
                <w:szCs w:val="20"/>
              </w:rPr>
            </w:pPr>
          </w:p>
        </w:tc>
        <w:tc>
          <w:tcPr>
            <w:tcW w:w="110" w:type="dxa"/>
          </w:tcPr>
          <w:p w14:paraId="0A0FC70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A543C94" w14:textId="77777777" w:rsidR="00473B27" w:rsidRPr="0097675E" w:rsidRDefault="00473B27" w:rsidP="00A27D0C">
            <w:pPr>
              <w:tabs>
                <w:tab w:val="decimal" w:pos="113"/>
              </w:tabs>
              <w:spacing w:line="200" w:lineRule="exact"/>
              <w:ind w:left="57"/>
              <w:rPr>
                <w:sz w:val="18"/>
                <w:szCs w:val="20"/>
              </w:rPr>
            </w:pPr>
          </w:p>
        </w:tc>
      </w:tr>
      <w:tr w:rsidR="00473B27" w:rsidRPr="0097675E" w14:paraId="2CA6C313" w14:textId="77777777" w:rsidTr="00A27D0C">
        <w:tc>
          <w:tcPr>
            <w:tcW w:w="2127" w:type="dxa"/>
            <w:vAlign w:val="bottom"/>
          </w:tcPr>
          <w:p w14:paraId="4790B2EC" w14:textId="77777777" w:rsidR="00473B27" w:rsidRPr="00473B27" w:rsidRDefault="00473B27" w:rsidP="00A27D0C">
            <w:pPr>
              <w:pStyle w:val="a3"/>
              <w:tabs>
                <w:tab w:val="left" w:pos="227"/>
                <w:tab w:val="left" w:pos="397"/>
                <w:tab w:val="left" w:pos="567"/>
              </w:tabs>
              <w:spacing w:line="180" w:lineRule="exact"/>
              <w:rPr>
                <w:b/>
                <w:bCs/>
                <w:sz w:val="18"/>
                <w:szCs w:val="18"/>
                <w:rtl/>
              </w:rPr>
            </w:pPr>
            <w:r>
              <w:rPr>
                <w:rFonts w:hint="cs"/>
                <w:b/>
                <w:bCs/>
                <w:sz w:val="18"/>
                <w:szCs w:val="18"/>
                <w:rtl/>
              </w:rPr>
              <w:t>פילוח גיאורגרפי:</w:t>
            </w:r>
          </w:p>
        </w:tc>
        <w:tc>
          <w:tcPr>
            <w:tcW w:w="113" w:type="dxa"/>
          </w:tcPr>
          <w:p w14:paraId="152CF59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78D6138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47B8A11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nil"/>
              <w:left w:val="nil"/>
              <w:right w:val="nil"/>
            </w:tcBorders>
            <w:vAlign w:val="bottom"/>
          </w:tcPr>
          <w:p w14:paraId="1109219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65B3C3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1522861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87FE8D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0E1465F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F9755E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2BC7046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0D002DC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5AE8B64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23B72F6A" w14:textId="77777777" w:rsidTr="00A27D0C">
        <w:tc>
          <w:tcPr>
            <w:tcW w:w="2127" w:type="dxa"/>
            <w:vAlign w:val="bottom"/>
          </w:tcPr>
          <w:p w14:paraId="14968998" w14:textId="77777777" w:rsidR="00473B27" w:rsidRPr="00473B27" w:rsidRDefault="00473B27" w:rsidP="00A27D0C">
            <w:pPr>
              <w:pStyle w:val="a3"/>
              <w:tabs>
                <w:tab w:val="left" w:pos="227"/>
                <w:tab w:val="left" w:pos="397"/>
                <w:tab w:val="left" w:pos="567"/>
              </w:tabs>
              <w:spacing w:line="180" w:lineRule="exact"/>
              <w:rPr>
                <w:sz w:val="18"/>
                <w:szCs w:val="18"/>
              </w:rPr>
            </w:pPr>
            <w:r w:rsidRPr="00473B27">
              <w:rPr>
                <w:rFonts w:hint="cs"/>
                <w:sz w:val="18"/>
                <w:szCs w:val="18"/>
                <w:rtl/>
              </w:rPr>
              <w:t>צפון אמריקה</w:t>
            </w:r>
          </w:p>
        </w:tc>
        <w:tc>
          <w:tcPr>
            <w:tcW w:w="113" w:type="dxa"/>
          </w:tcPr>
          <w:p w14:paraId="6E294FF4"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41ED2546" w14:textId="77777777" w:rsidR="00473B27" w:rsidRPr="0097675E" w:rsidRDefault="00473B27" w:rsidP="00A27D0C">
            <w:pPr>
              <w:tabs>
                <w:tab w:val="decimal" w:pos="113"/>
              </w:tabs>
              <w:spacing w:line="200" w:lineRule="exact"/>
              <w:ind w:left="57"/>
              <w:rPr>
                <w:sz w:val="18"/>
                <w:szCs w:val="20"/>
              </w:rPr>
            </w:pPr>
          </w:p>
        </w:tc>
        <w:tc>
          <w:tcPr>
            <w:tcW w:w="140" w:type="dxa"/>
          </w:tcPr>
          <w:p w14:paraId="41BBBBFB"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5A2765F2" w14:textId="77777777" w:rsidR="00473B27" w:rsidRPr="0097675E" w:rsidRDefault="00473B27" w:rsidP="00A27D0C">
            <w:pPr>
              <w:tabs>
                <w:tab w:val="decimal" w:pos="113"/>
              </w:tabs>
              <w:spacing w:line="200" w:lineRule="exact"/>
              <w:ind w:left="57"/>
              <w:rPr>
                <w:sz w:val="18"/>
                <w:szCs w:val="20"/>
              </w:rPr>
            </w:pPr>
          </w:p>
        </w:tc>
        <w:tc>
          <w:tcPr>
            <w:tcW w:w="140" w:type="dxa"/>
          </w:tcPr>
          <w:p w14:paraId="347EE5F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349ABB3" w14:textId="77777777" w:rsidR="00473B27" w:rsidRPr="0097675E" w:rsidRDefault="00473B27" w:rsidP="00A27D0C">
            <w:pPr>
              <w:tabs>
                <w:tab w:val="decimal" w:pos="113"/>
              </w:tabs>
              <w:spacing w:line="200" w:lineRule="exact"/>
              <w:ind w:left="57"/>
              <w:rPr>
                <w:sz w:val="18"/>
                <w:szCs w:val="20"/>
              </w:rPr>
            </w:pPr>
          </w:p>
        </w:tc>
        <w:tc>
          <w:tcPr>
            <w:tcW w:w="140" w:type="dxa"/>
          </w:tcPr>
          <w:p w14:paraId="3C4C998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1AA2C3A" w14:textId="77777777" w:rsidR="00473B27" w:rsidRPr="0097675E" w:rsidRDefault="00473B27" w:rsidP="00A27D0C">
            <w:pPr>
              <w:tabs>
                <w:tab w:val="decimal" w:pos="113"/>
              </w:tabs>
              <w:spacing w:line="200" w:lineRule="exact"/>
              <w:ind w:left="57"/>
              <w:rPr>
                <w:sz w:val="18"/>
                <w:szCs w:val="20"/>
              </w:rPr>
            </w:pPr>
          </w:p>
        </w:tc>
        <w:tc>
          <w:tcPr>
            <w:tcW w:w="140" w:type="dxa"/>
          </w:tcPr>
          <w:p w14:paraId="586FA4A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E0C96F9" w14:textId="77777777" w:rsidR="00473B27" w:rsidRPr="0097675E" w:rsidRDefault="00473B27" w:rsidP="00A27D0C">
            <w:pPr>
              <w:tabs>
                <w:tab w:val="decimal" w:pos="113"/>
              </w:tabs>
              <w:spacing w:line="200" w:lineRule="exact"/>
              <w:ind w:left="57"/>
              <w:rPr>
                <w:sz w:val="18"/>
                <w:szCs w:val="20"/>
              </w:rPr>
            </w:pPr>
          </w:p>
        </w:tc>
        <w:tc>
          <w:tcPr>
            <w:tcW w:w="110" w:type="dxa"/>
          </w:tcPr>
          <w:p w14:paraId="5408B56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D2446A6" w14:textId="77777777" w:rsidR="00473B27" w:rsidRPr="0097675E" w:rsidRDefault="00473B27" w:rsidP="00A27D0C">
            <w:pPr>
              <w:tabs>
                <w:tab w:val="decimal" w:pos="113"/>
              </w:tabs>
              <w:spacing w:line="200" w:lineRule="exact"/>
              <w:ind w:left="57"/>
              <w:rPr>
                <w:sz w:val="18"/>
                <w:szCs w:val="20"/>
              </w:rPr>
            </w:pPr>
          </w:p>
        </w:tc>
      </w:tr>
      <w:tr w:rsidR="00473B27" w:rsidRPr="0097675E" w14:paraId="753282CF" w14:textId="77777777" w:rsidTr="00A27D0C">
        <w:tc>
          <w:tcPr>
            <w:tcW w:w="2127" w:type="dxa"/>
            <w:vAlign w:val="bottom"/>
          </w:tcPr>
          <w:p w14:paraId="45A2B892"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אירופה</w:t>
            </w:r>
          </w:p>
        </w:tc>
        <w:tc>
          <w:tcPr>
            <w:tcW w:w="113" w:type="dxa"/>
          </w:tcPr>
          <w:p w14:paraId="0E8F8253"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32874FFE" w14:textId="77777777" w:rsidR="00473B27" w:rsidRPr="0097675E" w:rsidRDefault="00473B27" w:rsidP="00A27D0C">
            <w:pPr>
              <w:tabs>
                <w:tab w:val="decimal" w:pos="113"/>
              </w:tabs>
              <w:spacing w:line="200" w:lineRule="exact"/>
              <w:ind w:left="57"/>
              <w:rPr>
                <w:sz w:val="18"/>
                <w:szCs w:val="20"/>
              </w:rPr>
            </w:pPr>
          </w:p>
        </w:tc>
        <w:tc>
          <w:tcPr>
            <w:tcW w:w="140" w:type="dxa"/>
          </w:tcPr>
          <w:p w14:paraId="0C1492B3"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0C4CA530" w14:textId="77777777" w:rsidR="00473B27" w:rsidRPr="0097675E" w:rsidRDefault="00473B27" w:rsidP="00A27D0C">
            <w:pPr>
              <w:tabs>
                <w:tab w:val="decimal" w:pos="113"/>
              </w:tabs>
              <w:spacing w:line="200" w:lineRule="exact"/>
              <w:ind w:left="57"/>
              <w:rPr>
                <w:sz w:val="18"/>
                <w:szCs w:val="20"/>
              </w:rPr>
            </w:pPr>
          </w:p>
        </w:tc>
        <w:tc>
          <w:tcPr>
            <w:tcW w:w="140" w:type="dxa"/>
          </w:tcPr>
          <w:p w14:paraId="7369D2D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DCA68FC" w14:textId="77777777" w:rsidR="00473B27" w:rsidRPr="0097675E" w:rsidRDefault="00473B27" w:rsidP="00A27D0C">
            <w:pPr>
              <w:tabs>
                <w:tab w:val="decimal" w:pos="113"/>
              </w:tabs>
              <w:spacing w:line="200" w:lineRule="exact"/>
              <w:ind w:left="57"/>
              <w:rPr>
                <w:sz w:val="18"/>
                <w:szCs w:val="20"/>
              </w:rPr>
            </w:pPr>
          </w:p>
        </w:tc>
        <w:tc>
          <w:tcPr>
            <w:tcW w:w="140" w:type="dxa"/>
          </w:tcPr>
          <w:p w14:paraId="192A4E2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70540BB" w14:textId="77777777" w:rsidR="00473B27" w:rsidRPr="0097675E" w:rsidRDefault="00473B27" w:rsidP="00A27D0C">
            <w:pPr>
              <w:tabs>
                <w:tab w:val="decimal" w:pos="113"/>
              </w:tabs>
              <w:spacing w:line="200" w:lineRule="exact"/>
              <w:ind w:left="57"/>
              <w:rPr>
                <w:sz w:val="18"/>
                <w:szCs w:val="20"/>
              </w:rPr>
            </w:pPr>
          </w:p>
        </w:tc>
        <w:tc>
          <w:tcPr>
            <w:tcW w:w="140" w:type="dxa"/>
          </w:tcPr>
          <w:p w14:paraId="6F91047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9666FAE" w14:textId="77777777" w:rsidR="00473B27" w:rsidRPr="0097675E" w:rsidRDefault="00473B27" w:rsidP="00A27D0C">
            <w:pPr>
              <w:tabs>
                <w:tab w:val="decimal" w:pos="113"/>
              </w:tabs>
              <w:spacing w:line="200" w:lineRule="exact"/>
              <w:ind w:left="57"/>
              <w:rPr>
                <w:sz w:val="18"/>
                <w:szCs w:val="20"/>
              </w:rPr>
            </w:pPr>
          </w:p>
        </w:tc>
        <w:tc>
          <w:tcPr>
            <w:tcW w:w="110" w:type="dxa"/>
          </w:tcPr>
          <w:p w14:paraId="59D71D4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C8B4067" w14:textId="77777777" w:rsidR="00473B27" w:rsidRPr="0097675E" w:rsidRDefault="00473B27" w:rsidP="00A27D0C">
            <w:pPr>
              <w:tabs>
                <w:tab w:val="decimal" w:pos="113"/>
              </w:tabs>
              <w:spacing w:line="200" w:lineRule="exact"/>
              <w:ind w:left="57"/>
              <w:rPr>
                <w:sz w:val="18"/>
                <w:szCs w:val="20"/>
              </w:rPr>
            </w:pPr>
          </w:p>
        </w:tc>
      </w:tr>
      <w:tr w:rsidR="00473B27" w:rsidRPr="0097675E" w14:paraId="76EAAA4C" w14:textId="77777777" w:rsidTr="00A27D0C">
        <w:tc>
          <w:tcPr>
            <w:tcW w:w="2127" w:type="dxa"/>
            <w:vAlign w:val="bottom"/>
          </w:tcPr>
          <w:p w14:paraId="2DD145C6"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ישראל</w:t>
            </w:r>
          </w:p>
        </w:tc>
        <w:tc>
          <w:tcPr>
            <w:tcW w:w="113" w:type="dxa"/>
          </w:tcPr>
          <w:p w14:paraId="506E7919"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39288874" w14:textId="77777777" w:rsidR="00473B27" w:rsidRPr="0097675E" w:rsidRDefault="00473B27" w:rsidP="00A27D0C">
            <w:pPr>
              <w:tabs>
                <w:tab w:val="decimal" w:pos="113"/>
              </w:tabs>
              <w:spacing w:line="200" w:lineRule="exact"/>
              <w:ind w:left="57"/>
              <w:rPr>
                <w:sz w:val="18"/>
                <w:szCs w:val="20"/>
              </w:rPr>
            </w:pPr>
          </w:p>
        </w:tc>
        <w:tc>
          <w:tcPr>
            <w:tcW w:w="140" w:type="dxa"/>
          </w:tcPr>
          <w:p w14:paraId="630791D8"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34730527" w14:textId="77777777" w:rsidR="00473B27" w:rsidRPr="0097675E" w:rsidRDefault="00473B27" w:rsidP="00A27D0C">
            <w:pPr>
              <w:tabs>
                <w:tab w:val="decimal" w:pos="113"/>
              </w:tabs>
              <w:spacing w:line="200" w:lineRule="exact"/>
              <w:ind w:left="57"/>
              <w:rPr>
                <w:sz w:val="18"/>
                <w:szCs w:val="20"/>
              </w:rPr>
            </w:pPr>
          </w:p>
        </w:tc>
        <w:tc>
          <w:tcPr>
            <w:tcW w:w="140" w:type="dxa"/>
          </w:tcPr>
          <w:p w14:paraId="3B99826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B2CB670" w14:textId="77777777" w:rsidR="00473B27" w:rsidRPr="0097675E" w:rsidRDefault="00473B27" w:rsidP="00A27D0C">
            <w:pPr>
              <w:tabs>
                <w:tab w:val="decimal" w:pos="113"/>
              </w:tabs>
              <w:spacing w:line="200" w:lineRule="exact"/>
              <w:ind w:left="57"/>
              <w:rPr>
                <w:sz w:val="18"/>
                <w:szCs w:val="20"/>
              </w:rPr>
            </w:pPr>
          </w:p>
        </w:tc>
        <w:tc>
          <w:tcPr>
            <w:tcW w:w="140" w:type="dxa"/>
          </w:tcPr>
          <w:p w14:paraId="4D5F9451"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6C9D904" w14:textId="77777777" w:rsidR="00473B27" w:rsidRPr="0097675E" w:rsidRDefault="00473B27" w:rsidP="00A27D0C">
            <w:pPr>
              <w:tabs>
                <w:tab w:val="decimal" w:pos="113"/>
              </w:tabs>
              <w:spacing w:line="200" w:lineRule="exact"/>
              <w:ind w:left="57"/>
              <w:rPr>
                <w:sz w:val="18"/>
                <w:szCs w:val="20"/>
              </w:rPr>
            </w:pPr>
          </w:p>
        </w:tc>
        <w:tc>
          <w:tcPr>
            <w:tcW w:w="140" w:type="dxa"/>
          </w:tcPr>
          <w:p w14:paraId="6897566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0D99E9C" w14:textId="77777777" w:rsidR="00473B27" w:rsidRPr="0097675E" w:rsidRDefault="00473B27" w:rsidP="00A27D0C">
            <w:pPr>
              <w:tabs>
                <w:tab w:val="decimal" w:pos="113"/>
              </w:tabs>
              <w:spacing w:line="200" w:lineRule="exact"/>
              <w:ind w:left="57"/>
              <w:rPr>
                <w:sz w:val="18"/>
                <w:szCs w:val="20"/>
              </w:rPr>
            </w:pPr>
          </w:p>
        </w:tc>
        <w:tc>
          <w:tcPr>
            <w:tcW w:w="110" w:type="dxa"/>
          </w:tcPr>
          <w:p w14:paraId="07A67235"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7782330" w14:textId="77777777" w:rsidR="00473B27" w:rsidRPr="0097675E" w:rsidRDefault="00473B27" w:rsidP="00A27D0C">
            <w:pPr>
              <w:tabs>
                <w:tab w:val="decimal" w:pos="113"/>
              </w:tabs>
              <w:spacing w:line="200" w:lineRule="exact"/>
              <w:ind w:left="57"/>
              <w:rPr>
                <w:sz w:val="18"/>
                <w:szCs w:val="20"/>
              </w:rPr>
            </w:pPr>
          </w:p>
        </w:tc>
      </w:tr>
      <w:tr w:rsidR="00473B27" w:rsidRPr="0097675E" w14:paraId="1C839AE2" w14:textId="77777777" w:rsidTr="00A27D0C">
        <w:tc>
          <w:tcPr>
            <w:tcW w:w="2127" w:type="dxa"/>
            <w:vAlign w:val="bottom"/>
          </w:tcPr>
          <w:p w14:paraId="239418DA" w14:textId="77777777" w:rsidR="00473B27" w:rsidRPr="00473B27" w:rsidRDefault="00473B27" w:rsidP="00A27D0C">
            <w:pPr>
              <w:pStyle w:val="a3"/>
              <w:tabs>
                <w:tab w:val="left" w:pos="227"/>
                <w:tab w:val="left" w:pos="397"/>
                <w:tab w:val="left" w:pos="567"/>
              </w:tabs>
              <w:spacing w:line="180" w:lineRule="exact"/>
              <w:rPr>
                <w:b/>
                <w:bCs/>
                <w:sz w:val="18"/>
                <w:szCs w:val="18"/>
                <w:rtl/>
              </w:rPr>
            </w:pPr>
          </w:p>
        </w:tc>
        <w:tc>
          <w:tcPr>
            <w:tcW w:w="113" w:type="dxa"/>
          </w:tcPr>
          <w:p w14:paraId="038A24C3"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65B0FDD7" w14:textId="77777777" w:rsidR="00473B27" w:rsidRPr="0097675E" w:rsidRDefault="00473B27" w:rsidP="00A27D0C">
            <w:pPr>
              <w:tabs>
                <w:tab w:val="decimal" w:pos="113"/>
              </w:tabs>
              <w:spacing w:line="200" w:lineRule="exact"/>
              <w:ind w:left="57"/>
              <w:rPr>
                <w:sz w:val="18"/>
                <w:szCs w:val="20"/>
              </w:rPr>
            </w:pPr>
          </w:p>
        </w:tc>
        <w:tc>
          <w:tcPr>
            <w:tcW w:w="140" w:type="dxa"/>
          </w:tcPr>
          <w:p w14:paraId="5207195D"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7564F314" w14:textId="77777777" w:rsidR="00473B27" w:rsidRPr="0097675E" w:rsidRDefault="00473B27" w:rsidP="00A27D0C">
            <w:pPr>
              <w:tabs>
                <w:tab w:val="decimal" w:pos="113"/>
              </w:tabs>
              <w:spacing w:line="200" w:lineRule="exact"/>
              <w:ind w:left="57"/>
              <w:rPr>
                <w:sz w:val="18"/>
                <w:szCs w:val="20"/>
              </w:rPr>
            </w:pPr>
          </w:p>
        </w:tc>
        <w:tc>
          <w:tcPr>
            <w:tcW w:w="140" w:type="dxa"/>
          </w:tcPr>
          <w:p w14:paraId="3CCE2E7E"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CDA64B9" w14:textId="77777777" w:rsidR="00473B27" w:rsidRPr="0097675E" w:rsidRDefault="00473B27" w:rsidP="00A27D0C">
            <w:pPr>
              <w:tabs>
                <w:tab w:val="decimal" w:pos="113"/>
              </w:tabs>
              <w:spacing w:line="200" w:lineRule="exact"/>
              <w:ind w:left="57"/>
              <w:rPr>
                <w:sz w:val="18"/>
                <w:szCs w:val="20"/>
              </w:rPr>
            </w:pPr>
          </w:p>
        </w:tc>
        <w:tc>
          <w:tcPr>
            <w:tcW w:w="140" w:type="dxa"/>
          </w:tcPr>
          <w:p w14:paraId="7156FBF3"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10C84F3" w14:textId="77777777" w:rsidR="00473B27" w:rsidRPr="0097675E" w:rsidRDefault="00473B27" w:rsidP="00A27D0C">
            <w:pPr>
              <w:tabs>
                <w:tab w:val="decimal" w:pos="113"/>
              </w:tabs>
              <w:spacing w:line="200" w:lineRule="exact"/>
              <w:ind w:left="57"/>
              <w:rPr>
                <w:sz w:val="18"/>
                <w:szCs w:val="20"/>
              </w:rPr>
            </w:pPr>
          </w:p>
        </w:tc>
        <w:tc>
          <w:tcPr>
            <w:tcW w:w="140" w:type="dxa"/>
          </w:tcPr>
          <w:p w14:paraId="485538DE"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8736748" w14:textId="77777777" w:rsidR="00473B27" w:rsidRPr="0097675E" w:rsidRDefault="00473B27" w:rsidP="00A27D0C">
            <w:pPr>
              <w:tabs>
                <w:tab w:val="decimal" w:pos="113"/>
              </w:tabs>
              <w:spacing w:line="200" w:lineRule="exact"/>
              <w:ind w:left="57"/>
              <w:rPr>
                <w:sz w:val="18"/>
                <w:szCs w:val="20"/>
              </w:rPr>
            </w:pPr>
          </w:p>
        </w:tc>
        <w:tc>
          <w:tcPr>
            <w:tcW w:w="110" w:type="dxa"/>
          </w:tcPr>
          <w:p w14:paraId="4E4DE556"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D63E637" w14:textId="77777777" w:rsidR="00473B27" w:rsidRPr="0097675E" w:rsidRDefault="00473B27" w:rsidP="00A27D0C">
            <w:pPr>
              <w:tabs>
                <w:tab w:val="decimal" w:pos="113"/>
              </w:tabs>
              <w:spacing w:line="200" w:lineRule="exact"/>
              <w:ind w:left="57"/>
              <w:rPr>
                <w:sz w:val="18"/>
                <w:szCs w:val="20"/>
              </w:rPr>
            </w:pPr>
          </w:p>
        </w:tc>
      </w:tr>
      <w:tr w:rsidR="00473B27" w:rsidRPr="0097675E" w14:paraId="27B617DC" w14:textId="77777777" w:rsidTr="00A27D0C">
        <w:tc>
          <w:tcPr>
            <w:tcW w:w="2127" w:type="dxa"/>
            <w:vAlign w:val="bottom"/>
          </w:tcPr>
          <w:p w14:paraId="7FD98DD7"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סה"כ הכנסות מחיצוניים</w:t>
            </w:r>
          </w:p>
        </w:tc>
        <w:tc>
          <w:tcPr>
            <w:tcW w:w="113" w:type="dxa"/>
          </w:tcPr>
          <w:p w14:paraId="582364B8"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60DBCB2C" w14:textId="77777777" w:rsidR="00473B27" w:rsidRPr="0097675E" w:rsidRDefault="00473B27" w:rsidP="00A27D0C">
            <w:pPr>
              <w:tabs>
                <w:tab w:val="decimal" w:pos="113"/>
              </w:tabs>
              <w:spacing w:line="200" w:lineRule="exact"/>
              <w:ind w:left="57"/>
              <w:rPr>
                <w:sz w:val="18"/>
                <w:szCs w:val="20"/>
              </w:rPr>
            </w:pPr>
          </w:p>
        </w:tc>
        <w:tc>
          <w:tcPr>
            <w:tcW w:w="140" w:type="dxa"/>
          </w:tcPr>
          <w:p w14:paraId="6B0E3923"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1BB2F1F9" w14:textId="77777777" w:rsidR="00473B27" w:rsidRPr="0097675E" w:rsidRDefault="00473B27" w:rsidP="00A27D0C">
            <w:pPr>
              <w:tabs>
                <w:tab w:val="decimal" w:pos="113"/>
              </w:tabs>
              <w:spacing w:line="200" w:lineRule="exact"/>
              <w:ind w:left="57"/>
              <w:rPr>
                <w:sz w:val="18"/>
                <w:szCs w:val="20"/>
              </w:rPr>
            </w:pPr>
          </w:p>
        </w:tc>
        <w:tc>
          <w:tcPr>
            <w:tcW w:w="140" w:type="dxa"/>
          </w:tcPr>
          <w:p w14:paraId="3AF9937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39BAE1A" w14:textId="77777777" w:rsidR="00473B27" w:rsidRPr="0097675E" w:rsidRDefault="00473B27" w:rsidP="00A27D0C">
            <w:pPr>
              <w:tabs>
                <w:tab w:val="decimal" w:pos="113"/>
              </w:tabs>
              <w:spacing w:line="200" w:lineRule="exact"/>
              <w:ind w:left="57"/>
              <w:rPr>
                <w:sz w:val="18"/>
                <w:szCs w:val="20"/>
              </w:rPr>
            </w:pPr>
          </w:p>
        </w:tc>
        <w:tc>
          <w:tcPr>
            <w:tcW w:w="140" w:type="dxa"/>
          </w:tcPr>
          <w:p w14:paraId="5672DBC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F676F2A" w14:textId="77777777" w:rsidR="00473B27" w:rsidRPr="0097675E" w:rsidRDefault="00473B27" w:rsidP="00A27D0C">
            <w:pPr>
              <w:tabs>
                <w:tab w:val="decimal" w:pos="113"/>
              </w:tabs>
              <w:spacing w:line="200" w:lineRule="exact"/>
              <w:ind w:left="57"/>
              <w:rPr>
                <w:sz w:val="18"/>
                <w:szCs w:val="20"/>
              </w:rPr>
            </w:pPr>
          </w:p>
        </w:tc>
        <w:tc>
          <w:tcPr>
            <w:tcW w:w="140" w:type="dxa"/>
          </w:tcPr>
          <w:p w14:paraId="0E20655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BDD8917" w14:textId="77777777" w:rsidR="00473B27" w:rsidRPr="0097675E" w:rsidRDefault="00473B27" w:rsidP="00A27D0C">
            <w:pPr>
              <w:tabs>
                <w:tab w:val="decimal" w:pos="113"/>
              </w:tabs>
              <w:spacing w:line="200" w:lineRule="exact"/>
              <w:ind w:left="57"/>
              <w:rPr>
                <w:sz w:val="18"/>
                <w:szCs w:val="20"/>
              </w:rPr>
            </w:pPr>
          </w:p>
        </w:tc>
        <w:tc>
          <w:tcPr>
            <w:tcW w:w="110" w:type="dxa"/>
          </w:tcPr>
          <w:p w14:paraId="4CE0E4D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AB7C965" w14:textId="77777777" w:rsidR="00473B27" w:rsidRPr="0097675E" w:rsidRDefault="00473B27" w:rsidP="00A27D0C">
            <w:pPr>
              <w:tabs>
                <w:tab w:val="decimal" w:pos="113"/>
              </w:tabs>
              <w:spacing w:line="200" w:lineRule="exact"/>
              <w:ind w:left="57"/>
              <w:rPr>
                <w:sz w:val="18"/>
                <w:szCs w:val="20"/>
              </w:rPr>
            </w:pPr>
          </w:p>
        </w:tc>
      </w:tr>
      <w:tr w:rsidR="00473B27" w:rsidRPr="0097675E" w14:paraId="3D10760B" w14:textId="77777777" w:rsidTr="00A27D0C">
        <w:tc>
          <w:tcPr>
            <w:tcW w:w="2127" w:type="dxa"/>
            <w:vAlign w:val="bottom"/>
          </w:tcPr>
          <w:p w14:paraId="0FBE298B" w14:textId="77777777" w:rsidR="00473B27" w:rsidRPr="00473B27" w:rsidRDefault="00473B27" w:rsidP="00A27D0C">
            <w:pPr>
              <w:pStyle w:val="a3"/>
              <w:tabs>
                <w:tab w:val="left" w:pos="227"/>
                <w:tab w:val="left" w:pos="397"/>
                <w:tab w:val="left" w:pos="567"/>
              </w:tabs>
              <w:spacing w:line="180" w:lineRule="exact"/>
              <w:rPr>
                <w:b/>
                <w:bCs/>
                <w:sz w:val="18"/>
                <w:szCs w:val="18"/>
                <w:rtl/>
              </w:rPr>
            </w:pPr>
          </w:p>
        </w:tc>
        <w:tc>
          <w:tcPr>
            <w:tcW w:w="113" w:type="dxa"/>
          </w:tcPr>
          <w:p w14:paraId="0D4C6C13"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47DADFAE" w14:textId="77777777" w:rsidR="00473B27" w:rsidRPr="0097675E" w:rsidRDefault="00473B27" w:rsidP="00A27D0C">
            <w:pPr>
              <w:tabs>
                <w:tab w:val="decimal" w:pos="113"/>
              </w:tabs>
              <w:spacing w:line="200" w:lineRule="exact"/>
              <w:ind w:left="57"/>
              <w:rPr>
                <w:sz w:val="18"/>
                <w:szCs w:val="20"/>
              </w:rPr>
            </w:pPr>
          </w:p>
        </w:tc>
        <w:tc>
          <w:tcPr>
            <w:tcW w:w="140" w:type="dxa"/>
          </w:tcPr>
          <w:p w14:paraId="32C3FAB1"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23752208" w14:textId="77777777" w:rsidR="00473B27" w:rsidRPr="0097675E" w:rsidRDefault="00473B27" w:rsidP="00A27D0C">
            <w:pPr>
              <w:tabs>
                <w:tab w:val="decimal" w:pos="113"/>
              </w:tabs>
              <w:spacing w:line="200" w:lineRule="exact"/>
              <w:ind w:left="57"/>
              <w:rPr>
                <w:sz w:val="18"/>
                <w:szCs w:val="20"/>
              </w:rPr>
            </w:pPr>
          </w:p>
        </w:tc>
        <w:tc>
          <w:tcPr>
            <w:tcW w:w="140" w:type="dxa"/>
          </w:tcPr>
          <w:p w14:paraId="5FA75C8E"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29690A6" w14:textId="77777777" w:rsidR="00473B27" w:rsidRPr="0097675E" w:rsidRDefault="00473B27" w:rsidP="00A27D0C">
            <w:pPr>
              <w:tabs>
                <w:tab w:val="decimal" w:pos="113"/>
              </w:tabs>
              <w:spacing w:line="200" w:lineRule="exact"/>
              <w:ind w:left="57"/>
              <w:rPr>
                <w:sz w:val="18"/>
                <w:szCs w:val="20"/>
              </w:rPr>
            </w:pPr>
          </w:p>
        </w:tc>
        <w:tc>
          <w:tcPr>
            <w:tcW w:w="140" w:type="dxa"/>
          </w:tcPr>
          <w:p w14:paraId="5537FAB5"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5F99D9C1" w14:textId="77777777" w:rsidR="00473B27" w:rsidRPr="0097675E" w:rsidRDefault="00473B27" w:rsidP="00A27D0C">
            <w:pPr>
              <w:tabs>
                <w:tab w:val="decimal" w:pos="113"/>
              </w:tabs>
              <w:spacing w:line="200" w:lineRule="exact"/>
              <w:ind w:left="57"/>
              <w:rPr>
                <w:sz w:val="18"/>
                <w:szCs w:val="20"/>
              </w:rPr>
            </w:pPr>
          </w:p>
        </w:tc>
        <w:tc>
          <w:tcPr>
            <w:tcW w:w="140" w:type="dxa"/>
          </w:tcPr>
          <w:p w14:paraId="2C439F73"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948CC8E" w14:textId="77777777" w:rsidR="00473B27" w:rsidRPr="0097675E" w:rsidRDefault="00473B27" w:rsidP="00A27D0C">
            <w:pPr>
              <w:tabs>
                <w:tab w:val="decimal" w:pos="113"/>
              </w:tabs>
              <w:spacing w:line="200" w:lineRule="exact"/>
              <w:ind w:left="57"/>
              <w:rPr>
                <w:sz w:val="18"/>
                <w:szCs w:val="20"/>
              </w:rPr>
            </w:pPr>
          </w:p>
        </w:tc>
        <w:tc>
          <w:tcPr>
            <w:tcW w:w="110" w:type="dxa"/>
          </w:tcPr>
          <w:p w14:paraId="38DC2BE4"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18CAE87" w14:textId="77777777" w:rsidR="00473B27" w:rsidRPr="0097675E" w:rsidRDefault="00473B27" w:rsidP="00A27D0C">
            <w:pPr>
              <w:tabs>
                <w:tab w:val="decimal" w:pos="113"/>
              </w:tabs>
              <w:spacing w:line="200" w:lineRule="exact"/>
              <w:ind w:left="57"/>
              <w:rPr>
                <w:sz w:val="18"/>
                <w:szCs w:val="20"/>
              </w:rPr>
            </w:pPr>
          </w:p>
        </w:tc>
      </w:tr>
      <w:tr w:rsidR="00473B27" w:rsidRPr="0097675E" w14:paraId="03F3290A" w14:textId="77777777" w:rsidTr="00A27D0C">
        <w:tc>
          <w:tcPr>
            <w:tcW w:w="2127" w:type="dxa"/>
            <w:vAlign w:val="bottom"/>
          </w:tcPr>
          <w:p w14:paraId="3B8D475B" w14:textId="77777777" w:rsidR="00473B27" w:rsidRPr="00473B27" w:rsidRDefault="00473B27" w:rsidP="00A27D0C">
            <w:pPr>
              <w:pStyle w:val="a3"/>
              <w:tabs>
                <w:tab w:val="left" w:pos="227"/>
                <w:tab w:val="left" w:pos="397"/>
                <w:tab w:val="left" w:pos="567"/>
              </w:tabs>
              <w:spacing w:line="180" w:lineRule="exact"/>
              <w:rPr>
                <w:b/>
                <w:bCs/>
                <w:sz w:val="18"/>
                <w:szCs w:val="18"/>
                <w:rtl/>
              </w:rPr>
            </w:pPr>
            <w:r>
              <w:rPr>
                <w:rFonts w:hint="cs"/>
                <w:b/>
                <w:bCs/>
                <w:sz w:val="18"/>
                <w:szCs w:val="18"/>
                <w:rtl/>
              </w:rPr>
              <w:t>פילוח לפי קווי מוצר/שירות:</w:t>
            </w:r>
          </w:p>
        </w:tc>
        <w:tc>
          <w:tcPr>
            <w:tcW w:w="113" w:type="dxa"/>
          </w:tcPr>
          <w:p w14:paraId="35F75336"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6C4020B2" w14:textId="77777777" w:rsidR="00473B27" w:rsidRPr="0097675E" w:rsidRDefault="00473B27" w:rsidP="00A27D0C">
            <w:pPr>
              <w:tabs>
                <w:tab w:val="decimal" w:pos="113"/>
              </w:tabs>
              <w:spacing w:line="200" w:lineRule="exact"/>
              <w:ind w:left="57"/>
              <w:rPr>
                <w:sz w:val="18"/>
                <w:szCs w:val="20"/>
              </w:rPr>
            </w:pPr>
          </w:p>
        </w:tc>
        <w:tc>
          <w:tcPr>
            <w:tcW w:w="140" w:type="dxa"/>
          </w:tcPr>
          <w:p w14:paraId="733343F2"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10C2A1B7" w14:textId="77777777" w:rsidR="00473B27" w:rsidRPr="0097675E" w:rsidRDefault="00473B27" w:rsidP="00A27D0C">
            <w:pPr>
              <w:tabs>
                <w:tab w:val="decimal" w:pos="113"/>
              </w:tabs>
              <w:spacing w:line="200" w:lineRule="exact"/>
              <w:ind w:left="57"/>
              <w:rPr>
                <w:sz w:val="18"/>
                <w:szCs w:val="20"/>
              </w:rPr>
            </w:pPr>
          </w:p>
        </w:tc>
        <w:tc>
          <w:tcPr>
            <w:tcW w:w="140" w:type="dxa"/>
          </w:tcPr>
          <w:p w14:paraId="15C2944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4BEC3AD" w14:textId="77777777" w:rsidR="00473B27" w:rsidRPr="0097675E" w:rsidRDefault="00473B27" w:rsidP="00A27D0C">
            <w:pPr>
              <w:tabs>
                <w:tab w:val="decimal" w:pos="113"/>
              </w:tabs>
              <w:spacing w:line="200" w:lineRule="exact"/>
              <w:ind w:left="57"/>
              <w:rPr>
                <w:sz w:val="18"/>
                <w:szCs w:val="20"/>
              </w:rPr>
            </w:pPr>
          </w:p>
        </w:tc>
        <w:tc>
          <w:tcPr>
            <w:tcW w:w="140" w:type="dxa"/>
          </w:tcPr>
          <w:p w14:paraId="0565AEE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8F45CDE" w14:textId="77777777" w:rsidR="00473B27" w:rsidRPr="0097675E" w:rsidRDefault="00473B27" w:rsidP="00A27D0C">
            <w:pPr>
              <w:tabs>
                <w:tab w:val="decimal" w:pos="113"/>
              </w:tabs>
              <w:spacing w:line="200" w:lineRule="exact"/>
              <w:ind w:left="57"/>
              <w:rPr>
                <w:sz w:val="18"/>
                <w:szCs w:val="20"/>
              </w:rPr>
            </w:pPr>
          </w:p>
        </w:tc>
        <w:tc>
          <w:tcPr>
            <w:tcW w:w="140" w:type="dxa"/>
          </w:tcPr>
          <w:p w14:paraId="419B6EE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2FADEAE" w14:textId="77777777" w:rsidR="00473B27" w:rsidRPr="0097675E" w:rsidRDefault="00473B27" w:rsidP="00A27D0C">
            <w:pPr>
              <w:tabs>
                <w:tab w:val="decimal" w:pos="113"/>
              </w:tabs>
              <w:spacing w:line="200" w:lineRule="exact"/>
              <w:ind w:left="57"/>
              <w:rPr>
                <w:sz w:val="18"/>
                <w:szCs w:val="20"/>
              </w:rPr>
            </w:pPr>
          </w:p>
        </w:tc>
        <w:tc>
          <w:tcPr>
            <w:tcW w:w="110" w:type="dxa"/>
          </w:tcPr>
          <w:p w14:paraId="6D3D5A4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5BC4D6D" w14:textId="77777777" w:rsidR="00473B27" w:rsidRPr="0097675E" w:rsidRDefault="00473B27" w:rsidP="00A27D0C">
            <w:pPr>
              <w:tabs>
                <w:tab w:val="decimal" w:pos="113"/>
              </w:tabs>
              <w:spacing w:line="200" w:lineRule="exact"/>
              <w:ind w:left="57"/>
              <w:rPr>
                <w:sz w:val="18"/>
                <w:szCs w:val="20"/>
              </w:rPr>
            </w:pPr>
          </w:p>
        </w:tc>
      </w:tr>
      <w:tr w:rsidR="00473B27" w:rsidRPr="0097675E" w14:paraId="4137A09D" w14:textId="77777777" w:rsidTr="00A27D0C">
        <w:tc>
          <w:tcPr>
            <w:tcW w:w="2127" w:type="dxa"/>
            <w:vAlign w:val="bottom"/>
          </w:tcPr>
          <w:p w14:paraId="227A2154"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ציוד כיבוי למפעלים גדולים</w:t>
            </w:r>
          </w:p>
        </w:tc>
        <w:tc>
          <w:tcPr>
            <w:tcW w:w="113" w:type="dxa"/>
          </w:tcPr>
          <w:p w14:paraId="425D4BF0"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1037076A" w14:textId="77777777" w:rsidR="00473B27" w:rsidRPr="0097675E" w:rsidRDefault="00473B27" w:rsidP="00A27D0C">
            <w:pPr>
              <w:tabs>
                <w:tab w:val="decimal" w:pos="113"/>
              </w:tabs>
              <w:spacing w:line="200" w:lineRule="exact"/>
              <w:ind w:left="57"/>
              <w:rPr>
                <w:sz w:val="18"/>
                <w:szCs w:val="20"/>
              </w:rPr>
            </w:pPr>
          </w:p>
        </w:tc>
        <w:tc>
          <w:tcPr>
            <w:tcW w:w="140" w:type="dxa"/>
          </w:tcPr>
          <w:p w14:paraId="2A241D17"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467CBBF2" w14:textId="77777777" w:rsidR="00473B27" w:rsidRPr="0097675E" w:rsidRDefault="00473B27" w:rsidP="00A27D0C">
            <w:pPr>
              <w:tabs>
                <w:tab w:val="decimal" w:pos="113"/>
              </w:tabs>
              <w:spacing w:line="200" w:lineRule="exact"/>
              <w:ind w:left="57"/>
              <w:rPr>
                <w:sz w:val="18"/>
                <w:szCs w:val="20"/>
              </w:rPr>
            </w:pPr>
          </w:p>
        </w:tc>
        <w:tc>
          <w:tcPr>
            <w:tcW w:w="140" w:type="dxa"/>
          </w:tcPr>
          <w:p w14:paraId="3A42FC6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6DA75FB" w14:textId="77777777" w:rsidR="00473B27" w:rsidRPr="0097675E" w:rsidRDefault="00473B27" w:rsidP="00A27D0C">
            <w:pPr>
              <w:tabs>
                <w:tab w:val="decimal" w:pos="113"/>
              </w:tabs>
              <w:spacing w:line="200" w:lineRule="exact"/>
              <w:ind w:left="57"/>
              <w:rPr>
                <w:sz w:val="18"/>
                <w:szCs w:val="20"/>
              </w:rPr>
            </w:pPr>
          </w:p>
        </w:tc>
        <w:tc>
          <w:tcPr>
            <w:tcW w:w="140" w:type="dxa"/>
          </w:tcPr>
          <w:p w14:paraId="75ECE13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B89F72B" w14:textId="77777777" w:rsidR="00473B27" w:rsidRPr="0097675E" w:rsidRDefault="00473B27" w:rsidP="00A27D0C">
            <w:pPr>
              <w:tabs>
                <w:tab w:val="decimal" w:pos="113"/>
              </w:tabs>
              <w:spacing w:line="200" w:lineRule="exact"/>
              <w:ind w:left="57"/>
              <w:rPr>
                <w:sz w:val="18"/>
                <w:szCs w:val="20"/>
              </w:rPr>
            </w:pPr>
          </w:p>
        </w:tc>
        <w:tc>
          <w:tcPr>
            <w:tcW w:w="140" w:type="dxa"/>
          </w:tcPr>
          <w:p w14:paraId="16DBF8F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FEB45D2" w14:textId="77777777" w:rsidR="00473B27" w:rsidRPr="0097675E" w:rsidRDefault="00473B27" w:rsidP="00A27D0C">
            <w:pPr>
              <w:tabs>
                <w:tab w:val="decimal" w:pos="113"/>
              </w:tabs>
              <w:spacing w:line="200" w:lineRule="exact"/>
              <w:ind w:left="57"/>
              <w:rPr>
                <w:sz w:val="18"/>
                <w:szCs w:val="20"/>
              </w:rPr>
            </w:pPr>
          </w:p>
        </w:tc>
        <w:tc>
          <w:tcPr>
            <w:tcW w:w="110" w:type="dxa"/>
          </w:tcPr>
          <w:p w14:paraId="4FE2493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71F2768" w14:textId="77777777" w:rsidR="00473B27" w:rsidRPr="0097675E" w:rsidRDefault="00473B27" w:rsidP="00A27D0C">
            <w:pPr>
              <w:tabs>
                <w:tab w:val="decimal" w:pos="113"/>
              </w:tabs>
              <w:spacing w:line="200" w:lineRule="exact"/>
              <w:ind w:left="57"/>
              <w:rPr>
                <w:sz w:val="18"/>
                <w:szCs w:val="20"/>
              </w:rPr>
            </w:pPr>
          </w:p>
        </w:tc>
      </w:tr>
      <w:tr w:rsidR="00473B27" w:rsidRPr="0097675E" w14:paraId="286842E6" w14:textId="77777777" w:rsidTr="00A27D0C">
        <w:tc>
          <w:tcPr>
            <w:tcW w:w="2127" w:type="dxa"/>
            <w:vAlign w:val="bottom"/>
          </w:tcPr>
          <w:p w14:paraId="0E198D17"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ממכירות ציוד כיבוי לעסקים קטנים</w:t>
            </w:r>
          </w:p>
        </w:tc>
        <w:tc>
          <w:tcPr>
            <w:tcW w:w="113" w:type="dxa"/>
          </w:tcPr>
          <w:p w14:paraId="05466DF8"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79F588EC" w14:textId="77777777" w:rsidR="00473B27" w:rsidRPr="0097675E" w:rsidRDefault="00473B27" w:rsidP="00A27D0C">
            <w:pPr>
              <w:tabs>
                <w:tab w:val="decimal" w:pos="113"/>
              </w:tabs>
              <w:spacing w:line="200" w:lineRule="exact"/>
              <w:ind w:left="57"/>
              <w:rPr>
                <w:sz w:val="18"/>
                <w:szCs w:val="20"/>
              </w:rPr>
            </w:pPr>
          </w:p>
        </w:tc>
        <w:tc>
          <w:tcPr>
            <w:tcW w:w="140" w:type="dxa"/>
          </w:tcPr>
          <w:p w14:paraId="5B92D106"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2A69C6CC" w14:textId="77777777" w:rsidR="00473B27" w:rsidRPr="0097675E" w:rsidRDefault="00473B27" w:rsidP="00A27D0C">
            <w:pPr>
              <w:tabs>
                <w:tab w:val="decimal" w:pos="113"/>
              </w:tabs>
              <w:spacing w:line="200" w:lineRule="exact"/>
              <w:ind w:left="57"/>
              <w:rPr>
                <w:sz w:val="18"/>
                <w:szCs w:val="20"/>
              </w:rPr>
            </w:pPr>
          </w:p>
        </w:tc>
        <w:tc>
          <w:tcPr>
            <w:tcW w:w="140" w:type="dxa"/>
          </w:tcPr>
          <w:p w14:paraId="36FC3E0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5E36131" w14:textId="77777777" w:rsidR="00473B27" w:rsidRPr="0097675E" w:rsidRDefault="00473B27" w:rsidP="00A27D0C">
            <w:pPr>
              <w:tabs>
                <w:tab w:val="decimal" w:pos="113"/>
              </w:tabs>
              <w:spacing w:line="200" w:lineRule="exact"/>
              <w:ind w:left="57"/>
              <w:rPr>
                <w:sz w:val="18"/>
                <w:szCs w:val="20"/>
              </w:rPr>
            </w:pPr>
          </w:p>
        </w:tc>
        <w:tc>
          <w:tcPr>
            <w:tcW w:w="140" w:type="dxa"/>
          </w:tcPr>
          <w:p w14:paraId="7F144A7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878F9B7" w14:textId="77777777" w:rsidR="00473B27" w:rsidRPr="0097675E" w:rsidRDefault="00473B27" w:rsidP="00A27D0C">
            <w:pPr>
              <w:tabs>
                <w:tab w:val="decimal" w:pos="113"/>
              </w:tabs>
              <w:spacing w:line="200" w:lineRule="exact"/>
              <w:ind w:left="57"/>
              <w:rPr>
                <w:sz w:val="18"/>
                <w:szCs w:val="20"/>
              </w:rPr>
            </w:pPr>
          </w:p>
        </w:tc>
        <w:tc>
          <w:tcPr>
            <w:tcW w:w="140" w:type="dxa"/>
          </w:tcPr>
          <w:p w14:paraId="6410B68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03712BC" w14:textId="77777777" w:rsidR="00473B27" w:rsidRPr="0097675E" w:rsidRDefault="00473B27" w:rsidP="00A27D0C">
            <w:pPr>
              <w:tabs>
                <w:tab w:val="decimal" w:pos="113"/>
              </w:tabs>
              <w:spacing w:line="200" w:lineRule="exact"/>
              <w:ind w:left="57"/>
              <w:rPr>
                <w:sz w:val="18"/>
                <w:szCs w:val="20"/>
              </w:rPr>
            </w:pPr>
          </w:p>
        </w:tc>
        <w:tc>
          <w:tcPr>
            <w:tcW w:w="110" w:type="dxa"/>
          </w:tcPr>
          <w:p w14:paraId="0BD6B14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65AE74D" w14:textId="77777777" w:rsidR="00473B27" w:rsidRPr="0097675E" w:rsidRDefault="00473B27" w:rsidP="00A27D0C">
            <w:pPr>
              <w:tabs>
                <w:tab w:val="decimal" w:pos="113"/>
              </w:tabs>
              <w:spacing w:line="200" w:lineRule="exact"/>
              <w:ind w:left="57"/>
              <w:rPr>
                <w:sz w:val="18"/>
                <w:szCs w:val="20"/>
              </w:rPr>
            </w:pPr>
          </w:p>
        </w:tc>
      </w:tr>
      <w:tr w:rsidR="00473B27" w:rsidRPr="0097675E" w14:paraId="6E713F42" w14:textId="77777777" w:rsidTr="00A27D0C">
        <w:tc>
          <w:tcPr>
            <w:tcW w:w="2127" w:type="dxa"/>
            <w:vAlign w:val="bottom"/>
          </w:tcPr>
          <w:p w14:paraId="42DB47CC"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מביצוע התקנת ציוד כיבוי</w:t>
            </w:r>
          </w:p>
        </w:tc>
        <w:tc>
          <w:tcPr>
            <w:tcW w:w="113" w:type="dxa"/>
          </w:tcPr>
          <w:p w14:paraId="715E3991"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46D3756C" w14:textId="77777777" w:rsidR="00473B27" w:rsidRPr="0097675E" w:rsidRDefault="00473B27" w:rsidP="00A27D0C">
            <w:pPr>
              <w:tabs>
                <w:tab w:val="decimal" w:pos="113"/>
              </w:tabs>
              <w:spacing w:line="200" w:lineRule="exact"/>
              <w:ind w:left="57"/>
              <w:rPr>
                <w:sz w:val="18"/>
                <w:szCs w:val="20"/>
              </w:rPr>
            </w:pPr>
          </w:p>
        </w:tc>
        <w:tc>
          <w:tcPr>
            <w:tcW w:w="140" w:type="dxa"/>
          </w:tcPr>
          <w:p w14:paraId="394C92EA"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49ACFD50" w14:textId="77777777" w:rsidR="00473B27" w:rsidRPr="0097675E" w:rsidRDefault="00473B27" w:rsidP="00A27D0C">
            <w:pPr>
              <w:tabs>
                <w:tab w:val="decimal" w:pos="113"/>
              </w:tabs>
              <w:spacing w:line="200" w:lineRule="exact"/>
              <w:ind w:left="57"/>
              <w:rPr>
                <w:sz w:val="18"/>
                <w:szCs w:val="20"/>
              </w:rPr>
            </w:pPr>
          </w:p>
        </w:tc>
        <w:tc>
          <w:tcPr>
            <w:tcW w:w="140" w:type="dxa"/>
          </w:tcPr>
          <w:p w14:paraId="0C7ECBE5"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760BDE5" w14:textId="77777777" w:rsidR="00473B27" w:rsidRPr="0097675E" w:rsidRDefault="00473B27" w:rsidP="00A27D0C">
            <w:pPr>
              <w:tabs>
                <w:tab w:val="decimal" w:pos="113"/>
              </w:tabs>
              <w:spacing w:line="200" w:lineRule="exact"/>
              <w:ind w:left="57"/>
              <w:rPr>
                <w:sz w:val="18"/>
                <w:szCs w:val="20"/>
              </w:rPr>
            </w:pPr>
          </w:p>
        </w:tc>
        <w:tc>
          <w:tcPr>
            <w:tcW w:w="140" w:type="dxa"/>
          </w:tcPr>
          <w:p w14:paraId="5561F2C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9AA93A2" w14:textId="77777777" w:rsidR="00473B27" w:rsidRPr="0097675E" w:rsidRDefault="00473B27" w:rsidP="00A27D0C">
            <w:pPr>
              <w:tabs>
                <w:tab w:val="decimal" w:pos="113"/>
              </w:tabs>
              <w:spacing w:line="200" w:lineRule="exact"/>
              <w:ind w:left="57"/>
              <w:rPr>
                <w:sz w:val="18"/>
                <w:szCs w:val="20"/>
              </w:rPr>
            </w:pPr>
          </w:p>
        </w:tc>
        <w:tc>
          <w:tcPr>
            <w:tcW w:w="140" w:type="dxa"/>
          </w:tcPr>
          <w:p w14:paraId="0FEE663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7D37CC8" w14:textId="77777777" w:rsidR="00473B27" w:rsidRPr="0097675E" w:rsidRDefault="00473B27" w:rsidP="00A27D0C">
            <w:pPr>
              <w:tabs>
                <w:tab w:val="decimal" w:pos="113"/>
              </w:tabs>
              <w:spacing w:line="200" w:lineRule="exact"/>
              <w:ind w:left="57"/>
              <w:rPr>
                <w:sz w:val="18"/>
                <w:szCs w:val="20"/>
              </w:rPr>
            </w:pPr>
          </w:p>
        </w:tc>
        <w:tc>
          <w:tcPr>
            <w:tcW w:w="110" w:type="dxa"/>
          </w:tcPr>
          <w:p w14:paraId="1766DEB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07B1F6B" w14:textId="77777777" w:rsidR="00473B27" w:rsidRPr="0097675E" w:rsidRDefault="00473B27" w:rsidP="00A27D0C">
            <w:pPr>
              <w:tabs>
                <w:tab w:val="decimal" w:pos="113"/>
              </w:tabs>
              <w:spacing w:line="200" w:lineRule="exact"/>
              <w:ind w:left="57"/>
              <w:rPr>
                <w:sz w:val="18"/>
                <w:szCs w:val="20"/>
              </w:rPr>
            </w:pPr>
          </w:p>
        </w:tc>
      </w:tr>
      <w:tr w:rsidR="00473B27" w:rsidRPr="0097675E" w14:paraId="1D4CEFC1" w14:textId="77777777" w:rsidTr="00A27D0C">
        <w:tc>
          <w:tcPr>
            <w:tcW w:w="2127" w:type="dxa"/>
            <w:vAlign w:val="bottom"/>
          </w:tcPr>
          <w:p w14:paraId="0994BCB1"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מביצוע עבודות אלקטרוניקה</w:t>
            </w:r>
          </w:p>
        </w:tc>
        <w:tc>
          <w:tcPr>
            <w:tcW w:w="113" w:type="dxa"/>
          </w:tcPr>
          <w:p w14:paraId="2A179391"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6584DD2B" w14:textId="77777777" w:rsidR="00473B27" w:rsidRPr="0097675E" w:rsidRDefault="00473B27" w:rsidP="00A27D0C">
            <w:pPr>
              <w:tabs>
                <w:tab w:val="decimal" w:pos="113"/>
              </w:tabs>
              <w:spacing w:line="200" w:lineRule="exact"/>
              <w:ind w:left="57"/>
              <w:rPr>
                <w:sz w:val="18"/>
                <w:szCs w:val="20"/>
              </w:rPr>
            </w:pPr>
          </w:p>
        </w:tc>
        <w:tc>
          <w:tcPr>
            <w:tcW w:w="140" w:type="dxa"/>
          </w:tcPr>
          <w:p w14:paraId="35259D01"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7F04F5CB" w14:textId="77777777" w:rsidR="00473B27" w:rsidRPr="0097675E" w:rsidRDefault="00473B27" w:rsidP="00A27D0C">
            <w:pPr>
              <w:tabs>
                <w:tab w:val="decimal" w:pos="113"/>
              </w:tabs>
              <w:spacing w:line="200" w:lineRule="exact"/>
              <w:ind w:left="57"/>
              <w:rPr>
                <w:sz w:val="18"/>
                <w:szCs w:val="20"/>
              </w:rPr>
            </w:pPr>
          </w:p>
        </w:tc>
        <w:tc>
          <w:tcPr>
            <w:tcW w:w="140" w:type="dxa"/>
          </w:tcPr>
          <w:p w14:paraId="7C56630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9230919" w14:textId="77777777" w:rsidR="00473B27" w:rsidRPr="0097675E" w:rsidRDefault="00473B27" w:rsidP="00A27D0C">
            <w:pPr>
              <w:tabs>
                <w:tab w:val="decimal" w:pos="113"/>
              </w:tabs>
              <w:spacing w:line="200" w:lineRule="exact"/>
              <w:ind w:left="57"/>
              <w:rPr>
                <w:sz w:val="18"/>
                <w:szCs w:val="20"/>
              </w:rPr>
            </w:pPr>
          </w:p>
        </w:tc>
        <w:tc>
          <w:tcPr>
            <w:tcW w:w="140" w:type="dxa"/>
          </w:tcPr>
          <w:p w14:paraId="7020C50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4342358" w14:textId="77777777" w:rsidR="00473B27" w:rsidRPr="0097675E" w:rsidRDefault="00473B27" w:rsidP="00A27D0C">
            <w:pPr>
              <w:tabs>
                <w:tab w:val="decimal" w:pos="113"/>
              </w:tabs>
              <w:spacing w:line="200" w:lineRule="exact"/>
              <w:ind w:left="57"/>
              <w:rPr>
                <w:sz w:val="18"/>
                <w:szCs w:val="20"/>
              </w:rPr>
            </w:pPr>
          </w:p>
        </w:tc>
        <w:tc>
          <w:tcPr>
            <w:tcW w:w="140" w:type="dxa"/>
          </w:tcPr>
          <w:p w14:paraId="4F3CB39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6C3ADA1" w14:textId="77777777" w:rsidR="00473B27" w:rsidRPr="0097675E" w:rsidRDefault="00473B27" w:rsidP="00A27D0C">
            <w:pPr>
              <w:tabs>
                <w:tab w:val="decimal" w:pos="113"/>
              </w:tabs>
              <w:spacing w:line="200" w:lineRule="exact"/>
              <w:ind w:left="57"/>
              <w:rPr>
                <w:sz w:val="18"/>
                <w:szCs w:val="20"/>
              </w:rPr>
            </w:pPr>
          </w:p>
        </w:tc>
        <w:tc>
          <w:tcPr>
            <w:tcW w:w="110" w:type="dxa"/>
          </w:tcPr>
          <w:p w14:paraId="7BE8F5A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32493F5" w14:textId="77777777" w:rsidR="00473B27" w:rsidRPr="0097675E" w:rsidRDefault="00473B27" w:rsidP="00A27D0C">
            <w:pPr>
              <w:tabs>
                <w:tab w:val="decimal" w:pos="113"/>
              </w:tabs>
              <w:spacing w:line="200" w:lineRule="exact"/>
              <w:ind w:left="57"/>
              <w:rPr>
                <w:sz w:val="18"/>
                <w:szCs w:val="20"/>
              </w:rPr>
            </w:pPr>
          </w:p>
        </w:tc>
      </w:tr>
      <w:tr w:rsidR="00473B27" w:rsidRPr="0097675E" w14:paraId="633661DA" w14:textId="77777777" w:rsidTr="00A27D0C">
        <w:tc>
          <w:tcPr>
            <w:tcW w:w="2127" w:type="dxa"/>
            <w:vAlign w:val="bottom"/>
          </w:tcPr>
          <w:p w14:paraId="2B96791C"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מוצרי אלקטרוניקה</w:t>
            </w:r>
          </w:p>
        </w:tc>
        <w:tc>
          <w:tcPr>
            <w:tcW w:w="113" w:type="dxa"/>
          </w:tcPr>
          <w:p w14:paraId="46B0F147"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0D24FCEC" w14:textId="77777777" w:rsidR="00473B27" w:rsidRPr="0097675E" w:rsidRDefault="00473B27" w:rsidP="00A27D0C">
            <w:pPr>
              <w:tabs>
                <w:tab w:val="decimal" w:pos="113"/>
              </w:tabs>
              <w:spacing w:line="200" w:lineRule="exact"/>
              <w:ind w:left="57"/>
              <w:rPr>
                <w:sz w:val="18"/>
                <w:szCs w:val="20"/>
              </w:rPr>
            </w:pPr>
          </w:p>
        </w:tc>
        <w:tc>
          <w:tcPr>
            <w:tcW w:w="140" w:type="dxa"/>
          </w:tcPr>
          <w:p w14:paraId="5F07B230"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454BCE14" w14:textId="77777777" w:rsidR="00473B27" w:rsidRPr="0097675E" w:rsidRDefault="00473B27" w:rsidP="00A27D0C">
            <w:pPr>
              <w:tabs>
                <w:tab w:val="decimal" w:pos="113"/>
              </w:tabs>
              <w:spacing w:line="200" w:lineRule="exact"/>
              <w:ind w:left="57"/>
              <w:rPr>
                <w:sz w:val="18"/>
                <w:szCs w:val="20"/>
              </w:rPr>
            </w:pPr>
          </w:p>
        </w:tc>
        <w:tc>
          <w:tcPr>
            <w:tcW w:w="140" w:type="dxa"/>
          </w:tcPr>
          <w:p w14:paraId="082DABA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B1F366E" w14:textId="77777777" w:rsidR="00473B27" w:rsidRPr="0097675E" w:rsidRDefault="00473B27" w:rsidP="00A27D0C">
            <w:pPr>
              <w:tabs>
                <w:tab w:val="decimal" w:pos="113"/>
              </w:tabs>
              <w:spacing w:line="200" w:lineRule="exact"/>
              <w:ind w:left="57"/>
              <w:rPr>
                <w:sz w:val="18"/>
                <w:szCs w:val="20"/>
              </w:rPr>
            </w:pPr>
          </w:p>
        </w:tc>
        <w:tc>
          <w:tcPr>
            <w:tcW w:w="140" w:type="dxa"/>
          </w:tcPr>
          <w:p w14:paraId="5777F11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F6955CD" w14:textId="77777777" w:rsidR="00473B27" w:rsidRPr="0097675E" w:rsidRDefault="00473B27" w:rsidP="00A27D0C">
            <w:pPr>
              <w:tabs>
                <w:tab w:val="decimal" w:pos="113"/>
              </w:tabs>
              <w:spacing w:line="200" w:lineRule="exact"/>
              <w:ind w:left="57"/>
              <w:rPr>
                <w:sz w:val="18"/>
                <w:szCs w:val="20"/>
              </w:rPr>
            </w:pPr>
          </w:p>
        </w:tc>
        <w:tc>
          <w:tcPr>
            <w:tcW w:w="140" w:type="dxa"/>
          </w:tcPr>
          <w:p w14:paraId="770D6DC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938DF4E" w14:textId="77777777" w:rsidR="00473B27" w:rsidRPr="0097675E" w:rsidRDefault="00473B27" w:rsidP="00A27D0C">
            <w:pPr>
              <w:tabs>
                <w:tab w:val="decimal" w:pos="113"/>
              </w:tabs>
              <w:spacing w:line="200" w:lineRule="exact"/>
              <w:ind w:left="57"/>
              <w:rPr>
                <w:sz w:val="18"/>
                <w:szCs w:val="20"/>
              </w:rPr>
            </w:pPr>
          </w:p>
        </w:tc>
        <w:tc>
          <w:tcPr>
            <w:tcW w:w="110" w:type="dxa"/>
          </w:tcPr>
          <w:p w14:paraId="75DB8AC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267CD29" w14:textId="77777777" w:rsidR="00473B27" w:rsidRPr="0097675E" w:rsidRDefault="00473B27" w:rsidP="00A27D0C">
            <w:pPr>
              <w:tabs>
                <w:tab w:val="decimal" w:pos="113"/>
              </w:tabs>
              <w:spacing w:line="200" w:lineRule="exact"/>
              <w:ind w:left="57"/>
              <w:rPr>
                <w:sz w:val="18"/>
                <w:szCs w:val="20"/>
              </w:rPr>
            </w:pPr>
          </w:p>
        </w:tc>
      </w:tr>
      <w:tr w:rsidR="00473B27" w:rsidRPr="0097675E" w14:paraId="2D4CF6F2" w14:textId="77777777" w:rsidTr="00A27D0C">
        <w:tc>
          <w:tcPr>
            <w:tcW w:w="2127" w:type="dxa"/>
            <w:vAlign w:val="bottom"/>
          </w:tcPr>
          <w:p w14:paraId="3854DEBC"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משרדים</w:t>
            </w:r>
          </w:p>
        </w:tc>
        <w:tc>
          <w:tcPr>
            <w:tcW w:w="113" w:type="dxa"/>
          </w:tcPr>
          <w:p w14:paraId="2AF1AA6A"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14236F5D" w14:textId="77777777" w:rsidR="00473B27" w:rsidRPr="0097675E" w:rsidRDefault="00473B27" w:rsidP="00A27D0C">
            <w:pPr>
              <w:tabs>
                <w:tab w:val="decimal" w:pos="113"/>
              </w:tabs>
              <w:spacing w:line="200" w:lineRule="exact"/>
              <w:ind w:left="57"/>
              <w:rPr>
                <w:sz w:val="18"/>
                <w:szCs w:val="20"/>
              </w:rPr>
            </w:pPr>
          </w:p>
        </w:tc>
        <w:tc>
          <w:tcPr>
            <w:tcW w:w="140" w:type="dxa"/>
          </w:tcPr>
          <w:p w14:paraId="2E7407DF"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345EBB9F" w14:textId="77777777" w:rsidR="00473B27" w:rsidRPr="0097675E" w:rsidRDefault="00473B27" w:rsidP="00A27D0C">
            <w:pPr>
              <w:tabs>
                <w:tab w:val="decimal" w:pos="113"/>
              </w:tabs>
              <w:spacing w:line="200" w:lineRule="exact"/>
              <w:ind w:left="57"/>
              <w:rPr>
                <w:sz w:val="18"/>
                <w:szCs w:val="20"/>
              </w:rPr>
            </w:pPr>
          </w:p>
        </w:tc>
        <w:tc>
          <w:tcPr>
            <w:tcW w:w="140" w:type="dxa"/>
          </w:tcPr>
          <w:p w14:paraId="315092C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B1C028E" w14:textId="77777777" w:rsidR="00473B27" w:rsidRPr="0097675E" w:rsidRDefault="00473B27" w:rsidP="00A27D0C">
            <w:pPr>
              <w:tabs>
                <w:tab w:val="decimal" w:pos="113"/>
              </w:tabs>
              <w:spacing w:line="200" w:lineRule="exact"/>
              <w:ind w:left="57"/>
              <w:rPr>
                <w:sz w:val="18"/>
                <w:szCs w:val="20"/>
              </w:rPr>
            </w:pPr>
          </w:p>
        </w:tc>
        <w:tc>
          <w:tcPr>
            <w:tcW w:w="140" w:type="dxa"/>
          </w:tcPr>
          <w:p w14:paraId="7C9B041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1F99032" w14:textId="77777777" w:rsidR="00473B27" w:rsidRPr="0097675E" w:rsidRDefault="00473B27" w:rsidP="00A27D0C">
            <w:pPr>
              <w:tabs>
                <w:tab w:val="decimal" w:pos="113"/>
              </w:tabs>
              <w:spacing w:line="200" w:lineRule="exact"/>
              <w:ind w:left="57"/>
              <w:rPr>
                <w:sz w:val="18"/>
                <w:szCs w:val="20"/>
              </w:rPr>
            </w:pPr>
          </w:p>
        </w:tc>
        <w:tc>
          <w:tcPr>
            <w:tcW w:w="140" w:type="dxa"/>
          </w:tcPr>
          <w:p w14:paraId="3E1DA8E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2E57E7C" w14:textId="77777777" w:rsidR="00473B27" w:rsidRPr="0097675E" w:rsidRDefault="00473B27" w:rsidP="00A27D0C">
            <w:pPr>
              <w:tabs>
                <w:tab w:val="decimal" w:pos="113"/>
              </w:tabs>
              <w:spacing w:line="200" w:lineRule="exact"/>
              <w:ind w:left="57"/>
              <w:rPr>
                <w:sz w:val="18"/>
                <w:szCs w:val="20"/>
              </w:rPr>
            </w:pPr>
          </w:p>
        </w:tc>
        <w:tc>
          <w:tcPr>
            <w:tcW w:w="110" w:type="dxa"/>
          </w:tcPr>
          <w:p w14:paraId="0932295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4690E0D" w14:textId="77777777" w:rsidR="00473B27" w:rsidRPr="0097675E" w:rsidRDefault="00473B27" w:rsidP="00A27D0C">
            <w:pPr>
              <w:tabs>
                <w:tab w:val="decimal" w:pos="113"/>
              </w:tabs>
              <w:spacing w:line="200" w:lineRule="exact"/>
              <w:ind w:left="57"/>
              <w:rPr>
                <w:sz w:val="18"/>
                <w:szCs w:val="20"/>
              </w:rPr>
            </w:pPr>
          </w:p>
        </w:tc>
      </w:tr>
      <w:tr w:rsidR="00473B27" w:rsidRPr="0097675E" w14:paraId="1D53003E" w14:textId="77777777" w:rsidTr="00A27D0C">
        <w:tc>
          <w:tcPr>
            <w:tcW w:w="2127" w:type="dxa"/>
            <w:vAlign w:val="bottom"/>
          </w:tcPr>
          <w:p w14:paraId="7CAA5CCE"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דירות למגורים</w:t>
            </w:r>
          </w:p>
        </w:tc>
        <w:tc>
          <w:tcPr>
            <w:tcW w:w="113" w:type="dxa"/>
          </w:tcPr>
          <w:p w14:paraId="2EB74233"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47735FA4" w14:textId="77777777" w:rsidR="00473B27" w:rsidRPr="0097675E" w:rsidRDefault="00473B27" w:rsidP="00A27D0C">
            <w:pPr>
              <w:tabs>
                <w:tab w:val="decimal" w:pos="113"/>
              </w:tabs>
              <w:spacing w:line="200" w:lineRule="exact"/>
              <w:ind w:left="57"/>
              <w:rPr>
                <w:sz w:val="18"/>
                <w:szCs w:val="20"/>
              </w:rPr>
            </w:pPr>
          </w:p>
        </w:tc>
        <w:tc>
          <w:tcPr>
            <w:tcW w:w="140" w:type="dxa"/>
          </w:tcPr>
          <w:p w14:paraId="3028EA80"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2CB8F4C3" w14:textId="77777777" w:rsidR="00473B27" w:rsidRPr="0097675E" w:rsidRDefault="00473B27" w:rsidP="00A27D0C">
            <w:pPr>
              <w:tabs>
                <w:tab w:val="decimal" w:pos="113"/>
              </w:tabs>
              <w:spacing w:line="200" w:lineRule="exact"/>
              <w:ind w:left="57"/>
              <w:rPr>
                <w:sz w:val="18"/>
                <w:szCs w:val="20"/>
              </w:rPr>
            </w:pPr>
          </w:p>
        </w:tc>
        <w:tc>
          <w:tcPr>
            <w:tcW w:w="140" w:type="dxa"/>
          </w:tcPr>
          <w:p w14:paraId="4E92A28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A71C5AB" w14:textId="77777777" w:rsidR="00473B27" w:rsidRPr="0097675E" w:rsidRDefault="00473B27" w:rsidP="00A27D0C">
            <w:pPr>
              <w:tabs>
                <w:tab w:val="decimal" w:pos="113"/>
              </w:tabs>
              <w:spacing w:line="200" w:lineRule="exact"/>
              <w:ind w:left="57"/>
              <w:rPr>
                <w:sz w:val="18"/>
                <w:szCs w:val="20"/>
              </w:rPr>
            </w:pPr>
          </w:p>
        </w:tc>
        <w:tc>
          <w:tcPr>
            <w:tcW w:w="140" w:type="dxa"/>
          </w:tcPr>
          <w:p w14:paraId="29B92CE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3FFC7674" w14:textId="77777777" w:rsidR="00473B27" w:rsidRPr="0097675E" w:rsidRDefault="00473B27" w:rsidP="00A27D0C">
            <w:pPr>
              <w:tabs>
                <w:tab w:val="decimal" w:pos="113"/>
              </w:tabs>
              <w:spacing w:line="200" w:lineRule="exact"/>
              <w:ind w:left="57"/>
              <w:rPr>
                <w:sz w:val="18"/>
                <w:szCs w:val="20"/>
              </w:rPr>
            </w:pPr>
          </w:p>
        </w:tc>
        <w:tc>
          <w:tcPr>
            <w:tcW w:w="140" w:type="dxa"/>
          </w:tcPr>
          <w:p w14:paraId="5359267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E268E43" w14:textId="77777777" w:rsidR="00473B27" w:rsidRPr="0097675E" w:rsidRDefault="00473B27" w:rsidP="00A27D0C">
            <w:pPr>
              <w:tabs>
                <w:tab w:val="decimal" w:pos="113"/>
              </w:tabs>
              <w:spacing w:line="200" w:lineRule="exact"/>
              <w:ind w:left="57"/>
              <w:rPr>
                <w:sz w:val="18"/>
                <w:szCs w:val="20"/>
              </w:rPr>
            </w:pPr>
          </w:p>
        </w:tc>
        <w:tc>
          <w:tcPr>
            <w:tcW w:w="110" w:type="dxa"/>
          </w:tcPr>
          <w:p w14:paraId="482C55B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7E0275D" w14:textId="77777777" w:rsidR="00473B27" w:rsidRPr="0097675E" w:rsidRDefault="00473B27" w:rsidP="00A27D0C">
            <w:pPr>
              <w:tabs>
                <w:tab w:val="decimal" w:pos="113"/>
              </w:tabs>
              <w:spacing w:line="200" w:lineRule="exact"/>
              <w:ind w:left="57"/>
              <w:rPr>
                <w:sz w:val="18"/>
                <w:szCs w:val="20"/>
              </w:rPr>
            </w:pPr>
          </w:p>
        </w:tc>
      </w:tr>
      <w:tr w:rsidR="00473B27" w:rsidRPr="0097675E" w14:paraId="66F49627" w14:textId="77777777" w:rsidTr="00A27D0C">
        <w:tc>
          <w:tcPr>
            <w:tcW w:w="2127" w:type="dxa"/>
            <w:vAlign w:val="bottom"/>
          </w:tcPr>
          <w:p w14:paraId="143CFBC1" w14:textId="77777777" w:rsidR="00473B27" w:rsidRPr="00473B27" w:rsidRDefault="00473B27" w:rsidP="00A27D0C">
            <w:pPr>
              <w:pStyle w:val="a3"/>
              <w:tabs>
                <w:tab w:val="left" w:pos="227"/>
                <w:tab w:val="left" w:pos="397"/>
                <w:tab w:val="left" w:pos="567"/>
              </w:tabs>
              <w:spacing w:line="180" w:lineRule="exact"/>
              <w:rPr>
                <w:b/>
                <w:bCs/>
                <w:sz w:val="18"/>
                <w:szCs w:val="18"/>
                <w:rtl/>
              </w:rPr>
            </w:pPr>
          </w:p>
        </w:tc>
        <w:tc>
          <w:tcPr>
            <w:tcW w:w="113" w:type="dxa"/>
          </w:tcPr>
          <w:p w14:paraId="0292DB8E"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56FD9227" w14:textId="77777777" w:rsidR="00473B27" w:rsidRPr="0097675E" w:rsidRDefault="00473B27" w:rsidP="00A27D0C">
            <w:pPr>
              <w:tabs>
                <w:tab w:val="decimal" w:pos="113"/>
              </w:tabs>
              <w:spacing w:line="200" w:lineRule="exact"/>
              <w:ind w:left="57"/>
              <w:rPr>
                <w:sz w:val="18"/>
                <w:szCs w:val="20"/>
              </w:rPr>
            </w:pPr>
          </w:p>
        </w:tc>
        <w:tc>
          <w:tcPr>
            <w:tcW w:w="140" w:type="dxa"/>
          </w:tcPr>
          <w:p w14:paraId="58DCCB85"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297886A2" w14:textId="77777777" w:rsidR="00473B27" w:rsidRPr="0097675E" w:rsidRDefault="00473B27" w:rsidP="00A27D0C">
            <w:pPr>
              <w:tabs>
                <w:tab w:val="decimal" w:pos="113"/>
              </w:tabs>
              <w:spacing w:line="200" w:lineRule="exact"/>
              <w:ind w:left="57"/>
              <w:rPr>
                <w:sz w:val="18"/>
                <w:szCs w:val="20"/>
              </w:rPr>
            </w:pPr>
          </w:p>
        </w:tc>
        <w:tc>
          <w:tcPr>
            <w:tcW w:w="140" w:type="dxa"/>
          </w:tcPr>
          <w:p w14:paraId="0FD1BC1D"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C2A4E0B" w14:textId="77777777" w:rsidR="00473B27" w:rsidRPr="0097675E" w:rsidRDefault="00473B27" w:rsidP="00A27D0C">
            <w:pPr>
              <w:tabs>
                <w:tab w:val="decimal" w:pos="113"/>
              </w:tabs>
              <w:spacing w:line="200" w:lineRule="exact"/>
              <w:ind w:left="57"/>
              <w:rPr>
                <w:sz w:val="18"/>
                <w:szCs w:val="20"/>
              </w:rPr>
            </w:pPr>
          </w:p>
        </w:tc>
        <w:tc>
          <w:tcPr>
            <w:tcW w:w="140" w:type="dxa"/>
          </w:tcPr>
          <w:p w14:paraId="7E00EDF5"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4B5DADA" w14:textId="77777777" w:rsidR="00473B27" w:rsidRPr="0097675E" w:rsidRDefault="00473B27" w:rsidP="00A27D0C">
            <w:pPr>
              <w:tabs>
                <w:tab w:val="decimal" w:pos="113"/>
              </w:tabs>
              <w:spacing w:line="200" w:lineRule="exact"/>
              <w:ind w:left="57"/>
              <w:rPr>
                <w:sz w:val="18"/>
                <w:szCs w:val="20"/>
              </w:rPr>
            </w:pPr>
          </w:p>
        </w:tc>
        <w:tc>
          <w:tcPr>
            <w:tcW w:w="140" w:type="dxa"/>
          </w:tcPr>
          <w:p w14:paraId="4F9980A3"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EE8C3D5" w14:textId="77777777" w:rsidR="00473B27" w:rsidRPr="0097675E" w:rsidRDefault="00473B27" w:rsidP="00A27D0C">
            <w:pPr>
              <w:tabs>
                <w:tab w:val="decimal" w:pos="113"/>
              </w:tabs>
              <w:spacing w:line="200" w:lineRule="exact"/>
              <w:ind w:left="57"/>
              <w:rPr>
                <w:sz w:val="18"/>
                <w:szCs w:val="20"/>
              </w:rPr>
            </w:pPr>
          </w:p>
        </w:tc>
        <w:tc>
          <w:tcPr>
            <w:tcW w:w="110" w:type="dxa"/>
          </w:tcPr>
          <w:p w14:paraId="52AD9B51"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92C6391" w14:textId="77777777" w:rsidR="00473B27" w:rsidRPr="0097675E" w:rsidRDefault="00473B27" w:rsidP="00A27D0C">
            <w:pPr>
              <w:tabs>
                <w:tab w:val="decimal" w:pos="113"/>
              </w:tabs>
              <w:spacing w:line="200" w:lineRule="exact"/>
              <w:ind w:left="57"/>
              <w:rPr>
                <w:sz w:val="18"/>
                <w:szCs w:val="20"/>
              </w:rPr>
            </w:pPr>
          </w:p>
        </w:tc>
      </w:tr>
      <w:tr w:rsidR="00473B27" w:rsidRPr="0097675E" w14:paraId="1FB21DBF" w14:textId="77777777" w:rsidTr="00A27D0C">
        <w:tc>
          <w:tcPr>
            <w:tcW w:w="2127" w:type="dxa"/>
            <w:vAlign w:val="bottom"/>
          </w:tcPr>
          <w:p w14:paraId="50314643"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סה"כ הכנסות מחיצוניים</w:t>
            </w:r>
          </w:p>
        </w:tc>
        <w:tc>
          <w:tcPr>
            <w:tcW w:w="113" w:type="dxa"/>
          </w:tcPr>
          <w:p w14:paraId="0D6147FE"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681391F8" w14:textId="77777777" w:rsidR="00473B27" w:rsidRPr="0097675E" w:rsidRDefault="00473B27" w:rsidP="00A27D0C">
            <w:pPr>
              <w:tabs>
                <w:tab w:val="decimal" w:pos="113"/>
              </w:tabs>
              <w:spacing w:line="200" w:lineRule="exact"/>
              <w:ind w:left="57"/>
              <w:rPr>
                <w:sz w:val="18"/>
                <w:szCs w:val="20"/>
              </w:rPr>
            </w:pPr>
          </w:p>
        </w:tc>
        <w:tc>
          <w:tcPr>
            <w:tcW w:w="140" w:type="dxa"/>
          </w:tcPr>
          <w:p w14:paraId="51D3C7DC"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44A72AEC" w14:textId="77777777" w:rsidR="00473B27" w:rsidRPr="0097675E" w:rsidRDefault="00473B27" w:rsidP="00A27D0C">
            <w:pPr>
              <w:tabs>
                <w:tab w:val="decimal" w:pos="113"/>
              </w:tabs>
              <w:spacing w:line="200" w:lineRule="exact"/>
              <w:ind w:left="57"/>
              <w:rPr>
                <w:sz w:val="18"/>
                <w:szCs w:val="20"/>
              </w:rPr>
            </w:pPr>
          </w:p>
        </w:tc>
        <w:tc>
          <w:tcPr>
            <w:tcW w:w="140" w:type="dxa"/>
          </w:tcPr>
          <w:p w14:paraId="5C267E11"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BBF4650" w14:textId="77777777" w:rsidR="00473B27" w:rsidRPr="0097675E" w:rsidRDefault="00473B27" w:rsidP="00A27D0C">
            <w:pPr>
              <w:tabs>
                <w:tab w:val="decimal" w:pos="113"/>
              </w:tabs>
              <w:spacing w:line="200" w:lineRule="exact"/>
              <w:ind w:left="57"/>
              <w:rPr>
                <w:sz w:val="18"/>
                <w:szCs w:val="20"/>
              </w:rPr>
            </w:pPr>
          </w:p>
        </w:tc>
        <w:tc>
          <w:tcPr>
            <w:tcW w:w="140" w:type="dxa"/>
          </w:tcPr>
          <w:p w14:paraId="03F959B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FF43FA4" w14:textId="77777777" w:rsidR="00473B27" w:rsidRPr="0097675E" w:rsidRDefault="00473B27" w:rsidP="00A27D0C">
            <w:pPr>
              <w:tabs>
                <w:tab w:val="decimal" w:pos="113"/>
              </w:tabs>
              <w:spacing w:line="200" w:lineRule="exact"/>
              <w:ind w:left="57"/>
              <w:rPr>
                <w:sz w:val="18"/>
                <w:szCs w:val="20"/>
              </w:rPr>
            </w:pPr>
          </w:p>
        </w:tc>
        <w:tc>
          <w:tcPr>
            <w:tcW w:w="140" w:type="dxa"/>
          </w:tcPr>
          <w:p w14:paraId="283A2ED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5B24247B" w14:textId="77777777" w:rsidR="00473B27" w:rsidRPr="0097675E" w:rsidRDefault="00473B27" w:rsidP="00A27D0C">
            <w:pPr>
              <w:tabs>
                <w:tab w:val="decimal" w:pos="113"/>
              </w:tabs>
              <w:spacing w:line="200" w:lineRule="exact"/>
              <w:ind w:left="57"/>
              <w:rPr>
                <w:sz w:val="18"/>
                <w:szCs w:val="20"/>
              </w:rPr>
            </w:pPr>
          </w:p>
        </w:tc>
        <w:tc>
          <w:tcPr>
            <w:tcW w:w="110" w:type="dxa"/>
          </w:tcPr>
          <w:p w14:paraId="149860D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34C90ADA" w14:textId="77777777" w:rsidR="00473B27" w:rsidRPr="0097675E" w:rsidRDefault="00473B27" w:rsidP="00A27D0C">
            <w:pPr>
              <w:tabs>
                <w:tab w:val="decimal" w:pos="113"/>
              </w:tabs>
              <w:spacing w:line="200" w:lineRule="exact"/>
              <w:ind w:left="57"/>
              <w:rPr>
                <w:sz w:val="18"/>
                <w:szCs w:val="20"/>
              </w:rPr>
            </w:pPr>
          </w:p>
        </w:tc>
      </w:tr>
      <w:tr w:rsidR="00473B27" w:rsidRPr="0097675E" w14:paraId="028CFF7D" w14:textId="77777777" w:rsidTr="00A27D0C">
        <w:tc>
          <w:tcPr>
            <w:tcW w:w="2127" w:type="dxa"/>
            <w:vAlign w:val="bottom"/>
          </w:tcPr>
          <w:p w14:paraId="0F2BE5FB" w14:textId="77777777" w:rsidR="00473B27" w:rsidRPr="00E72837" w:rsidRDefault="00473B27" w:rsidP="00A27D0C">
            <w:pPr>
              <w:pStyle w:val="a3"/>
              <w:tabs>
                <w:tab w:val="left" w:pos="227"/>
                <w:tab w:val="left" w:pos="397"/>
                <w:tab w:val="left" w:pos="567"/>
              </w:tabs>
              <w:spacing w:line="200" w:lineRule="exact"/>
              <w:rPr>
                <w:sz w:val="16"/>
                <w:szCs w:val="18"/>
                <w:rtl/>
              </w:rPr>
            </w:pPr>
          </w:p>
        </w:tc>
        <w:tc>
          <w:tcPr>
            <w:tcW w:w="113" w:type="dxa"/>
          </w:tcPr>
          <w:p w14:paraId="22228D80"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229B2DA3" w14:textId="77777777" w:rsidR="00473B27" w:rsidRPr="0097675E" w:rsidRDefault="00473B27" w:rsidP="00A27D0C">
            <w:pPr>
              <w:tabs>
                <w:tab w:val="decimal" w:pos="113"/>
              </w:tabs>
              <w:spacing w:line="200" w:lineRule="exact"/>
              <w:ind w:left="57"/>
              <w:rPr>
                <w:sz w:val="18"/>
                <w:szCs w:val="20"/>
              </w:rPr>
            </w:pPr>
          </w:p>
        </w:tc>
        <w:tc>
          <w:tcPr>
            <w:tcW w:w="140" w:type="dxa"/>
          </w:tcPr>
          <w:p w14:paraId="36327A4A"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498A4BF0" w14:textId="77777777" w:rsidR="00473B27" w:rsidRPr="0097675E" w:rsidRDefault="00473B27" w:rsidP="00A27D0C">
            <w:pPr>
              <w:tabs>
                <w:tab w:val="decimal" w:pos="113"/>
              </w:tabs>
              <w:spacing w:line="200" w:lineRule="exact"/>
              <w:ind w:left="57"/>
              <w:rPr>
                <w:sz w:val="18"/>
                <w:szCs w:val="20"/>
              </w:rPr>
            </w:pPr>
          </w:p>
        </w:tc>
        <w:tc>
          <w:tcPr>
            <w:tcW w:w="140" w:type="dxa"/>
          </w:tcPr>
          <w:p w14:paraId="599014F8"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78165AF" w14:textId="77777777" w:rsidR="00473B27" w:rsidRPr="0097675E" w:rsidRDefault="00473B27" w:rsidP="00A27D0C">
            <w:pPr>
              <w:tabs>
                <w:tab w:val="decimal" w:pos="113"/>
              </w:tabs>
              <w:spacing w:line="200" w:lineRule="exact"/>
              <w:ind w:left="57"/>
              <w:rPr>
                <w:sz w:val="18"/>
                <w:szCs w:val="20"/>
              </w:rPr>
            </w:pPr>
          </w:p>
        </w:tc>
        <w:tc>
          <w:tcPr>
            <w:tcW w:w="140" w:type="dxa"/>
          </w:tcPr>
          <w:p w14:paraId="0A269A28"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5F4B120" w14:textId="77777777" w:rsidR="00473B27" w:rsidRPr="0097675E" w:rsidRDefault="00473B27" w:rsidP="00A27D0C">
            <w:pPr>
              <w:tabs>
                <w:tab w:val="decimal" w:pos="113"/>
              </w:tabs>
              <w:spacing w:line="200" w:lineRule="exact"/>
              <w:ind w:left="57"/>
              <w:rPr>
                <w:sz w:val="18"/>
                <w:szCs w:val="20"/>
              </w:rPr>
            </w:pPr>
          </w:p>
        </w:tc>
        <w:tc>
          <w:tcPr>
            <w:tcW w:w="140" w:type="dxa"/>
          </w:tcPr>
          <w:p w14:paraId="173BBBC5"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99F2F4F" w14:textId="77777777" w:rsidR="00473B27" w:rsidRPr="0097675E" w:rsidRDefault="00473B27" w:rsidP="00A27D0C">
            <w:pPr>
              <w:tabs>
                <w:tab w:val="decimal" w:pos="113"/>
              </w:tabs>
              <w:spacing w:line="200" w:lineRule="exact"/>
              <w:ind w:left="57"/>
              <w:rPr>
                <w:sz w:val="18"/>
                <w:szCs w:val="20"/>
              </w:rPr>
            </w:pPr>
          </w:p>
        </w:tc>
        <w:tc>
          <w:tcPr>
            <w:tcW w:w="110" w:type="dxa"/>
          </w:tcPr>
          <w:p w14:paraId="1AE6D320"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243E3BE8" w14:textId="77777777" w:rsidR="00473B27" w:rsidRPr="0097675E" w:rsidRDefault="00473B27" w:rsidP="00A27D0C">
            <w:pPr>
              <w:tabs>
                <w:tab w:val="decimal" w:pos="113"/>
              </w:tabs>
              <w:spacing w:line="200" w:lineRule="exact"/>
              <w:ind w:left="57"/>
              <w:rPr>
                <w:sz w:val="18"/>
                <w:szCs w:val="20"/>
              </w:rPr>
            </w:pPr>
          </w:p>
        </w:tc>
      </w:tr>
      <w:tr w:rsidR="00473B27" w:rsidRPr="0097675E" w14:paraId="4F174ED9" w14:textId="77777777" w:rsidTr="00A27D0C">
        <w:tc>
          <w:tcPr>
            <w:tcW w:w="2127" w:type="dxa"/>
            <w:vAlign w:val="bottom"/>
          </w:tcPr>
          <w:p w14:paraId="76320778" w14:textId="77777777" w:rsidR="00473B27" w:rsidRPr="00E72837" w:rsidRDefault="00473B27" w:rsidP="00A27D0C">
            <w:pPr>
              <w:pStyle w:val="a3"/>
              <w:tabs>
                <w:tab w:val="left" w:pos="227"/>
                <w:tab w:val="left" w:pos="397"/>
                <w:tab w:val="left" w:pos="567"/>
              </w:tabs>
              <w:spacing w:line="200" w:lineRule="exact"/>
              <w:rPr>
                <w:sz w:val="16"/>
                <w:szCs w:val="18"/>
                <w:rtl/>
              </w:rPr>
            </w:pPr>
            <w:r>
              <w:rPr>
                <w:rFonts w:hint="cs"/>
                <w:b/>
                <w:bCs/>
                <w:sz w:val="18"/>
                <w:szCs w:val="18"/>
                <w:rtl/>
              </w:rPr>
              <w:t>עיתוי ההכרה בהכנסה:</w:t>
            </w:r>
          </w:p>
        </w:tc>
        <w:tc>
          <w:tcPr>
            <w:tcW w:w="113" w:type="dxa"/>
          </w:tcPr>
          <w:p w14:paraId="7855751D"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017AC74F" w14:textId="77777777" w:rsidR="00473B27" w:rsidRPr="0097675E" w:rsidRDefault="00473B27" w:rsidP="00A27D0C">
            <w:pPr>
              <w:tabs>
                <w:tab w:val="decimal" w:pos="113"/>
              </w:tabs>
              <w:spacing w:line="200" w:lineRule="exact"/>
              <w:ind w:left="57"/>
              <w:rPr>
                <w:sz w:val="18"/>
                <w:szCs w:val="20"/>
              </w:rPr>
            </w:pPr>
          </w:p>
        </w:tc>
        <w:tc>
          <w:tcPr>
            <w:tcW w:w="140" w:type="dxa"/>
          </w:tcPr>
          <w:p w14:paraId="5E3CD938"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5F662A09" w14:textId="77777777" w:rsidR="00473B27" w:rsidRPr="0097675E" w:rsidRDefault="00473B27" w:rsidP="00A27D0C">
            <w:pPr>
              <w:tabs>
                <w:tab w:val="decimal" w:pos="113"/>
              </w:tabs>
              <w:spacing w:line="200" w:lineRule="exact"/>
              <w:ind w:left="57"/>
              <w:rPr>
                <w:sz w:val="18"/>
                <w:szCs w:val="20"/>
              </w:rPr>
            </w:pPr>
          </w:p>
        </w:tc>
        <w:tc>
          <w:tcPr>
            <w:tcW w:w="140" w:type="dxa"/>
          </w:tcPr>
          <w:p w14:paraId="6D6787C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7D044A4" w14:textId="77777777" w:rsidR="00473B27" w:rsidRPr="0097675E" w:rsidRDefault="00473B27" w:rsidP="00A27D0C">
            <w:pPr>
              <w:tabs>
                <w:tab w:val="decimal" w:pos="113"/>
              </w:tabs>
              <w:spacing w:line="200" w:lineRule="exact"/>
              <w:ind w:left="57"/>
              <w:rPr>
                <w:sz w:val="18"/>
                <w:szCs w:val="20"/>
              </w:rPr>
            </w:pPr>
          </w:p>
        </w:tc>
        <w:tc>
          <w:tcPr>
            <w:tcW w:w="140" w:type="dxa"/>
          </w:tcPr>
          <w:p w14:paraId="4BE62AB5"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8014781" w14:textId="77777777" w:rsidR="00473B27" w:rsidRPr="0097675E" w:rsidRDefault="00473B27" w:rsidP="00A27D0C">
            <w:pPr>
              <w:tabs>
                <w:tab w:val="decimal" w:pos="113"/>
              </w:tabs>
              <w:spacing w:line="200" w:lineRule="exact"/>
              <w:ind w:left="57"/>
              <w:rPr>
                <w:sz w:val="18"/>
                <w:szCs w:val="20"/>
              </w:rPr>
            </w:pPr>
          </w:p>
        </w:tc>
        <w:tc>
          <w:tcPr>
            <w:tcW w:w="140" w:type="dxa"/>
          </w:tcPr>
          <w:p w14:paraId="4421135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3EF53D5" w14:textId="77777777" w:rsidR="00473B27" w:rsidRPr="0097675E" w:rsidRDefault="00473B27" w:rsidP="00A27D0C">
            <w:pPr>
              <w:tabs>
                <w:tab w:val="decimal" w:pos="113"/>
              </w:tabs>
              <w:spacing w:line="200" w:lineRule="exact"/>
              <w:ind w:left="57"/>
              <w:rPr>
                <w:sz w:val="18"/>
                <w:szCs w:val="20"/>
              </w:rPr>
            </w:pPr>
          </w:p>
        </w:tc>
        <w:tc>
          <w:tcPr>
            <w:tcW w:w="110" w:type="dxa"/>
          </w:tcPr>
          <w:p w14:paraId="4F6FF5C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535E177" w14:textId="77777777" w:rsidR="00473B27" w:rsidRPr="0097675E" w:rsidRDefault="00473B27" w:rsidP="00A27D0C">
            <w:pPr>
              <w:tabs>
                <w:tab w:val="decimal" w:pos="113"/>
              </w:tabs>
              <w:spacing w:line="200" w:lineRule="exact"/>
              <w:ind w:left="57"/>
              <w:rPr>
                <w:sz w:val="18"/>
                <w:szCs w:val="20"/>
              </w:rPr>
            </w:pPr>
          </w:p>
        </w:tc>
      </w:tr>
      <w:tr w:rsidR="00473B27" w:rsidRPr="0097675E" w14:paraId="3253BD9D" w14:textId="77777777" w:rsidTr="00A27D0C">
        <w:tc>
          <w:tcPr>
            <w:tcW w:w="2127" w:type="dxa"/>
            <w:vAlign w:val="bottom"/>
          </w:tcPr>
          <w:p w14:paraId="4C38B2A6" w14:textId="77777777" w:rsidR="00473B27" w:rsidRPr="00E72837" w:rsidRDefault="00473B27" w:rsidP="00A27D0C">
            <w:pPr>
              <w:pStyle w:val="a3"/>
              <w:tabs>
                <w:tab w:val="left" w:pos="227"/>
                <w:tab w:val="left" w:pos="397"/>
                <w:tab w:val="left" w:pos="567"/>
              </w:tabs>
              <w:spacing w:line="200" w:lineRule="exact"/>
              <w:rPr>
                <w:sz w:val="16"/>
                <w:szCs w:val="18"/>
                <w:rtl/>
              </w:rPr>
            </w:pPr>
            <w:r>
              <w:rPr>
                <w:rFonts w:hint="cs"/>
                <w:sz w:val="18"/>
                <w:szCs w:val="18"/>
                <w:rtl/>
              </w:rPr>
              <w:t>הכרה בהכנסה בנקודת זמן</w:t>
            </w:r>
          </w:p>
        </w:tc>
        <w:tc>
          <w:tcPr>
            <w:tcW w:w="113" w:type="dxa"/>
          </w:tcPr>
          <w:p w14:paraId="362A5FA6"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12A438E0" w14:textId="77777777" w:rsidR="00473B27" w:rsidRPr="0097675E" w:rsidRDefault="00473B27" w:rsidP="00A27D0C">
            <w:pPr>
              <w:tabs>
                <w:tab w:val="decimal" w:pos="113"/>
              </w:tabs>
              <w:spacing w:line="200" w:lineRule="exact"/>
              <w:ind w:left="57"/>
              <w:rPr>
                <w:sz w:val="18"/>
                <w:szCs w:val="20"/>
              </w:rPr>
            </w:pPr>
          </w:p>
        </w:tc>
        <w:tc>
          <w:tcPr>
            <w:tcW w:w="140" w:type="dxa"/>
          </w:tcPr>
          <w:p w14:paraId="4126AD7C"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03DA4C29" w14:textId="77777777" w:rsidR="00473B27" w:rsidRPr="0097675E" w:rsidRDefault="00473B27" w:rsidP="00A27D0C">
            <w:pPr>
              <w:tabs>
                <w:tab w:val="decimal" w:pos="113"/>
              </w:tabs>
              <w:spacing w:line="200" w:lineRule="exact"/>
              <w:ind w:left="57"/>
              <w:rPr>
                <w:sz w:val="18"/>
                <w:szCs w:val="20"/>
              </w:rPr>
            </w:pPr>
          </w:p>
        </w:tc>
        <w:tc>
          <w:tcPr>
            <w:tcW w:w="140" w:type="dxa"/>
          </w:tcPr>
          <w:p w14:paraId="68A879C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25428E0" w14:textId="77777777" w:rsidR="00473B27" w:rsidRPr="0097675E" w:rsidRDefault="00473B27" w:rsidP="00A27D0C">
            <w:pPr>
              <w:tabs>
                <w:tab w:val="decimal" w:pos="113"/>
              </w:tabs>
              <w:spacing w:line="200" w:lineRule="exact"/>
              <w:ind w:left="57"/>
              <w:rPr>
                <w:sz w:val="18"/>
                <w:szCs w:val="20"/>
              </w:rPr>
            </w:pPr>
          </w:p>
        </w:tc>
        <w:tc>
          <w:tcPr>
            <w:tcW w:w="140" w:type="dxa"/>
          </w:tcPr>
          <w:p w14:paraId="11B0D69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825480E" w14:textId="77777777" w:rsidR="00473B27" w:rsidRPr="0097675E" w:rsidRDefault="00473B27" w:rsidP="00A27D0C">
            <w:pPr>
              <w:tabs>
                <w:tab w:val="decimal" w:pos="113"/>
              </w:tabs>
              <w:spacing w:line="200" w:lineRule="exact"/>
              <w:ind w:left="57"/>
              <w:rPr>
                <w:sz w:val="18"/>
                <w:szCs w:val="20"/>
              </w:rPr>
            </w:pPr>
          </w:p>
        </w:tc>
        <w:tc>
          <w:tcPr>
            <w:tcW w:w="140" w:type="dxa"/>
          </w:tcPr>
          <w:p w14:paraId="594A1BD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B1A4639" w14:textId="77777777" w:rsidR="00473B27" w:rsidRPr="0097675E" w:rsidRDefault="00473B27" w:rsidP="00A27D0C">
            <w:pPr>
              <w:tabs>
                <w:tab w:val="decimal" w:pos="113"/>
              </w:tabs>
              <w:spacing w:line="200" w:lineRule="exact"/>
              <w:ind w:left="57"/>
              <w:rPr>
                <w:sz w:val="18"/>
                <w:szCs w:val="20"/>
              </w:rPr>
            </w:pPr>
          </w:p>
        </w:tc>
        <w:tc>
          <w:tcPr>
            <w:tcW w:w="110" w:type="dxa"/>
          </w:tcPr>
          <w:p w14:paraId="0A04A0A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E93ACA9" w14:textId="77777777" w:rsidR="00473B27" w:rsidRPr="0097675E" w:rsidRDefault="00473B27" w:rsidP="00A27D0C">
            <w:pPr>
              <w:tabs>
                <w:tab w:val="decimal" w:pos="113"/>
              </w:tabs>
              <w:spacing w:line="200" w:lineRule="exact"/>
              <w:ind w:left="57"/>
              <w:rPr>
                <w:sz w:val="18"/>
                <w:szCs w:val="20"/>
              </w:rPr>
            </w:pPr>
          </w:p>
        </w:tc>
      </w:tr>
      <w:tr w:rsidR="00473B27" w:rsidRPr="0097675E" w14:paraId="3DDB8392" w14:textId="77777777" w:rsidTr="00A27D0C">
        <w:tc>
          <w:tcPr>
            <w:tcW w:w="2127" w:type="dxa"/>
            <w:vAlign w:val="bottom"/>
          </w:tcPr>
          <w:p w14:paraId="519E115E" w14:textId="77777777" w:rsidR="00473B27" w:rsidRPr="00E72837" w:rsidRDefault="00473B27" w:rsidP="00A27D0C">
            <w:pPr>
              <w:pStyle w:val="a3"/>
              <w:tabs>
                <w:tab w:val="left" w:pos="227"/>
                <w:tab w:val="left" w:pos="397"/>
                <w:tab w:val="left" w:pos="567"/>
              </w:tabs>
              <w:spacing w:line="200" w:lineRule="exact"/>
              <w:rPr>
                <w:sz w:val="16"/>
                <w:szCs w:val="18"/>
                <w:rtl/>
              </w:rPr>
            </w:pPr>
            <w:r>
              <w:rPr>
                <w:rFonts w:hint="cs"/>
                <w:sz w:val="18"/>
                <w:szCs w:val="18"/>
                <w:rtl/>
              </w:rPr>
              <w:t>הכרה בהכנסה על פני תקופת זמן</w:t>
            </w:r>
          </w:p>
        </w:tc>
        <w:tc>
          <w:tcPr>
            <w:tcW w:w="113" w:type="dxa"/>
          </w:tcPr>
          <w:p w14:paraId="380D1B1D"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69D60AD0" w14:textId="77777777" w:rsidR="00473B27" w:rsidRPr="0097675E" w:rsidRDefault="00473B27" w:rsidP="00A27D0C">
            <w:pPr>
              <w:tabs>
                <w:tab w:val="decimal" w:pos="113"/>
              </w:tabs>
              <w:spacing w:line="200" w:lineRule="exact"/>
              <w:ind w:left="57"/>
              <w:rPr>
                <w:sz w:val="18"/>
                <w:szCs w:val="20"/>
              </w:rPr>
            </w:pPr>
          </w:p>
        </w:tc>
        <w:tc>
          <w:tcPr>
            <w:tcW w:w="140" w:type="dxa"/>
          </w:tcPr>
          <w:p w14:paraId="5369C140"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1B279F7A" w14:textId="77777777" w:rsidR="00473B27" w:rsidRPr="0097675E" w:rsidRDefault="00473B27" w:rsidP="00A27D0C">
            <w:pPr>
              <w:tabs>
                <w:tab w:val="decimal" w:pos="113"/>
              </w:tabs>
              <w:spacing w:line="200" w:lineRule="exact"/>
              <w:ind w:left="57"/>
              <w:rPr>
                <w:sz w:val="18"/>
                <w:szCs w:val="20"/>
              </w:rPr>
            </w:pPr>
          </w:p>
        </w:tc>
        <w:tc>
          <w:tcPr>
            <w:tcW w:w="140" w:type="dxa"/>
          </w:tcPr>
          <w:p w14:paraId="5A1DBC0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1C30E91" w14:textId="77777777" w:rsidR="00473B27" w:rsidRPr="0097675E" w:rsidRDefault="00473B27" w:rsidP="00A27D0C">
            <w:pPr>
              <w:tabs>
                <w:tab w:val="decimal" w:pos="113"/>
              </w:tabs>
              <w:spacing w:line="200" w:lineRule="exact"/>
              <w:ind w:left="57"/>
              <w:rPr>
                <w:sz w:val="18"/>
                <w:szCs w:val="20"/>
              </w:rPr>
            </w:pPr>
          </w:p>
        </w:tc>
        <w:tc>
          <w:tcPr>
            <w:tcW w:w="140" w:type="dxa"/>
          </w:tcPr>
          <w:p w14:paraId="7312A91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DEDBE15" w14:textId="77777777" w:rsidR="00473B27" w:rsidRPr="0097675E" w:rsidRDefault="00473B27" w:rsidP="00A27D0C">
            <w:pPr>
              <w:tabs>
                <w:tab w:val="decimal" w:pos="113"/>
              </w:tabs>
              <w:spacing w:line="200" w:lineRule="exact"/>
              <w:ind w:left="57"/>
              <w:rPr>
                <w:sz w:val="18"/>
                <w:szCs w:val="20"/>
              </w:rPr>
            </w:pPr>
          </w:p>
        </w:tc>
        <w:tc>
          <w:tcPr>
            <w:tcW w:w="140" w:type="dxa"/>
          </w:tcPr>
          <w:p w14:paraId="14A206A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6E69C33" w14:textId="77777777" w:rsidR="00473B27" w:rsidRPr="0097675E" w:rsidRDefault="00473B27" w:rsidP="00A27D0C">
            <w:pPr>
              <w:tabs>
                <w:tab w:val="decimal" w:pos="113"/>
              </w:tabs>
              <w:spacing w:line="200" w:lineRule="exact"/>
              <w:ind w:left="57"/>
              <w:rPr>
                <w:sz w:val="18"/>
                <w:szCs w:val="20"/>
              </w:rPr>
            </w:pPr>
          </w:p>
        </w:tc>
        <w:tc>
          <w:tcPr>
            <w:tcW w:w="110" w:type="dxa"/>
          </w:tcPr>
          <w:p w14:paraId="78030E5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84A1A31" w14:textId="77777777" w:rsidR="00473B27" w:rsidRPr="0097675E" w:rsidRDefault="00473B27" w:rsidP="00A27D0C">
            <w:pPr>
              <w:tabs>
                <w:tab w:val="decimal" w:pos="113"/>
              </w:tabs>
              <w:spacing w:line="200" w:lineRule="exact"/>
              <w:ind w:left="57"/>
              <w:rPr>
                <w:sz w:val="18"/>
                <w:szCs w:val="20"/>
              </w:rPr>
            </w:pPr>
          </w:p>
        </w:tc>
      </w:tr>
      <w:tr w:rsidR="00473B27" w:rsidRPr="0097675E" w14:paraId="6C5B137F" w14:textId="77777777" w:rsidTr="00A27D0C">
        <w:tc>
          <w:tcPr>
            <w:tcW w:w="2127" w:type="dxa"/>
            <w:vAlign w:val="bottom"/>
          </w:tcPr>
          <w:p w14:paraId="2953539A" w14:textId="77777777" w:rsidR="00473B27" w:rsidRPr="00E72837" w:rsidRDefault="00473B27" w:rsidP="00A27D0C">
            <w:pPr>
              <w:pStyle w:val="a3"/>
              <w:tabs>
                <w:tab w:val="left" w:pos="227"/>
                <w:tab w:val="left" w:pos="397"/>
                <w:tab w:val="left" w:pos="567"/>
              </w:tabs>
              <w:spacing w:line="200" w:lineRule="exact"/>
              <w:rPr>
                <w:sz w:val="16"/>
                <w:szCs w:val="18"/>
              </w:rPr>
            </w:pPr>
          </w:p>
        </w:tc>
        <w:tc>
          <w:tcPr>
            <w:tcW w:w="113" w:type="dxa"/>
          </w:tcPr>
          <w:p w14:paraId="7CBB136F"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2FE57705" w14:textId="77777777" w:rsidR="00473B27" w:rsidRPr="0097675E" w:rsidRDefault="00473B27" w:rsidP="00A27D0C">
            <w:pPr>
              <w:tabs>
                <w:tab w:val="decimal" w:pos="113"/>
              </w:tabs>
              <w:spacing w:line="200" w:lineRule="exact"/>
              <w:ind w:left="57"/>
              <w:rPr>
                <w:sz w:val="18"/>
                <w:szCs w:val="20"/>
              </w:rPr>
            </w:pPr>
          </w:p>
        </w:tc>
        <w:tc>
          <w:tcPr>
            <w:tcW w:w="140" w:type="dxa"/>
          </w:tcPr>
          <w:p w14:paraId="1113D1A9"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405F07E0" w14:textId="77777777" w:rsidR="00473B27" w:rsidRPr="0097675E" w:rsidRDefault="00473B27" w:rsidP="00A27D0C">
            <w:pPr>
              <w:tabs>
                <w:tab w:val="decimal" w:pos="113"/>
              </w:tabs>
              <w:spacing w:line="200" w:lineRule="exact"/>
              <w:ind w:left="57"/>
              <w:rPr>
                <w:sz w:val="18"/>
                <w:szCs w:val="20"/>
              </w:rPr>
            </w:pPr>
          </w:p>
        </w:tc>
        <w:tc>
          <w:tcPr>
            <w:tcW w:w="140" w:type="dxa"/>
          </w:tcPr>
          <w:p w14:paraId="18BE0128"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C3F1AC5" w14:textId="77777777" w:rsidR="00473B27" w:rsidRPr="0097675E" w:rsidRDefault="00473B27" w:rsidP="00A27D0C">
            <w:pPr>
              <w:tabs>
                <w:tab w:val="decimal" w:pos="113"/>
              </w:tabs>
              <w:spacing w:line="200" w:lineRule="exact"/>
              <w:ind w:left="57"/>
              <w:rPr>
                <w:sz w:val="18"/>
                <w:szCs w:val="20"/>
              </w:rPr>
            </w:pPr>
          </w:p>
        </w:tc>
        <w:tc>
          <w:tcPr>
            <w:tcW w:w="140" w:type="dxa"/>
          </w:tcPr>
          <w:p w14:paraId="2BF2DD19"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F18C048" w14:textId="77777777" w:rsidR="00473B27" w:rsidRPr="0097675E" w:rsidRDefault="00473B27" w:rsidP="00A27D0C">
            <w:pPr>
              <w:tabs>
                <w:tab w:val="decimal" w:pos="113"/>
              </w:tabs>
              <w:spacing w:line="200" w:lineRule="exact"/>
              <w:ind w:left="57"/>
              <w:rPr>
                <w:sz w:val="18"/>
                <w:szCs w:val="20"/>
              </w:rPr>
            </w:pPr>
          </w:p>
        </w:tc>
        <w:tc>
          <w:tcPr>
            <w:tcW w:w="140" w:type="dxa"/>
          </w:tcPr>
          <w:p w14:paraId="1395467A"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0BD7243" w14:textId="77777777" w:rsidR="00473B27" w:rsidRPr="0097675E" w:rsidRDefault="00473B27" w:rsidP="00A27D0C">
            <w:pPr>
              <w:tabs>
                <w:tab w:val="decimal" w:pos="113"/>
              </w:tabs>
              <w:spacing w:line="200" w:lineRule="exact"/>
              <w:ind w:left="57"/>
              <w:rPr>
                <w:sz w:val="18"/>
                <w:szCs w:val="20"/>
              </w:rPr>
            </w:pPr>
          </w:p>
        </w:tc>
        <w:tc>
          <w:tcPr>
            <w:tcW w:w="110" w:type="dxa"/>
          </w:tcPr>
          <w:p w14:paraId="5ED55A2A"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9F0F7B1" w14:textId="77777777" w:rsidR="00473B27" w:rsidRPr="0097675E" w:rsidRDefault="00473B27" w:rsidP="00A27D0C">
            <w:pPr>
              <w:tabs>
                <w:tab w:val="decimal" w:pos="113"/>
              </w:tabs>
              <w:spacing w:line="200" w:lineRule="exact"/>
              <w:ind w:left="57"/>
              <w:rPr>
                <w:sz w:val="18"/>
                <w:szCs w:val="20"/>
              </w:rPr>
            </w:pPr>
          </w:p>
        </w:tc>
      </w:tr>
      <w:tr w:rsidR="00473B27" w:rsidRPr="0097675E" w14:paraId="3090284F" w14:textId="77777777" w:rsidTr="00A27D0C">
        <w:tc>
          <w:tcPr>
            <w:tcW w:w="2127" w:type="dxa"/>
            <w:vAlign w:val="bottom"/>
          </w:tcPr>
          <w:p w14:paraId="7D07D2F0" w14:textId="77777777" w:rsidR="00473B27" w:rsidRPr="00473B27" w:rsidRDefault="00473B27" w:rsidP="00A27D0C">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113" w:type="dxa"/>
          </w:tcPr>
          <w:p w14:paraId="30343F4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bottom w:val="single" w:sz="4" w:space="0" w:color="auto"/>
            </w:tcBorders>
            <w:shd w:val="clear" w:color="auto" w:fill="auto"/>
            <w:vAlign w:val="bottom"/>
          </w:tcPr>
          <w:p w14:paraId="5F6CEEB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710E035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left w:val="nil"/>
              <w:bottom w:val="single" w:sz="4" w:space="0" w:color="auto"/>
              <w:right w:val="nil"/>
            </w:tcBorders>
            <w:shd w:val="clear" w:color="auto" w:fill="auto"/>
            <w:vAlign w:val="bottom"/>
          </w:tcPr>
          <w:p w14:paraId="41A246C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0981AF4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4F2E547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F6A537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6D118D1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55FA64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517A6DF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60D9B92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1BA1FDB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408818DF" w14:textId="77777777" w:rsidTr="00A27D0C">
        <w:tc>
          <w:tcPr>
            <w:tcW w:w="2127" w:type="dxa"/>
            <w:vAlign w:val="bottom"/>
          </w:tcPr>
          <w:p w14:paraId="256720B7" w14:textId="77777777" w:rsidR="00473B27" w:rsidRDefault="00473B27" w:rsidP="00A27D0C">
            <w:pPr>
              <w:pStyle w:val="a3"/>
              <w:tabs>
                <w:tab w:val="left" w:pos="227"/>
                <w:tab w:val="left" w:pos="397"/>
                <w:tab w:val="left" w:pos="567"/>
              </w:tabs>
              <w:spacing w:line="180" w:lineRule="exact"/>
              <w:rPr>
                <w:sz w:val="18"/>
                <w:szCs w:val="18"/>
                <w:rtl/>
              </w:rPr>
            </w:pPr>
          </w:p>
        </w:tc>
        <w:tc>
          <w:tcPr>
            <w:tcW w:w="113" w:type="dxa"/>
          </w:tcPr>
          <w:p w14:paraId="005EC0E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tcBorders>
            <w:shd w:val="clear" w:color="auto" w:fill="auto"/>
            <w:vAlign w:val="bottom"/>
          </w:tcPr>
          <w:p w14:paraId="4E1C49F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2E4F85D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single" w:sz="4" w:space="0" w:color="auto"/>
              <w:left w:val="nil"/>
              <w:right w:val="nil"/>
            </w:tcBorders>
            <w:shd w:val="clear" w:color="auto" w:fill="auto"/>
            <w:vAlign w:val="bottom"/>
          </w:tcPr>
          <w:p w14:paraId="3BCD846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65D6FA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5992679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09DC01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1EDFD65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0C2F0EE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045C072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598ACBA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3CB32B1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7587DBA3" w14:textId="77777777" w:rsidTr="00A27D0C">
        <w:tc>
          <w:tcPr>
            <w:tcW w:w="2127" w:type="dxa"/>
            <w:vAlign w:val="bottom"/>
          </w:tcPr>
          <w:p w14:paraId="402EF9DB" w14:textId="77777777" w:rsidR="00473B27" w:rsidRDefault="00473B27" w:rsidP="00A27D0C">
            <w:pPr>
              <w:pStyle w:val="a3"/>
              <w:tabs>
                <w:tab w:val="left" w:pos="227"/>
                <w:tab w:val="left" w:pos="397"/>
                <w:tab w:val="left" w:pos="567"/>
              </w:tabs>
              <w:spacing w:line="180" w:lineRule="exact"/>
              <w:rPr>
                <w:sz w:val="18"/>
                <w:szCs w:val="18"/>
                <w:rtl/>
              </w:rPr>
            </w:pPr>
            <w:r>
              <w:rPr>
                <w:rFonts w:hint="cs"/>
                <w:sz w:val="18"/>
                <w:szCs w:val="18"/>
                <w:rtl/>
              </w:rPr>
              <w:t>הכנסות בין-מגזריות</w:t>
            </w:r>
          </w:p>
        </w:tc>
        <w:tc>
          <w:tcPr>
            <w:tcW w:w="113" w:type="dxa"/>
          </w:tcPr>
          <w:p w14:paraId="65340E0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bottom w:val="single" w:sz="4" w:space="0" w:color="auto"/>
            </w:tcBorders>
            <w:shd w:val="clear" w:color="auto" w:fill="auto"/>
            <w:vAlign w:val="bottom"/>
          </w:tcPr>
          <w:p w14:paraId="190B7A6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6863F3B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left w:val="nil"/>
              <w:bottom w:val="single" w:sz="4" w:space="0" w:color="auto"/>
              <w:right w:val="nil"/>
            </w:tcBorders>
            <w:shd w:val="clear" w:color="auto" w:fill="auto"/>
            <w:vAlign w:val="bottom"/>
          </w:tcPr>
          <w:p w14:paraId="5D8ACBE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0BDAE9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77DED35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A5F2C5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7035D19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BB7481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2156062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7C36F7E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63D1752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6EF1B67D" w14:textId="77777777" w:rsidTr="00A27D0C">
        <w:tc>
          <w:tcPr>
            <w:tcW w:w="2127" w:type="dxa"/>
            <w:vAlign w:val="bottom"/>
          </w:tcPr>
          <w:p w14:paraId="7801FC30" w14:textId="77777777" w:rsidR="00473B27" w:rsidRDefault="00473B27" w:rsidP="00A27D0C">
            <w:pPr>
              <w:pStyle w:val="a3"/>
              <w:tabs>
                <w:tab w:val="left" w:pos="227"/>
                <w:tab w:val="left" w:pos="397"/>
                <w:tab w:val="left" w:pos="567"/>
              </w:tabs>
              <w:spacing w:line="180" w:lineRule="exact"/>
              <w:rPr>
                <w:sz w:val="18"/>
                <w:szCs w:val="18"/>
                <w:rtl/>
              </w:rPr>
            </w:pPr>
          </w:p>
        </w:tc>
        <w:tc>
          <w:tcPr>
            <w:tcW w:w="113" w:type="dxa"/>
          </w:tcPr>
          <w:p w14:paraId="7F34C6E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tcBorders>
            <w:shd w:val="clear" w:color="auto" w:fill="auto"/>
            <w:vAlign w:val="bottom"/>
          </w:tcPr>
          <w:p w14:paraId="26C07E4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41B9B10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single" w:sz="4" w:space="0" w:color="auto"/>
              <w:left w:val="nil"/>
              <w:right w:val="nil"/>
            </w:tcBorders>
            <w:shd w:val="clear" w:color="auto" w:fill="auto"/>
            <w:vAlign w:val="bottom"/>
          </w:tcPr>
          <w:p w14:paraId="0BC932B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40AB297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016185C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556FAB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44DC1D6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4B60301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4421279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46F97C4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6C21FCF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354994CF" w14:textId="77777777" w:rsidTr="00A27D0C">
        <w:tc>
          <w:tcPr>
            <w:tcW w:w="2127" w:type="dxa"/>
            <w:vAlign w:val="bottom"/>
          </w:tcPr>
          <w:p w14:paraId="49F2CCE0" w14:textId="77777777" w:rsidR="00473B27" w:rsidRPr="00E72837" w:rsidRDefault="00473B27" w:rsidP="00A27D0C">
            <w:pPr>
              <w:pStyle w:val="a3"/>
              <w:tabs>
                <w:tab w:val="left" w:pos="227"/>
                <w:tab w:val="left" w:pos="397"/>
                <w:tab w:val="left" w:pos="567"/>
              </w:tabs>
              <w:spacing w:line="200" w:lineRule="exact"/>
              <w:rPr>
                <w:sz w:val="16"/>
                <w:szCs w:val="18"/>
              </w:rPr>
            </w:pPr>
            <w:r w:rsidRPr="00E72837">
              <w:rPr>
                <w:rFonts w:hint="cs"/>
                <w:sz w:val="16"/>
                <w:szCs w:val="18"/>
                <w:rtl/>
              </w:rPr>
              <w:t>סה"כ הכנסות</w:t>
            </w:r>
          </w:p>
        </w:tc>
        <w:tc>
          <w:tcPr>
            <w:tcW w:w="113" w:type="dxa"/>
          </w:tcPr>
          <w:p w14:paraId="02AA83C5"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bottom w:val="double" w:sz="6" w:space="0" w:color="auto"/>
            </w:tcBorders>
            <w:vAlign w:val="bottom"/>
          </w:tcPr>
          <w:p w14:paraId="628DE099" w14:textId="77777777" w:rsidR="00473B27" w:rsidRPr="0097675E" w:rsidRDefault="00473B27" w:rsidP="00A27D0C">
            <w:pPr>
              <w:tabs>
                <w:tab w:val="decimal" w:pos="113"/>
              </w:tabs>
              <w:spacing w:line="200" w:lineRule="exact"/>
              <w:ind w:left="57"/>
              <w:rPr>
                <w:sz w:val="18"/>
                <w:szCs w:val="20"/>
              </w:rPr>
            </w:pPr>
          </w:p>
        </w:tc>
        <w:tc>
          <w:tcPr>
            <w:tcW w:w="140" w:type="dxa"/>
            <w:tcBorders>
              <w:left w:val="nil"/>
            </w:tcBorders>
          </w:tcPr>
          <w:p w14:paraId="77EE4B16" w14:textId="77777777" w:rsidR="00473B27" w:rsidRPr="0097675E" w:rsidRDefault="00473B27" w:rsidP="00A27D0C">
            <w:pPr>
              <w:tabs>
                <w:tab w:val="decimal" w:pos="113"/>
              </w:tabs>
              <w:spacing w:line="200" w:lineRule="exact"/>
              <w:ind w:left="57"/>
              <w:rPr>
                <w:sz w:val="18"/>
                <w:szCs w:val="20"/>
              </w:rPr>
            </w:pPr>
          </w:p>
        </w:tc>
        <w:tc>
          <w:tcPr>
            <w:tcW w:w="1043" w:type="dxa"/>
            <w:tcBorders>
              <w:left w:val="nil"/>
              <w:bottom w:val="double" w:sz="6" w:space="0" w:color="auto"/>
              <w:right w:val="nil"/>
            </w:tcBorders>
            <w:vAlign w:val="bottom"/>
          </w:tcPr>
          <w:p w14:paraId="0BC3855B" w14:textId="77777777" w:rsidR="00473B27" w:rsidRPr="0097675E" w:rsidRDefault="00473B27" w:rsidP="00A27D0C">
            <w:pPr>
              <w:tabs>
                <w:tab w:val="decimal" w:pos="113"/>
              </w:tabs>
              <w:spacing w:line="200" w:lineRule="exact"/>
              <w:ind w:left="57"/>
              <w:rPr>
                <w:sz w:val="18"/>
                <w:szCs w:val="20"/>
              </w:rPr>
            </w:pPr>
          </w:p>
        </w:tc>
        <w:tc>
          <w:tcPr>
            <w:tcW w:w="140" w:type="dxa"/>
          </w:tcPr>
          <w:p w14:paraId="66DF98FF"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2AFD5D88" w14:textId="77777777" w:rsidR="00473B27" w:rsidRPr="0097675E" w:rsidRDefault="00473B27" w:rsidP="00A27D0C">
            <w:pPr>
              <w:tabs>
                <w:tab w:val="decimal" w:pos="113"/>
              </w:tabs>
              <w:spacing w:line="200" w:lineRule="exact"/>
              <w:ind w:left="57"/>
              <w:rPr>
                <w:sz w:val="18"/>
                <w:szCs w:val="20"/>
              </w:rPr>
            </w:pPr>
          </w:p>
        </w:tc>
        <w:tc>
          <w:tcPr>
            <w:tcW w:w="140" w:type="dxa"/>
          </w:tcPr>
          <w:p w14:paraId="54F9FDA7"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1584C1F1" w14:textId="77777777" w:rsidR="00473B27" w:rsidRPr="0097675E" w:rsidRDefault="00473B27" w:rsidP="00A27D0C">
            <w:pPr>
              <w:tabs>
                <w:tab w:val="decimal" w:pos="113"/>
              </w:tabs>
              <w:spacing w:line="200" w:lineRule="exact"/>
              <w:ind w:left="57"/>
              <w:rPr>
                <w:sz w:val="18"/>
                <w:szCs w:val="20"/>
              </w:rPr>
            </w:pPr>
          </w:p>
        </w:tc>
        <w:tc>
          <w:tcPr>
            <w:tcW w:w="140" w:type="dxa"/>
          </w:tcPr>
          <w:p w14:paraId="2110FEF6"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2411F6FD" w14:textId="77777777" w:rsidR="00473B27" w:rsidRPr="0097675E" w:rsidRDefault="00473B27" w:rsidP="00A27D0C">
            <w:pPr>
              <w:tabs>
                <w:tab w:val="decimal" w:pos="113"/>
              </w:tabs>
              <w:spacing w:line="200" w:lineRule="exact"/>
              <w:ind w:left="57"/>
              <w:rPr>
                <w:sz w:val="18"/>
                <w:szCs w:val="20"/>
              </w:rPr>
            </w:pPr>
          </w:p>
        </w:tc>
        <w:tc>
          <w:tcPr>
            <w:tcW w:w="110" w:type="dxa"/>
          </w:tcPr>
          <w:p w14:paraId="603D16A8"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229B2790" w14:textId="77777777" w:rsidR="00473B27" w:rsidRPr="0097675E" w:rsidRDefault="00473B27" w:rsidP="00A27D0C">
            <w:pPr>
              <w:tabs>
                <w:tab w:val="decimal" w:pos="113"/>
              </w:tabs>
              <w:spacing w:line="200" w:lineRule="exact"/>
              <w:ind w:left="57"/>
              <w:rPr>
                <w:sz w:val="18"/>
                <w:szCs w:val="20"/>
              </w:rPr>
            </w:pPr>
          </w:p>
        </w:tc>
      </w:tr>
      <w:tr w:rsidR="00473B27" w:rsidRPr="0097675E" w14:paraId="66675F30" w14:textId="77777777" w:rsidTr="00A27D0C">
        <w:tc>
          <w:tcPr>
            <w:tcW w:w="2127" w:type="dxa"/>
            <w:vAlign w:val="bottom"/>
          </w:tcPr>
          <w:p w14:paraId="62DE8657" w14:textId="77777777" w:rsidR="00473B27" w:rsidRPr="00E72837" w:rsidRDefault="00473B27" w:rsidP="00A27D0C">
            <w:pPr>
              <w:pStyle w:val="a3"/>
              <w:widowControl/>
              <w:tabs>
                <w:tab w:val="left" w:pos="227"/>
                <w:tab w:val="left" w:pos="397"/>
                <w:tab w:val="left" w:pos="567"/>
              </w:tabs>
              <w:spacing w:line="200" w:lineRule="exact"/>
              <w:ind w:left="0"/>
              <w:rPr>
                <w:sz w:val="16"/>
                <w:szCs w:val="18"/>
              </w:rPr>
            </w:pPr>
          </w:p>
        </w:tc>
        <w:tc>
          <w:tcPr>
            <w:tcW w:w="113" w:type="dxa"/>
          </w:tcPr>
          <w:p w14:paraId="0DD499D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301E859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DF83D2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double" w:sz="6" w:space="0" w:color="auto"/>
              <w:left w:val="nil"/>
              <w:right w:val="nil"/>
            </w:tcBorders>
            <w:vAlign w:val="bottom"/>
          </w:tcPr>
          <w:p w14:paraId="574E398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F02241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402F991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D0FEDD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6723B0E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F45CA6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1372DEB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38D79BC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4280E89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589F163F" w14:textId="77777777" w:rsidTr="00A27D0C">
        <w:tc>
          <w:tcPr>
            <w:tcW w:w="2127" w:type="dxa"/>
            <w:vAlign w:val="bottom"/>
          </w:tcPr>
          <w:p w14:paraId="26BBA415" w14:textId="77777777" w:rsidR="00473B27" w:rsidRPr="00E72837" w:rsidRDefault="00473B27" w:rsidP="00A27D0C">
            <w:pPr>
              <w:pStyle w:val="a3"/>
              <w:tabs>
                <w:tab w:val="left" w:pos="227"/>
                <w:tab w:val="left" w:pos="397"/>
                <w:tab w:val="left" w:pos="567"/>
              </w:tabs>
              <w:spacing w:line="200" w:lineRule="exact"/>
              <w:ind w:left="227" w:hanging="170"/>
              <w:rPr>
                <w:sz w:val="16"/>
                <w:szCs w:val="18"/>
              </w:rPr>
            </w:pPr>
            <w:r w:rsidRPr="00E72837">
              <w:rPr>
                <w:rFonts w:hint="cs"/>
                <w:sz w:val="16"/>
                <w:szCs w:val="18"/>
                <w:rtl/>
              </w:rPr>
              <w:t>רווח (הפסד) מגזרי</w:t>
            </w:r>
          </w:p>
        </w:tc>
        <w:tc>
          <w:tcPr>
            <w:tcW w:w="113" w:type="dxa"/>
          </w:tcPr>
          <w:p w14:paraId="079285D6"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double" w:sz="6" w:space="0" w:color="auto"/>
              <w:right w:val="nil"/>
            </w:tcBorders>
            <w:vAlign w:val="bottom"/>
          </w:tcPr>
          <w:p w14:paraId="1B250BCE" w14:textId="77777777" w:rsidR="00473B27" w:rsidRPr="0097675E" w:rsidRDefault="00473B27" w:rsidP="00A27D0C">
            <w:pPr>
              <w:tabs>
                <w:tab w:val="decimal" w:pos="113"/>
              </w:tabs>
              <w:spacing w:line="200" w:lineRule="exact"/>
              <w:ind w:left="57"/>
              <w:rPr>
                <w:sz w:val="18"/>
                <w:szCs w:val="20"/>
              </w:rPr>
            </w:pPr>
          </w:p>
        </w:tc>
        <w:tc>
          <w:tcPr>
            <w:tcW w:w="140" w:type="dxa"/>
          </w:tcPr>
          <w:p w14:paraId="7742A5FD"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double" w:sz="6" w:space="0" w:color="auto"/>
              <w:right w:val="nil"/>
            </w:tcBorders>
            <w:vAlign w:val="bottom"/>
          </w:tcPr>
          <w:p w14:paraId="52E6D80A" w14:textId="77777777" w:rsidR="00473B27" w:rsidRPr="0097675E" w:rsidRDefault="00473B27" w:rsidP="00A27D0C">
            <w:pPr>
              <w:tabs>
                <w:tab w:val="decimal" w:pos="113"/>
              </w:tabs>
              <w:spacing w:line="200" w:lineRule="exact"/>
              <w:ind w:left="57"/>
              <w:rPr>
                <w:sz w:val="18"/>
                <w:szCs w:val="20"/>
              </w:rPr>
            </w:pPr>
          </w:p>
        </w:tc>
        <w:tc>
          <w:tcPr>
            <w:tcW w:w="140" w:type="dxa"/>
          </w:tcPr>
          <w:p w14:paraId="7CFADEA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3F3CC9DE" w14:textId="77777777" w:rsidR="00473B27" w:rsidRPr="0097675E" w:rsidRDefault="00473B27" w:rsidP="00A27D0C">
            <w:pPr>
              <w:tabs>
                <w:tab w:val="decimal" w:pos="113"/>
              </w:tabs>
              <w:spacing w:line="200" w:lineRule="exact"/>
              <w:ind w:left="57"/>
              <w:rPr>
                <w:sz w:val="18"/>
                <w:szCs w:val="20"/>
              </w:rPr>
            </w:pPr>
          </w:p>
        </w:tc>
        <w:tc>
          <w:tcPr>
            <w:tcW w:w="140" w:type="dxa"/>
          </w:tcPr>
          <w:p w14:paraId="1A1926C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51F1BE64" w14:textId="77777777" w:rsidR="00473B27" w:rsidRPr="0097675E" w:rsidRDefault="00473B27" w:rsidP="00A27D0C">
            <w:pPr>
              <w:tabs>
                <w:tab w:val="decimal" w:pos="113"/>
              </w:tabs>
              <w:spacing w:line="200" w:lineRule="exact"/>
              <w:ind w:left="57"/>
              <w:rPr>
                <w:sz w:val="18"/>
                <w:szCs w:val="20"/>
              </w:rPr>
            </w:pPr>
          </w:p>
        </w:tc>
        <w:tc>
          <w:tcPr>
            <w:tcW w:w="140" w:type="dxa"/>
          </w:tcPr>
          <w:p w14:paraId="4221E635"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29895DF7" w14:textId="77777777" w:rsidR="00473B27" w:rsidRPr="0097675E" w:rsidRDefault="00473B27" w:rsidP="00A27D0C">
            <w:pPr>
              <w:tabs>
                <w:tab w:val="decimal" w:pos="113"/>
              </w:tabs>
              <w:spacing w:line="200" w:lineRule="exact"/>
              <w:ind w:left="57"/>
              <w:rPr>
                <w:sz w:val="18"/>
                <w:szCs w:val="20"/>
              </w:rPr>
            </w:pPr>
          </w:p>
        </w:tc>
        <w:tc>
          <w:tcPr>
            <w:tcW w:w="110" w:type="dxa"/>
          </w:tcPr>
          <w:p w14:paraId="15E696F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shd w:val="clear" w:color="auto" w:fill="auto"/>
            <w:vAlign w:val="bottom"/>
          </w:tcPr>
          <w:p w14:paraId="4A3B1B9C" w14:textId="77777777" w:rsidR="00473B27" w:rsidRPr="0097675E" w:rsidRDefault="00473B27" w:rsidP="00A27D0C">
            <w:pPr>
              <w:tabs>
                <w:tab w:val="decimal" w:pos="113"/>
              </w:tabs>
              <w:spacing w:line="200" w:lineRule="exact"/>
              <w:ind w:left="57"/>
              <w:rPr>
                <w:sz w:val="18"/>
                <w:szCs w:val="20"/>
              </w:rPr>
            </w:pPr>
          </w:p>
        </w:tc>
      </w:tr>
      <w:tr w:rsidR="00473B27" w:rsidRPr="0097675E" w14:paraId="45817D4F" w14:textId="77777777" w:rsidTr="00A27D0C">
        <w:tc>
          <w:tcPr>
            <w:tcW w:w="2127" w:type="dxa"/>
            <w:vAlign w:val="bottom"/>
          </w:tcPr>
          <w:p w14:paraId="6A256246" w14:textId="77777777" w:rsidR="00473B27" w:rsidRPr="00E72837" w:rsidRDefault="00473B27" w:rsidP="00A27D0C">
            <w:pPr>
              <w:pStyle w:val="a3"/>
              <w:widowControl/>
              <w:tabs>
                <w:tab w:val="left" w:pos="227"/>
                <w:tab w:val="left" w:pos="397"/>
                <w:tab w:val="left" w:pos="567"/>
              </w:tabs>
              <w:spacing w:line="200" w:lineRule="exact"/>
              <w:ind w:left="0"/>
              <w:rPr>
                <w:sz w:val="16"/>
                <w:szCs w:val="18"/>
                <w:rtl/>
              </w:rPr>
            </w:pPr>
          </w:p>
        </w:tc>
        <w:tc>
          <w:tcPr>
            <w:tcW w:w="113" w:type="dxa"/>
          </w:tcPr>
          <w:p w14:paraId="37380D2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7C5D05A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7ADCC6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vAlign w:val="bottom"/>
          </w:tcPr>
          <w:p w14:paraId="0186657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BEEE02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361AA0F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69E3D2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6F9C9DF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663F6C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23FFDEA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2A0C9D4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40F9AD7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718A1CFE" w14:textId="77777777" w:rsidTr="00A27D0C">
        <w:tc>
          <w:tcPr>
            <w:tcW w:w="2127" w:type="dxa"/>
            <w:vAlign w:val="bottom"/>
          </w:tcPr>
          <w:p w14:paraId="13B124EE"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הוצאות משותפות בלתי מוקצות</w:t>
            </w:r>
          </w:p>
        </w:tc>
        <w:tc>
          <w:tcPr>
            <w:tcW w:w="113" w:type="dxa"/>
          </w:tcPr>
          <w:p w14:paraId="0DE28127"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vAlign w:val="bottom"/>
          </w:tcPr>
          <w:p w14:paraId="45815B9B" w14:textId="77777777" w:rsidR="00473B27" w:rsidRPr="0097675E" w:rsidRDefault="00473B27" w:rsidP="00A27D0C">
            <w:pPr>
              <w:tabs>
                <w:tab w:val="decimal" w:pos="113"/>
              </w:tabs>
              <w:spacing w:line="200" w:lineRule="exact"/>
              <w:ind w:left="57"/>
              <w:rPr>
                <w:sz w:val="18"/>
                <w:szCs w:val="20"/>
              </w:rPr>
            </w:pPr>
          </w:p>
        </w:tc>
        <w:tc>
          <w:tcPr>
            <w:tcW w:w="140" w:type="dxa"/>
          </w:tcPr>
          <w:p w14:paraId="0EA42A1F" w14:textId="77777777" w:rsidR="00473B27" w:rsidRPr="0097675E" w:rsidRDefault="00473B27" w:rsidP="00A27D0C">
            <w:pPr>
              <w:tabs>
                <w:tab w:val="decimal" w:pos="113"/>
              </w:tabs>
              <w:spacing w:line="200" w:lineRule="exact"/>
              <w:ind w:left="57"/>
              <w:rPr>
                <w:sz w:val="18"/>
                <w:szCs w:val="20"/>
              </w:rPr>
            </w:pPr>
          </w:p>
        </w:tc>
        <w:tc>
          <w:tcPr>
            <w:tcW w:w="1043" w:type="dxa"/>
            <w:vAlign w:val="bottom"/>
          </w:tcPr>
          <w:p w14:paraId="4AF08E73" w14:textId="77777777" w:rsidR="00473B27" w:rsidRPr="0097675E" w:rsidRDefault="00473B27" w:rsidP="00A27D0C">
            <w:pPr>
              <w:tabs>
                <w:tab w:val="decimal" w:pos="113"/>
              </w:tabs>
              <w:spacing w:line="200" w:lineRule="exact"/>
              <w:ind w:left="57"/>
              <w:rPr>
                <w:sz w:val="18"/>
                <w:szCs w:val="20"/>
              </w:rPr>
            </w:pPr>
          </w:p>
        </w:tc>
        <w:tc>
          <w:tcPr>
            <w:tcW w:w="140" w:type="dxa"/>
          </w:tcPr>
          <w:p w14:paraId="0995AB8C"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4DE2BE33" w14:textId="77777777" w:rsidR="00473B27" w:rsidRPr="0097675E" w:rsidRDefault="00473B27" w:rsidP="00A27D0C">
            <w:pPr>
              <w:tabs>
                <w:tab w:val="decimal" w:pos="113"/>
              </w:tabs>
              <w:spacing w:line="200" w:lineRule="exact"/>
              <w:ind w:left="57"/>
              <w:rPr>
                <w:sz w:val="18"/>
                <w:szCs w:val="20"/>
              </w:rPr>
            </w:pPr>
          </w:p>
        </w:tc>
        <w:tc>
          <w:tcPr>
            <w:tcW w:w="140" w:type="dxa"/>
          </w:tcPr>
          <w:p w14:paraId="0EA7880B"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4C1AB57C" w14:textId="77777777" w:rsidR="00473B27" w:rsidRPr="0097675E" w:rsidRDefault="00473B27" w:rsidP="00A27D0C">
            <w:pPr>
              <w:tabs>
                <w:tab w:val="decimal" w:pos="113"/>
              </w:tabs>
              <w:spacing w:line="200" w:lineRule="exact"/>
              <w:ind w:left="57"/>
              <w:rPr>
                <w:sz w:val="18"/>
                <w:szCs w:val="20"/>
              </w:rPr>
            </w:pPr>
          </w:p>
        </w:tc>
        <w:tc>
          <w:tcPr>
            <w:tcW w:w="140" w:type="dxa"/>
          </w:tcPr>
          <w:p w14:paraId="37B12552"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21F19B60" w14:textId="77777777" w:rsidR="00473B27" w:rsidRPr="0097675E" w:rsidRDefault="00473B27" w:rsidP="00A27D0C">
            <w:pPr>
              <w:tabs>
                <w:tab w:val="decimal" w:pos="113"/>
              </w:tabs>
              <w:spacing w:line="200" w:lineRule="exact"/>
              <w:ind w:left="57"/>
              <w:rPr>
                <w:sz w:val="18"/>
                <w:szCs w:val="20"/>
              </w:rPr>
            </w:pPr>
          </w:p>
        </w:tc>
        <w:tc>
          <w:tcPr>
            <w:tcW w:w="110" w:type="dxa"/>
          </w:tcPr>
          <w:p w14:paraId="4CE26A85"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251D5672" w14:textId="77777777" w:rsidR="00473B27" w:rsidRPr="0097675E" w:rsidRDefault="00473B27" w:rsidP="00A27D0C">
            <w:pPr>
              <w:tabs>
                <w:tab w:val="decimal" w:pos="113"/>
              </w:tabs>
              <w:spacing w:line="200" w:lineRule="exact"/>
              <w:ind w:left="57"/>
              <w:rPr>
                <w:sz w:val="18"/>
                <w:szCs w:val="20"/>
              </w:rPr>
            </w:pPr>
          </w:p>
        </w:tc>
      </w:tr>
      <w:tr w:rsidR="00473B27" w:rsidRPr="0097675E" w14:paraId="62FDA0A4" w14:textId="77777777" w:rsidTr="00A27D0C">
        <w:tc>
          <w:tcPr>
            <w:tcW w:w="2127" w:type="dxa"/>
            <w:vAlign w:val="bottom"/>
          </w:tcPr>
          <w:p w14:paraId="5A872459"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הכנסות (הוצאות) מימון, נטו</w:t>
            </w:r>
          </w:p>
        </w:tc>
        <w:tc>
          <w:tcPr>
            <w:tcW w:w="113" w:type="dxa"/>
          </w:tcPr>
          <w:p w14:paraId="0D8A4FB7"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vAlign w:val="bottom"/>
          </w:tcPr>
          <w:p w14:paraId="0E20C9BE" w14:textId="77777777" w:rsidR="00473B27" w:rsidRPr="0097675E" w:rsidRDefault="00473B27" w:rsidP="00A27D0C">
            <w:pPr>
              <w:tabs>
                <w:tab w:val="decimal" w:pos="113"/>
              </w:tabs>
              <w:spacing w:line="200" w:lineRule="exact"/>
              <w:ind w:left="57"/>
              <w:rPr>
                <w:sz w:val="18"/>
                <w:szCs w:val="20"/>
              </w:rPr>
            </w:pPr>
          </w:p>
        </w:tc>
        <w:tc>
          <w:tcPr>
            <w:tcW w:w="140" w:type="dxa"/>
          </w:tcPr>
          <w:p w14:paraId="1AE84296" w14:textId="77777777" w:rsidR="00473B27" w:rsidRPr="0097675E" w:rsidRDefault="00473B27" w:rsidP="00A27D0C">
            <w:pPr>
              <w:tabs>
                <w:tab w:val="decimal" w:pos="113"/>
              </w:tabs>
              <w:spacing w:line="200" w:lineRule="exact"/>
              <w:ind w:left="57"/>
              <w:rPr>
                <w:sz w:val="18"/>
                <w:szCs w:val="20"/>
              </w:rPr>
            </w:pPr>
          </w:p>
        </w:tc>
        <w:tc>
          <w:tcPr>
            <w:tcW w:w="1043" w:type="dxa"/>
            <w:vAlign w:val="bottom"/>
          </w:tcPr>
          <w:p w14:paraId="5B4F2FAF" w14:textId="77777777" w:rsidR="00473B27" w:rsidRPr="0097675E" w:rsidRDefault="00473B27" w:rsidP="00A27D0C">
            <w:pPr>
              <w:tabs>
                <w:tab w:val="decimal" w:pos="113"/>
              </w:tabs>
              <w:spacing w:line="200" w:lineRule="exact"/>
              <w:ind w:left="57"/>
              <w:rPr>
                <w:sz w:val="18"/>
                <w:szCs w:val="20"/>
              </w:rPr>
            </w:pPr>
          </w:p>
        </w:tc>
        <w:tc>
          <w:tcPr>
            <w:tcW w:w="140" w:type="dxa"/>
          </w:tcPr>
          <w:p w14:paraId="07E53973"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7FD9A154" w14:textId="77777777" w:rsidR="00473B27" w:rsidRPr="0097675E" w:rsidRDefault="00473B27" w:rsidP="00A27D0C">
            <w:pPr>
              <w:tabs>
                <w:tab w:val="decimal" w:pos="113"/>
              </w:tabs>
              <w:spacing w:line="200" w:lineRule="exact"/>
              <w:ind w:left="57"/>
              <w:rPr>
                <w:sz w:val="18"/>
                <w:szCs w:val="20"/>
              </w:rPr>
            </w:pPr>
          </w:p>
        </w:tc>
        <w:tc>
          <w:tcPr>
            <w:tcW w:w="140" w:type="dxa"/>
          </w:tcPr>
          <w:p w14:paraId="5B0F0854"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6ABF5F3F" w14:textId="77777777" w:rsidR="00473B27" w:rsidRPr="0097675E" w:rsidRDefault="00473B27" w:rsidP="00A27D0C">
            <w:pPr>
              <w:tabs>
                <w:tab w:val="decimal" w:pos="113"/>
              </w:tabs>
              <w:spacing w:line="200" w:lineRule="exact"/>
              <w:ind w:left="57"/>
              <w:rPr>
                <w:sz w:val="18"/>
                <w:szCs w:val="20"/>
              </w:rPr>
            </w:pPr>
          </w:p>
        </w:tc>
        <w:tc>
          <w:tcPr>
            <w:tcW w:w="140" w:type="dxa"/>
          </w:tcPr>
          <w:p w14:paraId="4AB5E0D5"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3E7F2944" w14:textId="77777777" w:rsidR="00473B27" w:rsidRPr="0097675E" w:rsidRDefault="00473B27" w:rsidP="00A27D0C">
            <w:pPr>
              <w:tabs>
                <w:tab w:val="decimal" w:pos="113"/>
              </w:tabs>
              <w:spacing w:line="200" w:lineRule="exact"/>
              <w:ind w:left="57"/>
              <w:rPr>
                <w:sz w:val="18"/>
                <w:szCs w:val="20"/>
              </w:rPr>
            </w:pPr>
          </w:p>
        </w:tc>
        <w:tc>
          <w:tcPr>
            <w:tcW w:w="110" w:type="dxa"/>
          </w:tcPr>
          <w:p w14:paraId="2F5EE009"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65C573F0" w14:textId="77777777" w:rsidR="00473B27" w:rsidRPr="0097675E" w:rsidRDefault="00473B27" w:rsidP="00A27D0C">
            <w:pPr>
              <w:tabs>
                <w:tab w:val="decimal" w:pos="113"/>
              </w:tabs>
              <w:spacing w:line="200" w:lineRule="exact"/>
              <w:ind w:left="57"/>
              <w:rPr>
                <w:sz w:val="18"/>
                <w:szCs w:val="20"/>
              </w:rPr>
            </w:pPr>
          </w:p>
        </w:tc>
      </w:tr>
      <w:tr w:rsidR="00473B27" w:rsidRPr="0097675E" w14:paraId="716446C9" w14:textId="77777777" w:rsidTr="00A27D0C">
        <w:tc>
          <w:tcPr>
            <w:tcW w:w="2127" w:type="dxa"/>
            <w:vAlign w:val="bottom"/>
          </w:tcPr>
          <w:p w14:paraId="3708A758"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 xml:space="preserve">חלק הקבוצה ברווחי (בהפסדי) חברות המטופלות לפי שיטת השווי </w:t>
            </w:r>
            <w:r w:rsidRPr="00E72837">
              <w:rPr>
                <w:rFonts w:hint="eastAsia"/>
                <w:sz w:val="16"/>
                <w:szCs w:val="18"/>
                <w:rtl/>
              </w:rPr>
              <w:t>המאזני</w:t>
            </w:r>
            <w:r w:rsidRPr="00E72837">
              <w:rPr>
                <w:sz w:val="16"/>
                <w:szCs w:val="18"/>
                <w:rtl/>
              </w:rPr>
              <w:t xml:space="preserve">, </w:t>
            </w:r>
            <w:r w:rsidRPr="00E72837">
              <w:rPr>
                <w:rFonts w:hint="eastAsia"/>
                <w:sz w:val="16"/>
                <w:szCs w:val="18"/>
                <w:rtl/>
              </w:rPr>
              <w:t>נטו</w:t>
            </w:r>
          </w:p>
        </w:tc>
        <w:tc>
          <w:tcPr>
            <w:tcW w:w="113" w:type="dxa"/>
          </w:tcPr>
          <w:p w14:paraId="6208A6CB"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shd w:val="clear" w:color="auto" w:fill="auto"/>
            <w:vAlign w:val="bottom"/>
          </w:tcPr>
          <w:p w14:paraId="00F3B30F" w14:textId="77777777" w:rsidR="00473B27" w:rsidRPr="0097675E" w:rsidRDefault="00473B27" w:rsidP="00A27D0C">
            <w:pPr>
              <w:tabs>
                <w:tab w:val="decimal" w:pos="113"/>
              </w:tabs>
              <w:spacing w:line="200" w:lineRule="exact"/>
              <w:ind w:left="57"/>
              <w:rPr>
                <w:sz w:val="18"/>
                <w:szCs w:val="20"/>
              </w:rPr>
            </w:pPr>
          </w:p>
        </w:tc>
        <w:tc>
          <w:tcPr>
            <w:tcW w:w="140" w:type="dxa"/>
          </w:tcPr>
          <w:p w14:paraId="2028FCD9" w14:textId="77777777" w:rsidR="00473B27" w:rsidRPr="0097675E" w:rsidRDefault="00473B27" w:rsidP="00A27D0C">
            <w:pPr>
              <w:tabs>
                <w:tab w:val="decimal" w:pos="113"/>
              </w:tabs>
              <w:spacing w:line="200" w:lineRule="exact"/>
              <w:ind w:left="57"/>
              <w:rPr>
                <w:sz w:val="18"/>
                <w:szCs w:val="20"/>
              </w:rPr>
            </w:pPr>
          </w:p>
        </w:tc>
        <w:tc>
          <w:tcPr>
            <w:tcW w:w="1043" w:type="dxa"/>
            <w:shd w:val="clear" w:color="auto" w:fill="auto"/>
            <w:vAlign w:val="bottom"/>
          </w:tcPr>
          <w:p w14:paraId="5F78E5BA" w14:textId="77777777" w:rsidR="00473B27" w:rsidRPr="0097675E" w:rsidRDefault="00473B27" w:rsidP="00A27D0C">
            <w:pPr>
              <w:tabs>
                <w:tab w:val="decimal" w:pos="113"/>
              </w:tabs>
              <w:spacing w:line="200" w:lineRule="exact"/>
              <w:ind w:left="57"/>
              <w:rPr>
                <w:sz w:val="18"/>
                <w:szCs w:val="20"/>
              </w:rPr>
            </w:pPr>
          </w:p>
        </w:tc>
        <w:tc>
          <w:tcPr>
            <w:tcW w:w="140" w:type="dxa"/>
          </w:tcPr>
          <w:p w14:paraId="3C11EE32"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16EBB940" w14:textId="77777777" w:rsidR="00473B27" w:rsidRPr="0097675E" w:rsidRDefault="00473B27" w:rsidP="00A27D0C">
            <w:pPr>
              <w:tabs>
                <w:tab w:val="decimal" w:pos="113"/>
              </w:tabs>
              <w:spacing w:line="200" w:lineRule="exact"/>
              <w:ind w:left="57"/>
              <w:rPr>
                <w:sz w:val="18"/>
                <w:szCs w:val="20"/>
              </w:rPr>
            </w:pPr>
          </w:p>
        </w:tc>
        <w:tc>
          <w:tcPr>
            <w:tcW w:w="140" w:type="dxa"/>
          </w:tcPr>
          <w:p w14:paraId="6C2E91DB"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519E74F2" w14:textId="77777777" w:rsidR="00473B27" w:rsidRPr="0097675E" w:rsidRDefault="00473B27" w:rsidP="00A27D0C">
            <w:pPr>
              <w:tabs>
                <w:tab w:val="decimal" w:pos="113"/>
              </w:tabs>
              <w:spacing w:line="200" w:lineRule="exact"/>
              <w:ind w:left="57"/>
              <w:rPr>
                <w:sz w:val="18"/>
                <w:szCs w:val="20"/>
              </w:rPr>
            </w:pPr>
          </w:p>
        </w:tc>
        <w:tc>
          <w:tcPr>
            <w:tcW w:w="140" w:type="dxa"/>
          </w:tcPr>
          <w:p w14:paraId="46F94174"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6350DB4D" w14:textId="77777777" w:rsidR="00473B27" w:rsidRPr="0097675E" w:rsidRDefault="00473B27" w:rsidP="00A27D0C">
            <w:pPr>
              <w:tabs>
                <w:tab w:val="decimal" w:pos="113"/>
              </w:tabs>
              <w:spacing w:line="200" w:lineRule="exact"/>
              <w:ind w:left="57"/>
              <w:rPr>
                <w:sz w:val="18"/>
                <w:szCs w:val="20"/>
              </w:rPr>
            </w:pPr>
          </w:p>
        </w:tc>
        <w:tc>
          <w:tcPr>
            <w:tcW w:w="110" w:type="dxa"/>
          </w:tcPr>
          <w:p w14:paraId="2FFA02D9" w14:textId="77777777" w:rsidR="00473B27" w:rsidRPr="0097675E" w:rsidRDefault="00473B27" w:rsidP="00A27D0C">
            <w:pPr>
              <w:tabs>
                <w:tab w:val="decimal" w:pos="113"/>
              </w:tabs>
              <w:spacing w:line="200" w:lineRule="exact"/>
              <w:ind w:left="57"/>
              <w:rPr>
                <w:sz w:val="18"/>
                <w:szCs w:val="20"/>
              </w:rPr>
            </w:pPr>
          </w:p>
        </w:tc>
        <w:tc>
          <w:tcPr>
            <w:tcW w:w="804" w:type="dxa"/>
            <w:tcBorders>
              <w:bottom w:val="single" w:sz="6" w:space="0" w:color="auto"/>
            </w:tcBorders>
            <w:shd w:val="clear" w:color="auto" w:fill="auto"/>
            <w:vAlign w:val="bottom"/>
          </w:tcPr>
          <w:p w14:paraId="254C0B90" w14:textId="77777777" w:rsidR="00473B27" w:rsidRPr="0097675E" w:rsidRDefault="00473B27" w:rsidP="00A27D0C">
            <w:pPr>
              <w:tabs>
                <w:tab w:val="decimal" w:pos="113"/>
              </w:tabs>
              <w:spacing w:line="200" w:lineRule="exact"/>
              <w:ind w:left="57"/>
              <w:rPr>
                <w:sz w:val="18"/>
                <w:szCs w:val="20"/>
              </w:rPr>
            </w:pPr>
          </w:p>
        </w:tc>
      </w:tr>
      <w:tr w:rsidR="00473B27" w:rsidRPr="0097675E" w14:paraId="0BD886E4" w14:textId="77777777" w:rsidTr="00A27D0C">
        <w:tc>
          <w:tcPr>
            <w:tcW w:w="2127" w:type="dxa"/>
            <w:vAlign w:val="bottom"/>
          </w:tcPr>
          <w:p w14:paraId="2EFC850E" w14:textId="77777777" w:rsidR="00473B27" w:rsidRPr="00E72837" w:rsidRDefault="00473B27" w:rsidP="00A27D0C">
            <w:pPr>
              <w:pStyle w:val="a3"/>
              <w:widowControl/>
              <w:tabs>
                <w:tab w:val="left" w:pos="227"/>
                <w:tab w:val="left" w:pos="397"/>
                <w:tab w:val="left" w:pos="567"/>
              </w:tabs>
              <w:spacing w:line="200" w:lineRule="exact"/>
              <w:ind w:left="0"/>
              <w:rPr>
                <w:sz w:val="16"/>
                <w:szCs w:val="18"/>
                <w:rtl/>
              </w:rPr>
            </w:pPr>
          </w:p>
        </w:tc>
        <w:tc>
          <w:tcPr>
            <w:tcW w:w="113" w:type="dxa"/>
          </w:tcPr>
          <w:p w14:paraId="288943A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34F42D4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67A336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vAlign w:val="bottom"/>
          </w:tcPr>
          <w:p w14:paraId="6912766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0455C0B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68CED7C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23939C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486A2F2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C9FDD4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0BF9058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6B54BA0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6" w:space="0" w:color="auto"/>
            </w:tcBorders>
            <w:vAlign w:val="bottom"/>
          </w:tcPr>
          <w:p w14:paraId="2C71265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71716B16" w14:textId="77777777" w:rsidTr="00A27D0C">
        <w:tc>
          <w:tcPr>
            <w:tcW w:w="2127" w:type="dxa"/>
            <w:vAlign w:val="bottom"/>
          </w:tcPr>
          <w:p w14:paraId="0CBB7D8C"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רווח (הפסד) לפני מסים על ההכנסה</w:t>
            </w:r>
          </w:p>
        </w:tc>
        <w:tc>
          <w:tcPr>
            <w:tcW w:w="113" w:type="dxa"/>
          </w:tcPr>
          <w:p w14:paraId="0FCC177D"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shd w:val="clear" w:color="auto" w:fill="auto"/>
            <w:vAlign w:val="bottom"/>
          </w:tcPr>
          <w:p w14:paraId="23ADCFA8" w14:textId="77777777" w:rsidR="00473B27" w:rsidRPr="0097675E" w:rsidRDefault="00473B27" w:rsidP="00A27D0C">
            <w:pPr>
              <w:tabs>
                <w:tab w:val="decimal" w:pos="113"/>
              </w:tabs>
              <w:spacing w:line="200" w:lineRule="exact"/>
              <w:ind w:left="57"/>
              <w:rPr>
                <w:sz w:val="18"/>
                <w:szCs w:val="20"/>
              </w:rPr>
            </w:pPr>
          </w:p>
        </w:tc>
        <w:tc>
          <w:tcPr>
            <w:tcW w:w="140" w:type="dxa"/>
          </w:tcPr>
          <w:p w14:paraId="5E04312D" w14:textId="77777777" w:rsidR="00473B27" w:rsidRPr="0097675E" w:rsidRDefault="00473B27" w:rsidP="00A27D0C">
            <w:pPr>
              <w:tabs>
                <w:tab w:val="decimal" w:pos="113"/>
              </w:tabs>
              <w:spacing w:line="200" w:lineRule="exact"/>
              <w:ind w:left="57"/>
              <w:rPr>
                <w:sz w:val="18"/>
                <w:szCs w:val="20"/>
              </w:rPr>
            </w:pPr>
          </w:p>
        </w:tc>
        <w:tc>
          <w:tcPr>
            <w:tcW w:w="1043" w:type="dxa"/>
            <w:shd w:val="clear" w:color="auto" w:fill="auto"/>
            <w:vAlign w:val="bottom"/>
          </w:tcPr>
          <w:p w14:paraId="61DF80AF" w14:textId="77777777" w:rsidR="00473B27" w:rsidRPr="0097675E" w:rsidRDefault="00473B27" w:rsidP="00A27D0C">
            <w:pPr>
              <w:tabs>
                <w:tab w:val="decimal" w:pos="113"/>
              </w:tabs>
              <w:spacing w:line="200" w:lineRule="exact"/>
              <w:ind w:left="57"/>
              <w:rPr>
                <w:sz w:val="18"/>
                <w:szCs w:val="20"/>
              </w:rPr>
            </w:pPr>
          </w:p>
        </w:tc>
        <w:tc>
          <w:tcPr>
            <w:tcW w:w="140" w:type="dxa"/>
          </w:tcPr>
          <w:p w14:paraId="5658A4A5"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21B13D70" w14:textId="77777777" w:rsidR="00473B27" w:rsidRPr="0097675E" w:rsidRDefault="00473B27" w:rsidP="00A27D0C">
            <w:pPr>
              <w:tabs>
                <w:tab w:val="decimal" w:pos="113"/>
              </w:tabs>
              <w:spacing w:line="200" w:lineRule="exact"/>
              <w:ind w:left="57"/>
              <w:rPr>
                <w:sz w:val="18"/>
                <w:szCs w:val="20"/>
              </w:rPr>
            </w:pPr>
          </w:p>
        </w:tc>
        <w:tc>
          <w:tcPr>
            <w:tcW w:w="140" w:type="dxa"/>
          </w:tcPr>
          <w:p w14:paraId="278EAFF4"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2800FB4F" w14:textId="77777777" w:rsidR="00473B27" w:rsidRPr="0097675E" w:rsidRDefault="00473B27" w:rsidP="00A27D0C">
            <w:pPr>
              <w:tabs>
                <w:tab w:val="decimal" w:pos="113"/>
              </w:tabs>
              <w:spacing w:line="200" w:lineRule="exact"/>
              <w:ind w:left="57"/>
              <w:rPr>
                <w:sz w:val="18"/>
                <w:szCs w:val="20"/>
              </w:rPr>
            </w:pPr>
          </w:p>
        </w:tc>
        <w:tc>
          <w:tcPr>
            <w:tcW w:w="140" w:type="dxa"/>
          </w:tcPr>
          <w:p w14:paraId="48B5CD1B"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018A629F" w14:textId="77777777" w:rsidR="00473B27" w:rsidRPr="0097675E" w:rsidRDefault="00473B27" w:rsidP="00A27D0C">
            <w:pPr>
              <w:tabs>
                <w:tab w:val="decimal" w:pos="113"/>
              </w:tabs>
              <w:spacing w:line="200" w:lineRule="exact"/>
              <w:ind w:left="57"/>
              <w:rPr>
                <w:sz w:val="18"/>
                <w:szCs w:val="20"/>
              </w:rPr>
            </w:pPr>
          </w:p>
        </w:tc>
        <w:tc>
          <w:tcPr>
            <w:tcW w:w="110" w:type="dxa"/>
          </w:tcPr>
          <w:p w14:paraId="34F63120" w14:textId="77777777" w:rsidR="00473B27" w:rsidRPr="0097675E" w:rsidRDefault="00473B27" w:rsidP="00A27D0C">
            <w:pPr>
              <w:tabs>
                <w:tab w:val="decimal" w:pos="113"/>
              </w:tabs>
              <w:spacing w:line="200" w:lineRule="exact"/>
              <w:ind w:left="57"/>
              <w:rPr>
                <w:sz w:val="18"/>
                <w:szCs w:val="20"/>
              </w:rPr>
            </w:pPr>
          </w:p>
        </w:tc>
        <w:tc>
          <w:tcPr>
            <w:tcW w:w="804" w:type="dxa"/>
            <w:tcBorders>
              <w:bottom w:val="double" w:sz="6" w:space="0" w:color="auto"/>
            </w:tcBorders>
            <w:shd w:val="clear" w:color="auto" w:fill="auto"/>
            <w:vAlign w:val="bottom"/>
          </w:tcPr>
          <w:p w14:paraId="63C7576A" w14:textId="77777777" w:rsidR="00473B27" w:rsidRPr="0097675E" w:rsidRDefault="00473B27" w:rsidP="00A27D0C">
            <w:pPr>
              <w:tabs>
                <w:tab w:val="decimal" w:pos="113"/>
              </w:tabs>
              <w:spacing w:line="200" w:lineRule="exact"/>
              <w:ind w:left="57"/>
              <w:rPr>
                <w:sz w:val="18"/>
                <w:szCs w:val="20"/>
              </w:rPr>
            </w:pPr>
          </w:p>
        </w:tc>
      </w:tr>
    </w:tbl>
    <w:p w14:paraId="2EC7725C" w14:textId="5DA8E726" w:rsidR="00526253" w:rsidRPr="00473B27" w:rsidRDefault="00526253">
      <w:pPr>
        <w:rPr>
          <w:rtl/>
        </w:rPr>
      </w:pPr>
    </w:p>
    <w:p w14:paraId="6C90F05A" w14:textId="77777777" w:rsidR="0047433B" w:rsidRDefault="0047433B" w:rsidP="00526253">
      <w:pPr>
        <w:pStyle w:val="11"/>
        <w:rPr>
          <w:rtl/>
        </w:rPr>
      </w:pPr>
    </w:p>
    <w:p w14:paraId="2429271B" w14:textId="77777777" w:rsidR="00A27D0C" w:rsidRDefault="00A27D0C" w:rsidP="00526253">
      <w:pPr>
        <w:pStyle w:val="11"/>
        <w:rPr>
          <w:rtl/>
        </w:rPr>
      </w:pPr>
    </w:p>
    <w:p w14:paraId="59CDF5E6" w14:textId="77777777" w:rsidR="00A27D0C" w:rsidRDefault="00A27D0C" w:rsidP="00526253">
      <w:pPr>
        <w:pStyle w:val="11"/>
        <w:rPr>
          <w:rtl/>
        </w:rPr>
      </w:pPr>
    </w:p>
    <w:p w14:paraId="4D5F5025" w14:textId="77777777" w:rsidR="00A27D0C" w:rsidRDefault="00A27D0C" w:rsidP="00526253">
      <w:pPr>
        <w:pStyle w:val="11"/>
        <w:rPr>
          <w:rtl/>
        </w:rPr>
      </w:pPr>
    </w:p>
    <w:p w14:paraId="5C92823E" w14:textId="77777777" w:rsidR="00A27D0C" w:rsidRDefault="00A27D0C" w:rsidP="00526253">
      <w:pPr>
        <w:pStyle w:val="11"/>
        <w:rPr>
          <w:rtl/>
        </w:rPr>
      </w:pPr>
    </w:p>
    <w:p w14:paraId="7B9B6674" w14:textId="77777777" w:rsidR="00A27D0C" w:rsidRDefault="00A27D0C" w:rsidP="00526253">
      <w:pPr>
        <w:pStyle w:val="11"/>
        <w:rPr>
          <w:rtl/>
        </w:rPr>
      </w:pPr>
    </w:p>
    <w:p w14:paraId="13B6597E" w14:textId="77777777" w:rsidR="00A27D0C" w:rsidRDefault="00A27D0C" w:rsidP="00526253">
      <w:pPr>
        <w:pStyle w:val="11"/>
        <w:rPr>
          <w:rtl/>
        </w:rPr>
      </w:pPr>
    </w:p>
    <w:p w14:paraId="5593F93C" w14:textId="77777777" w:rsidR="00A27D0C" w:rsidRDefault="00A27D0C" w:rsidP="00526253">
      <w:pPr>
        <w:pStyle w:val="11"/>
        <w:rPr>
          <w:rtl/>
        </w:rPr>
      </w:pPr>
    </w:p>
    <w:p w14:paraId="376F8505" w14:textId="77777777" w:rsidR="00E72837" w:rsidRDefault="00E72837" w:rsidP="00526253">
      <w:pPr>
        <w:pStyle w:val="11"/>
        <w:rPr>
          <w:rtl/>
        </w:rPr>
      </w:pPr>
    </w:p>
    <w:p w14:paraId="0F61AA81" w14:textId="77777777" w:rsidR="003D46A8" w:rsidRDefault="00526253">
      <w:pPr>
        <w:pStyle w:val="11"/>
        <w:rPr>
          <w:rtl/>
        </w:rPr>
      </w:pPr>
      <w:bookmarkStart w:id="54" w:name="_Toc290213644"/>
      <w:r>
        <w:rPr>
          <w:rFonts w:hint="cs"/>
          <w:rtl/>
        </w:rPr>
        <w:t xml:space="preserve">באור </w:t>
      </w:r>
      <w:r w:rsidR="00DB3160">
        <w:rPr>
          <w:rFonts w:hint="cs"/>
          <w:rtl/>
        </w:rPr>
        <w:t>16</w:t>
      </w:r>
      <w:r>
        <w:rPr>
          <w:rFonts w:hint="cs"/>
          <w:rtl/>
        </w:rPr>
        <w:t>: -</w:t>
      </w:r>
      <w:r>
        <w:rPr>
          <w:rFonts w:hint="cs"/>
          <w:rtl/>
        </w:rPr>
        <w:tab/>
      </w:r>
      <w:r>
        <w:rPr>
          <w:rFonts w:hint="cs"/>
          <w:u w:val="single"/>
          <w:rtl/>
        </w:rPr>
        <w:t>מגזרי פעילות</w:t>
      </w:r>
      <w:r>
        <w:rPr>
          <w:rFonts w:hint="cs"/>
          <w:rtl/>
        </w:rPr>
        <w:t xml:space="preserve"> (המשך)</w:t>
      </w:r>
      <w:bookmarkEnd w:id="54"/>
    </w:p>
    <w:tbl>
      <w:tblPr>
        <w:bidiVisual/>
        <w:tblW w:w="8116" w:type="dxa"/>
        <w:tblInd w:w="1700" w:type="dxa"/>
        <w:tblLayout w:type="fixed"/>
        <w:tblCellMar>
          <w:left w:w="0" w:type="dxa"/>
          <w:right w:w="0" w:type="dxa"/>
        </w:tblCellMar>
        <w:tblLook w:val="0000" w:firstRow="0" w:lastRow="0" w:firstColumn="0" w:lastColumn="0" w:noHBand="0" w:noVBand="0"/>
      </w:tblPr>
      <w:tblGrid>
        <w:gridCol w:w="2435"/>
        <w:gridCol w:w="85"/>
        <w:gridCol w:w="804"/>
        <w:gridCol w:w="140"/>
        <w:gridCol w:w="930"/>
        <w:gridCol w:w="113"/>
        <w:gridCol w:w="804"/>
        <w:gridCol w:w="140"/>
        <w:gridCol w:w="804"/>
        <w:gridCol w:w="140"/>
        <w:gridCol w:w="820"/>
        <w:gridCol w:w="94"/>
        <w:gridCol w:w="807"/>
      </w:tblGrid>
      <w:tr w:rsidR="00BB6998" w:rsidRPr="0031447D" w14:paraId="5FF8592B" w14:textId="77777777" w:rsidTr="00BF3BAF">
        <w:tc>
          <w:tcPr>
            <w:tcW w:w="2435" w:type="dxa"/>
            <w:vAlign w:val="bottom"/>
          </w:tcPr>
          <w:p w14:paraId="47D54FD7" w14:textId="77777777" w:rsidR="00BB6998" w:rsidRPr="0031447D" w:rsidRDefault="00BB6998" w:rsidP="001958C9">
            <w:pPr>
              <w:pStyle w:val="a3"/>
              <w:tabs>
                <w:tab w:val="left" w:pos="227"/>
                <w:tab w:val="left" w:pos="397"/>
                <w:tab w:val="left" w:pos="567"/>
              </w:tabs>
              <w:spacing w:line="180" w:lineRule="exact"/>
              <w:jc w:val="center"/>
              <w:rPr>
                <w:sz w:val="18"/>
                <w:szCs w:val="18"/>
              </w:rPr>
            </w:pPr>
          </w:p>
        </w:tc>
        <w:tc>
          <w:tcPr>
            <w:tcW w:w="85" w:type="dxa"/>
          </w:tcPr>
          <w:p w14:paraId="5D64D966" w14:textId="77777777" w:rsidR="00BB6998" w:rsidRPr="0031447D" w:rsidRDefault="00BB6998" w:rsidP="001958C9">
            <w:pPr>
              <w:pStyle w:val="a3"/>
              <w:tabs>
                <w:tab w:val="left" w:pos="227"/>
                <w:tab w:val="left" w:pos="397"/>
                <w:tab w:val="left" w:pos="567"/>
              </w:tabs>
              <w:spacing w:line="180" w:lineRule="exact"/>
              <w:ind w:left="227" w:hanging="397"/>
              <w:jc w:val="center"/>
              <w:rPr>
                <w:sz w:val="18"/>
                <w:szCs w:val="18"/>
              </w:rPr>
            </w:pPr>
          </w:p>
        </w:tc>
        <w:tc>
          <w:tcPr>
            <w:tcW w:w="804" w:type="dxa"/>
            <w:tcBorders>
              <w:top w:val="nil"/>
              <w:left w:val="nil"/>
              <w:bottom w:val="single" w:sz="6" w:space="0" w:color="auto"/>
              <w:right w:val="nil"/>
            </w:tcBorders>
            <w:vAlign w:val="bottom"/>
          </w:tcPr>
          <w:p w14:paraId="00F50649" w14:textId="77777777" w:rsidR="00BB6998" w:rsidRPr="0031447D" w:rsidRDefault="00BB6998" w:rsidP="001958C9">
            <w:pPr>
              <w:spacing w:line="180" w:lineRule="exact"/>
              <w:jc w:val="center"/>
              <w:rPr>
                <w:b/>
                <w:sz w:val="18"/>
                <w:szCs w:val="18"/>
              </w:rPr>
            </w:pPr>
            <w:r w:rsidRPr="0031447D">
              <w:rPr>
                <w:rFonts w:hint="cs"/>
                <w:b/>
                <w:sz w:val="18"/>
                <w:szCs w:val="18"/>
                <w:rtl/>
              </w:rPr>
              <w:t>מגזר ציוד למניעת שריפות</w:t>
            </w:r>
          </w:p>
        </w:tc>
        <w:tc>
          <w:tcPr>
            <w:tcW w:w="140" w:type="dxa"/>
            <w:vAlign w:val="bottom"/>
          </w:tcPr>
          <w:p w14:paraId="52FEC508" w14:textId="77777777" w:rsidR="00BB6998" w:rsidRPr="0031447D" w:rsidRDefault="00BB6998" w:rsidP="001958C9">
            <w:pPr>
              <w:spacing w:line="180" w:lineRule="exact"/>
              <w:jc w:val="center"/>
              <w:rPr>
                <w:sz w:val="18"/>
                <w:szCs w:val="18"/>
              </w:rPr>
            </w:pPr>
          </w:p>
        </w:tc>
        <w:tc>
          <w:tcPr>
            <w:tcW w:w="930" w:type="dxa"/>
            <w:tcBorders>
              <w:top w:val="nil"/>
              <w:left w:val="nil"/>
              <w:bottom w:val="single" w:sz="6" w:space="0" w:color="auto"/>
              <w:right w:val="nil"/>
            </w:tcBorders>
            <w:vAlign w:val="bottom"/>
          </w:tcPr>
          <w:p w14:paraId="12D9ABB0" w14:textId="77777777" w:rsidR="00BB6998" w:rsidRPr="0031447D" w:rsidRDefault="00BB6998" w:rsidP="001958C9">
            <w:pPr>
              <w:spacing w:line="180" w:lineRule="exact"/>
              <w:jc w:val="center"/>
              <w:rPr>
                <w:b/>
                <w:sz w:val="18"/>
                <w:szCs w:val="18"/>
              </w:rPr>
            </w:pPr>
            <w:r w:rsidRPr="0031447D">
              <w:rPr>
                <w:rFonts w:hint="cs"/>
                <w:b/>
                <w:sz w:val="18"/>
                <w:szCs w:val="18"/>
                <w:rtl/>
              </w:rPr>
              <w:t>מגזר אלקטרוניקה</w:t>
            </w:r>
          </w:p>
        </w:tc>
        <w:tc>
          <w:tcPr>
            <w:tcW w:w="113" w:type="dxa"/>
            <w:vAlign w:val="bottom"/>
          </w:tcPr>
          <w:p w14:paraId="439C2D78" w14:textId="77777777" w:rsidR="00BB6998" w:rsidRPr="0031447D" w:rsidRDefault="00BB6998" w:rsidP="001958C9">
            <w:pPr>
              <w:spacing w:line="180" w:lineRule="exact"/>
              <w:jc w:val="center"/>
              <w:rPr>
                <w:sz w:val="18"/>
                <w:szCs w:val="18"/>
              </w:rPr>
            </w:pPr>
          </w:p>
        </w:tc>
        <w:tc>
          <w:tcPr>
            <w:tcW w:w="804" w:type="dxa"/>
            <w:tcBorders>
              <w:top w:val="nil"/>
              <w:left w:val="nil"/>
              <w:bottom w:val="single" w:sz="6" w:space="0" w:color="auto"/>
              <w:right w:val="nil"/>
            </w:tcBorders>
            <w:vAlign w:val="bottom"/>
          </w:tcPr>
          <w:p w14:paraId="598926B7" w14:textId="77777777" w:rsidR="00BB6998" w:rsidRPr="0031447D" w:rsidRDefault="00BB6998" w:rsidP="001958C9">
            <w:pPr>
              <w:spacing w:line="180" w:lineRule="exact"/>
              <w:jc w:val="center"/>
              <w:rPr>
                <w:b/>
                <w:sz w:val="18"/>
                <w:szCs w:val="18"/>
              </w:rPr>
            </w:pPr>
            <w:r w:rsidRPr="0031447D">
              <w:rPr>
                <w:rFonts w:hint="cs"/>
                <w:b/>
                <w:sz w:val="18"/>
                <w:szCs w:val="18"/>
                <w:rtl/>
              </w:rPr>
              <w:t>מגזר נדל"ן להשקעה</w:t>
            </w:r>
          </w:p>
        </w:tc>
        <w:tc>
          <w:tcPr>
            <w:tcW w:w="140" w:type="dxa"/>
            <w:vAlign w:val="bottom"/>
          </w:tcPr>
          <w:p w14:paraId="7D9F1750" w14:textId="77777777" w:rsidR="00BB6998" w:rsidRPr="0031447D" w:rsidRDefault="00BB6998" w:rsidP="001958C9">
            <w:pPr>
              <w:spacing w:line="180" w:lineRule="exact"/>
              <w:jc w:val="center"/>
              <w:rPr>
                <w:sz w:val="18"/>
                <w:szCs w:val="18"/>
              </w:rPr>
            </w:pPr>
          </w:p>
        </w:tc>
        <w:tc>
          <w:tcPr>
            <w:tcW w:w="804" w:type="dxa"/>
            <w:tcBorders>
              <w:top w:val="nil"/>
              <w:left w:val="nil"/>
              <w:bottom w:val="single" w:sz="6" w:space="0" w:color="auto"/>
              <w:right w:val="nil"/>
            </w:tcBorders>
            <w:vAlign w:val="bottom"/>
          </w:tcPr>
          <w:p w14:paraId="5B4E5A49" w14:textId="77777777" w:rsidR="00BB6998" w:rsidRPr="0031447D" w:rsidRDefault="00BB6998" w:rsidP="001958C9">
            <w:pPr>
              <w:spacing w:line="180" w:lineRule="exact"/>
              <w:jc w:val="center"/>
              <w:rPr>
                <w:sz w:val="18"/>
                <w:szCs w:val="18"/>
              </w:rPr>
            </w:pPr>
            <w:r w:rsidRPr="0031447D">
              <w:rPr>
                <w:rFonts w:hint="cs"/>
                <w:sz w:val="18"/>
                <w:szCs w:val="18"/>
                <w:rtl/>
              </w:rPr>
              <w:t>פעילויות אחרות</w:t>
            </w:r>
          </w:p>
        </w:tc>
        <w:tc>
          <w:tcPr>
            <w:tcW w:w="140" w:type="dxa"/>
            <w:vAlign w:val="bottom"/>
          </w:tcPr>
          <w:p w14:paraId="67EA9708" w14:textId="77777777" w:rsidR="00BB6998" w:rsidRPr="0031447D" w:rsidRDefault="00BB6998" w:rsidP="001958C9">
            <w:pPr>
              <w:spacing w:line="180" w:lineRule="exact"/>
              <w:jc w:val="center"/>
              <w:rPr>
                <w:sz w:val="18"/>
                <w:szCs w:val="18"/>
              </w:rPr>
            </w:pPr>
          </w:p>
        </w:tc>
        <w:tc>
          <w:tcPr>
            <w:tcW w:w="820" w:type="dxa"/>
            <w:tcBorders>
              <w:top w:val="nil"/>
              <w:left w:val="nil"/>
              <w:bottom w:val="single" w:sz="6" w:space="0" w:color="auto"/>
              <w:right w:val="nil"/>
            </w:tcBorders>
            <w:vAlign w:val="bottom"/>
          </w:tcPr>
          <w:p w14:paraId="2DB0F90E" w14:textId="77777777" w:rsidR="00BB6998" w:rsidRPr="0031447D" w:rsidRDefault="00BB6998" w:rsidP="001958C9">
            <w:pPr>
              <w:spacing w:line="180" w:lineRule="exact"/>
              <w:jc w:val="center"/>
              <w:rPr>
                <w:sz w:val="18"/>
                <w:szCs w:val="18"/>
              </w:rPr>
            </w:pPr>
            <w:r w:rsidRPr="0031447D">
              <w:rPr>
                <w:rFonts w:hint="cs"/>
                <w:sz w:val="18"/>
                <w:szCs w:val="18"/>
                <w:rtl/>
              </w:rPr>
              <w:t>התאמות</w:t>
            </w:r>
            <w:r w:rsidRPr="0031447D">
              <w:rPr>
                <w:rStyle w:val="ab"/>
                <w:sz w:val="18"/>
                <w:szCs w:val="18"/>
              </w:rPr>
              <w:footnoteReference w:id="114"/>
            </w:r>
          </w:p>
        </w:tc>
        <w:tc>
          <w:tcPr>
            <w:tcW w:w="94" w:type="dxa"/>
            <w:vAlign w:val="bottom"/>
          </w:tcPr>
          <w:p w14:paraId="794F5E2E" w14:textId="77777777" w:rsidR="00BB6998" w:rsidRPr="0031447D" w:rsidRDefault="00BB6998" w:rsidP="001958C9">
            <w:pPr>
              <w:spacing w:line="180" w:lineRule="exact"/>
              <w:jc w:val="center"/>
              <w:rPr>
                <w:sz w:val="18"/>
                <w:szCs w:val="18"/>
              </w:rPr>
            </w:pPr>
          </w:p>
        </w:tc>
        <w:tc>
          <w:tcPr>
            <w:tcW w:w="807" w:type="dxa"/>
            <w:tcBorders>
              <w:top w:val="nil"/>
              <w:left w:val="nil"/>
              <w:bottom w:val="single" w:sz="6" w:space="0" w:color="auto"/>
              <w:right w:val="nil"/>
            </w:tcBorders>
            <w:vAlign w:val="bottom"/>
          </w:tcPr>
          <w:p w14:paraId="74DD1194" w14:textId="77777777" w:rsidR="00BB6998" w:rsidRPr="0031447D" w:rsidRDefault="00BB6998" w:rsidP="001958C9">
            <w:pPr>
              <w:spacing w:line="180" w:lineRule="exact"/>
              <w:jc w:val="center"/>
              <w:rPr>
                <w:sz w:val="18"/>
                <w:szCs w:val="18"/>
              </w:rPr>
            </w:pPr>
            <w:r w:rsidRPr="0031447D">
              <w:rPr>
                <w:rFonts w:hint="cs"/>
                <w:sz w:val="18"/>
                <w:szCs w:val="18"/>
                <w:rtl/>
              </w:rPr>
              <w:t>סה"כ</w:t>
            </w:r>
          </w:p>
        </w:tc>
      </w:tr>
      <w:tr w:rsidR="00BB6998" w:rsidRPr="0031447D" w14:paraId="65E87A96" w14:textId="77777777" w:rsidTr="00BF3BAF">
        <w:tc>
          <w:tcPr>
            <w:tcW w:w="2435" w:type="dxa"/>
            <w:vAlign w:val="bottom"/>
          </w:tcPr>
          <w:p w14:paraId="5581B0F1" w14:textId="77777777" w:rsidR="00BB6998" w:rsidRPr="0031447D" w:rsidRDefault="00BB6998" w:rsidP="001958C9">
            <w:pPr>
              <w:pStyle w:val="a3"/>
              <w:tabs>
                <w:tab w:val="left" w:pos="227"/>
                <w:tab w:val="left" w:pos="397"/>
                <w:tab w:val="left" w:pos="567"/>
              </w:tabs>
              <w:spacing w:line="180" w:lineRule="exact"/>
              <w:jc w:val="center"/>
              <w:rPr>
                <w:sz w:val="18"/>
                <w:szCs w:val="18"/>
              </w:rPr>
            </w:pPr>
          </w:p>
        </w:tc>
        <w:tc>
          <w:tcPr>
            <w:tcW w:w="85" w:type="dxa"/>
          </w:tcPr>
          <w:p w14:paraId="6B6E0416" w14:textId="77777777" w:rsidR="00BB6998" w:rsidRPr="0031447D" w:rsidRDefault="00BB6998" w:rsidP="001958C9">
            <w:pPr>
              <w:pStyle w:val="a3"/>
              <w:tabs>
                <w:tab w:val="left" w:pos="227"/>
                <w:tab w:val="left" w:pos="397"/>
                <w:tab w:val="left" w:pos="567"/>
              </w:tabs>
              <w:spacing w:line="180" w:lineRule="exact"/>
              <w:ind w:left="227" w:hanging="397"/>
              <w:jc w:val="center"/>
              <w:rPr>
                <w:sz w:val="18"/>
                <w:szCs w:val="18"/>
              </w:rPr>
            </w:pPr>
          </w:p>
        </w:tc>
        <w:tc>
          <w:tcPr>
            <w:tcW w:w="5596" w:type="dxa"/>
            <w:gridSpan w:val="11"/>
            <w:tcBorders>
              <w:top w:val="nil"/>
              <w:left w:val="nil"/>
              <w:bottom w:val="single" w:sz="6" w:space="0" w:color="auto"/>
              <w:right w:val="nil"/>
            </w:tcBorders>
            <w:vAlign w:val="bottom"/>
          </w:tcPr>
          <w:p w14:paraId="769FA777" w14:textId="77777777" w:rsidR="00BB6998" w:rsidRPr="0031447D" w:rsidRDefault="00BB6998" w:rsidP="001958C9">
            <w:pPr>
              <w:pStyle w:val="af5"/>
              <w:pBdr>
                <w:bottom w:val="none" w:sz="0" w:space="0" w:color="auto"/>
              </w:pBdr>
              <w:spacing w:line="180" w:lineRule="exact"/>
              <w:rPr>
                <w:b w:val="0"/>
                <w:bCs w:val="0"/>
                <w:sz w:val="18"/>
                <w:szCs w:val="18"/>
              </w:rPr>
            </w:pPr>
            <w:r w:rsidRPr="0031447D">
              <w:rPr>
                <w:rFonts w:hint="cs"/>
                <w:b w:val="0"/>
                <w:bCs w:val="0"/>
                <w:sz w:val="18"/>
                <w:szCs w:val="18"/>
                <w:rtl/>
              </w:rPr>
              <w:t>בלתי מבוקר</w:t>
            </w:r>
          </w:p>
        </w:tc>
      </w:tr>
      <w:tr w:rsidR="00BB6998" w:rsidRPr="0031447D" w14:paraId="0A7C83BE" w14:textId="77777777" w:rsidTr="00BF3BAF">
        <w:tc>
          <w:tcPr>
            <w:tcW w:w="2435" w:type="dxa"/>
            <w:vAlign w:val="bottom"/>
          </w:tcPr>
          <w:p w14:paraId="22B3BE29" w14:textId="77777777" w:rsidR="00BB6998" w:rsidRPr="0031447D" w:rsidRDefault="00BB6998" w:rsidP="001958C9">
            <w:pPr>
              <w:pStyle w:val="a3"/>
              <w:tabs>
                <w:tab w:val="left" w:pos="227"/>
                <w:tab w:val="left" w:pos="397"/>
                <w:tab w:val="left" w:pos="567"/>
              </w:tabs>
              <w:spacing w:line="180" w:lineRule="exact"/>
              <w:jc w:val="center"/>
              <w:rPr>
                <w:sz w:val="18"/>
                <w:szCs w:val="18"/>
              </w:rPr>
            </w:pPr>
          </w:p>
        </w:tc>
        <w:tc>
          <w:tcPr>
            <w:tcW w:w="85" w:type="dxa"/>
          </w:tcPr>
          <w:p w14:paraId="6492F36C" w14:textId="77777777" w:rsidR="00BB6998" w:rsidRPr="0031447D" w:rsidRDefault="00BB6998" w:rsidP="001958C9">
            <w:pPr>
              <w:pStyle w:val="a3"/>
              <w:tabs>
                <w:tab w:val="left" w:pos="227"/>
                <w:tab w:val="left" w:pos="397"/>
                <w:tab w:val="left" w:pos="567"/>
              </w:tabs>
              <w:spacing w:line="180" w:lineRule="exact"/>
              <w:ind w:left="227" w:hanging="397"/>
              <w:jc w:val="center"/>
              <w:rPr>
                <w:sz w:val="18"/>
                <w:szCs w:val="18"/>
              </w:rPr>
            </w:pPr>
          </w:p>
        </w:tc>
        <w:tc>
          <w:tcPr>
            <w:tcW w:w="5596" w:type="dxa"/>
            <w:gridSpan w:val="11"/>
            <w:tcBorders>
              <w:top w:val="nil"/>
              <w:left w:val="nil"/>
              <w:bottom w:val="single" w:sz="6" w:space="0" w:color="auto"/>
              <w:right w:val="nil"/>
            </w:tcBorders>
            <w:vAlign w:val="bottom"/>
          </w:tcPr>
          <w:p w14:paraId="74916FD7" w14:textId="77777777" w:rsidR="00BB6998" w:rsidRPr="0031447D" w:rsidRDefault="00BB6998" w:rsidP="001958C9">
            <w:pPr>
              <w:pStyle w:val="af5"/>
              <w:pBdr>
                <w:bottom w:val="none" w:sz="0" w:space="0" w:color="auto"/>
              </w:pBdr>
              <w:spacing w:line="180" w:lineRule="exact"/>
              <w:rPr>
                <w:sz w:val="18"/>
                <w:szCs w:val="18"/>
              </w:rPr>
            </w:pPr>
            <w:r w:rsidRPr="0031447D">
              <w:rPr>
                <w:rFonts w:hint="cs"/>
                <w:b w:val="0"/>
                <w:bCs w:val="0"/>
                <w:sz w:val="18"/>
                <w:szCs w:val="18"/>
                <w:rtl/>
              </w:rPr>
              <w:t>אלפי ש"ח</w:t>
            </w:r>
          </w:p>
        </w:tc>
      </w:tr>
      <w:tr w:rsidR="00BB6998" w:rsidRPr="0031447D" w14:paraId="44655CBD" w14:textId="77777777" w:rsidTr="00BF3BAF">
        <w:tc>
          <w:tcPr>
            <w:tcW w:w="2435" w:type="dxa"/>
            <w:vAlign w:val="bottom"/>
          </w:tcPr>
          <w:p w14:paraId="65D6D495" w14:textId="42BF30EE" w:rsidR="00BB6998" w:rsidRPr="0031447D" w:rsidRDefault="00BB6998" w:rsidP="001958C9">
            <w:pPr>
              <w:pStyle w:val="a3"/>
              <w:tabs>
                <w:tab w:val="left" w:pos="567"/>
              </w:tabs>
              <w:spacing w:line="180" w:lineRule="exact"/>
              <w:rPr>
                <w:sz w:val="18"/>
                <w:szCs w:val="18"/>
                <w:u w:val="single"/>
              </w:rPr>
            </w:pPr>
          </w:p>
        </w:tc>
        <w:tc>
          <w:tcPr>
            <w:tcW w:w="85" w:type="dxa"/>
          </w:tcPr>
          <w:p w14:paraId="7DA639AF" w14:textId="77777777" w:rsidR="00BB6998" w:rsidRPr="0031447D" w:rsidRDefault="00BB6998" w:rsidP="001958C9">
            <w:pPr>
              <w:pStyle w:val="a3"/>
              <w:tabs>
                <w:tab w:val="left" w:pos="227"/>
                <w:tab w:val="left" w:pos="397"/>
                <w:tab w:val="left" w:pos="567"/>
              </w:tabs>
              <w:spacing w:line="180" w:lineRule="exact"/>
              <w:ind w:left="227" w:hanging="397"/>
              <w:rPr>
                <w:sz w:val="18"/>
                <w:szCs w:val="18"/>
              </w:rPr>
            </w:pPr>
          </w:p>
        </w:tc>
        <w:tc>
          <w:tcPr>
            <w:tcW w:w="804" w:type="dxa"/>
            <w:vAlign w:val="bottom"/>
          </w:tcPr>
          <w:p w14:paraId="6CFFDB71" w14:textId="77777777" w:rsidR="00BB6998" w:rsidRPr="0031447D" w:rsidRDefault="00BB6998" w:rsidP="001958C9">
            <w:pPr>
              <w:tabs>
                <w:tab w:val="decimal" w:pos="113"/>
              </w:tabs>
              <w:spacing w:line="180" w:lineRule="exact"/>
              <w:ind w:left="57"/>
              <w:rPr>
                <w:sz w:val="18"/>
                <w:szCs w:val="18"/>
              </w:rPr>
            </w:pPr>
          </w:p>
        </w:tc>
        <w:tc>
          <w:tcPr>
            <w:tcW w:w="140" w:type="dxa"/>
          </w:tcPr>
          <w:p w14:paraId="2E927B68" w14:textId="77777777" w:rsidR="00BB6998" w:rsidRPr="0031447D" w:rsidRDefault="00BB6998" w:rsidP="001958C9">
            <w:pPr>
              <w:tabs>
                <w:tab w:val="decimal" w:pos="113"/>
              </w:tabs>
              <w:spacing w:line="180" w:lineRule="exact"/>
              <w:ind w:left="57"/>
              <w:rPr>
                <w:sz w:val="18"/>
                <w:szCs w:val="18"/>
              </w:rPr>
            </w:pPr>
          </w:p>
        </w:tc>
        <w:tc>
          <w:tcPr>
            <w:tcW w:w="930" w:type="dxa"/>
            <w:vAlign w:val="bottom"/>
          </w:tcPr>
          <w:p w14:paraId="44951A46" w14:textId="77777777" w:rsidR="00BB6998" w:rsidRPr="0031447D" w:rsidRDefault="00BB6998" w:rsidP="001958C9">
            <w:pPr>
              <w:tabs>
                <w:tab w:val="decimal" w:pos="113"/>
              </w:tabs>
              <w:spacing w:line="180" w:lineRule="exact"/>
              <w:ind w:left="57"/>
              <w:rPr>
                <w:sz w:val="18"/>
                <w:szCs w:val="18"/>
              </w:rPr>
            </w:pPr>
          </w:p>
        </w:tc>
        <w:tc>
          <w:tcPr>
            <w:tcW w:w="113" w:type="dxa"/>
          </w:tcPr>
          <w:p w14:paraId="271DD2F0" w14:textId="77777777" w:rsidR="00BB6998" w:rsidRPr="0031447D" w:rsidRDefault="00BB6998" w:rsidP="001958C9">
            <w:pPr>
              <w:tabs>
                <w:tab w:val="decimal" w:pos="113"/>
              </w:tabs>
              <w:spacing w:line="180" w:lineRule="exact"/>
              <w:ind w:left="57"/>
              <w:rPr>
                <w:sz w:val="18"/>
                <w:szCs w:val="18"/>
              </w:rPr>
            </w:pPr>
          </w:p>
        </w:tc>
        <w:tc>
          <w:tcPr>
            <w:tcW w:w="804" w:type="dxa"/>
            <w:vAlign w:val="bottom"/>
          </w:tcPr>
          <w:p w14:paraId="3E31FD0E" w14:textId="77777777" w:rsidR="00BB6998" w:rsidRPr="0031447D" w:rsidRDefault="00BB6998" w:rsidP="001958C9">
            <w:pPr>
              <w:tabs>
                <w:tab w:val="decimal" w:pos="113"/>
              </w:tabs>
              <w:spacing w:line="180" w:lineRule="exact"/>
              <w:ind w:left="57"/>
              <w:rPr>
                <w:sz w:val="18"/>
                <w:szCs w:val="18"/>
              </w:rPr>
            </w:pPr>
          </w:p>
        </w:tc>
        <w:tc>
          <w:tcPr>
            <w:tcW w:w="140" w:type="dxa"/>
          </w:tcPr>
          <w:p w14:paraId="1EC5E0F3" w14:textId="77777777" w:rsidR="00BB6998" w:rsidRPr="0031447D" w:rsidRDefault="00BB6998" w:rsidP="001958C9">
            <w:pPr>
              <w:tabs>
                <w:tab w:val="decimal" w:pos="113"/>
              </w:tabs>
              <w:spacing w:line="180" w:lineRule="exact"/>
              <w:ind w:left="57"/>
              <w:rPr>
                <w:sz w:val="18"/>
                <w:szCs w:val="18"/>
              </w:rPr>
            </w:pPr>
          </w:p>
        </w:tc>
        <w:tc>
          <w:tcPr>
            <w:tcW w:w="804" w:type="dxa"/>
            <w:vAlign w:val="bottom"/>
          </w:tcPr>
          <w:p w14:paraId="28537C1B" w14:textId="77777777" w:rsidR="00BB6998" w:rsidRPr="0031447D" w:rsidRDefault="00BB6998" w:rsidP="001958C9">
            <w:pPr>
              <w:tabs>
                <w:tab w:val="decimal" w:pos="113"/>
              </w:tabs>
              <w:spacing w:line="180" w:lineRule="exact"/>
              <w:ind w:left="57"/>
              <w:rPr>
                <w:sz w:val="18"/>
                <w:szCs w:val="18"/>
              </w:rPr>
            </w:pPr>
          </w:p>
        </w:tc>
        <w:tc>
          <w:tcPr>
            <w:tcW w:w="140" w:type="dxa"/>
          </w:tcPr>
          <w:p w14:paraId="25CCE9A2" w14:textId="77777777" w:rsidR="00BB6998" w:rsidRPr="0031447D" w:rsidRDefault="00BB6998" w:rsidP="001958C9">
            <w:pPr>
              <w:tabs>
                <w:tab w:val="decimal" w:pos="113"/>
              </w:tabs>
              <w:spacing w:line="180" w:lineRule="exact"/>
              <w:ind w:left="57"/>
              <w:rPr>
                <w:sz w:val="18"/>
                <w:szCs w:val="18"/>
              </w:rPr>
            </w:pPr>
          </w:p>
        </w:tc>
        <w:tc>
          <w:tcPr>
            <w:tcW w:w="820" w:type="dxa"/>
            <w:vAlign w:val="bottom"/>
          </w:tcPr>
          <w:p w14:paraId="412BACD1" w14:textId="77777777" w:rsidR="00BB6998" w:rsidRPr="0031447D" w:rsidRDefault="00BB6998" w:rsidP="001958C9">
            <w:pPr>
              <w:tabs>
                <w:tab w:val="decimal" w:pos="113"/>
              </w:tabs>
              <w:spacing w:line="180" w:lineRule="exact"/>
              <w:ind w:left="57"/>
              <w:rPr>
                <w:sz w:val="18"/>
                <w:szCs w:val="18"/>
              </w:rPr>
            </w:pPr>
          </w:p>
        </w:tc>
        <w:tc>
          <w:tcPr>
            <w:tcW w:w="94" w:type="dxa"/>
          </w:tcPr>
          <w:p w14:paraId="439193E9" w14:textId="77777777" w:rsidR="00BB6998" w:rsidRPr="0031447D" w:rsidRDefault="00BB6998" w:rsidP="001958C9">
            <w:pPr>
              <w:tabs>
                <w:tab w:val="decimal" w:pos="113"/>
              </w:tabs>
              <w:spacing w:line="180" w:lineRule="exact"/>
              <w:ind w:left="57"/>
              <w:rPr>
                <w:sz w:val="18"/>
                <w:szCs w:val="18"/>
              </w:rPr>
            </w:pPr>
          </w:p>
        </w:tc>
        <w:tc>
          <w:tcPr>
            <w:tcW w:w="807" w:type="dxa"/>
            <w:vAlign w:val="bottom"/>
          </w:tcPr>
          <w:p w14:paraId="42E41E25" w14:textId="77777777" w:rsidR="00BB6998" w:rsidRPr="0031447D" w:rsidRDefault="00BB6998" w:rsidP="001958C9">
            <w:pPr>
              <w:tabs>
                <w:tab w:val="decimal" w:pos="113"/>
              </w:tabs>
              <w:spacing w:line="180" w:lineRule="exact"/>
              <w:ind w:left="57"/>
              <w:rPr>
                <w:sz w:val="18"/>
                <w:szCs w:val="18"/>
              </w:rPr>
            </w:pPr>
          </w:p>
        </w:tc>
      </w:tr>
      <w:tr w:rsidR="00B0420D" w:rsidRPr="0031447D" w14:paraId="323FBB14" w14:textId="77777777" w:rsidTr="00BF3BAF">
        <w:tc>
          <w:tcPr>
            <w:tcW w:w="2435" w:type="dxa"/>
            <w:vAlign w:val="bottom"/>
          </w:tcPr>
          <w:p w14:paraId="0135E934" w14:textId="53DE8E34" w:rsidR="00B0420D" w:rsidRPr="0031447D" w:rsidRDefault="00B0420D" w:rsidP="00BF3BAF">
            <w:pPr>
              <w:pStyle w:val="a3"/>
              <w:tabs>
                <w:tab w:val="left" w:pos="72"/>
                <w:tab w:val="left" w:pos="567"/>
              </w:tabs>
              <w:spacing w:line="180" w:lineRule="exact"/>
              <w:rPr>
                <w:sz w:val="18"/>
                <w:szCs w:val="18"/>
                <w:u w:val="single"/>
              </w:rPr>
            </w:pPr>
            <w:r w:rsidRPr="0031447D">
              <w:rPr>
                <w:rFonts w:hint="cs"/>
                <w:sz w:val="18"/>
                <w:szCs w:val="18"/>
                <w:u w:val="single"/>
                <w:rtl/>
              </w:rPr>
              <w:t xml:space="preserve">לתקופה של </w:t>
            </w:r>
            <w:r>
              <w:rPr>
                <w:rFonts w:hint="cs"/>
                <w:sz w:val="18"/>
                <w:szCs w:val="18"/>
                <w:u w:val="single"/>
                <w:rtl/>
              </w:rPr>
              <w:t>שלושה</w:t>
            </w:r>
            <w:r w:rsidRPr="0031447D">
              <w:rPr>
                <w:rFonts w:hint="cs"/>
                <w:sz w:val="18"/>
                <w:szCs w:val="18"/>
                <w:u w:val="single"/>
                <w:rtl/>
              </w:rPr>
              <w:t xml:space="preserve"> חודשים שהסתיימה ביום 30 בספטמבר, </w:t>
            </w:r>
            <w:r>
              <w:rPr>
                <w:rFonts w:hint="cs"/>
                <w:sz w:val="18"/>
                <w:szCs w:val="18"/>
                <w:u w:val="single"/>
                <w:rtl/>
              </w:rPr>
              <w:t>201</w:t>
            </w:r>
            <w:r w:rsidR="00BF3BAF">
              <w:rPr>
                <w:rFonts w:hint="cs"/>
                <w:sz w:val="18"/>
                <w:szCs w:val="18"/>
                <w:u w:val="single"/>
                <w:rtl/>
              </w:rPr>
              <w:t>9</w:t>
            </w:r>
          </w:p>
        </w:tc>
        <w:tc>
          <w:tcPr>
            <w:tcW w:w="85" w:type="dxa"/>
          </w:tcPr>
          <w:p w14:paraId="0C401954"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12187027" w14:textId="77777777" w:rsidR="00B0420D" w:rsidRPr="0031447D" w:rsidRDefault="00B0420D" w:rsidP="00753044">
            <w:pPr>
              <w:tabs>
                <w:tab w:val="decimal" w:pos="113"/>
              </w:tabs>
              <w:spacing w:line="180" w:lineRule="exact"/>
              <w:ind w:left="57"/>
              <w:rPr>
                <w:sz w:val="18"/>
                <w:szCs w:val="18"/>
              </w:rPr>
            </w:pPr>
          </w:p>
        </w:tc>
        <w:tc>
          <w:tcPr>
            <w:tcW w:w="140" w:type="dxa"/>
          </w:tcPr>
          <w:p w14:paraId="4E9355D5"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05509D6B" w14:textId="77777777" w:rsidR="00B0420D" w:rsidRPr="0031447D" w:rsidRDefault="00B0420D" w:rsidP="00753044">
            <w:pPr>
              <w:tabs>
                <w:tab w:val="decimal" w:pos="113"/>
              </w:tabs>
              <w:spacing w:line="180" w:lineRule="exact"/>
              <w:ind w:left="57"/>
              <w:rPr>
                <w:sz w:val="18"/>
                <w:szCs w:val="18"/>
              </w:rPr>
            </w:pPr>
          </w:p>
        </w:tc>
        <w:tc>
          <w:tcPr>
            <w:tcW w:w="113" w:type="dxa"/>
          </w:tcPr>
          <w:p w14:paraId="00B3C32E"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0B535CC2" w14:textId="77777777" w:rsidR="00B0420D" w:rsidRPr="0031447D" w:rsidRDefault="00B0420D" w:rsidP="00753044">
            <w:pPr>
              <w:tabs>
                <w:tab w:val="decimal" w:pos="113"/>
              </w:tabs>
              <w:spacing w:line="180" w:lineRule="exact"/>
              <w:ind w:left="57"/>
              <w:rPr>
                <w:sz w:val="18"/>
                <w:szCs w:val="18"/>
              </w:rPr>
            </w:pPr>
          </w:p>
        </w:tc>
        <w:tc>
          <w:tcPr>
            <w:tcW w:w="140" w:type="dxa"/>
          </w:tcPr>
          <w:p w14:paraId="181A35ED"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409393F6" w14:textId="77777777" w:rsidR="00B0420D" w:rsidRPr="0031447D" w:rsidRDefault="00B0420D" w:rsidP="00753044">
            <w:pPr>
              <w:tabs>
                <w:tab w:val="decimal" w:pos="113"/>
              </w:tabs>
              <w:spacing w:line="180" w:lineRule="exact"/>
              <w:ind w:left="57"/>
              <w:rPr>
                <w:sz w:val="18"/>
                <w:szCs w:val="18"/>
              </w:rPr>
            </w:pPr>
          </w:p>
        </w:tc>
        <w:tc>
          <w:tcPr>
            <w:tcW w:w="140" w:type="dxa"/>
          </w:tcPr>
          <w:p w14:paraId="78A011CD"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2FD7EE4B" w14:textId="77777777" w:rsidR="00B0420D" w:rsidRPr="0031447D" w:rsidRDefault="00B0420D" w:rsidP="00753044">
            <w:pPr>
              <w:tabs>
                <w:tab w:val="decimal" w:pos="113"/>
              </w:tabs>
              <w:spacing w:line="180" w:lineRule="exact"/>
              <w:ind w:left="57"/>
              <w:rPr>
                <w:sz w:val="18"/>
                <w:szCs w:val="18"/>
              </w:rPr>
            </w:pPr>
          </w:p>
        </w:tc>
        <w:tc>
          <w:tcPr>
            <w:tcW w:w="94" w:type="dxa"/>
          </w:tcPr>
          <w:p w14:paraId="09DD80CD"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11A2EBE0" w14:textId="77777777" w:rsidR="00B0420D" w:rsidRPr="0031447D" w:rsidRDefault="00B0420D" w:rsidP="00753044">
            <w:pPr>
              <w:tabs>
                <w:tab w:val="decimal" w:pos="113"/>
              </w:tabs>
              <w:spacing w:line="180" w:lineRule="exact"/>
              <w:ind w:left="57"/>
              <w:rPr>
                <w:sz w:val="18"/>
                <w:szCs w:val="18"/>
              </w:rPr>
            </w:pPr>
          </w:p>
        </w:tc>
      </w:tr>
      <w:tr w:rsidR="00B0420D" w:rsidRPr="0031447D" w14:paraId="4352A371" w14:textId="77777777" w:rsidTr="00BF3BAF">
        <w:tc>
          <w:tcPr>
            <w:tcW w:w="2435" w:type="dxa"/>
            <w:vAlign w:val="bottom"/>
          </w:tcPr>
          <w:p w14:paraId="51F8CBC6" w14:textId="77777777" w:rsidR="00B0420D" w:rsidRPr="0031447D" w:rsidRDefault="00B0420D" w:rsidP="00753044">
            <w:pPr>
              <w:pStyle w:val="a3"/>
              <w:tabs>
                <w:tab w:val="left" w:pos="227"/>
                <w:tab w:val="left" w:pos="397"/>
                <w:tab w:val="left" w:pos="567"/>
              </w:tabs>
              <w:spacing w:line="180" w:lineRule="exact"/>
              <w:ind w:left="0"/>
              <w:rPr>
                <w:sz w:val="18"/>
                <w:szCs w:val="18"/>
                <w:rtl/>
              </w:rPr>
            </w:pPr>
          </w:p>
        </w:tc>
        <w:tc>
          <w:tcPr>
            <w:tcW w:w="85" w:type="dxa"/>
          </w:tcPr>
          <w:p w14:paraId="50AE5F25" w14:textId="77777777" w:rsidR="00B0420D" w:rsidRPr="0031447D" w:rsidRDefault="00B0420D" w:rsidP="00753044">
            <w:pPr>
              <w:pStyle w:val="a3"/>
              <w:tabs>
                <w:tab w:val="left" w:pos="227"/>
                <w:tab w:val="left" w:pos="397"/>
                <w:tab w:val="left" w:pos="567"/>
              </w:tabs>
              <w:spacing w:line="180" w:lineRule="exact"/>
              <w:ind w:left="0"/>
              <w:rPr>
                <w:sz w:val="18"/>
                <w:szCs w:val="18"/>
              </w:rPr>
            </w:pPr>
          </w:p>
        </w:tc>
        <w:tc>
          <w:tcPr>
            <w:tcW w:w="804" w:type="dxa"/>
            <w:tcBorders>
              <w:top w:val="nil"/>
              <w:left w:val="nil"/>
              <w:right w:val="nil"/>
            </w:tcBorders>
            <w:vAlign w:val="bottom"/>
          </w:tcPr>
          <w:p w14:paraId="4C84DDB7" w14:textId="77777777" w:rsidR="00B0420D" w:rsidRPr="0031447D" w:rsidRDefault="00B0420D" w:rsidP="00753044">
            <w:pPr>
              <w:pStyle w:val="a5"/>
              <w:widowControl/>
              <w:tabs>
                <w:tab w:val="clear" w:pos="4153"/>
                <w:tab w:val="clear" w:pos="8306"/>
                <w:tab w:val="decimal" w:pos="113"/>
              </w:tabs>
              <w:spacing w:line="180" w:lineRule="exact"/>
              <w:rPr>
                <w:sz w:val="18"/>
                <w:szCs w:val="18"/>
              </w:rPr>
            </w:pPr>
          </w:p>
        </w:tc>
        <w:tc>
          <w:tcPr>
            <w:tcW w:w="140" w:type="dxa"/>
          </w:tcPr>
          <w:p w14:paraId="203A9611" w14:textId="77777777" w:rsidR="00B0420D" w:rsidRPr="0031447D" w:rsidRDefault="00B0420D" w:rsidP="00753044">
            <w:pPr>
              <w:pStyle w:val="a5"/>
              <w:widowControl/>
              <w:tabs>
                <w:tab w:val="clear" w:pos="4153"/>
                <w:tab w:val="clear" w:pos="8306"/>
                <w:tab w:val="decimal" w:pos="113"/>
              </w:tabs>
              <w:spacing w:line="180" w:lineRule="exact"/>
              <w:rPr>
                <w:sz w:val="18"/>
                <w:szCs w:val="18"/>
              </w:rPr>
            </w:pPr>
          </w:p>
        </w:tc>
        <w:tc>
          <w:tcPr>
            <w:tcW w:w="930" w:type="dxa"/>
            <w:tcBorders>
              <w:top w:val="nil"/>
              <w:left w:val="nil"/>
              <w:right w:val="nil"/>
            </w:tcBorders>
            <w:vAlign w:val="bottom"/>
          </w:tcPr>
          <w:p w14:paraId="029BC2D3" w14:textId="77777777" w:rsidR="00B0420D" w:rsidRPr="0031447D" w:rsidRDefault="00B0420D" w:rsidP="00753044">
            <w:pPr>
              <w:pStyle w:val="a5"/>
              <w:widowControl/>
              <w:tabs>
                <w:tab w:val="clear" w:pos="4153"/>
                <w:tab w:val="clear" w:pos="8306"/>
                <w:tab w:val="decimal" w:pos="113"/>
              </w:tabs>
              <w:spacing w:line="180" w:lineRule="exact"/>
              <w:rPr>
                <w:sz w:val="18"/>
                <w:szCs w:val="18"/>
              </w:rPr>
            </w:pPr>
          </w:p>
        </w:tc>
        <w:tc>
          <w:tcPr>
            <w:tcW w:w="113" w:type="dxa"/>
          </w:tcPr>
          <w:p w14:paraId="2C8DD86B" w14:textId="77777777" w:rsidR="00B0420D" w:rsidRPr="0031447D" w:rsidRDefault="00B0420D" w:rsidP="00753044">
            <w:pPr>
              <w:pStyle w:val="a5"/>
              <w:widowControl/>
              <w:tabs>
                <w:tab w:val="clear" w:pos="4153"/>
                <w:tab w:val="clear" w:pos="8306"/>
                <w:tab w:val="decimal" w:pos="113"/>
              </w:tabs>
              <w:spacing w:line="180" w:lineRule="exact"/>
              <w:rPr>
                <w:sz w:val="18"/>
                <w:szCs w:val="18"/>
              </w:rPr>
            </w:pPr>
          </w:p>
        </w:tc>
        <w:tc>
          <w:tcPr>
            <w:tcW w:w="804" w:type="dxa"/>
            <w:tcBorders>
              <w:top w:val="nil"/>
              <w:left w:val="nil"/>
              <w:right w:val="nil"/>
            </w:tcBorders>
            <w:vAlign w:val="bottom"/>
          </w:tcPr>
          <w:p w14:paraId="58B44A74" w14:textId="77777777" w:rsidR="00B0420D" w:rsidRPr="0031447D" w:rsidRDefault="00B0420D" w:rsidP="00753044">
            <w:pPr>
              <w:widowControl/>
              <w:tabs>
                <w:tab w:val="decimal" w:pos="113"/>
              </w:tabs>
              <w:spacing w:line="180" w:lineRule="exact"/>
              <w:rPr>
                <w:sz w:val="18"/>
                <w:szCs w:val="18"/>
              </w:rPr>
            </w:pPr>
          </w:p>
        </w:tc>
        <w:tc>
          <w:tcPr>
            <w:tcW w:w="140" w:type="dxa"/>
          </w:tcPr>
          <w:p w14:paraId="17991CDC" w14:textId="77777777" w:rsidR="00B0420D" w:rsidRPr="0031447D" w:rsidRDefault="00B0420D" w:rsidP="00753044">
            <w:pPr>
              <w:widowControl/>
              <w:tabs>
                <w:tab w:val="decimal" w:pos="113"/>
              </w:tabs>
              <w:spacing w:line="180" w:lineRule="exact"/>
              <w:rPr>
                <w:sz w:val="18"/>
                <w:szCs w:val="18"/>
              </w:rPr>
            </w:pPr>
          </w:p>
        </w:tc>
        <w:tc>
          <w:tcPr>
            <w:tcW w:w="804" w:type="dxa"/>
            <w:tcBorders>
              <w:top w:val="nil"/>
              <w:left w:val="nil"/>
              <w:right w:val="nil"/>
            </w:tcBorders>
            <w:vAlign w:val="bottom"/>
          </w:tcPr>
          <w:p w14:paraId="67F4D9CB" w14:textId="77777777" w:rsidR="00B0420D" w:rsidRPr="0031447D" w:rsidRDefault="00B0420D" w:rsidP="00753044">
            <w:pPr>
              <w:widowControl/>
              <w:tabs>
                <w:tab w:val="decimal" w:pos="113"/>
              </w:tabs>
              <w:spacing w:line="180" w:lineRule="exact"/>
              <w:rPr>
                <w:sz w:val="18"/>
                <w:szCs w:val="18"/>
              </w:rPr>
            </w:pPr>
          </w:p>
        </w:tc>
        <w:tc>
          <w:tcPr>
            <w:tcW w:w="140" w:type="dxa"/>
          </w:tcPr>
          <w:p w14:paraId="37543197" w14:textId="77777777" w:rsidR="00B0420D" w:rsidRPr="0031447D" w:rsidRDefault="00B0420D" w:rsidP="00753044">
            <w:pPr>
              <w:widowControl/>
              <w:tabs>
                <w:tab w:val="decimal" w:pos="113"/>
              </w:tabs>
              <w:spacing w:line="180" w:lineRule="exact"/>
              <w:rPr>
                <w:sz w:val="18"/>
                <w:szCs w:val="18"/>
              </w:rPr>
            </w:pPr>
          </w:p>
        </w:tc>
        <w:tc>
          <w:tcPr>
            <w:tcW w:w="820" w:type="dxa"/>
            <w:tcBorders>
              <w:top w:val="nil"/>
              <w:left w:val="nil"/>
              <w:right w:val="nil"/>
            </w:tcBorders>
            <w:vAlign w:val="bottom"/>
          </w:tcPr>
          <w:p w14:paraId="33FF3676" w14:textId="77777777" w:rsidR="00B0420D" w:rsidRPr="0031447D" w:rsidRDefault="00B0420D" w:rsidP="00753044">
            <w:pPr>
              <w:widowControl/>
              <w:tabs>
                <w:tab w:val="decimal" w:pos="113"/>
              </w:tabs>
              <w:spacing w:line="180" w:lineRule="exact"/>
              <w:rPr>
                <w:sz w:val="18"/>
                <w:szCs w:val="18"/>
              </w:rPr>
            </w:pPr>
          </w:p>
        </w:tc>
        <w:tc>
          <w:tcPr>
            <w:tcW w:w="94" w:type="dxa"/>
          </w:tcPr>
          <w:p w14:paraId="60D92714" w14:textId="77777777" w:rsidR="00B0420D" w:rsidRPr="0031447D" w:rsidRDefault="00B0420D" w:rsidP="00753044">
            <w:pPr>
              <w:widowControl/>
              <w:tabs>
                <w:tab w:val="decimal" w:pos="113"/>
              </w:tabs>
              <w:spacing w:line="180" w:lineRule="exact"/>
              <w:rPr>
                <w:sz w:val="18"/>
                <w:szCs w:val="18"/>
              </w:rPr>
            </w:pPr>
          </w:p>
        </w:tc>
        <w:tc>
          <w:tcPr>
            <w:tcW w:w="807" w:type="dxa"/>
            <w:tcBorders>
              <w:top w:val="nil"/>
              <w:left w:val="nil"/>
              <w:right w:val="nil"/>
            </w:tcBorders>
            <w:vAlign w:val="bottom"/>
          </w:tcPr>
          <w:p w14:paraId="05BD1EC8" w14:textId="77777777" w:rsidR="00B0420D" w:rsidRPr="0031447D" w:rsidRDefault="00B0420D" w:rsidP="00753044">
            <w:pPr>
              <w:widowControl/>
              <w:tabs>
                <w:tab w:val="decimal" w:pos="113"/>
              </w:tabs>
              <w:spacing w:line="180" w:lineRule="exact"/>
              <w:rPr>
                <w:sz w:val="18"/>
                <w:szCs w:val="18"/>
              </w:rPr>
            </w:pPr>
          </w:p>
        </w:tc>
      </w:tr>
      <w:tr w:rsidR="00B0420D" w:rsidRPr="0031447D" w14:paraId="217BE820" w14:textId="77777777" w:rsidTr="00BF3BAF">
        <w:tc>
          <w:tcPr>
            <w:tcW w:w="2435" w:type="dxa"/>
            <w:vAlign w:val="bottom"/>
          </w:tcPr>
          <w:p w14:paraId="5454F626" w14:textId="77777777" w:rsidR="00B0420D" w:rsidRPr="00B0420D" w:rsidRDefault="00B0420D" w:rsidP="00753044">
            <w:pPr>
              <w:pStyle w:val="a3"/>
              <w:tabs>
                <w:tab w:val="left" w:pos="227"/>
                <w:tab w:val="left" w:pos="397"/>
                <w:tab w:val="left" w:pos="567"/>
              </w:tabs>
              <w:spacing w:line="180" w:lineRule="exact"/>
              <w:rPr>
                <w:b/>
                <w:bCs/>
                <w:sz w:val="18"/>
                <w:szCs w:val="18"/>
              </w:rPr>
            </w:pPr>
            <w:r>
              <w:rPr>
                <w:rFonts w:hint="cs"/>
                <w:b/>
                <w:bCs/>
                <w:sz w:val="18"/>
                <w:szCs w:val="18"/>
                <w:rtl/>
              </w:rPr>
              <w:t>פילוח גיאורגרפי:</w:t>
            </w:r>
          </w:p>
        </w:tc>
        <w:tc>
          <w:tcPr>
            <w:tcW w:w="85" w:type="dxa"/>
          </w:tcPr>
          <w:p w14:paraId="5A73F050"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2CD7051B" w14:textId="77777777" w:rsidR="00B0420D" w:rsidRPr="0031447D" w:rsidRDefault="00B0420D" w:rsidP="00753044">
            <w:pPr>
              <w:tabs>
                <w:tab w:val="decimal" w:pos="113"/>
              </w:tabs>
              <w:spacing w:line="180" w:lineRule="exact"/>
              <w:ind w:left="57"/>
              <w:rPr>
                <w:sz w:val="18"/>
                <w:szCs w:val="18"/>
              </w:rPr>
            </w:pPr>
          </w:p>
        </w:tc>
        <w:tc>
          <w:tcPr>
            <w:tcW w:w="140" w:type="dxa"/>
          </w:tcPr>
          <w:p w14:paraId="4FEBA0B1"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1D8095DF" w14:textId="77777777" w:rsidR="00B0420D" w:rsidRPr="0031447D" w:rsidRDefault="00B0420D" w:rsidP="00753044">
            <w:pPr>
              <w:tabs>
                <w:tab w:val="decimal" w:pos="113"/>
              </w:tabs>
              <w:spacing w:line="180" w:lineRule="exact"/>
              <w:ind w:left="57"/>
              <w:rPr>
                <w:sz w:val="18"/>
                <w:szCs w:val="18"/>
              </w:rPr>
            </w:pPr>
          </w:p>
        </w:tc>
        <w:tc>
          <w:tcPr>
            <w:tcW w:w="113" w:type="dxa"/>
          </w:tcPr>
          <w:p w14:paraId="6902513E"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8F3B16F" w14:textId="77777777" w:rsidR="00B0420D" w:rsidRPr="0031447D" w:rsidRDefault="00B0420D" w:rsidP="00753044">
            <w:pPr>
              <w:tabs>
                <w:tab w:val="decimal" w:pos="113"/>
              </w:tabs>
              <w:spacing w:line="180" w:lineRule="exact"/>
              <w:ind w:left="57"/>
              <w:rPr>
                <w:sz w:val="18"/>
                <w:szCs w:val="18"/>
              </w:rPr>
            </w:pPr>
          </w:p>
        </w:tc>
        <w:tc>
          <w:tcPr>
            <w:tcW w:w="140" w:type="dxa"/>
          </w:tcPr>
          <w:p w14:paraId="57EAB71B"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627F6118" w14:textId="77777777" w:rsidR="00B0420D" w:rsidRPr="0031447D" w:rsidRDefault="00B0420D" w:rsidP="00753044">
            <w:pPr>
              <w:tabs>
                <w:tab w:val="decimal" w:pos="113"/>
              </w:tabs>
              <w:spacing w:line="180" w:lineRule="exact"/>
              <w:ind w:left="57"/>
              <w:rPr>
                <w:sz w:val="18"/>
                <w:szCs w:val="18"/>
              </w:rPr>
            </w:pPr>
          </w:p>
        </w:tc>
        <w:tc>
          <w:tcPr>
            <w:tcW w:w="140" w:type="dxa"/>
          </w:tcPr>
          <w:p w14:paraId="4BBCD133"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25B2788E" w14:textId="77777777" w:rsidR="00B0420D" w:rsidRPr="0031447D" w:rsidRDefault="00B0420D" w:rsidP="00753044">
            <w:pPr>
              <w:tabs>
                <w:tab w:val="decimal" w:pos="113"/>
              </w:tabs>
              <w:spacing w:line="180" w:lineRule="exact"/>
              <w:ind w:left="57"/>
              <w:rPr>
                <w:sz w:val="18"/>
                <w:szCs w:val="18"/>
              </w:rPr>
            </w:pPr>
          </w:p>
        </w:tc>
        <w:tc>
          <w:tcPr>
            <w:tcW w:w="94" w:type="dxa"/>
          </w:tcPr>
          <w:p w14:paraId="4AC7B00F"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69BA0C6F" w14:textId="77777777" w:rsidR="00B0420D" w:rsidRPr="0031447D" w:rsidRDefault="00B0420D" w:rsidP="00753044">
            <w:pPr>
              <w:tabs>
                <w:tab w:val="decimal" w:pos="113"/>
              </w:tabs>
              <w:spacing w:line="180" w:lineRule="exact"/>
              <w:ind w:left="57"/>
              <w:rPr>
                <w:sz w:val="18"/>
                <w:szCs w:val="18"/>
              </w:rPr>
            </w:pPr>
          </w:p>
        </w:tc>
      </w:tr>
      <w:tr w:rsidR="00B0420D" w:rsidRPr="0031447D" w14:paraId="33569730" w14:textId="77777777" w:rsidTr="00BF3BAF">
        <w:tc>
          <w:tcPr>
            <w:tcW w:w="2435" w:type="dxa"/>
            <w:vAlign w:val="bottom"/>
          </w:tcPr>
          <w:p w14:paraId="2984D963"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צפון אמריקה</w:t>
            </w:r>
          </w:p>
        </w:tc>
        <w:tc>
          <w:tcPr>
            <w:tcW w:w="85" w:type="dxa"/>
          </w:tcPr>
          <w:p w14:paraId="6894628F"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1F95FF9D" w14:textId="77777777" w:rsidR="00B0420D" w:rsidRPr="0031447D" w:rsidRDefault="00B0420D" w:rsidP="00753044">
            <w:pPr>
              <w:tabs>
                <w:tab w:val="decimal" w:pos="113"/>
              </w:tabs>
              <w:spacing w:line="180" w:lineRule="exact"/>
              <w:ind w:left="57"/>
              <w:rPr>
                <w:sz w:val="18"/>
                <w:szCs w:val="18"/>
              </w:rPr>
            </w:pPr>
          </w:p>
        </w:tc>
        <w:tc>
          <w:tcPr>
            <w:tcW w:w="140" w:type="dxa"/>
          </w:tcPr>
          <w:p w14:paraId="587BE095"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236396F6" w14:textId="77777777" w:rsidR="00B0420D" w:rsidRPr="0031447D" w:rsidRDefault="00B0420D" w:rsidP="00753044">
            <w:pPr>
              <w:tabs>
                <w:tab w:val="decimal" w:pos="113"/>
              </w:tabs>
              <w:spacing w:line="180" w:lineRule="exact"/>
              <w:ind w:left="57"/>
              <w:rPr>
                <w:sz w:val="18"/>
                <w:szCs w:val="18"/>
              </w:rPr>
            </w:pPr>
          </w:p>
        </w:tc>
        <w:tc>
          <w:tcPr>
            <w:tcW w:w="113" w:type="dxa"/>
          </w:tcPr>
          <w:p w14:paraId="3EA3253F"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3D8BF7A" w14:textId="77777777" w:rsidR="00B0420D" w:rsidRPr="0031447D" w:rsidRDefault="00B0420D" w:rsidP="00753044">
            <w:pPr>
              <w:tabs>
                <w:tab w:val="decimal" w:pos="113"/>
              </w:tabs>
              <w:spacing w:line="180" w:lineRule="exact"/>
              <w:ind w:left="57"/>
              <w:rPr>
                <w:sz w:val="18"/>
                <w:szCs w:val="18"/>
              </w:rPr>
            </w:pPr>
          </w:p>
        </w:tc>
        <w:tc>
          <w:tcPr>
            <w:tcW w:w="140" w:type="dxa"/>
          </w:tcPr>
          <w:p w14:paraId="7D3659C6"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291EF273" w14:textId="77777777" w:rsidR="00B0420D" w:rsidRPr="0031447D" w:rsidRDefault="00B0420D" w:rsidP="00753044">
            <w:pPr>
              <w:tabs>
                <w:tab w:val="decimal" w:pos="113"/>
              </w:tabs>
              <w:spacing w:line="180" w:lineRule="exact"/>
              <w:ind w:left="57"/>
              <w:rPr>
                <w:sz w:val="18"/>
                <w:szCs w:val="18"/>
              </w:rPr>
            </w:pPr>
          </w:p>
        </w:tc>
        <w:tc>
          <w:tcPr>
            <w:tcW w:w="140" w:type="dxa"/>
          </w:tcPr>
          <w:p w14:paraId="2347E073"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177A57DF" w14:textId="77777777" w:rsidR="00B0420D" w:rsidRPr="0031447D" w:rsidRDefault="00B0420D" w:rsidP="00753044">
            <w:pPr>
              <w:tabs>
                <w:tab w:val="decimal" w:pos="113"/>
              </w:tabs>
              <w:spacing w:line="180" w:lineRule="exact"/>
              <w:ind w:left="57"/>
              <w:rPr>
                <w:sz w:val="18"/>
                <w:szCs w:val="18"/>
              </w:rPr>
            </w:pPr>
          </w:p>
        </w:tc>
        <w:tc>
          <w:tcPr>
            <w:tcW w:w="94" w:type="dxa"/>
          </w:tcPr>
          <w:p w14:paraId="4B89D36A"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01805557" w14:textId="77777777" w:rsidR="00B0420D" w:rsidRPr="0031447D" w:rsidRDefault="00B0420D" w:rsidP="00753044">
            <w:pPr>
              <w:tabs>
                <w:tab w:val="decimal" w:pos="113"/>
              </w:tabs>
              <w:spacing w:line="180" w:lineRule="exact"/>
              <w:ind w:left="57"/>
              <w:rPr>
                <w:sz w:val="18"/>
                <w:szCs w:val="18"/>
              </w:rPr>
            </w:pPr>
          </w:p>
        </w:tc>
      </w:tr>
      <w:tr w:rsidR="00B0420D" w:rsidRPr="0031447D" w14:paraId="34D61D18" w14:textId="77777777" w:rsidTr="00BF3BAF">
        <w:tc>
          <w:tcPr>
            <w:tcW w:w="2435" w:type="dxa"/>
            <w:vAlign w:val="bottom"/>
          </w:tcPr>
          <w:p w14:paraId="1BF2E934"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אירופה</w:t>
            </w:r>
          </w:p>
        </w:tc>
        <w:tc>
          <w:tcPr>
            <w:tcW w:w="85" w:type="dxa"/>
          </w:tcPr>
          <w:p w14:paraId="50E929EC"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1BFA2382" w14:textId="77777777" w:rsidR="00B0420D" w:rsidRPr="0031447D" w:rsidRDefault="00B0420D" w:rsidP="00753044">
            <w:pPr>
              <w:tabs>
                <w:tab w:val="decimal" w:pos="113"/>
              </w:tabs>
              <w:spacing w:line="180" w:lineRule="exact"/>
              <w:ind w:left="57"/>
              <w:rPr>
                <w:sz w:val="18"/>
                <w:szCs w:val="18"/>
              </w:rPr>
            </w:pPr>
          </w:p>
        </w:tc>
        <w:tc>
          <w:tcPr>
            <w:tcW w:w="140" w:type="dxa"/>
          </w:tcPr>
          <w:p w14:paraId="6630E912"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7D6A563D" w14:textId="77777777" w:rsidR="00B0420D" w:rsidRPr="0031447D" w:rsidRDefault="00B0420D" w:rsidP="00753044">
            <w:pPr>
              <w:tabs>
                <w:tab w:val="decimal" w:pos="113"/>
              </w:tabs>
              <w:spacing w:line="180" w:lineRule="exact"/>
              <w:ind w:left="57"/>
              <w:rPr>
                <w:sz w:val="18"/>
                <w:szCs w:val="18"/>
              </w:rPr>
            </w:pPr>
          </w:p>
        </w:tc>
        <w:tc>
          <w:tcPr>
            <w:tcW w:w="113" w:type="dxa"/>
          </w:tcPr>
          <w:p w14:paraId="737B6847"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605C7163" w14:textId="77777777" w:rsidR="00B0420D" w:rsidRPr="0031447D" w:rsidRDefault="00B0420D" w:rsidP="00753044">
            <w:pPr>
              <w:tabs>
                <w:tab w:val="decimal" w:pos="113"/>
              </w:tabs>
              <w:spacing w:line="180" w:lineRule="exact"/>
              <w:ind w:left="57"/>
              <w:rPr>
                <w:sz w:val="18"/>
                <w:szCs w:val="18"/>
              </w:rPr>
            </w:pPr>
          </w:p>
        </w:tc>
        <w:tc>
          <w:tcPr>
            <w:tcW w:w="140" w:type="dxa"/>
          </w:tcPr>
          <w:p w14:paraId="5576DE12"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4C324316" w14:textId="77777777" w:rsidR="00B0420D" w:rsidRPr="0031447D" w:rsidRDefault="00B0420D" w:rsidP="00753044">
            <w:pPr>
              <w:tabs>
                <w:tab w:val="decimal" w:pos="113"/>
              </w:tabs>
              <w:spacing w:line="180" w:lineRule="exact"/>
              <w:ind w:left="57"/>
              <w:rPr>
                <w:sz w:val="18"/>
                <w:szCs w:val="18"/>
              </w:rPr>
            </w:pPr>
          </w:p>
        </w:tc>
        <w:tc>
          <w:tcPr>
            <w:tcW w:w="140" w:type="dxa"/>
          </w:tcPr>
          <w:p w14:paraId="3F448812"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4324F5A7" w14:textId="77777777" w:rsidR="00B0420D" w:rsidRPr="0031447D" w:rsidRDefault="00B0420D" w:rsidP="00753044">
            <w:pPr>
              <w:tabs>
                <w:tab w:val="decimal" w:pos="113"/>
              </w:tabs>
              <w:spacing w:line="180" w:lineRule="exact"/>
              <w:ind w:left="57"/>
              <w:rPr>
                <w:sz w:val="18"/>
                <w:szCs w:val="18"/>
              </w:rPr>
            </w:pPr>
          </w:p>
        </w:tc>
        <w:tc>
          <w:tcPr>
            <w:tcW w:w="94" w:type="dxa"/>
          </w:tcPr>
          <w:p w14:paraId="7BF0DCB5"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6250122C" w14:textId="77777777" w:rsidR="00B0420D" w:rsidRPr="0031447D" w:rsidRDefault="00B0420D" w:rsidP="00753044">
            <w:pPr>
              <w:tabs>
                <w:tab w:val="decimal" w:pos="113"/>
              </w:tabs>
              <w:spacing w:line="180" w:lineRule="exact"/>
              <w:ind w:left="57"/>
              <w:rPr>
                <w:sz w:val="18"/>
                <w:szCs w:val="18"/>
              </w:rPr>
            </w:pPr>
          </w:p>
        </w:tc>
      </w:tr>
      <w:tr w:rsidR="00B0420D" w:rsidRPr="0031447D" w14:paraId="089B4C61" w14:textId="77777777" w:rsidTr="00BF3BAF">
        <w:tc>
          <w:tcPr>
            <w:tcW w:w="2435" w:type="dxa"/>
            <w:vAlign w:val="bottom"/>
          </w:tcPr>
          <w:p w14:paraId="1526E5E8"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ישראל</w:t>
            </w:r>
          </w:p>
        </w:tc>
        <w:tc>
          <w:tcPr>
            <w:tcW w:w="85" w:type="dxa"/>
          </w:tcPr>
          <w:p w14:paraId="104EB400"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365C18C0" w14:textId="77777777" w:rsidR="00B0420D" w:rsidRPr="0031447D" w:rsidRDefault="00B0420D" w:rsidP="00753044">
            <w:pPr>
              <w:tabs>
                <w:tab w:val="decimal" w:pos="113"/>
              </w:tabs>
              <w:spacing w:line="180" w:lineRule="exact"/>
              <w:ind w:left="57"/>
              <w:rPr>
                <w:sz w:val="18"/>
                <w:szCs w:val="18"/>
              </w:rPr>
            </w:pPr>
          </w:p>
        </w:tc>
        <w:tc>
          <w:tcPr>
            <w:tcW w:w="140" w:type="dxa"/>
          </w:tcPr>
          <w:p w14:paraId="062E52CC"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3A2B15CE" w14:textId="77777777" w:rsidR="00B0420D" w:rsidRPr="0031447D" w:rsidRDefault="00B0420D" w:rsidP="00753044">
            <w:pPr>
              <w:tabs>
                <w:tab w:val="decimal" w:pos="113"/>
              </w:tabs>
              <w:spacing w:line="180" w:lineRule="exact"/>
              <w:ind w:left="57"/>
              <w:rPr>
                <w:sz w:val="18"/>
                <w:szCs w:val="18"/>
              </w:rPr>
            </w:pPr>
          </w:p>
        </w:tc>
        <w:tc>
          <w:tcPr>
            <w:tcW w:w="113" w:type="dxa"/>
          </w:tcPr>
          <w:p w14:paraId="21F0546F"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BE3DC93" w14:textId="77777777" w:rsidR="00B0420D" w:rsidRPr="0031447D" w:rsidRDefault="00B0420D" w:rsidP="00753044">
            <w:pPr>
              <w:tabs>
                <w:tab w:val="decimal" w:pos="113"/>
              </w:tabs>
              <w:spacing w:line="180" w:lineRule="exact"/>
              <w:ind w:left="57"/>
              <w:rPr>
                <w:sz w:val="18"/>
                <w:szCs w:val="18"/>
              </w:rPr>
            </w:pPr>
          </w:p>
        </w:tc>
        <w:tc>
          <w:tcPr>
            <w:tcW w:w="140" w:type="dxa"/>
          </w:tcPr>
          <w:p w14:paraId="0F91BA5D"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64A735C9" w14:textId="77777777" w:rsidR="00B0420D" w:rsidRPr="0031447D" w:rsidRDefault="00B0420D" w:rsidP="00753044">
            <w:pPr>
              <w:tabs>
                <w:tab w:val="decimal" w:pos="113"/>
              </w:tabs>
              <w:spacing w:line="180" w:lineRule="exact"/>
              <w:ind w:left="57"/>
              <w:rPr>
                <w:sz w:val="18"/>
                <w:szCs w:val="18"/>
              </w:rPr>
            </w:pPr>
          </w:p>
        </w:tc>
        <w:tc>
          <w:tcPr>
            <w:tcW w:w="140" w:type="dxa"/>
          </w:tcPr>
          <w:p w14:paraId="7DC73C1A"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5F59BAB6" w14:textId="77777777" w:rsidR="00B0420D" w:rsidRPr="0031447D" w:rsidRDefault="00B0420D" w:rsidP="00753044">
            <w:pPr>
              <w:tabs>
                <w:tab w:val="decimal" w:pos="113"/>
              </w:tabs>
              <w:spacing w:line="180" w:lineRule="exact"/>
              <w:ind w:left="57"/>
              <w:rPr>
                <w:sz w:val="18"/>
                <w:szCs w:val="18"/>
              </w:rPr>
            </w:pPr>
          </w:p>
        </w:tc>
        <w:tc>
          <w:tcPr>
            <w:tcW w:w="94" w:type="dxa"/>
          </w:tcPr>
          <w:p w14:paraId="105CCF55"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538AA2FB" w14:textId="77777777" w:rsidR="00B0420D" w:rsidRPr="0031447D" w:rsidRDefault="00B0420D" w:rsidP="00753044">
            <w:pPr>
              <w:tabs>
                <w:tab w:val="decimal" w:pos="113"/>
              </w:tabs>
              <w:spacing w:line="180" w:lineRule="exact"/>
              <w:ind w:left="57"/>
              <w:rPr>
                <w:sz w:val="18"/>
                <w:szCs w:val="18"/>
              </w:rPr>
            </w:pPr>
          </w:p>
        </w:tc>
      </w:tr>
      <w:tr w:rsidR="00B0420D" w:rsidRPr="0031447D" w14:paraId="1CA97550" w14:textId="77777777" w:rsidTr="00BF3BAF">
        <w:tc>
          <w:tcPr>
            <w:tcW w:w="2435" w:type="dxa"/>
            <w:vAlign w:val="bottom"/>
          </w:tcPr>
          <w:p w14:paraId="48CDECDF" w14:textId="77777777" w:rsidR="00B0420D" w:rsidRPr="0031447D" w:rsidRDefault="00B0420D" w:rsidP="00753044">
            <w:pPr>
              <w:pStyle w:val="a3"/>
              <w:tabs>
                <w:tab w:val="left" w:pos="227"/>
                <w:tab w:val="left" w:pos="397"/>
                <w:tab w:val="left" w:pos="567"/>
              </w:tabs>
              <w:spacing w:line="180" w:lineRule="exact"/>
              <w:rPr>
                <w:sz w:val="18"/>
                <w:szCs w:val="18"/>
                <w:rtl/>
              </w:rPr>
            </w:pPr>
          </w:p>
        </w:tc>
        <w:tc>
          <w:tcPr>
            <w:tcW w:w="85" w:type="dxa"/>
          </w:tcPr>
          <w:p w14:paraId="1F04F35E"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bottom w:val="single" w:sz="4" w:space="0" w:color="auto"/>
            </w:tcBorders>
            <w:vAlign w:val="bottom"/>
          </w:tcPr>
          <w:p w14:paraId="1BF91426" w14:textId="77777777" w:rsidR="00B0420D" w:rsidRPr="0031447D" w:rsidRDefault="00B0420D" w:rsidP="00753044">
            <w:pPr>
              <w:tabs>
                <w:tab w:val="decimal" w:pos="113"/>
              </w:tabs>
              <w:spacing w:line="180" w:lineRule="exact"/>
              <w:ind w:left="57"/>
              <w:rPr>
                <w:sz w:val="18"/>
                <w:szCs w:val="18"/>
              </w:rPr>
            </w:pPr>
          </w:p>
        </w:tc>
        <w:tc>
          <w:tcPr>
            <w:tcW w:w="140" w:type="dxa"/>
          </w:tcPr>
          <w:p w14:paraId="3D86B5B8" w14:textId="77777777" w:rsidR="00B0420D" w:rsidRPr="0031447D" w:rsidRDefault="00B0420D" w:rsidP="00753044">
            <w:pPr>
              <w:tabs>
                <w:tab w:val="decimal" w:pos="113"/>
              </w:tabs>
              <w:spacing w:line="180" w:lineRule="exact"/>
              <w:ind w:left="57"/>
              <w:rPr>
                <w:sz w:val="18"/>
                <w:szCs w:val="18"/>
              </w:rPr>
            </w:pPr>
          </w:p>
        </w:tc>
        <w:tc>
          <w:tcPr>
            <w:tcW w:w="930" w:type="dxa"/>
            <w:tcBorders>
              <w:bottom w:val="single" w:sz="4" w:space="0" w:color="auto"/>
            </w:tcBorders>
            <w:vAlign w:val="bottom"/>
          </w:tcPr>
          <w:p w14:paraId="73F62B5B" w14:textId="77777777" w:rsidR="00B0420D" w:rsidRPr="0031447D" w:rsidRDefault="00B0420D" w:rsidP="00753044">
            <w:pPr>
              <w:tabs>
                <w:tab w:val="decimal" w:pos="113"/>
              </w:tabs>
              <w:spacing w:line="180" w:lineRule="exact"/>
              <w:ind w:left="57"/>
              <w:rPr>
                <w:sz w:val="18"/>
                <w:szCs w:val="18"/>
              </w:rPr>
            </w:pPr>
          </w:p>
        </w:tc>
        <w:tc>
          <w:tcPr>
            <w:tcW w:w="113" w:type="dxa"/>
          </w:tcPr>
          <w:p w14:paraId="45EA4841"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4" w:space="0" w:color="auto"/>
            </w:tcBorders>
            <w:vAlign w:val="bottom"/>
          </w:tcPr>
          <w:p w14:paraId="47E2CBBE" w14:textId="77777777" w:rsidR="00B0420D" w:rsidRPr="0031447D" w:rsidRDefault="00B0420D" w:rsidP="00753044">
            <w:pPr>
              <w:tabs>
                <w:tab w:val="decimal" w:pos="113"/>
              </w:tabs>
              <w:spacing w:line="180" w:lineRule="exact"/>
              <w:ind w:left="57"/>
              <w:rPr>
                <w:sz w:val="18"/>
                <w:szCs w:val="18"/>
              </w:rPr>
            </w:pPr>
          </w:p>
        </w:tc>
        <w:tc>
          <w:tcPr>
            <w:tcW w:w="140" w:type="dxa"/>
          </w:tcPr>
          <w:p w14:paraId="62AF019A"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4" w:space="0" w:color="auto"/>
            </w:tcBorders>
            <w:vAlign w:val="bottom"/>
          </w:tcPr>
          <w:p w14:paraId="6EDD5905" w14:textId="77777777" w:rsidR="00B0420D" w:rsidRPr="0031447D" w:rsidRDefault="00B0420D" w:rsidP="00753044">
            <w:pPr>
              <w:tabs>
                <w:tab w:val="decimal" w:pos="113"/>
              </w:tabs>
              <w:spacing w:line="180" w:lineRule="exact"/>
              <w:ind w:left="57"/>
              <w:rPr>
                <w:sz w:val="18"/>
                <w:szCs w:val="18"/>
              </w:rPr>
            </w:pPr>
          </w:p>
        </w:tc>
        <w:tc>
          <w:tcPr>
            <w:tcW w:w="140" w:type="dxa"/>
          </w:tcPr>
          <w:p w14:paraId="3CACFA1F" w14:textId="77777777" w:rsidR="00B0420D" w:rsidRPr="0031447D" w:rsidRDefault="00B0420D" w:rsidP="00753044">
            <w:pPr>
              <w:tabs>
                <w:tab w:val="decimal" w:pos="113"/>
              </w:tabs>
              <w:spacing w:line="180" w:lineRule="exact"/>
              <w:ind w:left="57"/>
              <w:rPr>
                <w:sz w:val="18"/>
                <w:szCs w:val="18"/>
              </w:rPr>
            </w:pPr>
          </w:p>
        </w:tc>
        <w:tc>
          <w:tcPr>
            <w:tcW w:w="820" w:type="dxa"/>
            <w:tcBorders>
              <w:bottom w:val="single" w:sz="4" w:space="0" w:color="auto"/>
            </w:tcBorders>
            <w:vAlign w:val="bottom"/>
          </w:tcPr>
          <w:p w14:paraId="530440EA" w14:textId="77777777" w:rsidR="00B0420D" w:rsidRPr="0031447D" w:rsidRDefault="00B0420D" w:rsidP="00753044">
            <w:pPr>
              <w:tabs>
                <w:tab w:val="decimal" w:pos="113"/>
              </w:tabs>
              <w:spacing w:line="180" w:lineRule="exact"/>
              <w:ind w:left="57"/>
              <w:rPr>
                <w:sz w:val="18"/>
                <w:szCs w:val="18"/>
              </w:rPr>
            </w:pPr>
          </w:p>
        </w:tc>
        <w:tc>
          <w:tcPr>
            <w:tcW w:w="94" w:type="dxa"/>
          </w:tcPr>
          <w:p w14:paraId="653B400D" w14:textId="77777777" w:rsidR="00B0420D" w:rsidRPr="0031447D" w:rsidRDefault="00B0420D" w:rsidP="00753044">
            <w:pPr>
              <w:tabs>
                <w:tab w:val="decimal" w:pos="113"/>
              </w:tabs>
              <w:spacing w:line="180" w:lineRule="exact"/>
              <w:ind w:left="57"/>
              <w:rPr>
                <w:sz w:val="18"/>
                <w:szCs w:val="18"/>
              </w:rPr>
            </w:pPr>
          </w:p>
        </w:tc>
        <w:tc>
          <w:tcPr>
            <w:tcW w:w="807" w:type="dxa"/>
            <w:tcBorders>
              <w:bottom w:val="single" w:sz="4" w:space="0" w:color="auto"/>
            </w:tcBorders>
            <w:vAlign w:val="bottom"/>
          </w:tcPr>
          <w:p w14:paraId="2D1513E8" w14:textId="77777777" w:rsidR="00B0420D" w:rsidRPr="0031447D" w:rsidRDefault="00B0420D" w:rsidP="00753044">
            <w:pPr>
              <w:tabs>
                <w:tab w:val="decimal" w:pos="113"/>
              </w:tabs>
              <w:spacing w:line="180" w:lineRule="exact"/>
              <w:ind w:left="57"/>
              <w:rPr>
                <w:sz w:val="18"/>
                <w:szCs w:val="18"/>
              </w:rPr>
            </w:pPr>
          </w:p>
        </w:tc>
      </w:tr>
      <w:tr w:rsidR="00B0420D" w:rsidRPr="0031447D" w14:paraId="74DCEAA7" w14:textId="77777777" w:rsidTr="00BF3BAF">
        <w:tc>
          <w:tcPr>
            <w:tcW w:w="2435" w:type="dxa"/>
            <w:vAlign w:val="bottom"/>
          </w:tcPr>
          <w:p w14:paraId="2C064339"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85" w:type="dxa"/>
          </w:tcPr>
          <w:p w14:paraId="074DAE4A"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bottom w:val="single" w:sz="4" w:space="0" w:color="auto"/>
            </w:tcBorders>
            <w:vAlign w:val="bottom"/>
          </w:tcPr>
          <w:p w14:paraId="4A23F26C" w14:textId="77777777" w:rsidR="00B0420D" w:rsidRPr="0031447D" w:rsidRDefault="00B0420D" w:rsidP="00753044">
            <w:pPr>
              <w:tabs>
                <w:tab w:val="decimal" w:pos="113"/>
              </w:tabs>
              <w:spacing w:line="180" w:lineRule="exact"/>
              <w:ind w:left="57"/>
              <w:rPr>
                <w:sz w:val="18"/>
                <w:szCs w:val="18"/>
              </w:rPr>
            </w:pPr>
          </w:p>
        </w:tc>
        <w:tc>
          <w:tcPr>
            <w:tcW w:w="140" w:type="dxa"/>
          </w:tcPr>
          <w:p w14:paraId="6017F326" w14:textId="77777777" w:rsidR="00B0420D" w:rsidRPr="0031447D" w:rsidRDefault="00B0420D" w:rsidP="00753044">
            <w:pPr>
              <w:tabs>
                <w:tab w:val="decimal" w:pos="113"/>
              </w:tabs>
              <w:spacing w:line="180" w:lineRule="exact"/>
              <w:ind w:left="57"/>
              <w:rPr>
                <w:sz w:val="18"/>
                <w:szCs w:val="18"/>
              </w:rPr>
            </w:pPr>
          </w:p>
        </w:tc>
        <w:tc>
          <w:tcPr>
            <w:tcW w:w="930" w:type="dxa"/>
            <w:tcBorders>
              <w:top w:val="single" w:sz="4" w:space="0" w:color="auto"/>
              <w:bottom w:val="single" w:sz="4" w:space="0" w:color="auto"/>
            </w:tcBorders>
            <w:vAlign w:val="bottom"/>
          </w:tcPr>
          <w:p w14:paraId="11D7D173" w14:textId="77777777" w:rsidR="00B0420D" w:rsidRPr="0031447D" w:rsidRDefault="00B0420D" w:rsidP="00753044">
            <w:pPr>
              <w:tabs>
                <w:tab w:val="decimal" w:pos="113"/>
              </w:tabs>
              <w:spacing w:line="180" w:lineRule="exact"/>
              <w:ind w:left="57"/>
              <w:rPr>
                <w:sz w:val="18"/>
                <w:szCs w:val="18"/>
              </w:rPr>
            </w:pPr>
          </w:p>
        </w:tc>
        <w:tc>
          <w:tcPr>
            <w:tcW w:w="113" w:type="dxa"/>
          </w:tcPr>
          <w:p w14:paraId="1F8AD7AF"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2C81232D" w14:textId="77777777" w:rsidR="00B0420D" w:rsidRPr="0031447D" w:rsidRDefault="00B0420D" w:rsidP="00753044">
            <w:pPr>
              <w:tabs>
                <w:tab w:val="decimal" w:pos="113"/>
              </w:tabs>
              <w:spacing w:line="180" w:lineRule="exact"/>
              <w:ind w:left="57"/>
              <w:rPr>
                <w:sz w:val="18"/>
                <w:szCs w:val="18"/>
              </w:rPr>
            </w:pPr>
          </w:p>
        </w:tc>
        <w:tc>
          <w:tcPr>
            <w:tcW w:w="140" w:type="dxa"/>
          </w:tcPr>
          <w:p w14:paraId="712F3D93"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3C5A3480" w14:textId="77777777" w:rsidR="00B0420D" w:rsidRPr="0031447D" w:rsidRDefault="00B0420D" w:rsidP="00753044">
            <w:pPr>
              <w:tabs>
                <w:tab w:val="decimal" w:pos="113"/>
              </w:tabs>
              <w:spacing w:line="180" w:lineRule="exact"/>
              <w:ind w:left="57"/>
              <w:rPr>
                <w:sz w:val="18"/>
                <w:szCs w:val="18"/>
              </w:rPr>
            </w:pPr>
          </w:p>
        </w:tc>
        <w:tc>
          <w:tcPr>
            <w:tcW w:w="140" w:type="dxa"/>
          </w:tcPr>
          <w:p w14:paraId="6B9CF554" w14:textId="77777777" w:rsidR="00B0420D" w:rsidRPr="0031447D" w:rsidRDefault="00B0420D" w:rsidP="00753044">
            <w:pPr>
              <w:tabs>
                <w:tab w:val="decimal" w:pos="113"/>
              </w:tabs>
              <w:spacing w:line="180" w:lineRule="exact"/>
              <w:ind w:left="57"/>
              <w:rPr>
                <w:sz w:val="18"/>
                <w:szCs w:val="18"/>
              </w:rPr>
            </w:pPr>
          </w:p>
        </w:tc>
        <w:tc>
          <w:tcPr>
            <w:tcW w:w="820" w:type="dxa"/>
            <w:tcBorders>
              <w:top w:val="single" w:sz="4" w:space="0" w:color="auto"/>
              <w:bottom w:val="single" w:sz="4" w:space="0" w:color="auto"/>
            </w:tcBorders>
            <w:vAlign w:val="bottom"/>
          </w:tcPr>
          <w:p w14:paraId="7F7C87C1" w14:textId="77777777" w:rsidR="00B0420D" w:rsidRPr="0031447D" w:rsidRDefault="00B0420D" w:rsidP="00753044">
            <w:pPr>
              <w:tabs>
                <w:tab w:val="decimal" w:pos="113"/>
              </w:tabs>
              <w:spacing w:line="180" w:lineRule="exact"/>
              <w:ind w:left="57"/>
              <w:rPr>
                <w:sz w:val="18"/>
                <w:szCs w:val="18"/>
              </w:rPr>
            </w:pPr>
          </w:p>
        </w:tc>
        <w:tc>
          <w:tcPr>
            <w:tcW w:w="94" w:type="dxa"/>
          </w:tcPr>
          <w:p w14:paraId="6770FB36" w14:textId="77777777" w:rsidR="00B0420D" w:rsidRPr="0031447D" w:rsidRDefault="00B0420D" w:rsidP="00753044">
            <w:pPr>
              <w:tabs>
                <w:tab w:val="decimal" w:pos="113"/>
              </w:tabs>
              <w:spacing w:line="180" w:lineRule="exact"/>
              <w:ind w:left="57"/>
              <w:rPr>
                <w:sz w:val="18"/>
                <w:szCs w:val="18"/>
              </w:rPr>
            </w:pPr>
          </w:p>
        </w:tc>
        <w:tc>
          <w:tcPr>
            <w:tcW w:w="807" w:type="dxa"/>
            <w:tcBorders>
              <w:top w:val="single" w:sz="4" w:space="0" w:color="auto"/>
              <w:bottom w:val="single" w:sz="4" w:space="0" w:color="auto"/>
            </w:tcBorders>
            <w:vAlign w:val="bottom"/>
          </w:tcPr>
          <w:p w14:paraId="74622972" w14:textId="77777777" w:rsidR="00B0420D" w:rsidRPr="0031447D" w:rsidRDefault="00B0420D" w:rsidP="00753044">
            <w:pPr>
              <w:tabs>
                <w:tab w:val="decimal" w:pos="113"/>
              </w:tabs>
              <w:spacing w:line="180" w:lineRule="exact"/>
              <w:ind w:left="57"/>
              <w:rPr>
                <w:sz w:val="18"/>
                <w:szCs w:val="18"/>
              </w:rPr>
            </w:pPr>
          </w:p>
        </w:tc>
      </w:tr>
      <w:tr w:rsidR="00B0420D" w:rsidRPr="0031447D" w14:paraId="1400F532" w14:textId="77777777" w:rsidTr="00BF3BAF">
        <w:tc>
          <w:tcPr>
            <w:tcW w:w="2435" w:type="dxa"/>
            <w:vAlign w:val="bottom"/>
          </w:tcPr>
          <w:p w14:paraId="5A230CC4" w14:textId="77777777" w:rsidR="00B0420D" w:rsidRPr="0031447D" w:rsidRDefault="00B0420D" w:rsidP="00753044">
            <w:pPr>
              <w:pStyle w:val="a3"/>
              <w:tabs>
                <w:tab w:val="left" w:pos="227"/>
                <w:tab w:val="left" w:pos="397"/>
                <w:tab w:val="left" w:pos="567"/>
              </w:tabs>
              <w:spacing w:line="180" w:lineRule="exact"/>
              <w:rPr>
                <w:sz w:val="18"/>
                <w:szCs w:val="18"/>
                <w:rtl/>
              </w:rPr>
            </w:pPr>
          </w:p>
        </w:tc>
        <w:tc>
          <w:tcPr>
            <w:tcW w:w="85" w:type="dxa"/>
          </w:tcPr>
          <w:p w14:paraId="0DAD9E09"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tcBorders>
            <w:vAlign w:val="bottom"/>
          </w:tcPr>
          <w:p w14:paraId="58948926" w14:textId="77777777" w:rsidR="00B0420D" w:rsidRPr="0031447D" w:rsidRDefault="00B0420D" w:rsidP="00753044">
            <w:pPr>
              <w:tabs>
                <w:tab w:val="decimal" w:pos="113"/>
              </w:tabs>
              <w:spacing w:line="180" w:lineRule="exact"/>
              <w:ind w:left="57"/>
              <w:rPr>
                <w:sz w:val="18"/>
                <w:szCs w:val="18"/>
              </w:rPr>
            </w:pPr>
          </w:p>
        </w:tc>
        <w:tc>
          <w:tcPr>
            <w:tcW w:w="140" w:type="dxa"/>
          </w:tcPr>
          <w:p w14:paraId="555E5464" w14:textId="77777777" w:rsidR="00B0420D" w:rsidRPr="0031447D" w:rsidRDefault="00B0420D" w:rsidP="00753044">
            <w:pPr>
              <w:tabs>
                <w:tab w:val="decimal" w:pos="113"/>
              </w:tabs>
              <w:spacing w:line="180" w:lineRule="exact"/>
              <w:ind w:left="57"/>
              <w:rPr>
                <w:sz w:val="18"/>
                <w:szCs w:val="18"/>
              </w:rPr>
            </w:pPr>
          </w:p>
        </w:tc>
        <w:tc>
          <w:tcPr>
            <w:tcW w:w="930" w:type="dxa"/>
            <w:tcBorders>
              <w:top w:val="single" w:sz="4" w:space="0" w:color="auto"/>
            </w:tcBorders>
            <w:vAlign w:val="bottom"/>
          </w:tcPr>
          <w:p w14:paraId="1ED85526" w14:textId="77777777" w:rsidR="00B0420D" w:rsidRPr="0031447D" w:rsidRDefault="00B0420D" w:rsidP="00753044">
            <w:pPr>
              <w:tabs>
                <w:tab w:val="decimal" w:pos="113"/>
              </w:tabs>
              <w:spacing w:line="180" w:lineRule="exact"/>
              <w:ind w:left="57"/>
              <w:rPr>
                <w:sz w:val="18"/>
                <w:szCs w:val="18"/>
              </w:rPr>
            </w:pPr>
          </w:p>
        </w:tc>
        <w:tc>
          <w:tcPr>
            <w:tcW w:w="113" w:type="dxa"/>
          </w:tcPr>
          <w:p w14:paraId="6C475DF5"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tcBorders>
            <w:vAlign w:val="bottom"/>
          </w:tcPr>
          <w:p w14:paraId="08EC60F7" w14:textId="77777777" w:rsidR="00B0420D" w:rsidRPr="0031447D" w:rsidRDefault="00B0420D" w:rsidP="00753044">
            <w:pPr>
              <w:tabs>
                <w:tab w:val="decimal" w:pos="113"/>
              </w:tabs>
              <w:spacing w:line="180" w:lineRule="exact"/>
              <w:ind w:left="57"/>
              <w:rPr>
                <w:sz w:val="18"/>
                <w:szCs w:val="18"/>
              </w:rPr>
            </w:pPr>
          </w:p>
        </w:tc>
        <w:tc>
          <w:tcPr>
            <w:tcW w:w="140" w:type="dxa"/>
          </w:tcPr>
          <w:p w14:paraId="6F509900"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tcBorders>
            <w:vAlign w:val="bottom"/>
          </w:tcPr>
          <w:p w14:paraId="020A9AD3" w14:textId="77777777" w:rsidR="00B0420D" w:rsidRPr="0031447D" w:rsidRDefault="00B0420D" w:rsidP="00753044">
            <w:pPr>
              <w:tabs>
                <w:tab w:val="decimal" w:pos="113"/>
              </w:tabs>
              <w:spacing w:line="180" w:lineRule="exact"/>
              <w:ind w:left="57"/>
              <w:rPr>
                <w:sz w:val="18"/>
                <w:szCs w:val="18"/>
              </w:rPr>
            </w:pPr>
          </w:p>
        </w:tc>
        <w:tc>
          <w:tcPr>
            <w:tcW w:w="140" w:type="dxa"/>
          </w:tcPr>
          <w:p w14:paraId="6BE25403" w14:textId="77777777" w:rsidR="00B0420D" w:rsidRPr="0031447D" w:rsidRDefault="00B0420D" w:rsidP="00753044">
            <w:pPr>
              <w:tabs>
                <w:tab w:val="decimal" w:pos="113"/>
              </w:tabs>
              <w:spacing w:line="180" w:lineRule="exact"/>
              <w:ind w:left="57"/>
              <w:rPr>
                <w:sz w:val="18"/>
                <w:szCs w:val="18"/>
              </w:rPr>
            </w:pPr>
          </w:p>
        </w:tc>
        <w:tc>
          <w:tcPr>
            <w:tcW w:w="820" w:type="dxa"/>
            <w:tcBorders>
              <w:top w:val="single" w:sz="4" w:space="0" w:color="auto"/>
            </w:tcBorders>
            <w:vAlign w:val="bottom"/>
          </w:tcPr>
          <w:p w14:paraId="64BDDC3E" w14:textId="77777777" w:rsidR="00B0420D" w:rsidRPr="0031447D" w:rsidRDefault="00B0420D" w:rsidP="00753044">
            <w:pPr>
              <w:tabs>
                <w:tab w:val="decimal" w:pos="113"/>
              </w:tabs>
              <w:spacing w:line="180" w:lineRule="exact"/>
              <w:ind w:left="57"/>
              <w:rPr>
                <w:sz w:val="18"/>
                <w:szCs w:val="18"/>
              </w:rPr>
            </w:pPr>
          </w:p>
        </w:tc>
        <w:tc>
          <w:tcPr>
            <w:tcW w:w="94" w:type="dxa"/>
          </w:tcPr>
          <w:p w14:paraId="62B72FAE" w14:textId="77777777" w:rsidR="00B0420D" w:rsidRPr="0031447D" w:rsidRDefault="00B0420D" w:rsidP="00753044">
            <w:pPr>
              <w:tabs>
                <w:tab w:val="decimal" w:pos="113"/>
              </w:tabs>
              <w:spacing w:line="180" w:lineRule="exact"/>
              <w:ind w:left="57"/>
              <w:rPr>
                <w:sz w:val="18"/>
                <w:szCs w:val="18"/>
              </w:rPr>
            </w:pPr>
          </w:p>
        </w:tc>
        <w:tc>
          <w:tcPr>
            <w:tcW w:w="807" w:type="dxa"/>
            <w:tcBorders>
              <w:top w:val="single" w:sz="4" w:space="0" w:color="auto"/>
            </w:tcBorders>
            <w:vAlign w:val="bottom"/>
          </w:tcPr>
          <w:p w14:paraId="28AD1B67" w14:textId="77777777" w:rsidR="00B0420D" w:rsidRPr="0031447D" w:rsidRDefault="00B0420D" w:rsidP="00753044">
            <w:pPr>
              <w:tabs>
                <w:tab w:val="decimal" w:pos="113"/>
              </w:tabs>
              <w:spacing w:line="180" w:lineRule="exact"/>
              <w:ind w:left="57"/>
              <w:rPr>
                <w:sz w:val="18"/>
                <w:szCs w:val="18"/>
              </w:rPr>
            </w:pPr>
          </w:p>
        </w:tc>
      </w:tr>
      <w:tr w:rsidR="00B0420D" w:rsidRPr="0031447D" w14:paraId="3190B2E1" w14:textId="77777777" w:rsidTr="00BF3BAF">
        <w:tc>
          <w:tcPr>
            <w:tcW w:w="2435" w:type="dxa"/>
            <w:vAlign w:val="bottom"/>
          </w:tcPr>
          <w:p w14:paraId="03CB2A2D"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b/>
                <w:bCs/>
                <w:sz w:val="18"/>
                <w:szCs w:val="18"/>
                <w:rtl/>
              </w:rPr>
              <w:t>פילוח לפי קווי מוצר/שירות:</w:t>
            </w:r>
          </w:p>
        </w:tc>
        <w:tc>
          <w:tcPr>
            <w:tcW w:w="85" w:type="dxa"/>
          </w:tcPr>
          <w:p w14:paraId="241DBDDE"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2409A5FF" w14:textId="77777777" w:rsidR="00B0420D" w:rsidRPr="0031447D" w:rsidRDefault="00B0420D" w:rsidP="00753044">
            <w:pPr>
              <w:tabs>
                <w:tab w:val="decimal" w:pos="113"/>
              </w:tabs>
              <w:spacing w:line="180" w:lineRule="exact"/>
              <w:ind w:left="57"/>
              <w:rPr>
                <w:sz w:val="18"/>
                <w:szCs w:val="18"/>
              </w:rPr>
            </w:pPr>
          </w:p>
        </w:tc>
        <w:tc>
          <w:tcPr>
            <w:tcW w:w="140" w:type="dxa"/>
          </w:tcPr>
          <w:p w14:paraId="2131F1E5"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141991E5" w14:textId="77777777" w:rsidR="00B0420D" w:rsidRPr="0031447D" w:rsidRDefault="00B0420D" w:rsidP="00753044">
            <w:pPr>
              <w:tabs>
                <w:tab w:val="decimal" w:pos="113"/>
              </w:tabs>
              <w:spacing w:line="180" w:lineRule="exact"/>
              <w:ind w:left="57"/>
              <w:rPr>
                <w:sz w:val="18"/>
                <w:szCs w:val="18"/>
              </w:rPr>
            </w:pPr>
          </w:p>
        </w:tc>
        <w:tc>
          <w:tcPr>
            <w:tcW w:w="113" w:type="dxa"/>
          </w:tcPr>
          <w:p w14:paraId="33FEBE68"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4EDB68CF" w14:textId="77777777" w:rsidR="00B0420D" w:rsidRPr="0031447D" w:rsidRDefault="00B0420D" w:rsidP="00753044">
            <w:pPr>
              <w:tabs>
                <w:tab w:val="decimal" w:pos="113"/>
              </w:tabs>
              <w:spacing w:line="180" w:lineRule="exact"/>
              <w:ind w:left="57"/>
              <w:rPr>
                <w:sz w:val="18"/>
                <w:szCs w:val="18"/>
              </w:rPr>
            </w:pPr>
          </w:p>
        </w:tc>
        <w:tc>
          <w:tcPr>
            <w:tcW w:w="140" w:type="dxa"/>
          </w:tcPr>
          <w:p w14:paraId="52509C8C"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79928E68" w14:textId="77777777" w:rsidR="00B0420D" w:rsidRPr="0031447D" w:rsidRDefault="00B0420D" w:rsidP="00753044">
            <w:pPr>
              <w:tabs>
                <w:tab w:val="decimal" w:pos="113"/>
              </w:tabs>
              <w:spacing w:line="180" w:lineRule="exact"/>
              <w:ind w:left="57"/>
              <w:rPr>
                <w:sz w:val="18"/>
                <w:szCs w:val="18"/>
              </w:rPr>
            </w:pPr>
          </w:p>
        </w:tc>
        <w:tc>
          <w:tcPr>
            <w:tcW w:w="140" w:type="dxa"/>
          </w:tcPr>
          <w:p w14:paraId="066E2D09"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4BC2727C" w14:textId="77777777" w:rsidR="00B0420D" w:rsidRPr="0031447D" w:rsidRDefault="00B0420D" w:rsidP="00753044">
            <w:pPr>
              <w:tabs>
                <w:tab w:val="decimal" w:pos="113"/>
              </w:tabs>
              <w:spacing w:line="180" w:lineRule="exact"/>
              <w:ind w:left="57"/>
              <w:rPr>
                <w:sz w:val="18"/>
                <w:szCs w:val="18"/>
              </w:rPr>
            </w:pPr>
          </w:p>
        </w:tc>
        <w:tc>
          <w:tcPr>
            <w:tcW w:w="94" w:type="dxa"/>
          </w:tcPr>
          <w:p w14:paraId="7DAECC12"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35D7C441" w14:textId="77777777" w:rsidR="00B0420D" w:rsidRPr="0031447D" w:rsidRDefault="00B0420D" w:rsidP="00753044">
            <w:pPr>
              <w:tabs>
                <w:tab w:val="decimal" w:pos="113"/>
              </w:tabs>
              <w:spacing w:line="180" w:lineRule="exact"/>
              <w:ind w:left="57"/>
              <w:rPr>
                <w:sz w:val="18"/>
                <w:szCs w:val="18"/>
              </w:rPr>
            </w:pPr>
          </w:p>
        </w:tc>
      </w:tr>
      <w:tr w:rsidR="00B0420D" w:rsidRPr="0031447D" w14:paraId="5D1C8F81" w14:textId="77777777" w:rsidTr="00BF3BAF">
        <w:tc>
          <w:tcPr>
            <w:tcW w:w="2435" w:type="dxa"/>
            <w:vAlign w:val="bottom"/>
          </w:tcPr>
          <w:p w14:paraId="172B1D3C"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ממכירת ציוד כיבוי למפעלים גדולים</w:t>
            </w:r>
          </w:p>
        </w:tc>
        <w:tc>
          <w:tcPr>
            <w:tcW w:w="85" w:type="dxa"/>
          </w:tcPr>
          <w:p w14:paraId="6C0D42D0"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53C9125C" w14:textId="77777777" w:rsidR="00B0420D" w:rsidRPr="0031447D" w:rsidRDefault="00B0420D" w:rsidP="00753044">
            <w:pPr>
              <w:tabs>
                <w:tab w:val="decimal" w:pos="113"/>
              </w:tabs>
              <w:spacing w:line="180" w:lineRule="exact"/>
              <w:ind w:left="57"/>
              <w:rPr>
                <w:sz w:val="18"/>
                <w:szCs w:val="18"/>
              </w:rPr>
            </w:pPr>
          </w:p>
        </w:tc>
        <w:tc>
          <w:tcPr>
            <w:tcW w:w="140" w:type="dxa"/>
          </w:tcPr>
          <w:p w14:paraId="63D2235E"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0FA3C616" w14:textId="77777777" w:rsidR="00B0420D" w:rsidRPr="0031447D" w:rsidRDefault="00B0420D" w:rsidP="00753044">
            <w:pPr>
              <w:tabs>
                <w:tab w:val="decimal" w:pos="113"/>
              </w:tabs>
              <w:spacing w:line="180" w:lineRule="exact"/>
              <w:ind w:left="57"/>
              <w:rPr>
                <w:sz w:val="18"/>
                <w:szCs w:val="18"/>
              </w:rPr>
            </w:pPr>
          </w:p>
        </w:tc>
        <w:tc>
          <w:tcPr>
            <w:tcW w:w="113" w:type="dxa"/>
          </w:tcPr>
          <w:p w14:paraId="18F2F3EA"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3B841B25" w14:textId="77777777" w:rsidR="00B0420D" w:rsidRPr="0031447D" w:rsidRDefault="00B0420D" w:rsidP="00753044">
            <w:pPr>
              <w:tabs>
                <w:tab w:val="decimal" w:pos="113"/>
              </w:tabs>
              <w:spacing w:line="180" w:lineRule="exact"/>
              <w:ind w:left="57"/>
              <w:rPr>
                <w:sz w:val="18"/>
                <w:szCs w:val="18"/>
              </w:rPr>
            </w:pPr>
          </w:p>
        </w:tc>
        <w:tc>
          <w:tcPr>
            <w:tcW w:w="140" w:type="dxa"/>
          </w:tcPr>
          <w:p w14:paraId="56122AB0"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1FC9063" w14:textId="77777777" w:rsidR="00B0420D" w:rsidRPr="0031447D" w:rsidRDefault="00B0420D" w:rsidP="00753044">
            <w:pPr>
              <w:tabs>
                <w:tab w:val="decimal" w:pos="113"/>
              </w:tabs>
              <w:spacing w:line="180" w:lineRule="exact"/>
              <w:ind w:left="57"/>
              <w:rPr>
                <w:sz w:val="18"/>
                <w:szCs w:val="18"/>
              </w:rPr>
            </w:pPr>
          </w:p>
        </w:tc>
        <w:tc>
          <w:tcPr>
            <w:tcW w:w="140" w:type="dxa"/>
          </w:tcPr>
          <w:p w14:paraId="213BCF67"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0E90670E" w14:textId="77777777" w:rsidR="00B0420D" w:rsidRPr="0031447D" w:rsidRDefault="00B0420D" w:rsidP="00753044">
            <w:pPr>
              <w:tabs>
                <w:tab w:val="decimal" w:pos="113"/>
              </w:tabs>
              <w:spacing w:line="180" w:lineRule="exact"/>
              <w:ind w:left="57"/>
              <w:rPr>
                <w:sz w:val="18"/>
                <w:szCs w:val="18"/>
              </w:rPr>
            </w:pPr>
          </w:p>
        </w:tc>
        <w:tc>
          <w:tcPr>
            <w:tcW w:w="94" w:type="dxa"/>
          </w:tcPr>
          <w:p w14:paraId="54CE463F"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0869C7A4" w14:textId="77777777" w:rsidR="00B0420D" w:rsidRPr="0031447D" w:rsidRDefault="00B0420D" w:rsidP="00753044">
            <w:pPr>
              <w:tabs>
                <w:tab w:val="decimal" w:pos="113"/>
              </w:tabs>
              <w:spacing w:line="180" w:lineRule="exact"/>
              <w:ind w:left="57"/>
              <w:rPr>
                <w:sz w:val="18"/>
                <w:szCs w:val="18"/>
              </w:rPr>
            </w:pPr>
          </w:p>
        </w:tc>
      </w:tr>
      <w:tr w:rsidR="00B0420D" w:rsidRPr="0031447D" w14:paraId="74B89585" w14:textId="77777777" w:rsidTr="00BF3BAF">
        <w:tc>
          <w:tcPr>
            <w:tcW w:w="2435" w:type="dxa"/>
            <w:vAlign w:val="bottom"/>
          </w:tcPr>
          <w:p w14:paraId="2BBA3928"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ממכירות ציוד כיבוי לעסקים קטנים</w:t>
            </w:r>
          </w:p>
        </w:tc>
        <w:tc>
          <w:tcPr>
            <w:tcW w:w="85" w:type="dxa"/>
          </w:tcPr>
          <w:p w14:paraId="222F7F96"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133E5EFC" w14:textId="77777777" w:rsidR="00B0420D" w:rsidRPr="0031447D" w:rsidRDefault="00B0420D" w:rsidP="00753044">
            <w:pPr>
              <w:tabs>
                <w:tab w:val="decimal" w:pos="113"/>
              </w:tabs>
              <w:spacing w:line="180" w:lineRule="exact"/>
              <w:ind w:left="57"/>
              <w:rPr>
                <w:sz w:val="18"/>
                <w:szCs w:val="18"/>
              </w:rPr>
            </w:pPr>
          </w:p>
        </w:tc>
        <w:tc>
          <w:tcPr>
            <w:tcW w:w="140" w:type="dxa"/>
          </w:tcPr>
          <w:p w14:paraId="5ACE9395"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42009126" w14:textId="77777777" w:rsidR="00B0420D" w:rsidRPr="0031447D" w:rsidRDefault="00B0420D" w:rsidP="00753044">
            <w:pPr>
              <w:tabs>
                <w:tab w:val="decimal" w:pos="113"/>
              </w:tabs>
              <w:spacing w:line="180" w:lineRule="exact"/>
              <w:ind w:left="57"/>
              <w:rPr>
                <w:sz w:val="18"/>
                <w:szCs w:val="18"/>
              </w:rPr>
            </w:pPr>
          </w:p>
        </w:tc>
        <w:tc>
          <w:tcPr>
            <w:tcW w:w="113" w:type="dxa"/>
          </w:tcPr>
          <w:p w14:paraId="2ACD265D"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B45832C" w14:textId="77777777" w:rsidR="00B0420D" w:rsidRPr="0031447D" w:rsidRDefault="00B0420D" w:rsidP="00753044">
            <w:pPr>
              <w:tabs>
                <w:tab w:val="decimal" w:pos="113"/>
              </w:tabs>
              <w:spacing w:line="180" w:lineRule="exact"/>
              <w:ind w:left="57"/>
              <w:rPr>
                <w:sz w:val="18"/>
                <w:szCs w:val="18"/>
              </w:rPr>
            </w:pPr>
          </w:p>
        </w:tc>
        <w:tc>
          <w:tcPr>
            <w:tcW w:w="140" w:type="dxa"/>
          </w:tcPr>
          <w:p w14:paraId="54C5EA1A"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47B2CD59" w14:textId="77777777" w:rsidR="00B0420D" w:rsidRPr="0031447D" w:rsidRDefault="00B0420D" w:rsidP="00753044">
            <w:pPr>
              <w:tabs>
                <w:tab w:val="decimal" w:pos="113"/>
              </w:tabs>
              <w:spacing w:line="180" w:lineRule="exact"/>
              <w:ind w:left="57"/>
              <w:rPr>
                <w:sz w:val="18"/>
                <w:szCs w:val="18"/>
              </w:rPr>
            </w:pPr>
          </w:p>
        </w:tc>
        <w:tc>
          <w:tcPr>
            <w:tcW w:w="140" w:type="dxa"/>
          </w:tcPr>
          <w:p w14:paraId="317CAA5F"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16A0CC97" w14:textId="77777777" w:rsidR="00B0420D" w:rsidRPr="0031447D" w:rsidRDefault="00B0420D" w:rsidP="00753044">
            <w:pPr>
              <w:tabs>
                <w:tab w:val="decimal" w:pos="113"/>
              </w:tabs>
              <w:spacing w:line="180" w:lineRule="exact"/>
              <w:ind w:left="57"/>
              <w:rPr>
                <w:sz w:val="18"/>
                <w:szCs w:val="18"/>
              </w:rPr>
            </w:pPr>
          </w:p>
        </w:tc>
        <w:tc>
          <w:tcPr>
            <w:tcW w:w="94" w:type="dxa"/>
          </w:tcPr>
          <w:p w14:paraId="31D57AAC"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65CFECB4" w14:textId="77777777" w:rsidR="00B0420D" w:rsidRPr="0031447D" w:rsidRDefault="00B0420D" w:rsidP="00753044">
            <w:pPr>
              <w:tabs>
                <w:tab w:val="decimal" w:pos="113"/>
              </w:tabs>
              <w:spacing w:line="180" w:lineRule="exact"/>
              <w:ind w:left="57"/>
              <w:rPr>
                <w:sz w:val="18"/>
                <w:szCs w:val="18"/>
              </w:rPr>
            </w:pPr>
          </w:p>
        </w:tc>
      </w:tr>
      <w:tr w:rsidR="00B0420D" w:rsidRPr="0031447D" w14:paraId="3675CBA6" w14:textId="77777777" w:rsidTr="00BF3BAF">
        <w:tc>
          <w:tcPr>
            <w:tcW w:w="2435" w:type="dxa"/>
            <w:vAlign w:val="bottom"/>
          </w:tcPr>
          <w:p w14:paraId="684D113D"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מביצוע התקנת ציוד כיבוי</w:t>
            </w:r>
          </w:p>
        </w:tc>
        <w:tc>
          <w:tcPr>
            <w:tcW w:w="85" w:type="dxa"/>
          </w:tcPr>
          <w:p w14:paraId="6F9B5029"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345F3087" w14:textId="77777777" w:rsidR="00B0420D" w:rsidRPr="0031447D" w:rsidRDefault="00B0420D" w:rsidP="00753044">
            <w:pPr>
              <w:tabs>
                <w:tab w:val="decimal" w:pos="113"/>
              </w:tabs>
              <w:spacing w:line="180" w:lineRule="exact"/>
              <w:ind w:left="57"/>
              <w:rPr>
                <w:sz w:val="18"/>
                <w:szCs w:val="18"/>
              </w:rPr>
            </w:pPr>
          </w:p>
        </w:tc>
        <w:tc>
          <w:tcPr>
            <w:tcW w:w="140" w:type="dxa"/>
          </w:tcPr>
          <w:p w14:paraId="42D579CB"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12AE36EB" w14:textId="77777777" w:rsidR="00B0420D" w:rsidRPr="0031447D" w:rsidRDefault="00B0420D" w:rsidP="00753044">
            <w:pPr>
              <w:tabs>
                <w:tab w:val="decimal" w:pos="113"/>
              </w:tabs>
              <w:spacing w:line="180" w:lineRule="exact"/>
              <w:ind w:left="57"/>
              <w:rPr>
                <w:sz w:val="18"/>
                <w:szCs w:val="18"/>
              </w:rPr>
            </w:pPr>
          </w:p>
        </w:tc>
        <w:tc>
          <w:tcPr>
            <w:tcW w:w="113" w:type="dxa"/>
          </w:tcPr>
          <w:p w14:paraId="407D8480"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2A510602" w14:textId="77777777" w:rsidR="00B0420D" w:rsidRPr="0031447D" w:rsidRDefault="00B0420D" w:rsidP="00753044">
            <w:pPr>
              <w:tabs>
                <w:tab w:val="decimal" w:pos="113"/>
              </w:tabs>
              <w:spacing w:line="180" w:lineRule="exact"/>
              <w:ind w:left="57"/>
              <w:rPr>
                <w:sz w:val="18"/>
                <w:szCs w:val="18"/>
              </w:rPr>
            </w:pPr>
          </w:p>
        </w:tc>
        <w:tc>
          <w:tcPr>
            <w:tcW w:w="140" w:type="dxa"/>
          </w:tcPr>
          <w:p w14:paraId="01603699"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631B4413" w14:textId="77777777" w:rsidR="00B0420D" w:rsidRPr="0031447D" w:rsidRDefault="00B0420D" w:rsidP="00753044">
            <w:pPr>
              <w:tabs>
                <w:tab w:val="decimal" w:pos="113"/>
              </w:tabs>
              <w:spacing w:line="180" w:lineRule="exact"/>
              <w:ind w:left="57"/>
              <w:rPr>
                <w:sz w:val="18"/>
                <w:szCs w:val="18"/>
              </w:rPr>
            </w:pPr>
          </w:p>
        </w:tc>
        <w:tc>
          <w:tcPr>
            <w:tcW w:w="140" w:type="dxa"/>
          </w:tcPr>
          <w:p w14:paraId="280F8B76"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7765E4C9" w14:textId="77777777" w:rsidR="00B0420D" w:rsidRPr="0031447D" w:rsidRDefault="00B0420D" w:rsidP="00753044">
            <w:pPr>
              <w:tabs>
                <w:tab w:val="decimal" w:pos="113"/>
              </w:tabs>
              <w:spacing w:line="180" w:lineRule="exact"/>
              <w:ind w:left="57"/>
              <w:rPr>
                <w:sz w:val="18"/>
                <w:szCs w:val="18"/>
              </w:rPr>
            </w:pPr>
          </w:p>
        </w:tc>
        <w:tc>
          <w:tcPr>
            <w:tcW w:w="94" w:type="dxa"/>
          </w:tcPr>
          <w:p w14:paraId="1B06F8B2"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757F79EF" w14:textId="77777777" w:rsidR="00B0420D" w:rsidRPr="0031447D" w:rsidRDefault="00B0420D" w:rsidP="00753044">
            <w:pPr>
              <w:tabs>
                <w:tab w:val="decimal" w:pos="113"/>
              </w:tabs>
              <w:spacing w:line="180" w:lineRule="exact"/>
              <w:ind w:left="57"/>
              <w:rPr>
                <w:sz w:val="18"/>
                <w:szCs w:val="18"/>
              </w:rPr>
            </w:pPr>
          </w:p>
        </w:tc>
      </w:tr>
      <w:tr w:rsidR="00B0420D" w:rsidRPr="0031447D" w14:paraId="4555BDBE" w14:textId="77777777" w:rsidTr="00BF3BAF">
        <w:tc>
          <w:tcPr>
            <w:tcW w:w="2435" w:type="dxa"/>
            <w:vAlign w:val="bottom"/>
          </w:tcPr>
          <w:p w14:paraId="601262AA" w14:textId="77777777" w:rsidR="00B0420D" w:rsidRPr="00D1565B"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מביצוע עבודות אלקטרוניקה</w:t>
            </w:r>
          </w:p>
        </w:tc>
        <w:tc>
          <w:tcPr>
            <w:tcW w:w="85" w:type="dxa"/>
          </w:tcPr>
          <w:p w14:paraId="3C5FF8E9"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48DCE4BA" w14:textId="77777777" w:rsidR="00B0420D" w:rsidRPr="0031447D" w:rsidRDefault="00B0420D" w:rsidP="00753044">
            <w:pPr>
              <w:tabs>
                <w:tab w:val="decimal" w:pos="113"/>
              </w:tabs>
              <w:spacing w:line="180" w:lineRule="exact"/>
              <w:ind w:left="57"/>
              <w:rPr>
                <w:sz w:val="18"/>
                <w:szCs w:val="18"/>
              </w:rPr>
            </w:pPr>
          </w:p>
        </w:tc>
        <w:tc>
          <w:tcPr>
            <w:tcW w:w="140" w:type="dxa"/>
          </w:tcPr>
          <w:p w14:paraId="5D3F847E"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68CAB634" w14:textId="77777777" w:rsidR="00B0420D" w:rsidRPr="0031447D" w:rsidRDefault="00B0420D" w:rsidP="00753044">
            <w:pPr>
              <w:tabs>
                <w:tab w:val="decimal" w:pos="113"/>
              </w:tabs>
              <w:spacing w:line="180" w:lineRule="exact"/>
              <w:ind w:left="57"/>
              <w:rPr>
                <w:sz w:val="18"/>
                <w:szCs w:val="18"/>
              </w:rPr>
            </w:pPr>
          </w:p>
        </w:tc>
        <w:tc>
          <w:tcPr>
            <w:tcW w:w="113" w:type="dxa"/>
          </w:tcPr>
          <w:p w14:paraId="43BCE054"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3FF6BE86" w14:textId="77777777" w:rsidR="00B0420D" w:rsidRPr="0031447D" w:rsidRDefault="00B0420D" w:rsidP="00753044">
            <w:pPr>
              <w:tabs>
                <w:tab w:val="decimal" w:pos="113"/>
              </w:tabs>
              <w:spacing w:line="180" w:lineRule="exact"/>
              <w:ind w:left="57"/>
              <w:rPr>
                <w:sz w:val="18"/>
                <w:szCs w:val="18"/>
              </w:rPr>
            </w:pPr>
          </w:p>
        </w:tc>
        <w:tc>
          <w:tcPr>
            <w:tcW w:w="140" w:type="dxa"/>
          </w:tcPr>
          <w:p w14:paraId="77F7E382"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7BDFE158" w14:textId="77777777" w:rsidR="00B0420D" w:rsidRPr="0031447D" w:rsidRDefault="00B0420D" w:rsidP="00753044">
            <w:pPr>
              <w:tabs>
                <w:tab w:val="decimal" w:pos="113"/>
              </w:tabs>
              <w:spacing w:line="180" w:lineRule="exact"/>
              <w:ind w:left="57"/>
              <w:rPr>
                <w:sz w:val="18"/>
                <w:szCs w:val="18"/>
              </w:rPr>
            </w:pPr>
          </w:p>
        </w:tc>
        <w:tc>
          <w:tcPr>
            <w:tcW w:w="140" w:type="dxa"/>
          </w:tcPr>
          <w:p w14:paraId="56D4D531"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3E03AC1E" w14:textId="77777777" w:rsidR="00B0420D" w:rsidRPr="0031447D" w:rsidRDefault="00B0420D" w:rsidP="00753044">
            <w:pPr>
              <w:tabs>
                <w:tab w:val="decimal" w:pos="113"/>
              </w:tabs>
              <w:spacing w:line="180" w:lineRule="exact"/>
              <w:ind w:left="57"/>
              <w:rPr>
                <w:sz w:val="18"/>
                <w:szCs w:val="18"/>
              </w:rPr>
            </w:pPr>
          </w:p>
        </w:tc>
        <w:tc>
          <w:tcPr>
            <w:tcW w:w="94" w:type="dxa"/>
          </w:tcPr>
          <w:p w14:paraId="2DEEC348"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3BC66677" w14:textId="77777777" w:rsidR="00B0420D" w:rsidRPr="0031447D" w:rsidRDefault="00B0420D" w:rsidP="00753044">
            <w:pPr>
              <w:tabs>
                <w:tab w:val="decimal" w:pos="113"/>
              </w:tabs>
              <w:spacing w:line="180" w:lineRule="exact"/>
              <w:ind w:left="57"/>
              <w:rPr>
                <w:sz w:val="18"/>
                <w:szCs w:val="18"/>
              </w:rPr>
            </w:pPr>
          </w:p>
        </w:tc>
      </w:tr>
      <w:tr w:rsidR="00B0420D" w:rsidRPr="0031447D" w14:paraId="1A99A351" w14:textId="77777777" w:rsidTr="00BF3BAF">
        <w:tc>
          <w:tcPr>
            <w:tcW w:w="2435" w:type="dxa"/>
            <w:vAlign w:val="bottom"/>
          </w:tcPr>
          <w:p w14:paraId="055D0C0D" w14:textId="77777777" w:rsidR="00B0420D" w:rsidRPr="00D1565B"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ממכירת מוצרי אלקטרוניקה</w:t>
            </w:r>
          </w:p>
        </w:tc>
        <w:tc>
          <w:tcPr>
            <w:tcW w:w="85" w:type="dxa"/>
          </w:tcPr>
          <w:p w14:paraId="5DA40305"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7814CEC6" w14:textId="77777777" w:rsidR="00B0420D" w:rsidRPr="0031447D" w:rsidRDefault="00B0420D" w:rsidP="00753044">
            <w:pPr>
              <w:tabs>
                <w:tab w:val="decimal" w:pos="113"/>
              </w:tabs>
              <w:spacing w:line="180" w:lineRule="exact"/>
              <w:ind w:left="57"/>
              <w:rPr>
                <w:sz w:val="18"/>
                <w:szCs w:val="18"/>
              </w:rPr>
            </w:pPr>
          </w:p>
        </w:tc>
        <w:tc>
          <w:tcPr>
            <w:tcW w:w="140" w:type="dxa"/>
          </w:tcPr>
          <w:p w14:paraId="514D7AB7"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246990D4" w14:textId="77777777" w:rsidR="00B0420D" w:rsidRPr="0031447D" w:rsidRDefault="00B0420D" w:rsidP="00753044">
            <w:pPr>
              <w:tabs>
                <w:tab w:val="decimal" w:pos="113"/>
              </w:tabs>
              <w:spacing w:line="180" w:lineRule="exact"/>
              <w:ind w:left="57"/>
              <w:rPr>
                <w:sz w:val="18"/>
                <w:szCs w:val="18"/>
              </w:rPr>
            </w:pPr>
          </w:p>
        </w:tc>
        <w:tc>
          <w:tcPr>
            <w:tcW w:w="113" w:type="dxa"/>
          </w:tcPr>
          <w:p w14:paraId="00E5E066"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0DDE5232" w14:textId="77777777" w:rsidR="00B0420D" w:rsidRPr="0031447D" w:rsidRDefault="00B0420D" w:rsidP="00753044">
            <w:pPr>
              <w:tabs>
                <w:tab w:val="decimal" w:pos="113"/>
              </w:tabs>
              <w:spacing w:line="180" w:lineRule="exact"/>
              <w:ind w:left="57"/>
              <w:rPr>
                <w:sz w:val="18"/>
                <w:szCs w:val="18"/>
              </w:rPr>
            </w:pPr>
          </w:p>
        </w:tc>
        <w:tc>
          <w:tcPr>
            <w:tcW w:w="140" w:type="dxa"/>
          </w:tcPr>
          <w:p w14:paraId="2503F0EE"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233E923F" w14:textId="77777777" w:rsidR="00B0420D" w:rsidRPr="0031447D" w:rsidRDefault="00B0420D" w:rsidP="00753044">
            <w:pPr>
              <w:tabs>
                <w:tab w:val="decimal" w:pos="113"/>
              </w:tabs>
              <w:spacing w:line="180" w:lineRule="exact"/>
              <w:ind w:left="57"/>
              <w:rPr>
                <w:sz w:val="18"/>
                <w:szCs w:val="18"/>
              </w:rPr>
            </w:pPr>
          </w:p>
        </w:tc>
        <w:tc>
          <w:tcPr>
            <w:tcW w:w="140" w:type="dxa"/>
          </w:tcPr>
          <w:p w14:paraId="327D4A6D"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0B9CF707" w14:textId="77777777" w:rsidR="00B0420D" w:rsidRPr="0031447D" w:rsidRDefault="00B0420D" w:rsidP="00753044">
            <w:pPr>
              <w:tabs>
                <w:tab w:val="decimal" w:pos="113"/>
              </w:tabs>
              <w:spacing w:line="180" w:lineRule="exact"/>
              <w:ind w:left="57"/>
              <w:rPr>
                <w:sz w:val="18"/>
                <w:szCs w:val="18"/>
              </w:rPr>
            </w:pPr>
          </w:p>
        </w:tc>
        <w:tc>
          <w:tcPr>
            <w:tcW w:w="94" w:type="dxa"/>
          </w:tcPr>
          <w:p w14:paraId="1FBD84F3"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44A21F5A" w14:textId="77777777" w:rsidR="00B0420D" w:rsidRPr="0031447D" w:rsidRDefault="00B0420D" w:rsidP="00753044">
            <w:pPr>
              <w:tabs>
                <w:tab w:val="decimal" w:pos="113"/>
              </w:tabs>
              <w:spacing w:line="180" w:lineRule="exact"/>
              <w:ind w:left="57"/>
              <w:rPr>
                <w:sz w:val="18"/>
                <w:szCs w:val="18"/>
              </w:rPr>
            </w:pPr>
          </w:p>
        </w:tc>
      </w:tr>
      <w:tr w:rsidR="00B0420D" w:rsidRPr="0031447D" w14:paraId="59A13233" w14:textId="77777777" w:rsidTr="00BF3BAF">
        <w:tc>
          <w:tcPr>
            <w:tcW w:w="2435" w:type="dxa"/>
            <w:vAlign w:val="bottom"/>
          </w:tcPr>
          <w:p w14:paraId="131B0D88" w14:textId="77777777" w:rsidR="00B0420D" w:rsidRPr="00D1565B"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ממכירת משרדים</w:t>
            </w:r>
          </w:p>
        </w:tc>
        <w:tc>
          <w:tcPr>
            <w:tcW w:w="85" w:type="dxa"/>
          </w:tcPr>
          <w:p w14:paraId="0FE2C93D"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0A4EF0CC" w14:textId="77777777" w:rsidR="00B0420D" w:rsidRPr="0031447D" w:rsidRDefault="00B0420D" w:rsidP="00753044">
            <w:pPr>
              <w:tabs>
                <w:tab w:val="decimal" w:pos="113"/>
              </w:tabs>
              <w:spacing w:line="180" w:lineRule="exact"/>
              <w:ind w:left="57"/>
              <w:rPr>
                <w:sz w:val="18"/>
                <w:szCs w:val="18"/>
              </w:rPr>
            </w:pPr>
          </w:p>
        </w:tc>
        <w:tc>
          <w:tcPr>
            <w:tcW w:w="140" w:type="dxa"/>
          </w:tcPr>
          <w:p w14:paraId="1178681A"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533E6471" w14:textId="77777777" w:rsidR="00B0420D" w:rsidRPr="0031447D" w:rsidRDefault="00B0420D" w:rsidP="00753044">
            <w:pPr>
              <w:tabs>
                <w:tab w:val="decimal" w:pos="113"/>
              </w:tabs>
              <w:spacing w:line="180" w:lineRule="exact"/>
              <w:ind w:left="57"/>
              <w:rPr>
                <w:sz w:val="18"/>
                <w:szCs w:val="18"/>
              </w:rPr>
            </w:pPr>
          </w:p>
        </w:tc>
        <w:tc>
          <w:tcPr>
            <w:tcW w:w="113" w:type="dxa"/>
          </w:tcPr>
          <w:p w14:paraId="1BA02955"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6A5E5308" w14:textId="77777777" w:rsidR="00B0420D" w:rsidRPr="0031447D" w:rsidRDefault="00B0420D" w:rsidP="00753044">
            <w:pPr>
              <w:tabs>
                <w:tab w:val="decimal" w:pos="113"/>
              </w:tabs>
              <w:spacing w:line="180" w:lineRule="exact"/>
              <w:ind w:left="57"/>
              <w:rPr>
                <w:sz w:val="18"/>
                <w:szCs w:val="18"/>
              </w:rPr>
            </w:pPr>
          </w:p>
        </w:tc>
        <w:tc>
          <w:tcPr>
            <w:tcW w:w="140" w:type="dxa"/>
          </w:tcPr>
          <w:p w14:paraId="3FA439BD"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A47EDB7" w14:textId="77777777" w:rsidR="00B0420D" w:rsidRPr="0031447D" w:rsidRDefault="00B0420D" w:rsidP="00753044">
            <w:pPr>
              <w:tabs>
                <w:tab w:val="decimal" w:pos="113"/>
              </w:tabs>
              <w:spacing w:line="180" w:lineRule="exact"/>
              <w:ind w:left="57"/>
              <w:rPr>
                <w:sz w:val="18"/>
                <w:szCs w:val="18"/>
              </w:rPr>
            </w:pPr>
          </w:p>
        </w:tc>
        <w:tc>
          <w:tcPr>
            <w:tcW w:w="140" w:type="dxa"/>
          </w:tcPr>
          <w:p w14:paraId="54774817"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7F15868C" w14:textId="77777777" w:rsidR="00B0420D" w:rsidRPr="0031447D" w:rsidRDefault="00B0420D" w:rsidP="00753044">
            <w:pPr>
              <w:tabs>
                <w:tab w:val="decimal" w:pos="113"/>
              </w:tabs>
              <w:spacing w:line="180" w:lineRule="exact"/>
              <w:ind w:left="57"/>
              <w:rPr>
                <w:sz w:val="18"/>
                <w:szCs w:val="18"/>
              </w:rPr>
            </w:pPr>
          </w:p>
        </w:tc>
        <w:tc>
          <w:tcPr>
            <w:tcW w:w="94" w:type="dxa"/>
          </w:tcPr>
          <w:p w14:paraId="77D7B426"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2927096C" w14:textId="77777777" w:rsidR="00B0420D" w:rsidRPr="0031447D" w:rsidRDefault="00B0420D" w:rsidP="00753044">
            <w:pPr>
              <w:tabs>
                <w:tab w:val="decimal" w:pos="113"/>
              </w:tabs>
              <w:spacing w:line="180" w:lineRule="exact"/>
              <w:ind w:left="57"/>
              <w:rPr>
                <w:sz w:val="18"/>
                <w:szCs w:val="18"/>
              </w:rPr>
            </w:pPr>
          </w:p>
        </w:tc>
      </w:tr>
      <w:tr w:rsidR="00B0420D" w:rsidRPr="0031447D" w14:paraId="28B807B7" w14:textId="77777777" w:rsidTr="00BF3BAF">
        <w:tc>
          <w:tcPr>
            <w:tcW w:w="2435" w:type="dxa"/>
            <w:vAlign w:val="bottom"/>
          </w:tcPr>
          <w:p w14:paraId="180FB0B0" w14:textId="77777777" w:rsidR="00B0420D" w:rsidRPr="00D1565B"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ממכירת דירות למגורים</w:t>
            </w:r>
          </w:p>
        </w:tc>
        <w:tc>
          <w:tcPr>
            <w:tcW w:w="85" w:type="dxa"/>
          </w:tcPr>
          <w:p w14:paraId="2CFA0177"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bottom w:val="single" w:sz="6" w:space="0" w:color="auto"/>
            </w:tcBorders>
            <w:shd w:val="clear" w:color="auto" w:fill="auto"/>
            <w:vAlign w:val="bottom"/>
          </w:tcPr>
          <w:p w14:paraId="0E170E8C" w14:textId="77777777" w:rsidR="00B0420D" w:rsidRPr="0031447D" w:rsidRDefault="00B0420D" w:rsidP="00753044">
            <w:pPr>
              <w:tabs>
                <w:tab w:val="decimal" w:pos="113"/>
              </w:tabs>
              <w:spacing w:line="180" w:lineRule="exact"/>
              <w:ind w:left="57"/>
              <w:rPr>
                <w:sz w:val="18"/>
                <w:szCs w:val="18"/>
              </w:rPr>
            </w:pPr>
          </w:p>
        </w:tc>
        <w:tc>
          <w:tcPr>
            <w:tcW w:w="140" w:type="dxa"/>
          </w:tcPr>
          <w:p w14:paraId="2595BBF2" w14:textId="77777777" w:rsidR="00B0420D" w:rsidRPr="0031447D" w:rsidRDefault="00B0420D" w:rsidP="00753044">
            <w:pPr>
              <w:tabs>
                <w:tab w:val="decimal" w:pos="113"/>
              </w:tabs>
              <w:spacing w:line="180" w:lineRule="exact"/>
              <w:ind w:left="57"/>
              <w:rPr>
                <w:sz w:val="18"/>
                <w:szCs w:val="18"/>
              </w:rPr>
            </w:pPr>
          </w:p>
        </w:tc>
        <w:tc>
          <w:tcPr>
            <w:tcW w:w="930" w:type="dxa"/>
            <w:tcBorders>
              <w:bottom w:val="single" w:sz="6" w:space="0" w:color="auto"/>
            </w:tcBorders>
            <w:shd w:val="clear" w:color="auto" w:fill="auto"/>
            <w:vAlign w:val="bottom"/>
          </w:tcPr>
          <w:p w14:paraId="7C57F765" w14:textId="77777777" w:rsidR="00B0420D" w:rsidRPr="0031447D" w:rsidRDefault="00B0420D" w:rsidP="00753044">
            <w:pPr>
              <w:tabs>
                <w:tab w:val="decimal" w:pos="113"/>
              </w:tabs>
              <w:spacing w:line="180" w:lineRule="exact"/>
              <w:ind w:left="57"/>
              <w:rPr>
                <w:sz w:val="18"/>
                <w:szCs w:val="18"/>
              </w:rPr>
            </w:pPr>
          </w:p>
        </w:tc>
        <w:tc>
          <w:tcPr>
            <w:tcW w:w="113" w:type="dxa"/>
          </w:tcPr>
          <w:p w14:paraId="55BADEA4"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6" w:space="0" w:color="auto"/>
            </w:tcBorders>
            <w:shd w:val="clear" w:color="auto" w:fill="auto"/>
            <w:vAlign w:val="bottom"/>
          </w:tcPr>
          <w:p w14:paraId="7CFC2AA4" w14:textId="77777777" w:rsidR="00B0420D" w:rsidRPr="0031447D" w:rsidRDefault="00B0420D" w:rsidP="00753044">
            <w:pPr>
              <w:tabs>
                <w:tab w:val="decimal" w:pos="113"/>
              </w:tabs>
              <w:spacing w:line="180" w:lineRule="exact"/>
              <w:ind w:left="57"/>
              <w:rPr>
                <w:sz w:val="18"/>
                <w:szCs w:val="18"/>
              </w:rPr>
            </w:pPr>
          </w:p>
        </w:tc>
        <w:tc>
          <w:tcPr>
            <w:tcW w:w="140" w:type="dxa"/>
          </w:tcPr>
          <w:p w14:paraId="70FCD973"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6" w:space="0" w:color="auto"/>
            </w:tcBorders>
            <w:shd w:val="clear" w:color="auto" w:fill="auto"/>
            <w:vAlign w:val="bottom"/>
          </w:tcPr>
          <w:p w14:paraId="2F2F04FE" w14:textId="77777777" w:rsidR="00B0420D" w:rsidRPr="0031447D" w:rsidRDefault="00B0420D" w:rsidP="00753044">
            <w:pPr>
              <w:tabs>
                <w:tab w:val="decimal" w:pos="113"/>
              </w:tabs>
              <w:spacing w:line="180" w:lineRule="exact"/>
              <w:ind w:left="57"/>
              <w:rPr>
                <w:sz w:val="18"/>
                <w:szCs w:val="18"/>
              </w:rPr>
            </w:pPr>
          </w:p>
        </w:tc>
        <w:tc>
          <w:tcPr>
            <w:tcW w:w="140" w:type="dxa"/>
          </w:tcPr>
          <w:p w14:paraId="39DF53A0" w14:textId="77777777" w:rsidR="00B0420D" w:rsidRPr="0031447D" w:rsidRDefault="00B0420D" w:rsidP="00753044">
            <w:pPr>
              <w:tabs>
                <w:tab w:val="decimal" w:pos="113"/>
              </w:tabs>
              <w:spacing w:line="180" w:lineRule="exact"/>
              <w:ind w:left="57"/>
              <w:rPr>
                <w:sz w:val="18"/>
                <w:szCs w:val="18"/>
              </w:rPr>
            </w:pPr>
          </w:p>
        </w:tc>
        <w:tc>
          <w:tcPr>
            <w:tcW w:w="820" w:type="dxa"/>
            <w:tcBorders>
              <w:bottom w:val="single" w:sz="6" w:space="0" w:color="auto"/>
            </w:tcBorders>
            <w:shd w:val="clear" w:color="auto" w:fill="auto"/>
            <w:vAlign w:val="bottom"/>
          </w:tcPr>
          <w:p w14:paraId="4797E250" w14:textId="77777777" w:rsidR="00B0420D" w:rsidRPr="0031447D" w:rsidRDefault="00B0420D" w:rsidP="00753044">
            <w:pPr>
              <w:tabs>
                <w:tab w:val="decimal" w:pos="113"/>
              </w:tabs>
              <w:spacing w:line="180" w:lineRule="exact"/>
              <w:ind w:left="57"/>
              <w:rPr>
                <w:sz w:val="18"/>
                <w:szCs w:val="18"/>
              </w:rPr>
            </w:pPr>
          </w:p>
        </w:tc>
        <w:tc>
          <w:tcPr>
            <w:tcW w:w="94" w:type="dxa"/>
          </w:tcPr>
          <w:p w14:paraId="28D1F1F4" w14:textId="77777777" w:rsidR="00B0420D" w:rsidRPr="0031447D" w:rsidRDefault="00B0420D" w:rsidP="00753044">
            <w:pPr>
              <w:tabs>
                <w:tab w:val="decimal" w:pos="113"/>
              </w:tabs>
              <w:spacing w:line="180" w:lineRule="exact"/>
              <w:ind w:left="57"/>
              <w:rPr>
                <w:sz w:val="18"/>
                <w:szCs w:val="18"/>
              </w:rPr>
            </w:pPr>
          </w:p>
        </w:tc>
        <w:tc>
          <w:tcPr>
            <w:tcW w:w="807" w:type="dxa"/>
            <w:tcBorders>
              <w:bottom w:val="single" w:sz="6" w:space="0" w:color="auto"/>
            </w:tcBorders>
            <w:shd w:val="clear" w:color="auto" w:fill="auto"/>
            <w:vAlign w:val="bottom"/>
          </w:tcPr>
          <w:p w14:paraId="193BDDC8" w14:textId="77777777" w:rsidR="00B0420D" w:rsidRPr="0031447D" w:rsidRDefault="00B0420D" w:rsidP="00753044">
            <w:pPr>
              <w:tabs>
                <w:tab w:val="decimal" w:pos="113"/>
              </w:tabs>
              <w:spacing w:line="180" w:lineRule="exact"/>
              <w:ind w:left="57"/>
              <w:rPr>
                <w:sz w:val="18"/>
                <w:szCs w:val="18"/>
              </w:rPr>
            </w:pPr>
          </w:p>
        </w:tc>
      </w:tr>
      <w:tr w:rsidR="00B0420D" w:rsidRPr="0031447D" w14:paraId="6CD9F09C" w14:textId="77777777" w:rsidTr="00BF3BAF">
        <w:tc>
          <w:tcPr>
            <w:tcW w:w="2435" w:type="dxa"/>
            <w:vAlign w:val="bottom"/>
          </w:tcPr>
          <w:p w14:paraId="5C4A8947" w14:textId="77777777" w:rsidR="00B0420D" w:rsidRDefault="00B0420D" w:rsidP="00753044">
            <w:pPr>
              <w:pStyle w:val="a3"/>
              <w:tabs>
                <w:tab w:val="left" w:pos="227"/>
                <w:tab w:val="left" w:pos="397"/>
                <w:tab w:val="left" w:pos="567"/>
              </w:tabs>
              <w:spacing w:line="180" w:lineRule="exact"/>
              <w:rPr>
                <w:sz w:val="18"/>
                <w:szCs w:val="18"/>
                <w:rtl/>
              </w:rPr>
            </w:pPr>
          </w:p>
        </w:tc>
        <w:tc>
          <w:tcPr>
            <w:tcW w:w="85" w:type="dxa"/>
          </w:tcPr>
          <w:p w14:paraId="3281616E"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single" w:sz="6" w:space="0" w:color="auto"/>
            </w:tcBorders>
            <w:vAlign w:val="bottom"/>
          </w:tcPr>
          <w:p w14:paraId="28837D5F" w14:textId="77777777" w:rsidR="00B0420D" w:rsidRPr="0031447D" w:rsidRDefault="00B0420D" w:rsidP="00753044">
            <w:pPr>
              <w:tabs>
                <w:tab w:val="decimal" w:pos="113"/>
              </w:tabs>
              <w:spacing w:line="180" w:lineRule="exact"/>
              <w:ind w:left="57"/>
              <w:rPr>
                <w:sz w:val="18"/>
                <w:szCs w:val="18"/>
              </w:rPr>
            </w:pPr>
          </w:p>
        </w:tc>
        <w:tc>
          <w:tcPr>
            <w:tcW w:w="140" w:type="dxa"/>
          </w:tcPr>
          <w:p w14:paraId="576D7921" w14:textId="77777777" w:rsidR="00B0420D" w:rsidRPr="0031447D" w:rsidRDefault="00B0420D" w:rsidP="00753044">
            <w:pPr>
              <w:tabs>
                <w:tab w:val="decimal" w:pos="113"/>
              </w:tabs>
              <w:spacing w:line="180" w:lineRule="exact"/>
              <w:ind w:left="57"/>
              <w:rPr>
                <w:sz w:val="18"/>
                <w:szCs w:val="18"/>
              </w:rPr>
            </w:pPr>
          </w:p>
        </w:tc>
        <w:tc>
          <w:tcPr>
            <w:tcW w:w="930" w:type="dxa"/>
            <w:tcBorders>
              <w:top w:val="single" w:sz="6" w:space="0" w:color="auto"/>
            </w:tcBorders>
            <w:vAlign w:val="bottom"/>
          </w:tcPr>
          <w:p w14:paraId="1DCCDC1B" w14:textId="77777777" w:rsidR="00B0420D" w:rsidRPr="0031447D" w:rsidRDefault="00B0420D" w:rsidP="00753044">
            <w:pPr>
              <w:tabs>
                <w:tab w:val="decimal" w:pos="113"/>
              </w:tabs>
              <w:spacing w:line="180" w:lineRule="exact"/>
              <w:ind w:left="57"/>
              <w:rPr>
                <w:sz w:val="18"/>
                <w:szCs w:val="18"/>
              </w:rPr>
            </w:pPr>
          </w:p>
        </w:tc>
        <w:tc>
          <w:tcPr>
            <w:tcW w:w="113" w:type="dxa"/>
          </w:tcPr>
          <w:p w14:paraId="5724A79D"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6" w:space="0" w:color="auto"/>
            </w:tcBorders>
            <w:vAlign w:val="bottom"/>
          </w:tcPr>
          <w:p w14:paraId="343F0788" w14:textId="77777777" w:rsidR="00B0420D" w:rsidRPr="0031447D" w:rsidRDefault="00B0420D" w:rsidP="00753044">
            <w:pPr>
              <w:tabs>
                <w:tab w:val="decimal" w:pos="113"/>
              </w:tabs>
              <w:spacing w:line="180" w:lineRule="exact"/>
              <w:ind w:left="57"/>
              <w:rPr>
                <w:sz w:val="18"/>
                <w:szCs w:val="18"/>
              </w:rPr>
            </w:pPr>
          </w:p>
        </w:tc>
        <w:tc>
          <w:tcPr>
            <w:tcW w:w="140" w:type="dxa"/>
          </w:tcPr>
          <w:p w14:paraId="7110A98C"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6" w:space="0" w:color="auto"/>
            </w:tcBorders>
            <w:vAlign w:val="bottom"/>
          </w:tcPr>
          <w:p w14:paraId="27454218" w14:textId="77777777" w:rsidR="00B0420D" w:rsidRPr="0031447D" w:rsidRDefault="00B0420D" w:rsidP="00753044">
            <w:pPr>
              <w:tabs>
                <w:tab w:val="decimal" w:pos="113"/>
              </w:tabs>
              <w:spacing w:line="180" w:lineRule="exact"/>
              <w:ind w:left="57"/>
              <w:rPr>
                <w:sz w:val="18"/>
                <w:szCs w:val="18"/>
              </w:rPr>
            </w:pPr>
          </w:p>
        </w:tc>
        <w:tc>
          <w:tcPr>
            <w:tcW w:w="140" w:type="dxa"/>
          </w:tcPr>
          <w:p w14:paraId="27054B4B" w14:textId="77777777" w:rsidR="00B0420D" w:rsidRPr="0031447D" w:rsidRDefault="00B0420D" w:rsidP="00753044">
            <w:pPr>
              <w:tabs>
                <w:tab w:val="decimal" w:pos="113"/>
              </w:tabs>
              <w:spacing w:line="180" w:lineRule="exact"/>
              <w:ind w:left="57"/>
              <w:rPr>
                <w:sz w:val="18"/>
                <w:szCs w:val="18"/>
              </w:rPr>
            </w:pPr>
          </w:p>
        </w:tc>
        <w:tc>
          <w:tcPr>
            <w:tcW w:w="820" w:type="dxa"/>
            <w:tcBorders>
              <w:top w:val="single" w:sz="6" w:space="0" w:color="auto"/>
            </w:tcBorders>
            <w:vAlign w:val="bottom"/>
          </w:tcPr>
          <w:p w14:paraId="1126350C" w14:textId="77777777" w:rsidR="00B0420D" w:rsidRPr="0031447D" w:rsidRDefault="00B0420D" w:rsidP="00753044">
            <w:pPr>
              <w:tabs>
                <w:tab w:val="decimal" w:pos="113"/>
              </w:tabs>
              <w:spacing w:line="180" w:lineRule="exact"/>
              <w:ind w:left="57"/>
              <w:rPr>
                <w:sz w:val="18"/>
                <w:szCs w:val="18"/>
              </w:rPr>
            </w:pPr>
          </w:p>
        </w:tc>
        <w:tc>
          <w:tcPr>
            <w:tcW w:w="94" w:type="dxa"/>
          </w:tcPr>
          <w:p w14:paraId="01CDB4B3" w14:textId="77777777" w:rsidR="00B0420D" w:rsidRPr="0031447D" w:rsidRDefault="00B0420D" w:rsidP="00753044">
            <w:pPr>
              <w:tabs>
                <w:tab w:val="decimal" w:pos="113"/>
              </w:tabs>
              <w:spacing w:line="180" w:lineRule="exact"/>
              <w:ind w:left="57"/>
              <w:rPr>
                <w:sz w:val="18"/>
                <w:szCs w:val="18"/>
              </w:rPr>
            </w:pPr>
          </w:p>
        </w:tc>
        <w:tc>
          <w:tcPr>
            <w:tcW w:w="807" w:type="dxa"/>
            <w:tcBorders>
              <w:top w:val="single" w:sz="6" w:space="0" w:color="auto"/>
            </w:tcBorders>
            <w:vAlign w:val="bottom"/>
          </w:tcPr>
          <w:p w14:paraId="4B99F85D" w14:textId="77777777" w:rsidR="00B0420D" w:rsidRPr="0031447D" w:rsidRDefault="00B0420D" w:rsidP="00753044">
            <w:pPr>
              <w:tabs>
                <w:tab w:val="decimal" w:pos="113"/>
              </w:tabs>
              <w:spacing w:line="180" w:lineRule="exact"/>
              <w:ind w:left="57"/>
              <w:rPr>
                <w:sz w:val="18"/>
                <w:szCs w:val="18"/>
              </w:rPr>
            </w:pPr>
          </w:p>
        </w:tc>
      </w:tr>
      <w:tr w:rsidR="00B0420D" w:rsidRPr="0031447D" w14:paraId="21D3F574" w14:textId="77777777" w:rsidTr="00BF3BAF">
        <w:tc>
          <w:tcPr>
            <w:tcW w:w="2435" w:type="dxa"/>
            <w:vAlign w:val="bottom"/>
          </w:tcPr>
          <w:p w14:paraId="370CCAF4"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85" w:type="dxa"/>
          </w:tcPr>
          <w:p w14:paraId="00D2B375"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bottom w:val="single" w:sz="4" w:space="0" w:color="auto"/>
            </w:tcBorders>
            <w:vAlign w:val="bottom"/>
          </w:tcPr>
          <w:p w14:paraId="2E3B478D" w14:textId="77777777" w:rsidR="00B0420D" w:rsidRPr="0031447D" w:rsidRDefault="00B0420D" w:rsidP="00753044">
            <w:pPr>
              <w:tabs>
                <w:tab w:val="decimal" w:pos="113"/>
              </w:tabs>
              <w:spacing w:line="180" w:lineRule="exact"/>
              <w:ind w:left="57"/>
              <w:rPr>
                <w:sz w:val="18"/>
                <w:szCs w:val="18"/>
              </w:rPr>
            </w:pPr>
          </w:p>
        </w:tc>
        <w:tc>
          <w:tcPr>
            <w:tcW w:w="140" w:type="dxa"/>
          </w:tcPr>
          <w:p w14:paraId="3334C0F8" w14:textId="77777777" w:rsidR="00B0420D" w:rsidRPr="0031447D" w:rsidRDefault="00B0420D" w:rsidP="00753044">
            <w:pPr>
              <w:tabs>
                <w:tab w:val="decimal" w:pos="113"/>
              </w:tabs>
              <w:spacing w:line="180" w:lineRule="exact"/>
              <w:ind w:left="57"/>
              <w:rPr>
                <w:sz w:val="18"/>
                <w:szCs w:val="18"/>
              </w:rPr>
            </w:pPr>
          </w:p>
        </w:tc>
        <w:tc>
          <w:tcPr>
            <w:tcW w:w="930" w:type="dxa"/>
            <w:tcBorders>
              <w:bottom w:val="single" w:sz="4" w:space="0" w:color="auto"/>
            </w:tcBorders>
            <w:vAlign w:val="bottom"/>
          </w:tcPr>
          <w:p w14:paraId="09DBB9C9" w14:textId="77777777" w:rsidR="00B0420D" w:rsidRPr="0031447D" w:rsidRDefault="00B0420D" w:rsidP="00753044">
            <w:pPr>
              <w:tabs>
                <w:tab w:val="decimal" w:pos="113"/>
              </w:tabs>
              <w:spacing w:line="180" w:lineRule="exact"/>
              <w:ind w:left="57"/>
              <w:rPr>
                <w:sz w:val="18"/>
                <w:szCs w:val="18"/>
              </w:rPr>
            </w:pPr>
          </w:p>
        </w:tc>
        <w:tc>
          <w:tcPr>
            <w:tcW w:w="113" w:type="dxa"/>
          </w:tcPr>
          <w:p w14:paraId="4D72FB05"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4" w:space="0" w:color="auto"/>
            </w:tcBorders>
            <w:vAlign w:val="bottom"/>
          </w:tcPr>
          <w:p w14:paraId="4F14CA57" w14:textId="77777777" w:rsidR="00B0420D" w:rsidRPr="0031447D" w:rsidRDefault="00B0420D" w:rsidP="00753044">
            <w:pPr>
              <w:tabs>
                <w:tab w:val="decimal" w:pos="113"/>
              </w:tabs>
              <w:spacing w:line="180" w:lineRule="exact"/>
              <w:ind w:left="57"/>
              <w:rPr>
                <w:sz w:val="18"/>
                <w:szCs w:val="18"/>
              </w:rPr>
            </w:pPr>
          </w:p>
        </w:tc>
        <w:tc>
          <w:tcPr>
            <w:tcW w:w="140" w:type="dxa"/>
          </w:tcPr>
          <w:p w14:paraId="6BA353C1"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4" w:space="0" w:color="auto"/>
            </w:tcBorders>
            <w:vAlign w:val="bottom"/>
          </w:tcPr>
          <w:p w14:paraId="73D0FF62" w14:textId="77777777" w:rsidR="00B0420D" w:rsidRPr="0031447D" w:rsidRDefault="00B0420D" w:rsidP="00753044">
            <w:pPr>
              <w:tabs>
                <w:tab w:val="decimal" w:pos="113"/>
              </w:tabs>
              <w:spacing w:line="180" w:lineRule="exact"/>
              <w:ind w:left="57"/>
              <w:rPr>
                <w:sz w:val="18"/>
                <w:szCs w:val="18"/>
              </w:rPr>
            </w:pPr>
          </w:p>
        </w:tc>
        <w:tc>
          <w:tcPr>
            <w:tcW w:w="140" w:type="dxa"/>
          </w:tcPr>
          <w:p w14:paraId="33E23E93" w14:textId="77777777" w:rsidR="00B0420D" w:rsidRPr="0031447D" w:rsidRDefault="00B0420D" w:rsidP="00753044">
            <w:pPr>
              <w:tabs>
                <w:tab w:val="decimal" w:pos="113"/>
              </w:tabs>
              <w:spacing w:line="180" w:lineRule="exact"/>
              <w:ind w:left="57"/>
              <w:rPr>
                <w:sz w:val="18"/>
                <w:szCs w:val="18"/>
              </w:rPr>
            </w:pPr>
          </w:p>
        </w:tc>
        <w:tc>
          <w:tcPr>
            <w:tcW w:w="820" w:type="dxa"/>
            <w:tcBorders>
              <w:bottom w:val="single" w:sz="4" w:space="0" w:color="auto"/>
            </w:tcBorders>
            <w:vAlign w:val="bottom"/>
          </w:tcPr>
          <w:p w14:paraId="09875D81" w14:textId="77777777" w:rsidR="00B0420D" w:rsidRPr="0031447D" w:rsidRDefault="00B0420D" w:rsidP="00753044">
            <w:pPr>
              <w:tabs>
                <w:tab w:val="decimal" w:pos="113"/>
              </w:tabs>
              <w:spacing w:line="180" w:lineRule="exact"/>
              <w:ind w:left="57"/>
              <w:rPr>
                <w:sz w:val="18"/>
                <w:szCs w:val="18"/>
              </w:rPr>
            </w:pPr>
          </w:p>
        </w:tc>
        <w:tc>
          <w:tcPr>
            <w:tcW w:w="94" w:type="dxa"/>
          </w:tcPr>
          <w:p w14:paraId="291AD802" w14:textId="77777777" w:rsidR="00B0420D" w:rsidRPr="0031447D" w:rsidRDefault="00B0420D" w:rsidP="00753044">
            <w:pPr>
              <w:tabs>
                <w:tab w:val="decimal" w:pos="113"/>
              </w:tabs>
              <w:spacing w:line="180" w:lineRule="exact"/>
              <w:ind w:left="57"/>
              <w:rPr>
                <w:sz w:val="18"/>
                <w:szCs w:val="18"/>
              </w:rPr>
            </w:pPr>
          </w:p>
        </w:tc>
        <w:tc>
          <w:tcPr>
            <w:tcW w:w="807" w:type="dxa"/>
            <w:tcBorders>
              <w:bottom w:val="single" w:sz="4" w:space="0" w:color="auto"/>
            </w:tcBorders>
            <w:vAlign w:val="bottom"/>
          </w:tcPr>
          <w:p w14:paraId="05DD9CC5" w14:textId="77777777" w:rsidR="00B0420D" w:rsidRPr="0031447D" w:rsidRDefault="00B0420D" w:rsidP="00753044">
            <w:pPr>
              <w:tabs>
                <w:tab w:val="decimal" w:pos="113"/>
              </w:tabs>
              <w:spacing w:line="180" w:lineRule="exact"/>
              <w:ind w:left="57"/>
              <w:rPr>
                <w:sz w:val="18"/>
                <w:szCs w:val="18"/>
              </w:rPr>
            </w:pPr>
          </w:p>
        </w:tc>
      </w:tr>
      <w:tr w:rsidR="00B0420D" w:rsidRPr="0031447D" w14:paraId="4AA774EE" w14:textId="77777777" w:rsidTr="00BF3BAF">
        <w:tc>
          <w:tcPr>
            <w:tcW w:w="2435" w:type="dxa"/>
            <w:vAlign w:val="bottom"/>
          </w:tcPr>
          <w:p w14:paraId="5B7C2C58" w14:textId="77777777" w:rsidR="00B0420D" w:rsidRPr="0031447D" w:rsidRDefault="00B0420D" w:rsidP="00753044">
            <w:pPr>
              <w:pStyle w:val="a3"/>
              <w:tabs>
                <w:tab w:val="left" w:pos="227"/>
                <w:tab w:val="left" w:pos="397"/>
                <w:tab w:val="left" w:pos="567"/>
              </w:tabs>
              <w:spacing w:line="180" w:lineRule="exact"/>
              <w:rPr>
                <w:sz w:val="18"/>
                <w:szCs w:val="18"/>
                <w:rtl/>
              </w:rPr>
            </w:pPr>
          </w:p>
        </w:tc>
        <w:tc>
          <w:tcPr>
            <w:tcW w:w="85" w:type="dxa"/>
          </w:tcPr>
          <w:p w14:paraId="45BE1791"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tcBorders>
            <w:vAlign w:val="bottom"/>
          </w:tcPr>
          <w:p w14:paraId="289AE939" w14:textId="77777777" w:rsidR="00B0420D" w:rsidRPr="0031447D" w:rsidRDefault="00B0420D" w:rsidP="00753044">
            <w:pPr>
              <w:tabs>
                <w:tab w:val="decimal" w:pos="113"/>
              </w:tabs>
              <w:spacing w:line="180" w:lineRule="exact"/>
              <w:ind w:left="57"/>
              <w:rPr>
                <w:sz w:val="18"/>
                <w:szCs w:val="18"/>
              </w:rPr>
            </w:pPr>
          </w:p>
        </w:tc>
        <w:tc>
          <w:tcPr>
            <w:tcW w:w="140" w:type="dxa"/>
          </w:tcPr>
          <w:p w14:paraId="59F1F77D" w14:textId="77777777" w:rsidR="00B0420D" w:rsidRPr="0031447D" w:rsidRDefault="00B0420D" w:rsidP="00753044">
            <w:pPr>
              <w:tabs>
                <w:tab w:val="decimal" w:pos="113"/>
              </w:tabs>
              <w:spacing w:line="180" w:lineRule="exact"/>
              <w:ind w:left="57"/>
              <w:rPr>
                <w:sz w:val="18"/>
                <w:szCs w:val="18"/>
              </w:rPr>
            </w:pPr>
          </w:p>
        </w:tc>
        <w:tc>
          <w:tcPr>
            <w:tcW w:w="930" w:type="dxa"/>
            <w:tcBorders>
              <w:top w:val="single" w:sz="4" w:space="0" w:color="auto"/>
            </w:tcBorders>
            <w:vAlign w:val="bottom"/>
          </w:tcPr>
          <w:p w14:paraId="32B050B3" w14:textId="77777777" w:rsidR="00B0420D" w:rsidRPr="0031447D" w:rsidRDefault="00B0420D" w:rsidP="00753044">
            <w:pPr>
              <w:tabs>
                <w:tab w:val="decimal" w:pos="113"/>
              </w:tabs>
              <w:spacing w:line="180" w:lineRule="exact"/>
              <w:ind w:left="57"/>
              <w:rPr>
                <w:sz w:val="18"/>
                <w:szCs w:val="18"/>
              </w:rPr>
            </w:pPr>
          </w:p>
        </w:tc>
        <w:tc>
          <w:tcPr>
            <w:tcW w:w="113" w:type="dxa"/>
          </w:tcPr>
          <w:p w14:paraId="3114B826"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tcBorders>
            <w:vAlign w:val="bottom"/>
          </w:tcPr>
          <w:p w14:paraId="02E94A79" w14:textId="77777777" w:rsidR="00B0420D" w:rsidRPr="0031447D" w:rsidRDefault="00B0420D" w:rsidP="00753044">
            <w:pPr>
              <w:tabs>
                <w:tab w:val="decimal" w:pos="113"/>
              </w:tabs>
              <w:spacing w:line="180" w:lineRule="exact"/>
              <w:ind w:left="57"/>
              <w:rPr>
                <w:sz w:val="18"/>
                <w:szCs w:val="18"/>
              </w:rPr>
            </w:pPr>
          </w:p>
        </w:tc>
        <w:tc>
          <w:tcPr>
            <w:tcW w:w="140" w:type="dxa"/>
          </w:tcPr>
          <w:p w14:paraId="4ADAAE11"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tcBorders>
            <w:vAlign w:val="bottom"/>
          </w:tcPr>
          <w:p w14:paraId="42549F2A" w14:textId="77777777" w:rsidR="00B0420D" w:rsidRPr="0031447D" w:rsidRDefault="00B0420D" w:rsidP="00753044">
            <w:pPr>
              <w:tabs>
                <w:tab w:val="decimal" w:pos="113"/>
              </w:tabs>
              <w:spacing w:line="180" w:lineRule="exact"/>
              <w:ind w:left="57"/>
              <w:rPr>
                <w:sz w:val="18"/>
                <w:szCs w:val="18"/>
              </w:rPr>
            </w:pPr>
          </w:p>
        </w:tc>
        <w:tc>
          <w:tcPr>
            <w:tcW w:w="140" w:type="dxa"/>
          </w:tcPr>
          <w:p w14:paraId="436AE8B2" w14:textId="77777777" w:rsidR="00B0420D" w:rsidRPr="0031447D" w:rsidRDefault="00B0420D" w:rsidP="00753044">
            <w:pPr>
              <w:tabs>
                <w:tab w:val="decimal" w:pos="113"/>
              </w:tabs>
              <w:spacing w:line="180" w:lineRule="exact"/>
              <w:ind w:left="57"/>
              <w:rPr>
                <w:sz w:val="18"/>
                <w:szCs w:val="18"/>
              </w:rPr>
            </w:pPr>
          </w:p>
        </w:tc>
        <w:tc>
          <w:tcPr>
            <w:tcW w:w="820" w:type="dxa"/>
            <w:tcBorders>
              <w:top w:val="single" w:sz="4" w:space="0" w:color="auto"/>
            </w:tcBorders>
            <w:vAlign w:val="bottom"/>
          </w:tcPr>
          <w:p w14:paraId="776DD7B7" w14:textId="77777777" w:rsidR="00B0420D" w:rsidRPr="0031447D" w:rsidRDefault="00B0420D" w:rsidP="00753044">
            <w:pPr>
              <w:tabs>
                <w:tab w:val="decimal" w:pos="113"/>
              </w:tabs>
              <w:spacing w:line="180" w:lineRule="exact"/>
              <w:ind w:left="57"/>
              <w:rPr>
                <w:sz w:val="18"/>
                <w:szCs w:val="18"/>
              </w:rPr>
            </w:pPr>
          </w:p>
        </w:tc>
        <w:tc>
          <w:tcPr>
            <w:tcW w:w="94" w:type="dxa"/>
          </w:tcPr>
          <w:p w14:paraId="4BF98CA1" w14:textId="77777777" w:rsidR="00B0420D" w:rsidRPr="0031447D" w:rsidRDefault="00B0420D" w:rsidP="00753044">
            <w:pPr>
              <w:tabs>
                <w:tab w:val="decimal" w:pos="113"/>
              </w:tabs>
              <w:spacing w:line="180" w:lineRule="exact"/>
              <w:ind w:left="57"/>
              <w:rPr>
                <w:sz w:val="18"/>
                <w:szCs w:val="18"/>
              </w:rPr>
            </w:pPr>
          </w:p>
        </w:tc>
        <w:tc>
          <w:tcPr>
            <w:tcW w:w="807" w:type="dxa"/>
            <w:tcBorders>
              <w:top w:val="single" w:sz="4" w:space="0" w:color="auto"/>
            </w:tcBorders>
            <w:vAlign w:val="bottom"/>
          </w:tcPr>
          <w:p w14:paraId="3F94CDC9" w14:textId="77777777" w:rsidR="00B0420D" w:rsidRPr="0031447D" w:rsidRDefault="00B0420D" w:rsidP="00753044">
            <w:pPr>
              <w:tabs>
                <w:tab w:val="decimal" w:pos="113"/>
              </w:tabs>
              <w:spacing w:line="180" w:lineRule="exact"/>
              <w:ind w:left="57"/>
              <w:rPr>
                <w:sz w:val="18"/>
                <w:szCs w:val="18"/>
              </w:rPr>
            </w:pPr>
          </w:p>
        </w:tc>
      </w:tr>
      <w:tr w:rsidR="00B0420D" w:rsidRPr="0031447D" w14:paraId="5C53F16B" w14:textId="77777777" w:rsidTr="00BF3BAF">
        <w:tc>
          <w:tcPr>
            <w:tcW w:w="2435" w:type="dxa"/>
            <w:vAlign w:val="bottom"/>
          </w:tcPr>
          <w:p w14:paraId="153DB14B" w14:textId="77777777" w:rsidR="00B0420D" w:rsidRPr="004246A2" w:rsidRDefault="00B0420D" w:rsidP="00753044">
            <w:pPr>
              <w:pStyle w:val="a3"/>
              <w:tabs>
                <w:tab w:val="left" w:pos="227"/>
                <w:tab w:val="left" w:pos="397"/>
                <w:tab w:val="left" w:pos="567"/>
              </w:tabs>
              <w:spacing w:line="180" w:lineRule="exact"/>
              <w:rPr>
                <w:b/>
                <w:bCs/>
                <w:sz w:val="18"/>
                <w:szCs w:val="18"/>
                <w:rtl/>
              </w:rPr>
            </w:pPr>
            <w:r>
              <w:rPr>
                <w:rFonts w:hint="cs"/>
                <w:b/>
                <w:bCs/>
                <w:sz w:val="18"/>
                <w:szCs w:val="18"/>
                <w:rtl/>
              </w:rPr>
              <w:t>עיתוי ההכרה בהכנסה:</w:t>
            </w:r>
          </w:p>
        </w:tc>
        <w:tc>
          <w:tcPr>
            <w:tcW w:w="85" w:type="dxa"/>
          </w:tcPr>
          <w:p w14:paraId="7AC7541F"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4BF32D36" w14:textId="77777777" w:rsidR="00B0420D" w:rsidRPr="0031447D" w:rsidRDefault="00B0420D" w:rsidP="00753044">
            <w:pPr>
              <w:tabs>
                <w:tab w:val="decimal" w:pos="113"/>
              </w:tabs>
              <w:spacing w:line="180" w:lineRule="exact"/>
              <w:ind w:left="57"/>
              <w:rPr>
                <w:sz w:val="18"/>
                <w:szCs w:val="18"/>
              </w:rPr>
            </w:pPr>
          </w:p>
        </w:tc>
        <w:tc>
          <w:tcPr>
            <w:tcW w:w="140" w:type="dxa"/>
          </w:tcPr>
          <w:p w14:paraId="4B1A4583"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49E984B6" w14:textId="77777777" w:rsidR="00B0420D" w:rsidRPr="0031447D" w:rsidRDefault="00B0420D" w:rsidP="00753044">
            <w:pPr>
              <w:tabs>
                <w:tab w:val="decimal" w:pos="113"/>
              </w:tabs>
              <w:spacing w:line="180" w:lineRule="exact"/>
              <w:ind w:left="57"/>
              <w:rPr>
                <w:sz w:val="18"/>
                <w:szCs w:val="18"/>
              </w:rPr>
            </w:pPr>
          </w:p>
        </w:tc>
        <w:tc>
          <w:tcPr>
            <w:tcW w:w="113" w:type="dxa"/>
          </w:tcPr>
          <w:p w14:paraId="1E9516F5"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589E6A80" w14:textId="77777777" w:rsidR="00B0420D" w:rsidRPr="0031447D" w:rsidRDefault="00B0420D" w:rsidP="00753044">
            <w:pPr>
              <w:tabs>
                <w:tab w:val="decimal" w:pos="113"/>
              </w:tabs>
              <w:spacing w:line="180" w:lineRule="exact"/>
              <w:ind w:left="57"/>
              <w:rPr>
                <w:sz w:val="18"/>
                <w:szCs w:val="18"/>
              </w:rPr>
            </w:pPr>
          </w:p>
        </w:tc>
        <w:tc>
          <w:tcPr>
            <w:tcW w:w="140" w:type="dxa"/>
          </w:tcPr>
          <w:p w14:paraId="5068A4DD"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59898F7F" w14:textId="77777777" w:rsidR="00B0420D" w:rsidRPr="0031447D" w:rsidRDefault="00B0420D" w:rsidP="00753044">
            <w:pPr>
              <w:tabs>
                <w:tab w:val="decimal" w:pos="113"/>
              </w:tabs>
              <w:spacing w:line="180" w:lineRule="exact"/>
              <w:ind w:left="57"/>
              <w:rPr>
                <w:sz w:val="18"/>
                <w:szCs w:val="18"/>
              </w:rPr>
            </w:pPr>
          </w:p>
        </w:tc>
        <w:tc>
          <w:tcPr>
            <w:tcW w:w="140" w:type="dxa"/>
          </w:tcPr>
          <w:p w14:paraId="0D52D37B"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3D87CF14" w14:textId="77777777" w:rsidR="00B0420D" w:rsidRPr="0031447D" w:rsidRDefault="00B0420D" w:rsidP="00753044">
            <w:pPr>
              <w:tabs>
                <w:tab w:val="decimal" w:pos="113"/>
              </w:tabs>
              <w:spacing w:line="180" w:lineRule="exact"/>
              <w:ind w:left="57"/>
              <w:rPr>
                <w:sz w:val="18"/>
                <w:szCs w:val="18"/>
              </w:rPr>
            </w:pPr>
          </w:p>
        </w:tc>
        <w:tc>
          <w:tcPr>
            <w:tcW w:w="94" w:type="dxa"/>
          </w:tcPr>
          <w:p w14:paraId="1E20115A"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4F46706D" w14:textId="77777777" w:rsidR="00B0420D" w:rsidRPr="0031447D" w:rsidRDefault="00B0420D" w:rsidP="00753044">
            <w:pPr>
              <w:tabs>
                <w:tab w:val="decimal" w:pos="113"/>
              </w:tabs>
              <w:spacing w:line="180" w:lineRule="exact"/>
              <w:ind w:left="57"/>
              <w:rPr>
                <w:sz w:val="18"/>
                <w:szCs w:val="18"/>
              </w:rPr>
            </w:pPr>
          </w:p>
        </w:tc>
      </w:tr>
      <w:tr w:rsidR="00B0420D" w:rsidRPr="0031447D" w14:paraId="2F82C589" w14:textId="77777777" w:rsidTr="00BF3BAF">
        <w:tc>
          <w:tcPr>
            <w:tcW w:w="2435" w:type="dxa"/>
            <w:vAlign w:val="bottom"/>
          </w:tcPr>
          <w:p w14:paraId="1B617E53"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הכרה בהכנסה בנקודת זמן</w:t>
            </w:r>
          </w:p>
        </w:tc>
        <w:tc>
          <w:tcPr>
            <w:tcW w:w="85" w:type="dxa"/>
          </w:tcPr>
          <w:p w14:paraId="0637F193"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2B3B4974" w14:textId="77777777" w:rsidR="00B0420D" w:rsidRPr="0031447D" w:rsidRDefault="00B0420D" w:rsidP="00753044">
            <w:pPr>
              <w:tabs>
                <w:tab w:val="decimal" w:pos="113"/>
              </w:tabs>
              <w:spacing w:line="180" w:lineRule="exact"/>
              <w:ind w:left="57"/>
              <w:rPr>
                <w:sz w:val="18"/>
                <w:szCs w:val="18"/>
              </w:rPr>
            </w:pPr>
          </w:p>
        </w:tc>
        <w:tc>
          <w:tcPr>
            <w:tcW w:w="140" w:type="dxa"/>
          </w:tcPr>
          <w:p w14:paraId="1C7DB1B2"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1D16C93E" w14:textId="77777777" w:rsidR="00B0420D" w:rsidRPr="0031447D" w:rsidRDefault="00B0420D" w:rsidP="00753044">
            <w:pPr>
              <w:tabs>
                <w:tab w:val="decimal" w:pos="113"/>
              </w:tabs>
              <w:spacing w:line="180" w:lineRule="exact"/>
              <w:ind w:left="57"/>
              <w:rPr>
                <w:sz w:val="18"/>
                <w:szCs w:val="18"/>
              </w:rPr>
            </w:pPr>
          </w:p>
        </w:tc>
        <w:tc>
          <w:tcPr>
            <w:tcW w:w="113" w:type="dxa"/>
          </w:tcPr>
          <w:p w14:paraId="0E32FF42"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55772F23" w14:textId="77777777" w:rsidR="00B0420D" w:rsidRPr="0031447D" w:rsidRDefault="00B0420D" w:rsidP="00753044">
            <w:pPr>
              <w:tabs>
                <w:tab w:val="decimal" w:pos="113"/>
              </w:tabs>
              <w:spacing w:line="180" w:lineRule="exact"/>
              <w:ind w:left="57"/>
              <w:rPr>
                <w:sz w:val="18"/>
                <w:szCs w:val="18"/>
              </w:rPr>
            </w:pPr>
          </w:p>
        </w:tc>
        <w:tc>
          <w:tcPr>
            <w:tcW w:w="140" w:type="dxa"/>
          </w:tcPr>
          <w:p w14:paraId="58583957"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4B9CA076" w14:textId="77777777" w:rsidR="00B0420D" w:rsidRPr="0031447D" w:rsidRDefault="00B0420D" w:rsidP="00753044">
            <w:pPr>
              <w:tabs>
                <w:tab w:val="decimal" w:pos="113"/>
              </w:tabs>
              <w:spacing w:line="180" w:lineRule="exact"/>
              <w:ind w:left="57"/>
              <w:rPr>
                <w:sz w:val="18"/>
                <w:szCs w:val="18"/>
              </w:rPr>
            </w:pPr>
          </w:p>
        </w:tc>
        <w:tc>
          <w:tcPr>
            <w:tcW w:w="140" w:type="dxa"/>
          </w:tcPr>
          <w:p w14:paraId="52C4B13F"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5ED0AAAE" w14:textId="77777777" w:rsidR="00B0420D" w:rsidRPr="0031447D" w:rsidRDefault="00B0420D" w:rsidP="00753044">
            <w:pPr>
              <w:tabs>
                <w:tab w:val="decimal" w:pos="113"/>
              </w:tabs>
              <w:spacing w:line="180" w:lineRule="exact"/>
              <w:ind w:left="57"/>
              <w:rPr>
                <w:sz w:val="18"/>
                <w:szCs w:val="18"/>
              </w:rPr>
            </w:pPr>
          </w:p>
        </w:tc>
        <w:tc>
          <w:tcPr>
            <w:tcW w:w="94" w:type="dxa"/>
          </w:tcPr>
          <w:p w14:paraId="0630CB87"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18FCA641" w14:textId="77777777" w:rsidR="00B0420D" w:rsidRPr="0031447D" w:rsidRDefault="00B0420D" w:rsidP="00753044">
            <w:pPr>
              <w:tabs>
                <w:tab w:val="decimal" w:pos="113"/>
              </w:tabs>
              <w:spacing w:line="180" w:lineRule="exact"/>
              <w:ind w:left="57"/>
              <w:rPr>
                <w:sz w:val="18"/>
                <w:szCs w:val="18"/>
              </w:rPr>
            </w:pPr>
          </w:p>
        </w:tc>
      </w:tr>
      <w:tr w:rsidR="00B0420D" w:rsidRPr="0031447D" w14:paraId="6BD88B92" w14:textId="77777777" w:rsidTr="00BF3BAF">
        <w:tc>
          <w:tcPr>
            <w:tcW w:w="2435" w:type="dxa"/>
            <w:vAlign w:val="bottom"/>
          </w:tcPr>
          <w:p w14:paraId="46E0DBE8"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הכרה בהכנסה על פני תקופת זמן</w:t>
            </w:r>
          </w:p>
        </w:tc>
        <w:tc>
          <w:tcPr>
            <w:tcW w:w="85" w:type="dxa"/>
          </w:tcPr>
          <w:p w14:paraId="3B612388"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189CE07D" w14:textId="77777777" w:rsidR="00B0420D" w:rsidRPr="0031447D" w:rsidRDefault="00B0420D" w:rsidP="00753044">
            <w:pPr>
              <w:tabs>
                <w:tab w:val="decimal" w:pos="113"/>
              </w:tabs>
              <w:spacing w:line="180" w:lineRule="exact"/>
              <w:ind w:left="57"/>
              <w:rPr>
                <w:sz w:val="18"/>
                <w:szCs w:val="18"/>
              </w:rPr>
            </w:pPr>
          </w:p>
        </w:tc>
        <w:tc>
          <w:tcPr>
            <w:tcW w:w="140" w:type="dxa"/>
          </w:tcPr>
          <w:p w14:paraId="555CEB35"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68B83B40" w14:textId="77777777" w:rsidR="00B0420D" w:rsidRPr="0031447D" w:rsidRDefault="00B0420D" w:rsidP="00753044">
            <w:pPr>
              <w:tabs>
                <w:tab w:val="decimal" w:pos="113"/>
              </w:tabs>
              <w:spacing w:line="180" w:lineRule="exact"/>
              <w:ind w:left="57"/>
              <w:rPr>
                <w:sz w:val="18"/>
                <w:szCs w:val="18"/>
              </w:rPr>
            </w:pPr>
          </w:p>
        </w:tc>
        <w:tc>
          <w:tcPr>
            <w:tcW w:w="113" w:type="dxa"/>
          </w:tcPr>
          <w:p w14:paraId="7EC5EEC5"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0A660AAF" w14:textId="77777777" w:rsidR="00B0420D" w:rsidRPr="0031447D" w:rsidRDefault="00B0420D" w:rsidP="00753044">
            <w:pPr>
              <w:tabs>
                <w:tab w:val="decimal" w:pos="113"/>
              </w:tabs>
              <w:spacing w:line="180" w:lineRule="exact"/>
              <w:ind w:left="57"/>
              <w:rPr>
                <w:sz w:val="18"/>
                <w:szCs w:val="18"/>
              </w:rPr>
            </w:pPr>
          </w:p>
        </w:tc>
        <w:tc>
          <w:tcPr>
            <w:tcW w:w="140" w:type="dxa"/>
          </w:tcPr>
          <w:p w14:paraId="07B48CA8"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3484BB89" w14:textId="77777777" w:rsidR="00B0420D" w:rsidRPr="0031447D" w:rsidRDefault="00B0420D" w:rsidP="00753044">
            <w:pPr>
              <w:tabs>
                <w:tab w:val="decimal" w:pos="113"/>
              </w:tabs>
              <w:spacing w:line="180" w:lineRule="exact"/>
              <w:ind w:left="57"/>
              <w:rPr>
                <w:sz w:val="18"/>
                <w:szCs w:val="18"/>
              </w:rPr>
            </w:pPr>
          </w:p>
        </w:tc>
        <w:tc>
          <w:tcPr>
            <w:tcW w:w="140" w:type="dxa"/>
          </w:tcPr>
          <w:p w14:paraId="631B3A94"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26A3285E" w14:textId="77777777" w:rsidR="00B0420D" w:rsidRPr="0031447D" w:rsidRDefault="00B0420D" w:rsidP="00753044">
            <w:pPr>
              <w:tabs>
                <w:tab w:val="decimal" w:pos="113"/>
              </w:tabs>
              <w:spacing w:line="180" w:lineRule="exact"/>
              <w:ind w:left="57"/>
              <w:rPr>
                <w:sz w:val="18"/>
                <w:szCs w:val="18"/>
              </w:rPr>
            </w:pPr>
          </w:p>
        </w:tc>
        <w:tc>
          <w:tcPr>
            <w:tcW w:w="94" w:type="dxa"/>
          </w:tcPr>
          <w:p w14:paraId="5C506780"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139F9309" w14:textId="77777777" w:rsidR="00B0420D" w:rsidRPr="0031447D" w:rsidRDefault="00B0420D" w:rsidP="00753044">
            <w:pPr>
              <w:tabs>
                <w:tab w:val="decimal" w:pos="113"/>
              </w:tabs>
              <w:spacing w:line="180" w:lineRule="exact"/>
              <w:ind w:left="57"/>
              <w:rPr>
                <w:sz w:val="18"/>
                <w:szCs w:val="18"/>
              </w:rPr>
            </w:pPr>
          </w:p>
        </w:tc>
      </w:tr>
      <w:tr w:rsidR="00B0420D" w:rsidRPr="0031447D" w14:paraId="4B216F98" w14:textId="77777777" w:rsidTr="00BF3BAF">
        <w:tc>
          <w:tcPr>
            <w:tcW w:w="2435" w:type="dxa"/>
            <w:vAlign w:val="bottom"/>
          </w:tcPr>
          <w:p w14:paraId="6D6F4EEE" w14:textId="77777777" w:rsidR="00B0420D" w:rsidRPr="0031447D" w:rsidRDefault="00B0420D" w:rsidP="00753044">
            <w:pPr>
              <w:pStyle w:val="a3"/>
              <w:tabs>
                <w:tab w:val="left" w:pos="227"/>
                <w:tab w:val="left" w:pos="397"/>
                <w:tab w:val="left" w:pos="567"/>
              </w:tabs>
              <w:spacing w:line="180" w:lineRule="exact"/>
              <w:rPr>
                <w:sz w:val="18"/>
                <w:szCs w:val="18"/>
                <w:rtl/>
              </w:rPr>
            </w:pPr>
          </w:p>
        </w:tc>
        <w:tc>
          <w:tcPr>
            <w:tcW w:w="85" w:type="dxa"/>
          </w:tcPr>
          <w:p w14:paraId="6233FA11"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bottom w:val="single" w:sz="4" w:space="0" w:color="auto"/>
            </w:tcBorders>
            <w:vAlign w:val="bottom"/>
          </w:tcPr>
          <w:p w14:paraId="7F0D56E2" w14:textId="77777777" w:rsidR="00B0420D" w:rsidRPr="0031447D" w:rsidRDefault="00B0420D" w:rsidP="00753044">
            <w:pPr>
              <w:tabs>
                <w:tab w:val="decimal" w:pos="113"/>
              </w:tabs>
              <w:spacing w:line="180" w:lineRule="exact"/>
              <w:ind w:left="57"/>
              <w:rPr>
                <w:sz w:val="18"/>
                <w:szCs w:val="18"/>
              </w:rPr>
            </w:pPr>
          </w:p>
        </w:tc>
        <w:tc>
          <w:tcPr>
            <w:tcW w:w="140" w:type="dxa"/>
          </w:tcPr>
          <w:p w14:paraId="3DCB0DD8" w14:textId="77777777" w:rsidR="00B0420D" w:rsidRPr="0031447D" w:rsidRDefault="00B0420D" w:rsidP="00753044">
            <w:pPr>
              <w:tabs>
                <w:tab w:val="decimal" w:pos="113"/>
              </w:tabs>
              <w:spacing w:line="180" w:lineRule="exact"/>
              <w:ind w:left="57"/>
              <w:rPr>
                <w:sz w:val="18"/>
                <w:szCs w:val="18"/>
              </w:rPr>
            </w:pPr>
          </w:p>
        </w:tc>
        <w:tc>
          <w:tcPr>
            <w:tcW w:w="930" w:type="dxa"/>
            <w:tcBorders>
              <w:bottom w:val="single" w:sz="4" w:space="0" w:color="auto"/>
            </w:tcBorders>
            <w:vAlign w:val="bottom"/>
          </w:tcPr>
          <w:p w14:paraId="31DEE71E" w14:textId="77777777" w:rsidR="00B0420D" w:rsidRPr="0031447D" w:rsidRDefault="00B0420D" w:rsidP="00753044">
            <w:pPr>
              <w:tabs>
                <w:tab w:val="decimal" w:pos="113"/>
              </w:tabs>
              <w:spacing w:line="180" w:lineRule="exact"/>
              <w:ind w:left="57"/>
              <w:rPr>
                <w:sz w:val="18"/>
                <w:szCs w:val="18"/>
              </w:rPr>
            </w:pPr>
          </w:p>
        </w:tc>
        <w:tc>
          <w:tcPr>
            <w:tcW w:w="113" w:type="dxa"/>
          </w:tcPr>
          <w:p w14:paraId="4F5546F5"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4" w:space="0" w:color="auto"/>
            </w:tcBorders>
            <w:vAlign w:val="bottom"/>
          </w:tcPr>
          <w:p w14:paraId="159015C6" w14:textId="77777777" w:rsidR="00B0420D" w:rsidRPr="0031447D" w:rsidRDefault="00B0420D" w:rsidP="00753044">
            <w:pPr>
              <w:tabs>
                <w:tab w:val="decimal" w:pos="113"/>
              </w:tabs>
              <w:spacing w:line="180" w:lineRule="exact"/>
              <w:ind w:left="57"/>
              <w:rPr>
                <w:sz w:val="18"/>
                <w:szCs w:val="18"/>
              </w:rPr>
            </w:pPr>
          </w:p>
        </w:tc>
        <w:tc>
          <w:tcPr>
            <w:tcW w:w="140" w:type="dxa"/>
          </w:tcPr>
          <w:p w14:paraId="53A00E91"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4" w:space="0" w:color="auto"/>
            </w:tcBorders>
            <w:vAlign w:val="bottom"/>
          </w:tcPr>
          <w:p w14:paraId="3E5BAF03" w14:textId="77777777" w:rsidR="00B0420D" w:rsidRPr="0031447D" w:rsidRDefault="00B0420D" w:rsidP="00753044">
            <w:pPr>
              <w:tabs>
                <w:tab w:val="decimal" w:pos="113"/>
              </w:tabs>
              <w:spacing w:line="180" w:lineRule="exact"/>
              <w:ind w:left="57"/>
              <w:rPr>
                <w:sz w:val="18"/>
                <w:szCs w:val="18"/>
              </w:rPr>
            </w:pPr>
          </w:p>
        </w:tc>
        <w:tc>
          <w:tcPr>
            <w:tcW w:w="140" w:type="dxa"/>
          </w:tcPr>
          <w:p w14:paraId="5E55D3DD" w14:textId="77777777" w:rsidR="00B0420D" w:rsidRPr="0031447D" w:rsidRDefault="00B0420D" w:rsidP="00753044">
            <w:pPr>
              <w:tabs>
                <w:tab w:val="decimal" w:pos="113"/>
              </w:tabs>
              <w:spacing w:line="180" w:lineRule="exact"/>
              <w:ind w:left="57"/>
              <w:rPr>
                <w:sz w:val="18"/>
                <w:szCs w:val="18"/>
              </w:rPr>
            </w:pPr>
          </w:p>
        </w:tc>
        <w:tc>
          <w:tcPr>
            <w:tcW w:w="820" w:type="dxa"/>
            <w:tcBorders>
              <w:bottom w:val="single" w:sz="4" w:space="0" w:color="auto"/>
            </w:tcBorders>
            <w:vAlign w:val="bottom"/>
          </w:tcPr>
          <w:p w14:paraId="1DADB3F5" w14:textId="77777777" w:rsidR="00B0420D" w:rsidRPr="0031447D" w:rsidRDefault="00B0420D" w:rsidP="00753044">
            <w:pPr>
              <w:tabs>
                <w:tab w:val="decimal" w:pos="113"/>
              </w:tabs>
              <w:spacing w:line="180" w:lineRule="exact"/>
              <w:ind w:left="57"/>
              <w:rPr>
                <w:sz w:val="18"/>
                <w:szCs w:val="18"/>
              </w:rPr>
            </w:pPr>
          </w:p>
        </w:tc>
        <w:tc>
          <w:tcPr>
            <w:tcW w:w="94" w:type="dxa"/>
          </w:tcPr>
          <w:p w14:paraId="2BDD7C59" w14:textId="77777777" w:rsidR="00B0420D" w:rsidRPr="0031447D" w:rsidRDefault="00B0420D" w:rsidP="00753044">
            <w:pPr>
              <w:tabs>
                <w:tab w:val="decimal" w:pos="113"/>
              </w:tabs>
              <w:spacing w:line="180" w:lineRule="exact"/>
              <w:ind w:left="57"/>
              <w:rPr>
                <w:sz w:val="18"/>
                <w:szCs w:val="18"/>
              </w:rPr>
            </w:pPr>
          </w:p>
        </w:tc>
        <w:tc>
          <w:tcPr>
            <w:tcW w:w="807" w:type="dxa"/>
            <w:tcBorders>
              <w:bottom w:val="single" w:sz="4" w:space="0" w:color="auto"/>
            </w:tcBorders>
            <w:vAlign w:val="bottom"/>
          </w:tcPr>
          <w:p w14:paraId="6AF81A9A" w14:textId="77777777" w:rsidR="00B0420D" w:rsidRPr="0031447D" w:rsidRDefault="00B0420D" w:rsidP="00753044">
            <w:pPr>
              <w:tabs>
                <w:tab w:val="decimal" w:pos="113"/>
              </w:tabs>
              <w:spacing w:line="180" w:lineRule="exact"/>
              <w:ind w:left="57"/>
              <w:rPr>
                <w:sz w:val="18"/>
                <w:szCs w:val="18"/>
              </w:rPr>
            </w:pPr>
          </w:p>
        </w:tc>
      </w:tr>
      <w:tr w:rsidR="00B0420D" w:rsidRPr="0031447D" w14:paraId="631BAC72" w14:textId="77777777" w:rsidTr="00BF3BAF">
        <w:tc>
          <w:tcPr>
            <w:tcW w:w="2435" w:type="dxa"/>
            <w:vAlign w:val="bottom"/>
          </w:tcPr>
          <w:p w14:paraId="5CC2F88D"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85" w:type="dxa"/>
          </w:tcPr>
          <w:p w14:paraId="3EC62D5D"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bottom w:val="single" w:sz="4" w:space="0" w:color="auto"/>
            </w:tcBorders>
            <w:vAlign w:val="bottom"/>
          </w:tcPr>
          <w:p w14:paraId="53C71117" w14:textId="77777777" w:rsidR="00B0420D" w:rsidRPr="0031447D" w:rsidRDefault="00B0420D" w:rsidP="00753044">
            <w:pPr>
              <w:tabs>
                <w:tab w:val="decimal" w:pos="113"/>
              </w:tabs>
              <w:spacing w:line="180" w:lineRule="exact"/>
              <w:ind w:left="57"/>
              <w:rPr>
                <w:sz w:val="18"/>
                <w:szCs w:val="18"/>
              </w:rPr>
            </w:pPr>
          </w:p>
        </w:tc>
        <w:tc>
          <w:tcPr>
            <w:tcW w:w="140" w:type="dxa"/>
          </w:tcPr>
          <w:p w14:paraId="16E78410" w14:textId="77777777" w:rsidR="00B0420D" w:rsidRPr="0031447D" w:rsidRDefault="00B0420D" w:rsidP="00753044">
            <w:pPr>
              <w:tabs>
                <w:tab w:val="decimal" w:pos="113"/>
              </w:tabs>
              <w:spacing w:line="180" w:lineRule="exact"/>
              <w:ind w:left="57"/>
              <w:rPr>
                <w:sz w:val="18"/>
                <w:szCs w:val="18"/>
              </w:rPr>
            </w:pPr>
          </w:p>
        </w:tc>
        <w:tc>
          <w:tcPr>
            <w:tcW w:w="930" w:type="dxa"/>
            <w:tcBorders>
              <w:top w:val="single" w:sz="4" w:space="0" w:color="auto"/>
              <w:bottom w:val="single" w:sz="4" w:space="0" w:color="auto"/>
            </w:tcBorders>
            <w:vAlign w:val="bottom"/>
          </w:tcPr>
          <w:p w14:paraId="4AC21215" w14:textId="77777777" w:rsidR="00B0420D" w:rsidRPr="0031447D" w:rsidRDefault="00B0420D" w:rsidP="00753044">
            <w:pPr>
              <w:tabs>
                <w:tab w:val="decimal" w:pos="113"/>
              </w:tabs>
              <w:spacing w:line="180" w:lineRule="exact"/>
              <w:ind w:left="57"/>
              <w:rPr>
                <w:sz w:val="18"/>
                <w:szCs w:val="18"/>
              </w:rPr>
            </w:pPr>
          </w:p>
        </w:tc>
        <w:tc>
          <w:tcPr>
            <w:tcW w:w="113" w:type="dxa"/>
          </w:tcPr>
          <w:p w14:paraId="123C9948"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39D116FB" w14:textId="77777777" w:rsidR="00B0420D" w:rsidRPr="0031447D" w:rsidRDefault="00B0420D" w:rsidP="00753044">
            <w:pPr>
              <w:tabs>
                <w:tab w:val="decimal" w:pos="113"/>
              </w:tabs>
              <w:spacing w:line="180" w:lineRule="exact"/>
              <w:ind w:left="57"/>
              <w:rPr>
                <w:sz w:val="18"/>
                <w:szCs w:val="18"/>
              </w:rPr>
            </w:pPr>
          </w:p>
        </w:tc>
        <w:tc>
          <w:tcPr>
            <w:tcW w:w="140" w:type="dxa"/>
          </w:tcPr>
          <w:p w14:paraId="256B5B06"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228FC5BB" w14:textId="77777777" w:rsidR="00B0420D" w:rsidRPr="0031447D" w:rsidRDefault="00B0420D" w:rsidP="00753044">
            <w:pPr>
              <w:tabs>
                <w:tab w:val="decimal" w:pos="113"/>
              </w:tabs>
              <w:spacing w:line="180" w:lineRule="exact"/>
              <w:ind w:left="57"/>
              <w:rPr>
                <w:sz w:val="18"/>
                <w:szCs w:val="18"/>
              </w:rPr>
            </w:pPr>
          </w:p>
        </w:tc>
        <w:tc>
          <w:tcPr>
            <w:tcW w:w="140" w:type="dxa"/>
          </w:tcPr>
          <w:p w14:paraId="00A15487" w14:textId="77777777" w:rsidR="00B0420D" w:rsidRPr="0031447D" w:rsidRDefault="00B0420D" w:rsidP="00753044">
            <w:pPr>
              <w:tabs>
                <w:tab w:val="decimal" w:pos="113"/>
              </w:tabs>
              <w:spacing w:line="180" w:lineRule="exact"/>
              <w:ind w:left="57"/>
              <w:rPr>
                <w:sz w:val="18"/>
                <w:szCs w:val="18"/>
              </w:rPr>
            </w:pPr>
          </w:p>
        </w:tc>
        <w:tc>
          <w:tcPr>
            <w:tcW w:w="820" w:type="dxa"/>
            <w:tcBorders>
              <w:top w:val="single" w:sz="4" w:space="0" w:color="auto"/>
              <w:bottom w:val="single" w:sz="4" w:space="0" w:color="auto"/>
            </w:tcBorders>
            <w:vAlign w:val="bottom"/>
          </w:tcPr>
          <w:p w14:paraId="48347E5B" w14:textId="77777777" w:rsidR="00B0420D" w:rsidRPr="0031447D" w:rsidRDefault="00B0420D" w:rsidP="00753044">
            <w:pPr>
              <w:tabs>
                <w:tab w:val="decimal" w:pos="113"/>
              </w:tabs>
              <w:spacing w:line="180" w:lineRule="exact"/>
              <w:ind w:left="57"/>
              <w:rPr>
                <w:sz w:val="18"/>
                <w:szCs w:val="18"/>
              </w:rPr>
            </w:pPr>
          </w:p>
        </w:tc>
        <w:tc>
          <w:tcPr>
            <w:tcW w:w="94" w:type="dxa"/>
          </w:tcPr>
          <w:p w14:paraId="20E0558F" w14:textId="77777777" w:rsidR="00B0420D" w:rsidRPr="0031447D" w:rsidRDefault="00B0420D" w:rsidP="00753044">
            <w:pPr>
              <w:tabs>
                <w:tab w:val="decimal" w:pos="113"/>
              </w:tabs>
              <w:spacing w:line="180" w:lineRule="exact"/>
              <w:ind w:left="57"/>
              <w:rPr>
                <w:sz w:val="18"/>
                <w:szCs w:val="18"/>
              </w:rPr>
            </w:pPr>
          </w:p>
        </w:tc>
        <w:tc>
          <w:tcPr>
            <w:tcW w:w="807" w:type="dxa"/>
            <w:tcBorders>
              <w:top w:val="single" w:sz="4" w:space="0" w:color="auto"/>
              <w:bottom w:val="single" w:sz="4" w:space="0" w:color="auto"/>
            </w:tcBorders>
            <w:vAlign w:val="bottom"/>
          </w:tcPr>
          <w:p w14:paraId="593F0E7D" w14:textId="77777777" w:rsidR="00B0420D" w:rsidRPr="0031447D" w:rsidRDefault="00B0420D" w:rsidP="00753044">
            <w:pPr>
              <w:tabs>
                <w:tab w:val="decimal" w:pos="113"/>
              </w:tabs>
              <w:spacing w:line="180" w:lineRule="exact"/>
              <w:ind w:left="57"/>
              <w:rPr>
                <w:sz w:val="18"/>
                <w:szCs w:val="18"/>
              </w:rPr>
            </w:pPr>
          </w:p>
        </w:tc>
      </w:tr>
      <w:tr w:rsidR="00B0420D" w:rsidRPr="0031447D" w14:paraId="369A0C01" w14:textId="77777777" w:rsidTr="00BF3BAF">
        <w:tc>
          <w:tcPr>
            <w:tcW w:w="2435" w:type="dxa"/>
            <w:vAlign w:val="bottom"/>
          </w:tcPr>
          <w:p w14:paraId="37B385DA" w14:textId="77777777" w:rsidR="00B0420D" w:rsidRPr="0031447D" w:rsidRDefault="00B0420D" w:rsidP="00753044">
            <w:pPr>
              <w:pStyle w:val="a3"/>
              <w:tabs>
                <w:tab w:val="left" w:pos="227"/>
                <w:tab w:val="left" w:pos="397"/>
                <w:tab w:val="left" w:pos="567"/>
              </w:tabs>
              <w:spacing w:line="180" w:lineRule="exact"/>
              <w:rPr>
                <w:sz w:val="18"/>
                <w:szCs w:val="18"/>
                <w:rtl/>
              </w:rPr>
            </w:pPr>
          </w:p>
        </w:tc>
        <w:tc>
          <w:tcPr>
            <w:tcW w:w="85" w:type="dxa"/>
          </w:tcPr>
          <w:p w14:paraId="7D22E05F"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tcBorders>
            <w:vAlign w:val="bottom"/>
          </w:tcPr>
          <w:p w14:paraId="3E069718" w14:textId="77777777" w:rsidR="00B0420D" w:rsidRPr="0031447D" w:rsidRDefault="00B0420D" w:rsidP="00753044">
            <w:pPr>
              <w:tabs>
                <w:tab w:val="decimal" w:pos="113"/>
              </w:tabs>
              <w:spacing w:line="180" w:lineRule="exact"/>
              <w:ind w:left="57"/>
              <w:rPr>
                <w:sz w:val="18"/>
                <w:szCs w:val="18"/>
              </w:rPr>
            </w:pPr>
          </w:p>
        </w:tc>
        <w:tc>
          <w:tcPr>
            <w:tcW w:w="140" w:type="dxa"/>
          </w:tcPr>
          <w:p w14:paraId="1DDF53DB" w14:textId="77777777" w:rsidR="00B0420D" w:rsidRPr="0031447D" w:rsidRDefault="00B0420D" w:rsidP="00753044">
            <w:pPr>
              <w:tabs>
                <w:tab w:val="decimal" w:pos="113"/>
              </w:tabs>
              <w:spacing w:line="180" w:lineRule="exact"/>
              <w:ind w:left="57"/>
              <w:rPr>
                <w:sz w:val="18"/>
                <w:szCs w:val="18"/>
              </w:rPr>
            </w:pPr>
          </w:p>
        </w:tc>
        <w:tc>
          <w:tcPr>
            <w:tcW w:w="930" w:type="dxa"/>
            <w:tcBorders>
              <w:top w:val="single" w:sz="4" w:space="0" w:color="auto"/>
            </w:tcBorders>
            <w:vAlign w:val="bottom"/>
          </w:tcPr>
          <w:p w14:paraId="1BA0ADC3" w14:textId="77777777" w:rsidR="00B0420D" w:rsidRPr="0031447D" w:rsidRDefault="00B0420D" w:rsidP="00753044">
            <w:pPr>
              <w:tabs>
                <w:tab w:val="decimal" w:pos="113"/>
              </w:tabs>
              <w:spacing w:line="180" w:lineRule="exact"/>
              <w:ind w:left="57"/>
              <w:rPr>
                <w:sz w:val="18"/>
                <w:szCs w:val="18"/>
              </w:rPr>
            </w:pPr>
          </w:p>
        </w:tc>
        <w:tc>
          <w:tcPr>
            <w:tcW w:w="113" w:type="dxa"/>
          </w:tcPr>
          <w:p w14:paraId="7E36C3F7"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tcBorders>
            <w:vAlign w:val="bottom"/>
          </w:tcPr>
          <w:p w14:paraId="1608C86E" w14:textId="77777777" w:rsidR="00B0420D" w:rsidRPr="0031447D" w:rsidRDefault="00B0420D" w:rsidP="00753044">
            <w:pPr>
              <w:tabs>
                <w:tab w:val="decimal" w:pos="113"/>
              </w:tabs>
              <w:spacing w:line="180" w:lineRule="exact"/>
              <w:ind w:left="57"/>
              <w:rPr>
                <w:sz w:val="18"/>
                <w:szCs w:val="18"/>
              </w:rPr>
            </w:pPr>
          </w:p>
        </w:tc>
        <w:tc>
          <w:tcPr>
            <w:tcW w:w="140" w:type="dxa"/>
          </w:tcPr>
          <w:p w14:paraId="69FDD470"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tcBorders>
            <w:vAlign w:val="bottom"/>
          </w:tcPr>
          <w:p w14:paraId="49CBBA88" w14:textId="77777777" w:rsidR="00B0420D" w:rsidRPr="0031447D" w:rsidRDefault="00B0420D" w:rsidP="00753044">
            <w:pPr>
              <w:tabs>
                <w:tab w:val="decimal" w:pos="113"/>
              </w:tabs>
              <w:spacing w:line="180" w:lineRule="exact"/>
              <w:ind w:left="57"/>
              <w:rPr>
                <w:sz w:val="18"/>
                <w:szCs w:val="18"/>
              </w:rPr>
            </w:pPr>
          </w:p>
        </w:tc>
        <w:tc>
          <w:tcPr>
            <w:tcW w:w="140" w:type="dxa"/>
          </w:tcPr>
          <w:p w14:paraId="27BFD830" w14:textId="77777777" w:rsidR="00B0420D" w:rsidRPr="0031447D" w:rsidRDefault="00B0420D" w:rsidP="00753044">
            <w:pPr>
              <w:tabs>
                <w:tab w:val="decimal" w:pos="113"/>
              </w:tabs>
              <w:spacing w:line="180" w:lineRule="exact"/>
              <w:ind w:left="57"/>
              <w:rPr>
                <w:sz w:val="18"/>
                <w:szCs w:val="18"/>
              </w:rPr>
            </w:pPr>
          </w:p>
        </w:tc>
        <w:tc>
          <w:tcPr>
            <w:tcW w:w="820" w:type="dxa"/>
            <w:tcBorders>
              <w:top w:val="single" w:sz="4" w:space="0" w:color="auto"/>
            </w:tcBorders>
            <w:vAlign w:val="bottom"/>
          </w:tcPr>
          <w:p w14:paraId="05D568AE" w14:textId="77777777" w:rsidR="00B0420D" w:rsidRPr="0031447D" w:rsidRDefault="00B0420D" w:rsidP="00753044">
            <w:pPr>
              <w:tabs>
                <w:tab w:val="decimal" w:pos="113"/>
              </w:tabs>
              <w:spacing w:line="180" w:lineRule="exact"/>
              <w:ind w:left="57"/>
              <w:rPr>
                <w:sz w:val="18"/>
                <w:szCs w:val="18"/>
              </w:rPr>
            </w:pPr>
          </w:p>
        </w:tc>
        <w:tc>
          <w:tcPr>
            <w:tcW w:w="94" w:type="dxa"/>
          </w:tcPr>
          <w:p w14:paraId="671D9A60" w14:textId="77777777" w:rsidR="00B0420D" w:rsidRPr="0031447D" w:rsidRDefault="00B0420D" w:rsidP="00753044">
            <w:pPr>
              <w:tabs>
                <w:tab w:val="decimal" w:pos="113"/>
              </w:tabs>
              <w:spacing w:line="180" w:lineRule="exact"/>
              <w:ind w:left="57"/>
              <w:rPr>
                <w:sz w:val="18"/>
                <w:szCs w:val="18"/>
              </w:rPr>
            </w:pPr>
          </w:p>
        </w:tc>
        <w:tc>
          <w:tcPr>
            <w:tcW w:w="807" w:type="dxa"/>
            <w:tcBorders>
              <w:top w:val="single" w:sz="4" w:space="0" w:color="auto"/>
            </w:tcBorders>
            <w:vAlign w:val="bottom"/>
          </w:tcPr>
          <w:p w14:paraId="75B8336E" w14:textId="77777777" w:rsidR="00B0420D" w:rsidRPr="0031447D" w:rsidRDefault="00B0420D" w:rsidP="00753044">
            <w:pPr>
              <w:tabs>
                <w:tab w:val="decimal" w:pos="113"/>
              </w:tabs>
              <w:spacing w:line="180" w:lineRule="exact"/>
              <w:ind w:left="57"/>
              <w:rPr>
                <w:sz w:val="18"/>
                <w:szCs w:val="18"/>
              </w:rPr>
            </w:pPr>
          </w:p>
        </w:tc>
      </w:tr>
      <w:tr w:rsidR="00B0420D" w:rsidRPr="0031447D" w14:paraId="7408D7FB" w14:textId="77777777" w:rsidTr="00BF3BAF">
        <w:tc>
          <w:tcPr>
            <w:tcW w:w="2435" w:type="dxa"/>
            <w:vAlign w:val="bottom"/>
          </w:tcPr>
          <w:p w14:paraId="4ECB64BE" w14:textId="77777777" w:rsidR="00B0420D" w:rsidRPr="0031447D" w:rsidRDefault="00B0420D" w:rsidP="00753044">
            <w:pPr>
              <w:pStyle w:val="a3"/>
              <w:tabs>
                <w:tab w:val="left" w:pos="227"/>
                <w:tab w:val="left" w:pos="397"/>
                <w:tab w:val="left" w:pos="567"/>
              </w:tabs>
              <w:spacing w:line="180" w:lineRule="exact"/>
              <w:rPr>
                <w:sz w:val="18"/>
                <w:szCs w:val="18"/>
              </w:rPr>
            </w:pPr>
            <w:r w:rsidRPr="0031447D">
              <w:rPr>
                <w:rFonts w:hint="cs"/>
                <w:sz w:val="18"/>
                <w:szCs w:val="18"/>
                <w:rtl/>
              </w:rPr>
              <w:t>הכנסות בין-מגזריות</w:t>
            </w:r>
          </w:p>
        </w:tc>
        <w:tc>
          <w:tcPr>
            <w:tcW w:w="85" w:type="dxa"/>
          </w:tcPr>
          <w:p w14:paraId="6BE4B9D1"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left w:val="nil"/>
              <w:bottom w:val="single" w:sz="4" w:space="0" w:color="auto"/>
              <w:right w:val="nil"/>
            </w:tcBorders>
            <w:vAlign w:val="bottom"/>
          </w:tcPr>
          <w:p w14:paraId="40B97D3D" w14:textId="77777777" w:rsidR="00B0420D" w:rsidRPr="0031447D" w:rsidRDefault="00B0420D" w:rsidP="00753044">
            <w:pPr>
              <w:tabs>
                <w:tab w:val="decimal" w:pos="113"/>
              </w:tabs>
              <w:spacing w:line="180" w:lineRule="exact"/>
              <w:ind w:left="57"/>
              <w:rPr>
                <w:sz w:val="18"/>
                <w:szCs w:val="18"/>
              </w:rPr>
            </w:pPr>
          </w:p>
        </w:tc>
        <w:tc>
          <w:tcPr>
            <w:tcW w:w="140" w:type="dxa"/>
          </w:tcPr>
          <w:p w14:paraId="27065FCF" w14:textId="77777777" w:rsidR="00B0420D" w:rsidRPr="0031447D" w:rsidRDefault="00B0420D" w:rsidP="00753044">
            <w:pPr>
              <w:tabs>
                <w:tab w:val="decimal" w:pos="113"/>
              </w:tabs>
              <w:spacing w:line="180" w:lineRule="exact"/>
              <w:ind w:left="57"/>
              <w:rPr>
                <w:sz w:val="18"/>
                <w:szCs w:val="18"/>
              </w:rPr>
            </w:pPr>
          </w:p>
        </w:tc>
        <w:tc>
          <w:tcPr>
            <w:tcW w:w="930" w:type="dxa"/>
            <w:tcBorders>
              <w:left w:val="nil"/>
              <w:bottom w:val="single" w:sz="4" w:space="0" w:color="auto"/>
              <w:right w:val="nil"/>
            </w:tcBorders>
            <w:vAlign w:val="bottom"/>
          </w:tcPr>
          <w:p w14:paraId="3A964916" w14:textId="77777777" w:rsidR="00B0420D" w:rsidRPr="0031447D" w:rsidRDefault="00B0420D" w:rsidP="00753044">
            <w:pPr>
              <w:tabs>
                <w:tab w:val="decimal" w:pos="113"/>
              </w:tabs>
              <w:spacing w:line="180" w:lineRule="exact"/>
              <w:ind w:left="57"/>
              <w:rPr>
                <w:sz w:val="18"/>
                <w:szCs w:val="18"/>
              </w:rPr>
            </w:pPr>
          </w:p>
        </w:tc>
        <w:tc>
          <w:tcPr>
            <w:tcW w:w="113" w:type="dxa"/>
          </w:tcPr>
          <w:p w14:paraId="327EB65F" w14:textId="77777777" w:rsidR="00B0420D" w:rsidRPr="0031447D" w:rsidRDefault="00B0420D" w:rsidP="00753044">
            <w:pPr>
              <w:tabs>
                <w:tab w:val="decimal" w:pos="113"/>
              </w:tabs>
              <w:spacing w:line="180" w:lineRule="exact"/>
              <w:ind w:left="57"/>
              <w:rPr>
                <w:sz w:val="18"/>
                <w:szCs w:val="18"/>
              </w:rPr>
            </w:pPr>
          </w:p>
        </w:tc>
        <w:tc>
          <w:tcPr>
            <w:tcW w:w="804" w:type="dxa"/>
            <w:tcBorders>
              <w:left w:val="nil"/>
              <w:bottom w:val="single" w:sz="4" w:space="0" w:color="auto"/>
              <w:right w:val="nil"/>
            </w:tcBorders>
            <w:vAlign w:val="bottom"/>
          </w:tcPr>
          <w:p w14:paraId="42272B22" w14:textId="77777777" w:rsidR="00B0420D" w:rsidRPr="0031447D" w:rsidRDefault="00B0420D" w:rsidP="00753044">
            <w:pPr>
              <w:tabs>
                <w:tab w:val="decimal" w:pos="113"/>
              </w:tabs>
              <w:spacing w:line="180" w:lineRule="exact"/>
              <w:ind w:left="57"/>
              <w:rPr>
                <w:sz w:val="18"/>
                <w:szCs w:val="18"/>
              </w:rPr>
            </w:pPr>
          </w:p>
        </w:tc>
        <w:tc>
          <w:tcPr>
            <w:tcW w:w="140" w:type="dxa"/>
          </w:tcPr>
          <w:p w14:paraId="73AEA245" w14:textId="77777777" w:rsidR="00B0420D" w:rsidRPr="0031447D" w:rsidRDefault="00B0420D" w:rsidP="00753044">
            <w:pPr>
              <w:tabs>
                <w:tab w:val="decimal" w:pos="113"/>
              </w:tabs>
              <w:spacing w:line="180" w:lineRule="exact"/>
              <w:ind w:left="57"/>
              <w:rPr>
                <w:sz w:val="18"/>
                <w:szCs w:val="18"/>
              </w:rPr>
            </w:pPr>
          </w:p>
        </w:tc>
        <w:tc>
          <w:tcPr>
            <w:tcW w:w="804" w:type="dxa"/>
            <w:tcBorders>
              <w:left w:val="nil"/>
              <w:bottom w:val="single" w:sz="4" w:space="0" w:color="auto"/>
              <w:right w:val="nil"/>
            </w:tcBorders>
            <w:vAlign w:val="bottom"/>
          </w:tcPr>
          <w:p w14:paraId="0D9438FD" w14:textId="77777777" w:rsidR="00B0420D" w:rsidRPr="0031447D" w:rsidRDefault="00B0420D" w:rsidP="00753044">
            <w:pPr>
              <w:tabs>
                <w:tab w:val="decimal" w:pos="113"/>
              </w:tabs>
              <w:spacing w:line="180" w:lineRule="exact"/>
              <w:ind w:left="57"/>
              <w:rPr>
                <w:sz w:val="18"/>
                <w:szCs w:val="18"/>
              </w:rPr>
            </w:pPr>
          </w:p>
        </w:tc>
        <w:tc>
          <w:tcPr>
            <w:tcW w:w="140" w:type="dxa"/>
          </w:tcPr>
          <w:p w14:paraId="0A5B0892" w14:textId="77777777" w:rsidR="00B0420D" w:rsidRPr="0031447D" w:rsidRDefault="00B0420D" w:rsidP="00753044">
            <w:pPr>
              <w:tabs>
                <w:tab w:val="decimal" w:pos="113"/>
              </w:tabs>
              <w:spacing w:line="180" w:lineRule="exact"/>
              <w:ind w:left="57"/>
              <w:rPr>
                <w:sz w:val="18"/>
                <w:szCs w:val="18"/>
              </w:rPr>
            </w:pPr>
          </w:p>
        </w:tc>
        <w:tc>
          <w:tcPr>
            <w:tcW w:w="820" w:type="dxa"/>
            <w:tcBorders>
              <w:top w:val="nil"/>
              <w:left w:val="nil"/>
              <w:bottom w:val="single" w:sz="4" w:space="0" w:color="auto"/>
              <w:right w:val="nil"/>
            </w:tcBorders>
            <w:vAlign w:val="bottom"/>
          </w:tcPr>
          <w:p w14:paraId="61648787" w14:textId="77777777" w:rsidR="00B0420D" w:rsidRPr="0031447D" w:rsidRDefault="00B0420D" w:rsidP="00753044">
            <w:pPr>
              <w:tabs>
                <w:tab w:val="decimal" w:pos="113"/>
              </w:tabs>
              <w:spacing w:line="180" w:lineRule="exact"/>
              <w:ind w:left="57"/>
              <w:rPr>
                <w:sz w:val="18"/>
                <w:szCs w:val="18"/>
              </w:rPr>
            </w:pPr>
          </w:p>
        </w:tc>
        <w:tc>
          <w:tcPr>
            <w:tcW w:w="94" w:type="dxa"/>
          </w:tcPr>
          <w:p w14:paraId="68B0329D" w14:textId="77777777" w:rsidR="00B0420D" w:rsidRPr="0031447D" w:rsidRDefault="00B0420D" w:rsidP="00753044">
            <w:pPr>
              <w:tabs>
                <w:tab w:val="decimal" w:pos="113"/>
              </w:tabs>
              <w:spacing w:line="180" w:lineRule="exact"/>
              <w:ind w:left="57"/>
              <w:rPr>
                <w:sz w:val="18"/>
                <w:szCs w:val="18"/>
              </w:rPr>
            </w:pPr>
          </w:p>
        </w:tc>
        <w:tc>
          <w:tcPr>
            <w:tcW w:w="807" w:type="dxa"/>
            <w:tcBorders>
              <w:top w:val="nil"/>
              <w:left w:val="nil"/>
              <w:bottom w:val="single" w:sz="4" w:space="0" w:color="auto"/>
              <w:right w:val="nil"/>
            </w:tcBorders>
            <w:vAlign w:val="bottom"/>
          </w:tcPr>
          <w:p w14:paraId="4A929271" w14:textId="77777777" w:rsidR="00B0420D" w:rsidRPr="0031447D" w:rsidRDefault="00B0420D" w:rsidP="00753044">
            <w:pPr>
              <w:tabs>
                <w:tab w:val="decimal" w:pos="113"/>
              </w:tabs>
              <w:spacing w:line="180" w:lineRule="exact"/>
              <w:ind w:left="57"/>
              <w:rPr>
                <w:sz w:val="18"/>
                <w:szCs w:val="18"/>
              </w:rPr>
            </w:pPr>
          </w:p>
        </w:tc>
      </w:tr>
      <w:tr w:rsidR="00B0420D" w:rsidRPr="0031447D" w14:paraId="24835B1C" w14:textId="77777777" w:rsidTr="00BF3BAF">
        <w:tc>
          <w:tcPr>
            <w:tcW w:w="2435" w:type="dxa"/>
            <w:vAlign w:val="bottom"/>
          </w:tcPr>
          <w:p w14:paraId="1252BDB5" w14:textId="77777777" w:rsidR="00B0420D" w:rsidRPr="0031447D" w:rsidRDefault="00B0420D" w:rsidP="00753044">
            <w:pPr>
              <w:pStyle w:val="a3"/>
              <w:tabs>
                <w:tab w:val="left" w:pos="227"/>
                <w:tab w:val="left" w:pos="397"/>
                <w:tab w:val="left" w:pos="567"/>
              </w:tabs>
              <w:spacing w:line="180" w:lineRule="exact"/>
              <w:rPr>
                <w:sz w:val="18"/>
                <w:szCs w:val="18"/>
                <w:rtl/>
              </w:rPr>
            </w:pPr>
          </w:p>
        </w:tc>
        <w:tc>
          <w:tcPr>
            <w:tcW w:w="85" w:type="dxa"/>
          </w:tcPr>
          <w:p w14:paraId="0B44969C" w14:textId="77777777" w:rsidR="00B0420D" w:rsidRPr="0031447D" w:rsidRDefault="00B0420D" w:rsidP="00753044">
            <w:pPr>
              <w:pStyle w:val="a3"/>
              <w:tabs>
                <w:tab w:val="left" w:pos="227"/>
                <w:tab w:val="left" w:pos="397"/>
                <w:tab w:val="left" w:pos="567"/>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61528795" w14:textId="77777777" w:rsidR="00B0420D" w:rsidRPr="0031447D" w:rsidRDefault="00B0420D" w:rsidP="00753044">
            <w:pPr>
              <w:pStyle w:val="a3"/>
              <w:tabs>
                <w:tab w:val="decimal" w:pos="113"/>
              </w:tabs>
              <w:spacing w:line="180" w:lineRule="exact"/>
              <w:rPr>
                <w:sz w:val="18"/>
                <w:szCs w:val="18"/>
              </w:rPr>
            </w:pPr>
          </w:p>
        </w:tc>
        <w:tc>
          <w:tcPr>
            <w:tcW w:w="140" w:type="dxa"/>
          </w:tcPr>
          <w:p w14:paraId="36283FB6" w14:textId="77777777" w:rsidR="00B0420D" w:rsidRPr="0031447D" w:rsidRDefault="00B0420D" w:rsidP="00753044">
            <w:pPr>
              <w:pStyle w:val="a3"/>
              <w:tabs>
                <w:tab w:val="decimal" w:pos="113"/>
              </w:tabs>
              <w:spacing w:line="180" w:lineRule="exact"/>
              <w:rPr>
                <w:sz w:val="18"/>
                <w:szCs w:val="18"/>
              </w:rPr>
            </w:pPr>
          </w:p>
        </w:tc>
        <w:tc>
          <w:tcPr>
            <w:tcW w:w="930" w:type="dxa"/>
            <w:tcBorders>
              <w:top w:val="single" w:sz="4" w:space="0" w:color="auto"/>
              <w:left w:val="nil"/>
              <w:right w:val="nil"/>
            </w:tcBorders>
            <w:shd w:val="clear" w:color="auto" w:fill="auto"/>
            <w:vAlign w:val="bottom"/>
          </w:tcPr>
          <w:p w14:paraId="41210820" w14:textId="77777777" w:rsidR="00B0420D" w:rsidRPr="0031447D" w:rsidRDefault="00B0420D" w:rsidP="00753044">
            <w:pPr>
              <w:pStyle w:val="a3"/>
              <w:tabs>
                <w:tab w:val="decimal" w:pos="113"/>
              </w:tabs>
              <w:spacing w:line="180" w:lineRule="exact"/>
              <w:rPr>
                <w:sz w:val="18"/>
                <w:szCs w:val="18"/>
              </w:rPr>
            </w:pPr>
          </w:p>
        </w:tc>
        <w:tc>
          <w:tcPr>
            <w:tcW w:w="113" w:type="dxa"/>
          </w:tcPr>
          <w:p w14:paraId="2B4199C1" w14:textId="77777777" w:rsidR="00B0420D" w:rsidRPr="0031447D" w:rsidRDefault="00B0420D" w:rsidP="00753044">
            <w:pPr>
              <w:pStyle w:val="a3"/>
              <w:tabs>
                <w:tab w:val="decimal" w:pos="113"/>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0EB44AB2" w14:textId="77777777" w:rsidR="00B0420D" w:rsidRPr="0031447D" w:rsidRDefault="00B0420D" w:rsidP="00753044">
            <w:pPr>
              <w:pStyle w:val="a3"/>
              <w:tabs>
                <w:tab w:val="decimal" w:pos="113"/>
              </w:tabs>
              <w:spacing w:line="180" w:lineRule="exact"/>
              <w:rPr>
                <w:sz w:val="18"/>
                <w:szCs w:val="18"/>
              </w:rPr>
            </w:pPr>
          </w:p>
        </w:tc>
        <w:tc>
          <w:tcPr>
            <w:tcW w:w="140" w:type="dxa"/>
          </w:tcPr>
          <w:p w14:paraId="35A25061" w14:textId="77777777" w:rsidR="00B0420D" w:rsidRPr="0031447D" w:rsidRDefault="00B0420D" w:rsidP="00753044">
            <w:pPr>
              <w:pStyle w:val="a3"/>
              <w:tabs>
                <w:tab w:val="decimal" w:pos="113"/>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2EF2582E" w14:textId="77777777" w:rsidR="00B0420D" w:rsidRPr="0031447D" w:rsidRDefault="00B0420D" w:rsidP="00753044">
            <w:pPr>
              <w:pStyle w:val="a3"/>
              <w:tabs>
                <w:tab w:val="decimal" w:pos="113"/>
              </w:tabs>
              <w:spacing w:line="180" w:lineRule="exact"/>
              <w:rPr>
                <w:sz w:val="18"/>
                <w:szCs w:val="18"/>
              </w:rPr>
            </w:pPr>
          </w:p>
        </w:tc>
        <w:tc>
          <w:tcPr>
            <w:tcW w:w="140" w:type="dxa"/>
          </w:tcPr>
          <w:p w14:paraId="222DA65E" w14:textId="77777777" w:rsidR="00B0420D" w:rsidRPr="0031447D" w:rsidRDefault="00B0420D" w:rsidP="00753044">
            <w:pPr>
              <w:pStyle w:val="a3"/>
              <w:tabs>
                <w:tab w:val="decimal" w:pos="113"/>
              </w:tabs>
              <w:spacing w:line="180" w:lineRule="exact"/>
              <w:rPr>
                <w:sz w:val="18"/>
                <w:szCs w:val="18"/>
              </w:rPr>
            </w:pPr>
          </w:p>
        </w:tc>
        <w:tc>
          <w:tcPr>
            <w:tcW w:w="820" w:type="dxa"/>
            <w:tcBorders>
              <w:top w:val="single" w:sz="4" w:space="0" w:color="auto"/>
              <w:left w:val="nil"/>
              <w:right w:val="nil"/>
            </w:tcBorders>
            <w:shd w:val="clear" w:color="auto" w:fill="auto"/>
            <w:vAlign w:val="bottom"/>
          </w:tcPr>
          <w:p w14:paraId="4C542CD4" w14:textId="77777777" w:rsidR="00B0420D" w:rsidRPr="0031447D" w:rsidRDefault="00B0420D" w:rsidP="00753044">
            <w:pPr>
              <w:pStyle w:val="a3"/>
              <w:tabs>
                <w:tab w:val="decimal" w:pos="113"/>
              </w:tabs>
              <w:spacing w:line="180" w:lineRule="exact"/>
              <w:rPr>
                <w:sz w:val="18"/>
                <w:szCs w:val="18"/>
              </w:rPr>
            </w:pPr>
          </w:p>
        </w:tc>
        <w:tc>
          <w:tcPr>
            <w:tcW w:w="94" w:type="dxa"/>
          </w:tcPr>
          <w:p w14:paraId="5448A232" w14:textId="77777777" w:rsidR="00B0420D" w:rsidRPr="0031447D" w:rsidRDefault="00B0420D" w:rsidP="00753044">
            <w:pPr>
              <w:pStyle w:val="a3"/>
              <w:tabs>
                <w:tab w:val="decimal" w:pos="113"/>
              </w:tabs>
              <w:spacing w:line="180" w:lineRule="exact"/>
              <w:rPr>
                <w:sz w:val="18"/>
                <w:szCs w:val="18"/>
              </w:rPr>
            </w:pPr>
          </w:p>
        </w:tc>
        <w:tc>
          <w:tcPr>
            <w:tcW w:w="807" w:type="dxa"/>
            <w:tcBorders>
              <w:top w:val="single" w:sz="4" w:space="0" w:color="auto"/>
              <w:left w:val="nil"/>
              <w:right w:val="nil"/>
            </w:tcBorders>
            <w:shd w:val="clear" w:color="auto" w:fill="auto"/>
            <w:vAlign w:val="bottom"/>
          </w:tcPr>
          <w:p w14:paraId="01834890" w14:textId="77777777" w:rsidR="00B0420D" w:rsidRPr="0031447D" w:rsidRDefault="00B0420D" w:rsidP="00753044">
            <w:pPr>
              <w:pStyle w:val="a3"/>
              <w:tabs>
                <w:tab w:val="decimal" w:pos="113"/>
              </w:tabs>
              <w:spacing w:line="180" w:lineRule="exact"/>
              <w:rPr>
                <w:sz w:val="18"/>
                <w:szCs w:val="18"/>
              </w:rPr>
            </w:pPr>
          </w:p>
        </w:tc>
      </w:tr>
      <w:tr w:rsidR="00B0420D" w:rsidRPr="0031447D" w14:paraId="720C089F" w14:textId="77777777" w:rsidTr="00BF3BAF">
        <w:tc>
          <w:tcPr>
            <w:tcW w:w="2435" w:type="dxa"/>
            <w:vAlign w:val="bottom"/>
          </w:tcPr>
          <w:p w14:paraId="5E4B0DC0" w14:textId="77777777" w:rsidR="00B0420D" w:rsidRPr="0031447D" w:rsidRDefault="00B0420D" w:rsidP="00753044">
            <w:pPr>
              <w:pStyle w:val="a3"/>
              <w:tabs>
                <w:tab w:val="left" w:pos="227"/>
                <w:tab w:val="left" w:pos="397"/>
                <w:tab w:val="left" w:pos="567"/>
              </w:tabs>
              <w:spacing w:line="180" w:lineRule="exact"/>
              <w:rPr>
                <w:sz w:val="18"/>
                <w:szCs w:val="18"/>
              </w:rPr>
            </w:pPr>
            <w:r w:rsidRPr="0031447D">
              <w:rPr>
                <w:rFonts w:hint="cs"/>
                <w:sz w:val="18"/>
                <w:szCs w:val="18"/>
                <w:rtl/>
              </w:rPr>
              <w:t>סה"כ הכנסות</w:t>
            </w:r>
          </w:p>
        </w:tc>
        <w:tc>
          <w:tcPr>
            <w:tcW w:w="85" w:type="dxa"/>
          </w:tcPr>
          <w:p w14:paraId="005B5628"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left w:val="nil"/>
              <w:bottom w:val="double" w:sz="6" w:space="0" w:color="auto"/>
              <w:right w:val="nil"/>
            </w:tcBorders>
            <w:vAlign w:val="bottom"/>
          </w:tcPr>
          <w:p w14:paraId="4B04FEC4" w14:textId="77777777" w:rsidR="00B0420D" w:rsidRPr="0031447D" w:rsidRDefault="00B0420D" w:rsidP="00753044">
            <w:pPr>
              <w:tabs>
                <w:tab w:val="decimal" w:pos="113"/>
              </w:tabs>
              <w:spacing w:line="180" w:lineRule="exact"/>
              <w:ind w:left="57"/>
              <w:rPr>
                <w:sz w:val="18"/>
                <w:szCs w:val="18"/>
              </w:rPr>
            </w:pPr>
          </w:p>
        </w:tc>
        <w:tc>
          <w:tcPr>
            <w:tcW w:w="140" w:type="dxa"/>
          </w:tcPr>
          <w:p w14:paraId="19AE94ED" w14:textId="77777777" w:rsidR="00B0420D" w:rsidRPr="0031447D" w:rsidRDefault="00B0420D" w:rsidP="00753044">
            <w:pPr>
              <w:tabs>
                <w:tab w:val="decimal" w:pos="113"/>
              </w:tabs>
              <w:spacing w:line="180" w:lineRule="exact"/>
              <w:ind w:left="57"/>
              <w:rPr>
                <w:sz w:val="18"/>
                <w:szCs w:val="18"/>
              </w:rPr>
            </w:pPr>
          </w:p>
        </w:tc>
        <w:tc>
          <w:tcPr>
            <w:tcW w:w="930" w:type="dxa"/>
            <w:tcBorders>
              <w:left w:val="nil"/>
              <w:bottom w:val="double" w:sz="6" w:space="0" w:color="auto"/>
              <w:right w:val="nil"/>
            </w:tcBorders>
            <w:vAlign w:val="bottom"/>
          </w:tcPr>
          <w:p w14:paraId="5994034A" w14:textId="77777777" w:rsidR="00B0420D" w:rsidRPr="0031447D" w:rsidRDefault="00B0420D" w:rsidP="00753044">
            <w:pPr>
              <w:tabs>
                <w:tab w:val="decimal" w:pos="113"/>
              </w:tabs>
              <w:spacing w:line="180" w:lineRule="exact"/>
              <w:ind w:left="57"/>
              <w:rPr>
                <w:sz w:val="18"/>
                <w:szCs w:val="18"/>
              </w:rPr>
            </w:pPr>
          </w:p>
        </w:tc>
        <w:tc>
          <w:tcPr>
            <w:tcW w:w="113" w:type="dxa"/>
          </w:tcPr>
          <w:p w14:paraId="1E4F1AC2" w14:textId="77777777" w:rsidR="00B0420D" w:rsidRPr="0031447D" w:rsidRDefault="00B0420D" w:rsidP="00753044">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5BC23507" w14:textId="77777777" w:rsidR="00B0420D" w:rsidRPr="0031447D" w:rsidRDefault="00B0420D" w:rsidP="00753044">
            <w:pPr>
              <w:tabs>
                <w:tab w:val="decimal" w:pos="113"/>
              </w:tabs>
              <w:spacing w:line="180" w:lineRule="exact"/>
              <w:ind w:left="57"/>
              <w:rPr>
                <w:sz w:val="18"/>
                <w:szCs w:val="18"/>
              </w:rPr>
            </w:pPr>
          </w:p>
        </w:tc>
        <w:tc>
          <w:tcPr>
            <w:tcW w:w="140" w:type="dxa"/>
          </w:tcPr>
          <w:p w14:paraId="4479425B" w14:textId="77777777" w:rsidR="00B0420D" w:rsidRPr="0031447D" w:rsidRDefault="00B0420D" w:rsidP="00753044">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7AF37DB6" w14:textId="77777777" w:rsidR="00B0420D" w:rsidRPr="0031447D" w:rsidRDefault="00B0420D" w:rsidP="00753044">
            <w:pPr>
              <w:tabs>
                <w:tab w:val="decimal" w:pos="113"/>
              </w:tabs>
              <w:spacing w:line="180" w:lineRule="exact"/>
              <w:ind w:left="57"/>
              <w:rPr>
                <w:sz w:val="18"/>
                <w:szCs w:val="18"/>
              </w:rPr>
            </w:pPr>
          </w:p>
        </w:tc>
        <w:tc>
          <w:tcPr>
            <w:tcW w:w="140" w:type="dxa"/>
          </w:tcPr>
          <w:p w14:paraId="6A2ABB75" w14:textId="77777777" w:rsidR="00B0420D" w:rsidRPr="0031447D" w:rsidRDefault="00B0420D" w:rsidP="00753044">
            <w:pPr>
              <w:tabs>
                <w:tab w:val="decimal" w:pos="113"/>
              </w:tabs>
              <w:spacing w:line="180" w:lineRule="exact"/>
              <w:ind w:left="57"/>
              <w:rPr>
                <w:sz w:val="18"/>
                <w:szCs w:val="18"/>
              </w:rPr>
            </w:pPr>
          </w:p>
        </w:tc>
        <w:tc>
          <w:tcPr>
            <w:tcW w:w="820" w:type="dxa"/>
            <w:tcBorders>
              <w:left w:val="nil"/>
              <w:bottom w:val="double" w:sz="6" w:space="0" w:color="auto"/>
              <w:right w:val="nil"/>
            </w:tcBorders>
            <w:vAlign w:val="bottom"/>
          </w:tcPr>
          <w:p w14:paraId="04665997" w14:textId="77777777" w:rsidR="00B0420D" w:rsidRPr="0031447D" w:rsidRDefault="00B0420D" w:rsidP="00753044">
            <w:pPr>
              <w:tabs>
                <w:tab w:val="decimal" w:pos="113"/>
              </w:tabs>
              <w:spacing w:line="180" w:lineRule="exact"/>
              <w:ind w:left="57"/>
              <w:rPr>
                <w:sz w:val="18"/>
                <w:szCs w:val="18"/>
              </w:rPr>
            </w:pPr>
          </w:p>
        </w:tc>
        <w:tc>
          <w:tcPr>
            <w:tcW w:w="94" w:type="dxa"/>
          </w:tcPr>
          <w:p w14:paraId="6587A06A" w14:textId="77777777" w:rsidR="00B0420D" w:rsidRPr="0031447D" w:rsidRDefault="00B0420D" w:rsidP="00753044">
            <w:pPr>
              <w:tabs>
                <w:tab w:val="decimal" w:pos="113"/>
              </w:tabs>
              <w:spacing w:line="180" w:lineRule="exact"/>
              <w:ind w:left="57"/>
              <w:rPr>
                <w:sz w:val="18"/>
                <w:szCs w:val="18"/>
              </w:rPr>
            </w:pPr>
          </w:p>
        </w:tc>
        <w:tc>
          <w:tcPr>
            <w:tcW w:w="807" w:type="dxa"/>
            <w:tcBorders>
              <w:left w:val="nil"/>
              <w:bottom w:val="double" w:sz="6" w:space="0" w:color="auto"/>
              <w:right w:val="nil"/>
            </w:tcBorders>
            <w:vAlign w:val="bottom"/>
          </w:tcPr>
          <w:p w14:paraId="1F21E2F1" w14:textId="77777777" w:rsidR="00B0420D" w:rsidRPr="0031447D" w:rsidRDefault="00B0420D" w:rsidP="00753044">
            <w:pPr>
              <w:tabs>
                <w:tab w:val="decimal" w:pos="113"/>
              </w:tabs>
              <w:spacing w:line="180" w:lineRule="exact"/>
              <w:ind w:left="57"/>
              <w:rPr>
                <w:sz w:val="18"/>
                <w:szCs w:val="18"/>
              </w:rPr>
            </w:pPr>
          </w:p>
        </w:tc>
      </w:tr>
      <w:tr w:rsidR="00B0420D" w:rsidRPr="0031447D" w14:paraId="0EFCB7A5" w14:textId="77777777" w:rsidTr="00BF3BAF">
        <w:tc>
          <w:tcPr>
            <w:tcW w:w="2435" w:type="dxa"/>
            <w:vAlign w:val="bottom"/>
          </w:tcPr>
          <w:p w14:paraId="52B3AA21" w14:textId="77777777" w:rsidR="00B0420D" w:rsidRPr="0031447D" w:rsidRDefault="00B0420D" w:rsidP="00753044">
            <w:pPr>
              <w:pStyle w:val="a3"/>
              <w:tabs>
                <w:tab w:val="left" w:pos="227"/>
                <w:tab w:val="left" w:pos="397"/>
                <w:tab w:val="left" w:pos="567"/>
              </w:tabs>
              <w:spacing w:line="180" w:lineRule="exact"/>
              <w:rPr>
                <w:sz w:val="18"/>
                <w:szCs w:val="18"/>
              </w:rPr>
            </w:pPr>
          </w:p>
        </w:tc>
        <w:tc>
          <w:tcPr>
            <w:tcW w:w="85" w:type="dxa"/>
          </w:tcPr>
          <w:p w14:paraId="5192A342"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double" w:sz="6" w:space="0" w:color="auto"/>
              <w:left w:val="nil"/>
              <w:bottom w:val="nil"/>
              <w:right w:val="nil"/>
            </w:tcBorders>
            <w:vAlign w:val="bottom"/>
          </w:tcPr>
          <w:p w14:paraId="018DEAB4" w14:textId="77777777" w:rsidR="00B0420D" w:rsidRPr="0031447D" w:rsidRDefault="00B0420D" w:rsidP="00753044">
            <w:pPr>
              <w:tabs>
                <w:tab w:val="decimal" w:pos="113"/>
              </w:tabs>
              <w:spacing w:line="180" w:lineRule="exact"/>
              <w:ind w:left="57"/>
              <w:rPr>
                <w:sz w:val="18"/>
                <w:szCs w:val="18"/>
              </w:rPr>
            </w:pPr>
          </w:p>
        </w:tc>
        <w:tc>
          <w:tcPr>
            <w:tcW w:w="140" w:type="dxa"/>
          </w:tcPr>
          <w:p w14:paraId="3C71B90F" w14:textId="77777777" w:rsidR="00B0420D" w:rsidRPr="0031447D" w:rsidRDefault="00B0420D" w:rsidP="00753044">
            <w:pPr>
              <w:tabs>
                <w:tab w:val="decimal" w:pos="113"/>
              </w:tabs>
              <w:spacing w:line="180" w:lineRule="exact"/>
              <w:ind w:left="57"/>
              <w:rPr>
                <w:sz w:val="18"/>
                <w:szCs w:val="18"/>
              </w:rPr>
            </w:pPr>
          </w:p>
        </w:tc>
        <w:tc>
          <w:tcPr>
            <w:tcW w:w="930" w:type="dxa"/>
            <w:tcBorders>
              <w:top w:val="double" w:sz="6" w:space="0" w:color="auto"/>
              <w:left w:val="nil"/>
              <w:bottom w:val="nil"/>
              <w:right w:val="nil"/>
            </w:tcBorders>
            <w:vAlign w:val="bottom"/>
          </w:tcPr>
          <w:p w14:paraId="71D53ABB" w14:textId="77777777" w:rsidR="00B0420D" w:rsidRPr="0031447D" w:rsidRDefault="00B0420D" w:rsidP="00753044">
            <w:pPr>
              <w:tabs>
                <w:tab w:val="decimal" w:pos="113"/>
              </w:tabs>
              <w:spacing w:line="180" w:lineRule="exact"/>
              <w:ind w:left="57"/>
              <w:rPr>
                <w:sz w:val="18"/>
                <w:szCs w:val="18"/>
              </w:rPr>
            </w:pPr>
          </w:p>
        </w:tc>
        <w:tc>
          <w:tcPr>
            <w:tcW w:w="113" w:type="dxa"/>
          </w:tcPr>
          <w:p w14:paraId="1C3B0BC6" w14:textId="77777777" w:rsidR="00B0420D" w:rsidRPr="0031447D" w:rsidRDefault="00B0420D" w:rsidP="00753044">
            <w:pPr>
              <w:tabs>
                <w:tab w:val="decimal" w:pos="113"/>
              </w:tabs>
              <w:spacing w:line="180" w:lineRule="exact"/>
              <w:ind w:left="57"/>
              <w:rPr>
                <w:sz w:val="18"/>
                <w:szCs w:val="18"/>
              </w:rPr>
            </w:pPr>
          </w:p>
        </w:tc>
        <w:tc>
          <w:tcPr>
            <w:tcW w:w="804" w:type="dxa"/>
            <w:tcBorders>
              <w:top w:val="double" w:sz="6" w:space="0" w:color="auto"/>
              <w:left w:val="nil"/>
              <w:bottom w:val="nil"/>
              <w:right w:val="nil"/>
            </w:tcBorders>
            <w:vAlign w:val="bottom"/>
          </w:tcPr>
          <w:p w14:paraId="203F7DE1" w14:textId="77777777" w:rsidR="00B0420D" w:rsidRPr="0031447D" w:rsidRDefault="00B0420D" w:rsidP="00753044">
            <w:pPr>
              <w:tabs>
                <w:tab w:val="decimal" w:pos="113"/>
              </w:tabs>
              <w:spacing w:line="180" w:lineRule="exact"/>
              <w:ind w:left="57"/>
              <w:rPr>
                <w:sz w:val="18"/>
                <w:szCs w:val="18"/>
              </w:rPr>
            </w:pPr>
          </w:p>
        </w:tc>
        <w:tc>
          <w:tcPr>
            <w:tcW w:w="140" w:type="dxa"/>
          </w:tcPr>
          <w:p w14:paraId="3ECCD723" w14:textId="77777777" w:rsidR="00B0420D" w:rsidRPr="0031447D" w:rsidRDefault="00B0420D" w:rsidP="00753044">
            <w:pPr>
              <w:tabs>
                <w:tab w:val="decimal" w:pos="113"/>
              </w:tabs>
              <w:spacing w:line="180" w:lineRule="exact"/>
              <w:ind w:left="57"/>
              <w:rPr>
                <w:sz w:val="18"/>
                <w:szCs w:val="18"/>
              </w:rPr>
            </w:pPr>
          </w:p>
        </w:tc>
        <w:tc>
          <w:tcPr>
            <w:tcW w:w="804" w:type="dxa"/>
            <w:tcBorders>
              <w:top w:val="double" w:sz="6" w:space="0" w:color="auto"/>
              <w:left w:val="nil"/>
              <w:bottom w:val="nil"/>
              <w:right w:val="nil"/>
            </w:tcBorders>
            <w:vAlign w:val="bottom"/>
          </w:tcPr>
          <w:p w14:paraId="53662E9C" w14:textId="77777777" w:rsidR="00B0420D" w:rsidRPr="0031447D" w:rsidRDefault="00B0420D" w:rsidP="00753044">
            <w:pPr>
              <w:tabs>
                <w:tab w:val="decimal" w:pos="113"/>
              </w:tabs>
              <w:spacing w:line="180" w:lineRule="exact"/>
              <w:ind w:left="57"/>
              <w:rPr>
                <w:sz w:val="18"/>
                <w:szCs w:val="18"/>
              </w:rPr>
            </w:pPr>
          </w:p>
        </w:tc>
        <w:tc>
          <w:tcPr>
            <w:tcW w:w="140" w:type="dxa"/>
          </w:tcPr>
          <w:p w14:paraId="1216E8CC" w14:textId="77777777" w:rsidR="00B0420D" w:rsidRPr="0031447D" w:rsidRDefault="00B0420D" w:rsidP="00753044">
            <w:pPr>
              <w:tabs>
                <w:tab w:val="decimal" w:pos="113"/>
              </w:tabs>
              <w:spacing w:line="180" w:lineRule="exact"/>
              <w:ind w:left="57"/>
              <w:rPr>
                <w:sz w:val="18"/>
                <w:szCs w:val="18"/>
              </w:rPr>
            </w:pPr>
          </w:p>
        </w:tc>
        <w:tc>
          <w:tcPr>
            <w:tcW w:w="820" w:type="dxa"/>
            <w:tcBorders>
              <w:top w:val="double" w:sz="6" w:space="0" w:color="auto"/>
              <w:left w:val="nil"/>
              <w:bottom w:val="nil"/>
              <w:right w:val="nil"/>
            </w:tcBorders>
            <w:vAlign w:val="bottom"/>
          </w:tcPr>
          <w:p w14:paraId="13ED9096" w14:textId="77777777" w:rsidR="00B0420D" w:rsidRPr="0031447D" w:rsidRDefault="00B0420D" w:rsidP="00753044">
            <w:pPr>
              <w:tabs>
                <w:tab w:val="decimal" w:pos="113"/>
              </w:tabs>
              <w:spacing w:line="180" w:lineRule="exact"/>
              <w:ind w:left="57"/>
              <w:rPr>
                <w:sz w:val="18"/>
                <w:szCs w:val="18"/>
              </w:rPr>
            </w:pPr>
          </w:p>
        </w:tc>
        <w:tc>
          <w:tcPr>
            <w:tcW w:w="94" w:type="dxa"/>
          </w:tcPr>
          <w:p w14:paraId="1BD07FFE" w14:textId="77777777" w:rsidR="00B0420D" w:rsidRPr="0031447D" w:rsidRDefault="00B0420D" w:rsidP="00753044">
            <w:pPr>
              <w:tabs>
                <w:tab w:val="decimal" w:pos="113"/>
              </w:tabs>
              <w:spacing w:line="180" w:lineRule="exact"/>
              <w:ind w:left="57"/>
              <w:rPr>
                <w:sz w:val="18"/>
                <w:szCs w:val="18"/>
              </w:rPr>
            </w:pPr>
          </w:p>
        </w:tc>
        <w:tc>
          <w:tcPr>
            <w:tcW w:w="807" w:type="dxa"/>
            <w:tcBorders>
              <w:top w:val="double" w:sz="6" w:space="0" w:color="auto"/>
              <w:left w:val="nil"/>
              <w:right w:val="nil"/>
            </w:tcBorders>
            <w:vAlign w:val="bottom"/>
          </w:tcPr>
          <w:p w14:paraId="28CB0147" w14:textId="77777777" w:rsidR="00B0420D" w:rsidRPr="0031447D" w:rsidRDefault="00B0420D" w:rsidP="00753044">
            <w:pPr>
              <w:tabs>
                <w:tab w:val="decimal" w:pos="113"/>
              </w:tabs>
              <w:spacing w:line="180" w:lineRule="exact"/>
              <w:ind w:left="57"/>
              <w:rPr>
                <w:sz w:val="18"/>
                <w:szCs w:val="18"/>
              </w:rPr>
            </w:pPr>
          </w:p>
        </w:tc>
      </w:tr>
      <w:tr w:rsidR="00B0420D" w:rsidRPr="0031447D" w14:paraId="02515634" w14:textId="77777777" w:rsidTr="00BF3BAF">
        <w:tc>
          <w:tcPr>
            <w:tcW w:w="2435" w:type="dxa"/>
            <w:vAlign w:val="bottom"/>
          </w:tcPr>
          <w:p w14:paraId="101DE6EC" w14:textId="77777777" w:rsidR="00B0420D" w:rsidRPr="0031447D" w:rsidRDefault="00B0420D" w:rsidP="00753044">
            <w:pPr>
              <w:pStyle w:val="a3"/>
              <w:tabs>
                <w:tab w:val="left" w:pos="227"/>
                <w:tab w:val="left" w:pos="397"/>
                <w:tab w:val="left" w:pos="567"/>
              </w:tabs>
              <w:spacing w:line="180" w:lineRule="exact"/>
              <w:rPr>
                <w:sz w:val="18"/>
                <w:szCs w:val="18"/>
              </w:rPr>
            </w:pPr>
            <w:r w:rsidRPr="0031447D">
              <w:rPr>
                <w:rFonts w:hint="cs"/>
                <w:sz w:val="18"/>
                <w:szCs w:val="18"/>
                <w:rtl/>
              </w:rPr>
              <w:t>רווח (הפסד) מגזרי</w:t>
            </w:r>
          </w:p>
        </w:tc>
        <w:tc>
          <w:tcPr>
            <w:tcW w:w="85" w:type="dxa"/>
          </w:tcPr>
          <w:p w14:paraId="6630A521"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left w:val="nil"/>
              <w:bottom w:val="double" w:sz="6" w:space="0" w:color="auto"/>
              <w:right w:val="nil"/>
            </w:tcBorders>
            <w:vAlign w:val="bottom"/>
          </w:tcPr>
          <w:p w14:paraId="733BC212" w14:textId="77777777" w:rsidR="00B0420D" w:rsidRPr="0031447D" w:rsidRDefault="00B0420D" w:rsidP="00753044">
            <w:pPr>
              <w:tabs>
                <w:tab w:val="decimal" w:pos="113"/>
              </w:tabs>
              <w:spacing w:line="180" w:lineRule="exact"/>
              <w:ind w:left="57"/>
              <w:rPr>
                <w:sz w:val="18"/>
                <w:szCs w:val="18"/>
              </w:rPr>
            </w:pPr>
          </w:p>
        </w:tc>
        <w:tc>
          <w:tcPr>
            <w:tcW w:w="140" w:type="dxa"/>
          </w:tcPr>
          <w:p w14:paraId="569119A2" w14:textId="77777777" w:rsidR="00B0420D" w:rsidRPr="0031447D" w:rsidRDefault="00B0420D" w:rsidP="00753044">
            <w:pPr>
              <w:tabs>
                <w:tab w:val="decimal" w:pos="113"/>
              </w:tabs>
              <w:spacing w:line="180" w:lineRule="exact"/>
              <w:ind w:left="57"/>
              <w:rPr>
                <w:sz w:val="18"/>
                <w:szCs w:val="18"/>
              </w:rPr>
            </w:pPr>
          </w:p>
        </w:tc>
        <w:tc>
          <w:tcPr>
            <w:tcW w:w="930" w:type="dxa"/>
            <w:tcBorders>
              <w:left w:val="nil"/>
              <w:bottom w:val="double" w:sz="6" w:space="0" w:color="auto"/>
              <w:right w:val="nil"/>
            </w:tcBorders>
            <w:vAlign w:val="bottom"/>
          </w:tcPr>
          <w:p w14:paraId="179147AD" w14:textId="77777777" w:rsidR="00B0420D" w:rsidRPr="0031447D" w:rsidRDefault="00B0420D" w:rsidP="00753044">
            <w:pPr>
              <w:tabs>
                <w:tab w:val="decimal" w:pos="113"/>
              </w:tabs>
              <w:spacing w:line="180" w:lineRule="exact"/>
              <w:ind w:left="57"/>
              <w:rPr>
                <w:sz w:val="18"/>
                <w:szCs w:val="18"/>
              </w:rPr>
            </w:pPr>
          </w:p>
        </w:tc>
        <w:tc>
          <w:tcPr>
            <w:tcW w:w="113" w:type="dxa"/>
          </w:tcPr>
          <w:p w14:paraId="3B7779EF" w14:textId="77777777" w:rsidR="00B0420D" w:rsidRPr="0031447D" w:rsidRDefault="00B0420D" w:rsidP="00753044">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718DA79A" w14:textId="77777777" w:rsidR="00B0420D" w:rsidRPr="0031447D" w:rsidRDefault="00B0420D" w:rsidP="00753044">
            <w:pPr>
              <w:tabs>
                <w:tab w:val="decimal" w:pos="113"/>
              </w:tabs>
              <w:spacing w:line="180" w:lineRule="exact"/>
              <w:ind w:left="57"/>
              <w:rPr>
                <w:sz w:val="18"/>
                <w:szCs w:val="18"/>
              </w:rPr>
            </w:pPr>
          </w:p>
        </w:tc>
        <w:tc>
          <w:tcPr>
            <w:tcW w:w="140" w:type="dxa"/>
          </w:tcPr>
          <w:p w14:paraId="6263C0B8" w14:textId="77777777" w:rsidR="00B0420D" w:rsidRPr="0031447D" w:rsidRDefault="00B0420D" w:rsidP="00753044">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27E543C3" w14:textId="77777777" w:rsidR="00B0420D" w:rsidRPr="0031447D" w:rsidRDefault="00B0420D" w:rsidP="00753044">
            <w:pPr>
              <w:tabs>
                <w:tab w:val="decimal" w:pos="113"/>
              </w:tabs>
              <w:spacing w:line="180" w:lineRule="exact"/>
              <w:ind w:left="57"/>
              <w:rPr>
                <w:sz w:val="18"/>
                <w:szCs w:val="18"/>
              </w:rPr>
            </w:pPr>
          </w:p>
        </w:tc>
        <w:tc>
          <w:tcPr>
            <w:tcW w:w="140" w:type="dxa"/>
          </w:tcPr>
          <w:p w14:paraId="21655F6A" w14:textId="77777777" w:rsidR="00B0420D" w:rsidRPr="0031447D" w:rsidRDefault="00B0420D" w:rsidP="00753044">
            <w:pPr>
              <w:tabs>
                <w:tab w:val="decimal" w:pos="113"/>
              </w:tabs>
              <w:spacing w:line="180" w:lineRule="exact"/>
              <w:ind w:left="57"/>
              <w:rPr>
                <w:sz w:val="18"/>
                <w:szCs w:val="18"/>
              </w:rPr>
            </w:pPr>
          </w:p>
        </w:tc>
        <w:tc>
          <w:tcPr>
            <w:tcW w:w="820" w:type="dxa"/>
            <w:tcBorders>
              <w:left w:val="nil"/>
              <w:bottom w:val="double" w:sz="6" w:space="0" w:color="auto"/>
              <w:right w:val="nil"/>
            </w:tcBorders>
            <w:vAlign w:val="bottom"/>
          </w:tcPr>
          <w:p w14:paraId="490A3B9A" w14:textId="77777777" w:rsidR="00B0420D" w:rsidRPr="0031447D" w:rsidRDefault="00B0420D" w:rsidP="00753044">
            <w:pPr>
              <w:tabs>
                <w:tab w:val="decimal" w:pos="113"/>
              </w:tabs>
              <w:spacing w:line="180" w:lineRule="exact"/>
              <w:ind w:left="57"/>
              <w:rPr>
                <w:sz w:val="18"/>
                <w:szCs w:val="18"/>
              </w:rPr>
            </w:pPr>
          </w:p>
        </w:tc>
        <w:tc>
          <w:tcPr>
            <w:tcW w:w="94" w:type="dxa"/>
          </w:tcPr>
          <w:p w14:paraId="289D5179" w14:textId="77777777" w:rsidR="00B0420D" w:rsidRPr="0031447D" w:rsidRDefault="00B0420D" w:rsidP="00753044">
            <w:pPr>
              <w:tabs>
                <w:tab w:val="decimal" w:pos="113"/>
              </w:tabs>
              <w:spacing w:line="180" w:lineRule="exact"/>
              <w:ind w:left="57"/>
              <w:rPr>
                <w:sz w:val="18"/>
                <w:szCs w:val="18"/>
              </w:rPr>
            </w:pPr>
          </w:p>
        </w:tc>
        <w:tc>
          <w:tcPr>
            <w:tcW w:w="807" w:type="dxa"/>
            <w:tcBorders>
              <w:left w:val="nil"/>
              <w:right w:val="nil"/>
            </w:tcBorders>
            <w:vAlign w:val="bottom"/>
          </w:tcPr>
          <w:p w14:paraId="364B5038" w14:textId="77777777" w:rsidR="00B0420D" w:rsidRPr="0031447D" w:rsidRDefault="00B0420D" w:rsidP="00753044">
            <w:pPr>
              <w:tabs>
                <w:tab w:val="decimal" w:pos="113"/>
              </w:tabs>
              <w:spacing w:line="180" w:lineRule="exact"/>
              <w:ind w:left="57"/>
              <w:rPr>
                <w:sz w:val="18"/>
                <w:szCs w:val="18"/>
              </w:rPr>
            </w:pPr>
          </w:p>
        </w:tc>
      </w:tr>
      <w:tr w:rsidR="00B0420D" w:rsidRPr="0031447D" w14:paraId="3B7DB82C" w14:textId="77777777" w:rsidTr="00BF3BAF">
        <w:tc>
          <w:tcPr>
            <w:tcW w:w="2435" w:type="dxa"/>
            <w:vAlign w:val="bottom"/>
          </w:tcPr>
          <w:p w14:paraId="0564C4E9" w14:textId="77777777" w:rsidR="00B0420D" w:rsidRPr="0031447D" w:rsidRDefault="00B0420D" w:rsidP="00753044">
            <w:pPr>
              <w:pStyle w:val="a3"/>
              <w:widowControl/>
              <w:tabs>
                <w:tab w:val="left" w:pos="227"/>
                <w:tab w:val="left" w:pos="397"/>
                <w:tab w:val="left" w:pos="567"/>
              </w:tabs>
              <w:bidi w:val="0"/>
              <w:spacing w:line="180" w:lineRule="exact"/>
              <w:ind w:left="0"/>
              <w:rPr>
                <w:sz w:val="18"/>
                <w:szCs w:val="18"/>
              </w:rPr>
            </w:pPr>
          </w:p>
        </w:tc>
        <w:tc>
          <w:tcPr>
            <w:tcW w:w="85" w:type="dxa"/>
          </w:tcPr>
          <w:p w14:paraId="05E2E515" w14:textId="77777777" w:rsidR="00B0420D" w:rsidRPr="0031447D" w:rsidRDefault="00B0420D" w:rsidP="00753044">
            <w:pPr>
              <w:pStyle w:val="a3"/>
              <w:widowControl/>
              <w:tabs>
                <w:tab w:val="left" w:pos="227"/>
                <w:tab w:val="left" w:pos="397"/>
                <w:tab w:val="left" w:pos="567"/>
              </w:tabs>
              <w:bidi w:val="0"/>
              <w:spacing w:line="180" w:lineRule="exact"/>
              <w:ind w:left="0"/>
              <w:rPr>
                <w:sz w:val="18"/>
                <w:szCs w:val="18"/>
              </w:rPr>
            </w:pPr>
          </w:p>
        </w:tc>
        <w:tc>
          <w:tcPr>
            <w:tcW w:w="804" w:type="dxa"/>
            <w:tcBorders>
              <w:top w:val="double" w:sz="6" w:space="0" w:color="auto"/>
              <w:left w:val="nil"/>
              <w:bottom w:val="nil"/>
              <w:right w:val="nil"/>
            </w:tcBorders>
            <w:vAlign w:val="bottom"/>
          </w:tcPr>
          <w:p w14:paraId="6C7B1735"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49362CDD" w14:textId="77777777" w:rsidR="00B0420D" w:rsidRPr="0031447D" w:rsidRDefault="00B0420D" w:rsidP="00753044">
            <w:pPr>
              <w:widowControl/>
              <w:tabs>
                <w:tab w:val="decimal" w:pos="113"/>
              </w:tabs>
              <w:bidi w:val="0"/>
              <w:spacing w:line="180" w:lineRule="exact"/>
              <w:rPr>
                <w:sz w:val="18"/>
                <w:szCs w:val="18"/>
              </w:rPr>
            </w:pPr>
          </w:p>
        </w:tc>
        <w:tc>
          <w:tcPr>
            <w:tcW w:w="930" w:type="dxa"/>
            <w:tcBorders>
              <w:top w:val="double" w:sz="6" w:space="0" w:color="auto"/>
              <w:left w:val="nil"/>
              <w:bottom w:val="nil"/>
              <w:right w:val="nil"/>
            </w:tcBorders>
            <w:vAlign w:val="bottom"/>
          </w:tcPr>
          <w:p w14:paraId="3E6400B6" w14:textId="77777777" w:rsidR="00B0420D" w:rsidRPr="0031447D" w:rsidRDefault="00B0420D" w:rsidP="00753044">
            <w:pPr>
              <w:widowControl/>
              <w:tabs>
                <w:tab w:val="decimal" w:pos="113"/>
              </w:tabs>
              <w:bidi w:val="0"/>
              <w:spacing w:line="180" w:lineRule="exact"/>
              <w:rPr>
                <w:sz w:val="18"/>
                <w:szCs w:val="18"/>
              </w:rPr>
            </w:pPr>
          </w:p>
        </w:tc>
        <w:tc>
          <w:tcPr>
            <w:tcW w:w="113" w:type="dxa"/>
          </w:tcPr>
          <w:p w14:paraId="1D7C2B93" w14:textId="77777777" w:rsidR="00B0420D" w:rsidRPr="0031447D" w:rsidRDefault="00B0420D" w:rsidP="00753044">
            <w:pPr>
              <w:widowControl/>
              <w:tabs>
                <w:tab w:val="decimal" w:pos="113"/>
              </w:tabs>
              <w:bidi w:val="0"/>
              <w:spacing w:line="180" w:lineRule="exact"/>
              <w:rPr>
                <w:sz w:val="18"/>
                <w:szCs w:val="18"/>
              </w:rPr>
            </w:pPr>
          </w:p>
        </w:tc>
        <w:tc>
          <w:tcPr>
            <w:tcW w:w="804" w:type="dxa"/>
            <w:tcBorders>
              <w:top w:val="double" w:sz="6" w:space="0" w:color="auto"/>
              <w:left w:val="nil"/>
              <w:bottom w:val="nil"/>
              <w:right w:val="nil"/>
            </w:tcBorders>
            <w:vAlign w:val="bottom"/>
          </w:tcPr>
          <w:p w14:paraId="3FA057A1"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054EA24B" w14:textId="77777777" w:rsidR="00B0420D" w:rsidRPr="0031447D" w:rsidRDefault="00B0420D" w:rsidP="00753044">
            <w:pPr>
              <w:widowControl/>
              <w:tabs>
                <w:tab w:val="decimal" w:pos="113"/>
              </w:tabs>
              <w:bidi w:val="0"/>
              <w:spacing w:line="180" w:lineRule="exact"/>
              <w:rPr>
                <w:sz w:val="18"/>
                <w:szCs w:val="18"/>
              </w:rPr>
            </w:pPr>
          </w:p>
        </w:tc>
        <w:tc>
          <w:tcPr>
            <w:tcW w:w="804" w:type="dxa"/>
            <w:tcBorders>
              <w:top w:val="double" w:sz="6" w:space="0" w:color="auto"/>
              <w:left w:val="nil"/>
              <w:bottom w:val="nil"/>
              <w:right w:val="nil"/>
            </w:tcBorders>
            <w:vAlign w:val="bottom"/>
          </w:tcPr>
          <w:p w14:paraId="34B4D2D1"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18085EEA" w14:textId="77777777" w:rsidR="00B0420D" w:rsidRPr="0031447D" w:rsidRDefault="00B0420D" w:rsidP="00753044">
            <w:pPr>
              <w:widowControl/>
              <w:tabs>
                <w:tab w:val="decimal" w:pos="113"/>
              </w:tabs>
              <w:bidi w:val="0"/>
              <w:spacing w:line="180" w:lineRule="exact"/>
              <w:rPr>
                <w:sz w:val="18"/>
                <w:szCs w:val="18"/>
              </w:rPr>
            </w:pPr>
          </w:p>
        </w:tc>
        <w:tc>
          <w:tcPr>
            <w:tcW w:w="820" w:type="dxa"/>
            <w:tcBorders>
              <w:top w:val="double" w:sz="6" w:space="0" w:color="auto"/>
              <w:left w:val="nil"/>
              <w:bottom w:val="nil"/>
              <w:right w:val="nil"/>
            </w:tcBorders>
            <w:vAlign w:val="bottom"/>
          </w:tcPr>
          <w:p w14:paraId="142DF953" w14:textId="77777777" w:rsidR="00B0420D" w:rsidRPr="0031447D" w:rsidRDefault="00B0420D" w:rsidP="00753044">
            <w:pPr>
              <w:widowControl/>
              <w:tabs>
                <w:tab w:val="decimal" w:pos="113"/>
              </w:tabs>
              <w:bidi w:val="0"/>
              <w:spacing w:line="180" w:lineRule="exact"/>
              <w:rPr>
                <w:sz w:val="18"/>
                <w:szCs w:val="18"/>
              </w:rPr>
            </w:pPr>
          </w:p>
        </w:tc>
        <w:tc>
          <w:tcPr>
            <w:tcW w:w="94" w:type="dxa"/>
          </w:tcPr>
          <w:p w14:paraId="42C28F1D" w14:textId="77777777" w:rsidR="00B0420D" w:rsidRPr="0031447D" w:rsidRDefault="00B0420D" w:rsidP="00753044">
            <w:pPr>
              <w:widowControl/>
              <w:tabs>
                <w:tab w:val="decimal" w:pos="113"/>
              </w:tabs>
              <w:bidi w:val="0"/>
              <w:spacing w:line="180" w:lineRule="exact"/>
              <w:rPr>
                <w:sz w:val="18"/>
                <w:szCs w:val="18"/>
              </w:rPr>
            </w:pPr>
          </w:p>
        </w:tc>
        <w:tc>
          <w:tcPr>
            <w:tcW w:w="807" w:type="dxa"/>
            <w:tcBorders>
              <w:left w:val="nil"/>
              <w:bottom w:val="nil"/>
              <w:right w:val="nil"/>
            </w:tcBorders>
            <w:vAlign w:val="bottom"/>
          </w:tcPr>
          <w:p w14:paraId="3CF91A96" w14:textId="77777777" w:rsidR="00B0420D" w:rsidRPr="0031447D" w:rsidRDefault="00B0420D" w:rsidP="00753044">
            <w:pPr>
              <w:widowControl/>
              <w:tabs>
                <w:tab w:val="decimal" w:pos="113"/>
              </w:tabs>
              <w:bidi w:val="0"/>
              <w:spacing w:line="180" w:lineRule="exact"/>
              <w:rPr>
                <w:sz w:val="18"/>
                <w:szCs w:val="18"/>
              </w:rPr>
            </w:pPr>
          </w:p>
        </w:tc>
      </w:tr>
      <w:tr w:rsidR="00B0420D" w:rsidRPr="0031447D" w14:paraId="215786A8" w14:textId="77777777" w:rsidTr="00BF3BAF">
        <w:tc>
          <w:tcPr>
            <w:tcW w:w="2435" w:type="dxa"/>
            <w:vAlign w:val="bottom"/>
          </w:tcPr>
          <w:p w14:paraId="610F34FE" w14:textId="77777777" w:rsidR="00B0420D" w:rsidRPr="0031447D" w:rsidRDefault="00B0420D" w:rsidP="00753044">
            <w:pPr>
              <w:pStyle w:val="a3"/>
              <w:tabs>
                <w:tab w:val="left" w:pos="227"/>
                <w:tab w:val="left" w:pos="397"/>
                <w:tab w:val="left" w:pos="567"/>
              </w:tabs>
              <w:spacing w:line="180" w:lineRule="exact"/>
              <w:ind w:left="227" w:hanging="170"/>
              <w:rPr>
                <w:sz w:val="18"/>
                <w:szCs w:val="18"/>
                <w:rtl/>
              </w:rPr>
            </w:pPr>
            <w:r w:rsidRPr="0031447D">
              <w:rPr>
                <w:rFonts w:hint="cs"/>
                <w:sz w:val="18"/>
                <w:szCs w:val="18"/>
                <w:rtl/>
              </w:rPr>
              <w:t>הוצאות משותפות בלתי מוקצות</w:t>
            </w:r>
          </w:p>
        </w:tc>
        <w:tc>
          <w:tcPr>
            <w:tcW w:w="85" w:type="dxa"/>
          </w:tcPr>
          <w:p w14:paraId="1F70D947"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474C4CF0" w14:textId="77777777" w:rsidR="00B0420D" w:rsidRPr="0031447D" w:rsidRDefault="00B0420D" w:rsidP="00753044">
            <w:pPr>
              <w:tabs>
                <w:tab w:val="decimal" w:pos="113"/>
              </w:tabs>
              <w:spacing w:line="180" w:lineRule="exact"/>
              <w:ind w:left="57"/>
              <w:rPr>
                <w:sz w:val="18"/>
                <w:szCs w:val="18"/>
              </w:rPr>
            </w:pPr>
          </w:p>
        </w:tc>
        <w:tc>
          <w:tcPr>
            <w:tcW w:w="140" w:type="dxa"/>
          </w:tcPr>
          <w:p w14:paraId="55306C5A"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3DB99861" w14:textId="77777777" w:rsidR="00B0420D" w:rsidRPr="0031447D" w:rsidRDefault="00B0420D" w:rsidP="00753044">
            <w:pPr>
              <w:tabs>
                <w:tab w:val="decimal" w:pos="113"/>
              </w:tabs>
              <w:spacing w:line="180" w:lineRule="exact"/>
              <w:ind w:left="57"/>
              <w:rPr>
                <w:sz w:val="18"/>
                <w:szCs w:val="18"/>
              </w:rPr>
            </w:pPr>
          </w:p>
        </w:tc>
        <w:tc>
          <w:tcPr>
            <w:tcW w:w="113" w:type="dxa"/>
          </w:tcPr>
          <w:p w14:paraId="1417995B"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686302E9" w14:textId="77777777" w:rsidR="00B0420D" w:rsidRPr="0031447D" w:rsidRDefault="00B0420D" w:rsidP="00753044">
            <w:pPr>
              <w:tabs>
                <w:tab w:val="decimal" w:pos="113"/>
              </w:tabs>
              <w:spacing w:line="180" w:lineRule="exact"/>
              <w:ind w:left="57"/>
              <w:rPr>
                <w:sz w:val="18"/>
                <w:szCs w:val="18"/>
              </w:rPr>
            </w:pPr>
          </w:p>
        </w:tc>
        <w:tc>
          <w:tcPr>
            <w:tcW w:w="140" w:type="dxa"/>
          </w:tcPr>
          <w:p w14:paraId="39739018"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216BAE54" w14:textId="77777777" w:rsidR="00B0420D" w:rsidRPr="0031447D" w:rsidRDefault="00B0420D" w:rsidP="00753044">
            <w:pPr>
              <w:tabs>
                <w:tab w:val="decimal" w:pos="113"/>
              </w:tabs>
              <w:spacing w:line="180" w:lineRule="exact"/>
              <w:ind w:left="57"/>
              <w:rPr>
                <w:sz w:val="18"/>
                <w:szCs w:val="18"/>
              </w:rPr>
            </w:pPr>
          </w:p>
        </w:tc>
        <w:tc>
          <w:tcPr>
            <w:tcW w:w="140" w:type="dxa"/>
          </w:tcPr>
          <w:p w14:paraId="3B0B9C8A"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478133AC" w14:textId="77777777" w:rsidR="00B0420D" w:rsidRPr="0031447D" w:rsidRDefault="00B0420D" w:rsidP="00753044">
            <w:pPr>
              <w:tabs>
                <w:tab w:val="decimal" w:pos="113"/>
              </w:tabs>
              <w:spacing w:line="180" w:lineRule="exact"/>
              <w:ind w:left="57"/>
              <w:rPr>
                <w:sz w:val="18"/>
                <w:szCs w:val="18"/>
              </w:rPr>
            </w:pPr>
          </w:p>
        </w:tc>
        <w:tc>
          <w:tcPr>
            <w:tcW w:w="94" w:type="dxa"/>
          </w:tcPr>
          <w:p w14:paraId="42A829A5"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485288D1" w14:textId="77777777" w:rsidR="00B0420D" w:rsidRPr="0031447D" w:rsidRDefault="00B0420D" w:rsidP="00753044">
            <w:pPr>
              <w:tabs>
                <w:tab w:val="decimal" w:pos="113"/>
              </w:tabs>
              <w:spacing w:line="180" w:lineRule="exact"/>
              <w:ind w:left="57"/>
              <w:rPr>
                <w:sz w:val="18"/>
                <w:szCs w:val="18"/>
              </w:rPr>
            </w:pPr>
          </w:p>
        </w:tc>
      </w:tr>
      <w:tr w:rsidR="00B0420D" w:rsidRPr="0031447D" w14:paraId="3BFE200C" w14:textId="77777777" w:rsidTr="00BF3BAF">
        <w:tc>
          <w:tcPr>
            <w:tcW w:w="2435" w:type="dxa"/>
            <w:vAlign w:val="bottom"/>
          </w:tcPr>
          <w:p w14:paraId="35D58E82" w14:textId="77777777" w:rsidR="00B0420D" w:rsidRPr="0031447D" w:rsidRDefault="00B0420D" w:rsidP="00753044">
            <w:pPr>
              <w:pStyle w:val="a3"/>
              <w:tabs>
                <w:tab w:val="left" w:pos="227"/>
                <w:tab w:val="left" w:pos="397"/>
                <w:tab w:val="left" w:pos="567"/>
              </w:tabs>
              <w:spacing w:line="180" w:lineRule="exact"/>
              <w:ind w:left="227" w:hanging="170"/>
              <w:rPr>
                <w:sz w:val="18"/>
                <w:szCs w:val="18"/>
                <w:rtl/>
              </w:rPr>
            </w:pPr>
            <w:r w:rsidRPr="0031447D">
              <w:rPr>
                <w:rFonts w:hint="cs"/>
                <w:sz w:val="18"/>
                <w:szCs w:val="18"/>
                <w:rtl/>
              </w:rPr>
              <w:t>הכנסות (הוצאות) מימון, נטו</w:t>
            </w:r>
          </w:p>
        </w:tc>
        <w:tc>
          <w:tcPr>
            <w:tcW w:w="85" w:type="dxa"/>
          </w:tcPr>
          <w:p w14:paraId="5CC8E2E6"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21B56AF2" w14:textId="77777777" w:rsidR="00B0420D" w:rsidRPr="0031447D" w:rsidRDefault="00B0420D" w:rsidP="00753044">
            <w:pPr>
              <w:tabs>
                <w:tab w:val="decimal" w:pos="113"/>
              </w:tabs>
              <w:spacing w:line="180" w:lineRule="exact"/>
              <w:ind w:left="57"/>
              <w:rPr>
                <w:sz w:val="18"/>
                <w:szCs w:val="18"/>
              </w:rPr>
            </w:pPr>
          </w:p>
        </w:tc>
        <w:tc>
          <w:tcPr>
            <w:tcW w:w="140" w:type="dxa"/>
          </w:tcPr>
          <w:p w14:paraId="47D49424"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4143F4D5" w14:textId="77777777" w:rsidR="00B0420D" w:rsidRPr="0031447D" w:rsidRDefault="00B0420D" w:rsidP="00753044">
            <w:pPr>
              <w:tabs>
                <w:tab w:val="decimal" w:pos="113"/>
              </w:tabs>
              <w:spacing w:line="180" w:lineRule="exact"/>
              <w:ind w:left="57"/>
              <w:rPr>
                <w:sz w:val="18"/>
                <w:szCs w:val="18"/>
              </w:rPr>
            </w:pPr>
          </w:p>
        </w:tc>
        <w:tc>
          <w:tcPr>
            <w:tcW w:w="113" w:type="dxa"/>
          </w:tcPr>
          <w:p w14:paraId="67145B5B"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30192F2" w14:textId="77777777" w:rsidR="00B0420D" w:rsidRPr="0031447D" w:rsidRDefault="00B0420D" w:rsidP="00753044">
            <w:pPr>
              <w:tabs>
                <w:tab w:val="decimal" w:pos="113"/>
              </w:tabs>
              <w:spacing w:line="180" w:lineRule="exact"/>
              <w:ind w:left="57"/>
              <w:rPr>
                <w:sz w:val="18"/>
                <w:szCs w:val="18"/>
              </w:rPr>
            </w:pPr>
          </w:p>
        </w:tc>
        <w:tc>
          <w:tcPr>
            <w:tcW w:w="140" w:type="dxa"/>
          </w:tcPr>
          <w:p w14:paraId="3E6EFC12"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42C9142F" w14:textId="77777777" w:rsidR="00B0420D" w:rsidRPr="0031447D" w:rsidRDefault="00B0420D" w:rsidP="00753044">
            <w:pPr>
              <w:tabs>
                <w:tab w:val="decimal" w:pos="113"/>
              </w:tabs>
              <w:spacing w:line="180" w:lineRule="exact"/>
              <w:ind w:left="57"/>
              <w:rPr>
                <w:sz w:val="18"/>
                <w:szCs w:val="18"/>
              </w:rPr>
            </w:pPr>
          </w:p>
        </w:tc>
        <w:tc>
          <w:tcPr>
            <w:tcW w:w="140" w:type="dxa"/>
          </w:tcPr>
          <w:p w14:paraId="37181A27"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32B02428" w14:textId="77777777" w:rsidR="00B0420D" w:rsidRPr="0031447D" w:rsidRDefault="00B0420D" w:rsidP="00753044">
            <w:pPr>
              <w:tabs>
                <w:tab w:val="decimal" w:pos="113"/>
              </w:tabs>
              <w:spacing w:line="180" w:lineRule="exact"/>
              <w:ind w:left="57"/>
              <w:rPr>
                <w:sz w:val="18"/>
                <w:szCs w:val="18"/>
              </w:rPr>
            </w:pPr>
          </w:p>
        </w:tc>
        <w:tc>
          <w:tcPr>
            <w:tcW w:w="94" w:type="dxa"/>
          </w:tcPr>
          <w:p w14:paraId="2A67F224"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70C12039" w14:textId="77777777" w:rsidR="00B0420D" w:rsidRPr="0031447D" w:rsidRDefault="00B0420D" w:rsidP="00753044">
            <w:pPr>
              <w:tabs>
                <w:tab w:val="decimal" w:pos="113"/>
              </w:tabs>
              <w:spacing w:line="180" w:lineRule="exact"/>
              <w:ind w:left="57"/>
              <w:rPr>
                <w:sz w:val="18"/>
                <w:szCs w:val="18"/>
              </w:rPr>
            </w:pPr>
          </w:p>
        </w:tc>
      </w:tr>
      <w:tr w:rsidR="00B0420D" w:rsidRPr="0031447D" w14:paraId="63C02938" w14:textId="77777777" w:rsidTr="00BF3BAF">
        <w:tc>
          <w:tcPr>
            <w:tcW w:w="2435" w:type="dxa"/>
            <w:vAlign w:val="bottom"/>
          </w:tcPr>
          <w:p w14:paraId="1F203139" w14:textId="77777777" w:rsidR="00B0420D" w:rsidRPr="0031447D" w:rsidRDefault="00B0420D" w:rsidP="00753044">
            <w:pPr>
              <w:pStyle w:val="a3"/>
              <w:tabs>
                <w:tab w:val="left" w:pos="227"/>
                <w:tab w:val="left" w:pos="397"/>
                <w:tab w:val="left" w:pos="567"/>
              </w:tabs>
              <w:spacing w:line="180" w:lineRule="exact"/>
              <w:ind w:left="227" w:hanging="170"/>
              <w:rPr>
                <w:sz w:val="18"/>
                <w:szCs w:val="18"/>
                <w:rtl/>
              </w:rPr>
            </w:pPr>
            <w:r w:rsidRPr="0031447D">
              <w:rPr>
                <w:rFonts w:hint="cs"/>
                <w:sz w:val="18"/>
                <w:szCs w:val="18"/>
                <w:rtl/>
              </w:rPr>
              <w:t xml:space="preserve">חלק הקבוצה ברווחי (בהפסדי) חברות המטופלות לפי שיטת השווי </w:t>
            </w:r>
            <w:r w:rsidRPr="0031447D">
              <w:rPr>
                <w:rFonts w:hint="eastAsia"/>
                <w:sz w:val="18"/>
                <w:szCs w:val="18"/>
                <w:rtl/>
              </w:rPr>
              <w:t>המאזני</w:t>
            </w:r>
            <w:r w:rsidRPr="0031447D">
              <w:rPr>
                <w:sz w:val="18"/>
                <w:szCs w:val="18"/>
                <w:rtl/>
              </w:rPr>
              <w:t xml:space="preserve">, </w:t>
            </w:r>
            <w:r w:rsidRPr="0031447D">
              <w:rPr>
                <w:rFonts w:hint="eastAsia"/>
                <w:sz w:val="18"/>
                <w:szCs w:val="18"/>
                <w:rtl/>
              </w:rPr>
              <w:t>נטו</w:t>
            </w:r>
          </w:p>
        </w:tc>
        <w:tc>
          <w:tcPr>
            <w:tcW w:w="85" w:type="dxa"/>
          </w:tcPr>
          <w:p w14:paraId="310D0869"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shd w:val="clear" w:color="auto" w:fill="auto"/>
            <w:vAlign w:val="bottom"/>
          </w:tcPr>
          <w:p w14:paraId="5C088088" w14:textId="77777777" w:rsidR="00B0420D" w:rsidRPr="0031447D" w:rsidRDefault="00B0420D" w:rsidP="00753044">
            <w:pPr>
              <w:tabs>
                <w:tab w:val="decimal" w:pos="113"/>
              </w:tabs>
              <w:spacing w:line="180" w:lineRule="exact"/>
              <w:ind w:left="57"/>
              <w:rPr>
                <w:sz w:val="18"/>
                <w:szCs w:val="18"/>
              </w:rPr>
            </w:pPr>
          </w:p>
        </w:tc>
        <w:tc>
          <w:tcPr>
            <w:tcW w:w="140" w:type="dxa"/>
          </w:tcPr>
          <w:p w14:paraId="4D37B9D2" w14:textId="77777777" w:rsidR="00B0420D" w:rsidRPr="0031447D" w:rsidRDefault="00B0420D" w:rsidP="00753044">
            <w:pPr>
              <w:tabs>
                <w:tab w:val="decimal" w:pos="113"/>
              </w:tabs>
              <w:spacing w:line="180" w:lineRule="exact"/>
              <w:ind w:left="57"/>
              <w:rPr>
                <w:sz w:val="18"/>
                <w:szCs w:val="18"/>
              </w:rPr>
            </w:pPr>
          </w:p>
        </w:tc>
        <w:tc>
          <w:tcPr>
            <w:tcW w:w="930" w:type="dxa"/>
            <w:shd w:val="clear" w:color="auto" w:fill="auto"/>
            <w:vAlign w:val="bottom"/>
          </w:tcPr>
          <w:p w14:paraId="6DE09403" w14:textId="77777777" w:rsidR="00B0420D" w:rsidRPr="0031447D" w:rsidRDefault="00B0420D" w:rsidP="00753044">
            <w:pPr>
              <w:tabs>
                <w:tab w:val="decimal" w:pos="113"/>
              </w:tabs>
              <w:spacing w:line="180" w:lineRule="exact"/>
              <w:ind w:left="57"/>
              <w:rPr>
                <w:sz w:val="18"/>
                <w:szCs w:val="18"/>
              </w:rPr>
            </w:pPr>
          </w:p>
        </w:tc>
        <w:tc>
          <w:tcPr>
            <w:tcW w:w="113" w:type="dxa"/>
          </w:tcPr>
          <w:p w14:paraId="5B9B386A" w14:textId="77777777" w:rsidR="00B0420D" w:rsidRPr="0031447D" w:rsidRDefault="00B0420D" w:rsidP="00753044">
            <w:pPr>
              <w:tabs>
                <w:tab w:val="decimal" w:pos="113"/>
              </w:tabs>
              <w:spacing w:line="180" w:lineRule="exact"/>
              <w:ind w:left="57"/>
              <w:rPr>
                <w:sz w:val="18"/>
                <w:szCs w:val="18"/>
              </w:rPr>
            </w:pPr>
          </w:p>
        </w:tc>
        <w:tc>
          <w:tcPr>
            <w:tcW w:w="804" w:type="dxa"/>
            <w:shd w:val="clear" w:color="auto" w:fill="auto"/>
            <w:vAlign w:val="bottom"/>
          </w:tcPr>
          <w:p w14:paraId="6CD02820" w14:textId="77777777" w:rsidR="00B0420D" w:rsidRPr="0031447D" w:rsidRDefault="00B0420D" w:rsidP="00753044">
            <w:pPr>
              <w:tabs>
                <w:tab w:val="decimal" w:pos="113"/>
              </w:tabs>
              <w:spacing w:line="180" w:lineRule="exact"/>
              <w:ind w:left="57"/>
              <w:rPr>
                <w:sz w:val="18"/>
                <w:szCs w:val="18"/>
              </w:rPr>
            </w:pPr>
          </w:p>
        </w:tc>
        <w:tc>
          <w:tcPr>
            <w:tcW w:w="140" w:type="dxa"/>
          </w:tcPr>
          <w:p w14:paraId="08A049DE" w14:textId="77777777" w:rsidR="00B0420D" w:rsidRPr="0031447D" w:rsidRDefault="00B0420D" w:rsidP="00753044">
            <w:pPr>
              <w:tabs>
                <w:tab w:val="decimal" w:pos="113"/>
              </w:tabs>
              <w:spacing w:line="180" w:lineRule="exact"/>
              <w:ind w:left="57"/>
              <w:rPr>
                <w:sz w:val="18"/>
                <w:szCs w:val="18"/>
              </w:rPr>
            </w:pPr>
          </w:p>
        </w:tc>
        <w:tc>
          <w:tcPr>
            <w:tcW w:w="804" w:type="dxa"/>
            <w:shd w:val="clear" w:color="auto" w:fill="auto"/>
            <w:vAlign w:val="bottom"/>
          </w:tcPr>
          <w:p w14:paraId="083E6F0B" w14:textId="77777777" w:rsidR="00B0420D" w:rsidRPr="0031447D" w:rsidRDefault="00B0420D" w:rsidP="00753044">
            <w:pPr>
              <w:tabs>
                <w:tab w:val="decimal" w:pos="113"/>
              </w:tabs>
              <w:spacing w:line="180" w:lineRule="exact"/>
              <w:ind w:left="57"/>
              <w:rPr>
                <w:sz w:val="18"/>
                <w:szCs w:val="18"/>
              </w:rPr>
            </w:pPr>
          </w:p>
        </w:tc>
        <w:tc>
          <w:tcPr>
            <w:tcW w:w="140" w:type="dxa"/>
          </w:tcPr>
          <w:p w14:paraId="5E369E9C" w14:textId="77777777" w:rsidR="00B0420D" w:rsidRPr="0031447D" w:rsidRDefault="00B0420D" w:rsidP="00753044">
            <w:pPr>
              <w:tabs>
                <w:tab w:val="decimal" w:pos="113"/>
              </w:tabs>
              <w:spacing w:line="180" w:lineRule="exact"/>
              <w:ind w:left="57"/>
              <w:rPr>
                <w:sz w:val="18"/>
                <w:szCs w:val="18"/>
              </w:rPr>
            </w:pPr>
          </w:p>
        </w:tc>
        <w:tc>
          <w:tcPr>
            <w:tcW w:w="820" w:type="dxa"/>
            <w:shd w:val="clear" w:color="auto" w:fill="auto"/>
            <w:vAlign w:val="bottom"/>
          </w:tcPr>
          <w:p w14:paraId="706FA78D" w14:textId="77777777" w:rsidR="00B0420D" w:rsidRPr="0031447D" w:rsidRDefault="00B0420D" w:rsidP="00753044">
            <w:pPr>
              <w:tabs>
                <w:tab w:val="decimal" w:pos="113"/>
              </w:tabs>
              <w:spacing w:line="180" w:lineRule="exact"/>
              <w:ind w:left="57"/>
              <w:rPr>
                <w:sz w:val="18"/>
                <w:szCs w:val="18"/>
              </w:rPr>
            </w:pPr>
          </w:p>
        </w:tc>
        <w:tc>
          <w:tcPr>
            <w:tcW w:w="94" w:type="dxa"/>
          </w:tcPr>
          <w:p w14:paraId="067BC71C" w14:textId="77777777" w:rsidR="00B0420D" w:rsidRPr="0031447D" w:rsidRDefault="00B0420D" w:rsidP="00753044">
            <w:pPr>
              <w:tabs>
                <w:tab w:val="decimal" w:pos="113"/>
              </w:tabs>
              <w:spacing w:line="180" w:lineRule="exact"/>
              <w:ind w:left="57"/>
              <w:rPr>
                <w:sz w:val="18"/>
                <w:szCs w:val="18"/>
              </w:rPr>
            </w:pPr>
          </w:p>
        </w:tc>
        <w:tc>
          <w:tcPr>
            <w:tcW w:w="807" w:type="dxa"/>
            <w:tcBorders>
              <w:bottom w:val="single" w:sz="6" w:space="0" w:color="auto"/>
            </w:tcBorders>
            <w:shd w:val="clear" w:color="auto" w:fill="auto"/>
            <w:vAlign w:val="bottom"/>
          </w:tcPr>
          <w:p w14:paraId="55922C73" w14:textId="77777777" w:rsidR="00B0420D" w:rsidRPr="0031447D" w:rsidRDefault="00B0420D" w:rsidP="00753044">
            <w:pPr>
              <w:tabs>
                <w:tab w:val="decimal" w:pos="113"/>
              </w:tabs>
              <w:spacing w:line="180" w:lineRule="exact"/>
              <w:ind w:left="57"/>
              <w:rPr>
                <w:sz w:val="18"/>
                <w:szCs w:val="18"/>
              </w:rPr>
            </w:pPr>
          </w:p>
        </w:tc>
      </w:tr>
      <w:tr w:rsidR="00B0420D" w:rsidRPr="0031447D" w14:paraId="45705EB1" w14:textId="77777777" w:rsidTr="00BF3BAF">
        <w:tc>
          <w:tcPr>
            <w:tcW w:w="2435" w:type="dxa"/>
            <w:vAlign w:val="bottom"/>
          </w:tcPr>
          <w:p w14:paraId="5DFA2355" w14:textId="77777777" w:rsidR="00B0420D" w:rsidRPr="0031447D" w:rsidRDefault="00B0420D" w:rsidP="00753044">
            <w:pPr>
              <w:pStyle w:val="a3"/>
              <w:widowControl/>
              <w:tabs>
                <w:tab w:val="left" w:pos="227"/>
                <w:tab w:val="left" w:pos="397"/>
                <w:tab w:val="left" w:pos="567"/>
              </w:tabs>
              <w:bidi w:val="0"/>
              <w:spacing w:line="180" w:lineRule="exact"/>
              <w:ind w:left="0"/>
              <w:rPr>
                <w:sz w:val="18"/>
                <w:szCs w:val="18"/>
                <w:rtl/>
              </w:rPr>
            </w:pPr>
          </w:p>
        </w:tc>
        <w:tc>
          <w:tcPr>
            <w:tcW w:w="85" w:type="dxa"/>
          </w:tcPr>
          <w:p w14:paraId="602A537C" w14:textId="77777777" w:rsidR="00B0420D" w:rsidRPr="0031447D" w:rsidRDefault="00B0420D" w:rsidP="00753044">
            <w:pPr>
              <w:pStyle w:val="a3"/>
              <w:widowControl/>
              <w:tabs>
                <w:tab w:val="left" w:pos="227"/>
                <w:tab w:val="left" w:pos="397"/>
                <w:tab w:val="left" w:pos="567"/>
              </w:tabs>
              <w:bidi w:val="0"/>
              <w:spacing w:line="180" w:lineRule="exact"/>
              <w:ind w:left="0"/>
              <w:rPr>
                <w:sz w:val="18"/>
                <w:szCs w:val="18"/>
              </w:rPr>
            </w:pPr>
          </w:p>
        </w:tc>
        <w:tc>
          <w:tcPr>
            <w:tcW w:w="804" w:type="dxa"/>
            <w:vAlign w:val="bottom"/>
          </w:tcPr>
          <w:p w14:paraId="52D1B38F"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51E243EC" w14:textId="77777777" w:rsidR="00B0420D" w:rsidRPr="0031447D" w:rsidRDefault="00B0420D" w:rsidP="00753044">
            <w:pPr>
              <w:widowControl/>
              <w:tabs>
                <w:tab w:val="decimal" w:pos="113"/>
              </w:tabs>
              <w:bidi w:val="0"/>
              <w:spacing w:line="180" w:lineRule="exact"/>
              <w:rPr>
                <w:sz w:val="18"/>
                <w:szCs w:val="18"/>
              </w:rPr>
            </w:pPr>
          </w:p>
        </w:tc>
        <w:tc>
          <w:tcPr>
            <w:tcW w:w="930" w:type="dxa"/>
            <w:vAlign w:val="bottom"/>
          </w:tcPr>
          <w:p w14:paraId="70549FCE" w14:textId="77777777" w:rsidR="00B0420D" w:rsidRPr="0031447D" w:rsidRDefault="00B0420D" w:rsidP="00753044">
            <w:pPr>
              <w:widowControl/>
              <w:tabs>
                <w:tab w:val="decimal" w:pos="113"/>
              </w:tabs>
              <w:bidi w:val="0"/>
              <w:spacing w:line="180" w:lineRule="exact"/>
              <w:rPr>
                <w:sz w:val="18"/>
                <w:szCs w:val="18"/>
              </w:rPr>
            </w:pPr>
          </w:p>
        </w:tc>
        <w:tc>
          <w:tcPr>
            <w:tcW w:w="113" w:type="dxa"/>
          </w:tcPr>
          <w:p w14:paraId="79839153" w14:textId="77777777" w:rsidR="00B0420D" w:rsidRPr="0031447D" w:rsidRDefault="00B0420D" w:rsidP="00753044">
            <w:pPr>
              <w:widowControl/>
              <w:tabs>
                <w:tab w:val="decimal" w:pos="113"/>
              </w:tabs>
              <w:bidi w:val="0"/>
              <w:spacing w:line="180" w:lineRule="exact"/>
              <w:rPr>
                <w:sz w:val="18"/>
                <w:szCs w:val="18"/>
              </w:rPr>
            </w:pPr>
          </w:p>
        </w:tc>
        <w:tc>
          <w:tcPr>
            <w:tcW w:w="804" w:type="dxa"/>
            <w:vAlign w:val="bottom"/>
          </w:tcPr>
          <w:p w14:paraId="476B2825"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74EFEB2E" w14:textId="77777777" w:rsidR="00B0420D" w:rsidRPr="0031447D" w:rsidRDefault="00B0420D" w:rsidP="00753044">
            <w:pPr>
              <w:widowControl/>
              <w:tabs>
                <w:tab w:val="decimal" w:pos="113"/>
              </w:tabs>
              <w:bidi w:val="0"/>
              <w:spacing w:line="180" w:lineRule="exact"/>
              <w:rPr>
                <w:sz w:val="18"/>
                <w:szCs w:val="18"/>
              </w:rPr>
            </w:pPr>
          </w:p>
        </w:tc>
        <w:tc>
          <w:tcPr>
            <w:tcW w:w="804" w:type="dxa"/>
            <w:vAlign w:val="bottom"/>
          </w:tcPr>
          <w:p w14:paraId="331E3873"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29686D9E" w14:textId="77777777" w:rsidR="00B0420D" w:rsidRPr="0031447D" w:rsidRDefault="00B0420D" w:rsidP="00753044">
            <w:pPr>
              <w:widowControl/>
              <w:tabs>
                <w:tab w:val="decimal" w:pos="113"/>
              </w:tabs>
              <w:bidi w:val="0"/>
              <w:spacing w:line="180" w:lineRule="exact"/>
              <w:rPr>
                <w:sz w:val="18"/>
                <w:szCs w:val="18"/>
              </w:rPr>
            </w:pPr>
          </w:p>
        </w:tc>
        <w:tc>
          <w:tcPr>
            <w:tcW w:w="820" w:type="dxa"/>
            <w:vAlign w:val="bottom"/>
          </w:tcPr>
          <w:p w14:paraId="26421812" w14:textId="77777777" w:rsidR="00B0420D" w:rsidRPr="0031447D" w:rsidRDefault="00B0420D" w:rsidP="00753044">
            <w:pPr>
              <w:widowControl/>
              <w:tabs>
                <w:tab w:val="decimal" w:pos="113"/>
              </w:tabs>
              <w:bidi w:val="0"/>
              <w:spacing w:line="180" w:lineRule="exact"/>
              <w:rPr>
                <w:sz w:val="18"/>
                <w:szCs w:val="18"/>
              </w:rPr>
            </w:pPr>
          </w:p>
        </w:tc>
        <w:tc>
          <w:tcPr>
            <w:tcW w:w="94" w:type="dxa"/>
          </w:tcPr>
          <w:p w14:paraId="50A243EE" w14:textId="77777777" w:rsidR="00B0420D" w:rsidRPr="0031447D" w:rsidRDefault="00B0420D" w:rsidP="00753044">
            <w:pPr>
              <w:widowControl/>
              <w:tabs>
                <w:tab w:val="decimal" w:pos="113"/>
              </w:tabs>
              <w:bidi w:val="0"/>
              <w:spacing w:line="180" w:lineRule="exact"/>
              <w:rPr>
                <w:sz w:val="18"/>
                <w:szCs w:val="18"/>
              </w:rPr>
            </w:pPr>
          </w:p>
        </w:tc>
        <w:tc>
          <w:tcPr>
            <w:tcW w:w="807" w:type="dxa"/>
            <w:tcBorders>
              <w:top w:val="single" w:sz="6" w:space="0" w:color="auto"/>
            </w:tcBorders>
            <w:vAlign w:val="bottom"/>
          </w:tcPr>
          <w:p w14:paraId="7C14CFAF" w14:textId="77777777" w:rsidR="00B0420D" w:rsidRPr="0031447D" w:rsidRDefault="00B0420D" w:rsidP="00753044">
            <w:pPr>
              <w:widowControl/>
              <w:tabs>
                <w:tab w:val="decimal" w:pos="113"/>
              </w:tabs>
              <w:bidi w:val="0"/>
              <w:spacing w:line="180" w:lineRule="exact"/>
              <w:rPr>
                <w:sz w:val="18"/>
                <w:szCs w:val="18"/>
              </w:rPr>
            </w:pPr>
          </w:p>
        </w:tc>
      </w:tr>
      <w:tr w:rsidR="00B0420D" w:rsidRPr="0031447D" w14:paraId="5B5A6D55" w14:textId="77777777" w:rsidTr="00BF3BAF">
        <w:tc>
          <w:tcPr>
            <w:tcW w:w="2435" w:type="dxa"/>
            <w:vAlign w:val="bottom"/>
          </w:tcPr>
          <w:p w14:paraId="02ED785B" w14:textId="77777777" w:rsidR="00B0420D" w:rsidRPr="0031447D" w:rsidRDefault="00B0420D" w:rsidP="00753044">
            <w:pPr>
              <w:pStyle w:val="a3"/>
              <w:tabs>
                <w:tab w:val="left" w:pos="227"/>
                <w:tab w:val="left" w:pos="397"/>
                <w:tab w:val="left" w:pos="567"/>
              </w:tabs>
              <w:spacing w:line="180" w:lineRule="exact"/>
              <w:ind w:left="227" w:hanging="170"/>
              <w:rPr>
                <w:sz w:val="18"/>
                <w:szCs w:val="18"/>
                <w:rtl/>
              </w:rPr>
            </w:pPr>
            <w:r w:rsidRPr="0031447D">
              <w:rPr>
                <w:rFonts w:hint="cs"/>
                <w:sz w:val="18"/>
                <w:szCs w:val="18"/>
                <w:rtl/>
              </w:rPr>
              <w:t>רווח (הפסד) לפני מסים על ההכנסה</w:t>
            </w:r>
          </w:p>
        </w:tc>
        <w:tc>
          <w:tcPr>
            <w:tcW w:w="85" w:type="dxa"/>
          </w:tcPr>
          <w:p w14:paraId="6B2EFC8B"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shd w:val="clear" w:color="auto" w:fill="auto"/>
            <w:vAlign w:val="bottom"/>
          </w:tcPr>
          <w:p w14:paraId="049B5744" w14:textId="77777777" w:rsidR="00B0420D" w:rsidRPr="0031447D" w:rsidRDefault="00B0420D" w:rsidP="00753044">
            <w:pPr>
              <w:tabs>
                <w:tab w:val="decimal" w:pos="113"/>
              </w:tabs>
              <w:spacing w:line="180" w:lineRule="exact"/>
              <w:ind w:left="57"/>
              <w:rPr>
                <w:sz w:val="18"/>
                <w:szCs w:val="18"/>
              </w:rPr>
            </w:pPr>
          </w:p>
        </w:tc>
        <w:tc>
          <w:tcPr>
            <w:tcW w:w="140" w:type="dxa"/>
          </w:tcPr>
          <w:p w14:paraId="566F6BFF" w14:textId="77777777" w:rsidR="00B0420D" w:rsidRPr="0031447D" w:rsidRDefault="00B0420D" w:rsidP="00753044">
            <w:pPr>
              <w:tabs>
                <w:tab w:val="decimal" w:pos="113"/>
              </w:tabs>
              <w:spacing w:line="180" w:lineRule="exact"/>
              <w:ind w:left="57"/>
              <w:rPr>
                <w:sz w:val="18"/>
                <w:szCs w:val="18"/>
              </w:rPr>
            </w:pPr>
          </w:p>
        </w:tc>
        <w:tc>
          <w:tcPr>
            <w:tcW w:w="930" w:type="dxa"/>
            <w:shd w:val="clear" w:color="auto" w:fill="auto"/>
            <w:vAlign w:val="bottom"/>
          </w:tcPr>
          <w:p w14:paraId="0B8EFA7E" w14:textId="77777777" w:rsidR="00B0420D" w:rsidRPr="0031447D" w:rsidRDefault="00B0420D" w:rsidP="00753044">
            <w:pPr>
              <w:tabs>
                <w:tab w:val="decimal" w:pos="113"/>
              </w:tabs>
              <w:spacing w:line="180" w:lineRule="exact"/>
              <w:ind w:left="57"/>
              <w:rPr>
                <w:sz w:val="18"/>
                <w:szCs w:val="18"/>
              </w:rPr>
            </w:pPr>
          </w:p>
        </w:tc>
        <w:tc>
          <w:tcPr>
            <w:tcW w:w="113" w:type="dxa"/>
          </w:tcPr>
          <w:p w14:paraId="072C79FC" w14:textId="77777777" w:rsidR="00B0420D" w:rsidRPr="0031447D" w:rsidRDefault="00B0420D" w:rsidP="00753044">
            <w:pPr>
              <w:tabs>
                <w:tab w:val="decimal" w:pos="113"/>
              </w:tabs>
              <w:spacing w:line="180" w:lineRule="exact"/>
              <w:ind w:left="57"/>
              <w:rPr>
                <w:sz w:val="18"/>
                <w:szCs w:val="18"/>
              </w:rPr>
            </w:pPr>
          </w:p>
        </w:tc>
        <w:tc>
          <w:tcPr>
            <w:tcW w:w="804" w:type="dxa"/>
            <w:shd w:val="clear" w:color="auto" w:fill="auto"/>
            <w:vAlign w:val="bottom"/>
          </w:tcPr>
          <w:p w14:paraId="50507397" w14:textId="77777777" w:rsidR="00B0420D" w:rsidRPr="0031447D" w:rsidRDefault="00B0420D" w:rsidP="00753044">
            <w:pPr>
              <w:tabs>
                <w:tab w:val="decimal" w:pos="113"/>
              </w:tabs>
              <w:spacing w:line="180" w:lineRule="exact"/>
              <w:ind w:left="57"/>
              <w:rPr>
                <w:sz w:val="18"/>
                <w:szCs w:val="18"/>
              </w:rPr>
            </w:pPr>
          </w:p>
        </w:tc>
        <w:tc>
          <w:tcPr>
            <w:tcW w:w="140" w:type="dxa"/>
          </w:tcPr>
          <w:p w14:paraId="396F46CA" w14:textId="77777777" w:rsidR="00B0420D" w:rsidRPr="0031447D" w:rsidRDefault="00B0420D" w:rsidP="00753044">
            <w:pPr>
              <w:tabs>
                <w:tab w:val="decimal" w:pos="113"/>
              </w:tabs>
              <w:spacing w:line="180" w:lineRule="exact"/>
              <w:ind w:left="57"/>
              <w:rPr>
                <w:sz w:val="18"/>
                <w:szCs w:val="18"/>
              </w:rPr>
            </w:pPr>
          </w:p>
        </w:tc>
        <w:tc>
          <w:tcPr>
            <w:tcW w:w="804" w:type="dxa"/>
            <w:shd w:val="clear" w:color="auto" w:fill="auto"/>
            <w:vAlign w:val="bottom"/>
          </w:tcPr>
          <w:p w14:paraId="7CFB928A" w14:textId="77777777" w:rsidR="00B0420D" w:rsidRPr="0031447D" w:rsidRDefault="00B0420D" w:rsidP="00753044">
            <w:pPr>
              <w:tabs>
                <w:tab w:val="decimal" w:pos="113"/>
              </w:tabs>
              <w:spacing w:line="180" w:lineRule="exact"/>
              <w:ind w:left="57"/>
              <w:rPr>
                <w:sz w:val="18"/>
                <w:szCs w:val="18"/>
              </w:rPr>
            </w:pPr>
          </w:p>
        </w:tc>
        <w:tc>
          <w:tcPr>
            <w:tcW w:w="140" w:type="dxa"/>
          </w:tcPr>
          <w:p w14:paraId="5A31AC32" w14:textId="77777777" w:rsidR="00B0420D" w:rsidRPr="0031447D" w:rsidRDefault="00B0420D" w:rsidP="00753044">
            <w:pPr>
              <w:tabs>
                <w:tab w:val="decimal" w:pos="113"/>
              </w:tabs>
              <w:spacing w:line="180" w:lineRule="exact"/>
              <w:ind w:left="57"/>
              <w:rPr>
                <w:sz w:val="18"/>
                <w:szCs w:val="18"/>
              </w:rPr>
            </w:pPr>
          </w:p>
        </w:tc>
        <w:tc>
          <w:tcPr>
            <w:tcW w:w="820" w:type="dxa"/>
            <w:shd w:val="clear" w:color="auto" w:fill="auto"/>
            <w:vAlign w:val="bottom"/>
          </w:tcPr>
          <w:p w14:paraId="3EA7E1F1" w14:textId="77777777" w:rsidR="00B0420D" w:rsidRPr="0031447D" w:rsidRDefault="00B0420D" w:rsidP="00753044">
            <w:pPr>
              <w:tabs>
                <w:tab w:val="decimal" w:pos="113"/>
              </w:tabs>
              <w:spacing w:line="180" w:lineRule="exact"/>
              <w:ind w:left="57"/>
              <w:rPr>
                <w:sz w:val="18"/>
                <w:szCs w:val="18"/>
              </w:rPr>
            </w:pPr>
          </w:p>
        </w:tc>
        <w:tc>
          <w:tcPr>
            <w:tcW w:w="94" w:type="dxa"/>
          </w:tcPr>
          <w:p w14:paraId="4993A3FB" w14:textId="77777777" w:rsidR="00B0420D" w:rsidRPr="0031447D" w:rsidRDefault="00B0420D" w:rsidP="00753044">
            <w:pPr>
              <w:tabs>
                <w:tab w:val="decimal" w:pos="113"/>
              </w:tabs>
              <w:spacing w:line="180" w:lineRule="exact"/>
              <w:ind w:left="57"/>
              <w:rPr>
                <w:sz w:val="18"/>
                <w:szCs w:val="18"/>
              </w:rPr>
            </w:pPr>
          </w:p>
        </w:tc>
        <w:tc>
          <w:tcPr>
            <w:tcW w:w="807" w:type="dxa"/>
            <w:tcBorders>
              <w:bottom w:val="double" w:sz="6" w:space="0" w:color="auto"/>
            </w:tcBorders>
            <w:shd w:val="clear" w:color="auto" w:fill="auto"/>
            <w:vAlign w:val="bottom"/>
          </w:tcPr>
          <w:p w14:paraId="4006AE53" w14:textId="77777777" w:rsidR="00B0420D" w:rsidRPr="0031447D" w:rsidRDefault="00B0420D" w:rsidP="00753044">
            <w:pPr>
              <w:tabs>
                <w:tab w:val="decimal" w:pos="113"/>
              </w:tabs>
              <w:spacing w:line="180" w:lineRule="exact"/>
              <w:ind w:left="57"/>
              <w:rPr>
                <w:sz w:val="18"/>
                <w:szCs w:val="18"/>
              </w:rPr>
            </w:pPr>
          </w:p>
        </w:tc>
      </w:tr>
      <w:tr w:rsidR="00B0420D" w:rsidRPr="0031447D" w14:paraId="0471B5E3" w14:textId="77777777" w:rsidTr="00BF3BAF">
        <w:tc>
          <w:tcPr>
            <w:tcW w:w="2435" w:type="dxa"/>
            <w:vAlign w:val="bottom"/>
          </w:tcPr>
          <w:p w14:paraId="37214526" w14:textId="77777777" w:rsidR="00B0420D" w:rsidRPr="0031447D" w:rsidRDefault="00B0420D" w:rsidP="00753044">
            <w:pPr>
              <w:pStyle w:val="a3"/>
              <w:widowControl/>
              <w:tabs>
                <w:tab w:val="left" w:pos="227"/>
                <w:tab w:val="left" w:pos="397"/>
                <w:tab w:val="left" w:pos="567"/>
              </w:tabs>
              <w:bidi w:val="0"/>
              <w:spacing w:line="180" w:lineRule="exact"/>
              <w:ind w:left="0"/>
              <w:rPr>
                <w:sz w:val="18"/>
                <w:szCs w:val="18"/>
                <w:rtl/>
              </w:rPr>
            </w:pPr>
          </w:p>
        </w:tc>
        <w:tc>
          <w:tcPr>
            <w:tcW w:w="85" w:type="dxa"/>
          </w:tcPr>
          <w:p w14:paraId="12669288" w14:textId="77777777" w:rsidR="00B0420D" w:rsidRPr="0031447D" w:rsidRDefault="00B0420D" w:rsidP="00753044">
            <w:pPr>
              <w:pStyle w:val="a3"/>
              <w:widowControl/>
              <w:tabs>
                <w:tab w:val="left" w:pos="227"/>
                <w:tab w:val="left" w:pos="397"/>
                <w:tab w:val="left" w:pos="567"/>
              </w:tabs>
              <w:bidi w:val="0"/>
              <w:spacing w:line="180" w:lineRule="exact"/>
              <w:ind w:left="0"/>
              <w:rPr>
                <w:sz w:val="18"/>
                <w:szCs w:val="18"/>
              </w:rPr>
            </w:pPr>
          </w:p>
        </w:tc>
        <w:tc>
          <w:tcPr>
            <w:tcW w:w="804" w:type="dxa"/>
            <w:vAlign w:val="bottom"/>
          </w:tcPr>
          <w:p w14:paraId="04102914"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7B04842F" w14:textId="77777777" w:rsidR="00B0420D" w:rsidRPr="0031447D" w:rsidRDefault="00B0420D" w:rsidP="00753044">
            <w:pPr>
              <w:widowControl/>
              <w:tabs>
                <w:tab w:val="decimal" w:pos="113"/>
              </w:tabs>
              <w:bidi w:val="0"/>
              <w:spacing w:line="180" w:lineRule="exact"/>
              <w:rPr>
                <w:sz w:val="18"/>
                <w:szCs w:val="18"/>
              </w:rPr>
            </w:pPr>
          </w:p>
        </w:tc>
        <w:tc>
          <w:tcPr>
            <w:tcW w:w="930" w:type="dxa"/>
            <w:vAlign w:val="bottom"/>
          </w:tcPr>
          <w:p w14:paraId="774FE772" w14:textId="77777777" w:rsidR="00B0420D" w:rsidRPr="0031447D" w:rsidRDefault="00B0420D" w:rsidP="00753044">
            <w:pPr>
              <w:widowControl/>
              <w:tabs>
                <w:tab w:val="decimal" w:pos="113"/>
              </w:tabs>
              <w:bidi w:val="0"/>
              <w:spacing w:line="180" w:lineRule="exact"/>
              <w:rPr>
                <w:sz w:val="18"/>
                <w:szCs w:val="18"/>
              </w:rPr>
            </w:pPr>
          </w:p>
        </w:tc>
        <w:tc>
          <w:tcPr>
            <w:tcW w:w="113" w:type="dxa"/>
          </w:tcPr>
          <w:p w14:paraId="4F6F01AA" w14:textId="77777777" w:rsidR="00B0420D" w:rsidRPr="0031447D" w:rsidRDefault="00B0420D" w:rsidP="00753044">
            <w:pPr>
              <w:widowControl/>
              <w:tabs>
                <w:tab w:val="decimal" w:pos="113"/>
              </w:tabs>
              <w:bidi w:val="0"/>
              <w:spacing w:line="180" w:lineRule="exact"/>
              <w:rPr>
                <w:sz w:val="18"/>
                <w:szCs w:val="18"/>
              </w:rPr>
            </w:pPr>
          </w:p>
        </w:tc>
        <w:tc>
          <w:tcPr>
            <w:tcW w:w="804" w:type="dxa"/>
            <w:vAlign w:val="bottom"/>
          </w:tcPr>
          <w:p w14:paraId="709FBD55"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3B2F5945" w14:textId="77777777" w:rsidR="00B0420D" w:rsidRPr="0031447D" w:rsidRDefault="00B0420D" w:rsidP="00753044">
            <w:pPr>
              <w:widowControl/>
              <w:tabs>
                <w:tab w:val="decimal" w:pos="113"/>
              </w:tabs>
              <w:bidi w:val="0"/>
              <w:spacing w:line="180" w:lineRule="exact"/>
              <w:rPr>
                <w:sz w:val="18"/>
                <w:szCs w:val="18"/>
              </w:rPr>
            </w:pPr>
          </w:p>
        </w:tc>
        <w:tc>
          <w:tcPr>
            <w:tcW w:w="804" w:type="dxa"/>
            <w:vAlign w:val="bottom"/>
          </w:tcPr>
          <w:p w14:paraId="22807B6B"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360B790F" w14:textId="77777777" w:rsidR="00B0420D" w:rsidRPr="0031447D" w:rsidRDefault="00B0420D" w:rsidP="00753044">
            <w:pPr>
              <w:widowControl/>
              <w:tabs>
                <w:tab w:val="decimal" w:pos="113"/>
              </w:tabs>
              <w:bidi w:val="0"/>
              <w:spacing w:line="180" w:lineRule="exact"/>
              <w:rPr>
                <w:sz w:val="18"/>
                <w:szCs w:val="18"/>
              </w:rPr>
            </w:pPr>
          </w:p>
        </w:tc>
        <w:tc>
          <w:tcPr>
            <w:tcW w:w="820" w:type="dxa"/>
            <w:vAlign w:val="bottom"/>
          </w:tcPr>
          <w:p w14:paraId="71300F56" w14:textId="77777777" w:rsidR="00B0420D" w:rsidRPr="0031447D" w:rsidRDefault="00B0420D" w:rsidP="00753044">
            <w:pPr>
              <w:widowControl/>
              <w:tabs>
                <w:tab w:val="decimal" w:pos="113"/>
              </w:tabs>
              <w:bidi w:val="0"/>
              <w:spacing w:line="180" w:lineRule="exact"/>
              <w:rPr>
                <w:sz w:val="18"/>
                <w:szCs w:val="18"/>
              </w:rPr>
            </w:pPr>
          </w:p>
        </w:tc>
        <w:tc>
          <w:tcPr>
            <w:tcW w:w="94" w:type="dxa"/>
          </w:tcPr>
          <w:p w14:paraId="5BC93CBE" w14:textId="77777777" w:rsidR="00B0420D" w:rsidRPr="0031447D" w:rsidRDefault="00B0420D" w:rsidP="00753044">
            <w:pPr>
              <w:widowControl/>
              <w:tabs>
                <w:tab w:val="decimal" w:pos="113"/>
              </w:tabs>
              <w:bidi w:val="0"/>
              <w:spacing w:line="180" w:lineRule="exact"/>
              <w:rPr>
                <w:sz w:val="18"/>
                <w:szCs w:val="18"/>
              </w:rPr>
            </w:pPr>
          </w:p>
        </w:tc>
        <w:tc>
          <w:tcPr>
            <w:tcW w:w="807" w:type="dxa"/>
            <w:tcBorders>
              <w:top w:val="double" w:sz="6" w:space="0" w:color="auto"/>
            </w:tcBorders>
            <w:vAlign w:val="bottom"/>
          </w:tcPr>
          <w:p w14:paraId="522C3172" w14:textId="77777777" w:rsidR="00B0420D" w:rsidRPr="0031447D" w:rsidRDefault="00B0420D" w:rsidP="00753044">
            <w:pPr>
              <w:widowControl/>
              <w:tabs>
                <w:tab w:val="decimal" w:pos="113"/>
              </w:tabs>
              <w:bidi w:val="0"/>
              <w:spacing w:line="180" w:lineRule="exact"/>
              <w:rPr>
                <w:sz w:val="18"/>
                <w:szCs w:val="18"/>
              </w:rPr>
            </w:pPr>
          </w:p>
        </w:tc>
      </w:tr>
    </w:tbl>
    <w:p w14:paraId="42B75541" w14:textId="77777777" w:rsidR="00473B27" w:rsidRDefault="00473B27">
      <w:pPr>
        <w:rPr>
          <w:rtl/>
        </w:rPr>
      </w:pPr>
    </w:p>
    <w:p w14:paraId="40200109" w14:textId="77777777" w:rsidR="00473B27" w:rsidRDefault="00CB3850">
      <w:pPr>
        <w:rPr>
          <w:rtl/>
        </w:rPr>
      </w:pPr>
      <w:r>
        <w:rPr>
          <w:rtl/>
        </w:rPr>
        <w:br w:type="page"/>
      </w:r>
    </w:p>
    <w:p w14:paraId="67AB7341" w14:textId="77777777" w:rsidR="00A27D0C" w:rsidRDefault="00A27D0C">
      <w:pPr>
        <w:rPr>
          <w:rtl/>
        </w:rPr>
      </w:pPr>
    </w:p>
    <w:p w14:paraId="37717767" w14:textId="77777777" w:rsidR="00A27D0C" w:rsidRDefault="00A27D0C">
      <w:pPr>
        <w:rPr>
          <w:rtl/>
        </w:rPr>
      </w:pPr>
    </w:p>
    <w:p w14:paraId="3EB7178B" w14:textId="77777777" w:rsidR="00A27D0C" w:rsidRDefault="00A27D0C" w:rsidP="00A27D0C">
      <w:pPr>
        <w:pStyle w:val="11"/>
        <w:rPr>
          <w:rtl/>
        </w:rPr>
      </w:pPr>
      <w:r>
        <w:rPr>
          <w:rFonts w:hint="cs"/>
          <w:rtl/>
        </w:rPr>
        <w:t>באור 16: -</w:t>
      </w:r>
      <w:r>
        <w:rPr>
          <w:rFonts w:hint="cs"/>
          <w:rtl/>
        </w:rPr>
        <w:tab/>
      </w:r>
      <w:r>
        <w:rPr>
          <w:rFonts w:hint="cs"/>
          <w:u w:val="single"/>
          <w:rtl/>
        </w:rPr>
        <w:t>מגזרי פעילות</w:t>
      </w:r>
      <w:r>
        <w:rPr>
          <w:rFonts w:hint="cs"/>
          <w:rtl/>
        </w:rPr>
        <w:t xml:space="preserve"> (המשך)</w:t>
      </w:r>
    </w:p>
    <w:p w14:paraId="16FE8EC0" w14:textId="77777777" w:rsidR="00A27D0C" w:rsidRPr="00D469FD" w:rsidRDefault="00A27D0C">
      <w:pPr>
        <w:rPr>
          <w:rtl/>
        </w:rPr>
      </w:pPr>
    </w:p>
    <w:tbl>
      <w:tblPr>
        <w:bidiVisual/>
        <w:tblW w:w="7973" w:type="dxa"/>
        <w:tblInd w:w="1700" w:type="dxa"/>
        <w:tblLayout w:type="fixed"/>
        <w:tblCellMar>
          <w:left w:w="0" w:type="dxa"/>
          <w:right w:w="0" w:type="dxa"/>
        </w:tblCellMar>
        <w:tblLook w:val="0000" w:firstRow="0" w:lastRow="0" w:firstColumn="0" w:lastColumn="0" w:noHBand="0" w:noVBand="0"/>
      </w:tblPr>
      <w:tblGrid>
        <w:gridCol w:w="2127"/>
        <w:gridCol w:w="113"/>
        <w:gridCol w:w="804"/>
        <w:gridCol w:w="140"/>
        <w:gridCol w:w="1043"/>
        <w:gridCol w:w="140"/>
        <w:gridCol w:w="804"/>
        <w:gridCol w:w="140"/>
        <w:gridCol w:w="804"/>
        <w:gridCol w:w="140"/>
        <w:gridCol w:w="804"/>
        <w:gridCol w:w="110"/>
        <w:gridCol w:w="804"/>
      </w:tblGrid>
      <w:tr w:rsidR="00473B27" w:rsidRPr="0097675E" w14:paraId="517C0AAA" w14:textId="77777777" w:rsidTr="00A27D0C">
        <w:tc>
          <w:tcPr>
            <w:tcW w:w="2127" w:type="dxa"/>
            <w:vAlign w:val="bottom"/>
          </w:tcPr>
          <w:p w14:paraId="26D49654" w14:textId="77777777" w:rsidR="00473B27" w:rsidRPr="00E72837" w:rsidRDefault="00473B27" w:rsidP="00A27D0C">
            <w:pPr>
              <w:pStyle w:val="a3"/>
              <w:tabs>
                <w:tab w:val="left" w:pos="227"/>
                <w:tab w:val="left" w:pos="397"/>
                <w:tab w:val="left" w:pos="567"/>
              </w:tabs>
              <w:spacing w:line="200" w:lineRule="exact"/>
              <w:jc w:val="center"/>
              <w:rPr>
                <w:sz w:val="16"/>
                <w:szCs w:val="18"/>
              </w:rPr>
            </w:pPr>
          </w:p>
        </w:tc>
        <w:tc>
          <w:tcPr>
            <w:tcW w:w="113" w:type="dxa"/>
          </w:tcPr>
          <w:p w14:paraId="4497E91C" w14:textId="77777777" w:rsidR="00473B27" w:rsidRPr="0097675E" w:rsidRDefault="00473B27" w:rsidP="00A27D0C">
            <w:pPr>
              <w:pStyle w:val="a3"/>
              <w:tabs>
                <w:tab w:val="left" w:pos="227"/>
                <w:tab w:val="left" w:pos="397"/>
                <w:tab w:val="left" w:pos="567"/>
              </w:tabs>
              <w:spacing w:line="200" w:lineRule="exact"/>
              <w:ind w:left="227" w:hanging="397"/>
              <w:jc w:val="center"/>
              <w:rPr>
                <w:sz w:val="18"/>
                <w:szCs w:val="20"/>
              </w:rPr>
            </w:pPr>
          </w:p>
        </w:tc>
        <w:tc>
          <w:tcPr>
            <w:tcW w:w="804" w:type="dxa"/>
            <w:tcBorders>
              <w:top w:val="nil"/>
              <w:left w:val="nil"/>
              <w:bottom w:val="single" w:sz="6" w:space="0" w:color="auto"/>
              <w:right w:val="nil"/>
            </w:tcBorders>
            <w:vAlign w:val="bottom"/>
          </w:tcPr>
          <w:p w14:paraId="12D6B3C9" w14:textId="77777777" w:rsidR="00473B27" w:rsidRPr="00E72837" w:rsidRDefault="00473B27" w:rsidP="00A27D0C">
            <w:pPr>
              <w:spacing w:line="180" w:lineRule="exact"/>
              <w:jc w:val="center"/>
              <w:rPr>
                <w:b/>
                <w:sz w:val="18"/>
                <w:szCs w:val="18"/>
              </w:rPr>
            </w:pPr>
            <w:r w:rsidRPr="00E72837">
              <w:rPr>
                <w:rFonts w:hint="cs"/>
                <w:b/>
                <w:sz w:val="18"/>
                <w:szCs w:val="18"/>
                <w:rtl/>
              </w:rPr>
              <w:t>מגזר ציוד למניעת שריפות</w:t>
            </w:r>
          </w:p>
        </w:tc>
        <w:tc>
          <w:tcPr>
            <w:tcW w:w="140" w:type="dxa"/>
            <w:vAlign w:val="bottom"/>
          </w:tcPr>
          <w:p w14:paraId="51BBECFA" w14:textId="77777777" w:rsidR="00473B27" w:rsidRPr="00E72837" w:rsidRDefault="00473B27" w:rsidP="00A27D0C">
            <w:pPr>
              <w:spacing w:line="180" w:lineRule="exact"/>
              <w:jc w:val="center"/>
              <w:rPr>
                <w:b/>
                <w:sz w:val="18"/>
                <w:szCs w:val="18"/>
              </w:rPr>
            </w:pPr>
          </w:p>
        </w:tc>
        <w:tc>
          <w:tcPr>
            <w:tcW w:w="1043" w:type="dxa"/>
            <w:tcBorders>
              <w:top w:val="nil"/>
              <w:left w:val="nil"/>
              <w:bottom w:val="single" w:sz="6" w:space="0" w:color="auto"/>
              <w:right w:val="nil"/>
            </w:tcBorders>
            <w:vAlign w:val="bottom"/>
          </w:tcPr>
          <w:p w14:paraId="317F0D2F" w14:textId="77777777" w:rsidR="00473B27" w:rsidRPr="00E72837" w:rsidRDefault="00473B27" w:rsidP="00A27D0C">
            <w:pPr>
              <w:spacing w:line="180" w:lineRule="exact"/>
              <w:jc w:val="center"/>
              <w:rPr>
                <w:b/>
                <w:sz w:val="18"/>
                <w:szCs w:val="18"/>
              </w:rPr>
            </w:pPr>
            <w:r w:rsidRPr="00E72837">
              <w:rPr>
                <w:rFonts w:hint="cs"/>
                <w:b/>
                <w:sz w:val="18"/>
                <w:szCs w:val="18"/>
                <w:rtl/>
              </w:rPr>
              <w:t>מגזר אלקטרוניקה</w:t>
            </w:r>
          </w:p>
        </w:tc>
        <w:tc>
          <w:tcPr>
            <w:tcW w:w="140" w:type="dxa"/>
            <w:vAlign w:val="bottom"/>
          </w:tcPr>
          <w:p w14:paraId="7229A029"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41F227CD" w14:textId="77777777" w:rsidR="00473B27" w:rsidRPr="00E72837" w:rsidRDefault="00473B27" w:rsidP="00A27D0C">
            <w:pPr>
              <w:spacing w:line="180" w:lineRule="exact"/>
              <w:jc w:val="center"/>
              <w:rPr>
                <w:b/>
                <w:sz w:val="18"/>
                <w:szCs w:val="18"/>
              </w:rPr>
            </w:pPr>
            <w:r w:rsidRPr="00E72837">
              <w:rPr>
                <w:rFonts w:hint="cs"/>
                <w:b/>
                <w:sz w:val="18"/>
                <w:szCs w:val="18"/>
                <w:rtl/>
              </w:rPr>
              <w:t>מגזר נדל"ן להשקעה</w:t>
            </w:r>
          </w:p>
        </w:tc>
        <w:tc>
          <w:tcPr>
            <w:tcW w:w="140" w:type="dxa"/>
            <w:vAlign w:val="bottom"/>
          </w:tcPr>
          <w:p w14:paraId="01EDB453"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172B8742" w14:textId="77777777" w:rsidR="00473B27" w:rsidRPr="00E72837" w:rsidRDefault="00473B27" w:rsidP="00A27D0C">
            <w:pPr>
              <w:spacing w:line="180" w:lineRule="exact"/>
              <w:jc w:val="center"/>
              <w:rPr>
                <w:b/>
                <w:sz w:val="18"/>
                <w:szCs w:val="18"/>
              </w:rPr>
            </w:pPr>
            <w:r w:rsidRPr="00E72837">
              <w:rPr>
                <w:rFonts w:hint="cs"/>
                <w:b/>
                <w:sz w:val="18"/>
                <w:szCs w:val="18"/>
                <w:rtl/>
              </w:rPr>
              <w:t>פעילויות אחרות</w:t>
            </w:r>
          </w:p>
        </w:tc>
        <w:tc>
          <w:tcPr>
            <w:tcW w:w="140" w:type="dxa"/>
            <w:vAlign w:val="bottom"/>
          </w:tcPr>
          <w:p w14:paraId="7BF09DCE"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58E2ECD5" w14:textId="77777777" w:rsidR="00473B27" w:rsidRPr="00E72837" w:rsidRDefault="00473B27" w:rsidP="00A27D0C">
            <w:pPr>
              <w:spacing w:line="180" w:lineRule="exact"/>
              <w:jc w:val="center"/>
              <w:rPr>
                <w:b/>
                <w:sz w:val="18"/>
                <w:szCs w:val="18"/>
              </w:rPr>
            </w:pPr>
            <w:r w:rsidRPr="00E72837">
              <w:rPr>
                <w:rFonts w:hint="cs"/>
                <w:b/>
                <w:sz w:val="18"/>
                <w:szCs w:val="18"/>
                <w:rtl/>
              </w:rPr>
              <w:t>התאמות</w:t>
            </w:r>
            <w:r w:rsidRPr="00E72837">
              <w:rPr>
                <w:b/>
                <w:color w:val="FF0000"/>
                <w:sz w:val="18"/>
                <w:szCs w:val="18"/>
                <w:rtl/>
              </w:rPr>
              <w:footnoteReference w:id="115"/>
            </w:r>
          </w:p>
        </w:tc>
        <w:tc>
          <w:tcPr>
            <w:tcW w:w="110" w:type="dxa"/>
            <w:vAlign w:val="bottom"/>
          </w:tcPr>
          <w:p w14:paraId="14A4911B"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085F779A" w14:textId="77777777" w:rsidR="00473B27" w:rsidRPr="00E72837" w:rsidRDefault="00473B27" w:rsidP="00A27D0C">
            <w:pPr>
              <w:spacing w:line="180" w:lineRule="exact"/>
              <w:jc w:val="center"/>
              <w:rPr>
                <w:b/>
                <w:sz w:val="18"/>
                <w:szCs w:val="18"/>
              </w:rPr>
            </w:pPr>
            <w:r w:rsidRPr="00E72837">
              <w:rPr>
                <w:rFonts w:hint="cs"/>
                <w:b/>
                <w:sz w:val="18"/>
                <w:szCs w:val="18"/>
                <w:rtl/>
              </w:rPr>
              <w:t>סה"כ</w:t>
            </w:r>
          </w:p>
        </w:tc>
      </w:tr>
      <w:tr w:rsidR="00473B27" w:rsidRPr="0097675E" w14:paraId="08284777" w14:textId="77777777" w:rsidTr="00A27D0C">
        <w:tc>
          <w:tcPr>
            <w:tcW w:w="2127" w:type="dxa"/>
            <w:vAlign w:val="bottom"/>
          </w:tcPr>
          <w:p w14:paraId="1EB1ECAF" w14:textId="77777777" w:rsidR="00473B27" w:rsidRPr="00E72837" w:rsidRDefault="00473B27" w:rsidP="00A27D0C">
            <w:pPr>
              <w:pStyle w:val="a3"/>
              <w:tabs>
                <w:tab w:val="left" w:pos="227"/>
                <w:tab w:val="left" w:pos="397"/>
                <w:tab w:val="left" w:pos="567"/>
              </w:tabs>
              <w:spacing w:line="200" w:lineRule="exact"/>
              <w:jc w:val="center"/>
              <w:rPr>
                <w:sz w:val="16"/>
                <w:szCs w:val="18"/>
              </w:rPr>
            </w:pPr>
          </w:p>
        </w:tc>
        <w:tc>
          <w:tcPr>
            <w:tcW w:w="113" w:type="dxa"/>
          </w:tcPr>
          <w:p w14:paraId="2AD1AFA5" w14:textId="77777777" w:rsidR="00473B27" w:rsidRPr="0097675E" w:rsidRDefault="00473B27" w:rsidP="00A27D0C">
            <w:pPr>
              <w:pStyle w:val="a3"/>
              <w:tabs>
                <w:tab w:val="left" w:pos="227"/>
                <w:tab w:val="left" w:pos="397"/>
                <w:tab w:val="left" w:pos="567"/>
              </w:tabs>
              <w:spacing w:line="200" w:lineRule="exact"/>
              <w:ind w:left="227" w:hanging="397"/>
              <w:jc w:val="center"/>
              <w:rPr>
                <w:sz w:val="18"/>
                <w:szCs w:val="20"/>
              </w:rPr>
            </w:pPr>
          </w:p>
        </w:tc>
        <w:tc>
          <w:tcPr>
            <w:tcW w:w="5733" w:type="dxa"/>
            <w:gridSpan w:val="11"/>
            <w:tcBorders>
              <w:top w:val="nil"/>
              <w:left w:val="nil"/>
              <w:bottom w:val="single" w:sz="6" w:space="0" w:color="auto"/>
              <w:right w:val="nil"/>
            </w:tcBorders>
            <w:vAlign w:val="bottom"/>
          </w:tcPr>
          <w:p w14:paraId="494C1E03" w14:textId="77777777" w:rsidR="00473B27" w:rsidRPr="0097675E" w:rsidRDefault="00473B27" w:rsidP="00A27D0C">
            <w:pPr>
              <w:pStyle w:val="af5"/>
              <w:pBdr>
                <w:bottom w:val="none" w:sz="0" w:space="0" w:color="auto"/>
              </w:pBdr>
              <w:spacing w:line="200" w:lineRule="exact"/>
              <w:ind w:left="57"/>
              <w:rPr>
                <w:b w:val="0"/>
                <w:bCs w:val="0"/>
                <w:sz w:val="18"/>
                <w:szCs w:val="20"/>
              </w:rPr>
            </w:pPr>
            <w:r w:rsidRPr="0097675E">
              <w:rPr>
                <w:rFonts w:hint="cs"/>
                <w:b w:val="0"/>
                <w:bCs w:val="0"/>
                <w:sz w:val="18"/>
                <w:szCs w:val="20"/>
                <w:rtl/>
              </w:rPr>
              <w:t>מבוקר</w:t>
            </w:r>
          </w:p>
        </w:tc>
      </w:tr>
      <w:tr w:rsidR="00473B27" w:rsidRPr="0097675E" w14:paraId="328A281C" w14:textId="77777777" w:rsidTr="00A27D0C">
        <w:tc>
          <w:tcPr>
            <w:tcW w:w="2127" w:type="dxa"/>
            <w:vAlign w:val="bottom"/>
          </w:tcPr>
          <w:p w14:paraId="0C4A42B3" w14:textId="77777777" w:rsidR="00473B27" w:rsidRPr="00E72837" w:rsidRDefault="00473B27" w:rsidP="00A27D0C">
            <w:pPr>
              <w:pStyle w:val="a3"/>
              <w:tabs>
                <w:tab w:val="left" w:pos="227"/>
                <w:tab w:val="left" w:pos="397"/>
                <w:tab w:val="left" w:pos="567"/>
              </w:tabs>
              <w:spacing w:line="200" w:lineRule="exact"/>
              <w:jc w:val="center"/>
              <w:rPr>
                <w:sz w:val="16"/>
                <w:szCs w:val="18"/>
              </w:rPr>
            </w:pPr>
          </w:p>
        </w:tc>
        <w:tc>
          <w:tcPr>
            <w:tcW w:w="113" w:type="dxa"/>
          </w:tcPr>
          <w:p w14:paraId="17ED95C9" w14:textId="77777777" w:rsidR="00473B27" w:rsidRPr="0097675E" w:rsidRDefault="00473B27" w:rsidP="00A27D0C">
            <w:pPr>
              <w:pStyle w:val="a3"/>
              <w:tabs>
                <w:tab w:val="left" w:pos="227"/>
                <w:tab w:val="left" w:pos="397"/>
                <w:tab w:val="left" w:pos="567"/>
              </w:tabs>
              <w:spacing w:line="200" w:lineRule="exact"/>
              <w:ind w:left="227" w:hanging="397"/>
              <w:jc w:val="center"/>
              <w:rPr>
                <w:sz w:val="18"/>
                <w:szCs w:val="20"/>
              </w:rPr>
            </w:pPr>
          </w:p>
        </w:tc>
        <w:tc>
          <w:tcPr>
            <w:tcW w:w="5733" w:type="dxa"/>
            <w:gridSpan w:val="11"/>
            <w:tcBorders>
              <w:top w:val="nil"/>
              <w:left w:val="nil"/>
              <w:bottom w:val="single" w:sz="6" w:space="0" w:color="auto"/>
              <w:right w:val="nil"/>
            </w:tcBorders>
            <w:vAlign w:val="bottom"/>
          </w:tcPr>
          <w:p w14:paraId="109801CF" w14:textId="77777777" w:rsidR="00473B27" w:rsidRPr="0097675E" w:rsidRDefault="00473B27" w:rsidP="00A27D0C">
            <w:pPr>
              <w:pStyle w:val="af5"/>
              <w:pBdr>
                <w:bottom w:val="none" w:sz="0" w:space="0" w:color="auto"/>
              </w:pBdr>
              <w:spacing w:line="200" w:lineRule="exact"/>
              <w:ind w:left="57"/>
              <w:rPr>
                <w:sz w:val="18"/>
                <w:szCs w:val="20"/>
              </w:rPr>
            </w:pPr>
            <w:r w:rsidRPr="0097675E">
              <w:rPr>
                <w:rFonts w:hint="cs"/>
                <w:b w:val="0"/>
                <w:bCs w:val="0"/>
                <w:sz w:val="18"/>
                <w:szCs w:val="20"/>
                <w:rtl/>
              </w:rPr>
              <w:t>אלפי ש"ח</w:t>
            </w:r>
          </w:p>
        </w:tc>
      </w:tr>
      <w:tr w:rsidR="00473B27" w:rsidRPr="0097675E" w14:paraId="73819509" w14:textId="77777777" w:rsidTr="00A27D0C">
        <w:tc>
          <w:tcPr>
            <w:tcW w:w="2127" w:type="dxa"/>
            <w:vAlign w:val="bottom"/>
          </w:tcPr>
          <w:p w14:paraId="79317FB4" w14:textId="77777777" w:rsidR="00473B27" w:rsidRPr="00E72837" w:rsidRDefault="00473B27" w:rsidP="00A27D0C">
            <w:pPr>
              <w:pStyle w:val="a3"/>
              <w:widowControl/>
              <w:tabs>
                <w:tab w:val="left" w:pos="227"/>
                <w:tab w:val="left" w:pos="397"/>
                <w:tab w:val="left" w:pos="567"/>
              </w:tabs>
              <w:spacing w:line="200" w:lineRule="exact"/>
              <w:ind w:left="0"/>
              <w:rPr>
                <w:sz w:val="16"/>
                <w:szCs w:val="18"/>
                <w:rtl/>
              </w:rPr>
            </w:pPr>
          </w:p>
        </w:tc>
        <w:tc>
          <w:tcPr>
            <w:tcW w:w="113" w:type="dxa"/>
          </w:tcPr>
          <w:p w14:paraId="7AFD0BC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58BAE1E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47A70A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shd w:val="clear" w:color="auto" w:fill="auto"/>
            <w:vAlign w:val="bottom"/>
          </w:tcPr>
          <w:p w14:paraId="3840A6E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350163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5271AA4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D9D4AC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464A222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50D5A8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0C56F2D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7EAFF1D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6" w:space="0" w:color="auto"/>
            </w:tcBorders>
            <w:shd w:val="clear" w:color="auto" w:fill="auto"/>
            <w:vAlign w:val="bottom"/>
          </w:tcPr>
          <w:p w14:paraId="3EDE5C2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6BBB8775" w14:textId="77777777" w:rsidTr="00A27D0C">
        <w:tc>
          <w:tcPr>
            <w:tcW w:w="2127" w:type="dxa"/>
            <w:vAlign w:val="bottom"/>
          </w:tcPr>
          <w:p w14:paraId="4D3F70CE" w14:textId="40690388" w:rsidR="00473B27" w:rsidRPr="00E72837" w:rsidRDefault="00473B27" w:rsidP="00473B27">
            <w:pPr>
              <w:pStyle w:val="a3"/>
              <w:tabs>
                <w:tab w:val="left" w:pos="227"/>
                <w:tab w:val="left" w:pos="397"/>
                <w:tab w:val="left" w:pos="567"/>
              </w:tabs>
              <w:spacing w:line="200" w:lineRule="exact"/>
              <w:ind w:left="227" w:hanging="170"/>
              <w:rPr>
                <w:sz w:val="16"/>
                <w:szCs w:val="18"/>
              </w:rPr>
            </w:pPr>
            <w:r w:rsidRPr="0031447D">
              <w:rPr>
                <w:rFonts w:hint="cs"/>
                <w:sz w:val="18"/>
                <w:szCs w:val="18"/>
                <w:u w:val="single"/>
                <w:rtl/>
              </w:rPr>
              <w:t xml:space="preserve">לתקופה של </w:t>
            </w:r>
            <w:r>
              <w:rPr>
                <w:rFonts w:hint="cs"/>
                <w:sz w:val="18"/>
                <w:szCs w:val="18"/>
                <w:u w:val="single"/>
                <w:rtl/>
              </w:rPr>
              <w:t>שלושה</w:t>
            </w:r>
            <w:r w:rsidRPr="0031447D">
              <w:rPr>
                <w:rFonts w:hint="cs"/>
                <w:sz w:val="18"/>
                <w:szCs w:val="18"/>
                <w:u w:val="single"/>
                <w:rtl/>
              </w:rPr>
              <w:t xml:space="preserve"> חודשים שהסתיימה ביום 30 בספטמבר, </w:t>
            </w:r>
            <w:r>
              <w:rPr>
                <w:rFonts w:hint="cs"/>
                <w:sz w:val="18"/>
                <w:szCs w:val="18"/>
                <w:u w:val="single"/>
                <w:rtl/>
              </w:rPr>
              <w:t>2018</w:t>
            </w:r>
          </w:p>
        </w:tc>
        <w:tc>
          <w:tcPr>
            <w:tcW w:w="113" w:type="dxa"/>
          </w:tcPr>
          <w:p w14:paraId="15D77677"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05E86EBA" w14:textId="77777777" w:rsidR="00473B27" w:rsidRPr="0097675E" w:rsidRDefault="00473B27" w:rsidP="00A27D0C">
            <w:pPr>
              <w:tabs>
                <w:tab w:val="decimal" w:pos="113"/>
              </w:tabs>
              <w:spacing w:line="200" w:lineRule="exact"/>
              <w:ind w:left="57"/>
              <w:rPr>
                <w:sz w:val="18"/>
                <w:szCs w:val="20"/>
              </w:rPr>
            </w:pPr>
          </w:p>
        </w:tc>
        <w:tc>
          <w:tcPr>
            <w:tcW w:w="140" w:type="dxa"/>
          </w:tcPr>
          <w:p w14:paraId="40EC9197"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4E9A144A" w14:textId="77777777" w:rsidR="00473B27" w:rsidRPr="0097675E" w:rsidRDefault="00473B27" w:rsidP="00A27D0C">
            <w:pPr>
              <w:tabs>
                <w:tab w:val="decimal" w:pos="113"/>
              </w:tabs>
              <w:spacing w:line="200" w:lineRule="exact"/>
              <w:ind w:left="57"/>
              <w:rPr>
                <w:sz w:val="18"/>
                <w:szCs w:val="20"/>
              </w:rPr>
            </w:pPr>
          </w:p>
        </w:tc>
        <w:tc>
          <w:tcPr>
            <w:tcW w:w="140" w:type="dxa"/>
          </w:tcPr>
          <w:p w14:paraId="08092AD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2BCFFF3" w14:textId="77777777" w:rsidR="00473B27" w:rsidRPr="0097675E" w:rsidRDefault="00473B27" w:rsidP="00A27D0C">
            <w:pPr>
              <w:tabs>
                <w:tab w:val="decimal" w:pos="113"/>
              </w:tabs>
              <w:spacing w:line="200" w:lineRule="exact"/>
              <w:ind w:left="57"/>
              <w:rPr>
                <w:sz w:val="18"/>
                <w:szCs w:val="20"/>
              </w:rPr>
            </w:pPr>
          </w:p>
        </w:tc>
        <w:tc>
          <w:tcPr>
            <w:tcW w:w="140" w:type="dxa"/>
          </w:tcPr>
          <w:p w14:paraId="07B3ED9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CAD7073" w14:textId="77777777" w:rsidR="00473B27" w:rsidRPr="0097675E" w:rsidRDefault="00473B27" w:rsidP="00A27D0C">
            <w:pPr>
              <w:tabs>
                <w:tab w:val="decimal" w:pos="113"/>
              </w:tabs>
              <w:spacing w:line="200" w:lineRule="exact"/>
              <w:ind w:left="57"/>
              <w:rPr>
                <w:sz w:val="18"/>
                <w:szCs w:val="20"/>
              </w:rPr>
            </w:pPr>
          </w:p>
        </w:tc>
        <w:tc>
          <w:tcPr>
            <w:tcW w:w="140" w:type="dxa"/>
          </w:tcPr>
          <w:p w14:paraId="44BFBC0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A9D20A1" w14:textId="77777777" w:rsidR="00473B27" w:rsidRPr="0097675E" w:rsidRDefault="00473B27" w:rsidP="00A27D0C">
            <w:pPr>
              <w:tabs>
                <w:tab w:val="decimal" w:pos="113"/>
              </w:tabs>
              <w:spacing w:line="200" w:lineRule="exact"/>
              <w:ind w:left="57"/>
              <w:rPr>
                <w:sz w:val="18"/>
                <w:szCs w:val="20"/>
              </w:rPr>
            </w:pPr>
          </w:p>
        </w:tc>
        <w:tc>
          <w:tcPr>
            <w:tcW w:w="110" w:type="dxa"/>
          </w:tcPr>
          <w:p w14:paraId="48F969E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3616DBC" w14:textId="77777777" w:rsidR="00473B27" w:rsidRPr="0097675E" w:rsidRDefault="00473B27" w:rsidP="00A27D0C">
            <w:pPr>
              <w:tabs>
                <w:tab w:val="decimal" w:pos="113"/>
              </w:tabs>
              <w:spacing w:line="200" w:lineRule="exact"/>
              <w:ind w:left="57"/>
              <w:rPr>
                <w:sz w:val="18"/>
                <w:szCs w:val="20"/>
              </w:rPr>
            </w:pPr>
          </w:p>
        </w:tc>
      </w:tr>
      <w:tr w:rsidR="00473B27" w:rsidRPr="0097675E" w14:paraId="5CE53793" w14:textId="77777777" w:rsidTr="00A27D0C">
        <w:tc>
          <w:tcPr>
            <w:tcW w:w="2127" w:type="dxa"/>
            <w:vAlign w:val="bottom"/>
          </w:tcPr>
          <w:p w14:paraId="14487C42" w14:textId="77777777" w:rsidR="00473B27" w:rsidRPr="00473B27" w:rsidRDefault="00473B27" w:rsidP="00A27D0C">
            <w:pPr>
              <w:pStyle w:val="a3"/>
              <w:tabs>
                <w:tab w:val="left" w:pos="227"/>
                <w:tab w:val="left" w:pos="397"/>
                <w:tab w:val="left" w:pos="567"/>
              </w:tabs>
              <w:spacing w:line="180" w:lineRule="exact"/>
              <w:rPr>
                <w:b/>
                <w:bCs/>
                <w:sz w:val="18"/>
                <w:szCs w:val="18"/>
                <w:rtl/>
              </w:rPr>
            </w:pPr>
            <w:r>
              <w:rPr>
                <w:rFonts w:hint="cs"/>
                <w:b/>
                <w:bCs/>
                <w:sz w:val="18"/>
                <w:szCs w:val="18"/>
                <w:rtl/>
              </w:rPr>
              <w:t>פילוח גיאורגרפי:</w:t>
            </w:r>
          </w:p>
        </w:tc>
        <w:tc>
          <w:tcPr>
            <w:tcW w:w="113" w:type="dxa"/>
          </w:tcPr>
          <w:p w14:paraId="3BD3A10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40D66EF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D6B4A7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nil"/>
              <w:left w:val="nil"/>
              <w:right w:val="nil"/>
            </w:tcBorders>
            <w:vAlign w:val="bottom"/>
          </w:tcPr>
          <w:p w14:paraId="1814066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345809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2C631A6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0F839A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7DC7C46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3C5B6D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0304752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5D10312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513AEEB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2A16D753" w14:textId="77777777" w:rsidTr="00A27D0C">
        <w:tc>
          <w:tcPr>
            <w:tcW w:w="2127" w:type="dxa"/>
            <w:vAlign w:val="bottom"/>
          </w:tcPr>
          <w:p w14:paraId="6091F2B8" w14:textId="77777777" w:rsidR="00473B27" w:rsidRPr="00473B27" w:rsidRDefault="00473B27" w:rsidP="00A27D0C">
            <w:pPr>
              <w:pStyle w:val="a3"/>
              <w:tabs>
                <w:tab w:val="left" w:pos="227"/>
                <w:tab w:val="left" w:pos="397"/>
                <w:tab w:val="left" w:pos="567"/>
              </w:tabs>
              <w:spacing w:line="180" w:lineRule="exact"/>
              <w:rPr>
                <w:sz w:val="18"/>
                <w:szCs w:val="18"/>
              </w:rPr>
            </w:pPr>
            <w:r w:rsidRPr="00473B27">
              <w:rPr>
                <w:rFonts w:hint="cs"/>
                <w:sz w:val="18"/>
                <w:szCs w:val="18"/>
                <w:rtl/>
              </w:rPr>
              <w:t>צפון אמריקה</w:t>
            </w:r>
          </w:p>
        </w:tc>
        <w:tc>
          <w:tcPr>
            <w:tcW w:w="113" w:type="dxa"/>
          </w:tcPr>
          <w:p w14:paraId="5A196165"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1ABA56C1" w14:textId="77777777" w:rsidR="00473B27" w:rsidRPr="0097675E" w:rsidRDefault="00473B27" w:rsidP="00A27D0C">
            <w:pPr>
              <w:tabs>
                <w:tab w:val="decimal" w:pos="113"/>
              </w:tabs>
              <w:spacing w:line="200" w:lineRule="exact"/>
              <w:ind w:left="57"/>
              <w:rPr>
                <w:sz w:val="18"/>
                <w:szCs w:val="20"/>
              </w:rPr>
            </w:pPr>
          </w:p>
        </w:tc>
        <w:tc>
          <w:tcPr>
            <w:tcW w:w="140" w:type="dxa"/>
          </w:tcPr>
          <w:p w14:paraId="799EF5A3"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62427203" w14:textId="77777777" w:rsidR="00473B27" w:rsidRPr="0097675E" w:rsidRDefault="00473B27" w:rsidP="00A27D0C">
            <w:pPr>
              <w:tabs>
                <w:tab w:val="decimal" w:pos="113"/>
              </w:tabs>
              <w:spacing w:line="200" w:lineRule="exact"/>
              <w:ind w:left="57"/>
              <w:rPr>
                <w:sz w:val="18"/>
                <w:szCs w:val="20"/>
              </w:rPr>
            </w:pPr>
          </w:p>
        </w:tc>
        <w:tc>
          <w:tcPr>
            <w:tcW w:w="140" w:type="dxa"/>
          </w:tcPr>
          <w:p w14:paraId="2A1CCA6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D8DF882" w14:textId="77777777" w:rsidR="00473B27" w:rsidRPr="0097675E" w:rsidRDefault="00473B27" w:rsidP="00A27D0C">
            <w:pPr>
              <w:tabs>
                <w:tab w:val="decimal" w:pos="113"/>
              </w:tabs>
              <w:spacing w:line="200" w:lineRule="exact"/>
              <w:ind w:left="57"/>
              <w:rPr>
                <w:sz w:val="18"/>
                <w:szCs w:val="20"/>
              </w:rPr>
            </w:pPr>
          </w:p>
        </w:tc>
        <w:tc>
          <w:tcPr>
            <w:tcW w:w="140" w:type="dxa"/>
          </w:tcPr>
          <w:p w14:paraId="3A836F5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F5232F7" w14:textId="77777777" w:rsidR="00473B27" w:rsidRPr="0097675E" w:rsidRDefault="00473B27" w:rsidP="00A27D0C">
            <w:pPr>
              <w:tabs>
                <w:tab w:val="decimal" w:pos="113"/>
              </w:tabs>
              <w:spacing w:line="200" w:lineRule="exact"/>
              <w:ind w:left="57"/>
              <w:rPr>
                <w:sz w:val="18"/>
                <w:szCs w:val="20"/>
              </w:rPr>
            </w:pPr>
          </w:p>
        </w:tc>
        <w:tc>
          <w:tcPr>
            <w:tcW w:w="140" w:type="dxa"/>
          </w:tcPr>
          <w:p w14:paraId="6F7A24F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BE80B04" w14:textId="77777777" w:rsidR="00473B27" w:rsidRPr="0097675E" w:rsidRDefault="00473B27" w:rsidP="00A27D0C">
            <w:pPr>
              <w:tabs>
                <w:tab w:val="decimal" w:pos="113"/>
              </w:tabs>
              <w:spacing w:line="200" w:lineRule="exact"/>
              <w:ind w:left="57"/>
              <w:rPr>
                <w:sz w:val="18"/>
                <w:szCs w:val="20"/>
              </w:rPr>
            </w:pPr>
          </w:p>
        </w:tc>
        <w:tc>
          <w:tcPr>
            <w:tcW w:w="110" w:type="dxa"/>
          </w:tcPr>
          <w:p w14:paraId="4FFB6DC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BB000AD" w14:textId="77777777" w:rsidR="00473B27" w:rsidRPr="0097675E" w:rsidRDefault="00473B27" w:rsidP="00A27D0C">
            <w:pPr>
              <w:tabs>
                <w:tab w:val="decimal" w:pos="113"/>
              </w:tabs>
              <w:spacing w:line="200" w:lineRule="exact"/>
              <w:ind w:left="57"/>
              <w:rPr>
                <w:sz w:val="18"/>
                <w:szCs w:val="20"/>
              </w:rPr>
            </w:pPr>
          </w:p>
        </w:tc>
      </w:tr>
      <w:tr w:rsidR="00473B27" w:rsidRPr="0097675E" w14:paraId="3678126C" w14:textId="77777777" w:rsidTr="00A27D0C">
        <w:tc>
          <w:tcPr>
            <w:tcW w:w="2127" w:type="dxa"/>
            <w:vAlign w:val="bottom"/>
          </w:tcPr>
          <w:p w14:paraId="494F42F9"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אירופה</w:t>
            </w:r>
          </w:p>
        </w:tc>
        <w:tc>
          <w:tcPr>
            <w:tcW w:w="113" w:type="dxa"/>
          </w:tcPr>
          <w:p w14:paraId="00C930AA"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415C93F1" w14:textId="77777777" w:rsidR="00473B27" w:rsidRPr="0097675E" w:rsidRDefault="00473B27" w:rsidP="00A27D0C">
            <w:pPr>
              <w:tabs>
                <w:tab w:val="decimal" w:pos="113"/>
              </w:tabs>
              <w:spacing w:line="200" w:lineRule="exact"/>
              <w:ind w:left="57"/>
              <w:rPr>
                <w:sz w:val="18"/>
                <w:szCs w:val="20"/>
              </w:rPr>
            </w:pPr>
          </w:p>
        </w:tc>
        <w:tc>
          <w:tcPr>
            <w:tcW w:w="140" w:type="dxa"/>
          </w:tcPr>
          <w:p w14:paraId="17A46882"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194A0E02" w14:textId="77777777" w:rsidR="00473B27" w:rsidRPr="0097675E" w:rsidRDefault="00473B27" w:rsidP="00A27D0C">
            <w:pPr>
              <w:tabs>
                <w:tab w:val="decimal" w:pos="113"/>
              </w:tabs>
              <w:spacing w:line="200" w:lineRule="exact"/>
              <w:ind w:left="57"/>
              <w:rPr>
                <w:sz w:val="18"/>
                <w:szCs w:val="20"/>
              </w:rPr>
            </w:pPr>
          </w:p>
        </w:tc>
        <w:tc>
          <w:tcPr>
            <w:tcW w:w="140" w:type="dxa"/>
          </w:tcPr>
          <w:p w14:paraId="490820D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7E0C832" w14:textId="77777777" w:rsidR="00473B27" w:rsidRPr="0097675E" w:rsidRDefault="00473B27" w:rsidP="00A27D0C">
            <w:pPr>
              <w:tabs>
                <w:tab w:val="decimal" w:pos="113"/>
              </w:tabs>
              <w:spacing w:line="200" w:lineRule="exact"/>
              <w:ind w:left="57"/>
              <w:rPr>
                <w:sz w:val="18"/>
                <w:szCs w:val="20"/>
              </w:rPr>
            </w:pPr>
          </w:p>
        </w:tc>
        <w:tc>
          <w:tcPr>
            <w:tcW w:w="140" w:type="dxa"/>
          </w:tcPr>
          <w:p w14:paraId="656D1C2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5DEC769" w14:textId="77777777" w:rsidR="00473B27" w:rsidRPr="0097675E" w:rsidRDefault="00473B27" w:rsidP="00A27D0C">
            <w:pPr>
              <w:tabs>
                <w:tab w:val="decimal" w:pos="113"/>
              </w:tabs>
              <w:spacing w:line="200" w:lineRule="exact"/>
              <w:ind w:left="57"/>
              <w:rPr>
                <w:sz w:val="18"/>
                <w:szCs w:val="20"/>
              </w:rPr>
            </w:pPr>
          </w:p>
        </w:tc>
        <w:tc>
          <w:tcPr>
            <w:tcW w:w="140" w:type="dxa"/>
          </w:tcPr>
          <w:p w14:paraId="6E94D18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E37CFDC" w14:textId="77777777" w:rsidR="00473B27" w:rsidRPr="0097675E" w:rsidRDefault="00473B27" w:rsidP="00A27D0C">
            <w:pPr>
              <w:tabs>
                <w:tab w:val="decimal" w:pos="113"/>
              </w:tabs>
              <w:spacing w:line="200" w:lineRule="exact"/>
              <w:ind w:left="57"/>
              <w:rPr>
                <w:sz w:val="18"/>
                <w:szCs w:val="20"/>
              </w:rPr>
            </w:pPr>
          </w:p>
        </w:tc>
        <w:tc>
          <w:tcPr>
            <w:tcW w:w="110" w:type="dxa"/>
          </w:tcPr>
          <w:p w14:paraId="1E2E094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725F6C0" w14:textId="77777777" w:rsidR="00473B27" w:rsidRPr="0097675E" w:rsidRDefault="00473B27" w:rsidP="00A27D0C">
            <w:pPr>
              <w:tabs>
                <w:tab w:val="decimal" w:pos="113"/>
              </w:tabs>
              <w:spacing w:line="200" w:lineRule="exact"/>
              <w:ind w:left="57"/>
              <w:rPr>
                <w:sz w:val="18"/>
                <w:szCs w:val="20"/>
              </w:rPr>
            </w:pPr>
          </w:p>
        </w:tc>
      </w:tr>
      <w:tr w:rsidR="00473B27" w:rsidRPr="0097675E" w14:paraId="3EDBE157" w14:textId="77777777" w:rsidTr="00A27D0C">
        <w:tc>
          <w:tcPr>
            <w:tcW w:w="2127" w:type="dxa"/>
            <w:vAlign w:val="bottom"/>
          </w:tcPr>
          <w:p w14:paraId="37677793"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ישראל</w:t>
            </w:r>
          </w:p>
        </w:tc>
        <w:tc>
          <w:tcPr>
            <w:tcW w:w="113" w:type="dxa"/>
          </w:tcPr>
          <w:p w14:paraId="1763210A"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50F73FEB" w14:textId="77777777" w:rsidR="00473B27" w:rsidRPr="0097675E" w:rsidRDefault="00473B27" w:rsidP="00A27D0C">
            <w:pPr>
              <w:tabs>
                <w:tab w:val="decimal" w:pos="113"/>
              </w:tabs>
              <w:spacing w:line="200" w:lineRule="exact"/>
              <w:ind w:left="57"/>
              <w:rPr>
                <w:sz w:val="18"/>
                <w:szCs w:val="20"/>
              </w:rPr>
            </w:pPr>
          </w:p>
        </w:tc>
        <w:tc>
          <w:tcPr>
            <w:tcW w:w="140" w:type="dxa"/>
          </w:tcPr>
          <w:p w14:paraId="385BF88F"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3B5B45CA" w14:textId="77777777" w:rsidR="00473B27" w:rsidRPr="0097675E" w:rsidRDefault="00473B27" w:rsidP="00A27D0C">
            <w:pPr>
              <w:tabs>
                <w:tab w:val="decimal" w:pos="113"/>
              </w:tabs>
              <w:spacing w:line="200" w:lineRule="exact"/>
              <w:ind w:left="57"/>
              <w:rPr>
                <w:sz w:val="18"/>
                <w:szCs w:val="20"/>
              </w:rPr>
            </w:pPr>
          </w:p>
        </w:tc>
        <w:tc>
          <w:tcPr>
            <w:tcW w:w="140" w:type="dxa"/>
          </w:tcPr>
          <w:p w14:paraId="379126E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568F5C6A" w14:textId="77777777" w:rsidR="00473B27" w:rsidRPr="0097675E" w:rsidRDefault="00473B27" w:rsidP="00A27D0C">
            <w:pPr>
              <w:tabs>
                <w:tab w:val="decimal" w:pos="113"/>
              </w:tabs>
              <w:spacing w:line="200" w:lineRule="exact"/>
              <w:ind w:left="57"/>
              <w:rPr>
                <w:sz w:val="18"/>
                <w:szCs w:val="20"/>
              </w:rPr>
            </w:pPr>
          </w:p>
        </w:tc>
        <w:tc>
          <w:tcPr>
            <w:tcW w:w="140" w:type="dxa"/>
          </w:tcPr>
          <w:p w14:paraId="54D9342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BB3DB92" w14:textId="77777777" w:rsidR="00473B27" w:rsidRPr="0097675E" w:rsidRDefault="00473B27" w:rsidP="00A27D0C">
            <w:pPr>
              <w:tabs>
                <w:tab w:val="decimal" w:pos="113"/>
              </w:tabs>
              <w:spacing w:line="200" w:lineRule="exact"/>
              <w:ind w:left="57"/>
              <w:rPr>
                <w:sz w:val="18"/>
                <w:szCs w:val="20"/>
              </w:rPr>
            </w:pPr>
          </w:p>
        </w:tc>
        <w:tc>
          <w:tcPr>
            <w:tcW w:w="140" w:type="dxa"/>
          </w:tcPr>
          <w:p w14:paraId="2DFB4A7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C650D61" w14:textId="77777777" w:rsidR="00473B27" w:rsidRPr="0097675E" w:rsidRDefault="00473B27" w:rsidP="00A27D0C">
            <w:pPr>
              <w:tabs>
                <w:tab w:val="decimal" w:pos="113"/>
              </w:tabs>
              <w:spacing w:line="200" w:lineRule="exact"/>
              <w:ind w:left="57"/>
              <w:rPr>
                <w:sz w:val="18"/>
                <w:szCs w:val="20"/>
              </w:rPr>
            </w:pPr>
          </w:p>
        </w:tc>
        <w:tc>
          <w:tcPr>
            <w:tcW w:w="110" w:type="dxa"/>
          </w:tcPr>
          <w:p w14:paraId="6BBEFAA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8A2F69F" w14:textId="77777777" w:rsidR="00473B27" w:rsidRPr="0097675E" w:rsidRDefault="00473B27" w:rsidP="00A27D0C">
            <w:pPr>
              <w:tabs>
                <w:tab w:val="decimal" w:pos="113"/>
              </w:tabs>
              <w:spacing w:line="200" w:lineRule="exact"/>
              <w:ind w:left="57"/>
              <w:rPr>
                <w:sz w:val="18"/>
                <w:szCs w:val="20"/>
              </w:rPr>
            </w:pPr>
          </w:p>
        </w:tc>
      </w:tr>
      <w:tr w:rsidR="00473B27" w:rsidRPr="0097675E" w14:paraId="4C895BE1" w14:textId="77777777" w:rsidTr="00A27D0C">
        <w:tc>
          <w:tcPr>
            <w:tcW w:w="2127" w:type="dxa"/>
            <w:vAlign w:val="bottom"/>
          </w:tcPr>
          <w:p w14:paraId="1460AD8F" w14:textId="77777777" w:rsidR="00473B27" w:rsidRPr="00473B27" w:rsidRDefault="00473B27" w:rsidP="00A27D0C">
            <w:pPr>
              <w:pStyle w:val="a3"/>
              <w:tabs>
                <w:tab w:val="left" w:pos="227"/>
                <w:tab w:val="left" w:pos="397"/>
                <w:tab w:val="left" w:pos="567"/>
              </w:tabs>
              <w:spacing w:line="180" w:lineRule="exact"/>
              <w:rPr>
                <w:b/>
                <w:bCs/>
                <w:sz w:val="18"/>
                <w:szCs w:val="18"/>
                <w:rtl/>
              </w:rPr>
            </w:pPr>
          </w:p>
        </w:tc>
        <w:tc>
          <w:tcPr>
            <w:tcW w:w="113" w:type="dxa"/>
          </w:tcPr>
          <w:p w14:paraId="5BEF1074"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7D57133F" w14:textId="77777777" w:rsidR="00473B27" w:rsidRPr="0097675E" w:rsidRDefault="00473B27" w:rsidP="00A27D0C">
            <w:pPr>
              <w:tabs>
                <w:tab w:val="decimal" w:pos="113"/>
              </w:tabs>
              <w:spacing w:line="200" w:lineRule="exact"/>
              <w:ind w:left="57"/>
              <w:rPr>
                <w:sz w:val="18"/>
                <w:szCs w:val="20"/>
              </w:rPr>
            </w:pPr>
          </w:p>
        </w:tc>
        <w:tc>
          <w:tcPr>
            <w:tcW w:w="140" w:type="dxa"/>
          </w:tcPr>
          <w:p w14:paraId="108A4150"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22F8636B" w14:textId="77777777" w:rsidR="00473B27" w:rsidRPr="0097675E" w:rsidRDefault="00473B27" w:rsidP="00A27D0C">
            <w:pPr>
              <w:tabs>
                <w:tab w:val="decimal" w:pos="113"/>
              </w:tabs>
              <w:spacing w:line="200" w:lineRule="exact"/>
              <w:ind w:left="57"/>
              <w:rPr>
                <w:sz w:val="18"/>
                <w:szCs w:val="20"/>
              </w:rPr>
            </w:pPr>
          </w:p>
        </w:tc>
        <w:tc>
          <w:tcPr>
            <w:tcW w:w="140" w:type="dxa"/>
          </w:tcPr>
          <w:p w14:paraId="2E0AD30B"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04F184C" w14:textId="77777777" w:rsidR="00473B27" w:rsidRPr="0097675E" w:rsidRDefault="00473B27" w:rsidP="00A27D0C">
            <w:pPr>
              <w:tabs>
                <w:tab w:val="decimal" w:pos="113"/>
              </w:tabs>
              <w:spacing w:line="200" w:lineRule="exact"/>
              <w:ind w:left="57"/>
              <w:rPr>
                <w:sz w:val="18"/>
                <w:szCs w:val="20"/>
              </w:rPr>
            </w:pPr>
          </w:p>
        </w:tc>
        <w:tc>
          <w:tcPr>
            <w:tcW w:w="140" w:type="dxa"/>
          </w:tcPr>
          <w:p w14:paraId="25640A81"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9F3CA1D" w14:textId="77777777" w:rsidR="00473B27" w:rsidRPr="0097675E" w:rsidRDefault="00473B27" w:rsidP="00A27D0C">
            <w:pPr>
              <w:tabs>
                <w:tab w:val="decimal" w:pos="113"/>
              </w:tabs>
              <w:spacing w:line="200" w:lineRule="exact"/>
              <w:ind w:left="57"/>
              <w:rPr>
                <w:sz w:val="18"/>
                <w:szCs w:val="20"/>
              </w:rPr>
            </w:pPr>
          </w:p>
        </w:tc>
        <w:tc>
          <w:tcPr>
            <w:tcW w:w="140" w:type="dxa"/>
          </w:tcPr>
          <w:p w14:paraId="689D6671"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96FE7D2" w14:textId="77777777" w:rsidR="00473B27" w:rsidRPr="0097675E" w:rsidRDefault="00473B27" w:rsidP="00A27D0C">
            <w:pPr>
              <w:tabs>
                <w:tab w:val="decimal" w:pos="113"/>
              </w:tabs>
              <w:spacing w:line="200" w:lineRule="exact"/>
              <w:ind w:left="57"/>
              <w:rPr>
                <w:sz w:val="18"/>
                <w:szCs w:val="20"/>
              </w:rPr>
            </w:pPr>
          </w:p>
        </w:tc>
        <w:tc>
          <w:tcPr>
            <w:tcW w:w="110" w:type="dxa"/>
          </w:tcPr>
          <w:p w14:paraId="551D5D45"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290152D" w14:textId="77777777" w:rsidR="00473B27" w:rsidRPr="0097675E" w:rsidRDefault="00473B27" w:rsidP="00A27D0C">
            <w:pPr>
              <w:tabs>
                <w:tab w:val="decimal" w:pos="113"/>
              </w:tabs>
              <w:spacing w:line="200" w:lineRule="exact"/>
              <w:ind w:left="57"/>
              <w:rPr>
                <w:sz w:val="18"/>
                <w:szCs w:val="20"/>
              </w:rPr>
            </w:pPr>
          </w:p>
        </w:tc>
      </w:tr>
      <w:tr w:rsidR="00473B27" w:rsidRPr="0097675E" w14:paraId="1D18FE2E" w14:textId="77777777" w:rsidTr="00A27D0C">
        <w:tc>
          <w:tcPr>
            <w:tcW w:w="2127" w:type="dxa"/>
            <w:vAlign w:val="bottom"/>
          </w:tcPr>
          <w:p w14:paraId="4C969C3B"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סה"כ הכנסות מחיצוניים</w:t>
            </w:r>
          </w:p>
        </w:tc>
        <w:tc>
          <w:tcPr>
            <w:tcW w:w="113" w:type="dxa"/>
          </w:tcPr>
          <w:p w14:paraId="48F466F0"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631DE76B" w14:textId="77777777" w:rsidR="00473B27" w:rsidRPr="0097675E" w:rsidRDefault="00473B27" w:rsidP="00A27D0C">
            <w:pPr>
              <w:tabs>
                <w:tab w:val="decimal" w:pos="113"/>
              </w:tabs>
              <w:spacing w:line="200" w:lineRule="exact"/>
              <w:ind w:left="57"/>
              <w:rPr>
                <w:sz w:val="18"/>
                <w:szCs w:val="20"/>
              </w:rPr>
            </w:pPr>
          </w:p>
        </w:tc>
        <w:tc>
          <w:tcPr>
            <w:tcW w:w="140" w:type="dxa"/>
          </w:tcPr>
          <w:p w14:paraId="0D43D2BC"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7DF8281F" w14:textId="77777777" w:rsidR="00473B27" w:rsidRPr="0097675E" w:rsidRDefault="00473B27" w:rsidP="00A27D0C">
            <w:pPr>
              <w:tabs>
                <w:tab w:val="decimal" w:pos="113"/>
              </w:tabs>
              <w:spacing w:line="200" w:lineRule="exact"/>
              <w:ind w:left="57"/>
              <w:rPr>
                <w:sz w:val="18"/>
                <w:szCs w:val="20"/>
              </w:rPr>
            </w:pPr>
          </w:p>
        </w:tc>
        <w:tc>
          <w:tcPr>
            <w:tcW w:w="140" w:type="dxa"/>
          </w:tcPr>
          <w:p w14:paraId="3428257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3316DBF" w14:textId="77777777" w:rsidR="00473B27" w:rsidRPr="0097675E" w:rsidRDefault="00473B27" w:rsidP="00A27D0C">
            <w:pPr>
              <w:tabs>
                <w:tab w:val="decimal" w:pos="113"/>
              </w:tabs>
              <w:spacing w:line="200" w:lineRule="exact"/>
              <w:ind w:left="57"/>
              <w:rPr>
                <w:sz w:val="18"/>
                <w:szCs w:val="20"/>
              </w:rPr>
            </w:pPr>
          </w:p>
        </w:tc>
        <w:tc>
          <w:tcPr>
            <w:tcW w:w="140" w:type="dxa"/>
          </w:tcPr>
          <w:p w14:paraId="1A4BD80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AAA913A" w14:textId="77777777" w:rsidR="00473B27" w:rsidRPr="0097675E" w:rsidRDefault="00473B27" w:rsidP="00A27D0C">
            <w:pPr>
              <w:tabs>
                <w:tab w:val="decimal" w:pos="113"/>
              </w:tabs>
              <w:spacing w:line="200" w:lineRule="exact"/>
              <w:ind w:left="57"/>
              <w:rPr>
                <w:sz w:val="18"/>
                <w:szCs w:val="20"/>
              </w:rPr>
            </w:pPr>
          </w:p>
        </w:tc>
        <w:tc>
          <w:tcPr>
            <w:tcW w:w="140" w:type="dxa"/>
          </w:tcPr>
          <w:p w14:paraId="2C92605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687F17C" w14:textId="77777777" w:rsidR="00473B27" w:rsidRPr="0097675E" w:rsidRDefault="00473B27" w:rsidP="00A27D0C">
            <w:pPr>
              <w:tabs>
                <w:tab w:val="decimal" w:pos="113"/>
              </w:tabs>
              <w:spacing w:line="200" w:lineRule="exact"/>
              <w:ind w:left="57"/>
              <w:rPr>
                <w:sz w:val="18"/>
                <w:szCs w:val="20"/>
              </w:rPr>
            </w:pPr>
          </w:p>
        </w:tc>
        <w:tc>
          <w:tcPr>
            <w:tcW w:w="110" w:type="dxa"/>
          </w:tcPr>
          <w:p w14:paraId="2847D4C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6BA88A5" w14:textId="77777777" w:rsidR="00473B27" w:rsidRPr="0097675E" w:rsidRDefault="00473B27" w:rsidP="00A27D0C">
            <w:pPr>
              <w:tabs>
                <w:tab w:val="decimal" w:pos="113"/>
              </w:tabs>
              <w:spacing w:line="200" w:lineRule="exact"/>
              <w:ind w:left="57"/>
              <w:rPr>
                <w:sz w:val="18"/>
                <w:szCs w:val="20"/>
              </w:rPr>
            </w:pPr>
          </w:p>
        </w:tc>
      </w:tr>
      <w:tr w:rsidR="00473B27" w:rsidRPr="0097675E" w14:paraId="147239EC" w14:textId="77777777" w:rsidTr="00A27D0C">
        <w:tc>
          <w:tcPr>
            <w:tcW w:w="2127" w:type="dxa"/>
            <w:vAlign w:val="bottom"/>
          </w:tcPr>
          <w:p w14:paraId="62DBF530" w14:textId="77777777" w:rsidR="00473B27" w:rsidRPr="00473B27" w:rsidRDefault="00473B27" w:rsidP="00A27D0C">
            <w:pPr>
              <w:pStyle w:val="a3"/>
              <w:tabs>
                <w:tab w:val="left" w:pos="227"/>
                <w:tab w:val="left" w:pos="397"/>
                <w:tab w:val="left" w:pos="567"/>
              </w:tabs>
              <w:spacing w:line="180" w:lineRule="exact"/>
              <w:rPr>
                <w:b/>
                <w:bCs/>
                <w:sz w:val="18"/>
                <w:szCs w:val="18"/>
                <w:rtl/>
              </w:rPr>
            </w:pPr>
          </w:p>
        </w:tc>
        <w:tc>
          <w:tcPr>
            <w:tcW w:w="113" w:type="dxa"/>
          </w:tcPr>
          <w:p w14:paraId="2B5A2168"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3BC06CFF" w14:textId="77777777" w:rsidR="00473B27" w:rsidRPr="0097675E" w:rsidRDefault="00473B27" w:rsidP="00A27D0C">
            <w:pPr>
              <w:tabs>
                <w:tab w:val="decimal" w:pos="113"/>
              </w:tabs>
              <w:spacing w:line="200" w:lineRule="exact"/>
              <w:ind w:left="57"/>
              <w:rPr>
                <w:sz w:val="18"/>
                <w:szCs w:val="20"/>
              </w:rPr>
            </w:pPr>
          </w:p>
        </w:tc>
        <w:tc>
          <w:tcPr>
            <w:tcW w:w="140" w:type="dxa"/>
          </w:tcPr>
          <w:p w14:paraId="602240C9"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1D1C4A2B" w14:textId="77777777" w:rsidR="00473B27" w:rsidRPr="0097675E" w:rsidRDefault="00473B27" w:rsidP="00A27D0C">
            <w:pPr>
              <w:tabs>
                <w:tab w:val="decimal" w:pos="113"/>
              </w:tabs>
              <w:spacing w:line="200" w:lineRule="exact"/>
              <w:ind w:left="57"/>
              <w:rPr>
                <w:sz w:val="18"/>
                <w:szCs w:val="20"/>
              </w:rPr>
            </w:pPr>
          </w:p>
        </w:tc>
        <w:tc>
          <w:tcPr>
            <w:tcW w:w="140" w:type="dxa"/>
          </w:tcPr>
          <w:p w14:paraId="615623B8"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0A52A5A" w14:textId="77777777" w:rsidR="00473B27" w:rsidRPr="0097675E" w:rsidRDefault="00473B27" w:rsidP="00A27D0C">
            <w:pPr>
              <w:tabs>
                <w:tab w:val="decimal" w:pos="113"/>
              </w:tabs>
              <w:spacing w:line="200" w:lineRule="exact"/>
              <w:ind w:left="57"/>
              <w:rPr>
                <w:sz w:val="18"/>
                <w:szCs w:val="20"/>
              </w:rPr>
            </w:pPr>
          </w:p>
        </w:tc>
        <w:tc>
          <w:tcPr>
            <w:tcW w:w="140" w:type="dxa"/>
          </w:tcPr>
          <w:p w14:paraId="1B5696BD"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3E1948B" w14:textId="77777777" w:rsidR="00473B27" w:rsidRPr="0097675E" w:rsidRDefault="00473B27" w:rsidP="00A27D0C">
            <w:pPr>
              <w:tabs>
                <w:tab w:val="decimal" w:pos="113"/>
              </w:tabs>
              <w:spacing w:line="200" w:lineRule="exact"/>
              <w:ind w:left="57"/>
              <w:rPr>
                <w:sz w:val="18"/>
                <w:szCs w:val="20"/>
              </w:rPr>
            </w:pPr>
          </w:p>
        </w:tc>
        <w:tc>
          <w:tcPr>
            <w:tcW w:w="140" w:type="dxa"/>
          </w:tcPr>
          <w:p w14:paraId="600C8810"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5BCCB968" w14:textId="77777777" w:rsidR="00473B27" w:rsidRPr="0097675E" w:rsidRDefault="00473B27" w:rsidP="00A27D0C">
            <w:pPr>
              <w:tabs>
                <w:tab w:val="decimal" w:pos="113"/>
              </w:tabs>
              <w:spacing w:line="200" w:lineRule="exact"/>
              <w:ind w:left="57"/>
              <w:rPr>
                <w:sz w:val="18"/>
                <w:szCs w:val="20"/>
              </w:rPr>
            </w:pPr>
          </w:p>
        </w:tc>
        <w:tc>
          <w:tcPr>
            <w:tcW w:w="110" w:type="dxa"/>
          </w:tcPr>
          <w:p w14:paraId="57F1C4B0"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1138214" w14:textId="77777777" w:rsidR="00473B27" w:rsidRPr="0097675E" w:rsidRDefault="00473B27" w:rsidP="00A27D0C">
            <w:pPr>
              <w:tabs>
                <w:tab w:val="decimal" w:pos="113"/>
              </w:tabs>
              <w:spacing w:line="200" w:lineRule="exact"/>
              <w:ind w:left="57"/>
              <w:rPr>
                <w:sz w:val="18"/>
                <w:szCs w:val="20"/>
              </w:rPr>
            </w:pPr>
          </w:p>
        </w:tc>
      </w:tr>
      <w:tr w:rsidR="00473B27" w:rsidRPr="0097675E" w14:paraId="3E04E9FD" w14:textId="77777777" w:rsidTr="00A27D0C">
        <w:tc>
          <w:tcPr>
            <w:tcW w:w="2127" w:type="dxa"/>
            <w:vAlign w:val="bottom"/>
          </w:tcPr>
          <w:p w14:paraId="7D24C190" w14:textId="77777777" w:rsidR="00473B27" w:rsidRPr="00473B27" w:rsidRDefault="00473B27" w:rsidP="00A27D0C">
            <w:pPr>
              <w:pStyle w:val="a3"/>
              <w:tabs>
                <w:tab w:val="left" w:pos="227"/>
                <w:tab w:val="left" w:pos="397"/>
                <w:tab w:val="left" w:pos="567"/>
              </w:tabs>
              <w:spacing w:line="180" w:lineRule="exact"/>
              <w:rPr>
                <w:b/>
                <w:bCs/>
                <w:sz w:val="18"/>
                <w:szCs w:val="18"/>
                <w:rtl/>
              </w:rPr>
            </w:pPr>
            <w:r>
              <w:rPr>
                <w:rFonts w:hint="cs"/>
                <w:b/>
                <w:bCs/>
                <w:sz w:val="18"/>
                <w:szCs w:val="18"/>
                <w:rtl/>
              </w:rPr>
              <w:t>פילוח לפי קווי מוצר/שירות:</w:t>
            </w:r>
          </w:p>
        </w:tc>
        <w:tc>
          <w:tcPr>
            <w:tcW w:w="113" w:type="dxa"/>
          </w:tcPr>
          <w:p w14:paraId="06229F50"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7946660C" w14:textId="77777777" w:rsidR="00473B27" w:rsidRPr="0097675E" w:rsidRDefault="00473B27" w:rsidP="00A27D0C">
            <w:pPr>
              <w:tabs>
                <w:tab w:val="decimal" w:pos="113"/>
              </w:tabs>
              <w:spacing w:line="200" w:lineRule="exact"/>
              <w:ind w:left="57"/>
              <w:rPr>
                <w:sz w:val="18"/>
                <w:szCs w:val="20"/>
              </w:rPr>
            </w:pPr>
          </w:p>
        </w:tc>
        <w:tc>
          <w:tcPr>
            <w:tcW w:w="140" w:type="dxa"/>
          </w:tcPr>
          <w:p w14:paraId="1CC5DE16"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6DE5B20E" w14:textId="77777777" w:rsidR="00473B27" w:rsidRPr="0097675E" w:rsidRDefault="00473B27" w:rsidP="00A27D0C">
            <w:pPr>
              <w:tabs>
                <w:tab w:val="decimal" w:pos="113"/>
              </w:tabs>
              <w:spacing w:line="200" w:lineRule="exact"/>
              <w:ind w:left="57"/>
              <w:rPr>
                <w:sz w:val="18"/>
                <w:szCs w:val="20"/>
              </w:rPr>
            </w:pPr>
          </w:p>
        </w:tc>
        <w:tc>
          <w:tcPr>
            <w:tcW w:w="140" w:type="dxa"/>
          </w:tcPr>
          <w:p w14:paraId="1FECA88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50A8DDF" w14:textId="77777777" w:rsidR="00473B27" w:rsidRPr="0097675E" w:rsidRDefault="00473B27" w:rsidP="00A27D0C">
            <w:pPr>
              <w:tabs>
                <w:tab w:val="decimal" w:pos="113"/>
              </w:tabs>
              <w:spacing w:line="200" w:lineRule="exact"/>
              <w:ind w:left="57"/>
              <w:rPr>
                <w:sz w:val="18"/>
                <w:szCs w:val="20"/>
              </w:rPr>
            </w:pPr>
          </w:p>
        </w:tc>
        <w:tc>
          <w:tcPr>
            <w:tcW w:w="140" w:type="dxa"/>
          </w:tcPr>
          <w:p w14:paraId="10F198C1"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F7DD771" w14:textId="77777777" w:rsidR="00473B27" w:rsidRPr="0097675E" w:rsidRDefault="00473B27" w:rsidP="00A27D0C">
            <w:pPr>
              <w:tabs>
                <w:tab w:val="decimal" w:pos="113"/>
              </w:tabs>
              <w:spacing w:line="200" w:lineRule="exact"/>
              <w:ind w:left="57"/>
              <w:rPr>
                <w:sz w:val="18"/>
                <w:szCs w:val="20"/>
              </w:rPr>
            </w:pPr>
          </w:p>
        </w:tc>
        <w:tc>
          <w:tcPr>
            <w:tcW w:w="140" w:type="dxa"/>
          </w:tcPr>
          <w:p w14:paraId="39BECDC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7E979A6" w14:textId="77777777" w:rsidR="00473B27" w:rsidRPr="0097675E" w:rsidRDefault="00473B27" w:rsidP="00A27D0C">
            <w:pPr>
              <w:tabs>
                <w:tab w:val="decimal" w:pos="113"/>
              </w:tabs>
              <w:spacing w:line="200" w:lineRule="exact"/>
              <w:ind w:left="57"/>
              <w:rPr>
                <w:sz w:val="18"/>
                <w:szCs w:val="20"/>
              </w:rPr>
            </w:pPr>
          </w:p>
        </w:tc>
        <w:tc>
          <w:tcPr>
            <w:tcW w:w="110" w:type="dxa"/>
          </w:tcPr>
          <w:p w14:paraId="02ECC92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0ED633D" w14:textId="77777777" w:rsidR="00473B27" w:rsidRPr="0097675E" w:rsidRDefault="00473B27" w:rsidP="00A27D0C">
            <w:pPr>
              <w:tabs>
                <w:tab w:val="decimal" w:pos="113"/>
              </w:tabs>
              <w:spacing w:line="200" w:lineRule="exact"/>
              <w:ind w:left="57"/>
              <w:rPr>
                <w:sz w:val="18"/>
                <w:szCs w:val="20"/>
              </w:rPr>
            </w:pPr>
          </w:p>
        </w:tc>
      </w:tr>
      <w:tr w:rsidR="00473B27" w:rsidRPr="0097675E" w14:paraId="642A5B76" w14:textId="77777777" w:rsidTr="00A27D0C">
        <w:tc>
          <w:tcPr>
            <w:tcW w:w="2127" w:type="dxa"/>
            <w:vAlign w:val="bottom"/>
          </w:tcPr>
          <w:p w14:paraId="5D915CAF"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ציוד כיבוי למפעלים גדולים</w:t>
            </w:r>
          </w:p>
        </w:tc>
        <w:tc>
          <w:tcPr>
            <w:tcW w:w="113" w:type="dxa"/>
          </w:tcPr>
          <w:p w14:paraId="2C9D943F"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344CF33A" w14:textId="77777777" w:rsidR="00473B27" w:rsidRPr="0097675E" w:rsidRDefault="00473B27" w:rsidP="00A27D0C">
            <w:pPr>
              <w:tabs>
                <w:tab w:val="decimal" w:pos="113"/>
              </w:tabs>
              <w:spacing w:line="200" w:lineRule="exact"/>
              <w:ind w:left="57"/>
              <w:rPr>
                <w:sz w:val="18"/>
                <w:szCs w:val="20"/>
              </w:rPr>
            </w:pPr>
          </w:p>
        </w:tc>
        <w:tc>
          <w:tcPr>
            <w:tcW w:w="140" w:type="dxa"/>
          </w:tcPr>
          <w:p w14:paraId="071BD6B5"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5208A10A" w14:textId="77777777" w:rsidR="00473B27" w:rsidRPr="0097675E" w:rsidRDefault="00473B27" w:rsidP="00A27D0C">
            <w:pPr>
              <w:tabs>
                <w:tab w:val="decimal" w:pos="113"/>
              </w:tabs>
              <w:spacing w:line="200" w:lineRule="exact"/>
              <w:ind w:left="57"/>
              <w:rPr>
                <w:sz w:val="18"/>
                <w:szCs w:val="20"/>
              </w:rPr>
            </w:pPr>
          </w:p>
        </w:tc>
        <w:tc>
          <w:tcPr>
            <w:tcW w:w="140" w:type="dxa"/>
          </w:tcPr>
          <w:p w14:paraId="3016DAD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7D56A20" w14:textId="77777777" w:rsidR="00473B27" w:rsidRPr="0097675E" w:rsidRDefault="00473B27" w:rsidP="00A27D0C">
            <w:pPr>
              <w:tabs>
                <w:tab w:val="decimal" w:pos="113"/>
              </w:tabs>
              <w:spacing w:line="200" w:lineRule="exact"/>
              <w:ind w:left="57"/>
              <w:rPr>
                <w:sz w:val="18"/>
                <w:szCs w:val="20"/>
              </w:rPr>
            </w:pPr>
          </w:p>
        </w:tc>
        <w:tc>
          <w:tcPr>
            <w:tcW w:w="140" w:type="dxa"/>
          </w:tcPr>
          <w:p w14:paraId="5155448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F331FCC" w14:textId="77777777" w:rsidR="00473B27" w:rsidRPr="0097675E" w:rsidRDefault="00473B27" w:rsidP="00A27D0C">
            <w:pPr>
              <w:tabs>
                <w:tab w:val="decimal" w:pos="113"/>
              </w:tabs>
              <w:spacing w:line="200" w:lineRule="exact"/>
              <w:ind w:left="57"/>
              <w:rPr>
                <w:sz w:val="18"/>
                <w:szCs w:val="20"/>
              </w:rPr>
            </w:pPr>
          </w:p>
        </w:tc>
        <w:tc>
          <w:tcPr>
            <w:tcW w:w="140" w:type="dxa"/>
          </w:tcPr>
          <w:p w14:paraId="7757C1C1"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CB0F17C" w14:textId="77777777" w:rsidR="00473B27" w:rsidRPr="0097675E" w:rsidRDefault="00473B27" w:rsidP="00A27D0C">
            <w:pPr>
              <w:tabs>
                <w:tab w:val="decimal" w:pos="113"/>
              </w:tabs>
              <w:spacing w:line="200" w:lineRule="exact"/>
              <w:ind w:left="57"/>
              <w:rPr>
                <w:sz w:val="18"/>
                <w:szCs w:val="20"/>
              </w:rPr>
            </w:pPr>
          </w:p>
        </w:tc>
        <w:tc>
          <w:tcPr>
            <w:tcW w:w="110" w:type="dxa"/>
          </w:tcPr>
          <w:p w14:paraId="2B2D234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DB0012F" w14:textId="77777777" w:rsidR="00473B27" w:rsidRPr="0097675E" w:rsidRDefault="00473B27" w:rsidP="00A27D0C">
            <w:pPr>
              <w:tabs>
                <w:tab w:val="decimal" w:pos="113"/>
              </w:tabs>
              <w:spacing w:line="200" w:lineRule="exact"/>
              <w:ind w:left="57"/>
              <w:rPr>
                <w:sz w:val="18"/>
                <w:szCs w:val="20"/>
              </w:rPr>
            </w:pPr>
          </w:p>
        </w:tc>
      </w:tr>
      <w:tr w:rsidR="00473B27" w:rsidRPr="0097675E" w14:paraId="400B48C6" w14:textId="77777777" w:rsidTr="00A27D0C">
        <w:tc>
          <w:tcPr>
            <w:tcW w:w="2127" w:type="dxa"/>
            <w:vAlign w:val="bottom"/>
          </w:tcPr>
          <w:p w14:paraId="4803B394"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ממכירות ציוד כיבוי לעסקים קטנים</w:t>
            </w:r>
          </w:p>
        </w:tc>
        <w:tc>
          <w:tcPr>
            <w:tcW w:w="113" w:type="dxa"/>
          </w:tcPr>
          <w:p w14:paraId="510D1C51"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7F042A4F" w14:textId="77777777" w:rsidR="00473B27" w:rsidRPr="0097675E" w:rsidRDefault="00473B27" w:rsidP="00A27D0C">
            <w:pPr>
              <w:tabs>
                <w:tab w:val="decimal" w:pos="113"/>
              </w:tabs>
              <w:spacing w:line="200" w:lineRule="exact"/>
              <w:ind w:left="57"/>
              <w:rPr>
                <w:sz w:val="18"/>
                <w:szCs w:val="20"/>
              </w:rPr>
            </w:pPr>
          </w:p>
        </w:tc>
        <w:tc>
          <w:tcPr>
            <w:tcW w:w="140" w:type="dxa"/>
          </w:tcPr>
          <w:p w14:paraId="5DD82590"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4825F1BC" w14:textId="77777777" w:rsidR="00473B27" w:rsidRPr="0097675E" w:rsidRDefault="00473B27" w:rsidP="00A27D0C">
            <w:pPr>
              <w:tabs>
                <w:tab w:val="decimal" w:pos="113"/>
              </w:tabs>
              <w:spacing w:line="200" w:lineRule="exact"/>
              <w:ind w:left="57"/>
              <w:rPr>
                <w:sz w:val="18"/>
                <w:szCs w:val="20"/>
              </w:rPr>
            </w:pPr>
          </w:p>
        </w:tc>
        <w:tc>
          <w:tcPr>
            <w:tcW w:w="140" w:type="dxa"/>
          </w:tcPr>
          <w:p w14:paraId="72B78CC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6A02262" w14:textId="77777777" w:rsidR="00473B27" w:rsidRPr="0097675E" w:rsidRDefault="00473B27" w:rsidP="00A27D0C">
            <w:pPr>
              <w:tabs>
                <w:tab w:val="decimal" w:pos="113"/>
              </w:tabs>
              <w:spacing w:line="200" w:lineRule="exact"/>
              <w:ind w:left="57"/>
              <w:rPr>
                <w:sz w:val="18"/>
                <w:szCs w:val="20"/>
              </w:rPr>
            </w:pPr>
          </w:p>
        </w:tc>
        <w:tc>
          <w:tcPr>
            <w:tcW w:w="140" w:type="dxa"/>
          </w:tcPr>
          <w:p w14:paraId="4853C1B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03BB1EB" w14:textId="77777777" w:rsidR="00473B27" w:rsidRPr="0097675E" w:rsidRDefault="00473B27" w:rsidP="00A27D0C">
            <w:pPr>
              <w:tabs>
                <w:tab w:val="decimal" w:pos="113"/>
              </w:tabs>
              <w:spacing w:line="200" w:lineRule="exact"/>
              <w:ind w:left="57"/>
              <w:rPr>
                <w:sz w:val="18"/>
                <w:szCs w:val="20"/>
              </w:rPr>
            </w:pPr>
          </w:p>
        </w:tc>
        <w:tc>
          <w:tcPr>
            <w:tcW w:w="140" w:type="dxa"/>
          </w:tcPr>
          <w:p w14:paraId="1D256AC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F7EF990" w14:textId="77777777" w:rsidR="00473B27" w:rsidRPr="0097675E" w:rsidRDefault="00473B27" w:rsidP="00A27D0C">
            <w:pPr>
              <w:tabs>
                <w:tab w:val="decimal" w:pos="113"/>
              </w:tabs>
              <w:spacing w:line="200" w:lineRule="exact"/>
              <w:ind w:left="57"/>
              <w:rPr>
                <w:sz w:val="18"/>
                <w:szCs w:val="20"/>
              </w:rPr>
            </w:pPr>
          </w:p>
        </w:tc>
        <w:tc>
          <w:tcPr>
            <w:tcW w:w="110" w:type="dxa"/>
          </w:tcPr>
          <w:p w14:paraId="0538E0E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218E4B8" w14:textId="77777777" w:rsidR="00473B27" w:rsidRPr="0097675E" w:rsidRDefault="00473B27" w:rsidP="00A27D0C">
            <w:pPr>
              <w:tabs>
                <w:tab w:val="decimal" w:pos="113"/>
              </w:tabs>
              <w:spacing w:line="200" w:lineRule="exact"/>
              <w:ind w:left="57"/>
              <w:rPr>
                <w:sz w:val="18"/>
                <w:szCs w:val="20"/>
              </w:rPr>
            </w:pPr>
          </w:p>
        </w:tc>
      </w:tr>
      <w:tr w:rsidR="00473B27" w:rsidRPr="0097675E" w14:paraId="5599891B" w14:textId="77777777" w:rsidTr="00A27D0C">
        <w:tc>
          <w:tcPr>
            <w:tcW w:w="2127" w:type="dxa"/>
            <w:vAlign w:val="bottom"/>
          </w:tcPr>
          <w:p w14:paraId="0BF3BD5B"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מביצוע התקנת ציוד כיבוי</w:t>
            </w:r>
          </w:p>
        </w:tc>
        <w:tc>
          <w:tcPr>
            <w:tcW w:w="113" w:type="dxa"/>
          </w:tcPr>
          <w:p w14:paraId="20B41557"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37A376CF" w14:textId="77777777" w:rsidR="00473B27" w:rsidRPr="0097675E" w:rsidRDefault="00473B27" w:rsidP="00A27D0C">
            <w:pPr>
              <w:tabs>
                <w:tab w:val="decimal" w:pos="113"/>
              </w:tabs>
              <w:spacing w:line="200" w:lineRule="exact"/>
              <w:ind w:left="57"/>
              <w:rPr>
                <w:sz w:val="18"/>
                <w:szCs w:val="20"/>
              </w:rPr>
            </w:pPr>
          </w:p>
        </w:tc>
        <w:tc>
          <w:tcPr>
            <w:tcW w:w="140" w:type="dxa"/>
          </w:tcPr>
          <w:p w14:paraId="1511B2A0"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62FE6C47" w14:textId="77777777" w:rsidR="00473B27" w:rsidRPr="0097675E" w:rsidRDefault="00473B27" w:rsidP="00A27D0C">
            <w:pPr>
              <w:tabs>
                <w:tab w:val="decimal" w:pos="113"/>
              </w:tabs>
              <w:spacing w:line="200" w:lineRule="exact"/>
              <w:ind w:left="57"/>
              <w:rPr>
                <w:sz w:val="18"/>
                <w:szCs w:val="20"/>
              </w:rPr>
            </w:pPr>
          </w:p>
        </w:tc>
        <w:tc>
          <w:tcPr>
            <w:tcW w:w="140" w:type="dxa"/>
          </w:tcPr>
          <w:p w14:paraId="558CDCE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804309D" w14:textId="77777777" w:rsidR="00473B27" w:rsidRPr="0097675E" w:rsidRDefault="00473B27" w:rsidP="00A27D0C">
            <w:pPr>
              <w:tabs>
                <w:tab w:val="decimal" w:pos="113"/>
              </w:tabs>
              <w:spacing w:line="200" w:lineRule="exact"/>
              <w:ind w:left="57"/>
              <w:rPr>
                <w:sz w:val="18"/>
                <w:szCs w:val="20"/>
              </w:rPr>
            </w:pPr>
          </w:p>
        </w:tc>
        <w:tc>
          <w:tcPr>
            <w:tcW w:w="140" w:type="dxa"/>
          </w:tcPr>
          <w:p w14:paraId="73C9B99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CE0FB45" w14:textId="77777777" w:rsidR="00473B27" w:rsidRPr="0097675E" w:rsidRDefault="00473B27" w:rsidP="00A27D0C">
            <w:pPr>
              <w:tabs>
                <w:tab w:val="decimal" w:pos="113"/>
              </w:tabs>
              <w:spacing w:line="200" w:lineRule="exact"/>
              <w:ind w:left="57"/>
              <w:rPr>
                <w:sz w:val="18"/>
                <w:szCs w:val="20"/>
              </w:rPr>
            </w:pPr>
          </w:p>
        </w:tc>
        <w:tc>
          <w:tcPr>
            <w:tcW w:w="140" w:type="dxa"/>
          </w:tcPr>
          <w:p w14:paraId="7E1448D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B3AC0C8" w14:textId="77777777" w:rsidR="00473B27" w:rsidRPr="0097675E" w:rsidRDefault="00473B27" w:rsidP="00A27D0C">
            <w:pPr>
              <w:tabs>
                <w:tab w:val="decimal" w:pos="113"/>
              </w:tabs>
              <w:spacing w:line="200" w:lineRule="exact"/>
              <w:ind w:left="57"/>
              <w:rPr>
                <w:sz w:val="18"/>
                <w:szCs w:val="20"/>
              </w:rPr>
            </w:pPr>
          </w:p>
        </w:tc>
        <w:tc>
          <w:tcPr>
            <w:tcW w:w="110" w:type="dxa"/>
          </w:tcPr>
          <w:p w14:paraId="4802BBD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BED9C7F" w14:textId="77777777" w:rsidR="00473B27" w:rsidRPr="0097675E" w:rsidRDefault="00473B27" w:rsidP="00A27D0C">
            <w:pPr>
              <w:tabs>
                <w:tab w:val="decimal" w:pos="113"/>
              </w:tabs>
              <w:spacing w:line="200" w:lineRule="exact"/>
              <w:ind w:left="57"/>
              <w:rPr>
                <w:sz w:val="18"/>
                <w:szCs w:val="20"/>
              </w:rPr>
            </w:pPr>
          </w:p>
        </w:tc>
      </w:tr>
      <w:tr w:rsidR="00473B27" w:rsidRPr="0097675E" w14:paraId="67F46BD9" w14:textId="77777777" w:rsidTr="00A27D0C">
        <w:tc>
          <w:tcPr>
            <w:tcW w:w="2127" w:type="dxa"/>
            <w:vAlign w:val="bottom"/>
          </w:tcPr>
          <w:p w14:paraId="7E2DA9E5"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מביצוע עבודות אלקטרוניקה</w:t>
            </w:r>
          </w:p>
        </w:tc>
        <w:tc>
          <w:tcPr>
            <w:tcW w:w="113" w:type="dxa"/>
          </w:tcPr>
          <w:p w14:paraId="38DBB545"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5FC5F44D" w14:textId="77777777" w:rsidR="00473B27" w:rsidRPr="0097675E" w:rsidRDefault="00473B27" w:rsidP="00A27D0C">
            <w:pPr>
              <w:tabs>
                <w:tab w:val="decimal" w:pos="113"/>
              </w:tabs>
              <w:spacing w:line="200" w:lineRule="exact"/>
              <w:ind w:left="57"/>
              <w:rPr>
                <w:sz w:val="18"/>
                <w:szCs w:val="20"/>
              </w:rPr>
            </w:pPr>
          </w:p>
        </w:tc>
        <w:tc>
          <w:tcPr>
            <w:tcW w:w="140" w:type="dxa"/>
          </w:tcPr>
          <w:p w14:paraId="483A1ED1"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78BD0087" w14:textId="77777777" w:rsidR="00473B27" w:rsidRPr="0097675E" w:rsidRDefault="00473B27" w:rsidP="00A27D0C">
            <w:pPr>
              <w:tabs>
                <w:tab w:val="decimal" w:pos="113"/>
              </w:tabs>
              <w:spacing w:line="200" w:lineRule="exact"/>
              <w:ind w:left="57"/>
              <w:rPr>
                <w:sz w:val="18"/>
                <w:szCs w:val="20"/>
              </w:rPr>
            </w:pPr>
          </w:p>
        </w:tc>
        <w:tc>
          <w:tcPr>
            <w:tcW w:w="140" w:type="dxa"/>
          </w:tcPr>
          <w:p w14:paraId="05CA3BA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A5E10EA" w14:textId="77777777" w:rsidR="00473B27" w:rsidRPr="0097675E" w:rsidRDefault="00473B27" w:rsidP="00A27D0C">
            <w:pPr>
              <w:tabs>
                <w:tab w:val="decimal" w:pos="113"/>
              </w:tabs>
              <w:spacing w:line="200" w:lineRule="exact"/>
              <w:ind w:left="57"/>
              <w:rPr>
                <w:sz w:val="18"/>
                <w:szCs w:val="20"/>
              </w:rPr>
            </w:pPr>
          </w:p>
        </w:tc>
        <w:tc>
          <w:tcPr>
            <w:tcW w:w="140" w:type="dxa"/>
          </w:tcPr>
          <w:p w14:paraId="45BBA5C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AD42CD8" w14:textId="77777777" w:rsidR="00473B27" w:rsidRPr="0097675E" w:rsidRDefault="00473B27" w:rsidP="00A27D0C">
            <w:pPr>
              <w:tabs>
                <w:tab w:val="decimal" w:pos="113"/>
              </w:tabs>
              <w:spacing w:line="200" w:lineRule="exact"/>
              <w:ind w:left="57"/>
              <w:rPr>
                <w:sz w:val="18"/>
                <w:szCs w:val="20"/>
              </w:rPr>
            </w:pPr>
          </w:p>
        </w:tc>
        <w:tc>
          <w:tcPr>
            <w:tcW w:w="140" w:type="dxa"/>
          </w:tcPr>
          <w:p w14:paraId="48C93AF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AE860DC" w14:textId="77777777" w:rsidR="00473B27" w:rsidRPr="0097675E" w:rsidRDefault="00473B27" w:rsidP="00A27D0C">
            <w:pPr>
              <w:tabs>
                <w:tab w:val="decimal" w:pos="113"/>
              </w:tabs>
              <w:spacing w:line="200" w:lineRule="exact"/>
              <w:ind w:left="57"/>
              <w:rPr>
                <w:sz w:val="18"/>
                <w:szCs w:val="20"/>
              </w:rPr>
            </w:pPr>
          </w:p>
        </w:tc>
        <w:tc>
          <w:tcPr>
            <w:tcW w:w="110" w:type="dxa"/>
          </w:tcPr>
          <w:p w14:paraId="6FD8C22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99DDB56" w14:textId="77777777" w:rsidR="00473B27" w:rsidRPr="0097675E" w:rsidRDefault="00473B27" w:rsidP="00A27D0C">
            <w:pPr>
              <w:tabs>
                <w:tab w:val="decimal" w:pos="113"/>
              </w:tabs>
              <w:spacing w:line="200" w:lineRule="exact"/>
              <w:ind w:left="57"/>
              <w:rPr>
                <w:sz w:val="18"/>
                <w:szCs w:val="20"/>
              </w:rPr>
            </w:pPr>
          </w:p>
        </w:tc>
      </w:tr>
      <w:tr w:rsidR="00473B27" w:rsidRPr="0097675E" w14:paraId="41E7BF5B" w14:textId="77777777" w:rsidTr="00A27D0C">
        <w:tc>
          <w:tcPr>
            <w:tcW w:w="2127" w:type="dxa"/>
            <w:vAlign w:val="bottom"/>
          </w:tcPr>
          <w:p w14:paraId="26DA5C78"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מוצרי אלקטרוניקה</w:t>
            </w:r>
          </w:p>
        </w:tc>
        <w:tc>
          <w:tcPr>
            <w:tcW w:w="113" w:type="dxa"/>
          </w:tcPr>
          <w:p w14:paraId="221A2C01"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6116F5FB" w14:textId="77777777" w:rsidR="00473B27" w:rsidRPr="0097675E" w:rsidRDefault="00473B27" w:rsidP="00A27D0C">
            <w:pPr>
              <w:tabs>
                <w:tab w:val="decimal" w:pos="113"/>
              </w:tabs>
              <w:spacing w:line="200" w:lineRule="exact"/>
              <w:ind w:left="57"/>
              <w:rPr>
                <w:sz w:val="18"/>
                <w:szCs w:val="20"/>
              </w:rPr>
            </w:pPr>
          </w:p>
        </w:tc>
        <w:tc>
          <w:tcPr>
            <w:tcW w:w="140" w:type="dxa"/>
          </w:tcPr>
          <w:p w14:paraId="48E7934C"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770AA0C6" w14:textId="77777777" w:rsidR="00473B27" w:rsidRPr="0097675E" w:rsidRDefault="00473B27" w:rsidP="00A27D0C">
            <w:pPr>
              <w:tabs>
                <w:tab w:val="decimal" w:pos="113"/>
              </w:tabs>
              <w:spacing w:line="200" w:lineRule="exact"/>
              <w:ind w:left="57"/>
              <w:rPr>
                <w:sz w:val="18"/>
                <w:szCs w:val="20"/>
              </w:rPr>
            </w:pPr>
          </w:p>
        </w:tc>
        <w:tc>
          <w:tcPr>
            <w:tcW w:w="140" w:type="dxa"/>
          </w:tcPr>
          <w:p w14:paraId="6DC6C7C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DEB4D99" w14:textId="77777777" w:rsidR="00473B27" w:rsidRPr="0097675E" w:rsidRDefault="00473B27" w:rsidP="00A27D0C">
            <w:pPr>
              <w:tabs>
                <w:tab w:val="decimal" w:pos="113"/>
              </w:tabs>
              <w:spacing w:line="200" w:lineRule="exact"/>
              <w:ind w:left="57"/>
              <w:rPr>
                <w:sz w:val="18"/>
                <w:szCs w:val="20"/>
              </w:rPr>
            </w:pPr>
          </w:p>
        </w:tc>
        <w:tc>
          <w:tcPr>
            <w:tcW w:w="140" w:type="dxa"/>
          </w:tcPr>
          <w:p w14:paraId="470CCFD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18EE657" w14:textId="77777777" w:rsidR="00473B27" w:rsidRPr="0097675E" w:rsidRDefault="00473B27" w:rsidP="00A27D0C">
            <w:pPr>
              <w:tabs>
                <w:tab w:val="decimal" w:pos="113"/>
              </w:tabs>
              <w:spacing w:line="200" w:lineRule="exact"/>
              <w:ind w:left="57"/>
              <w:rPr>
                <w:sz w:val="18"/>
                <w:szCs w:val="20"/>
              </w:rPr>
            </w:pPr>
          </w:p>
        </w:tc>
        <w:tc>
          <w:tcPr>
            <w:tcW w:w="140" w:type="dxa"/>
          </w:tcPr>
          <w:p w14:paraId="7227730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E74515E" w14:textId="77777777" w:rsidR="00473B27" w:rsidRPr="0097675E" w:rsidRDefault="00473B27" w:rsidP="00A27D0C">
            <w:pPr>
              <w:tabs>
                <w:tab w:val="decimal" w:pos="113"/>
              </w:tabs>
              <w:spacing w:line="200" w:lineRule="exact"/>
              <w:ind w:left="57"/>
              <w:rPr>
                <w:sz w:val="18"/>
                <w:szCs w:val="20"/>
              </w:rPr>
            </w:pPr>
          </w:p>
        </w:tc>
        <w:tc>
          <w:tcPr>
            <w:tcW w:w="110" w:type="dxa"/>
          </w:tcPr>
          <w:p w14:paraId="7F62792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FCEF707" w14:textId="77777777" w:rsidR="00473B27" w:rsidRPr="0097675E" w:rsidRDefault="00473B27" w:rsidP="00A27D0C">
            <w:pPr>
              <w:tabs>
                <w:tab w:val="decimal" w:pos="113"/>
              </w:tabs>
              <w:spacing w:line="200" w:lineRule="exact"/>
              <w:ind w:left="57"/>
              <w:rPr>
                <w:sz w:val="18"/>
                <w:szCs w:val="20"/>
              </w:rPr>
            </w:pPr>
          </w:p>
        </w:tc>
      </w:tr>
      <w:tr w:rsidR="00473B27" w:rsidRPr="0097675E" w14:paraId="53B96F29" w14:textId="77777777" w:rsidTr="00A27D0C">
        <w:tc>
          <w:tcPr>
            <w:tcW w:w="2127" w:type="dxa"/>
            <w:vAlign w:val="bottom"/>
          </w:tcPr>
          <w:p w14:paraId="72A4CA9D"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משרדים</w:t>
            </w:r>
          </w:p>
        </w:tc>
        <w:tc>
          <w:tcPr>
            <w:tcW w:w="113" w:type="dxa"/>
          </w:tcPr>
          <w:p w14:paraId="36FDF0F5"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4711ADA9" w14:textId="77777777" w:rsidR="00473B27" w:rsidRPr="0097675E" w:rsidRDefault="00473B27" w:rsidP="00A27D0C">
            <w:pPr>
              <w:tabs>
                <w:tab w:val="decimal" w:pos="113"/>
              </w:tabs>
              <w:spacing w:line="200" w:lineRule="exact"/>
              <w:ind w:left="57"/>
              <w:rPr>
                <w:sz w:val="18"/>
                <w:szCs w:val="20"/>
              </w:rPr>
            </w:pPr>
          </w:p>
        </w:tc>
        <w:tc>
          <w:tcPr>
            <w:tcW w:w="140" w:type="dxa"/>
          </w:tcPr>
          <w:p w14:paraId="0C401140"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10E28A76" w14:textId="77777777" w:rsidR="00473B27" w:rsidRPr="0097675E" w:rsidRDefault="00473B27" w:rsidP="00A27D0C">
            <w:pPr>
              <w:tabs>
                <w:tab w:val="decimal" w:pos="113"/>
              </w:tabs>
              <w:spacing w:line="200" w:lineRule="exact"/>
              <w:ind w:left="57"/>
              <w:rPr>
                <w:sz w:val="18"/>
                <w:szCs w:val="20"/>
              </w:rPr>
            </w:pPr>
          </w:p>
        </w:tc>
        <w:tc>
          <w:tcPr>
            <w:tcW w:w="140" w:type="dxa"/>
          </w:tcPr>
          <w:p w14:paraId="5DE68BE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0924893" w14:textId="77777777" w:rsidR="00473B27" w:rsidRPr="0097675E" w:rsidRDefault="00473B27" w:rsidP="00A27D0C">
            <w:pPr>
              <w:tabs>
                <w:tab w:val="decimal" w:pos="113"/>
              </w:tabs>
              <w:spacing w:line="200" w:lineRule="exact"/>
              <w:ind w:left="57"/>
              <w:rPr>
                <w:sz w:val="18"/>
                <w:szCs w:val="20"/>
              </w:rPr>
            </w:pPr>
          </w:p>
        </w:tc>
        <w:tc>
          <w:tcPr>
            <w:tcW w:w="140" w:type="dxa"/>
          </w:tcPr>
          <w:p w14:paraId="36F734E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4B635F3" w14:textId="77777777" w:rsidR="00473B27" w:rsidRPr="0097675E" w:rsidRDefault="00473B27" w:rsidP="00A27D0C">
            <w:pPr>
              <w:tabs>
                <w:tab w:val="decimal" w:pos="113"/>
              </w:tabs>
              <w:spacing w:line="200" w:lineRule="exact"/>
              <w:ind w:left="57"/>
              <w:rPr>
                <w:sz w:val="18"/>
                <w:szCs w:val="20"/>
              </w:rPr>
            </w:pPr>
          </w:p>
        </w:tc>
        <w:tc>
          <w:tcPr>
            <w:tcW w:w="140" w:type="dxa"/>
          </w:tcPr>
          <w:p w14:paraId="1D407A8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DAA53CE" w14:textId="77777777" w:rsidR="00473B27" w:rsidRPr="0097675E" w:rsidRDefault="00473B27" w:rsidP="00A27D0C">
            <w:pPr>
              <w:tabs>
                <w:tab w:val="decimal" w:pos="113"/>
              </w:tabs>
              <w:spacing w:line="200" w:lineRule="exact"/>
              <w:ind w:left="57"/>
              <w:rPr>
                <w:sz w:val="18"/>
                <w:szCs w:val="20"/>
              </w:rPr>
            </w:pPr>
          </w:p>
        </w:tc>
        <w:tc>
          <w:tcPr>
            <w:tcW w:w="110" w:type="dxa"/>
          </w:tcPr>
          <w:p w14:paraId="1A5DE4D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F211899" w14:textId="77777777" w:rsidR="00473B27" w:rsidRPr="0097675E" w:rsidRDefault="00473B27" w:rsidP="00A27D0C">
            <w:pPr>
              <w:tabs>
                <w:tab w:val="decimal" w:pos="113"/>
              </w:tabs>
              <w:spacing w:line="200" w:lineRule="exact"/>
              <w:ind w:left="57"/>
              <w:rPr>
                <w:sz w:val="18"/>
                <w:szCs w:val="20"/>
              </w:rPr>
            </w:pPr>
          </w:p>
        </w:tc>
      </w:tr>
      <w:tr w:rsidR="00473B27" w:rsidRPr="0097675E" w14:paraId="5B652312" w14:textId="77777777" w:rsidTr="00A27D0C">
        <w:tc>
          <w:tcPr>
            <w:tcW w:w="2127" w:type="dxa"/>
            <w:vAlign w:val="bottom"/>
          </w:tcPr>
          <w:p w14:paraId="0BEA5FF9"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דירות למגורים</w:t>
            </w:r>
          </w:p>
        </w:tc>
        <w:tc>
          <w:tcPr>
            <w:tcW w:w="113" w:type="dxa"/>
          </w:tcPr>
          <w:p w14:paraId="39709266"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2EAD1CB6" w14:textId="77777777" w:rsidR="00473B27" w:rsidRPr="0097675E" w:rsidRDefault="00473B27" w:rsidP="00A27D0C">
            <w:pPr>
              <w:tabs>
                <w:tab w:val="decimal" w:pos="113"/>
              </w:tabs>
              <w:spacing w:line="200" w:lineRule="exact"/>
              <w:ind w:left="57"/>
              <w:rPr>
                <w:sz w:val="18"/>
                <w:szCs w:val="20"/>
              </w:rPr>
            </w:pPr>
          </w:p>
        </w:tc>
        <w:tc>
          <w:tcPr>
            <w:tcW w:w="140" w:type="dxa"/>
          </w:tcPr>
          <w:p w14:paraId="42333ACC"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4263854B" w14:textId="77777777" w:rsidR="00473B27" w:rsidRPr="0097675E" w:rsidRDefault="00473B27" w:rsidP="00A27D0C">
            <w:pPr>
              <w:tabs>
                <w:tab w:val="decimal" w:pos="113"/>
              </w:tabs>
              <w:spacing w:line="200" w:lineRule="exact"/>
              <w:ind w:left="57"/>
              <w:rPr>
                <w:sz w:val="18"/>
                <w:szCs w:val="20"/>
              </w:rPr>
            </w:pPr>
          </w:p>
        </w:tc>
        <w:tc>
          <w:tcPr>
            <w:tcW w:w="140" w:type="dxa"/>
          </w:tcPr>
          <w:p w14:paraId="7EFD584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583060F3" w14:textId="77777777" w:rsidR="00473B27" w:rsidRPr="0097675E" w:rsidRDefault="00473B27" w:rsidP="00A27D0C">
            <w:pPr>
              <w:tabs>
                <w:tab w:val="decimal" w:pos="113"/>
              </w:tabs>
              <w:spacing w:line="200" w:lineRule="exact"/>
              <w:ind w:left="57"/>
              <w:rPr>
                <w:sz w:val="18"/>
                <w:szCs w:val="20"/>
              </w:rPr>
            </w:pPr>
          </w:p>
        </w:tc>
        <w:tc>
          <w:tcPr>
            <w:tcW w:w="140" w:type="dxa"/>
          </w:tcPr>
          <w:p w14:paraId="53043D4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4B0391D" w14:textId="77777777" w:rsidR="00473B27" w:rsidRPr="0097675E" w:rsidRDefault="00473B27" w:rsidP="00A27D0C">
            <w:pPr>
              <w:tabs>
                <w:tab w:val="decimal" w:pos="113"/>
              </w:tabs>
              <w:spacing w:line="200" w:lineRule="exact"/>
              <w:ind w:left="57"/>
              <w:rPr>
                <w:sz w:val="18"/>
                <w:szCs w:val="20"/>
              </w:rPr>
            </w:pPr>
          </w:p>
        </w:tc>
        <w:tc>
          <w:tcPr>
            <w:tcW w:w="140" w:type="dxa"/>
          </w:tcPr>
          <w:p w14:paraId="578C09B1"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325CA451" w14:textId="77777777" w:rsidR="00473B27" w:rsidRPr="0097675E" w:rsidRDefault="00473B27" w:rsidP="00A27D0C">
            <w:pPr>
              <w:tabs>
                <w:tab w:val="decimal" w:pos="113"/>
              </w:tabs>
              <w:spacing w:line="200" w:lineRule="exact"/>
              <w:ind w:left="57"/>
              <w:rPr>
                <w:sz w:val="18"/>
                <w:szCs w:val="20"/>
              </w:rPr>
            </w:pPr>
          </w:p>
        </w:tc>
        <w:tc>
          <w:tcPr>
            <w:tcW w:w="110" w:type="dxa"/>
          </w:tcPr>
          <w:p w14:paraId="2718892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73533D57" w14:textId="77777777" w:rsidR="00473B27" w:rsidRPr="0097675E" w:rsidRDefault="00473B27" w:rsidP="00A27D0C">
            <w:pPr>
              <w:tabs>
                <w:tab w:val="decimal" w:pos="113"/>
              </w:tabs>
              <w:spacing w:line="200" w:lineRule="exact"/>
              <w:ind w:left="57"/>
              <w:rPr>
                <w:sz w:val="18"/>
                <w:szCs w:val="20"/>
              </w:rPr>
            </w:pPr>
          </w:p>
        </w:tc>
      </w:tr>
      <w:tr w:rsidR="00473B27" w:rsidRPr="0097675E" w14:paraId="4A7D1E5B" w14:textId="77777777" w:rsidTr="00A27D0C">
        <w:tc>
          <w:tcPr>
            <w:tcW w:w="2127" w:type="dxa"/>
            <w:vAlign w:val="bottom"/>
          </w:tcPr>
          <w:p w14:paraId="51FF5C1B" w14:textId="77777777" w:rsidR="00473B27" w:rsidRPr="00473B27" w:rsidRDefault="00473B27" w:rsidP="00A27D0C">
            <w:pPr>
              <w:pStyle w:val="a3"/>
              <w:tabs>
                <w:tab w:val="left" w:pos="227"/>
                <w:tab w:val="left" w:pos="397"/>
                <w:tab w:val="left" w:pos="567"/>
              </w:tabs>
              <w:spacing w:line="180" w:lineRule="exact"/>
              <w:rPr>
                <w:b/>
                <w:bCs/>
                <w:sz w:val="18"/>
                <w:szCs w:val="18"/>
                <w:rtl/>
              </w:rPr>
            </w:pPr>
          </w:p>
        </w:tc>
        <w:tc>
          <w:tcPr>
            <w:tcW w:w="113" w:type="dxa"/>
          </w:tcPr>
          <w:p w14:paraId="4C7D473B"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7D2290F3" w14:textId="77777777" w:rsidR="00473B27" w:rsidRPr="0097675E" w:rsidRDefault="00473B27" w:rsidP="00A27D0C">
            <w:pPr>
              <w:tabs>
                <w:tab w:val="decimal" w:pos="113"/>
              </w:tabs>
              <w:spacing w:line="200" w:lineRule="exact"/>
              <w:ind w:left="57"/>
              <w:rPr>
                <w:sz w:val="18"/>
                <w:szCs w:val="20"/>
              </w:rPr>
            </w:pPr>
          </w:p>
        </w:tc>
        <w:tc>
          <w:tcPr>
            <w:tcW w:w="140" w:type="dxa"/>
          </w:tcPr>
          <w:p w14:paraId="321FB769"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05CBF7D0" w14:textId="77777777" w:rsidR="00473B27" w:rsidRPr="0097675E" w:rsidRDefault="00473B27" w:rsidP="00A27D0C">
            <w:pPr>
              <w:tabs>
                <w:tab w:val="decimal" w:pos="113"/>
              </w:tabs>
              <w:spacing w:line="200" w:lineRule="exact"/>
              <w:ind w:left="57"/>
              <w:rPr>
                <w:sz w:val="18"/>
                <w:szCs w:val="20"/>
              </w:rPr>
            </w:pPr>
          </w:p>
        </w:tc>
        <w:tc>
          <w:tcPr>
            <w:tcW w:w="140" w:type="dxa"/>
          </w:tcPr>
          <w:p w14:paraId="7CEE90AB"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730F378" w14:textId="77777777" w:rsidR="00473B27" w:rsidRPr="0097675E" w:rsidRDefault="00473B27" w:rsidP="00A27D0C">
            <w:pPr>
              <w:tabs>
                <w:tab w:val="decimal" w:pos="113"/>
              </w:tabs>
              <w:spacing w:line="200" w:lineRule="exact"/>
              <w:ind w:left="57"/>
              <w:rPr>
                <w:sz w:val="18"/>
                <w:szCs w:val="20"/>
              </w:rPr>
            </w:pPr>
          </w:p>
        </w:tc>
        <w:tc>
          <w:tcPr>
            <w:tcW w:w="140" w:type="dxa"/>
          </w:tcPr>
          <w:p w14:paraId="5BF92C77"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12BC453" w14:textId="77777777" w:rsidR="00473B27" w:rsidRPr="0097675E" w:rsidRDefault="00473B27" w:rsidP="00A27D0C">
            <w:pPr>
              <w:tabs>
                <w:tab w:val="decimal" w:pos="113"/>
              </w:tabs>
              <w:spacing w:line="200" w:lineRule="exact"/>
              <w:ind w:left="57"/>
              <w:rPr>
                <w:sz w:val="18"/>
                <w:szCs w:val="20"/>
              </w:rPr>
            </w:pPr>
          </w:p>
        </w:tc>
        <w:tc>
          <w:tcPr>
            <w:tcW w:w="140" w:type="dxa"/>
          </w:tcPr>
          <w:p w14:paraId="071757A2"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25898D2A" w14:textId="77777777" w:rsidR="00473B27" w:rsidRPr="0097675E" w:rsidRDefault="00473B27" w:rsidP="00A27D0C">
            <w:pPr>
              <w:tabs>
                <w:tab w:val="decimal" w:pos="113"/>
              </w:tabs>
              <w:spacing w:line="200" w:lineRule="exact"/>
              <w:ind w:left="57"/>
              <w:rPr>
                <w:sz w:val="18"/>
                <w:szCs w:val="20"/>
              </w:rPr>
            </w:pPr>
          </w:p>
        </w:tc>
        <w:tc>
          <w:tcPr>
            <w:tcW w:w="110" w:type="dxa"/>
          </w:tcPr>
          <w:p w14:paraId="28F942CA"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D83F5E4" w14:textId="77777777" w:rsidR="00473B27" w:rsidRPr="0097675E" w:rsidRDefault="00473B27" w:rsidP="00A27D0C">
            <w:pPr>
              <w:tabs>
                <w:tab w:val="decimal" w:pos="113"/>
              </w:tabs>
              <w:spacing w:line="200" w:lineRule="exact"/>
              <w:ind w:left="57"/>
              <w:rPr>
                <w:sz w:val="18"/>
                <w:szCs w:val="20"/>
              </w:rPr>
            </w:pPr>
          </w:p>
        </w:tc>
      </w:tr>
      <w:tr w:rsidR="00473B27" w:rsidRPr="0097675E" w14:paraId="4457BB54" w14:textId="77777777" w:rsidTr="00A27D0C">
        <w:tc>
          <w:tcPr>
            <w:tcW w:w="2127" w:type="dxa"/>
            <w:vAlign w:val="bottom"/>
          </w:tcPr>
          <w:p w14:paraId="3D02684B"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סה"כ הכנסות מחיצוניים</w:t>
            </w:r>
          </w:p>
        </w:tc>
        <w:tc>
          <w:tcPr>
            <w:tcW w:w="113" w:type="dxa"/>
          </w:tcPr>
          <w:p w14:paraId="2067D9EB"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4B1FC996" w14:textId="77777777" w:rsidR="00473B27" w:rsidRPr="0097675E" w:rsidRDefault="00473B27" w:rsidP="00A27D0C">
            <w:pPr>
              <w:tabs>
                <w:tab w:val="decimal" w:pos="113"/>
              </w:tabs>
              <w:spacing w:line="200" w:lineRule="exact"/>
              <w:ind w:left="57"/>
              <w:rPr>
                <w:sz w:val="18"/>
                <w:szCs w:val="20"/>
              </w:rPr>
            </w:pPr>
          </w:p>
        </w:tc>
        <w:tc>
          <w:tcPr>
            <w:tcW w:w="140" w:type="dxa"/>
          </w:tcPr>
          <w:p w14:paraId="1D8568B2"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220E290B" w14:textId="77777777" w:rsidR="00473B27" w:rsidRPr="0097675E" w:rsidRDefault="00473B27" w:rsidP="00A27D0C">
            <w:pPr>
              <w:tabs>
                <w:tab w:val="decimal" w:pos="113"/>
              </w:tabs>
              <w:spacing w:line="200" w:lineRule="exact"/>
              <w:ind w:left="57"/>
              <w:rPr>
                <w:sz w:val="18"/>
                <w:szCs w:val="20"/>
              </w:rPr>
            </w:pPr>
          </w:p>
        </w:tc>
        <w:tc>
          <w:tcPr>
            <w:tcW w:w="140" w:type="dxa"/>
          </w:tcPr>
          <w:p w14:paraId="14493D3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58BD9BD4" w14:textId="77777777" w:rsidR="00473B27" w:rsidRPr="0097675E" w:rsidRDefault="00473B27" w:rsidP="00A27D0C">
            <w:pPr>
              <w:tabs>
                <w:tab w:val="decimal" w:pos="113"/>
              </w:tabs>
              <w:spacing w:line="200" w:lineRule="exact"/>
              <w:ind w:left="57"/>
              <w:rPr>
                <w:sz w:val="18"/>
                <w:szCs w:val="20"/>
              </w:rPr>
            </w:pPr>
          </w:p>
        </w:tc>
        <w:tc>
          <w:tcPr>
            <w:tcW w:w="140" w:type="dxa"/>
          </w:tcPr>
          <w:p w14:paraId="7D0FE6B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613A884" w14:textId="77777777" w:rsidR="00473B27" w:rsidRPr="0097675E" w:rsidRDefault="00473B27" w:rsidP="00A27D0C">
            <w:pPr>
              <w:tabs>
                <w:tab w:val="decimal" w:pos="113"/>
              </w:tabs>
              <w:spacing w:line="200" w:lineRule="exact"/>
              <w:ind w:left="57"/>
              <w:rPr>
                <w:sz w:val="18"/>
                <w:szCs w:val="20"/>
              </w:rPr>
            </w:pPr>
          </w:p>
        </w:tc>
        <w:tc>
          <w:tcPr>
            <w:tcW w:w="140" w:type="dxa"/>
          </w:tcPr>
          <w:p w14:paraId="1B34B14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F82157C" w14:textId="77777777" w:rsidR="00473B27" w:rsidRPr="0097675E" w:rsidRDefault="00473B27" w:rsidP="00A27D0C">
            <w:pPr>
              <w:tabs>
                <w:tab w:val="decimal" w:pos="113"/>
              </w:tabs>
              <w:spacing w:line="200" w:lineRule="exact"/>
              <w:ind w:left="57"/>
              <w:rPr>
                <w:sz w:val="18"/>
                <w:szCs w:val="20"/>
              </w:rPr>
            </w:pPr>
          </w:p>
        </w:tc>
        <w:tc>
          <w:tcPr>
            <w:tcW w:w="110" w:type="dxa"/>
          </w:tcPr>
          <w:p w14:paraId="4C7F195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2FB78D7" w14:textId="77777777" w:rsidR="00473B27" w:rsidRPr="0097675E" w:rsidRDefault="00473B27" w:rsidP="00A27D0C">
            <w:pPr>
              <w:tabs>
                <w:tab w:val="decimal" w:pos="113"/>
              </w:tabs>
              <w:spacing w:line="200" w:lineRule="exact"/>
              <w:ind w:left="57"/>
              <w:rPr>
                <w:sz w:val="18"/>
                <w:szCs w:val="20"/>
              </w:rPr>
            </w:pPr>
          </w:p>
        </w:tc>
      </w:tr>
      <w:tr w:rsidR="00473B27" w:rsidRPr="0097675E" w14:paraId="3B26AA66" w14:textId="77777777" w:rsidTr="00A27D0C">
        <w:tc>
          <w:tcPr>
            <w:tcW w:w="2127" w:type="dxa"/>
            <w:vAlign w:val="bottom"/>
          </w:tcPr>
          <w:p w14:paraId="74BA5C94" w14:textId="77777777" w:rsidR="00473B27" w:rsidRPr="00E72837" w:rsidRDefault="00473B27" w:rsidP="00A27D0C">
            <w:pPr>
              <w:pStyle w:val="a3"/>
              <w:tabs>
                <w:tab w:val="left" w:pos="227"/>
                <w:tab w:val="left" w:pos="397"/>
                <w:tab w:val="left" w:pos="567"/>
              </w:tabs>
              <w:spacing w:line="200" w:lineRule="exact"/>
              <w:rPr>
                <w:sz w:val="16"/>
                <w:szCs w:val="18"/>
                <w:rtl/>
              </w:rPr>
            </w:pPr>
          </w:p>
        </w:tc>
        <w:tc>
          <w:tcPr>
            <w:tcW w:w="113" w:type="dxa"/>
          </w:tcPr>
          <w:p w14:paraId="2C7E9C84"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10474C72" w14:textId="77777777" w:rsidR="00473B27" w:rsidRPr="0097675E" w:rsidRDefault="00473B27" w:rsidP="00A27D0C">
            <w:pPr>
              <w:tabs>
                <w:tab w:val="decimal" w:pos="113"/>
              </w:tabs>
              <w:spacing w:line="200" w:lineRule="exact"/>
              <w:ind w:left="57"/>
              <w:rPr>
                <w:sz w:val="18"/>
                <w:szCs w:val="20"/>
              </w:rPr>
            </w:pPr>
          </w:p>
        </w:tc>
        <w:tc>
          <w:tcPr>
            <w:tcW w:w="140" w:type="dxa"/>
          </w:tcPr>
          <w:p w14:paraId="1A4C78C0"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02C10E3C" w14:textId="77777777" w:rsidR="00473B27" w:rsidRPr="0097675E" w:rsidRDefault="00473B27" w:rsidP="00A27D0C">
            <w:pPr>
              <w:tabs>
                <w:tab w:val="decimal" w:pos="113"/>
              </w:tabs>
              <w:spacing w:line="200" w:lineRule="exact"/>
              <w:ind w:left="57"/>
              <w:rPr>
                <w:sz w:val="18"/>
                <w:szCs w:val="20"/>
              </w:rPr>
            </w:pPr>
          </w:p>
        </w:tc>
        <w:tc>
          <w:tcPr>
            <w:tcW w:w="140" w:type="dxa"/>
          </w:tcPr>
          <w:p w14:paraId="434BB4EA"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A6859CA" w14:textId="77777777" w:rsidR="00473B27" w:rsidRPr="0097675E" w:rsidRDefault="00473B27" w:rsidP="00A27D0C">
            <w:pPr>
              <w:tabs>
                <w:tab w:val="decimal" w:pos="113"/>
              </w:tabs>
              <w:spacing w:line="200" w:lineRule="exact"/>
              <w:ind w:left="57"/>
              <w:rPr>
                <w:sz w:val="18"/>
                <w:szCs w:val="20"/>
              </w:rPr>
            </w:pPr>
          </w:p>
        </w:tc>
        <w:tc>
          <w:tcPr>
            <w:tcW w:w="140" w:type="dxa"/>
          </w:tcPr>
          <w:p w14:paraId="204970A1"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C728696" w14:textId="77777777" w:rsidR="00473B27" w:rsidRPr="0097675E" w:rsidRDefault="00473B27" w:rsidP="00A27D0C">
            <w:pPr>
              <w:tabs>
                <w:tab w:val="decimal" w:pos="113"/>
              </w:tabs>
              <w:spacing w:line="200" w:lineRule="exact"/>
              <w:ind w:left="57"/>
              <w:rPr>
                <w:sz w:val="18"/>
                <w:szCs w:val="20"/>
              </w:rPr>
            </w:pPr>
          </w:p>
        </w:tc>
        <w:tc>
          <w:tcPr>
            <w:tcW w:w="140" w:type="dxa"/>
          </w:tcPr>
          <w:p w14:paraId="10A207E1"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314FEFB" w14:textId="77777777" w:rsidR="00473B27" w:rsidRPr="0097675E" w:rsidRDefault="00473B27" w:rsidP="00A27D0C">
            <w:pPr>
              <w:tabs>
                <w:tab w:val="decimal" w:pos="113"/>
              </w:tabs>
              <w:spacing w:line="200" w:lineRule="exact"/>
              <w:ind w:left="57"/>
              <w:rPr>
                <w:sz w:val="18"/>
                <w:szCs w:val="20"/>
              </w:rPr>
            </w:pPr>
          </w:p>
        </w:tc>
        <w:tc>
          <w:tcPr>
            <w:tcW w:w="110" w:type="dxa"/>
          </w:tcPr>
          <w:p w14:paraId="4786BE85"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747DE45" w14:textId="77777777" w:rsidR="00473B27" w:rsidRPr="0097675E" w:rsidRDefault="00473B27" w:rsidP="00A27D0C">
            <w:pPr>
              <w:tabs>
                <w:tab w:val="decimal" w:pos="113"/>
              </w:tabs>
              <w:spacing w:line="200" w:lineRule="exact"/>
              <w:ind w:left="57"/>
              <w:rPr>
                <w:sz w:val="18"/>
                <w:szCs w:val="20"/>
              </w:rPr>
            </w:pPr>
          </w:p>
        </w:tc>
      </w:tr>
      <w:tr w:rsidR="00473B27" w:rsidRPr="0097675E" w14:paraId="208C7FD9" w14:textId="77777777" w:rsidTr="00A27D0C">
        <w:tc>
          <w:tcPr>
            <w:tcW w:w="2127" w:type="dxa"/>
            <w:vAlign w:val="bottom"/>
          </w:tcPr>
          <w:p w14:paraId="5563E0C6" w14:textId="77777777" w:rsidR="00473B27" w:rsidRPr="00E72837" w:rsidRDefault="00473B27" w:rsidP="00A27D0C">
            <w:pPr>
              <w:pStyle w:val="a3"/>
              <w:tabs>
                <w:tab w:val="left" w:pos="227"/>
                <w:tab w:val="left" w:pos="397"/>
                <w:tab w:val="left" w:pos="567"/>
              </w:tabs>
              <w:spacing w:line="200" w:lineRule="exact"/>
              <w:rPr>
                <w:sz w:val="16"/>
                <w:szCs w:val="18"/>
                <w:rtl/>
              </w:rPr>
            </w:pPr>
            <w:r>
              <w:rPr>
                <w:rFonts w:hint="cs"/>
                <w:b/>
                <w:bCs/>
                <w:sz w:val="18"/>
                <w:szCs w:val="18"/>
                <w:rtl/>
              </w:rPr>
              <w:t>עיתוי ההכרה בהכנסה:</w:t>
            </w:r>
          </w:p>
        </w:tc>
        <w:tc>
          <w:tcPr>
            <w:tcW w:w="113" w:type="dxa"/>
          </w:tcPr>
          <w:p w14:paraId="73B2DDF9"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2FFA95B1" w14:textId="77777777" w:rsidR="00473B27" w:rsidRPr="0097675E" w:rsidRDefault="00473B27" w:rsidP="00A27D0C">
            <w:pPr>
              <w:tabs>
                <w:tab w:val="decimal" w:pos="113"/>
              </w:tabs>
              <w:spacing w:line="200" w:lineRule="exact"/>
              <w:ind w:left="57"/>
              <w:rPr>
                <w:sz w:val="18"/>
                <w:szCs w:val="20"/>
              </w:rPr>
            </w:pPr>
          </w:p>
        </w:tc>
        <w:tc>
          <w:tcPr>
            <w:tcW w:w="140" w:type="dxa"/>
          </w:tcPr>
          <w:p w14:paraId="3B4D6112"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2291CB1B" w14:textId="77777777" w:rsidR="00473B27" w:rsidRPr="0097675E" w:rsidRDefault="00473B27" w:rsidP="00A27D0C">
            <w:pPr>
              <w:tabs>
                <w:tab w:val="decimal" w:pos="113"/>
              </w:tabs>
              <w:spacing w:line="200" w:lineRule="exact"/>
              <w:ind w:left="57"/>
              <w:rPr>
                <w:sz w:val="18"/>
                <w:szCs w:val="20"/>
              </w:rPr>
            </w:pPr>
          </w:p>
        </w:tc>
        <w:tc>
          <w:tcPr>
            <w:tcW w:w="140" w:type="dxa"/>
          </w:tcPr>
          <w:p w14:paraId="4E297CE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8AACA85" w14:textId="77777777" w:rsidR="00473B27" w:rsidRPr="0097675E" w:rsidRDefault="00473B27" w:rsidP="00A27D0C">
            <w:pPr>
              <w:tabs>
                <w:tab w:val="decimal" w:pos="113"/>
              </w:tabs>
              <w:spacing w:line="200" w:lineRule="exact"/>
              <w:ind w:left="57"/>
              <w:rPr>
                <w:sz w:val="18"/>
                <w:szCs w:val="20"/>
              </w:rPr>
            </w:pPr>
          </w:p>
        </w:tc>
        <w:tc>
          <w:tcPr>
            <w:tcW w:w="140" w:type="dxa"/>
          </w:tcPr>
          <w:p w14:paraId="3B28272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E731761" w14:textId="77777777" w:rsidR="00473B27" w:rsidRPr="0097675E" w:rsidRDefault="00473B27" w:rsidP="00A27D0C">
            <w:pPr>
              <w:tabs>
                <w:tab w:val="decimal" w:pos="113"/>
              </w:tabs>
              <w:spacing w:line="200" w:lineRule="exact"/>
              <w:ind w:left="57"/>
              <w:rPr>
                <w:sz w:val="18"/>
                <w:szCs w:val="20"/>
              </w:rPr>
            </w:pPr>
          </w:p>
        </w:tc>
        <w:tc>
          <w:tcPr>
            <w:tcW w:w="140" w:type="dxa"/>
          </w:tcPr>
          <w:p w14:paraId="7054A2A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9F0C644" w14:textId="77777777" w:rsidR="00473B27" w:rsidRPr="0097675E" w:rsidRDefault="00473B27" w:rsidP="00A27D0C">
            <w:pPr>
              <w:tabs>
                <w:tab w:val="decimal" w:pos="113"/>
              </w:tabs>
              <w:spacing w:line="200" w:lineRule="exact"/>
              <w:ind w:left="57"/>
              <w:rPr>
                <w:sz w:val="18"/>
                <w:szCs w:val="20"/>
              </w:rPr>
            </w:pPr>
          </w:p>
        </w:tc>
        <w:tc>
          <w:tcPr>
            <w:tcW w:w="110" w:type="dxa"/>
          </w:tcPr>
          <w:p w14:paraId="24F32A9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FB5E7DB" w14:textId="77777777" w:rsidR="00473B27" w:rsidRPr="0097675E" w:rsidRDefault="00473B27" w:rsidP="00A27D0C">
            <w:pPr>
              <w:tabs>
                <w:tab w:val="decimal" w:pos="113"/>
              </w:tabs>
              <w:spacing w:line="200" w:lineRule="exact"/>
              <w:ind w:left="57"/>
              <w:rPr>
                <w:sz w:val="18"/>
                <w:szCs w:val="20"/>
              </w:rPr>
            </w:pPr>
          </w:p>
        </w:tc>
      </w:tr>
      <w:tr w:rsidR="00473B27" w:rsidRPr="0097675E" w14:paraId="13C8F085" w14:textId="77777777" w:rsidTr="00A27D0C">
        <w:tc>
          <w:tcPr>
            <w:tcW w:w="2127" w:type="dxa"/>
            <w:vAlign w:val="bottom"/>
          </w:tcPr>
          <w:p w14:paraId="49115FA7" w14:textId="77777777" w:rsidR="00473B27" w:rsidRPr="00E72837" w:rsidRDefault="00473B27" w:rsidP="00A27D0C">
            <w:pPr>
              <w:pStyle w:val="a3"/>
              <w:tabs>
                <w:tab w:val="left" w:pos="227"/>
                <w:tab w:val="left" w:pos="397"/>
                <w:tab w:val="left" w:pos="567"/>
              </w:tabs>
              <w:spacing w:line="200" w:lineRule="exact"/>
              <w:rPr>
                <w:sz w:val="16"/>
                <w:szCs w:val="18"/>
                <w:rtl/>
              </w:rPr>
            </w:pPr>
            <w:r>
              <w:rPr>
                <w:rFonts w:hint="cs"/>
                <w:sz w:val="18"/>
                <w:szCs w:val="18"/>
                <w:rtl/>
              </w:rPr>
              <w:t>הכרה בהכנסה בנקודת זמן</w:t>
            </w:r>
          </w:p>
        </w:tc>
        <w:tc>
          <w:tcPr>
            <w:tcW w:w="113" w:type="dxa"/>
          </w:tcPr>
          <w:p w14:paraId="3A8F6FDF"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2BC38E90" w14:textId="77777777" w:rsidR="00473B27" w:rsidRPr="0097675E" w:rsidRDefault="00473B27" w:rsidP="00A27D0C">
            <w:pPr>
              <w:tabs>
                <w:tab w:val="decimal" w:pos="113"/>
              </w:tabs>
              <w:spacing w:line="200" w:lineRule="exact"/>
              <w:ind w:left="57"/>
              <w:rPr>
                <w:sz w:val="18"/>
                <w:szCs w:val="20"/>
              </w:rPr>
            </w:pPr>
          </w:p>
        </w:tc>
        <w:tc>
          <w:tcPr>
            <w:tcW w:w="140" w:type="dxa"/>
          </w:tcPr>
          <w:p w14:paraId="0840E7E8"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3D0D6E99" w14:textId="77777777" w:rsidR="00473B27" w:rsidRPr="0097675E" w:rsidRDefault="00473B27" w:rsidP="00A27D0C">
            <w:pPr>
              <w:tabs>
                <w:tab w:val="decimal" w:pos="113"/>
              </w:tabs>
              <w:spacing w:line="200" w:lineRule="exact"/>
              <w:ind w:left="57"/>
              <w:rPr>
                <w:sz w:val="18"/>
                <w:szCs w:val="20"/>
              </w:rPr>
            </w:pPr>
          </w:p>
        </w:tc>
        <w:tc>
          <w:tcPr>
            <w:tcW w:w="140" w:type="dxa"/>
          </w:tcPr>
          <w:p w14:paraId="4758A9B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F73ABEC" w14:textId="77777777" w:rsidR="00473B27" w:rsidRPr="0097675E" w:rsidRDefault="00473B27" w:rsidP="00A27D0C">
            <w:pPr>
              <w:tabs>
                <w:tab w:val="decimal" w:pos="113"/>
              </w:tabs>
              <w:spacing w:line="200" w:lineRule="exact"/>
              <w:ind w:left="57"/>
              <w:rPr>
                <w:sz w:val="18"/>
                <w:szCs w:val="20"/>
              </w:rPr>
            </w:pPr>
          </w:p>
        </w:tc>
        <w:tc>
          <w:tcPr>
            <w:tcW w:w="140" w:type="dxa"/>
          </w:tcPr>
          <w:p w14:paraId="0397396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B82E961" w14:textId="77777777" w:rsidR="00473B27" w:rsidRPr="0097675E" w:rsidRDefault="00473B27" w:rsidP="00A27D0C">
            <w:pPr>
              <w:tabs>
                <w:tab w:val="decimal" w:pos="113"/>
              </w:tabs>
              <w:spacing w:line="200" w:lineRule="exact"/>
              <w:ind w:left="57"/>
              <w:rPr>
                <w:sz w:val="18"/>
                <w:szCs w:val="20"/>
              </w:rPr>
            </w:pPr>
          </w:p>
        </w:tc>
        <w:tc>
          <w:tcPr>
            <w:tcW w:w="140" w:type="dxa"/>
          </w:tcPr>
          <w:p w14:paraId="484025D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FF7E598" w14:textId="77777777" w:rsidR="00473B27" w:rsidRPr="0097675E" w:rsidRDefault="00473B27" w:rsidP="00A27D0C">
            <w:pPr>
              <w:tabs>
                <w:tab w:val="decimal" w:pos="113"/>
              </w:tabs>
              <w:spacing w:line="200" w:lineRule="exact"/>
              <w:ind w:left="57"/>
              <w:rPr>
                <w:sz w:val="18"/>
                <w:szCs w:val="20"/>
              </w:rPr>
            </w:pPr>
          </w:p>
        </w:tc>
        <w:tc>
          <w:tcPr>
            <w:tcW w:w="110" w:type="dxa"/>
          </w:tcPr>
          <w:p w14:paraId="442FDF2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B91647C" w14:textId="77777777" w:rsidR="00473B27" w:rsidRPr="0097675E" w:rsidRDefault="00473B27" w:rsidP="00A27D0C">
            <w:pPr>
              <w:tabs>
                <w:tab w:val="decimal" w:pos="113"/>
              </w:tabs>
              <w:spacing w:line="200" w:lineRule="exact"/>
              <w:ind w:left="57"/>
              <w:rPr>
                <w:sz w:val="18"/>
                <w:szCs w:val="20"/>
              </w:rPr>
            </w:pPr>
          </w:p>
        </w:tc>
      </w:tr>
      <w:tr w:rsidR="00473B27" w:rsidRPr="0097675E" w14:paraId="6DF5B99A" w14:textId="77777777" w:rsidTr="00A27D0C">
        <w:tc>
          <w:tcPr>
            <w:tcW w:w="2127" w:type="dxa"/>
            <w:vAlign w:val="bottom"/>
          </w:tcPr>
          <w:p w14:paraId="1EBFE161" w14:textId="77777777" w:rsidR="00473B27" w:rsidRPr="00E72837" w:rsidRDefault="00473B27" w:rsidP="00A27D0C">
            <w:pPr>
              <w:pStyle w:val="a3"/>
              <w:tabs>
                <w:tab w:val="left" w:pos="227"/>
                <w:tab w:val="left" w:pos="397"/>
                <w:tab w:val="left" w:pos="567"/>
              </w:tabs>
              <w:spacing w:line="200" w:lineRule="exact"/>
              <w:rPr>
                <w:sz w:val="16"/>
                <w:szCs w:val="18"/>
                <w:rtl/>
              </w:rPr>
            </w:pPr>
            <w:r>
              <w:rPr>
                <w:rFonts w:hint="cs"/>
                <w:sz w:val="18"/>
                <w:szCs w:val="18"/>
                <w:rtl/>
              </w:rPr>
              <w:t>הכרה בהכנסה על פני תקופת זמן</w:t>
            </w:r>
          </w:p>
        </w:tc>
        <w:tc>
          <w:tcPr>
            <w:tcW w:w="113" w:type="dxa"/>
          </w:tcPr>
          <w:p w14:paraId="42360F85"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2EFE2D85" w14:textId="77777777" w:rsidR="00473B27" w:rsidRPr="0097675E" w:rsidRDefault="00473B27" w:rsidP="00A27D0C">
            <w:pPr>
              <w:tabs>
                <w:tab w:val="decimal" w:pos="113"/>
              </w:tabs>
              <w:spacing w:line="200" w:lineRule="exact"/>
              <w:ind w:left="57"/>
              <w:rPr>
                <w:sz w:val="18"/>
                <w:szCs w:val="20"/>
              </w:rPr>
            </w:pPr>
          </w:p>
        </w:tc>
        <w:tc>
          <w:tcPr>
            <w:tcW w:w="140" w:type="dxa"/>
          </w:tcPr>
          <w:p w14:paraId="682516BD"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71E63F2D" w14:textId="77777777" w:rsidR="00473B27" w:rsidRPr="0097675E" w:rsidRDefault="00473B27" w:rsidP="00A27D0C">
            <w:pPr>
              <w:tabs>
                <w:tab w:val="decimal" w:pos="113"/>
              </w:tabs>
              <w:spacing w:line="200" w:lineRule="exact"/>
              <w:ind w:left="57"/>
              <w:rPr>
                <w:sz w:val="18"/>
                <w:szCs w:val="20"/>
              </w:rPr>
            </w:pPr>
          </w:p>
        </w:tc>
        <w:tc>
          <w:tcPr>
            <w:tcW w:w="140" w:type="dxa"/>
          </w:tcPr>
          <w:p w14:paraId="29129E7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A569559" w14:textId="77777777" w:rsidR="00473B27" w:rsidRPr="0097675E" w:rsidRDefault="00473B27" w:rsidP="00A27D0C">
            <w:pPr>
              <w:tabs>
                <w:tab w:val="decimal" w:pos="113"/>
              </w:tabs>
              <w:spacing w:line="200" w:lineRule="exact"/>
              <w:ind w:left="57"/>
              <w:rPr>
                <w:sz w:val="18"/>
                <w:szCs w:val="20"/>
              </w:rPr>
            </w:pPr>
          </w:p>
        </w:tc>
        <w:tc>
          <w:tcPr>
            <w:tcW w:w="140" w:type="dxa"/>
          </w:tcPr>
          <w:p w14:paraId="76AC47C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A4B86D2" w14:textId="77777777" w:rsidR="00473B27" w:rsidRPr="0097675E" w:rsidRDefault="00473B27" w:rsidP="00A27D0C">
            <w:pPr>
              <w:tabs>
                <w:tab w:val="decimal" w:pos="113"/>
              </w:tabs>
              <w:spacing w:line="200" w:lineRule="exact"/>
              <w:ind w:left="57"/>
              <w:rPr>
                <w:sz w:val="18"/>
                <w:szCs w:val="20"/>
              </w:rPr>
            </w:pPr>
          </w:p>
        </w:tc>
        <w:tc>
          <w:tcPr>
            <w:tcW w:w="140" w:type="dxa"/>
          </w:tcPr>
          <w:p w14:paraId="4E80102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1F8E7FD" w14:textId="77777777" w:rsidR="00473B27" w:rsidRPr="0097675E" w:rsidRDefault="00473B27" w:rsidP="00A27D0C">
            <w:pPr>
              <w:tabs>
                <w:tab w:val="decimal" w:pos="113"/>
              </w:tabs>
              <w:spacing w:line="200" w:lineRule="exact"/>
              <w:ind w:left="57"/>
              <w:rPr>
                <w:sz w:val="18"/>
                <w:szCs w:val="20"/>
              </w:rPr>
            </w:pPr>
          </w:p>
        </w:tc>
        <w:tc>
          <w:tcPr>
            <w:tcW w:w="110" w:type="dxa"/>
          </w:tcPr>
          <w:p w14:paraId="64E8886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7C50FA3" w14:textId="77777777" w:rsidR="00473B27" w:rsidRPr="0097675E" w:rsidRDefault="00473B27" w:rsidP="00A27D0C">
            <w:pPr>
              <w:tabs>
                <w:tab w:val="decimal" w:pos="113"/>
              </w:tabs>
              <w:spacing w:line="200" w:lineRule="exact"/>
              <w:ind w:left="57"/>
              <w:rPr>
                <w:sz w:val="18"/>
                <w:szCs w:val="20"/>
              </w:rPr>
            </w:pPr>
          </w:p>
        </w:tc>
      </w:tr>
      <w:tr w:rsidR="00473B27" w:rsidRPr="0097675E" w14:paraId="68F300F4" w14:textId="77777777" w:rsidTr="00A27D0C">
        <w:tc>
          <w:tcPr>
            <w:tcW w:w="2127" w:type="dxa"/>
            <w:vAlign w:val="bottom"/>
          </w:tcPr>
          <w:p w14:paraId="06DE3D8A" w14:textId="77777777" w:rsidR="00473B27" w:rsidRPr="00E72837" w:rsidRDefault="00473B27" w:rsidP="00A27D0C">
            <w:pPr>
              <w:pStyle w:val="a3"/>
              <w:tabs>
                <w:tab w:val="left" w:pos="227"/>
                <w:tab w:val="left" w:pos="397"/>
                <w:tab w:val="left" w:pos="567"/>
              </w:tabs>
              <w:spacing w:line="200" w:lineRule="exact"/>
              <w:rPr>
                <w:sz w:val="16"/>
                <w:szCs w:val="18"/>
              </w:rPr>
            </w:pPr>
          </w:p>
        </w:tc>
        <w:tc>
          <w:tcPr>
            <w:tcW w:w="113" w:type="dxa"/>
          </w:tcPr>
          <w:p w14:paraId="16EB7C86"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6314ECA8" w14:textId="77777777" w:rsidR="00473B27" w:rsidRPr="0097675E" w:rsidRDefault="00473B27" w:rsidP="00A27D0C">
            <w:pPr>
              <w:tabs>
                <w:tab w:val="decimal" w:pos="113"/>
              </w:tabs>
              <w:spacing w:line="200" w:lineRule="exact"/>
              <w:ind w:left="57"/>
              <w:rPr>
                <w:sz w:val="18"/>
                <w:szCs w:val="20"/>
              </w:rPr>
            </w:pPr>
          </w:p>
        </w:tc>
        <w:tc>
          <w:tcPr>
            <w:tcW w:w="140" w:type="dxa"/>
          </w:tcPr>
          <w:p w14:paraId="34C7C9EA"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6F99EA86" w14:textId="77777777" w:rsidR="00473B27" w:rsidRPr="0097675E" w:rsidRDefault="00473B27" w:rsidP="00A27D0C">
            <w:pPr>
              <w:tabs>
                <w:tab w:val="decimal" w:pos="113"/>
              </w:tabs>
              <w:spacing w:line="200" w:lineRule="exact"/>
              <w:ind w:left="57"/>
              <w:rPr>
                <w:sz w:val="18"/>
                <w:szCs w:val="20"/>
              </w:rPr>
            </w:pPr>
          </w:p>
        </w:tc>
        <w:tc>
          <w:tcPr>
            <w:tcW w:w="140" w:type="dxa"/>
          </w:tcPr>
          <w:p w14:paraId="7EC712AF"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624B517" w14:textId="77777777" w:rsidR="00473B27" w:rsidRPr="0097675E" w:rsidRDefault="00473B27" w:rsidP="00A27D0C">
            <w:pPr>
              <w:tabs>
                <w:tab w:val="decimal" w:pos="113"/>
              </w:tabs>
              <w:spacing w:line="200" w:lineRule="exact"/>
              <w:ind w:left="57"/>
              <w:rPr>
                <w:sz w:val="18"/>
                <w:szCs w:val="20"/>
              </w:rPr>
            </w:pPr>
          </w:p>
        </w:tc>
        <w:tc>
          <w:tcPr>
            <w:tcW w:w="140" w:type="dxa"/>
          </w:tcPr>
          <w:p w14:paraId="39441463"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3CEFC6D" w14:textId="77777777" w:rsidR="00473B27" w:rsidRPr="0097675E" w:rsidRDefault="00473B27" w:rsidP="00A27D0C">
            <w:pPr>
              <w:tabs>
                <w:tab w:val="decimal" w:pos="113"/>
              </w:tabs>
              <w:spacing w:line="200" w:lineRule="exact"/>
              <w:ind w:left="57"/>
              <w:rPr>
                <w:sz w:val="18"/>
                <w:szCs w:val="20"/>
              </w:rPr>
            </w:pPr>
          </w:p>
        </w:tc>
        <w:tc>
          <w:tcPr>
            <w:tcW w:w="140" w:type="dxa"/>
          </w:tcPr>
          <w:p w14:paraId="36B688A3"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3A4A10C" w14:textId="77777777" w:rsidR="00473B27" w:rsidRPr="0097675E" w:rsidRDefault="00473B27" w:rsidP="00A27D0C">
            <w:pPr>
              <w:tabs>
                <w:tab w:val="decimal" w:pos="113"/>
              </w:tabs>
              <w:spacing w:line="200" w:lineRule="exact"/>
              <w:ind w:left="57"/>
              <w:rPr>
                <w:sz w:val="18"/>
                <w:szCs w:val="20"/>
              </w:rPr>
            </w:pPr>
          </w:p>
        </w:tc>
        <w:tc>
          <w:tcPr>
            <w:tcW w:w="110" w:type="dxa"/>
          </w:tcPr>
          <w:p w14:paraId="2DC2F5F1"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2B61FB50" w14:textId="77777777" w:rsidR="00473B27" w:rsidRPr="0097675E" w:rsidRDefault="00473B27" w:rsidP="00A27D0C">
            <w:pPr>
              <w:tabs>
                <w:tab w:val="decimal" w:pos="113"/>
              </w:tabs>
              <w:spacing w:line="200" w:lineRule="exact"/>
              <w:ind w:left="57"/>
              <w:rPr>
                <w:sz w:val="18"/>
                <w:szCs w:val="20"/>
              </w:rPr>
            </w:pPr>
          </w:p>
        </w:tc>
      </w:tr>
      <w:tr w:rsidR="00473B27" w:rsidRPr="0097675E" w14:paraId="4391D200" w14:textId="77777777" w:rsidTr="00A27D0C">
        <w:tc>
          <w:tcPr>
            <w:tcW w:w="2127" w:type="dxa"/>
            <w:vAlign w:val="bottom"/>
          </w:tcPr>
          <w:p w14:paraId="4D788920" w14:textId="77777777" w:rsidR="00473B27" w:rsidRPr="00473B27" w:rsidRDefault="00473B27" w:rsidP="00A27D0C">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113" w:type="dxa"/>
          </w:tcPr>
          <w:p w14:paraId="24316D7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bottom w:val="single" w:sz="4" w:space="0" w:color="auto"/>
            </w:tcBorders>
            <w:shd w:val="clear" w:color="auto" w:fill="auto"/>
            <w:vAlign w:val="bottom"/>
          </w:tcPr>
          <w:p w14:paraId="174123B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39048AE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left w:val="nil"/>
              <w:bottom w:val="single" w:sz="4" w:space="0" w:color="auto"/>
              <w:right w:val="nil"/>
            </w:tcBorders>
            <w:shd w:val="clear" w:color="auto" w:fill="auto"/>
            <w:vAlign w:val="bottom"/>
          </w:tcPr>
          <w:p w14:paraId="7E52D00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4A03C19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0D275D8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A3B03E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051210F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122596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3DCBC32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4D0B15C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3D50106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2B62505C" w14:textId="77777777" w:rsidTr="00A27D0C">
        <w:tc>
          <w:tcPr>
            <w:tcW w:w="2127" w:type="dxa"/>
            <w:vAlign w:val="bottom"/>
          </w:tcPr>
          <w:p w14:paraId="4C3225A3" w14:textId="77777777" w:rsidR="00473B27" w:rsidRDefault="00473B27" w:rsidP="00A27D0C">
            <w:pPr>
              <w:pStyle w:val="a3"/>
              <w:tabs>
                <w:tab w:val="left" w:pos="227"/>
                <w:tab w:val="left" w:pos="397"/>
                <w:tab w:val="left" w:pos="567"/>
              </w:tabs>
              <w:spacing w:line="180" w:lineRule="exact"/>
              <w:rPr>
                <w:sz w:val="18"/>
                <w:szCs w:val="18"/>
                <w:rtl/>
              </w:rPr>
            </w:pPr>
          </w:p>
        </w:tc>
        <w:tc>
          <w:tcPr>
            <w:tcW w:w="113" w:type="dxa"/>
          </w:tcPr>
          <w:p w14:paraId="3ADABDA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tcBorders>
            <w:shd w:val="clear" w:color="auto" w:fill="auto"/>
            <w:vAlign w:val="bottom"/>
          </w:tcPr>
          <w:p w14:paraId="74AB590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6C846BA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single" w:sz="4" w:space="0" w:color="auto"/>
              <w:left w:val="nil"/>
              <w:right w:val="nil"/>
            </w:tcBorders>
            <w:shd w:val="clear" w:color="auto" w:fill="auto"/>
            <w:vAlign w:val="bottom"/>
          </w:tcPr>
          <w:p w14:paraId="2F23431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6D14CE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567F1BD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55B173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729751B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227533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29B04E8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6BC274C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1E07C6C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0A59683D" w14:textId="77777777" w:rsidTr="00A27D0C">
        <w:tc>
          <w:tcPr>
            <w:tcW w:w="2127" w:type="dxa"/>
            <w:vAlign w:val="bottom"/>
          </w:tcPr>
          <w:p w14:paraId="75B1A180" w14:textId="77777777" w:rsidR="00473B27" w:rsidRDefault="00473B27" w:rsidP="00A27D0C">
            <w:pPr>
              <w:pStyle w:val="a3"/>
              <w:tabs>
                <w:tab w:val="left" w:pos="227"/>
                <w:tab w:val="left" w:pos="397"/>
                <w:tab w:val="left" w:pos="567"/>
              </w:tabs>
              <w:spacing w:line="180" w:lineRule="exact"/>
              <w:rPr>
                <w:sz w:val="18"/>
                <w:szCs w:val="18"/>
                <w:rtl/>
              </w:rPr>
            </w:pPr>
            <w:r>
              <w:rPr>
                <w:rFonts w:hint="cs"/>
                <w:sz w:val="18"/>
                <w:szCs w:val="18"/>
                <w:rtl/>
              </w:rPr>
              <w:t>הכנסות בין-מגזריות</w:t>
            </w:r>
          </w:p>
        </w:tc>
        <w:tc>
          <w:tcPr>
            <w:tcW w:w="113" w:type="dxa"/>
          </w:tcPr>
          <w:p w14:paraId="3A8DA1A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bottom w:val="single" w:sz="4" w:space="0" w:color="auto"/>
            </w:tcBorders>
            <w:shd w:val="clear" w:color="auto" w:fill="auto"/>
            <w:vAlign w:val="bottom"/>
          </w:tcPr>
          <w:p w14:paraId="667FBB7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4D47B3B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left w:val="nil"/>
              <w:bottom w:val="single" w:sz="4" w:space="0" w:color="auto"/>
              <w:right w:val="nil"/>
            </w:tcBorders>
            <w:shd w:val="clear" w:color="auto" w:fill="auto"/>
            <w:vAlign w:val="bottom"/>
          </w:tcPr>
          <w:p w14:paraId="52C6A4D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9AE7D6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260DEC8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F38BB0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3E6C0BA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20704B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724CC98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06DC333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48A5592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7A7F97F8" w14:textId="77777777" w:rsidTr="00A27D0C">
        <w:tc>
          <w:tcPr>
            <w:tcW w:w="2127" w:type="dxa"/>
            <w:vAlign w:val="bottom"/>
          </w:tcPr>
          <w:p w14:paraId="23009B71" w14:textId="77777777" w:rsidR="00473B27" w:rsidRDefault="00473B27" w:rsidP="00A27D0C">
            <w:pPr>
              <w:pStyle w:val="a3"/>
              <w:tabs>
                <w:tab w:val="left" w:pos="227"/>
                <w:tab w:val="left" w:pos="397"/>
                <w:tab w:val="left" w:pos="567"/>
              </w:tabs>
              <w:spacing w:line="180" w:lineRule="exact"/>
              <w:rPr>
                <w:sz w:val="18"/>
                <w:szCs w:val="18"/>
                <w:rtl/>
              </w:rPr>
            </w:pPr>
          </w:p>
        </w:tc>
        <w:tc>
          <w:tcPr>
            <w:tcW w:w="113" w:type="dxa"/>
          </w:tcPr>
          <w:p w14:paraId="6958092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tcBorders>
            <w:shd w:val="clear" w:color="auto" w:fill="auto"/>
            <w:vAlign w:val="bottom"/>
          </w:tcPr>
          <w:p w14:paraId="716310F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008F266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single" w:sz="4" w:space="0" w:color="auto"/>
              <w:left w:val="nil"/>
              <w:right w:val="nil"/>
            </w:tcBorders>
            <w:shd w:val="clear" w:color="auto" w:fill="auto"/>
            <w:vAlign w:val="bottom"/>
          </w:tcPr>
          <w:p w14:paraId="0EC21B1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4796D02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7FBC120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D0BFB4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7FB35B6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EC6A0C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4513308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0C39D8B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223C330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28401050" w14:textId="77777777" w:rsidTr="00A27D0C">
        <w:tc>
          <w:tcPr>
            <w:tcW w:w="2127" w:type="dxa"/>
            <w:vAlign w:val="bottom"/>
          </w:tcPr>
          <w:p w14:paraId="0BF5F6EA" w14:textId="77777777" w:rsidR="00473B27" w:rsidRPr="00E72837" w:rsidRDefault="00473B27" w:rsidP="00A27D0C">
            <w:pPr>
              <w:pStyle w:val="a3"/>
              <w:tabs>
                <w:tab w:val="left" w:pos="227"/>
                <w:tab w:val="left" w:pos="397"/>
                <w:tab w:val="left" w:pos="567"/>
              </w:tabs>
              <w:spacing w:line="200" w:lineRule="exact"/>
              <w:rPr>
                <w:sz w:val="16"/>
                <w:szCs w:val="18"/>
              </w:rPr>
            </w:pPr>
            <w:r w:rsidRPr="00E72837">
              <w:rPr>
                <w:rFonts w:hint="cs"/>
                <w:sz w:val="16"/>
                <w:szCs w:val="18"/>
                <w:rtl/>
              </w:rPr>
              <w:t>סה"כ הכנסות</w:t>
            </w:r>
          </w:p>
        </w:tc>
        <w:tc>
          <w:tcPr>
            <w:tcW w:w="113" w:type="dxa"/>
          </w:tcPr>
          <w:p w14:paraId="760E1F2F"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bottom w:val="double" w:sz="6" w:space="0" w:color="auto"/>
            </w:tcBorders>
            <w:vAlign w:val="bottom"/>
          </w:tcPr>
          <w:p w14:paraId="16CF4669" w14:textId="77777777" w:rsidR="00473B27" w:rsidRPr="0097675E" w:rsidRDefault="00473B27" w:rsidP="00A27D0C">
            <w:pPr>
              <w:tabs>
                <w:tab w:val="decimal" w:pos="113"/>
              </w:tabs>
              <w:spacing w:line="200" w:lineRule="exact"/>
              <w:ind w:left="57"/>
              <w:rPr>
                <w:sz w:val="18"/>
                <w:szCs w:val="20"/>
              </w:rPr>
            </w:pPr>
          </w:p>
        </w:tc>
        <w:tc>
          <w:tcPr>
            <w:tcW w:w="140" w:type="dxa"/>
            <w:tcBorders>
              <w:left w:val="nil"/>
            </w:tcBorders>
          </w:tcPr>
          <w:p w14:paraId="28CCF932" w14:textId="77777777" w:rsidR="00473B27" w:rsidRPr="0097675E" w:rsidRDefault="00473B27" w:rsidP="00A27D0C">
            <w:pPr>
              <w:tabs>
                <w:tab w:val="decimal" w:pos="113"/>
              </w:tabs>
              <w:spacing w:line="200" w:lineRule="exact"/>
              <w:ind w:left="57"/>
              <w:rPr>
                <w:sz w:val="18"/>
                <w:szCs w:val="20"/>
              </w:rPr>
            </w:pPr>
          </w:p>
        </w:tc>
        <w:tc>
          <w:tcPr>
            <w:tcW w:w="1043" w:type="dxa"/>
            <w:tcBorders>
              <w:left w:val="nil"/>
              <w:bottom w:val="double" w:sz="6" w:space="0" w:color="auto"/>
              <w:right w:val="nil"/>
            </w:tcBorders>
            <w:vAlign w:val="bottom"/>
          </w:tcPr>
          <w:p w14:paraId="5A80BED7" w14:textId="77777777" w:rsidR="00473B27" w:rsidRPr="0097675E" w:rsidRDefault="00473B27" w:rsidP="00A27D0C">
            <w:pPr>
              <w:tabs>
                <w:tab w:val="decimal" w:pos="113"/>
              </w:tabs>
              <w:spacing w:line="200" w:lineRule="exact"/>
              <w:ind w:left="57"/>
              <w:rPr>
                <w:sz w:val="18"/>
                <w:szCs w:val="20"/>
              </w:rPr>
            </w:pPr>
          </w:p>
        </w:tc>
        <w:tc>
          <w:tcPr>
            <w:tcW w:w="140" w:type="dxa"/>
          </w:tcPr>
          <w:p w14:paraId="1826297B"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0B121254" w14:textId="77777777" w:rsidR="00473B27" w:rsidRPr="0097675E" w:rsidRDefault="00473B27" w:rsidP="00A27D0C">
            <w:pPr>
              <w:tabs>
                <w:tab w:val="decimal" w:pos="113"/>
              </w:tabs>
              <w:spacing w:line="200" w:lineRule="exact"/>
              <w:ind w:left="57"/>
              <w:rPr>
                <w:sz w:val="18"/>
                <w:szCs w:val="20"/>
              </w:rPr>
            </w:pPr>
          </w:p>
        </w:tc>
        <w:tc>
          <w:tcPr>
            <w:tcW w:w="140" w:type="dxa"/>
          </w:tcPr>
          <w:p w14:paraId="4F55CE4C"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29D812C7" w14:textId="77777777" w:rsidR="00473B27" w:rsidRPr="0097675E" w:rsidRDefault="00473B27" w:rsidP="00A27D0C">
            <w:pPr>
              <w:tabs>
                <w:tab w:val="decimal" w:pos="113"/>
              </w:tabs>
              <w:spacing w:line="200" w:lineRule="exact"/>
              <w:ind w:left="57"/>
              <w:rPr>
                <w:sz w:val="18"/>
                <w:szCs w:val="20"/>
              </w:rPr>
            </w:pPr>
          </w:p>
        </w:tc>
        <w:tc>
          <w:tcPr>
            <w:tcW w:w="140" w:type="dxa"/>
          </w:tcPr>
          <w:p w14:paraId="6155159D"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182B0027" w14:textId="77777777" w:rsidR="00473B27" w:rsidRPr="0097675E" w:rsidRDefault="00473B27" w:rsidP="00A27D0C">
            <w:pPr>
              <w:tabs>
                <w:tab w:val="decimal" w:pos="113"/>
              </w:tabs>
              <w:spacing w:line="200" w:lineRule="exact"/>
              <w:ind w:left="57"/>
              <w:rPr>
                <w:sz w:val="18"/>
                <w:szCs w:val="20"/>
              </w:rPr>
            </w:pPr>
          </w:p>
        </w:tc>
        <w:tc>
          <w:tcPr>
            <w:tcW w:w="110" w:type="dxa"/>
          </w:tcPr>
          <w:p w14:paraId="44B1A305"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6DC7E243" w14:textId="77777777" w:rsidR="00473B27" w:rsidRPr="0097675E" w:rsidRDefault="00473B27" w:rsidP="00A27D0C">
            <w:pPr>
              <w:tabs>
                <w:tab w:val="decimal" w:pos="113"/>
              </w:tabs>
              <w:spacing w:line="200" w:lineRule="exact"/>
              <w:ind w:left="57"/>
              <w:rPr>
                <w:sz w:val="18"/>
                <w:szCs w:val="20"/>
              </w:rPr>
            </w:pPr>
          </w:p>
        </w:tc>
      </w:tr>
      <w:tr w:rsidR="00473B27" w:rsidRPr="0097675E" w14:paraId="60411748" w14:textId="77777777" w:rsidTr="00A27D0C">
        <w:tc>
          <w:tcPr>
            <w:tcW w:w="2127" w:type="dxa"/>
            <w:vAlign w:val="bottom"/>
          </w:tcPr>
          <w:p w14:paraId="3CBE9D29" w14:textId="77777777" w:rsidR="00473B27" w:rsidRPr="00E72837" w:rsidRDefault="00473B27" w:rsidP="00A27D0C">
            <w:pPr>
              <w:pStyle w:val="a3"/>
              <w:widowControl/>
              <w:tabs>
                <w:tab w:val="left" w:pos="227"/>
                <w:tab w:val="left" w:pos="397"/>
                <w:tab w:val="left" w:pos="567"/>
              </w:tabs>
              <w:spacing w:line="200" w:lineRule="exact"/>
              <w:ind w:left="0"/>
              <w:rPr>
                <w:sz w:val="16"/>
                <w:szCs w:val="18"/>
              </w:rPr>
            </w:pPr>
          </w:p>
        </w:tc>
        <w:tc>
          <w:tcPr>
            <w:tcW w:w="113" w:type="dxa"/>
          </w:tcPr>
          <w:p w14:paraId="77A00E6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52555D7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FEF3BD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double" w:sz="6" w:space="0" w:color="auto"/>
              <w:left w:val="nil"/>
              <w:right w:val="nil"/>
            </w:tcBorders>
            <w:vAlign w:val="bottom"/>
          </w:tcPr>
          <w:p w14:paraId="07D7043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EC88CE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4ED2C0E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06402EB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674D34E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7F2E5D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5C677EB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0974C24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5F4E773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36B6D423" w14:textId="77777777" w:rsidTr="00A27D0C">
        <w:tc>
          <w:tcPr>
            <w:tcW w:w="2127" w:type="dxa"/>
            <w:vAlign w:val="bottom"/>
          </w:tcPr>
          <w:p w14:paraId="3C2700DE" w14:textId="77777777" w:rsidR="00473B27" w:rsidRPr="00E72837" w:rsidRDefault="00473B27" w:rsidP="00A27D0C">
            <w:pPr>
              <w:pStyle w:val="a3"/>
              <w:tabs>
                <w:tab w:val="left" w:pos="227"/>
                <w:tab w:val="left" w:pos="397"/>
                <w:tab w:val="left" w:pos="567"/>
              </w:tabs>
              <w:spacing w:line="200" w:lineRule="exact"/>
              <w:ind w:left="227" w:hanging="170"/>
              <w:rPr>
                <w:sz w:val="16"/>
                <w:szCs w:val="18"/>
              </w:rPr>
            </w:pPr>
            <w:r w:rsidRPr="00E72837">
              <w:rPr>
                <w:rFonts w:hint="cs"/>
                <w:sz w:val="16"/>
                <w:szCs w:val="18"/>
                <w:rtl/>
              </w:rPr>
              <w:t>רווח (הפסד) מגזרי</w:t>
            </w:r>
          </w:p>
        </w:tc>
        <w:tc>
          <w:tcPr>
            <w:tcW w:w="113" w:type="dxa"/>
          </w:tcPr>
          <w:p w14:paraId="3F592B13"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double" w:sz="6" w:space="0" w:color="auto"/>
              <w:right w:val="nil"/>
            </w:tcBorders>
            <w:vAlign w:val="bottom"/>
          </w:tcPr>
          <w:p w14:paraId="5AD65D5B" w14:textId="77777777" w:rsidR="00473B27" w:rsidRPr="0097675E" w:rsidRDefault="00473B27" w:rsidP="00A27D0C">
            <w:pPr>
              <w:tabs>
                <w:tab w:val="decimal" w:pos="113"/>
              </w:tabs>
              <w:spacing w:line="200" w:lineRule="exact"/>
              <w:ind w:left="57"/>
              <w:rPr>
                <w:sz w:val="18"/>
                <w:szCs w:val="20"/>
              </w:rPr>
            </w:pPr>
          </w:p>
        </w:tc>
        <w:tc>
          <w:tcPr>
            <w:tcW w:w="140" w:type="dxa"/>
          </w:tcPr>
          <w:p w14:paraId="6CC843A6"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double" w:sz="6" w:space="0" w:color="auto"/>
              <w:right w:val="nil"/>
            </w:tcBorders>
            <w:vAlign w:val="bottom"/>
          </w:tcPr>
          <w:p w14:paraId="59D81E1B" w14:textId="77777777" w:rsidR="00473B27" w:rsidRPr="0097675E" w:rsidRDefault="00473B27" w:rsidP="00A27D0C">
            <w:pPr>
              <w:tabs>
                <w:tab w:val="decimal" w:pos="113"/>
              </w:tabs>
              <w:spacing w:line="200" w:lineRule="exact"/>
              <w:ind w:left="57"/>
              <w:rPr>
                <w:sz w:val="18"/>
                <w:szCs w:val="20"/>
              </w:rPr>
            </w:pPr>
          </w:p>
        </w:tc>
        <w:tc>
          <w:tcPr>
            <w:tcW w:w="140" w:type="dxa"/>
          </w:tcPr>
          <w:p w14:paraId="5307D3B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6E52E302" w14:textId="77777777" w:rsidR="00473B27" w:rsidRPr="0097675E" w:rsidRDefault="00473B27" w:rsidP="00A27D0C">
            <w:pPr>
              <w:tabs>
                <w:tab w:val="decimal" w:pos="113"/>
              </w:tabs>
              <w:spacing w:line="200" w:lineRule="exact"/>
              <w:ind w:left="57"/>
              <w:rPr>
                <w:sz w:val="18"/>
                <w:szCs w:val="20"/>
              </w:rPr>
            </w:pPr>
          </w:p>
        </w:tc>
        <w:tc>
          <w:tcPr>
            <w:tcW w:w="140" w:type="dxa"/>
          </w:tcPr>
          <w:p w14:paraId="7CDBAC6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1271BBD2" w14:textId="77777777" w:rsidR="00473B27" w:rsidRPr="0097675E" w:rsidRDefault="00473B27" w:rsidP="00A27D0C">
            <w:pPr>
              <w:tabs>
                <w:tab w:val="decimal" w:pos="113"/>
              </w:tabs>
              <w:spacing w:line="200" w:lineRule="exact"/>
              <w:ind w:left="57"/>
              <w:rPr>
                <w:sz w:val="18"/>
                <w:szCs w:val="20"/>
              </w:rPr>
            </w:pPr>
          </w:p>
        </w:tc>
        <w:tc>
          <w:tcPr>
            <w:tcW w:w="140" w:type="dxa"/>
          </w:tcPr>
          <w:p w14:paraId="303F1705"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7F62E956" w14:textId="77777777" w:rsidR="00473B27" w:rsidRPr="0097675E" w:rsidRDefault="00473B27" w:rsidP="00A27D0C">
            <w:pPr>
              <w:tabs>
                <w:tab w:val="decimal" w:pos="113"/>
              </w:tabs>
              <w:spacing w:line="200" w:lineRule="exact"/>
              <w:ind w:left="57"/>
              <w:rPr>
                <w:sz w:val="18"/>
                <w:szCs w:val="20"/>
              </w:rPr>
            </w:pPr>
          </w:p>
        </w:tc>
        <w:tc>
          <w:tcPr>
            <w:tcW w:w="110" w:type="dxa"/>
          </w:tcPr>
          <w:p w14:paraId="109E963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shd w:val="clear" w:color="auto" w:fill="auto"/>
            <w:vAlign w:val="bottom"/>
          </w:tcPr>
          <w:p w14:paraId="2EF6375E" w14:textId="77777777" w:rsidR="00473B27" w:rsidRPr="0097675E" w:rsidRDefault="00473B27" w:rsidP="00A27D0C">
            <w:pPr>
              <w:tabs>
                <w:tab w:val="decimal" w:pos="113"/>
              </w:tabs>
              <w:spacing w:line="200" w:lineRule="exact"/>
              <w:ind w:left="57"/>
              <w:rPr>
                <w:sz w:val="18"/>
                <w:szCs w:val="20"/>
              </w:rPr>
            </w:pPr>
          </w:p>
        </w:tc>
      </w:tr>
      <w:tr w:rsidR="00473B27" w:rsidRPr="0097675E" w14:paraId="329EA1F6" w14:textId="77777777" w:rsidTr="00A27D0C">
        <w:tc>
          <w:tcPr>
            <w:tcW w:w="2127" w:type="dxa"/>
            <w:vAlign w:val="bottom"/>
          </w:tcPr>
          <w:p w14:paraId="1EF50507" w14:textId="77777777" w:rsidR="00473B27" w:rsidRPr="00E72837" w:rsidRDefault="00473B27" w:rsidP="00A27D0C">
            <w:pPr>
              <w:pStyle w:val="a3"/>
              <w:widowControl/>
              <w:tabs>
                <w:tab w:val="left" w:pos="227"/>
                <w:tab w:val="left" w:pos="397"/>
                <w:tab w:val="left" w:pos="567"/>
              </w:tabs>
              <w:spacing w:line="200" w:lineRule="exact"/>
              <w:ind w:left="0"/>
              <w:rPr>
                <w:sz w:val="16"/>
                <w:szCs w:val="18"/>
                <w:rtl/>
              </w:rPr>
            </w:pPr>
          </w:p>
        </w:tc>
        <w:tc>
          <w:tcPr>
            <w:tcW w:w="113" w:type="dxa"/>
          </w:tcPr>
          <w:p w14:paraId="38CEADD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6BF0ECB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4B55AB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vAlign w:val="bottom"/>
          </w:tcPr>
          <w:p w14:paraId="0C6596E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05B5B9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3BD5556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0239DD9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00F75BF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C8F4E8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10C5367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78C6F8E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0446FE8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0308791B" w14:textId="77777777" w:rsidTr="00A27D0C">
        <w:tc>
          <w:tcPr>
            <w:tcW w:w="2127" w:type="dxa"/>
            <w:vAlign w:val="bottom"/>
          </w:tcPr>
          <w:p w14:paraId="0AB820F4"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הוצאות משותפות בלתי מוקצות</w:t>
            </w:r>
          </w:p>
        </w:tc>
        <w:tc>
          <w:tcPr>
            <w:tcW w:w="113" w:type="dxa"/>
          </w:tcPr>
          <w:p w14:paraId="54D4E829"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vAlign w:val="bottom"/>
          </w:tcPr>
          <w:p w14:paraId="06DB5D97" w14:textId="77777777" w:rsidR="00473B27" w:rsidRPr="0097675E" w:rsidRDefault="00473B27" w:rsidP="00A27D0C">
            <w:pPr>
              <w:tabs>
                <w:tab w:val="decimal" w:pos="113"/>
              </w:tabs>
              <w:spacing w:line="200" w:lineRule="exact"/>
              <w:ind w:left="57"/>
              <w:rPr>
                <w:sz w:val="18"/>
                <w:szCs w:val="20"/>
              </w:rPr>
            </w:pPr>
          </w:p>
        </w:tc>
        <w:tc>
          <w:tcPr>
            <w:tcW w:w="140" w:type="dxa"/>
          </w:tcPr>
          <w:p w14:paraId="28A22487" w14:textId="77777777" w:rsidR="00473B27" w:rsidRPr="0097675E" w:rsidRDefault="00473B27" w:rsidP="00A27D0C">
            <w:pPr>
              <w:tabs>
                <w:tab w:val="decimal" w:pos="113"/>
              </w:tabs>
              <w:spacing w:line="200" w:lineRule="exact"/>
              <w:ind w:left="57"/>
              <w:rPr>
                <w:sz w:val="18"/>
                <w:szCs w:val="20"/>
              </w:rPr>
            </w:pPr>
          </w:p>
        </w:tc>
        <w:tc>
          <w:tcPr>
            <w:tcW w:w="1043" w:type="dxa"/>
            <w:vAlign w:val="bottom"/>
          </w:tcPr>
          <w:p w14:paraId="6F600B22" w14:textId="77777777" w:rsidR="00473B27" w:rsidRPr="0097675E" w:rsidRDefault="00473B27" w:rsidP="00A27D0C">
            <w:pPr>
              <w:tabs>
                <w:tab w:val="decimal" w:pos="113"/>
              </w:tabs>
              <w:spacing w:line="200" w:lineRule="exact"/>
              <w:ind w:left="57"/>
              <w:rPr>
                <w:sz w:val="18"/>
                <w:szCs w:val="20"/>
              </w:rPr>
            </w:pPr>
          </w:p>
        </w:tc>
        <w:tc>
          <w:tcPr>
            <w:tcW w:w="140" w:type="dxa"/>
          </w:tcPr>
          <w:p w14:paraId="52980B1D"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2DEF49CD" w14:textId="77777777" w:rsidR="00473B27" w:rsidRPr="0097675E" w:rsidRDefault="00473B27" w:rsidP="00A27D0C">
            <w:pPr>
              <w:tabs>
                <w:tab w:val="decimal" w:pos="113"/>
              </w:tabs>
              <w:spacing w:line="200" w:lineRule="exact"/>
              <w:ind w:left="57"/>
              <w:rPr>
                <w:sz w:val="18"/>
                <w:szCs w:val="20"/>
              </w:rPr>
            </w:pPr>
          </w:p>
        </w:tc>
        <w:tc>
          <w:tcPr>
            <w:tcW w:w="140" w:type="dxa"/>
          </w:tcPr>
          <w:p w14:paraId="4FEF1763"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2261099B" w14:textId="77777777" w:rsidR="00473B27" w:rsidRPr="0097675E" w:rsidRDefault="00473B27" w:rsidP="00A27D0C">
            <w:pPr>
              <w:tabs>
                <w:tab w:val="decimal" w:pos="113"/>
              </w:tabs>
              <w:spacing w:line="200" w:lineRule="exact"/>
              <w:ind w:left="57"/>
              <w:rPr>
                <w:sz w:val="18"/>
                <w:szCs w:val="20"/>
              </w:rPr>
            </w:pPr>
          </w:p>
        </w:tc>
        <w:tc>
          <w:tcPr>
            <w:tcW w:w="140" w:type="dxa"/>
          </w:tcPr>
          <w:p w14:paraId="7FBA5493"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2A4B805E" w14:textId="77777777" w:rsidR="00473B27" w:rsidRPr="0097675E" w:rsidRDefault="00473B27" w:rsidP="00A27D0C">
            <w:pPr>
              <w:tabs>
                <w:tab w:val="decimal" w:pos="113"/>
              </w:tabs>
              <w:spacing w:line="200" w:lineRule="exact"/>
              <w:ind w:left="57"/>
              <w:rPr>
                <w:sz w:val="18"/>
                <w:szCs w:val="20"/>
              </w:rPr>
            </w:pPr>
          </w:p>
        </w:tc>
        <w:tc>
          <w:tcPr>
            <w:tcW w:w="110" w:type="dxa"/>
          </w:tcPr>
          <w:p w14:paraId="2D885E75"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639C6CD8" w14:textId="77777777" w:rsidR="00473B27" w:rsidRPr="0097675E" w:rsidRDefault="00473B27" w:rsidP="00A27D0C">
            <w:pPr>
              <w:tabs>
                <w:tab w:val="decimal" w:pos="113"/>
              </w:tabs>
              <w:spacing w:line="200" w:lineRule="exact"/>
              <w:ind w:left="57"/>
              <w:rPr>
                <w:sz w:val="18"/>
                <w:szCs w:val="20"/>
              </w:rPr>
            </w:pPr>
          </w:p>
        </w:tc>
      </w:tr>
      <w:tr w:rsidR="00473B27" w:rsidRPr="0097675E" w14:paraId="5D6B204B" w14:textId="77777777" w:rsidTr="00A27D0C">
        <w:tc>
          <w:tcPr>
            <w:tcW w:w="2127" w:type="dxa"/>
            <w:vAlign w:val="bottom"/>
          </w:tcPr>
          <w:p w14:paraId="771AC417"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הכנסות (הוצאות) מימון, נטו</w:t>
            </w:r>
          </w:p>
        </w:tc>
        <w:tc>
          <w:tcPr>
            <w:tcW w:w="113" w:type="dxa"/>
          </w:tcPr>
          <w:p w14:paraId="58E1AAE8"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vAlign w:val="bottom"/>
          </w:tcPr>
          <w:p w14:paraId="64665D1F" w14:textId="77777777" w:rsidR="00473B27" w:rsidRPr="0097675E" w:rsidRDefault="00473B27" w:rsidP="00A27D0C">
            <w:pPr>
              <w:tabs>
                <w:tab w:val="decimal" w:pos="113"/>
              </w:tabs>
              <w:spacing w:line="200" w:lineRule="exact"/>
              <w:ind w:left="57"/>
              <w:rPr>
                <w:sz w:val="18"/>
                <w:szCs w:val="20"/>
              </w:rPr>
            </w:pPr>
          </w:p>
        </w:tc>
        <w:tc>
          <w:tcPr>
            <w:tcW w:w="140" w:type="dxa"/>
          </w:tcPr>
          <w:p w14:paraId="460F5C1B" w14:textId="77777777" w:rsidR="00473B27" w:rsidRPr="0097675E" w:rsidRDefault="00473B27" w:rsidP="00A27D0C">
            <w:pPr>
              <w:tabs>
                <w:tab w:val="decimal" w:pos="113"/>
              </w:tabs>
              <w:spacing w:line="200" w:lineRule="exact"/>
              <w:ind w:left="57"/>
              <w:rPr>
                <w:sz w:val="18"/>
                <w:szCs w:val="20"/>
              </w:rPr>
            </w:pPr>
          </w:p>
        </w:tc>
        <w:tc>
          <w:tcPr>
            <w:tcW w:w="1043" w:type="dxa"/>
            <w:vAlign w:val="bottom"/>
          </w:tcPr>
          <w:p w14:paraId="564D5C96" w14:textId="77777777" w:rsidR="00473B27" w:rsidRPr="0097675E" w:rsidRDefault="00473B27" w:rsidP="00A27D0C">
            <w:pPr>
              <w:tabs>
                <w:tab w:val="decimal" w:pos="113"/>
              </w:tabs>
              <w:spacing w:line="200" w:lineRule="exact"/>
              <w:ind w:left="57"/>
              <w:rPr>
                <w:sz w:val="18"/>
                <w:szCs w:val="20"/>
              </w:rPr>
            </w:pPr>
          </w:p>
        </w:tc>
        <w:tc>
          <w:tcPr>
            <w:tcW w:w="140" w:type="dxa"/>
          </w:tcPr>
          <w:p w14:paraId="70E5CC18"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3AD39A3F" w14:textId="77777777" w:rsidR="00473B27" w:rsidRPr="0097675E" w:rsidRDefault="00473B27" w:rsidP="00A27D0C">
            <w:pPr>
              <w:tabs>
                <w:tab w:val="decimal" w:pos="113"/>
              </w:tabs>
              <w:spacing w:line="200" w:lineRule="exact"/>
              <w:ind w:left="57"/>
              <w:rPr>
                <w:sz w:val="18"/>
                <w:szCs w:val="20"/>
              </w:rPr>
            </w:pPr>
          </w:p>
        </w:tc>
        <w:tc>
          <w:tcPr>
            <w:tcW w:w="140" w:type="dxa"/>
          </w:tcPr>
          <w:p w14:paraId="62D14185"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10CB74F8" w14:textId="77777777" w:rsidR="00473B27" w:rsidRPr="0097675E" w:rsidRDefault="00473B27" w:rsidP="00A27D0C">
            <w:pPr>
              <w:tabs>
                <w:tab w:val="decimal" w:pos="113"/>
              </w:tabs>
              <w:spacing w:line="200" w:lineRule="exact"/>
              <w:ind w:left="57"/>
              <w:rPr>
                <w:sz w:val="18"/>
                <w:szCs w:val="20"/>
              </w:rPr>
            </w:pPr>
          </w:p>
        </w:tc>
        <w:tc>
          <w:tcPr>
            <w:tcW w:w="140" w:type="dxa"/>
          </w:tcPr>
          <w:p w14:paraId="685305EA"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5416C836" w14:textId="77777777" w:rsidR="00473B27" w:rsidRPr="0097675E" w:rsidRDefault="00473B27" w:rsidP="00A27D0C">
            <w:pPr>
              <w:tabs>
                <w:tab w:val="decimal" w:pos="113"/>
              </w:tabs>
              <w:spacing w:line="200" w:lineRule="exact"/>
              <w:ind w:left="57"/>
              <w:rPr>
                <w:sz w:val="18"/>
                <w:szCs w:val="20"/>
              </w:rPr>
            </w:pPr>
          </w:p>
        </w:tc>
        <w:tc>
          <w:tcPr>
            <w:tcW w:w="110" w:type="dxa"/>
          </w:tcPr>
          <w:p w14:paraId="090B902B"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1BA67F37" w14:textId="77777777" w:rsidR="00473B27" w:rsidRPr="0097675E" w:rsidRDefault="00473B27" w:rsidP="00A27D0C">
            <w:pPr>
              <w:tabs>
                <w:tab w:val="decimal" w:pos="113"/>
              </w:tabs>
              <w:spacing w:line="200" w:lineRule="exact"/>
              <w:ind w:left="57"/>
              <w:rPr>
                <w:sz w:val="18"/>
                <w:szCs w:val="20"/>
              </w:rPr>
            </w:pPr>
          </w:p>
        </w:tc>
      </w:tr>
      <w:tr w:rsidR="00473B27" w:rsidRPr="0097675E" w14:paraId="4723FB51" w14:textId="77777777" w:rsidTr="00A27D0C">
        <w:tc>
          <w:tcPr>
            <w:tcW w:w="2127" w:type="dxa"/>
            <w:vAlign w:val="bottom"/>
          </w:tcPr>
          <w:p w14:paraId="71C2C9BD"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 xml:space="preserve">חלק הקבוצה ברווחי (בהפסדי) חברות המטופלות לפי שיטת השווי </w:t>
            </w:r>
            <w:r w:rsidRPr="00E72837">
              <w:rPr>
                <w:rFonts w:hint="eastAsia"/>
                <w:sz w:val="16"/>
                <w:szCs w:val="18"/>
                <w:rtl/>
              </w:rPr>
              <w:t>המאזני</w:t>
            </w:r>
            <w:r w:rsidRPr="00E72837">
              <w:rPr>
                <w:sz w:val="16"/>
                <w:szCs w:val="18"/>
                <w:rtl/>
              </w:rPr>
              <w:t xml:space="preserve">, </w:t>
            </w:r>
            <w:r w:rsidRPr="00E72837">
              <w:rPr>
                <w:rFonts w:hint="eastAsia"/>
                <w:sz w:val="16"/>
                <w:szCs w:val="18"/>
                <w:rtl/>
              </w:rPr>
              <w:t>נטו</w:t>
            </w:r>
          </w:p>
        </w:tc>
        <w:tc>
          <w:tcPr>
            <w:tcW w:w="113" w:type="dxa"/>
          </w:tcPr>
          <w:p w14:paraId="58C25876"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shd w:val="clear" w:color="auto" w:fill="auto"/>
            <w:vAlign w:val="bottom"/>
          </w:tcPr>
          <w:p w14:paraId="32C88A00" w14:textId="77777777" w:rsidR="00473B27" w:rsidRPr="0097675E" w:rsidRDefault="00473B27" w:rsidP="00A27D0C">
            <w:pPr>
              <w:tabs>
                <w:tab w:val="decimal" w:pos="113"/>
              </w:tabs>
              <w:spacing w:line="200" w:lineRule="exact"/>
              <w:ind w:left="57"/>
              <w:rPr>
                <w:sz w:val="18"/>
                <w:szCs w:val="20"/>
              </w:rPr>
            </w:pPr>
          </w:p>
        </w:tc>
        <w:tc>
          <w:tcPr>
            <w:tcW w:w="140" w:type="dxa"/>
          </w:tcPr>
          <w:p w14:paraId="5262E163" w14:textId="77777777" w:rsidR="00473B27" w:rsidRPr="0097675E" w:rsidRDefault="00473B27" w:rsidP="00A27D0C">
            <w:pPr>
              <w:tabs>
                <w:tab w:val="decimal" w:pos="113"/>
              </w:tabs>
              <w:spacing w:line="200" w:lineRule="exact"/>
              <w:ind w:left="57"/>
              <w:rPr>
                <w:sz w:val="18"/>
                <w:szCs w:val="20"/>
              </w:rPr>
            </w:pPr>
          </w:p>
        </w:tc>
        <w:tc>
          <w:tcPr>
            <w:tcW w:w="1043" w:type="dxa"/>
            <w:shd w:val="clear" w:color="auto" w:fill="auto"/>
            <w:vAlign w:val="bottom"/>
          </w:tcPr>
          <w:p w14:paraId="366D866E" w14:textId="77777777" w:rsidR="00473B27" w:rsidRPr="0097675E" w:rsidRDefault="00473B27" w:rsidP="00A27D0C">
            <w:pPr>
              <w:tabs>
                <w:tab w:val="decimal" w:pos="113"/>
              </w:tabs>
              <w:spacing w:line="200" w:lineRule="exact"/>
              <w:ind w:left="57"/>
              <w:rPr>
                <w:sz w:val="18"/>
                <w:szCs w:val="20"/>
              </w:rPr>
            </w:pPr>
          </w:p>
        </w:tc>
        <w:tc>
          <w:tcPr>
            <w:tcW w:w="140" w:type="dxa"/>
          </w:tcPr>
          <w:p w14:paraId="22CB0048"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60D68739" w14:textId="77777777" w:rsidR="00473B27" w:rsidRPr="0097675E" w:rsidRDefault="00473B27" w:rsidP="00A27D0C">
            <w:pPr>
              <w:tabs>
                <w:tab w:val="decimal" w:pos="113"/>
              </w:tabs>
              <w:spacing w:line="200" w:lineRule="exact"/>
              <w:ind w:left="57"/>
              <w:rPr>
                <w:sz w:val="18"/>
                <w:szCs w:val="20"/>
              </w:rPr>
            </w:pPr>
          </w:p>
        </w:tc>
        <w:tc>
          <w:tcPr>
            <w:tcW w:w="140" w:type="dxa"/>
          </w:tcPr>
          <w:p w14:paraId="210E70F9"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4210BD13" w14:textId="77777777" w:rsidR="00473B27" w:rsidRPr="0097675E" w:rsidRDefault="00473B27" w:rsidP="00A27D0C">
            <w:pPr>
              <w:tabs>
                <w:tab w:val="decimal" w:pos="113"/>
              </w:tabs>
              <w:spacing w:line="200" w:lineRule="exact"/>
              <w:ind w:left="57"/>
              <w:rPr>
                <w:sz w:val="18"/>
                <w:szCs w:val="20"/>
              </w:rPr>
            </w:pPr>
          </w:p>
        </w:tc>
        <w:tc>
          <w:tcPr>
            <w:tcW w:w="140" w:type="dxa"/>
          </w:tcPr>
          <w:p w14:paraId="173259B9"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01A8BD31" w14:textId="77777777" w:rsidR="00473B27" w:rsidRPr="0097675E" w:rsidRDefault="00473B27" w:rsidP="00A27D0C">
            <w:pPr>
              <w:tabs>
                <w:tab w:val="decimal" w:pos="113"/>
              </w:tabs>
              <w:spacing w:line="200" w:lineRule="exact"/>
              <w:ind w:left="57"/>
              <w:rPr>
                <w:sz w:val="18"/>
                <w:szCs w:val="20"/>
              </w:rPr>
            </w:pPr>
          </w:p>
        </w:tc>
        <w:tc>
          <w:tcPr>
            <w:tcW w:w="110" w:type="dxa"/>
          </w:tcPr>
          <w:p w14:paraId="416EB001" w14:textId="77777777" w:rsidR="00473B27" w:rsidRPr="0097675E" w:rsidRDefault="00473B27" w:rsidP="00A27D0C">
            <w:pPr>
              <w:tabs>
                <w:tab w:val="decimal" w:pos="113"/>
              </w:tabs>
              <w:spacing w:line="200" w:lineRule="exact"/>
              <w:ind w:left="57"/>
              <w:rPr>
                <w:sz w:val="18"/>
                <w:szCs w:val="20"/>
              </w:rPr>
            </w:pPr>
          </w:p>
        </w:tc>
        <w:tc>
          <w:tcPr>
            <w:tcW w:w="804" w:type="dxa"/>
            <w:tcBorders>
              <w:bottom w:val="single" w:sz="6" w:space="0" w:color="auto"/>
            </w:tcBorders>
            <w:shd w:val="clear" w:color="auto" w:fill="auto"/>
            <w:vAlign w:val="bottom"/>
          </w:tcPr>
          <w:p w14:paraId="4E6300D6" w14:textId="77777777" w:rsidR="00473B27" w:rsidRPr="0097675E" w:rsidRDefault="00473B27" w:rsidP="00A27D0C">
            <w:pPr>
              <w:tabs>
                <w:tab w:val="decimal" w:pos="113"/>
              </w:tabs>
              <w:spacing w:line="200" w:lineRule="exact"/>
              <w:ind w:left="57"/>
              <w:rPr>
                <w:sz w:val="18"/>
                <w:szCs w:val="20"/>
              </w:rPr>
            </w:pPr>
          </w:p>
        </w:tc>
      </w:tr>
      <w:tr w:rsidR="00473B27" w:rsidRPr="0097675E" w14:paraId="413AA333" w14:textId="77777777" w:rsidTr="00A27D0C">
        <w:tc>
          <w:tcPr>
            <w:tcW w:w="2127" w:type="dxa"/>
            <w:vAlign w:val="bottom"/>
          </w:tcPr>
          <w:p w14:paraId="4A6D29A4" w14:textId="77777777" w:rsidR="00473B27" w:rsidRPr="00E72837" w:rsidRDefault="00473B27" w:rsidP="00A27D0C">
            <w:pPr>
              <w:pStyle w:val="a3"/>
              <w:widowControl/>
              <w:tabs>
                <w:tab w:val="left" w:pos="227"/>
                <w:tab w:val="left" w:pos="397"/>
                <w:tab w:val="left" w:pos="567"/>
              </w:tabs>
              <w:spacing w:line="200" w:lineRule="exact"/>
              <w:ind w:left="0"/>
              <w:rPr>
                <w:sz w:val="16"/>
                <w:szCs w:val="18"/>
                <w:rtl/>
              </w:rPr>
            </w:pPr>
          </w:p>
        </w:tc>
        <w:tc>
          <w:tcPr>
            <w:tcW w:w="113" w:type="dxa"/>
          </w:tcPr>
          <w:p w14:paraId="58E362E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2656081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4D8141D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vAlign w:val="bottom"/>
          </w:tcPr>
          <w:p w14:paraId="72C75C4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52CBA3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7FF1558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86C068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1343FA4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1E66D2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6FF77EA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04C30A6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6" w:space="0" w:color="auto"/>
            </w:tcBorders>
            <w:vAlign w:val="bottom"/>
          </w:tcPr>
          <w:p w14:paraId="49724E8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1CEEC1FD" w14:textId="77777777" w:rsidTr="00A27D0C">
        <w:tc>
          <w:tcPr>
            <w:tcW w:w="2127" w:type="dxa"/>
            <w:vAlign w:val="bottom"/>
          </w:tcPr>
          <w:p w14:paraId="0193AA6E"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רווח (הפסד) לפני מסים על ההכנסה</w:t>
            </w:r>
          </w:p>
        </w:tc>
        <w:tc>
          <w:tcPr>
            <w:tcW w:w="113" w:type="dxa"/>
          </w:tcPr>
          <w:p w14:paraId="18FDFBB4"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shd w:val="clear" w:color="auto" w:fill="auto"/>
            <w:vAlign w:val="bottom"/>
          </w:tcPr>
          <w:p w14:paraId="62ADF5A4" w14:textId="77777777" w:rsidR="00473B27" w:rsidRPr="0097675E" w:rsidRDefault="00473B27" w:rsidP="00A27D0C">
            <w:pPr>
              <w:tabs>
                <w:tab w:val="decimal" w:pos="113"/>
              </w:tabs>
              <w:spacing w:line="200" w:lineRule="exact"/>
              <w:ind w:left="57"/>
              <w:rPr>
                <w:sz w:val="18"/>
                <w:szCs w:val="20"/>
              </w:rPr>
            </w:pPr>
          </w:p>
        </w:tc>
        <w:tc>
          <w:tcPr>
            <w:tcW w:w="140" w:type="dxa"/>
          </w:tcPr>
          <w:p w14:paraId="46B58455" w14:textId="77777777" w:rsidR="00473B27" w:rsidRPr="0097675E" w:rsidRDefault="00473B27" w:rsidP="00A27D0C">
            <w:pPr>
              <w:tabs>
                <w:tab w:val="decimal" w:pos="113"/>
              </w:tabs>
              <w:spacing w:line="200" w:lineRule="exact"/>
              <w:ind w:left="57"/>
              <w:rPr>
                <w:sz w:val="18"/>
                <w:szCs w:val="20"/>
              </w:rPr>
            </w:pPr>
          </w:p>
        </w:tc>
        <w:tc>
          <w:tcPr>
            <w:tcW w:w="1043" w:type="dxa"/>
            <w:shd w:val="clear" w:color="auto" w:fill="auto"/>
            <w:vAlign w:val="bottom"/>
          </w:tcPr>
          <w:p w14:paraId="3CA29AAE" w14:textId="77777777" w:rsidR="00473B27" w:rsidRPr="0097675E" w:rsidRDefault="00473B27" w:rsidP="00A27D0C">
            <w:pPr>
              <w:tabs>
                <w:tab w:val="decimal" w:pos="113"/>
              </w:tabs>
              <w:spacing w:line="200" w:lineRule="exact"/>
              <w:ind w:left="57"/>
              <w:rPr>
                <w:sz w:val="18"/>
                <w:szCs w:val="20"/>
              </w:rPr>
            </w:pPr>
          </w:p>
        </w:tc>
        <w:tc>
          <w:tcPr>
            <w:tcW w:w="140" w:type="dxa"/>
          </w:tcPr>
          <w:p w14:paraId="4514CAF8"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49BB6A0E" w14:textId="77777777" w:rsidR="00473B27" w:rsidRPr="0097675E" w:rsidRDefault="00473B27" w:rsidP="00A27D0C">
            <w:pPr>
              <w:tabs>
                <w:tab w:val="decimal" w:pos="113"/>
              </w:tabs>
              <w:spacing w:line="200" w:lineRule="exact"/>
              <w:ind w:left="57"/>
              <w:rPr>
                <w:sz w:val="18"/>
                <w:szCs w:val="20"/>
              </w:rPr>
            </w:pPr>
          </w:p>
        </w:tc>
        <w:tc>
          <w:tcPr>
            <w:tcW w:w="140" w:type="dxa"/>
          </w:tcPr>
          <w:p w14:paraId="35E06C62"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7DAAC882" w14:textId="77777777" w:rsidR="00473B27" w:rsidRPr="0097675E" w:rsidRDefault="00473B27" w:rsidP="00A27D0C">
            <w:pPr>
              <w:tabs>
                <w:tab w:val="decimal" w:pos="113"/>
              </w:tabs>
              <w:spacing w:line="200" w:lineRule="exact"/>
              <w:ind w:left="57"/>
              <w:rPr>
                <w:sz w:val="18"/>
                <w:szCs w:val="20"/>
              </w:rPr>
            </w:pPr>
          </w:p>
        </w:tc>
        <w:tc>
          <w:tcPr>
            <w:tcW w:w="140" w:type="dxa"/>
          </w:tcPr>
          <w:p w14:paraId="1BDB2C6C"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4243F530" w14:textId="77777777" w:rsidR="00473B27" w:rsidRPr="0097675E" w:rsidRDefault="00473B27" w:rsidP="00A27D0C">
            <w:pPr>
              <w:tabs>
                <w:tab w:val="decimal" w:pos="113"/>
              </w:tabs>
              <w:spacing w:line="200" w:lineRule="exact"/>
              <w:ind w:left="57"/>
              <w:rPr>
                <w:sz w:val="18"/>
                <w:szCs w:val="20"/>
              </w:rPr>
            </w:pPr>
          </w:p>
        </w:tc>
        <w:tc>
          <w:tcPr>
            <w:tcW w:w="110" w:type="dxa"/>
          </w:tcPr>
          <w:p w14:paraId="442216FE" w14:textId="77777777" w:rsidR="00473B27" w:rsidRPr="0097675E" w:rsidRDefault="00473B27" w:rsidP="00A27D0C">
            <w:pPr>
              <w:tabs>
                <w:tab w:val="decimal" w:pos="113"/>
              </w:tabs>
              <w:spacing w:line="200" w:lineRule="exact"/>
              <w:ind w:left="57"/>
              <w:rPr>
                <w:sz w:val="18"/>
                <w:szCs w:val="20"/>
              </w:rPr>
            </w:pPr>
          </w:p>
        </w:tc>
        <w:tc>
          <w:tcPr>
            <w:tcW w:w="804" w:type="dxa"/>
            <w:tcBorders>
              <w:bottom w:val="double" w:sz="6" w:space="0" w:color="auto"/>
            </w:tcBorders>
            <w:shd w:val="clear" w:color="auto" w:fill="auto"/>
            <w:vAlign w:val="bottom"/>
          </w:tcPr>
          <w:p w14:paraId="6AD8DEF8" w14:textId="77777777" w:rsidR="00473B27" w:rsidRPr="0097675E" w:rsidRDefault="00473B27" w:rsidP="00A27D0C">
            <w:pPr>
              <w:tabs>
                <w:tab w:val="decimal" w:pos="113"/>
              </w:tabs>
              <w:spacing w:line="200" w:lineRule="exact"/>
              <w:ind w:left="57"/>
              <w:rPr>
                <w:sz w:val="18"/>
                <w:szCs w:val="20"/>
              </w:rPr>
            </w:pPr>
          </w:p>
        </w:tc>
      </w:tr>
    </w:tbl>
    <w:p w14:paraId="51C935CB" w14:textId="0C916017" w:rsidR="00D469FD" w:rsidRDefault="00D469FD">
      <w:pPr>
        <w:rPr>
          <w:rtl/>
        </w:rPr>
      </w:pPr>
    </w:p>
    <w:p w14:paraId="110F0764" w14:textId="77777777" w:rsidR="00A27D0C" w:rsidRDefault="00A27D0C">
      <w:pPr>
        <w:rPr>
          <w:rtl/>
        </w:rPr>
      </w:pPr>
    </w:p>
    <w:p w14:paraId="089B3D48" w14:textId="77777777" w:rsidR="00A27D0C" w:rsidRDefault="00A27D0C">
      <w:pPr>
        <w:rPr>
          <w:rtl/>
        </w:rPr>
      </w:pPr>
    </w:p>
    <w:p w14:paraId="468A9E3D" w14:textId="77777777" w:rsidR="00A27D0C" w:rsidRDefault="00A27D0C">
      <w:pPr>
        <w:rPr>
          <w:rtl/>
        </w:rPr>
      </w:pPr>
    </w:p>
    <w:p w14:paraId="4EE57502" w14:textId="77777777" w:rsidR="00A27D0C" w:rsidRDefault="00A27D0C">
      <w:pPr>
        <w:rPr>
          <w:rtl/>
        </w:rPr>
      </w:pPr>
    </w:p>
    <w:p w14:paraId="53C6A850" w14:textId="77777777" w:rsidR="00A27D0C" w:rsidRDefault="00A27D0C">
      <w:pPr>
        <w:rPr>
          <w:rtl/>
        </w:rPr>
      </w:pPr>
    </w:p>
    <w:p w14:paraId="0733F60F" w14:textId="77777777" w:rsidR="00A27D0C" w:rsidRDefault="00A27D0C">
      <w:pPr>
        <w:rPr>
          <w:rtl/>
        </w:rPr>
      </w:pPr>
    </w:p>
    <w:p w14:paraId="6F734DA0" w14:textId="77777777" w:rsidR="00A27D0C" w:rsidRPr="00473B27" w:rsidRDefault="00A27D0C">
      <w:pPr>
        <w:rPr>
          <w:rtl/>
        </w:rPr>
      </w:pPr>
    </w:p>
    <w:p w14:paraId="380C0DEF" w14:textId="77777777" w:rsidR="0047433B" w:rsidRDefault="0047433B" w:rsidP="00D469FD">
      <w:pPr>
        <w:pStyle w:val="11"/>
        <w:rPr>
          <w:rtl/>
        </w:rPr>
      </w:pPr>
    </w:p>
    <w:p w14:paraId="4C4EEC3A" w14:textId="77777777" w:rsidR="00E72837" w:rsidRDefault="00E72837" w:rsidP="00D469FD">
      <w:pPr>
        <w:pStyle w:val="11"/>
        <w:rPr>
          <w:rtl/>
        </w:rPr>
      </w:pPr>
    </w:p>
    <w:p w14:paraId="417F6D41" w14:textId="77777777" w:rsidR="003D46A8" w:rsidRDefault="00D469FD">
      <w:pPr>
        <w:pStyle w:val="11"/>
        <w:rPr>
          <w:rtl/>
        </w:rPr>
      </w:pPr>
      <w:bookmarkStart w:id="55" w:name="_Toc290213645"/>
      <w:r>
        <w:rPr>
          <w:rFonts w:hint="cs"/>
          <w:rtl/>
        </w:rPr>
        <w:t xml:space="preserve">באור </w:t>
      </w:r>
      <w:r w:rsidR="00DB3160">
        <w:rPr>
          <w:rFonts w:hint="cs"/>
          <w:rtl/>
        </w:rPr>
        <w:t>16</w:t>
      </w:r>
      <w:r>
        <w:rPr>
          <w:rFonts w:hint="cs"/>
          <w:rtl/>
        </w:rPr>
        <w:t>: -</w:t>
      </w:r>
      <w:r>
        <w:rPr>
          <w:rFonts w:hint="cs"/>
          <w:rtl/>
        </w:rPr>
        <w:tab/>
      </w:r>
      <w:r>
        <w:rPr>
          <w:rFonts w:hint="cs"/>
          <w:u w:val="single"/>
          <w:rtl/>
        </w:rPr>
        <w:t>מגזרי פעילות</w:t>
      </w:r>
      <w:r>
        <w:rPr>
          <w:rFonts w:hint="cs"/>
          <w:rtl/>
        </w:rPr>
        <w:t xml:space="preserve"> (המשך)</w:t>
      </w:r>
      <w:bookmarkEnd w:id="55"/>
    </w:p>
    <w:tbl>
      <w:tblPr>
        <w:bidiVisual/>
        <w:tblW w:w="7973" w:type="dxa"/>
        <w:tblInd w:w="1700" w:type="dxa"/>
        <w:tblLayout w:type="fixed"/>
        <w:tblCellMar>
          <w:left w:w="0" w:type="dxa"/>
          <w:right w:w="0" w:type="dxa"/>
        </w:tblCellMar>
        <w:tblLook w:val="0000" w:firstRow="0" w:lastRow="0" w:firstColumn="0" w:lastColumn="0" w:noHBand="0" w:noVBand="0"/>
      </w:tblPr>
      <w:tblGrid>
        <w:gridCol w:w="2127"/>
        <w:gridCol w:w="113"/>
        <w:gridCol w:w="804"/>
        <w:gridCol w:w="140"/>
        <w:gridCol w:w="1043"/>
        <w:gridCol w:w="140"/>
        <w:gridCol w:w="804"/>
        <w:gridCol w:w="140"/>
        <w:gridCol w:w="804"/>
        <w:gridCol w:w="140"/>
        <w:gridCol w:w="804"/>
        <w:gridCol w:w="110"/>
        <w:gridCol w:w="804"/>
      </w:tblGrid>
      <w:tr w:rsidR="00526253" w:rsidRPr="0097675E" w14:paraId="1CFDCFE6" w14:textId="77777777" w:rsidTr="00473B27">
        <w:tc>
          <w:tcPr>
            <w:tcW w:w="2127" w:type="dxa"/>
            <w:vAlign w:val="bottom"/>
          </w:tcPr>
          <w:p w14:paraId="508F31E0" w14:textId="77777777" w:rsidR="00526253" w:rsidRPr="00E72837" w:rsidRDefault="00526253" w:rsidP="0097675E">
            <w:pPr>
              <w:pStyle w:val="a3"/>
              <w:tabs>
                <w:tab w:val="left" w:pos="227"/>
                <w:tab w:val="left" w:pos="397"/>
                <w:tab w:val="left" w:pos="567"/>
              </w:tabs>
              <w:spacing w:line="200" w:lineRule="exact"/>
              <w:jc w:val="center"/>
              <w:rPr>
                <w:sz w:val="16"/>
                <w:szCs w:val="18"/>
              </w:rPr>
            </w:pPr>
          </w:p>
        </w:tc>
        <w:tc>
          <w:tcPr>
            <w:tcW w:w="113" w:type="dxa"/>
          </w:tcPr>
          <w:p w14:paraId="2079415C" w14:textId="77777777" w:rsidR="00526253" w:rsidRPr="0097675E" w:rsidRDefault="00526253" w:rsidP="0097675E">
            <w:pPr>
              <w:pStyle w:val="a3"/>
              <w:tabs>
                <w:tab w:val="left" w:pos="227"/>
                <w:tab w:val="left" w:pos="397"/>
                <w:tab w:val="left" w:pos="567"/>
              </w:tabs>
              <w:spacing w:line="200" w:lineRule="exact"/>
              <w:ind w:left="227" w:hanging="397"/>
              <w:jc w:val="center"/>
              <w:rPr>
                <w:sz w:val="18"/>
                <w:szCs w:val="20"/>
              </w:rPr>
            </w:pPr>
          </w:p>
        </w:tc>
        <w:tc>
          <w:tcPr>
            <w:tcW w:w="804" w:type="dxa"/>
            <w:tcBorders>
              <w:top w:val="nil"/>
              <w:left w:val="nil"/>
              <w:bottom w:val="single" w:sz="6" w:space="0" w:color="auto"/>
              <w:right w:val="nil"/>
            </w:tcBorders>
            <w:vAlign w:val="bottom"/>
          </w:tcPr>
          <w:p w14:paraId="66CD17DF" w14:textId="77777777" w:rsidR="00526253" w:rsidRPr="00E72837" w:rsidRDefault="00526253" w:rsidP="00E72837">
            <w:pPr>
              <w:spacing w:line="180" w:lineRule="exact"/>
              <w:jc w:val="center"/>
              <w:rPr>
                <w:b/>
                <w:sz w:val="18"/>
                <w:szCs w:val="18"/>
              </w:rPr>
            </w:pPr>
            <w:r w:rsidRPr="00E72837">
              <w:rPr>
                <w:rFonts w:hint="cs"/>
                <w:b/>
                <w:sz w:val="18"/>
                <w:szCs w:val="18"/>
                <w:rtl/>
              </w:rPr>
              <w:t>מגזר ציוד למניעת שריפות</w:t>
            </w:r>
          </w:p>
        </w:tc>
        <w:tc>
          <w:tcPr>
            <w:tcW w:w="140" w:type="dxa"/>
            <w:vAlign w:val="bottom"/>
          </w:tcPr>
          <w:p w14:paraId="6519C1B7" w14:textId="77777777" w:rsidR="00526253" w:rsidRPr="00E72837" w:rsidRDefault="00526253" w:rsidP="00E72837">
            <w:pPr>
              <w:spacing w:line="180" w:lineRule="exact"/>
              <w:jc w:val="center"/>
              <w:rPr>
                <w:b/>
                <w:sz w:val="18"/>
                <w:szCs w:val="18"/>
              </w:rPr>
            </w:pPr>
          </w:p>
        </w:tc>
        <w:tc>
          <w:tcPr>
            <w:tcW w:w="1043" w:type="dxa"/>
            <w:tcBorders>
              <w:top w:val="nil"/>
              <w:left w:val="nil"/>
              <w:bottom w:val="single" w:sz="6" w:space="0" w:color="auto"/>
              <w:right w:val="nil"/>
            </w:tcBorders>
            <w:vAlign w:val="bottom"/>
          </w:tcPr>
          <w:p w14:paraId="2829856A" w14:textId="77777777" w:rsidR="00526253" w:rsidRPr="00E72837" w:rsidRDefault="00526253" w:rsidP="00E72837">
            <w:pPr>
              <w:spacing w:line="180" w:lineRule="exact"/>
              <w:jc w:val="center"/>
              <w:rPr>
                <w:b/>
                <w:sz w:val="18"/>
                <w:szCs w:val="18"/>
              </w:rPr>
            </w:pPr>
            <w:r w:rsidRPr="00E72837">
              <w:rPr>
                <w:rFonts w:hint="cs"/>
                <w:b/>
                <w:sz w:val="18"/>
                <w:szCs w:val="18"/>
                <w:rtl/>
              </w:rPr>
              <w:t>מגזר אלקטרוניקה</w:t>
            </w:r>
          </w:p>
        </w:tc>
        <w:tc>
          <w:tcPr>
            <w:tcW w:w="140" w:type="dxa"/>
            <w:vAlign w:val="bottom"/>
          </w:tcPr>
          <w:p w14:paraId="5BEFF79E" w14:textId="77777777" w:rsidR="00526253" w:rsidRPr="00E72837" w:rsidRDefault="00526253" w:rsidP="00E72837">
            <w:pPr>
              <w:spacing w:line="180" w:lineRule="exact"/>
              <w:jc w:val="center"/>
              <w:rPr>
                <w:b/>
                <w:sz w:val="18"/>
                <w:szCs w:val="18"/>
              </w:rPr>
            </w:pPr>
          </w:p>
        </w:tc>
        <w:tc>
          <w:tcPr>
            <w:tcW w:w="804" w:type="dxa"/>
            <w:tcBorders>
              <w:top w:val="nil"/>
              <w:left w:val="nil"/>
              <w:bottom w:val="single" w:sz="6" w:space="0" w:color="auto"/>
              <w:right w:val="nil"/>
            </w:tcBorders>
            <w:vAlign w:val="bottom"/>
          </w:tcPr>
          <w:p w14:paraId="1FFB4683" w14:textId="77777777" w:rsidR="00526253" w:rsidRPr="00E72837" w:rsidRDefault="00526253" w:rsidP="00E72837">
            <w:pPr>
              <w:spacing w:line="180" w:lineRule="exact"/>
              <w:jc w:val="center"/>
              <w:rPr>
                <w:b/>
                <w:sz w:val="18"/>
                <w:szCs w:val="18"/>
              </w:rPr>
            </w:pPr>
            <w:r w:rsidRPr="00E72837">
              <w:rPr>
                <w:rFonts w:hint="cs"/>
                <w:b/>
                <w:sz w:val="18"/>
                <w:szCs w:val="18"/>
                <w:rtl/>
              </w:rPr>
              <w:t>מגזר נדל"ן להשקעה</w:t>
            </w:r>
          </w:p>
        </w:tc>
        <w:tc>
          <w:tcPr>
            <w:tcW w:w="140" w:type="dxa"/>
            <w:vAlign w:val="bottom"/>
          </w:tcPr>
          <w:p w14:paraId="05CCC877" w14:textId="77777777" w:rsidR="00526253" w:rsidRPr="00E72837" w:rsidRDefault="00526253" w:rsidP="00E72837">
            <w:pPr>
              <w:spacing w:line="180" w:lineRule="exact"/>
              <w:jc w:val="center"/>
              <w:rPr>
                <w:b/>
                <w:sz w:val="18"/>
                <w:szCs w:val="18"/>
              </w:rPr>
            </w:pPr>
          </w:p>
        </w:tc>
        <w:tc>
          <w:tcPr>
            <w:tcW w:w="804" w:type="dxa"/>
            <w:tcBorders>
              <w:top w:val="nil"/>
              <w:left w:val="nil"/>
              <w:bottom w:val="single" w:sz="6" w:space="0" w:color="auto"/>
              <w:right w:val="nil"/>
            </w:tcBorders>
            <w:vAlign w:val="bottom"/>
          </w:tcPr>
          <w:p w14:paraId="1C332B8A" w14:textId="77777777" w:rsidR="00F41C12" w:rsidRPr="00E72837" w:rsidRDefault="001565D5" w:rsidP="00E72837">
            <w:pPr>
              <w:spacing w:line="180" w:lineRule="exact"/>
              <w:jc w:val="center"/>
              <w:rPr>
                <w:b/>
                <w:sz w:val="18"/>
                <w:szCs w:val="18"/>
              </w:rPr>
            </w:pPr>
            <w:r w:rsidRPr="00E72837">
              <w:rPr>
                <w:rFonts w:hint="cs"/>
                <w:b/>
                <w:sz w:val="18"/>
                <w:szCs w:val="18"/>
                <w:rtl/>
              </w:rPr>
              <w:t>פעילויות אחרות</w:t>
            </w:r>
          </w:p>
        </w:tc>
        <w:tc>
          <w:tcPr>
            <w:tcW w:w="140" w:type="dxa"/>
            <w:vAlign w:val="bottom"/>
          </w:tcPr>
          <w:p w14:paraId="721A0A59" w14:textId="77777777" w:rsidR="00526253" w:rsidRPr="00E72837" w:rsidRDefault="00526253" w:rsidP="00E72837">
            <w:pPr>
              <w:spacing w:line="180" w:lineRule="exact"/>
              <w:jc w:val="center"/>
              <w:rPr>
                <w:b/>
                <w:sz w:val="18"/>
                <w:szCs w:val="18"/>
              </w:rPr>
            </w:pPr>
          </w:p>
        </w:tc>
        <w:tc>
          <w:tcPr>
            <w:tcW w:w="804" w:type="dxa"/>
            <w:tcBorders>
              <w:top w:val="nil"/>
              <w:left w:val="nil"/>
              <w:bottom w:val="single" w:sz="6" w:space="0" w:color="auto"/>
              <w:right w:val="nil"/>
            </w:tcBorders>
            <w:vAlign w:val="bottom"/>
          </w:tcPr>
          <w:p w14:paraId="6C0BE187" w14:textId="77777777" w:rsidR="00526253" w:rsidRPr="00E72837" w:rsidRDefault="00526253" w:rsidP="00E72837">
            <w:pPr>
              <w:spacing w:line="180" w:lineRule="exact"/>
              <w:jc w:val="center"/>
              <w:rPr>
                <w:b/>
                <w:sz w:val="18"/>
                <w:szCs w:val="18"/>
              </w:rPr>
            </w:pPr>
            <w:r w:rsidRPr="00E72837">
              <w:rPr>
                <w:rFonts w:hint="cs"/>
                <w:b/>
                <w:sz w:val="18"/>
                <w:szCs w:val="18"/>
                <w:rtl/>
              </w:rPr>
              <w:t>התאמות</w:t>
            </w:r>
            <w:r w:rsidR="001565D5" w:rsidRPr="00E72837">
              <w:rPr>
                <w:b/>
                <w:color w:val="FF0000"/>
                <w:sz w:val="18"/>
                <w:szCs w:val="18"/>
                <w:rtl/>
              </w:rPr>
              <w:footnoteReference w:id="116"/>
            </w:r>
          </w:p>
        </w:tc>
        <w:tc>
          <w:tcPr>
            <w:tcW w:w="110" w:type="dxa"/>
            <w:vAlign w:val="bottom"/>
          </w:tcPr>
          <w:p w14:paraId="1ED7F926" w14:textId="77777777" w:rsidR="00526253" w:rsidRPr="00E72837" w:rsidRDefault="00526253" w:rsidP="00E72837">
            <w:pPr>
              <w:spacing w:line="180" w:lineRule="exact"/>
              <w:jc w:val="center"/>
              <w:rPr>
                <w:b/>
                <w:sz w:val="18"/>
                <w:szCs w:val="18"/>
              </w:rPr>
            </w:pPr>
          </w:p>
        </w:tc>
        <w:tc>
          <w:tcPr>
            <w:tcW w:w="804" w:type="dxa"/>
            <w:tcBorders>
              <w:top w:val="nil"/>
              <w:left w:val="nil"/>
              <w:bottom w:val="single" w:sz="6" w:space="0" w:color="auto"/>
              <w:right w:val="nil"/>
            </w:tcBorders>
            <w:vAlign w:val="bottom"/>
          </w:tcPr>
          <w:p w14:paraId="5E7DD914" w14:textId="77777777" w:rsidR="00526253" w:rsidRPr="00E72837" w:rsidRDefault="00526253" w:rsidP="00E72837">
            <w:pPr>
              <w:spacing w:line="180" w:lineRule="exact"/>
              <w:jc w:val="center"/>
              <w:rPr>
                <w:b/>
                <w:sz w:val="18"/>
                <w:szCs w:val="18"/>
              </w:rPr>
            </w:pPr>
            <w:r w:rsidRPr="00E72837">
              <w:rPr>
                <w:rFonts w:hint="cs"/>
                <w:b/>
                <w:sz w:val="18"/>
                <w:szCs w:val="18"/>
                <w:rtl/>
              </w:rPr>
              <w:t>סה"כ</w:t>
            </w:r>
          </w:p>
        </w:tc>
      </w:tr>
      <w:tr w:rsidR="00526253" w:rsidRPr="0097675E" w14:paraId="62B7BB28" w14:textId="77777777" w:rsidTr="00473B27">
        <w:tc>
          <w:tcPr>
            <w:tcW w:w="2127" w:type="dxa"/>
            <w:vAlign w:val="bottom"/>
          </w:tcPr>
          <w:p w14:paraId="501D7927" w14:textId="77777777" w:rsidR="00526253" w:rsidRPr="00E72837" w:rsidRDefault="00526253" w:rsidP="0097675E">
            <w:pPr>
              <w:pStyle w:val="a3"/>
              <w:tabs>
                <w:tab w:val="left" w:pos="227"/>
                <w:tab w:val="left" w:pos="397"/>
                <w:tab w:val="left" w:pos="567"/>
              </w:tabs>
              <w:spacing w:line="200" w:lineRule="exact"/>
              <w:jc w:val="center"/>
              <w:rPr>
                <w:sz w:val="16"/>
                <w:szCs w:val="18"/>
              </w:rPr>
            </w:pPr>
          </w:p>
        </w:tc>
        <w:tc>
          <w:tcPr>
            <w:tcW w:w="113" w:type="dxa"/>
          </w:tcPr>
          <w:p w14:paraId="15BDBBC4" w14:textId="77777777" w:rsidR="00526253" w:rsidRPr="0097675E" w:rsidRDefault="00526253" w:rsidP="0097675E">
            <w:pPr>
              <w:pStyle w:val="a3"/>
              <w:tabs>
                <w:tab w:val="left" w:pos="227"/>
                <w:tab w:val="left" w:pos="397"/>
                <w:tab w:val="left" w:pos="567"/>
              </w:tabs>
              <w:spacing w:line="200" w:lineRule="exact"/>
              <w:ind w:left="227" w:hanging="397"/>
              <w:jc w:val="center"/>
              <w:rPr>
                <w:sz w:val="18"/>
                <w:szCs w:val="20"/>
              </w:rPr>
            </w:pPr>
          </w:p>
        </w:tc>
        <w:tc>
          <w:tcPr>
            <w:tcW w:w="5733" w:type="dxa"/>
            <w:gridSpan w:val="11"/>
            <w:tcBorders>
              <w:top w:val="nil"/>
              <w:left w:val="nil"/>
              <w:bottom w:val="single" w:sz="6" w:space="0" w:color="auto"/>
              <w:right w:val="nil"/>
            </w:tcBorders>
            <w:vAlign w:val="bottom"/>
          </w:tcPr>
          <w:p w14:paraId="2AD90594" w14:textId="77777777" w:rsidR="00526253" w:rsidRPr="0097675E" w:rsidRDefault="00526253" w:rsidP="0097675E">
            <w:pPr>
              <w:pStyle w:val="af5"/>
              <w:pBdr>
                <w:bottom w:val="none" w:sz="0" w:space="0" w:color="auto"/>
              </w:pBdr>
              <w:spacing w:line="200" w:lineRule="exact"/>
              <w:ind w:left="57"/>
              <w:rPr>
                <w:b w:val="0"/>
                <w:bCs w:val="0"/>
                <w:sz w:val="18"/>
                <w:szCs w:val="20"/>
              </w:rPr>
            </w:pPr>
            <w:r w:rsidRPr="0097675E">
              <w:rPr>
                <w:rFonts w:hint="cs"/>
                <w:b w:val="0"/>
                <w:bCs w:val="0"/>
                <w:sz w:val="18"/>
                <w:szCs w:val="20"/>
                <w:rtl/>
              </w:rPr>
              <w:t>מבוקר</w:t>
            </w:r>
          </w:p>
        </w:tc>
      </w:tr>
      <w:tr w:rsidR="00526253" w:rsidRPr="0097675E" w14:paraId="6C87E24C" w14:textId="77777777" w:rsidTr="00473B27">
        <w:tc>
          <w:tcPr>
            <w:tcW w:w="2127" w:type="dxa"/>
            <w:vAlign w:val="bottom"/>
          </w:tcPr>
          <w:p w14:paraId="3D93D6CE" w14:textId="77777777" w:rsidR="00526253" w:rsidRPr="00E72837" w:rsidRDefault="00526253" w:rsidP="0097675E">
            <w:pPr>
              <w:pStyle w:val="a3"/>
              <w:tabs>
                <w:tab w:val="left" w:pos="227"/>
                <w:tab w:val="left" w:pos="397"/>
                <w:tab w:val="left" w:pos="567"/>
              </w:tabs>
              <w:spacing w:line="200" w:lineRule="exact"/>
              <w:jc w:val="center"/>
              <w:rPr>
                <w:sz w:val="16"/>
                <w:szCs w:val="18"/>
              </w:rPr>
            </w:pPr>
          </w:p>
        </w:tc>
        <w:tc>
          <w:tcPr>
            <w:tcW w:w="113" w:type="dxa"/>
          </w:tcPr>
          <w:p w14:paraId="6BA47E8A" w14:textId="77777777" w:rsidR="00526253" w:rsidRPr="0097675E" w:rsidRDefault="00526253" w:rsidP="0097675E">
            <w:pPr>
              <w:pStyle w:val="a3"/>
              <w:tabs>
                <w:tab w:val="left" w:pos="227"/>
                <w:tab w:val="left" w:pos="397"/>
                <w:tab w:val="left" w:pos="567"/>
              </w:tabs>
              <w:spacing w:line="200" w:lineRule="exact"/>
              <w:ind w:left="227" w:hanging="397"/>
              <w:jc w:val="center"/>
              <w:rPr>
                <w:sz w:val="18"/>
                <w:szCs w:val="20"/>
              </w:rPr>
            </w:pPr>
          </w:p>
        </w:tc>
        <w:tc>
          <w:tcPr>
            <w:tcW w:w="5733" w:type="dxa"/>
            <w:gridSpan w:val="11"/>
            <w:tcBorders>
              <w:top w:val="nil"/>
              <w:left w:val="nil"/>
              <w:bottom w:val="single" w:sz="6" w:space="0" w:color="auto"/>
              <w:right w:val="nil"/>
            </w:tcBorders>
            <w:vAlign w:val="bottom"/>
          </w:tcPr>
          <w:p w14:paraId="20976EF1" w14:textId="77777777" w:rsidR="00526253" w:rsidRPr="0097675E" w:rsidRDefault="00526253" w:rsidP="0097675E">
            <w:pPr>
              <w:pStyle w:val="af5"/>
              <w:pBdr>
                <w:bottom w:val="none" w:sz="0" w:space="0" w:color="auto"/>
              </w:pBdr>
              <w:spacing w:line="200" w:lineRule="exact"/>
              <w:ind w:left="57"/>
              <w:rPr>
                <w:sz w:val="18"/>
                <w:szCs w:val="20"/>
              </w:rPr>
            </w:pPr>
            <w:r w:rsidRPr="0097675E">
              <w:rPr>
                <w:rFonts w:hint="cs"/>
                <w:b w:val="0"/>
                <w:bCs w:val="0"/>
                <w:sz w:val="18"/>
                <w:szCs w:val="20"/>
                <w:rtl/>
              </w:rPr>
              <w:t>אלפי ש"ח</w:t>
            </w:r>
          </w:p>
        </w:tc>
      </w:tr>
      <w:tr w:rsidR="00526253" w:rsidRPr="0097675E" w14:paraId="4C853095" w14:textId="77777777" w:rsidTr="00473B27">
        <w:tc>
          <w:tcPr>
            <w:tcW w:w="2127" w:type="dxa"/>
            <w:vAlign w:val="bottom"/>
          </w:tcPr>
          <w:p w14:paraId="34017A24" w14:textId="77777777" w:rsidR="00526253" w:rsidRPr="00E72837" w:rsidRDefault="00526253" w:rsidP="0097675E">
            <w:pPr>
              <w:pStyle w:val="a3"/>
              <w:widowControl/>
              <w:tabs>
                <w:tab w:val="left" w:pos="227"/>
                <w:tab w:val="left" w:pos="397"/>
                <w:tab w:val="left" w:pos="567"/>
              </w:tabs>
              <w:spacing w:line="200" w:lineRule="exact"/>
              <w:ind w:left="0"/>
              <w:rPr>
                <w:sz w:val="16"/>
                <w:szCs w:val="18"/>
                <w:rtl/>
              </w:rPr>
            </w:pPr>
          </w:p>
        </w:tc>
        <w:tc>
          <w:tcPr>
            <w:tcW w:w="113" w:type="dxa"/>
          </w:tcPr>
          <w:p w14:paraId="37B78CB9"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179E604A"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140" w:type="dxa"/>
          </w:tcPr>
          <w:p w14:paraId="31E0AA82"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1043" w:type="dxa"/>
            <w:shd w:val="clear" w:color="auto" w:fill="auto"/>
            <w:vAlign w:val="bottom"/>
          </w:tcPr>
          <w:p w14:paraId="12FA1CD7"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140" w:type="dxa"/>
          </w:tcPr>
          <w:p w14:paraId="20310EE4"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15150FCE"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140" w:type="dxa"/>
          </w:tcPr>
          <w:p w14:paraId="640C168B"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3EC9C1FD"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140" w:type="dxa"/>
          </w:tcPr>
          <w:p w14:paraId="5D23EB8A"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460FE4CD"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110" w:type="dxa"/>
          </w:tcPr>
          <w:p w14:paraId="6AC953E1"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804" w:type="dxa"/>
            <w:tcBorders>
              <w:top w:val="single" w:sz="6" w:space="0" w:color="auto"/>
            </w:tcBorders>
            <w:shd w:val="clear" w:color="auto" w:fill="auto"/>
            <w:vAlign w:val="bottom"/>
          </w:tcPr>
          <w:p w14:paraId="48A3BC8C"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r>
      <w:tr w:rsidR="00AB7D68" w:rsidRPr="0097675E" w14:paraId="14097D99" w14:textId="77777777" w:rsidTr="00473B27">
        <w:tc>
          <w:tcPr>
            <w:tcW w:w="2127" w:type="dxa"/>
            <w:vAlign w:val="bottom"/>
          </w:tcPr>
          <w:p w14:paraId="2CA5A949" w14:textId="27BCB40F" w:rsidR="008D22FA" w:rsidRPr="00E72837" w:rsidRDefault="00AB7D68" w:rsidP="008A629F">
            <w:pPr>
              <w:pStyle w:val="a3"/>
              <w:tabs>
                <w:tab w:val="left" w:pos="227"/>
                <w:tab w:val="left" w:pos="397"/>
                <w:tab w:val="left" w:pos="567"/>
              </w:tabs>
              <w:spacing w:line="200" w:lineRule="exact"/>
              <w:ind w:left="227" w:hanging="170"/>
              <w:rPr>
                <w:sz w:val="16"/>
                <w:szCs w:val="18"/>
              </w:rPr>
            </w:pPr>
            <w:r w:rsidRPr="00E72837">
              <w:rPr>
                <w:rFonts w:hint="cs"/>
                <w:sz w:val="16"/>
                <w:szCs w:val="18"/>
                <w:u w:val="single"/>
                <w:rtl/>
              </w:rPr>
              <w:t xml:space="preserve">לשנה שהסתיימה ביום 31 בדצמבר, </w:t>
            </w:r>
            <w:r w:rsidR="004F7D3D" w:rsidRPr="00E72837">
              <w:rPr>
                <w:rFonts w:hint="cs"/>
                <w:sz w:val="16"/>
                <w:szCs w:val="18"/>
                <w:u w:val="single"/>
                <w:rtl/>
              </w:rPr>
              <w:t>201</w:t>
            </w:r>
            <w:r w:rsidR="008A629F">
              <w:rPr>
                <w:rFonts w:hint="cs"/>
                <w:sz w:val="16"/>
                <w:szCs w:val="18"/>
                <w:u w:val="single"/>
                <w:rtl/>
              </w:rPr>
              <w:t>8</w:t>
            </w:r>
          </w:p>
        </w:tc>
        <w:tc>
          <w:tcPr>
            <w:tcW w:w="113" w:type="dxa"/>
          </w:tcPr>
          <w:p w14:paraId="6A5C113C" w14:textId="77777777" w:rsidR="00AB7D68" w:rsidRPr="0097675E" w:rsidRDefault="00AB7D68" w:rsidP="0097675E">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690E2215" w14:textId="77777777" w:rsidR="00AB7D68" w:rsidRPr="0097675E" w:rsidRDefault="00AB7D68" w:rsidP="0097675E">
            <w:pPr>
              <w:tabs>
                <w:tab w:val="decimal" w:pos="113"/>
              </w:tabs>
              <w:spacing w:line="200" w:lineRule="exact"/>
              <w:ind w:left="57"/>
              <w:rPr>
                <w:sz w:val="18"/>
                <w:szCs w:val="20"/>
              </w:rPr>
            </w:pPr>
          </w:p>
        </w:tc>
        <w:tc>
          <w:tcPr>
            <w:tcW w:w="140" w:type="dxa"/>
          </w:tcPr>
          <w:p w14:paraId="5E3E600F" w14:textId="77777777" w:rsidR="00AB7D68" w:rsidRPr="0097675E" w:rsidRDefault="00AB7D68" w:rsidP="0097675E">
            <w:pPr>
              <w:tabs>
                <w:tab w:val="decimal" w:pos="113"/>
              </w:tabs>
              <w:spacing w:line="200" w:lineRule="exact"/>
              <w:ind w:left="57"/>
              <w:rPr>
                <w:sz w:val="18"/>
                <w:szCs w:val="20"/>
              </w:rPr>
            </w:pPr>
          </w:p>
        </w:tc>
        <w:tc>
          <w:tcPr>
            <w:tcW w:w="1043" w:type="dxa"/>
            <w:tcBorders>
              <w:top w:val="nil"/>
              <w:left w:val="nil"/>
              <w:right w:val="nil"/>
            </w:tcBorders>
            <w:vAlign w:val="bottom"/>
          </w:tcPr>
          <w:p w14:paraId="19F816E3" w14:textId="77777777" w:rsidR="00AB7D68" w:rsidRPr="0097675E" w:rsidRDefault="00AB7D68" w:rsidP="0097675E">
            <w:pPr>
              <w:tabs>
                <w:tab w:val="decimal" w:pos="113"/>
              </w:tabs>
              <w:spacing w:line="200" w:lineRule="exact"/>
              <w:ind w:left="57"/>
              <w:rPr>
                <w:sz w:val="18"/>
                <w:szCs w:val="20"/>
              </w:rPr>
            </w:pPr>
          </w:p>
        </w:tc>
        <w:tc>
          <w:tcPr>
            <w:tcW w:w="140" w:type="dxa"/>
          </w:tcPr>
          <w:p w14:paraId="5D92CA78" w14:textId="77777777" w:rsidR="00AB7D68" w:rsidRPr="0097675E" w:rsidRDefault="00AB7D68" w:rsidP="0097675E">
            <w:pPr>
              <w:tabs>
                <w:tab w:val="decimal" w:pos="113"/>
              </w:tabs>
              <w:spacing w:line="200" w:lineRule="exact"/>
              <w:ind w:left="57"/>
              <w:rPr>
                <w:sz w:val="18"/>
                <w:szCs w:val="20"/>
              </w:rPr>
            </w:pPr>
          </w:p>
        </w:tc>
        <w:tc>
          <w:tcPr>
            <w:tcW w:w="804" w:type="dxa"/>
            <w:tcBorders>
              <w:top w:val="nil"/>
              <w:left w:val="nil"/>
              <w:right w:val="nil"/>
            </w:tcBorders>
            <w:vAlign w:val="bottom"/>
          </w:tcPr>
          <w:p w14:paraId="636E4CC9" w14:textId="77777777" w:rsidR="00AB7D68" w:rsidRPr="0097675E" w:rsidRDefault="00AB7D68" w:rsidP="0097675E">
            <w:pPr>
              <w:tabs>
                <w:tab w:val="decimal" w:pos="113"/>
              </w:tabs>
              <w:spacing w:line="200" w:lineRule="exact"/>
              <w:ind w:left="57"/>
              <w:rPr>
                <w:sz w:val="18"/>
                <w:szCs w:val="20"/>
              </w:rPr>
            </w:pPr>
          </w:p>
        </w:tc>
        <w:tc>
          <w:tcPr>
            <w:tcW w:w="140" w:type="dxa"/>
          </w:tcPr>
          <w:p w14:paraId="1984AA24" w14:textId="77777777" w:rsidR="00AB7D68" w:rsidRPr="0097675E" w:rsidRDefault="00AB7D68" w:rsidP="0097675E">
            <w:pPr>
              <w:tabs>
                <w:tab w:val="decimal" w:pos="113"/>
              </w:tabs>
              <w:spacing w:line="200" w:lineRule="exact"/>
              <w:ind w:left="57"/>
              <w:rPr>
                <w:sz w:val="18"/>
                <w:szCs w:val="20"/>
              </w:rPr>
            </w:pPr>
          </w:p>
        </w:tc>
        <w:tc>
          <w:tcPr>
            <w:tcW w:w="804" w:type="dxa"/>
            <w:tcBorders>
              <w:top w:val="nil"/>
              <w:left w:val="nil"/>
              <w:right w:val="nil"/>
            </w:tcBorders>
            <w:vAlign w:val="bottom"/>
          </w:tcPr>
          <w:p w14:paraId="117FE8DE" w14:textId="77777777" w:rsidR="00AB7D68" w:rsidRPr="0097675E" w:rsidRDefault="00AB7D68" w:rsidP="0097675E">
            <w:pPr>
              <w:tabs>
                <w:tab w:val="decimal" w:pos="113"/>
              </w:tabs>
              <w:spacing w:line="200" w:lineRule="exact"/>
              <w:ind w:left="57"/>
              <w:rPr>
                <w:sz w:val="18"/>
                <w:szCs w:val="20"/>
              </w:rPr>
            </w:pPr>
          </w:p>
        </w:tc>
        <w:tc>
          <w:tcPr>
            <w:tcW w:w="140" w:type="dxa"/>
          </w:tcPr>
          <w:p w14:paraId="7315528E" w14:textId="77777777" w:rsidR="00AB7D68" w:rsidRPr="0097675E" w:rsidRDefault="00AB7D68" w:rsidP="0097675E">
            <w:pPr>
              <w:tabs>
                <w:tab w:val="decimal" w:pos="113"/>
              </w:tabs>
              <w:spacing w:line="200" w:lineRule="exact"/>
              <w:ind w:left="57"/>
              <w:rPr>
                <w:sz w:val="18"/>
                <w:szCs w:val="20"/>
              </w:rPr>
            </w:pPr>
          </w:p>
        </w:tc>
        <w:tc>
          <w:tcPr>
            <w:tcW w:w="804" w:type="dxa"/>
            <w:tcBorders>
              <w:top w:val="nil"/>
              <w:left w:val="nil"/>
              <w:right w:val="nil"/>
            </w:tcBorders>
            <w:vAlign w:val="bottom"/>
          </w:tcPr>
          <w:p w14:paraId="140CFD7C" w14:textId="77777777" w:rsidR="00AB7D68" w:rsidRPr="0097675E" w:rsidRDefault="00AB7D68" w:rsidP="0097675E">
            <w:pPr>
              <w:tabs>
                <w:tab w:val="decimal" w:pos="113"/>
              </w:tabs>
              <w:spacing w:line="200" w:lineRule="exact"/>
              <w:ind w:left="57"/>
              <w:rPr>
                <w:sz w:val="18"/>
                <w:szCs w:val="20"/>
              </w:rPr>
            </w:pPr>
          </w:p>
        </w:tc>
        <w:tc>
          <w:tcPr>
            <w:tcW w:w="110" w:type="dxa"/>
          </w:tcPr>
          <w:p w14:paraId="5165471A" w14:textId="77777777" w:rsidR="00AB7D68" w:rsidRPr="0097675E" w:rsidRDefault="00AB7D68" w:rsidP="0097675E">
            <w:pPr>
              <w:tabs>
                <w:tab w:val="decimal" w:pos="113"/>
              </w:tabs>
              <w:spacing w:line="200" w:lineRule="exact"/>
              <w:ind w:left="57"/>
              <w:rPr>
                <w:sz w:val="18"/>
                <w:szCs w:val="20"/>
              </w:rPr>
            </w:pPr>
          </w:p>
        </w:tc>
        <w:tc>
          <w:tcPr>
            <w:tcW w:w="804" w:type="dxa"/>
            <w:tcBorders>
              <w:top w:val="nil"/>
              <w:left w:val="nil"/>
              <w:right w:val="nil"/>
            </w:tcBorders>
            <w:vAlign w:val="bottom"/>
          </w:tcPr>
          <w:p w14:paraId="35658E1B" w14:textId="77777777" w:rsidR="00AB7D68" w:rsidRPr="0097675E" w:rsidRDefault="00AB7D68" w:rsidP="0097675E">
            <w:pPr>
              <w:tabs>
                <w:tab w:val="decimal" w:pos="113"/>
              </w:tabs>
              <w:spacing w:line="200" w:lineRule="exact"/>
              <w:ind w:left="57"/>
              <w:rPr>
                <w:sz w:val="18"/>
                <w:szCs w:val="20"/>
              </w:rPr>
            </w:pPr>
          </w:p>
        </w:tc>
      </w:tr>
      <w:tr w:rsidR="00473B27" w:rsidRPr="0097675E" w14:paraId="3ECEDCB9" w14:textId="77777777" w:rsidTr="00473B27">
        <w:tc>
          <w:tcPr>
            <w:tcW w:w="2127" w:type="dxa"/>
            <w:vAlign w:val="bottom"/>
          </w:tcPr>
          <w:p w14:paraId="4B241D9D" w14:textId="799547EB" w:rsidR="00473B27" w:rsidRPr="00473B27" w:rsidRDefault="00473B27" w:rsidP="00473B27">
            <w:pPr>
              <w:pStyle w:val="a3"/>
              <w:tabs>
                <w:tab w:val="left" w:pos="227"/>
                <w:tab w:val="left" w:pos="397"/>
                <w:tab w:val="left" w:pos="567"/>
              </w:tabs>
              <w:spacing w:line="180" w:lineRule="exact"/>
              <w:rPr>
                <w:b/>
                <w:bCs/>
                <w:sz w:val="18"/>
                <w:szCs w:val="18"/>
                <w:rtl/>
              </w:rPr>
            </w:pPr>
            <w:r>
              <w:rPr>
                <w:rFonts w:hint="cs"/>
                <w:b/>
                <w:bCs/>
                <w:sz w:val="18"/>
                <w:szCs w:val="18"/>
                <w:rtl/>
              </w:rPr>
              <w:t>פילוח גיאורגרפי:</w:t>
            </w:r>
          </w:p>
        </w:tc>
        <w:tc>
          <w:tcPr>
            <w:tcW w:w="113" w:type="dxa"/>
          </w:tcPr>
          <w:p w14:paraId="4390F15E"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2A887B1E"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50E7EAD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tcBorders>
              <w:top w:val="nil"/>
              <w:left w:val="nil"/>
              <w:right w:val="nil"/>
            </w:tcBorders>
            <w:vAlign w:val="bottom"/>
          </w:tcPr>
          <w:p w14:paraId="6C28214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5A907F7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74771C1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187DCE71"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2D657322"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27FEAE07"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706711B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3D207FA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22CD735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5ED0C6C0" w14:textId="77777777" w:rsidTr="00473B27">
        <w:tc>
          <w:tcPr>
            <w:tcW w:w="2127" w:type="dxa"/>
            <w:vAlign w:val="bottom"/>
          </w:tcPr>
          <w:p w14:paraId="20F6724F" w14:textId="6EF4E965" w:rsidR="00473B27" w:rsidRPr="00473B27" w:rsidRDefault="00473B27" w:rsidP="00473B27">
            <w:pPr>
              <w:pStyle w:val="a3"/>
              <w:tabs>
                <w:tab w:val="left" w:pos="227"/>
                <w:tab w:val="left" w:pos="397"/>
                <w:tab w:val="left" w:pos="567"/>
              </w:tabs>
              <w:spacing w:line="180" w:lineRule="exact"/>
              <w:rPr>
                <w:sz w:val="18"/>
                <w:szCs w:val="18"/>
              </w:rPr>
            </w:pPr>
            <w:r w:rsidRPr="00473B27">
              <w:rPr>
                <w:rFonts w:hint="cs"/>
                <w:sz w:val="18"/>
                <w:szCs w:val="18"/>
                <w:rtl/>
              </w:rPr>
              <w:t>צפון אמריקה</w:t>
            </w:r>
          </w:p>
        </w:tc>
        <w:tc>
          <w:tcPr>
            <w:tcW w:w="113" w:type="dxa"/>
          </w:tcPr>
          <w:p w14:paraId="298C1705"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7E5BD7E1" w14:textId="77777777" w:rsidR="00473B27" w:rsidRPr="0097675E" w:rsidRDefault="00473B27" w:rsidP="00473B27">
            <w:pPr>
              <w:tabs>
                <w:tab w:val="decimal" w:pos="113"/>
              </w:tabs>
              <w:spacing w:line="200" w:lineRule="exact"/>
              <w:ind w:left="57"/>
              <w:rPr>
                <w:sz w:val="18"/>
                <w:szCs w:val="20"/>
              </w:rPr>
            </w:pPr>
          </w:p>
        </w:tc>
        <w:tc>
          <w:tcPr>
            <w:tcW w:w="140" w:type="dxa"/>
          </w:tcPr>
          <w:p w14:paraId="2475D45E"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5760D6EA" w14:textId="77777777" w:rsidR="00473B27" w:rsidRPr="0097675E" w:rsidRDefault="00473B27" w:rsidP="00473B27">
            <w:pPr>
              <w:tabs>
                <w:tab w:val="decimal" w:pos="113"/>
              </w:tabs>
              <w:spacing w:line="200" w:lineRule="exact"/>
              <w:ind w:left="57"/>
              <w:rPr>
                <w:sz w:val="18"/>
                <w:szCs w:val="20"/>
              </w:rPr>
            </w:pPr>
          </w:p>
        </w:tc>
        <w:tc>
          <w:tcPr>
            <w:tcW w:w="140" w:type="dxa"/>
          </w:tcPr>
          <w:p w14:paraId="3921B4C3"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5D2069F1" w14:textId="77777777" w:rsidR="00473B27" w:rsidRPr="0097675E" w:rsidRDefault="00473B27" w:rsidP="00473B27">
            <w:pPr>
              <w:tabs>
                <w:tab w:val="decimal" w:pos="113"/>
              </w:tabs>
              <w:spacing w:line="200" w:lineRule="exact"/>
              <w:ind w:left="57"/>
              <w:rPr>
                <w:sz w:val="18"/>
                <w:szCs w:val="20"/>
              </w:rPr>
            </w:pPr>
          </w:p>
        </w:tc>
        <w:tc>
          <w:tcPr>
            <w:tcW w:w="140" w:type="dxa"/>
          </w:tcPr>
          <w:p w14:paraId="3F8D18D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22FFE015" w14:textId="77777777" w:rsidR="00473B27" w:rsidRPr="0097675E" w:rsidRDefault="00473B27" w:rsidP="00473B27">
            <w:pPr>
              <w:tabs>
                <w:tab w:val="decimal" w:pos="113"/>
              </w:tabs>
              <w:spacing w:line="200" w:lineRule="exact"/>
              <w:ind w:left="57"/>
              <w:rPr>
                <w:sz w:val="18"/>
                <w:szCs w:val="20"/>
              </w:rPr>
            </w:pPr>
          </w:p>
        </w:tc>
        <w:tc>
          <w:tcPr>
            <w:tcW w:w="140" w:type="dxa"/>
          </w:tcPr>
          <w:p w14:paraId="4D443A87"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4D863006" w14:textId="77777777" w:rsidR="00473B27" w:rsidRPr="0097675E" w:rsidRDefault="00473B27" w:rsidP="00473B27">
            <w:pPr>
              <w:tabs>
                <w:tab w:val="decimal" w:pos="113"/>
              </w:tabs>
              <w:spacing w:line="200" w:lineRule="exact"/>
              <w:ind w:left="57"/>
              <w:rPr>
                <w:sz w:val="18"/>
                <w:szCs w:val="20"/>
              </w:rPr>
            </w:pPr>
          </w:p>
        </w:tc>
        <w:tc>
          <w:tcPr>
            <w:tcW w:w="110" w:type="dxa"/>
          </w:tcPr>
          <w:p w14:paraId="2FED2DFF"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90A64FB" w14:textId="77777777" w:rsidR="00473B27" w:rsidRPr="0097675E" w:rsidRDefault="00473B27" w:rsidP="00473B27">
            <w:pPr>
              <w:tabs>
                <w:tab w:val="decimal" w:pos="113"/>
              </w:tabs>
              <w:spacing w:line="200" w:lineRule="exact"/>
              <w:ind w:left="57"/>
              <w:rPr>
                <w:sz w:val="18"/>
                <w:szCs w:val="20"/>
              </w:rPr>
            </w:pPr>
          </w:p>
        </w:tc>
      </w:tr>
      <w:tr w:rsidR="00473B27" w:rsidRPr="0097675E" w14:paraId="582E9518" w14:textId="77777777" w:rsidTr="00473B27">
        <w:tc>
          <w:tcPr>
            <w:tcW w:w="2127" w:type="dxa"/>
            <w:vAlign w:val="bottom"/>
          </w:tcPr>
          <w:p w14:paraId="39DFF5C1" w14:textId="44AABE9A"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אירופה</w:t>
            </w:r>
          </w:p>
        </w:tc>
        <w:tc>
          <w:tcPr>
            <w:tcW w:w="113" w:type="dxa"/>
          </w:tcPr>
          <w:p w14:paraId="5FE3BE2F"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3F03FF72" w14:textId="77777777" w:rsidR="00473B27" w:rsidRPr="0097675E" w:rsidRDefault="00473B27" w:rsidP="00473B27">
            <w:pPr>
              <w:tabs>
                <w:tab w:val="decimal" w:pos="113"/>
              </w:tabs>
              <w:spacing w:line="200" w:lineRule="exact"/>
              <w:ind w:left="57"/>
              <w:rPr>
                <w:sz w:val="18"/>
                <w:szCs w:val="20"/>
              </w:rPr>
            </w:pPr>
          </w:p>
        </w:tc>
        <w:tc>
          <w:tcPr>
            <w:tcW w:w="140" w:type="dxa"/>
          </w:tcPr>
          <w:p w14:paraId="176B813F"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124A16A5" w14:textId="77777777" w:rsidR="00473B27" w:rsidRPr="0097675E" w:rsidRDefault="00473B27" w:rsidP="00473B27">
            <w:pPr>
              <w:tabs>
                <w:tab w:val="decimal" w:pos="113"/>
              </w:tabs>
              <w:spacing w:line="200" w:lineRule="exact"/>
              <w:ind w:left="57"/>
              <w:rPr>
                <w:sz w:val="18"/>
                <w:szCs w:val="20"/>
              </w:rPr>
            </w:pPr>
          </w:p>
        </w:tc>
        <w:tc>
          <w:tcPr>
            <w:tcW w:w="140" w:type="dxa"/>
          </w:tcPr>
          <w:p w14:paraId="3F5379B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071C0D9" w14:textId="77777777" w:rsidR="00473B27" w:rsidRPr="0097675E" w:rsidRDefault="00473B27" w:rsidP="00473B27">
            <w:pPr>
              <w:tabs>
                <w:tab w:val="decimal" w:pos="113"/>
              </w:tabs>
              <w:spacing w:line="200" w:lineRule="exact"/>
              <w:ind w:left="57"/>
              <w:rPr>
                <w:sz w:val="18"/>
                <w:szCs w:val="20"/>
              </w:rPr>
            </w:pPr>
          </w:p>
        </w:tc>
        <w:tc>
          <w:tcPr>
            <w:tcW w:w="140" w:type="dxa"/>
          </w:tcPr>
          <w:p w14:paraId="26FFE40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41DAC36B" w14:textId="77777777" w:rsidR="00473B27" w:rsidRPr="0097675E" w:rsidRDefault="00473B27" w:rsidP="00473B27">
            <w:pPr>
              <w:tabs>
                <w:tab w:val="decimal" w:pos="113"/>
              </w:tabs>
              <w:spacing w:line="200" w:lineRule="exact"/>
              <w:ind w:left="57"/>
              <w:rPr>
                <w:sz w:val="18"/>
                <w:szCs w:val="20"/>
              </w:rPr>
            </w:pPr>
          </w:p>
        </w:tc>
        <w:tc>
          <w:tcPr>
            <w:tcW w:w="140" w:type="dxa"/>
          </w:tcPr>
          <w:p w14:paraId="0087C90A"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438224D" w14:textId="77777777" w:rsidR="00473B27" w:rsidRPr="0097675E" w:rsidRDefault="00473B27" w:rsidP="00473B27">
            <w:pPr>
              <w:tabs>
                <w:tab w:val="decimal" w:pos="113"/>
              </w:tabs>
              <w:spacing w:line="200" w:lineRule="exact"/>
              <w:ind w:left="57"/>
              <w:rPr>
                <w:sz w:val="18"/>
                <w:szCs w:val="20"/>
              </w:rPr>
            </w:pPr>
          </w:p>
        </w:tc>
        <w:tc>
          <w:tcPr>
            <w:tcW w:w="110" w:type="dxa"/>
          </w:tcPr>
          <w:p w14:paraId="2888E17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263EF44A" w14:textId="77777777" w:rsidR="00473B27" w:rsidRPr="0097675E" w:rsidRDefault="00473B27" w:rsidP="00473B27">
            <w:pPr>
              <w:tabs>
                <w:tab w:val="decimal" w:pos="113"/>
              </w:tabs>
              <w:spacing w:line="200" w:lineRule="exact"/>
              <w:ind w:left="57"/>
              <w:rPr>
                <w:sz w:val="18"/>
                <w:szCs w:val="20"/>
              </w:rPr>
            </w:pPr>
          </w:p>
        </w:tc>
      </w:tr>
      <w:tr w:rsidR="00473B27" w:rsidRPr="0097675E" w14:paraId="3E1096CE" w14:textId="77777777" w:rsidTr="00473B27">
        <w:tc>
          <w:tcPr>
            <w:tcW w:w="2127" w:type="dxa"/>
            <w:vAlign w:val="bottom"/>
          </w:tcPr>
          <w:p w14:paraId="6EC1B09D" w14:textId="655EFDF9"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ישראל</w:t>
            </w:r>
          </w:p>
        </w:tc>
        <w:tc>
          <w:tcPr>
            <w:tcW w:w="113" w:type="dxa"/>
          </w:tcPr>
          <w:p w14:paraId="17A1742B"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27F25649" w14:textId="77777777" w:rsidR="00473B27" w:rsidRPr="0097675E" w:rsidRDefault="00473B27" w:rsidP="00473B27">
            <w:pPr>
              <w:tabs>
                <w:tab w:val="decimal" w:pos="113"/>
              </w:tabs>
              <w:spacing w:line="200" w:lineRule="exact"/>
              <w:ind w:left="57"/>
              <w:rPr>
                <w:sz w:val="18"/>
                <w:szCs w:val="20"/>
              </w:rPr>
            </w:pPr>
          </w:p>
        </w:tc>
        <w:tc>
          <w:tcPr>
            <w:tcW w:w="140" w:type="dxa"/>
          </w:tcPr>
          <w:p w14:paraId="16E4FEFF"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6A173342" w14:textId="77777777" w:rsidR="00473B27" w:rsidRPr="0097675E" w:rsidRDefault="00473B27" w:rsidP="00473B27">
            <w:pPr>
              <w:tabs>
                <w:tab w:val="decimal" w:pos="113"/>
              </w:tabs>
              <w:spacing w:line="200" w:lineRule="exact"/>
              <w:ind w:left="57"/>
              <w:rPr>
                <w:sz w:val="18"/>
                <w:szCs w:val="20"/>
              </w:rPr>
            </w:pPr>
          </w:p>
        </w:tc>
        <w:tc>
          <w:tcPr>
            <w:tcW w:w="140" w:type="dxa"/>
          </w:tcPr>
          <w:p w14:paraId="171654C7"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EBF1C0D" w14:textId="77777777" w:rsidR="00473B27" w:rsidRPr="0097675E" w:rsidRDefault="00473B27" w:rsidP="00473B27">
            <w:pPr>
              <w:tabs>
                <w:tab w:val="decimal" w:pos="113"/>
              </w:tabs>
              <w:spacing w:line="200" w:lineRule="exact"/>
              <w:ind w:left="57"/>
              <w:rPr>
                <w:sz w:val="18"/>
                <w:szCs w:val="20"/>
              </w:rPr>
            </w:pPr>
          </w:p>
        </w:tc>
        <w:tc>
          <w:tcPr>
            <w:tcW w:w="140" w:type="dxa"/>
          </w:tcPr>
          <w:p w14:paraId="14A3FCB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722196DE" w14:textId="77777777" w:rsidR="00473B27" w:rsidRPr="0097675E" w:rsidRDefault="00473B27" w:rsidP="00473B27">
            <w:pPr>
              <w:tabs>
                <w:tab w:val="decimal" w:pos="113"/>
              </w:tabs>
              <w:spacing w:line="200" w:lineRule="exact"/>
              <w:ind w:left="57"/>
              <w:rPr>
                <w:sz w:val="18"/>
                <w:szCs w:val="20"/>
              </w:rPr>
            </w:pPr>
          </w:p>
        </w:tc>
        <w:tc>
          <w:tcPr>
            <w:tcW w:w="140" w:type="dxa"/>
          </w:tcPr>
          <w:p w14:paraId="0DA5C5ED"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BA6D191" w14:textId="77777777" w:rsidR="00473B27" w:rsidRPr="0097675E" w:rsidRDefault="00473B27" w:rsidP="00473B27">
            <w:pPr>
              <w:tabs>
                <w:tab w:val="decimal" w:pos="113"/>
              </w:tabs>
              <w:spacing w:line="200" w:lineRule="exact"/>
              <w:ind w:left="57"/>
              <w:rPr>
                <w:sz w:val="18"/>
                <w:szCs w:val="20"/>
              </w:rPr>
            </w:pPr>
          </w:p>
        </w:tc>
        <w:tc>
          <w:tcPr>
            <w:tcW w:w="110" w:type="dxa"/>
          </w:tcPr>
          <w:p w14:paraId="39C2718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738B322B" w14:textId="77777777" w:rsidR="00473B27" w:rsidRPr="0097675E" w:rsidRDefault="00473B27" w:rsidP="00473B27">
            <w:pPr>
              <w:tabs>
                <w:tab w:val="decimal" w:pos="113"/>
              </w:tabs>
              <w:spacing w:line="200" w:lineRule="exact"/>
              <w:ind w:left="57"/>
              <w:rPr>
                <w:sz w:val="18"/>
                <w:szCs w:val="20"/>
              </w:rPr>
            </w:pPr>
          </w:p>
        </w:tc>
      </w:tr>
      <w:tr w:rsidR="00473B27" w:rsidRPr="0097675E" w14:paraId="28283B01" w14:textId="77777777" w:rsidTr="00473B27">
        <w:tc>
          <w:tcPr>
            <w:tcW w:w="2127" w:type="dxa"/>
            <w:vAlign w:val="bottom"/>
          </w:tcPr>
          <w:p w14:paraId="4FB5CC4E" w14:textId="77777777" w:rsidR="00473B27" w:rsidRPr="00473B27" w:rsidRDefault="00473B27" w:rsidP="00473B27">
            <w:pPr>
              <w:pStyle w:val="a3"/>
              <w:tabs>
                <w:tab w:val="left" w:pos="227"/>
                <w:tab w:val="left" w:pos="397"/>
                <w:tab w:val="left" w:pos="567"/>
              </w:tabs>
              <w:spacing w:line="180" w:lineRule="exact"/>
              <w:rPr>
                <w:b/>
                <w:bCs/>
                <w:sz w:val="18"/>
                <w:szCs w:val="18"/>
                <w:rtl/>
              </w:rPr>
            </w:pPr>
          </w:p>
        </w:tc>
        <w:tc>
          <w:tcPr>
            <w:tcW w:w="113" w:type="dxa"/>
          </w:tcPr>
          <w:p w14:paraId="0C6BBD2E"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1C455652" w14:textId="77777777" w:rsidR="00473B27" w:rsidRPr="0097675E" w:rsidRDefault="00473B27" w:rsidP="00473B27">
            <w:pPr>
              <w:tabs>
                <w:tab w:val="decimal" w:pos="113"/>
              </w:tabs>
              <w:spacing w:line="200" w:lineRule="exact"/>
              <w:ind w:left="57"/>
              <w:rPr>
                <w:sz w:val="18"/>
                <w:szCs w:val="20"/>
              </w:rPr>
            </w:pPr>
          </w:p>
        </w:tc>
        <w:tc>
          <w:tcPr>
            <w:tcW w:w="140" w:type="dxa"/>
          </w:tcPr>
          <w:p w14:paraId="2B0D3BA4" w14:textId="77777777" w:rsidR="00473B27" w:rsidRPr="0097675E" w:rsidRDefault="00473B27" w:rsidP="00473B27">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35B5D0BB" w14:textId="77777777" w:rsidR="00473B27" w:rsidRPr="0097675E" w:rsidRDefault="00473B27" w:rsidP="00473B27">
            <w:pPr>
              <w:tabs>
                <w:tab w:val="decimal" w:pos="113"/>
              </w:tabs>
              <w:spacing w:line="200" w:lineRule="exact"/>
              <w:ind w:left="57"/>
              <w:rPr>
                <w:sz w:val="18"/>
                <w:szCs w:val="20"/>
              </w:rPr>
            </w:pPr>
          </w:p>
        </w:tc>
        <w:tc>
          <w:tcPr>
            <w:tcW w:w="140" w:type="dxa"/>
          </w:tcPr>
          <w:p w14:paraId="1B155AB8"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D4614F2" w14:textId="77777777" w:rsidR="00473B27" w:rsidRPr="0097675E" w:rsidRDefault="00473B27" w:rsidP="00473B27">
            <w:pPr>
              <w:tabs>
                <w:tab w:val="decimal" w:pos="113"/>
              </w:tabs>
              <w:spacing w:line="200" w:lineRule="exact"/>
              <w:ind w:left="57"/>
              <w:rPr>
                <w:sz w:val="18"/>
                <w:szCs w:val="20"/>
              </w:rPr>
            </w:pPr>
          </w:p>
        </w:tc>
        <w:tc>
          <w:tcPr>
            <w:tcW w:w="140" w:type="dxa"/>
          </w:tcPr>
          <w:p w14:paraId="249E420F"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659117D" w14:textId="77777777" w:rsidR="00473B27" w:rsidRPr="0097675E" w:rsidRDefault="00473B27" w:rsidP="00473B27">
            <w:pPr>
              <w:tabs>
                <w:tab w:val="decimal" w:pos="113"/>
              </w:tabs>
              <w:spacing w:line="200" w:lineRule="exact"/>
              <w:ind w:left="57"/>
              <w:rPr>
                <w:sz w:val="18"/>
                <w:szCs w:val="20"/>
              </w:rPr>
            </w:pPr>
          </w:p>
        </w:tc>
        <w:tc>
          <w:tcPr>
            <w:tcW w:w="140" w:type="dxa"/>
          </w:tcPr>
          <w:p w14:paraId="0200D2AA"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49E6699" w14:textId="77777777" w:rsidR="00473B27" w:rsidRPr="0097675E" w:rsidRDefault="00473B27" w:rsidP="00473B27">
            <w:pPr>
              <w:tabs>
                <w:tab w:val="decimal" w:pos="113"/>
              </w:tabs>
              <w:spacing w:line="200" w:lineRule="exact"/>
              <w:ind w:left="57"/>
              <w:rPr>
                <w:sz w:val="18"/>
                <w:szCs w:val="20"/>
              </w:rPr>
            </w:pPr>
          </w:p>
        </w:tc>
        <w:tc>
          <w:tcPr>
            <w:tcW w:w="110" w:type="dxa"/>
          </w:tcPr>
          <w:p w14:paraId="7BD2E72E"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4FBBA55" w14:textId="77777777" w:rsidR="00473B27" w:rsidRPr="0097675E" w:rsidRDefault="00473B27" w:rsidP="00473B27">
            <w:pPr>
              <w:tabs>
                <w:tab w:val="decimal" w:pos="113"/>
              </w:tabs>
              <w:spacing w:line="200" w:lineRule="exact"/>
              <w:ind w:left="57"/>
              <w:rPr>
                <w:sz w:val="18"/>
                <w:szCs w:val="20"/>
              </w:rPr>
            </w:pPr>
          </w:p>
        </w:tc>
      </w:tr>
      <w:tr w:rsidR="00473B27" w:rsidRPr="0097675E" w14:paraId="1F19C362" w14:textId="77777777" w:rsidTr="00473B27">
        <w:tc>
          <w:tcPr>
            <w:tcW w:w="2127" w:type="dxa"/>
            <w:vAlign w:val="bottom"/>
          </w:tcPr>
          <w:p w14:paraId="6D185117" w14:textId="0842261B"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סה"כ הכנסות מחיצוניים</w:t>
            </w:r>
          </w:p>
        </w:tc>
        <w:tc>
          <w:tcPr>
            <w:tcW w:w="113" w:type="dxa"/>
          </w:tcPr>
          <w:p w14:paraId="58EBE3C1"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6C8D3B74" w14:textId="77777777" w:rsidR="00473B27" w:rsidRPr="0097675E" w:rsidRDefault="00473B27" w:rsidP="00473B27">
            <w:pPr>
              <w:tabs>
                <w:tab w:val="decimal" w:pos="113"/>
              </w:tabs>
              <w:spacing w:line="200" w:lineRule="exact"/>
              <w:ind w:left="57"/>
              <w:rPr>
                <w:sz w:val="18"/>
                <w:szCs w:val="20"/>
              </w:rPr>
            </w:pPr>
          </w:p>
        </w:tc>
        <w:tc>
          <w:tcPr>
            <w:tcW w:w="140" w:type="dxa"/>
          </w:tcPr>
          <w:p w14:paraId="012EB0E7"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774546C9" w14:textId="77777777" w:rsidR="00473B27" w:rsidRPr="0097675E" w:rsidRDefault="00473B27" w:rsidP="00473B27">
            <w:pPr>
              <w:tabs>
                <w:tab w:val="decimal" w:pos="113"/>
              </w:tabs>
              <w:spacing w:line="200" w:lineRule="exact"/>
              <w:ind w:left="57"/>
              <w:rPr>
                <w:sz w:val="18"/>
                <w:szCs w:val="20"/>
              </w:rPr>
            </w:pPr>
          </w:p>
        </w:tc>
        <w:tc>
          <w:tcPr>
            <w:tcW w:w="140" w:type="dxa"/>
          </w:tcPr>
          <w:p w14:paraId="37B9880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3A549D7" w14:textId="77777777" w:rsidR="00473B27" w:rsidRPr="0097675E" w:rsidRDefault="00473B27" w:rsidP="00473B27">
            <w:pPr>
              <w:tabs>
                <w:tab w:val="decimal" w:pos="113"/>
              </w:tabs>
              <w:spacing w:line="200" w:lineRule="exact"/>
              <w:ind w:left="57"/>
              <w:rPr>
                <w:sz w:val="18"/>
                <w:szCs w:val="20"/>
              </w:rPr>
            </w:pPr>
          </w:p>
        </w:tc>
        <w:tc>
          <w:tcPr>
            <w:tcW w:w="140" w:type="dxa"/>
          </w:tcPr>
          <w:p w14:paraId="570EA54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7E69AE2" w14:textId="77777777" w:rsidR="00473B27" w:rsidRPr="0097675E" w:rsidRDefault="00473B27" w:rsidP="00473B27">
            <w:pPr>
              <w:tabs>
                <w:tab w:val="decimal" w:pos="113"/>
              </w:tabs>
              <w:spacing w:line="200" w:lineRule="exact"/>
              <w:ind w:left="57"/>
              <w:rPr>
                <w:sz w:val="18"/>
                <w:szCs w:val="20"/>
              </w:rPr>
            </w:pPr>
          </w:p>
        </w:tc>
        <w:tc>
          <w:tcPr>
            <w:tcW w:w="140" w:type="dxa"/>
          </w:tcPr>
          <w:p w14:paraId="14D0BC0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6C9150F" w14:textId="77777777" w:rsidR="00473B27" w:rsidRPr="0097675E" w:rsidRDefault="00473B27" w:rsidP="00473B27">
            <w:pPr>
              <w:tabs>
                <w:tab w:val="decimal" w:pos="113"/>
              </w:tabs>
              <w:spacing w:line="200" w:lineRule="exact"/>
              <w:ind w:left="57"/>
              <w:rPr>
                <w:sz w:val="18"/>
                <w:szCs w:val="20"/>
              </w:rPr>
            </w:pPr>
          </w:p>
        </w:tc>
        <w:tc>
          <w:tcPr>
            <w:tcW w:w="110" w:type="dxa"/>
          </w:tcPr>
          <w:p w14:paraId="0B3997C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3B7F562D" w14:textId="77777777" w:rsidR="00473B27" w:rsidRPr="0097675E" w:rsidRDefault="00473B27" w:rsidP="00473B27">
            <w:pPr>
              <w:tabs>
                <w:tab w:val="decimal" w:pos="113"/>
              </w:tabs>
              <w:spacing w:line="200" w:lineRule="exact"/>
              <w:ind w:left="57"/>
              <w:rPr>
                <w:sz w:val="18"/>
                <w:szCs w:val="20"/>
              </w:rPr>
            </w:pPr>
          </w:p>
        </w:tc>
      </w:tr>
      <w:tr w:rsidR="00473B27" w:rsidRPr="0097675E" w14:paraId="4A52D4FB" w14:textId="77777777" w:rsidTr="00473B27">
        <w:tc>
          <w:tcPr>
            <w:tcW w:w="2127" w:type="dxa"/>
            <w:vAlign w:val="bottom"/>
          </w:tcPr>
          <w:p w14:paraId="7DDA3506" w14:textId="77777777" w:rsidR="00473B27" w:rsidRPr="00473B27" w:rsidRDefault="00473B27" w:rsidP="00473B27">
            <w:pPr>
              <w:pStyle w:val="a3"/>
              <w:tabs>
                <w:tab w:val="left" w:pos="227"/>
                <w:tab w:val="left" w:pos="397"/>
                <w:tab w:val="left" w:pos="567"/>
              </w:tabs>
              <w:spacing w:line="180" w:lineRule="exact"/>
              <w:rPr>
                <w:b/>
                <w:bCs/>
                <w:sz w:val="18"/>
                <w:szCs w:val="18"/>
                <w:rtl/>
              </w:rPr>
            </w:pPr>
          </w:p>
        </w:tc>
        <w:tc>
          <w:tcPr>
            <w:tcW w:w="113" w:type="dxa"/>
          </w:tcPr>
          <w:p w14:paraId="373118C6"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7190257D" w14:textId="77777777" w:rsidR="00473B27" w:rsidRPr="0097675E" w:rsidRDefault="00473B27" w:rsidP="00473B27">
            <w:pPr>
              <w:tabs>
                <w:tab w:val="decimal" w:pos="113"/>
              </w:tabs>
              <w:spacing w:line="200" w:lineRule="exact"/>
              <w:ind w:left="57"/>
              <w:rPr>
                <w:sz w:val="18"/>
                <w:szCs w:val="20"/>
              </w:rPr>
            </w:pPr>
          </w:p>
        </w:tc>
        <w:tc>
          <w:tcPr>
            <w:tcW w:w="140" w:type="dxa"/>
          </w:tcPr>
          <w:p w14:paraId="41FB2A24" w14:textId="77777777" w:rsidR="00473B27" w:rsidRPr="0097675E" w:rsidRDefault="00473B27" w:rsidP="00473B27">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5B8C7920" w14:textId="77777777" w:rsidR="00473B27" w:rsidRPr="0097675E" w:rsidRDefault="00473B27" w:rsidP="00473B27">
            <w:pPr>
              <w:tabs>
                <w:tab w:val="decimal" w:pos="113"/>
              </w:tabs>
              <w:spacing w:line="200" w:lineRule="exact"/>
              <w:ind w:left="57"/>
              <w:rPr>
                <w:sz w:val="18"/>
                <w:szCs w:val="20"/>
              </w:rPr>
            </w:pPr>
          </w:p>
        </w:tc>
        <w:tc>
          <w:tcPr>
            <w:tcW w:w="140" w:type="dxa"/>
          </w:tcPr>
          <w:p w14:paraId="370F967E"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C0D3FC1" w14:textId="77777777" w:rsidR="00473B27" w:rsidRPr="0097675E" w:rsidRDefault="00473B27" w:rsidP="00473B27">
            <w:pPr>
              <w:tabs>
                <w:tab w:val="decimal" w:pos="113"/>
              </w:tabs>
              <w:spacing w:line="200" w:lineRule="exact"/>
              <w:ind w:left="57"/>
              <w:rPr>
                <w:sz w:val="18"/>
                <w:szCs w:val="20"/>
              </w:rPr>
            </w:pPr>
          </w:p>
        </w:tc>
        <w:tc>
          <w:tcPr>
            <w:tcW w:w="140" w:type="dxa"/>
          </w:tcPr>
          <w:p w14:paraId="5353C31A"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F709D2D" w14:textId="77777777" w:rsidR="00473B27" w:rsidRPr="0097675E" w:rsidRDefault="00473B27" w:rsidP="00473B27">
            <w:pPr>
              <w:tabs>
                <w:tab w:val="decimal" w:pos="113"/>
              </w:tabs>
              <w:spacing w:line="200" w:lineRule="exact"/>
              <w:ind w:left="57"/>
              <w:rPr>
                <w:sz w:val="18"/>
                <w:szCs w:val="20"/>
              </w:rPr>
            </w:pPr>
          </w:p>
        </w:tc>
        <w:tc>
          <w:tcPr>
            <w:tcW w:w="140" w:type="dxa"/>
          </w:tcPr>
          <w:p w14:paraId="2E4AB44B"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2F37F23" w14:textId="77777777" w:rsidR="00473B27" w:rsidRPr="0097675E" w:rsidRDefault="00473B27" w:rsidP="00473B27">
            <w:pPr>
              <w:tabs>
                <w:tab w:val="decimal" w:pos="113"/>
              </w:tabs>
              <w:spacing w:line="200" w:lineRule="exact"/>
              <w:ind w:left="57"/>
              <w:rPr>
                <w:sz w:val="18"/>
                <w:szCs w:val="20"/>
              </w:rPr>
            </w:pPr>
          </w:p>
        </w:tc>
        <w:tc>
          <w:tcPr>
            <w:tcW w:w="110" w:type="dxa"/>
          </w:tcPr>
          <w:p w14:paraId="526105AE"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F23C53E" w14:textId="77777777" w:rsidR="00473B27" w:rsidRPr="0097675E" w:rsidRDefault="00473B27" w:rsidP="00473B27">
            <w:pPr>
              <w:tabs>
                <w:tab w:val="decimal" w:pos="113"/>
              </w:tabs>
              <w:spacing w:line="200" w:lineRule="exact"/>
              <w:ind w:left="57"/>
              <w:rPr>
                <w:sz w:val="18"/>
                <w:szCs w:val="20"/>
              </w:rPr>
            </w:pPr>
          </w:p>
        </w:tc>
      </w:tr>
      <w:tr w:rsidR="00473B27" w:rsidRPr="0097675E" w14:paraId="40BE3F9A" w14:textId="77777777" w:rsidTr="00473B27">
        <w:tc>
          <w:tcPr>
            <w:tcW w:w="2127" w:type="dxa"/>
            <w:vAlign w:val="bottom"/>
          </w:tcPr>
          <w:p w14:paraId="0776ED27" w14:textId="6CBC9BD1" w:rsidR="00473B27" w:rsidRPr="00473B27" w:rsidRDefault="00473B27" w:rsidP="00473B27">
            <w:pPr>
              <w:pStyle w:val="a3"/>
              <w:tabs>
                <w:tab w:val="left" w:pos="227"/>
                <w:tab w:val="left" w:pos="397"/>
                <w:tab w:val="left" w:pos="567"/>
              </w:tabs>
              <w:spacing w:line="180" w:lineRule="exact"/>
              <w:rPr>
                <w:b/>
                <w:bCs/>
                <w:sz w:val="18"/>
                <w:szCs w:val="18"/>
                <w:rtl/>
              </w:rPr>
            </w:pPr>
            <w:r>
              <w:rPr>
                <w:rFonts w:hint="cs"/>
                <w:b/>
                <w:bCs/>
                <w:sz w:val="18"/>
                <w:szCs w:val="18"/>
                <w:rtl/>
              </w:rPr>
              <w:t>פילוח לפי קווי מוצר/שירות:</w:t>
            </w:r>
          </w:p>
        </w:tc>
        <w:tc>
          <w:tcPr>
            <w:tcW w:w="113" w:type="dxa"/>
          </w:tcPr>
          <w:p w14:paraId="78749D13"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2CBAE3AC" w14:textId="77777777" w:rsidR="00473B27" w:rsidRPr="0097675E" w:rsidRDefault="00473B27" w:rsidP="00473B27">
            <w:pPr>
              <w:tabs>
                <w:tab w:val="decimal" w:pos="113"/>
              </w:tabs>
              <w:spacing w:line="200" w:lineRule="exact"/>
              <w:ind w:left="57"/>
              <w:rPr>
                <w:sz w:val="18"/>
                <w:szCs w:val="20"/>
              </w:rPr>
            </w:pPr>
          </w:p>
        </w:tc>
        <w:tc>
          <w:tcPr>
            <w:tcW w:w="140" w:type="dxa"/>
          </w:tcPr>
          <w:p w14:paraId="18BCF8E8"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24A59155" w14:textId="77777777" w:rsidR="00473B27" w:rsidRPr="0097675E" w:rsidRDefault="00473B27" w:rsidP="00473B27">
            <w:pPr>
              <w:tabs>
                <w:tab w:val="decimal" w:pos="113"/>
              </w:tabs>
              <w:spacing w:line="200" w:lineRule="exact"/>
              <w:ind w:left="57"/>
              <w:rPr>
                <w:sz w:val="18"/>
                <w:szCs w:val="20"/>
              </w:rPr>
            </w:pPr>
          </w:p>
        </w:tc>
        <w:tc>
          <w:tcPr>
            <w:tcW w:w="140" w:type="dxa"/>
          </w:tcPr>
          <w:p w14:paraId="7EC5346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6E7955E5" w14:textId="77777777" w:rsidR="00473B27" w:rsidRPr="0097675E" w:rsidRDefault="00473B27" w:rsidP="00473B27">
            <w:pPr>
              <w:tabs>
                <w:tab w:val="decimal" w:pos="113"/>
              </w:tabs>
              <w:spacing w:line="200" w:lineRule="exact"/>
              <w:ind w:left="57"/>
              <w:rPr>
                <w:sz w:val="18"/>
                <w:szCs w:val="20"/>
              </w:rPr>
            </w:pPr>
          </w:p>
        </w:tc>
        <w:tc>
          <w:tcPr>
            <w:tcW w:w="140" w:type="dxa"/>
          </w:tcPr>
          <w:p w14:paraId="3FE12ECC"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CCD24A5" w14:textId="77777777" w:rsidR="00473B27" w:rsidRPr="0097675E" w:rsidRDefault="00473B27" w:rsidP="00473B27">
            <w:pPr>
              <w:tabs>
                <w:tab w:val="decimal" w:pos="113"/>
              </w:tabs>
              <w:spacing w:line="200" w:lineRule="exact"/>
              <w:ind w:left="57"/>
              <w:rPr>
                <w:sz w:val="18"/>
                <w:szCs w:val="20"/>
              </w:rPr>
            </w:pPr>
          </w:p>
        </w:tc>
        <w:tc>
          <w:tcPr>
            <w:tcW w:w="140" w:type="dxa"/>
          </w:tcPr>
          <w:p w14:paraId="2503B44C"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1A287FBC" w14:textId="77777777" w:rsidR="00473B27" w:rsidRPr="0097675E" w:rsidRDefault="00473B27" w:rsidP="00473B27">
            <w:pPr>
              <w:tabs>
                <w:tab w:val="decimal" w:pos="113"/>
              </w:tabs>
              <w:spacing w:line="200" w:lineRule="exact"/>
              <w:ind w:left="57"/>
              <w:rPr>
                <w:sz w:val="18"/>
                <w:szCs w:val="20"/>
              </w:rPr>
            </w:pPr>
          </w:p>
        </w:tc>
        <w:tc>
          <w:tcPr>
            <w:tcW w:w="110" w:type="dxa"/>
          </w:tcPr>
          <w:p w14:paraId="1EB904A6"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AF4145E" w14:textId="77777777" w:rsidR="00473B27" w:rsidRPr="0097675E" w:rsidRDefault="00473B27" w:rsidP="00473B27">
            <w:pPr>
              <w:tabs>
                <w:tab w:val="decimal" w:pos="113"/>
              </w:tabs>
              <w:spacing w:line="200" w:lineRule="exact"/>
              <w:ind w:left="57"/>
              <w:rPr>
                <w:sz w:val="18"/>
                <w:szCs w:val="20"/>
              </w:rPr>
            </w:pPr>
          </w:p>
        </w:tc>
      </w:tr>
      <w:tr w:rsidR="00473B27" w:rsidRPr="0097675E" w14:paraId="78D1045E" w14:textId="77777777" w:rsidTr="00473B27">
        <w:tc>
          <w:tcPr>
            <w:tcW w:w="2127" w:type="dxa"/>
            <w:vAlign w:val="bottom"/>
          </w:tcPr>
          <w:p w14:paraId="161B9F54" w14:textId="1AB2A21B"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ציוד כיבוי למפעלים גדולים</w:t>
            </w:r>
          </w:p>
        </w:tc>
        <w:tc>
          <w:tcPr>
            <w:tcW w:w="113" w:type="dxa"/>
          </w:tcPr>
          <w:p w14:paraId="3CBC1E3A"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17E06034" w14:textId="77777777" w:rsidR="00473B27" w:rsidRPr="0097675E" w:rsidRDefault="00473B27" w:rsidP="00473B27">
            <w:pPr>
              <w:tabs>
                <w:tab w:val="decimal" w:pos="113"/>
              </w:tabs>
              <w:spacing w:line="200" w:lineRule="exact"/>
              <w:ind w:left="57"/>
              <w:rPr>
                <w:sz w:val="18"/>
                <w:szCs w:val="20"/>
              </w:rPr>
            </w:pPr>
          </w:p>
        </w:tc>
        <w:tc>
          <w:tcPr>
            <w:tcW w:w="140" w:type="dxa"/>
          </w:tcPr>
          <w:p w14:paraId="15D76929"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03E9FB34" w14:textId="77777777" w:rsidR="00473B27" w:rsidRPr="0097675E" w:rsidRDefault="00473B27" w:rsidP="00473B27">
            <w:pPr>
              <w:tabs>
                <w:tab w:val="decimal" w:pos="113"/>
              </w:tabs>
              <w:spacing w:line="200" w:lineRule="exact"/>
              <w:ind w:left="57"/>
              <w:rPr>
                <w:sz w:val="18"/>
                <w:szCs w:val="20"/>
              </w:rPr>
            </w:pPr>
          </w:p>
        </w:tc>
        <w:tc>
          <w:tcPr>
            <w:tcW w:w="140" w:type="dxa"/>
          </w:tcPr>
          <w:p w14:paraId="42569AEF"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F82A0A3" w14:textId="77777777" w:rsidR="00473B27" w:rsidRPr="0097675E" w:rsidRDefault="00473B27" w:rsidP="00473B27">
            <w:pPr>
              <w:tabs>
                <w:tab w:val="decimal" w:pos="113"/>
              </w:tabs>
              <w:spacing w:line="200" w:lineRule="exact"/>
              <w:ind w:left="57"/>
              <w:rPr>
                <w:sz w:val="18"/>
                <w:szCs w:val="20"/>
              </w:rPr>
            </w:pPr>
          </w:p>
        </w:tc>
        <w:tc>
          <w:tcPr>
            <w:tcW w:w="140" w:type="dxa"/>
          </w:tcPr>
          <w:p w14:paraId="21595094"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A74FC8D" w14:textId="77777777" w:rsidR="00473B27" w:rsidRPr="0097675E" w:rsidRDefault="00473B27" w:rsidP="00473B27">
            <w:pPr>
              <w:tabs>
                <w:tab w:val="decimal" w:pos="113"/>
              </w:tabs>
              <w:spacing w:line="200" w:lineRule="exact"/>
              <w:ind w:left="57"/>
              <w:rPr>
                <w:sz w:val="18"/>
                <w:szCs w:val="20"/>
              </w:rPr>
            </w:pPr>
          </w:p>
        </w:tc>
        <w:tc>
          <w:tcPr>
            <w:tcW w:w="140" w:type="dxa"/>
          </w:tcPr>
          <w:p w14:paraId="7509B5AA"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108B321F" w14:textId="77777777" w:rsidR="00473B27" w:rsidRPr="0097675E" w:rsidRDefault="00473B27" w:rsidP="00473B27">
            <w:pPr>
              <w:tabs>
                <w:tab w:val="decimal" w:pos="113"/>
              </w:tabs>
              <w:spacing w:line="200" w:lineRule="exact"/>
              <w:ind w:left="57"/>
              <w:rPr>
                <w:sz w:val="18"/>
                <w:szCs w:val="20"/>
              </w:rPr>
            </w:pPr>
          </w:p>
        </w:tc>
        <w:tc>
          <w:tcPr>
            <w:tcW w:w="110" w:type="dxa"/>
          </w:tcPr>
          <w:p w14:paraId="470E906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14C586CC" w14:textId="77777777" w:rsidR="00473B27" w:rsidRPr="0097675E" w:rsidRDefault="00473B27" w:rsidP="00473B27">
            <w:pPr>
              <w:tabs>
                <w:tab w:val="decimal" w:pos="113"/>
              </w:tabs>
              <w:spacing w:line="200" w:lineRule="exact"/>
              <w:ind w:left="57"/>
              <w:rPr>
                <w:sz w:val="18"/>
                <w:szCs w:val="20"/>
              </w:rPr>
            </w:pPr>
          </w:p>
        </w:tc>
      </w:tr>
      <w:tr w:rsidR="00473B27" w:rsidRPr="0097675E" w14:paraId="2821142F" w14:textId="77777777" w:rsidTr="00473B27">
        <w:tc>
          <w:tcPr>
            <w:tcW w:w="2127" w:type="dxa"/>
            <w:vAlign w:val="bottom"/>
          </w:tcPr>
          <w:p w14:paraId="3CB15182" w14:textId="52019EFA"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ממכירות ציוד כיבוי לעסקים קטנים</w:t>
            </w:r>
          </w:p>
        </w:tc>
        <w:tc>
          <w:tcPr>
            <w:tcW w:w="113" w:type="dxa"/>
          </w:tcPr>
          <w:p w14:paraId="7990BBD8"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40834295" w14:textId="77777777" w:rsidR="00473B27" w:rsidRPr="0097675E" w:rsidRDefault="00473B27" w:rsidP="00473B27">
            <w:pPr>
              <w:tabs>
                <w:tab w:val="decimal" w:pos="113"/>
              </w:tabs>
              <w:spacing w:line="200" w:lineRule="exact"/>
              <w:ind w:left="57"/>
              <w:rPr>
                <w:sz w:val="18"/>
                <w:szCs w:val="20"/>
              </w:rPr>
            </w:pPr>
          </w:p>
        </w:tc>
        <w:tc>
          <w:tcPr>
            <w:tcW w:w="140" w:type="dxa"/>
          </w:tcPr>
          <w:p w14:paraId="069E2460"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7BE62CF8" w14:textId="77777777" w:rsidR="00473B27" w:rsidRPr="0097675E" w:rsidRDefault="00473B27" w:rsidP="00473B27">
            <w:pPr>
              <w:tabs>
                <w:tab w:val="decimal" w:pos="113"/>
              </w:tabs>
              <w:spacing w:line="200" w:lineRule="exact"/>
              <w:ind w:left="57"/>
              <w:rPr>
                <w:sz w:val="18"/>
                <w:szCs w:val="20"/>
              </w:rPr>
            </w:pPr>
          </w:p>
        </w:tc>
        <w:tc>
          <w:tcPr>
            <w:tcW w:w="140" w:type="dxa"/>
          </w:tcPr>
          <w:p w14:paraId="48582BD7"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996B9C8" w14:textId="77777777" w:rsidR="00473B27" w:rsidRPr="0097675E" w:rsidRDefault="00473B27" w:rsidP="00473B27">
            <w:pPr>
              <w:tabs>
                <w:tab w:val="decimal" w:pos="113"/>
              </w:tabs>
              <w:spacing w:line="200" w:lineRule="exact"/>
              <w:ind w:left="57"/>
              <w:rPr>
                <w:sz w:val="18"/>
                <w:szCs w:val="20"/>
              </w:rPr>
            </w:pPr>
          </w:p>
        </w:tc>
        <w:tc>
          <w:tcPr>
            <w:tcW w:w="140" w:type="dxa"/>
          </w:tcPr>
          <w:p w14:paraId="26623654"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20CAF3FB" w14:textId="77777777" w:rsidR="00473B27" w:rsidRPr="0097675E" w:rsidRDefault="00473B27" w:rsidP="00473B27">
            <w:pPr>
              <w:tabs>
                <w:tab w:val="decimal" w:pos="113"/>
              </w:tabs>
              <w:spacing w:line="200" w:lineRule="exact"/>
              <w:ind w:left="57"/>
              <w:rPr>
                <w:sz w:val="18"/>
                <w:szCs w:val="20"/>
              </w:rPr>
            </w:pPr>
          </w:p>
        </w:tc>
        <w:tc>
          <w:tcPr>
            <w:tcW w:w="140" w:type="dxa"/>
          </w:tcPr>
          <w:p w14:paraId="24FEB84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5AEF67CF" w14:textId="77777777" w:rsidR="00473B27" w:rsidRPr="0097675E" w:rsidRDefault="00473B27" w:rsidP="00473B27">
            <w:pPr>
              <w:tabs>
                <w:tab w:val="decimal" w:pos="113"/>
              </w:tabs>
              <w:spacing w:line="200" w:lineRule="exact"/>
              <w:ind w:left="57"/>
              <w:rPr>
                <w:sz w:val="18"/>
                <w:szCs w:val="20"/>
              </w:rPr>
            </w:pPr>
          </w:p>
        </w:tc>
        <w:tc>
          <w:tcPr>
            <w:tcW w:w="110" w:type="dxa"/>
          </w:tcPr>
          <w:p w14:paraId="2D6E540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C99821A" w14:textId="77777777" w:rsidR="00473B27" w:rsidRPr="0097675E" w:rsidRDefault="00473B27" w:rsidP="00473B27">
            <w:pPr>
              <w:tabs>
                <w:tab w:val="decimal" w:pos="113"/>
              </w:tabs>
              <w:spacing w:line="200" w:lineRule="exact"/>
              <w:ind w:left="57"/>
              <w:rPr>
                <w:sz w:val="18"/>
                <w:szCs w:val="20"/>
              </w:rPr>
            </w:pPr>
          </w:p>
        </w:tc>
      </w:tr>
      <w:tr w:rsidR="00473B27" w:rsidRPr="0097675E" w14:paraId="0461FF4C" w14:textId="77777777" w:rsidTr="00473B27">
        <w:tc>
          <w:tcPr>
            <w:tcW w:w="2127" w:type="dxa"/>
            <w:vAlign w:val="bottom"/>
          </w:tcPr>
          <w:p w14:paraId="011F840E" w14:textId="233CCD5D"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מביצוע התקנת ציוד כיבוי</w:t>
            </w:r>
          </w:p>
        </w:tc>
        <w:tc>
          <w:tcPr>
            <w:tcW w:w="113" w:type="dxa"/>
          </w:tcPr>
          <w:p w14:paraId="3119C848"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452538AA" w14:textId="77777777" w:rsidR="00473B27" w:rsidRPr="0097675E" w:rsidRDefault="00473B27" w:rsidP="00473B27">
            <w:pPr>
              <w:tabs>
                <w:tab w:val="decimal" w:pos="113"/>
              </w:tabs>
              <w:spacing w:line="200" w:lineRule="exact"/>
              <w:ind w:left="57"/>
              <w:rPr>
                <w:sz w:val="18"/>
                <w:szCs w:val="20"/>
              </w:rPr>
            </w:pPr>
          </w:p>
        </w:tc>
        <w:tc>
          <w:tcPr>
            <w:tcW w:w="140" w:type="dxa"/>
          </w:tcPr>
          <w:p w14:paraId="3FFBB42D"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363BFF69" w14:textId="77777777" w:rsidR="00473B27" w:rsidRPr="0097675E" w:rsidRDefault="00473B27" w:rsidP="00473B27">
            <w:pPr>
              <w:tabs>
                <w:tab w:val="decimal" w:pos="113"/>
              </w:tabs>
              <w:spacing w:line="200" w:lineRule="exact"/>
              <w:ind w:left="57"/>
              <w:rPr>
                <w:sz w:val="18"/>
                <w:szCs w:val="20"/>
              </w:rPr>
            </w:pPr>
          </w:p>
        </w:tc>
        <w:tc>
          <w:tcPr>
            <w:tcW w:w="140" w:type="dxa"/>
          </w:tcPr>
          <w:p w14:paraId="36C2298D"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51C0C7DC" w14:textId="77777777" w:rsidR="00473B27" w:rsidRPr="0097675E" w:rsidRDefault="00473B27" w:rsidP="00473B27">
            <w:pPr>
              <w:tabs>
                <w:tab w:val="decimal" w:pos="113"/>
              </w:tabs>
              <w:spacing w:line="200" w:lineRule="exact"/>
              <w:ind w:left="57"/>
              <w:rPr>
                <w:sz w:val="18"/>
                <w:szCs w:val="20"/>
              </w:rPr>
            </w:pPr>
          </w:p>
        </w:tc>
        <w:tc>
          <w:tcPr>
            <w:tcW w:w="140" w:type="dxa"/>
          </w:tcPr>
          <w:p w14:paraId="6BC0214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44C8AEC1" w14:textId="77777777" w:rsidR="00473B27" w:rsidRPr="0097675E" w:rsidRDefault="00473B27" w:rsidP="00473B27">
            <w:pPr>
              <w:tabs>
                <w:tab w:val="decimal" w:pos="113"/>
              </w:tabs>
              <w:spacing w:line="200" w:lineRule="exact"/>
              <w:ind w:left="57"/>
              <w:rPr>
                <w:sz w:val="18"/>
                <w:szCs w:val="20"/>
              </w:rPr>
            </w:pPr>
          </w:p>
        </w:tc>
        <w:tc>
          <w:tcPr>
            <w:tcW w:w="140" w:type="dxa"/>
          </w:tcPr>
          <w:p w14:paraId="61E4EA9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2607AF51" w14:textId="77777777" w:rsidR="00473B27" w:rsidRPr="0097675E" w:rsidRDefault="00473B27" w:rsidP="00473B27">
            <w:pPr>
              <w:tabs>
                <w:tab w:val="decimal" w:pos="113"/>
              </w:tabs>
              <w:spacing w:line="200" w:lineRule="exact"/>
              <w:ind w:left="57"/>
              <w:rPr>
                <w:sz w:val="18"/>
                <w:szCs w:val="20"/>
              </w:rPr>
            </w:pPr>
          </w:p>
        </w:tc>
        <w:tc>
          <w:tcPr>
            <w:tcW w:w="110" w:type="dxa"/>
          </w:tcPr>
          <w:p w14:paraId="0FDD8CD2"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41701853" w14:textId="77777777" w:rsidR="00473B27" w:rsidRPr="0097675E" w:rsidRDefault="00473B27" w:rsidP="00473B27">
            <w:pPr>
              <w:tabs>
                <w:tab w:val="decimal" w:pos="113"/>
              </w:tabs>
              <w:spacing w:line="200" w:lineRule="exact"/>
              <w:ind w:left="57"/>
              <w:rPr>
                <w:sz w:val="18"/>
                <w:szCs w:val="20"/>
              </w:rPr>
            </w:pPr>
          </w:p>
        </w:tc>
      </w:tr>
      <w:tr w:rsidR="00473B27" w:rsidRPr="0097675E" w14:paraId="0E258A87" w14:textId="77777777" w:rsidTr="00473B27">
        <w:tc>
          <w:tcPr>
            <w:tcW w:w="2127" w:type="dxa"/>
            <w:vAlign w:val="bottom"/>
          </w:tcPr>
          <w:p w14:paraId="543FBCFB" w14:textId="6E9F3BE1"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מביצוע עבודות אלקטרוניקה</w:t>
            </w:r>
          </w:p>
        </w:tc>
        <w:tc>
          <w:tcPr>
            <w:tcW w:w="113" w:type="dxa"/>
          </w:tcPr>
          <w:p w14:paraId="2C41D7DB"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7502AAE5" w14:textId="77777777" w:rsidR="00473B27" w:rsidRPr="0097675E" w:rsidRDefault="00473B27" w:rsidP="00473B27">
            <w:pPr>
              <w:tabs>
                <w:tab w:val="decimal" w:pos="113"/>
              </w:tabs>
              <w:spacing w:line="200" w:lineRule="exact"/>
              <w:ind w:left="57"/>
              <w:rPr>
                <w:sz w:val="18"/>
                <w:szCs w:val="20"/>
              </w:rPr>
            </w:pPr>
          </w:p>
        </w:tc>
        <w:tc>
          <w:tcPr>
            <w:tcW w:w="140" w:type="dxa"/>
          </w:tcPr>
          <w:p w14:paraId="02631831"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2EA3D32A" w14:textId="77777777" w:rsidR="00473B27" w:rsidRPr="0097675E" w:rsidRDefault="00473B27" w:rsidP="00473B27">
            <w:pPr>
              <w:tabs>
                <w:tab w:val="decimal" w:pos="113"/>
              </w:tabs>
              <w:spacing w:line="200" w:lineRule="exact"/>
              <w:ind w:left="57"/>
              <w:rPr>
                <w:sz w:val="18"/>
                <w:szCs w:val="20"/>
              </w:rPr>
            </w:pPr>
          </w:p>
        </w:tc>
        <w:tc>
          <w:tcPr>
            <w:tcW w:w="140" w:type="dxa"/>
          </w:tcPr>
          <w:p w14:paraId="5DE8B10C"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42DD1272" w14:textId="77777777" w:rsidR="00473B27" w:rsidRPr="0097675E" w:rsidRDefault="00473B27" w:rsidP="00473B27">
            <w:pPr>
              <w:tabs>
                <w:tab w:val="decimal" w:pos="113"/>
              </w:tabs>
              <w:spacing w:line="200" w:lineRule="exact"/>
              <w:ind w:left="57"/>
              <w:rPr>
                <w:sz w:val="18"/>
                <w:szCs w:val="20"/>
              </w:rPr>
            </w:pPr>
          </w:p>
        </w:tc>
        <w:tc>
          <w:tcPr>
            <w:tcW w:w="140" w:type="dxa"/>
          </w:tcPr>
          <w:p w14:paraId="36196745"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79BA354" w14:textId="77777777" w:rsidR="00473B27" w:rsidRPr="0097675E" w:rsidRDefault="00473B27" w:rsidP="00473B27">
            <w:pPr>
              <w:tabs>
                <w:tab w:val="decimal" w:pos="113"/>
              </w:tabs>
              <w:spacing w:line="200" w:lineRule="exact"/>
              <w:ind w:left="57"/>
              <w:rPr>
                <w:sz w:val="18"/>
                <w:szCs w:val="20"/>
              </w:rPr>
            </w:pPr>
          </w:p>
        </w:tc>
        <w:tc>
          <w:tcPr>
            <w:tcW w:w="140" w:type="dxa"/>
          </w:tcPr>
          <w:p w14:paraId="78D57826"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06F3135" w14:textId="77777777" w:rsidR="00473B27" w:rsidRPr="0097675E" w:rsidRDefault="00473B27" w:rsidP="00473B27">
            <w:pPr>
              <w:tabs>
                <w:tab w:val="decimal" w:pos="113"/>
              </w:tabs>
              <w:spacing w:line="200" w:lineRule="exact"/>
              <w:ind w:left="57"/>
              <w:rPr>
                <w:sz w:val="18"/>
                <w:szCs w:val="20"/>
              </w:rPr>
            </w:pPr>
          </w:p>
        </w:tc>
        <w:tc>
          <w:tcPr>
            <w:tcW w:w="110" w:type="dxa"/>
          </w:tcPr>
          <w:p w14:paraId="34BF8B35"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34C38A3" w14:textId="77777777" w:rsidR="00473B27" w:rsidRPr="0097675E" w:rsidRDefault="00473B27" w:rsidP="00473B27">
            <w:pPr>
              <w:tabs>
                <w:tab w:val="decimal" w:pos="113"/>
              </w:tabs>
              <w:spacing w:line="200" w:lineRule="exact"/>
              <w:ind w:left="57"/>
              <w:rPr>
                <w:sz w:val="18"/>
                <w:szCs w:val="20"/>
              </w:rPr>
            </w:pPr>
          </w:p>
        </w:tc>
      </w:tr>
      <w:tr w:rsidR="00473B27" w:rsidRPr="0097675E" w14:paraId="797E7EFC" w14:textId="77777777" w:rsidTr="00473B27">
        <w:tc>
          <w:tcPr>
            <w:tcW w:w="2127" w:type="dxa"/>
            <w:vAlign w:val="bottom"/>
          </w:tcPr>
          <w:p w14:paraId="708AA06B" w14:textId="6DC9116F"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מוצרי אלקטרוניקה</w:t>
            </w:r>
          </w:p>
        </w:tc>
        <w:tc>
          <w:tcPr>
            <w:tcW w:w="113" w:type="dxa"/>
          </w:tcPr>
          <w:p w14:paraId="11392974"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58F7EEED" w14:textId="77777777" w:rsidR="00473B27" w:rsidRPr="0097675E" w:rsidRDefault="00473B27" w:rsidP="00473B27">
            <w:pPr>
              <w:tabs>
                <w:tab w:val="decimal" w:pos="113"/>
              </w:tabs>
              <w:spacing w:line="200" w:lineRule="exact"/>
              <w:ind w:left="57"/>
              <w:rPr>
                <w:sz w:val="18"/>
                <w:szCs w:val="20"/>
              </w:rPr>
            </w:pPr>
          </w:p>
        </w:tc>
        <w:tc>
          <w:tcPr>
            <w:tcW w:w="140" w:type="dxa"/>
          </w:tcPr>
          <w:p w14:paraId="3A95E53F"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238871FD" w14:textId="77777777" w:rsidR="00473B27" w:rsidRPr="0097675E" w:rsidRDefault="00473B27" w:rsidP="00473B27">
            <w:pPr>
              <w:tabs>
                <w:tab w:val="decimal" w:pos="113"/>
              </w:tabs>
              <w:spacing w:line="200" w:lineRule="exact"/>
              <w:ind w:left="57"/>
              <w:rPr>
                <w:sz w:val="18"/>
                <w:szCs w:val="20"/>
              </w:rPr>
            </w:pPr>
          </w:p>
        </w:tc>
        <w:tc>
          <w:tcPr>
            <w:tcW w:w="140" w:type="dxa"/>
          </w:tcPr>
          <w:p w14:paraId="4489B10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15A3E20" w14:textId="77777777" w:rsidR="00473B27" w:rsidRPr="0097675E" w:rsidRDefault="00473B27" w:rsidP="00473B27">
            <w:pPr>
              <w:tabs>
                <w:tab w:val="decimal" w:pos="113"/>
              </w:tabs>
              <w:spacing w:line="200" w:lineRule="exact"/>
              <w:ind w:left="57"/>
              <w:rPr>
                <w:sz w:val="18"/>
                <w:szCs w:val="20"/>
              </w:rPr>
            </w:pPr>
          </w:p>
        </w:tc>
        <w:tc>
          <w:tcPr>
            <w:tcW w:w="140" w:type="dxa"/>
          </w:tcPr>
          <w:p w14:paraId="2E0E3BE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31BC9BA" w14:textId="77777777" w:rsidR="00473B27" w:rsidRPr="0097675E" w:rsidRDefault="00473B27" w:rsidP="00473B27">
            <w:pPr>
              <w:tabs>
                <w:tab w:val="decimal" w:pos="113"/>
              </w:tabs>
              <w:spacing w:line="200" w:lineRule="exact"/>
              <w:ind w:left="57"/>
              <w:rPr>
                <w:sz w:val="18"/>
                <w:szCs w:val="20"/>
              </w:rPr>
            </w:pPr>
          </w:p>
        </w:tc>
        <w:tc>
          <w:tcPr>
            <w:tcW w:w="140" w:type="dxa"/>
          </w:tcPr>
          <w:p w14:paraId="0C16DE1C"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64537D42" w14:textId="77777777" w:rsidR="00473B27" w:rsidRPr="0097675E" w:rsidRDefault="00473B27" w:rsidP="00473B27">
            <w:pPr>
              <w:tabs>
                <w:tab w:val="decimal" w:pos="113"/>
              </w:tabs>
              <w:spacing w:line="200" w:lineRule="exact"/>
              <w:ind w:left="57"/>
              <w:rPr>
                <w:sz w:val="18"/>
                <w:szCs w:val="20"/>
              </w:rPr>
            </w:pPr>
          </w:p>
        </w:tc>
        <w:tc>
          <w:tcPr>
            <w:tcW w:w="110" w:type="dxa"/>
          </w:tcPr>
          <w:p w14:paraId="71F949C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3915535" w14:textId="77777777" w:rsidR="00473B27" w:rsidRPr="0097675E" w:rsidRDefault="00473B27" w:rsidP="00473B27">
            <w:pPr>
              <w:tabs>
                <w:tab w:val="decimal" w:pos="113"/>
              </w:tabs>
              <w:spacing w:line="200" w:lineRule="exact"/>
              <w:ind w:left="57"/>
              <w:rPr>
                <w:sz w:val="18"/>
                <w:szCs w:val="20"/>
              </w:rPr>
            </w:pPr>
          </w:p>
        </w:tc>
      </w:tr>
      <w:tr w:rsidR="00473B27" w:rsidRPr="0097675E" w14:paraId="1E435964" w14:textId="77777777" w:rsidTr="00473B27">
        <w:tc>
          <w:tcPr>
            <w:tcW w:w="2127" w:type="dxa"/>
            <w:vAlign w:val="bottom"/>
          </w:tcPr>
          <w:p w14:paraId="44088493" w14:textId="55AEC257"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משרדים</w:t>
            </w:r>
          </w:p>
        </w:tc>
        <w:tc>
          <w:tcPr>
            <w:tcW w:w="113" w:type="dxa"/>
          </w:tcPr>
          <w:p w14:paraId="15D2E760"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57031DE6" w14:textId="77777777" w:rsidR="00473B27" w:rsidRPr="0097675E" w:rsidRDefault="00473B27" w:rsidP="00473B27">
            <w:pPr>
              <w:tabs>
                <w:tab w:val="decimal" w:pos="113"/>
              </w:tabs>
              <w:spacing w:line="200" w:lineRule="exact"/>
              <w:ind w:left="57"/>
              <w:rPr>
                <w:sz w:val="18"/>
                <w:szCs w:val="20"/>
              </w:rPr>
            </w:pPr>
          </w:p>
        </w:tc>
        <w:tc>
          <w:tcPr>
            <w:tcW w:w="140" w:type="dxa"/>
          </w:tcPr>
          <w:p w14:paraId="2D9EDA18"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4221A6E1" w14:textId="77777777" w:rsidR="00473B27" w:rsidRPr="0097675E" w:rsidRDefault="00473B27" w:rsidP="00473B27">
            <w:pPr>
              <w:tabs>
                <w:tab w:val="decimal" w:pos="113"/>
              </w:tabs>
              <w:spacing w:line="200" w:lineRule="exact"/>
              <w:ind w:left="57"/>
              <w:rPr>
                <w:sz w:val="18"/>
                <w:szCs w:val="20"/>
              </w:rPr>
            </w:pPr>
          </w:p>
        </w:tc>
        <w:tc>
          <w:tcPr>
            <w:tcW w:w="140" w:type="dxa"/>
          </w:tcPr>
          <w:p w14:paraId="200BEF9D"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4F426C4" w14:textId="77777777" w:rsidR="00473B27" w:rsidRPr="0097675E" w:rsidRDefault="00473B27" w:rsidP="00473B27">
            <w:pPr>
              <w:tabs>
                <w:tab w:val="decimal" w:pos="113"/>
              </w:tabs>
              <w:spacing w:line="200" w:lineRule="exact"/>
              <w:ind w:left="57"/>
              <w:rPr>
                <w:sz w:val="18"/>
                <w:szCs w:val="20"/>
              </w:rPr>
            </w:pPr>
          </w:p>
        </w:tc>
        <w:tc>
          <w:tcPr>
            <w:tcW w:w="140" w:type="dxa"/>
          </w:tcPr>
          <w:p w14:paraId="257FE0A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5DB44E2" w14:textId="77777777" w:rsidR="00473B27" w:rsidRPr="0097675E" w:rsidRDefault="00473B27" w:rsidP="00473B27">
            <w:pPr>
              <w:tabs>
                <w:tab w:val="decimal" w:pos="113"/>
              </w:tabs>
              <w:spacing w:line="200" w:lineRule="exact"/>
              <w:ind w:left="57"/>
              <w:rPr>
                <w:sz w:val="18"/>
                <w:szCs w:val="20"/>
              </w:rPr>
            </w:pPr>
          </w:p>
        </w:tc>
        <w:tc>
          <w:tcPr>
            <w:tcW w:w="140" w:type="dxa"/>
          </w:tcPr>
          <w:p w14:paraId="37EE6B7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509E8EFF" w14:textId="77777777" w:rsidR="00473B27" w:rsidRPr="0097675E" w:rsidRDefault="00473B27" w:rsidP="00473B27">
            <w:pPr>
              <w:tabs>
                <w:tab w:val="decimal" w:pos="113"/>
              </w:tabs>
              <w:spacing w:line="200" w:lineRule="exact"/>
              <w:ind w:left="57"/>
              <w:rPr>
                <w:sz w:val="18"/>
                <w:szCs w:val="20"/>
              </w:rPr>
            </w:pPr>
          </w:p>
        </w:tc>
        <w:tc>
          <w:tcPr>
            <w:tcW w:w="110" w:type="dxa"/>
          </w:tcPr>
          <w:p w14:paraId="6DE0BEC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6202BE17" w14:textId="77777777" w:rsidR="00473B27" w:rsidRPr="0097675E" w:rsidRDefault="00473B27" w:rsidP="00473B27">
            <w:pPr>
              <w:tabs>
                <w:tab w:val="decimal" w:pos="113"/>
              </w:tabs>
              <w:spacing w:line="200" w:lineRule="exact"/>
              <w:ind w:left="57"/>
              <w:rPr>
                <w:sz w:val="18"/>
                <w:szCs w:val="20"/>
              </w:rPr>
            </w:pPr>
          </w:p>
        </w:tc>
      </w:tr>
      <w:tr w:rsidR="00473B27" w:rsidRPr="0097675E" w14:paraId="0988F741" w14:textId="77777777" w:rsidTr="00473B27">
        <w:tc>
          <w:tcPr>
            <w:tcW w:w="2127" w:type="dxa"/>
            <w:vAlign w:val="bottom"/>
          </w:tcPr>
          <w:p w14:paraId="6ED47588" w14:textId="2C62568D"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דירות למגורים</w:t>
            </w:r>
          </w:p>
        </w:tc>
        <w:tc>
          <w:tcPr>
            <w:tcW w:w="113" w:type="dxa"/>
          </w:tcPr>
          <w:p w14:paraId="67ADC349"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1029C27B" w14:textId="77777777" w:rsidR="00473B27" w:rsidRPr="0097675E" w:rsidRDefault="00473B27" w:rsidP="00473B27">
            <w:pPr>
              <w:tabs>
                <w:tab w:val="decimal" w:pos="113"/>
              </w:tabs>
              <w:spacing w:line="200" w:lineRule="exact"/>
              <w:ind w:left="57"/>
              <w:rPr>
                <w:sz w:val="18"/>
                <w:szCs w:val="20"/>
              </w:rPr>
            </w:pPr>
          </w:p>
        </w:tc>
        <w:tc>
          <w:tcPr>
            <w:tcW w:w="140" w:type="dxa"/>
          </w:tcPr>
          <w:p w14:paraId="2D169EEF"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57DBFDC8" w14:textId="77777777" w:rsidR="00473B27" w:rsidRPr="0097675E" w:rsidRDefault="00473B27" w:rsidP="00473B27">
            <w:pPr>
              <w:tabs>
                <w:tab w:val="decimal" w:pos="113"/>
              </w:tabs>
              <w:spacing w:line="200" w:lineRule="exact"/>
              <w:ind w:left="57"/>
              <w:rPr>
                <w:sz w:val="18"/>
                <w:szCs w:val="20"/>
              </w:rPr>
            </w:pPr>
          </w:p>
        </w:tc>
        <w:tc>
          <w:tcPr>
            <w:tcW w:w="140" w:type="dxa"/>
          </w:tcPr>
          <w:p w14:paraId="2DA3BC05"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7D70E7E6" w14:textId="77777777" w:rsidR="00473B27" w:rsidRPr="0097675E" w:rsidRDefault="00473B27" w:rsidP="00473B27">
            <w:pPr>
              <w:tabs>
                <w:tab w:val="decimal" w:pos="113"/>
              </w:tabs>
              <w:spacing w:line="200" w:lineRule="exact"/>
              <w:ind w:left="57"/>
              <w:rPr>
                <w:sz w:val="18"/>
                <w:szCs w:val="20"/>
              </w:rPr>
            </w:pPr>
          </w:p>
        </w:tc>
        <w:tc>
          <w:tcPr>
            <w:tcW w:w="140" w:type="dxa"/>
          </w:tcPr>
          <w:p w14:paraId="6F7D6BD2"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399E4E80" w14:textId="77777777" w:rsidR="00473B27" w:rsidRPr="0097675E" w:rsidRDefault="00473B27" w:rsidP="00473B27">
            <w:pPr>
              <w:tabs>
                <w:tab w:val="decimal" w:pos="113"/>
              </w:tabs>
              <w:spacing w:line="200" w:lineRule="exact"/>
              <w:ind w:left="57"/>
              <w:rPr>
                <w:sz w:val="18"/>
                <w:szCs w:val="20"/>
              </w:rPr>
            </w:pPr>
          </w:p>
        </w:tc>
        <w:tc>
          <w:tcPr>
            <w:tcW w:w="140" w:type="dxa"/>
          </w:tcPr>
          <w:p w14:paraId="09365E0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5C281CC" w14:textId="77777777" w:rsidR="00473B27" w:rsidRPr="0097675E" w:rsidRDefault="00473B27" w:rsidP="00473B27">
            <w:pPr>
              <w:tabs>
                <w:tab w:val="decimal" w:pos="113"/>
              </w:tabs>
              <w:spacing w:line="200" w:lineRule="exact"/>
              <w:ind w:left="57"/>
              <w:rPr>
                <w:sz w:val="18"/>
                <w:szCs w:val="20"/>
              </w:rPr>
            </w:pPr>
          </w:p>
        </w:tc>
        <w:tc>
          <w:tcPr>
            <w:tcW w:w="110" w:type="dxa"/>
          </w:tcPr>
          <w:p w14:paraId="11FA329F"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674CA7D" w14:textId="77777777" w:rsidR="00473B27" w:rsidRPr="0097675E" w:rsidRDefault="00473B27" w:rsidP="00473B27">
            <w:pPr>
              <w:tabs>
                <w:tab w:val="decimal" w:pos="113"/>
              </w:tabs>
              <w:spacing w:line="200" w:lineRule="exact"/>
              <w:ind w:left="57"/>
              <w:rPr>
                <w:sz w:val="18"/>
                <w:szCs w:val="20"/>
              </w:rPr>
            </w:pPr>
          </w:p>
        </w:tc>
      </w:tr>
      <w:tr w:rsidR="00473B27" w:rsidRPr="0097675E" w14:paraId="128D1420" w14:textId="77777777" w:rsidTr="00473B27">
        <w:tc>
          <w:tcPr>
            <w:tcW w:w="2127" w:type="dxa"/>
            <w:vAlign w:val="bottom"/>
          </w:tcPr>
          <w:p w14:paraId="078B5605" w14:textId="77777777" w:rsidR="00473B27" w:rsidRPr="00473B27" w:rsidRDefault="00473B27" w:rsidP="00473B27">
            <w:pPr>
              <w:pStyle w:val="a3"/>
              <w:tabs>
                <w:tab w:val="left" w:pos="227"/>
                <w:tab w:val="left" w:pos="397"/>
                <w:tab w:val="left" w:pos="567"/>
              </w:tabs>
              <w:spacing w:line="180" w:lineRule="exact"/>
              <w:rPr>
                <w:b/>
                <w:bCs/>
                <w:sz w:val="18"/>
                <w:szCs w:val="18"/>
                <w:rtl/>
              </w:rPr>
            </w:pPr>
          </w:p>
        </w:tc>
        <w:tc>
          <w:tcPr>
            <w:tcW w:w="113" w:type="dxa"/>
          </w:tcPr>
          <w:p w14:paraId="076FB292"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632239B8" w14:textId="77777777" w:rsidR="00473B27" w:rsidRPr="0097675E" w:rsidRDefault="00473B27" w:rsidP="00473B27">
            <w:pPr>
              <w:tabs>
                <w:tab w:val="decimal" w:pos="113"/>
              </w:tabs>
              <w:spacing w:line="200" w:lineRule="exact"/>
              <w:ind w:left="57"/>
              <w:rPr>
                <w:sz w:val="18"/>
                <w:szCs w:val="20"/>
              </w:rPr>
            </w:pPr>
          </w:p>
        </w:tc>
        <w:tc>
          <w:tcPr>
            <w:tcW w:w="140" w:type="dxa"/>
          </w:tcPr>
          <w:p w14:paraId="330D27E7" w14:textId="77777777" w:rsidR="00473B27" w:rsidRPr="0097675E" w:rsidRDefault="00473B27" w:rsidP="00473B27">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1AC09D84" w14:textId="77777777" w:rsidR="00473B27" w:rsidRPr="0097675E" w:rsidRDefault="00473B27" w:rsidP="00473B27">
            <w:pPr>
              <w:tabs>
                <w:tab w:val="decimal" w:pos="113"/>
              </w:tabs>
              <w:spacing w:line="200" w:lineRule="exact"/>
              <w:ind w:left="57"/>
              <w:rPr>
                <w:sz w:val="18"/>
                <w:szCs w:val="20"/>
              </w:rPr>
            </w:pPr>
          </w:p>
        </w:tc>
        <w:tc>
          <w:tcPr>
            <w:tcW w:w="140" w:type="dxa"/>
          </w:tcPr>
          <w:p w14:paraId="6A678733"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20BA9CDA" w14:textId="77777777" w:rsidR="00473B27" w:rsidRPr="0097675E" w:rsidRDefault="00473B27" w:rsidP="00473B27">
            <w:pPr>
              <w:tabs>
                <w:tab w:val="decimal" w:pos="113"/>
              </w:tabs>
              <w:spacing w:line="200" w:lineRule="exact"/>
              <w:ind w:left="57"/>
              <w:rPr>
                <w:sz w:val="18"/>
                <w:szCs w:val="20"/>
              </w:rPr>
            </w:pPr>
          </w:p>
        </w:tc>
        <w:tc>
          <w:tcPr>
            <w:tcW w:w="140" w:type="dxa"/>
          </w:tcPr>
          <w:p w14:paraId="32200B32"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25A5941" w14:textId="77777777" w:rsidR="00473B27" w:rsidRPr="0097675E" w:rsidRDefault="00473B27" w:rsidP="00473B27">
            <w:pPr>
              <w:tabs>
                <w:tab w:val="decimal" w:pos="113"/>
              </w:tabs>
              <w:spacing w:line="200" w:lineRule="exact"/>
              <w:ind w:left="57"/>
              <w:rPr>
                <w:sz w:val="18"/>
                <w:szCs w:val="20"/>
              </w:rPr>
            </w:pPr>
          </w:p>
        </w:tc>
        <w:tc>
          <w:tcPr>
            <w:tcW w:w="140" w:type="dxa"/>
          </w:tcPr>
          <w:p w14:paraId="2F1ECF28"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BFE0261" w14:textId="77777777" w:rsidR="00473B27" w:rsidRPr="0097675E" w:rsidRDefault="00473B27" w:rsidP="00473B27">
            <w:pPr>
              <w:tabs>
                <w:tab w:val="decimal" w:pos="113"/>
              </w:tabs>
              <w:spacing w:line="200" w:lineRule="exact"/>
              <w:ind w:left="57"/>
              <w:rPr>
                <w:sz w:val="18"/>
                <w:szCs w:val="20"/>
              </w:rPr>
            </w:pPr>
          </w:p>
        </w:tc>
        <w:tc>
          <w:tcPr>
            <w:tcW w:w="110" w:type="dxa"/>
          </w:tcPr>
          <w:p w14:paraId="6AAE1CB3"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48FFA96" w14:textId="77777777" w:rsidR="00473B27" w:rsidRPr="0097675E" w:rsidRDefault="00473B27" w:rsidP="00473B27">
            <w:pPr>
              <w:tabs>
                <w:tab w:val="decimal" w:pos="113"/>
              </w:tabs>
              <w:spacing w:line="200" w:lineRule="exact"/>
              <w:ind w:left="57"/>
              <w:rPr>
                <w:sz w:val="18"/>
                <w:szCs w:val="20"/>
              </w:rPr>
            </w:pPr>
          </w:p>
        </w:tc>
      </w:tr>
      <w:tr w:rsidR="00473B27" w:rsidRPr="0097675E" w14:paraId="37D05A04" w14:textId="77777777" w:rsidTr="00473B27">
        <w:tc>
          <w:tcPr>
            <w:tcW w:w="2127" w:type="dxa"/>
            <w:vAlign w:val="bottom"/>
          </w:tcPr>
          <w:p w14:paraId="0E905CCA" w14:textId="539F3BFC"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סה"כ הכנסות מחיצוניים</w:t>
            </w:r>
          </w:p>
        </w:tc>
        <w:tc>
          <w:tcPr>
            <w:tcW w:w="113" w:type="dxa"/>
          </w:tcPr>
          <w:p w14:paraId="534477AA"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04AF9D23" w14:textId="77777777" w:rsidR="00473B27" w:rsidRPr="0097675E" w:rsidRDefault="00473B27" w:rsidP="00473B27">
            <w:pPr>
              <w:tabs>
                <w:tab w:val="decimal" w:pos="113"/>
              </w:tabs>
              <w:spacing w:line="200" w:lineRule="exact"/>
              <w:ind w:left="57"/>
              <w:rPr>
                <w:sz w:val="18"/>
                <w:szCs w:val="20"/>
              </w:rPr>
            </w:pPr>
          </w:p>
        </w:tc>
        <w:tc>
          <w:tcPr>
            <w:tcW w:w="140" w:type="dxa"/>
          </w:tcPr>
          <w:p w14:paraId="602BFC2A"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1275B6CB" w14:textId="77777777" w:rsidR="00473B27" w:rsidRPr="0097675E" w:rsidRDefault="00473B27" w:rsidP="00473B27">
            <w:pPr>
              <w:tabs>
                <w:tab w:val="decimal" w:pos="113"/>
              </w:tabs>
              <w:spacing w:line="200" w:lineRule="exact"/>
              <w:ind w:left="57"/>
              <w:rPr>
                <w:sz w:val="18"/>
                <w:szCs w:val="20"/>
              </w:rPr>
            </w:pPr>
          </w:p>
        </w:tc>
        <w:tc>
          <w:tcPr>
            <w:tcW w:w="140" w:type="dxa"/>
          </w:tcPr>
          <w:p w14:paraId="48F253ED"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38A7E32" w14:textId="77777777" w:rsidR="00473B27" w:rsidRPr="0097675E" w:rsidRDefault="00473B27" w:rsidP="00473B27">
            <w:pPr>
              <w:tabs>
                <w:tab w:val="decimal" w:pos="113"/>
              </w:tabs>
              <w:spacing w:line="200" w:lineRule="exact"/>
              <w:ind w:left="57"/>
              <w:rPr>
                <w:sz w:val="18"/>
                <w:szCs w:val="20"/>
              </w:rPr>
            </w:pPr>
          </w:p>
        </w:tc>
        <w:tc>
          <w:tcPr>
            <w:tcW w:w="140" w:type="dxa"/>
          </w:tcPr>
          <w:p w14:paraId="4318088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C0AE328" w14:textId="77777777" w:rsidR="00473B27" w:rsidRPr="0097675E" w:rsidRDefault="00473B27" w:rsidP="00473B27">
            <w:pPr>
              <w:tabs>
                <w:tab w:val="decimal" w:pos="113"/>
              </w:tabs>
              <w:spacing w:line="200" w:lineRule="exact"/>
              <w:ind w:left="57"/>
              <w:rPr>
                <w:sz w:val="18"/>
                <w:szCs w:val="20"/>
              </w:rPr>
            </w:pPr>
          </w:p>
        </w:tc>
        <w:tc>
          <w:tcPr>
            <w:tcW w:w="140" w:type="dxa"/>
          </w:tcPr>
          <w:p w14:paraId="18B9220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15BAF6E" w14:textId="77777777" w:rsidR="00473B27" w:rsidRPr="0097675E" w:rsidRDefault="00473B27" w:rsidP="00473B27">
            <w:pPr>
              <w:tabs>
                <w:tab w:val="decimal" w:pos="113"/>
              </w:tabs>
              <w:spacing w:line="200" w:lineRule="exact"/>
              <w:ind w:left="57"/>
              <w:rPr>
                <w:sz w:val="18"/>
                <w:szCs w:val="20"/>
              </w:rPr>
            </w:pPr>
          </w:p>
        </w:tc>
        <w:tc>
          <w:tcPr>
            <w:tcW w:w="110" w:type="dxa"/>
          </w:tcPr>
          <w:p w14:paraId="0565C19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BC175C9" w14:textId="77777777" w:rsidR="00473B27" w:rsidRPr="0097675E" w:rsidRDefault="00473B27" w:rsidP="00473B27">
            <w:pPr>
              <w:tabs>
                <w:tab w:val="decimal" w:pos="113"/>
              </w:tabs>
              <w:spacing w:line="200" w:lineRule="exact"/>
              <w:ind w:left="57"/>
              <w:rPr>
                <w:sz w:val="18"/>
                <w:szCs w:val="20"/>
              </w:rPr>
            </w:pPr>
          </w:p>
        </w:tc>
      </w:tr>
      <w:tr w:rsidR="00473B27" w:rsidRPr="0097675E" w14:paraId="1F7B2CF6" w14:textId="77777777" w:rsidTr="00473B27">
        <w:tc>
          <w:tcPr>
            <w:tcW w:w="2127" w:type="dxa"/>
            <w:vAlign w:val="bottom"/>
          </w:tcPr>
          <w:p w14:paraId="66AC6054" w14:textId="77777777" w:rsidR="00473B27" w:rsidRPr="00E72837" w:rsidRDefault="00473B27" w:rsidP="00473B27">
            <w:pPr>
              <w:pStyle w:val="a3"/>
              <w:tabs>
                <w:tab w:val="left" w:pos="227"/>
                <w:tab w:val="left" w:pos="397"/>
                <w:tab w:val="left" w:pos="567"/>
              </w:tabs>
              <w:spacing w:line="200" w:lineRule="exact"/>
              <w:rPr>
                <w:sz w:val="16"/>
                <w:szCs w:val="18"/>
                <w:rtl/>
              </w:rPr>
            </w:pPr>
          </w:p>
        </w:tc>
        <w:tc>
          <w:tcPr>
            <w:tcW w:w="113" w:type="dxa"/>
          </w:tcPr>
          <w:p w14:paraId="7DF86B66"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3E3D360B" w14:textId="77777777" w:rsidR="00473B27" w:rsidRPr="0097675E" w:rsidRDefault="00473B27" w:rsidP="00473B27">
            <w:pPr>
              <w:tabs>
                <w:tab w:val="decimal" w:pos="113"/>
              </w:tabs>
              <w:spacing w:line="200" w:lineRule="exact"/>
              <w:ind w:left="57"/>
              <w:rPr>
                <w:sz w:val="18"/>
                <w:szCs w:val="20"/>
              </w:rPr>
            </w:pPr>
          </w:p>
        </w:tc>
        <w:tc>
          <w:tcPr>
            <w:tcW w:w="140" w:type="dxa"/>
          </w:tcPr>
          <w:p w14:paraId="4D4F25ED" w14:textId="77777777" w:rsidR="00473B27" w:rsidRPr="0097675E" w:rsidRDefault="00473B27" w:rsidP="00473B27">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706EDE72" w14:textId="77777777" w:rsidR="00473B27" w:rsidRPr="0097675E" w:rsidRDefault="00473B27" w:rsidP="00473B27">
            <w:pPr>
              <w:tabs>
                <w:tab w:val="decimal" w:pos="113"/>
              </w:tabs>
              <w:spacing w:line="200" w:lineRule="exact"/>
              <w:ind w:left="57"/>
              <w:rPr>
                <w:sz w:val="18"/>
                <w:szCs w:val="20"/>
              </w:rPr>
            </w:pPr>
          </w:p>
        </w:tc>
        <w:tc>
          <w:tcPr>
            <w:tcW w:w="140" w:type="dxa"/>
          </w:tcPr>
          <w:p w14:paraId="6858A416"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2B9BD6C1" w14:textId="77777777" w:rsidR="00473B27" w:rsidRPr="0097675E" w:rsidRDefault="00473B27" w:rsidP="00473B27">
            <w:pPr>
              <w:tabs>
                <w:tab w:val="decimal" w:pos="113"/>
              </w:tabs>
              <w:spacing w:line="200" w:lineRule="exact"/>
              <w:ind w:left="57"/>
              <w:rPr>
                <w:sz w:val="18"/>
                <w:szCs w:val="20"/>
              </w:rPr>
            </w:pPr>
          </w:p>
        </w:tc>
        <w:tc>
          <w:tcPr>
            <w:tcW w:w="140" w:type="dxa"/>
          </w:tcPr>
          <w:p w14:paraId="148A8022"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20625FE9" w14:textId="77777777" w:rsidR="00473B27" w:rsidRPr="0097675E" w:rsidRDefault="00473B27" w:rsidP="00473B27">
            <w:pPr>
              <w:tabs>
                <w:tab w:val="decimal" w:pos="113"/>
              </w:tabs>
              <w:spacing w:line="200" w:lineRule="exact"/>
              <w:ind w:left="57"/>
              <w:rPr>
                <w:sz w:val="18"/>
                <w:szCs w:val="20"/>
              </w:rPr>
            </w:pPr>
          </w:p>
        </w:tc>
        <w:tc>
          <w:tcPr>
            <w:tcW w:w="140" w:type="dxa"/>
          </w:tcPr>
          <w:p w14:paraId="79063306"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DE07505" w14:textId="77777777" w:rsidR="00473B27" w:rsidRPr="0097675E" w:rsidRDefault="00473B27" w:rsidP="00473B27">
            <w:pPr>
              <w:tabs>
                <w:tab w:val="decimal" w:pos="113"/>
              </w:tabs>
              <w:spacing w:line="200" w:lineRule="exact"/>
              <w:ind w:left="57"/>
              <w:rPr>
                <w:sz w:val="18"/>
                <w:szCs w:val="20"/>
              </w:rPr>
            </w:pPr>
          </w:p>
        </w:tc>
        <w:tc>
          <w:tcPr>
            <w:tcW w:w="110" w:type="dxa"/>
          </w:tcPr>
          <w:p w14:paraId="26F64D29"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51FAD99D" w14:textId="77777777" w:rsidR="00473B27" w:rsidRPr="0097675E" w:rsidRDefault="00473B27" w:rsidP="00473B27">
            <w:pPr>
              <w:tabs>
                <w:tab w:val="decimal" w:pos="113"/>
              </w:tabs>
              <w:spacing w:line="200" w:lineRule="exact"/>
              <w:ind w:left="57"/>
              <w:rPr>
                <w:sz w:val="18"/>
                <w:szCs w:val="20"/>
              </w:rPr>
            </w:pPr>
          </w:p>
        </w:tc>
      </w:tr>
      <w:tr w:rsidR="00473B27" w:rsidRPr="0097675E" w14:paraId="172BF5A0" w14:textId="77777777" w:rsidTr="00473B27">
        <w:tc>
          <w:tcPr>
            <w:tcW w:w="2127" w:type="dxa"/>
            <w:vAlign w:val="bottom"/>
          </w:tcPr>
          <w:p w14:paraId="736A3842" w14:textId="1ECD0771" w:rsidR="00473B27" w:rsidRPr="00E72837" w:rsidRDefault="00473B27" w:rsidP="00473B27">
            <w:pPr>
              <w:pStyle w:val="a3"/>
              <w:tabs>
                <w:tab w:val="left" w:pos="227"/>
                <w:tab w:val="left" w:pos="397"/>
                <w:tab w:val="left" w:pos="567"/>
              </w:tabs>
              <w:spacing w:line="200" w:lineRule="exact"/>
              <w:rPr>
                <w:sz w:val="16"/>
                <w:szCs w:val="18"/>
                <w:rtl/>
              </w:rPr>
            </w:pPr>
            <w:r>
              <w:rPr>
                <w:rFonts w:hint="cs"/>
                <w:b/>
                <w:bCs/>
                <w:sz w:val="18"/>
                <w:szCs w:val="18"/>
                <w:rtl/>
              </w:rPr>
              <w:t>עיתוי ההכרה בהכנסה:</w:t>
            </w:r>
          </w:p>
        </w:tc>
        <w:tc>
          <w:tcPr>
            <w:tcW w:w="113" w:type="dxa"/>
          </w:tcPr>
          <w:p w14:paraId="4CFD3450"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28CCB01D" w14:textId="77777777" w:rsidR="00473B27" w:rsidRPr="0097675E" w:rsidRDefault="00473B27" w:rsidP="00473B27">
            <w:pPr>
              <w:tabs>
                <w:tab w:val="decimal" w:pos="113"/>
              </w:tabs>
              <w:spacing w:line="200" w:lineRule="exact"/>
              <w:ind w:left="57"/>
              <w:rPr>
                <w:sz w:val="18"/>
                <w:szCs w:val="20"/>
              </w:rPr>
            </w:pPr>
          </w:p>
        </w:tc>
        <w:tc>
          <w:tcPr>
            <w:tcW w:w="140" w:type="dxa"/>
          </w:tcPr>
          <w:p w14:paraId="4F8D1436"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724D46FD" w14:textId="77777777" w:rsidR="00473B27" w:rsidRPr="0097675E" w:rsidRDefault="00473B27" w:rsidP="00473B27">
            <w:pPr>
              <w:tabs>
                <w:tab w:val="decimal" w:pos="113"/>
              </w:tabs>
              <w:spacing w:line="200" w:lineRule="exact"/>
              <w:ind w:left="57"/>
              <w:rPr>
                <w:sz w:val="18"/>
                <w:szCs w:val="20"/>
              </w:rPr>
            </w:pPr>
          </w:p>
        </w:tc>
        <w:tc>
          <w:tcPr>
            <w:tcW w:w="140" w:type="dxa"/>
          </w:tcPr>
          <w:p w14:paraId="19A93CE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C92B128" w14:textId="77777777" w:rsidR="00473B27" w:rsidRPr="0097675E" w:rsidRDefault="00473B27" w:rsidP="00473B27">
            <w:pPr>
              <w:tabs>
                <w:tab w:val="decimal" w:pos="113"/>
              </w:tabs>
              <w:spacing w:line="200" w:lineRule="exact"/>
              <w:ind w:left="57"/>
              <w:rPr>
                <w:sz w:val="18"/>
                <w:szCs w:val="20"/>
              </w:rPr>
            </w:pPr>
          </w:p>
        </w:tc>
        <w:tc>
          <w:tcPr>
            <w:tcW w:w="140" w:type="dxa"/>
          </w:tcPr>
          <w:p w14:paraId="72A2FE54"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203E28F" w14:textId="77777777" w:rsidR="00473B27" w:rsidRPr="0097675E" w:rsidRDefault="00473B27" w:rsidP="00473B27">
            <w:pPr>
              <w:tabs>
                <w:tab w:val="decimal" w:pos="113"/>
              </w:tabs>
              <w:spacing w:line="200" w:lineRule="exact"/>
              <w:ind w:left="57"/>
              <w:rPr>
                <w:sz w:val="18"/>
                <w:szCs w:val="20"/>
              </w:rPr>
            </w:pPr>
          </w:p>
        </w:tc>
        <w:tc>
          <w:tcPr>
            <w:tcW w:w="140" w:type="dxa"/>
          </w:tcPr>
          <w:p w14:paraId="1A17868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138FD4C3" w14:textId="77777777" w:rsidR="00473B27" w:rsidRPr="0097675E" w:rsidRDefault="00473B27" w:rsidP="00473B27">
            <w:pPr>
              <w:tabs>
                <w:tab w:val="decimal" w:pos="113"/>
              </w:tabs>
              <w:spacing w:line="200" w:lineRule="exact"/>
              <w:ind w:left="57"/>
              <w:rPr>
                <w:sz w:val="18"/>
                <w:szCs w:val="20"/>
              </w:rPr>
            </w:pPr>
          </w:p>
        </w:tc>
        <w:tc>
          <w:tcPr>
            <w:tcW w:w="110" w:type="dxa"/>
          </w:tcPr>
          <w:p w14:paraId="0FE204C6"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6CDDE1CA" w14:textId="77777777" w:rsidR="00473B27" w:rsidRPr="0097675E" w:rsidRDefault="00473B27" w:rsidP="00473B27">
            <w:pPr>
              <w:tabs>
                <w:tab w:val="decimal" w:pos="113"/>
              </w:tabs>
              <w:spacing w:line="200" w:lineRule="exact"/>
              <w:ind w:left="57"/>
              <w:rPr>
                <w:sz w:val="18"/>
                <w:szCs w:val="20"/>
              </w:rPr>
            </w:pPr>
          </w:p>
        </w:tc>
      </w:tr>
      <w:tr w:rsidR="00473B27" w:rsidRPr="0097675E" w14:paraId="31C2ACDF" w14:textId="77777777" w:rsidTr="00473B27">
        <w:tc>
          <w:tcPr>
            <w:tcW w:w="2127" w:type="dxa"/>
            <w:vAlign w:val="bottom"/>
          </w:tcPr>
          <w:p w14:paraId="204B8C84" w14:textId="3AA34C2C" w:rsidR="00473B27" w:rsidRPr="00E72837" w:rsidRDefault="00473B27" w:rsidP="00473B27">
            <w:pPr>
              <w:pStyle w:val="a3"/>
              <w:tabs>
                <w:tab w:val="left" w:pos="227"/>
                <w:tab w:val="left" w:pos="397"/>
                <w:tab w:val="left" w:pos="567"/>
              </w:tabs>
              <w:spacing w:line="200" w:lineRule="exact"/>
              <w:rPr>
                <w:sz w:val="16"/>
                <w:szCs w:val="18"/>
                <w:rtl/>
              </w:rPr>
            </w:pPr>
            <w:r>
              <w:rPr>
                <w:rFonts w:hint="cs"/>
                <w:sz w:val="18"/>
                <w:szCs w:val="18"/>
                <w:rtl/>
              </w:rPr>
              <w:t>הכרה בהכנסה בנקודת זמן</w:t>
            </w:r>
          </w:p>
        </w:tc>
        <w:tc>
          <w:tcPr>
            <w:tcW w:w="113" w:type="dxa"/>
          </w:tcPr>
          <w:p w14:paraId="0D5A593B"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5E1DE587" w14:textId="77777777" w:rsidR="00473B27" w:rsidRPr="0097675E" w:rsidRDefault="00473B27" w:rsidP="00473B27">
            <w:pPr>
              <w:tabs>
                <w:tab w:val="decimal" w:pos="113"/>
              </w:tabs>
              <w:spacing w:line="200" w:lineRule="exact"/>
              <w:ind w:left="57"/>
              <w:rPr>
                <w:sz w:val="18"/>
                <w:szCs w:val="20"/>
              </w:rPr>
            </w:pPr>
          </w:p>
        </w:tc>
        <w:tc>
          <w:tcPr>
            <w:tcW w:w="140" w:type="dxa"/>
          </w:tcPr>
          <w:p w14:paraId="3BFB559E"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3410659E" w14:textId="77777777" w:rsidR="00473B27" w:rsidRPr="0097675E" w:rsidRDefault="00473B27" w:rsidP="00473B27">
            <w:pPr>
              <w:tabs>
                <w:tab w:val="decimal" w:pos="113"/>
              </w:tabs>
              <w:spacing w:line="200" w:lineRule="exact"/>
              <w:ind w:left="57"/>
              <w:rPr>
                <w:sz w:val="18"/>
                <w:szCs w:val="20"/>
              </w:rPr>
            </w:pPr>
          </w:p>
        </w:tc>
        <w:tc>
          <w:tcPr>
            <w:tcW w:w="140" w:type="dxa"/>
          </w:tcPr>
          <w:p w14:paraId="7417225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68DF399" w14:textId="77777777" w:rsidR="00473B27" w:rsidRPr="0097675E" w:rsidRDefault="00473B27" w:rsidP="00473B27">
            <w:pPr>
              <w:tabs>
                <w:tab w:val="decimal" w:pos="113"/>
              </w:tabs>
              <w:spacing w:line="200" w:lineRule="exact"/>
              <w:ind w:left="57"/>
              <w:rPr>
                <w:sz w:val="18"/>
                <w:szCs w:val="20"/>
              </w:rPr>
            </w:pPr>
          </w:p>
        </w:tc>
        <w:tc>
          <w:tcPr>
            <w:tcW w:w="140" w:type="dxa"/>
          </w:tcPr>
          <w:p w14:paraId="7EC6F5D7"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1D24154" w14:textId="77777777" w:rsidR="00473B27" w:rsidRPr="0097675E" w:rsidRDefault="00473B27" w:rsidP="00473B27">
            <w:pPr>
              <w:tabs>
                <w:tab w:val="decimal" w:pos="113"/>
              </w:tabs>
              <w:spacing w:line="200" w:lineRule="exact"/>
              <w:ind w:left="57"/>
              <w:rPr>
                <w:sz w:val="18"/>
                <w:szCs w:val="20"/>
              </w:rPr>
            </w:pPr>
          </w:p>
        </w:tc>
        <w:tc>
          <w:tcPr>
            <w:tcW w:w="140" w:type="dxa"/>
          </w:tcPr>
          <w:p w14:paraId="6A20EFA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C97E0F2" w14:textId="77777777" w:rsidR="00473B27" w:rsidRPr="0097675E" w:rsidRDefault="00473B27" w:rsidP="00473B27">
            <w:pPr>
              <w:tabs>
                <w:tab w:val="decimal" w:pos="113"/>
              </w:tabs>
              <w:spacing w:line="200" w:lineRule="exact"/>
              <w:ind w:left="57"/>
              <w:rPr>
                <w:sz w:val="18"/>
                <w:szCs w:val="20"/>
              </w:rPr>
            </w:pPr>
          </w:p>
        </w:tc>
        <w:tc>
          <w:tcPr>
            <w:tcW w:w="110" w:type="dxa"/>
          </w:tcPr>
          <w:p w14:paraId="399D6B9F"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67368614" w14:textId="77777777" w:rsidR="00473B27" w:rsidRPr="0097675E" w:rsidRDefault="00473B27" w:rsidP="00473B27">
            <w:pPr>
              <w:tabs>
                <w:tab w:val="decimal" w:pos="113"/>
              </w:tabs>
              <w:spacing w:line="200" w:lineRule="exact"/>
              <w:ind w:left="57"/>
              <w:rPr>
                <w:sz w:val="18"/>
                <w:szCs w:val="20"/>
              </w:rPr>
            </w:pPr>
          </w:p>
        </w:tc>
      </w:tr>
      <w:tr w:rsidR="00473B27" w:rsidRPr="0097675E" w14:paraId="738B6C3F" w14:textId="77777777" w:rsidTr="00473B27">
        <w:tc>
          <w:tcPr>
            <w:tcW w:w="2127" w:type="dxa"/>
            <w:vAlign w:val="bottom"/>
          </w:tcPr>
          <w:p w14:paraId="685E0CF3" w14:textId="21C82427" w:rsidR="00473B27" w:rsidRPr="00E72837" w:rsidRDefault="00473B27" w:rsidP="00473B27">
            <w:pPr>
              <w:pStyle w:val="a3"/>
              <w:tabs>
                <w:tab w:val="left" w:pos="227"/>
                <w:tab w:val="left" w:pos="397"/>
                <w:tab w:val="left" w:pos="567"/>
              </w:tabs>
              <w:spacing w:line="200" w:lineRule="exact"/>
              <w:rPr>
                <w:sz w:val="16"/>
                <w:szCs w:val="18"/>
                <w:rtl/>
              </w:rPr>
            </w:pPr>
            <w:r>
              <w:rPr>
                <w:rFonts w:hint="cs"/>
                <w:sz w:val="18"/>
                <w:szCs w:val="18"/>
                <w:rtl/>
              </w:rPr>
              <w:t>הכרה בהכנסה על פני תקופת זמן</w:t>
            </w:r>
          </w:p>
        </w:tc>
        <w:tc>
          <w:tcPr>
            <w:tcW w:w="113" w:type="dxa"/>
          </w:tcPr>
          <w:p w14:paraId="7B23A343"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213B2B24" w14:textId="77777777" w:rsidR="00473B27" w:rsidRPr="0097675E" w:rsidRDefault="00473B27" w:rsidP="00473B27">
            <w:pPr>
              <w:tabs>
                <w:tab w:val="decimal" w:pos="113"/>
              </w:tabs>
              <w:spacing w:line="200" w:lineRule="exact"/>
              <w:ind w:left="57"/>
              <w:rPr>
                <w:sz w:val="18"/>
                <w:szCs w:val="20"/>
              </w:rPr>
            </w:pPr>
          </w:p>
        </w:tc>
        <w:tc>
          <w:tcPr>
            <w:tcW w:w="140" w:type="dxa"/>
          </w:tcPr>
          <w:p w14:paraId="75F2C9D5"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7E35F4B3" w14:textId="77777777" w:rsidR="00473B27" w:rsidRPr="0097675E" w:rsidRDefault="00473B27" w:rsidP="00473B27">
            <w:pPr>
              <w:tabs>
                <w:tab w:val="decimal" w:pos="113"/>
              </w:tabs>
              <w:spacing w:line="200" w:lineRule="exact"/>
              <w:ind w:left="57"/>
              <w:rPr>
                <w:sz w:val="18"/>
                <w:szCs w:val="20"/>
              </w:rPr>
            </w:pPr>
          </w:p>
        </w:tc>
        <w:tc>
          <w:tcPr>
            <w:tcW w:w="140" w:type="dxa"/>
          </w:tcPr>
          <w:p w14:paraId="76F96ED6"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5A1DF2AA" w14:textId="77777777" w:rsidR="00473B27" w:rsidRPr="0097675E" w:rsidRDefault="00473B27" w:rsidP="00473B27">
            <w:pPr>
              <w:tabs>
                <w:tab w:val="decimal" w:pos="113"/>
              </w:tabs>
              <w:spacing w:line="200" w:lineRule="exact"/>
              <w:ind w:left="57"/>
              <w:rPr>
                <w:sz w:val="18"/>
                <w:szCs w:val="20"/>
              </w:rPr>
            </w:pPr>
          </w:p>
        </w:tc>
        <w:tc>
          <w:tcPr>
            <w:tcW w:w="140" w:type="dxa"/>
          </w:tcPr>
          <w:p w14:paraId="49F34564"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4B9DACF" w14:textId="77777777" w:rsidR="00473B27" w:rsidRPr="0097675E" w:rsidRDefault="00473B27" w:rsidP="00473B27">
            <w:pPr>
              <w:tabs>
                <w:tab w:val="decimal" w:pos="113"/>
              </w:tabs>
              <w:spacing w:line="200" w:lineRule="exact"/>
              <w:ind w:left="57"/>
              <w:rPr>
                <w:sz w:val="18"/>
                <w:szCs w:val="20"/>
              </w:rPr>
            </w:pPr>
          </w:p>
        </w:tc>
        <w:tc>
          <w:tcPr>
            <w:tcW w:w="140" w:type="dxa"/>
          </w:tcPr>
          <w:p w14:paraId="390BE3A2"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8288CAE" w14:textId="77777777" w:rsidR="00473B27" w:rsidRPr="0097675E" w:rsidRDefault="00473B27" w:rsidP="00473B27">
            <w:pPr>
              <w:tabs>
                <w:tab w:val="decimal" w:pos="113"/>
              </w:tabs>
              <w:spacing w:line="200" w:lineRule="exact"/>
              <w:ind w:left="57"/>
              <w:rPr>
                <w:sz w:val="18"/>
                <w:szCs w:val="20"/>
              </w:rPr>
            </w:pPr>
          </w:p>
        </w:tc>
        <w:tc>
          <w:tcPr>
            <w:tcW w:w="110" w:type="dxa"/>
          </w:tcPr>
          <w:p w14:paraId="66A9A5F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55185EC" w14:textId="77777777" w:rsidR="00473B27" w:rsidRPr="0097675E" w:rsidRDefault="00473B27" w:rsidP="00473B27">
            <w:pPr>
              <w:tabs>
                <w:tab w:val="decimal" w:pos="113"/>
              </w:tabs>
              <w:spacing w:line="200" w:lineRule="exact"/>
              <w:ind w:left="57"/>
              <w:rPr>
                <w:sz w:val="18"/>
                <w:szCs w:val="20"/>
              </w:rPr>
            </w:pPr>
          </w:p>
        </w:tc>
      </w:tr>
      <w:tr w:rsidR="00473B27" w:rsidRPr="0097675E" w14:paraId="1BA698AE" w14:textId="77777777" w:rsidTr="00473B27">
        <w:tc>
          <w:tcPr>
            <w:tcW w:w="2127" w:type="dxa"/>
            <w:vAlign w:val="bottom"/>
          </w:tcPr>
          <w:p w14:paraId="0A659E3A" w14:textId="161FBA2C" w:rsidR="00473B27" w:rsidRPr="00E72837" w:rsidRDefault="00473B27" w:rsidP="00473B27">
            <w:pPr>
              <w:pStyle w:val="a3"/>
              <w:tabs>
                <w:tab w:val="left" w:pos="227"/>
                <w:tab w:val="left" w:pos="397"/>
                <w:tab w:val="left" w:pos="567"/>
              </w:tabs>
              <w:spacing w:line="200" w:lineRule="exact"/>
              <w:rPr>
                <w:sz w:val="16"/>
                <w:szCs w:val="18"/>
              </w:rPr>
            </w:pPr>
          </w:p>
        </w:tc>
        <w:tc>
          <w:tcPr>
            <w:tcW w:w="113" w:type="dxa"/>
          </w:tcPr>
          <w:p w14:paraId="7773CED0"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30D20729" w14:textId="77777777" w:rsidR="00473B27" w:rsidRPr="0097675E" w:rsidRDefault="00473B27" w:rsidP="00473B27">
            <w:pPr>
              <w:tabs>
                <w:tab w:val="decimal" w:pos="113"/>
              </w:tabs>
              <w:spacing w:line="200" w:lineRule="exact"/>
              <w:ind w:left="57"/>
              <w:rPr>
                <w:sz w:val="18"/>
                <w:szCs w:val="20"/>
              </w:rPr>
            </w:pPr>
          </w:p>
        </w:tc>
        <w:tc>
          <w:tcPr>
            <w:tcW w:w="140" w:type="dxa"/>
          </w:tcPr>
          <w:p w14:paraId="046984A4" w14:textId="77777777" w:rsidR="00473B27" w:rsidRPr="0097675E" w:rsidRDefault="00473B27" w:rsidP="00473B27">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5F124BC3" w14:textId="77777777" w:rsidR="00473B27" w:rsidRPr="0097675E" w:rsidRDefault="00473B27" w:rsidP="00473B27">
            <w:pPr>
              <w:tabs>
                <w:tab w:val="decimal" w:pos="113"/>
              </w:tabs>
              <w:spacing w:line="200" w:lineRule="exact"/>
              <w:ind w:left="57"/>
              <w:rPr>
                <w:sz w:val="18"/>
                <w:szCs w:val="20"/>
              </w:rPr>
            </w:pPr>
          </w:p>
        </w:tc>
        <w:tc>
          <w:tcPr>
            <w:tcW w:w="140" w:type="dxa"/>
          </w:tcPr>
          <w:p w14:paraId="5BF15CEB"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55867E7C" w14:textId="77777777" w:rsidR="00473B27" w:rsidRPr="0097675E" w:rsidRDefault="00473B27" w:rsidP="00473B27">
            <w:pPr>
              <w:tabs>
                <w:tab w:val="decimal" w:pos="113"/>
              </w:tabs>
              <w:spacing w:line="200" w:lineRule="exact"/>
              <w:ind w:left="57"/>
              <w:rPr>
                <w:sz w:val="18"/>
                <w:szCs w:val="20"/>
              </w:rPr>
            </w:pPr>
          </w:p>
        </w:tc>
        <w:tc>
          <w:tcPr>
            <w:tcW w:w="140" w:type="dxa"/>
          </w:tcPr>
          <w:p w14:paraId="23AF3018"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2D4C26B" w14:textId="77777777" w:rsidR="00473B27" w:rsidRPr="0097675E" w:rsidRDefault="00473B27" w:rsidP="00473B27">
            <w:pPr>
              <w:tabs>
                <w:tab w:val="decimal" w:pos="113"/>
              </w:tabs>
              <w:spacing w:line="200" w:lineRule="exact"/>
              <w:ind w:left="57"/>
              <w:rPr>
                <w:sz w:val="18"/>
                <w:szCs w:val="20"/>
              </w:rPr>
            </w:pPr>
          </w:p>
        </w:tc>
        <w:tc>
          <w:tcPr>
            <w:tcW w:w="140" w:type="dxa"/>
          </w:tcPr>
          <w:p w14:paraId="0733311B"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51EF8F0E" w14:textId="77777777" w:rsidR="00473B27" w:rsidRPr="0097675E" w:rsidRDefault="00473B27" w:rsidP="00473B27">
            <w:pPr>
              <w:tabs>
                <w:tab w:val="decimal" w:pos="113"/>
              </w:tabs>
              <w:spacing w:line="200" w:lineRule="exact"/>
              <w:ind w:left="57"/>
              <w:rPr>
                <w:sz w:val="18"/>
                <w:szCs w:val="20"/>
              </w:rPr>
            </w:pPr>
          </w:p>
        </w:tc>
        <w:tc>
          <w:tcPr>
            <w:tcW w:w="110" w:type="dxa"/>
          </w:tcPr>
          <w:p w14:paraId="6E4FF967"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D1FE526" w14:textId="77777777" w:rsidR="00473B27" w:rsidRPr="0097675E" w:rsidRDefault="00473B27" w:rsidP="00473B27">
            <w:pPr>
              <w:tabs>
                <w:tab w:val="decimal" w:pos="113"/>
              </w:tabs>
              <w:spacing w:line="200" w:lineRule="exact"/>
              <w:ind w:left="57"/>
              <w:rPr>
                <w:sz w:val="18"/>
                <w:szCs w:val="20"/>
              </w:rPr>
            </w:pPr>
          </w:p>
        </w:tc>
      </w:tr>
      <w:tr w:rsidR="00473B27" w:rsidRPr="0097675E" w14:paraId="7158606A" w14:textId="77777777" w:rsidTr="00473B27">
        <w:tc>
          <w:tcPr>
            <w:tcW w:w="2127" w:type="dxa"/>
            <w:vAlign w:val="bottom"/>
          </w:tcPr>
          <w:p w14:paraId="613C15B0" w14:textId="5A35E0D5" w:rsidR="00473B27" w:rsidRPr="00473B27" w:rsidRDefault="00473B27" w:rsidP="00473B27">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113" w:type="dxa"/>
          </w:tcPr>
          <w:p w14:paraId="5918EFE8"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bottom w:val="single" w:sz="4" w:space="0" w:color="auto"/>
            </w:tcBorders>
            <w:shd w:val="clear" w:color="auto" w:fill="auto"/>
            <w:vAlign w:val="bottom"/>
          </w:tcPr>
          <w:p w14:paraId="2CB8717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3AE6E34A"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tcBorders>
              <w:left w:val="nil"/>
              <w:bottom w:val="single" w:sz="4" w:space="0" w:color="auto"/>
              <w:right w:val="nil"/>
            </w:tcBorders>
            <w:shd w:val="clear" w:color="auto" w:fill="auto"/>
            <w:vAlign w:val="bottom"/>
          </w:tcPr>
          <w:p w14:paraId="46AA52A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0F323A3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14F056D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340C13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4642050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DC8669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3C138DE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5537F73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5F12DA95"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3F9352C7" w14:textId="77777777" w:rsidTr="00473B27">
        <w:tc>
          <w:tcPr>
            <w:tcW w:w="2127" w:type="dxa"/>
            <w:vAlign w:val="bottom"/>
          </w:tcPr>
          <w:p w14:paraId="7962B0BC" w14:textId="77777777" w:rsidR="00473B27" w:rsidRDefault="00473B27" w:rsidP="00473B27">
            <w:pPr>
              <w:pStyle w:val="a3"/>
              <w:tabs>
                <w:tab w:val="left" w:pos="227"/>
                <w:tab w:val="left" w:pos="397"/>
                <w:tab w:val="left" w:pos="567"/>
              </w:tabs>
              <w:spacing w:line="180" w:lineRule="exact"/>
              <w:rPr>
                <w:sz w:val="18"/>
                <w:szCs w:val="18"/>
                <w:rtl/>
              </w:rPr>
            </w:pPr>
          </w:p>
        </w:tc>
        <w:tc>
          <w:tcPr>
            <w:tcW w:w="113" w:type="dxa"/>
          </w:tcPr>
          <w:p w14:paraId="5A230BB7"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tcBorders>
            <w:shd w:val="clear" w:color="auto" w:fill="auto"/>
            <w:vAlign w:val="bottom"/>
          </w:tcPr>
          <w:p w14:paraId="0D854938"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4D56A5B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tcBorders>
              <w:top w:val="single" w:sz="4" w:space="0" w:color="auto"/>
              <w:left w:val="nil"/>
              <w:right w:val="nil"/>
            </w:tcBorders>
            <w:shd w:val="clear" w:color="auto" w:fill="auto"/>
            <w:vAlign w:val="bottom"/>
          </w:tcPr>
          <w:p w14:paraId="1021069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5E05F0BE"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24F1A3D5"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526F10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21FA754A"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20724B2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5BB93A7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6C05666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2637A3CA"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3AE199AA" w14:textId="77777777" w:rsidTr="00473B27">
        <w:tc>
          <w:tcPr>
            <w:tcW w:w="2127" w:type="dxa"/>
            <w:vAlign w:val="bottom"/>
          </w:tcPr>
          <w:p w14:paraId="69CE2FCC" w14:textId="75D31BCD" w:rsidR="00473B27" w:rsidRDefault="00473B27" w:rsidP="00473B27">
            <w:pPr>
              <w:pStyle w:val="a3"/>
              <w:tabs>
                <w:tab w:val="left" w:pos="227"/>
                <w:tab w:val="left" w:pos="397"/>
                <w:tab w:val="left" w:pos="567"/>
              </w:tabs>
              <w:spacing w:line="180" w:lineRule="exact"/>
              <w:rPr>
                <w:sz w:val="18"/>
                <w:szCs w:val="18"/>
                <w:rtl/>
              </w:rPr>
            </w:pPr>
            <w:r>
              <w:rPr>
                <w:rFonts w:hint="cs"/>
                <w:sz w:val="18"/>
                <w:szCs w:val="18"/>
                <w:rtl/>
              </w:rPr>
              <w:t>הכנסות בין-מגזריות</w:t>
            </w:r>
          </w:p>
        </w:tc>
        <w:tc>
          <w:tcPr>
            <w:tcW w:w="113" w:type="dxa"/>
          </w:tcPr>
          <w:p w14:paraId="260C8372"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bottom w:val="single" w:sz="4" w:space="0" w:color="auto"/>
            </w:tcBorders>
            <w:shd w:val="clear" w:color="auto" w:fill="auto"/>
            <w:vAlign w:val="bottom"/>
          </w:tcPr>
          <w:p w14:paraId="491B7A3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3E2B721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tcBorders>
              <w:left w:val="nil"/>
              <w:bottom w:val="single" w:sz="4" w:space="0" w:color="auto"/>
              <w:right w:val="nil"/>
            </w:tcBorders>
            <w:shd w:val="clear" w:color="auto" w:fill="auto"/>
            <w:vAlign w:val="bottom"/>
          </w:tcPr>
          <w:p w14:paraId="23C55A84"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52E323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38499E5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7B4CE73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50501BBA"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2C447F1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5ACD85DA"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1994E1E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7FAA1481"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49D93BB3" w14:textId="77777777" w:rsidTr="00473B27">
        <w:tc>
          <w:tcPr>
            <w:tcW w:w="2127" w:type="dxa"/>
            <w:vAlign w:val="bottom"/>
          </w:tcPr>
          <w:p w14:paraId="4AEFAF8C" w14:textId="77777777" w:rsidR="00473B27" w:rsidRDefault="00473B27" w:rsidP="00473B27">
            <w:pPr>
              <w:pStyle w:val="a3"/>
              <w:tabs>
                <w:tab w:val="left" w:pos="227"/>
                <w:tab w:val="left" w:pos="397"/>
                <w:tab w:val="left" w:pos="567"/>
              </w:tabs>
              <w:spacing w:line="180" w:lineRule="exact"/>
              <w:rPr>
                <w:sz w:val="18"/>
                <w:szCs w:val="18"/>
                <w:rtl/>
              </w:rPr>
            </w:pPr>
          </w:p>
        </w:tc>
        <w:tc>
          <w:tcPr>
            <w:tcW w:w="113" w:type="dxa"/>
          </w:tcPr>
          <w:p w14:paraId="682E673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tcBorders>
            <w:shd w:val="clear" w:color="auto" w:fill="auto"/>
            <w:vAlign w:val="bottom"/>
          </w:tcPr>
          <w:p w14:paraId="573BD07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2CB9A41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tcBorders>
              <w:top w:val="single" w:sz="4" w:space="0" w:color="auto"/>
              <w:left w:val="nil"/>
              <w:right w:val="nil"/>
            </w:tcBorders>
            <w:shd w:val="clear" w:color="auto" w:fill="auto"/>
            <w:vAlign w:val="bottom"/>
          </w:tcPr>
          <w:p w14:paraId="68D838E1"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4A0AF09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20BDD848"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2E1F17C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79E0DE8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42C6A136"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5923744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40318617"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46F1EB35"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52BE667C" w14:textId="77777777" w:rsidTr="00473B27">
        <w:tc>
          <w:tcPr>
            <w:tcW w:w="2127" w:type="dxa"/>
            <w:vAlign w:val="bottom"/>
          </w:tcPr>
          <w:p w14:paraId="6677BDFD" w14:textId="77777777" w:rsidR="00473B27" w:rsidRPr="00E72837" w:rsidRDefault="00473B27" w:rsidP="00473B27">
            <w:pPr>
              <w:pStyle w:val="a3"/>
              <w:tabs>
                <w:tab w:val="left" w:pos="227"/>
                <w:tab w:val="left" w:pos="397"/>
                <w:tab w:val="left" w:pos="567"/>
              </w:tabs>
              <w:spacing w:line="200" w:lineRule="exact"/>
              <w:rPr>
                <w:sz w:val="16"/>
                <w:szCs w:val="18"/>
              </w:rPr>
            </w:pPr>
            <w:r w:rsidRPr="00E72837">
              <w:rPr>
                <w:rFonts w:hint="cs"/>
                <w:sz w:val="16"/>
                <w:szCs w:val="18"/>
                <w:rtl/>
              </w:rPr>
              <w:t>סה"כ הכנסות</w:t>
            </w:r>
          </w:p>
        </w:tc>
        <w:tc>
          <w:tcPr>
            <w:tcW w:w="113" w:type="dxa"/>
          </w:tcPr>
          <w:p w14:paraId="1AC079F0"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bottom w:val="double" w:sz="6" w:space="0" w:color="auto"/>
            </w:tcBorders>
            <w:vAlign w:val="bottom"/>
          </w:tcPr>
          <w:p w14:paraId="6512BCA9" w14:textId="77777777" w:rsidR="00473B27" w:rsidRPr="0097675E" w:rsidRDefault="00473B27" w:rsidP="00473B27">
            <w:pPr>
              <w:tabs>
                <w:tab w:val="decimal" w:pos="113"/>
              </w:tabs>
              <w:spacing w:line="200" w:lineRule="exact"/>
              <w:ind w:left="57"/>
              <w:rPr>
                <w:sz w:val="18"/>
                <w:szCs w:val="20"/>
              </w:rPr>
            </w:pPr>
          </w:p>
        </w:tc>
        <w:tc>
          <w:tcPr>
            <w:tcW w:w="140" w:type="dxa"/>
            <w:tcBorders>
              <w:left w:val="nil"/>
            </w:tcBorders>
          </w:tcPr>
          <w:p w14:paraId="1ADC7C62" w14:textId="77777777" w:rsidR="00473B27" w:rsidRPr="0097675E" w:rsidRDefault="00473B27" w:rsidP="00473B27">
            <w:pPr>
              <w:tabs>
                <w:tab w:val="decimal" w:pos="113"/>
              </w:tabs>
              <w:spacing w:line="200" w:lineRule="exact"/>
              <w:ind w:left="57"/>
              <w:rPr>
                <w:sz w:val="18"/>
                <w:szCs w:val="20"/>
              </w:rPr>
            </w:pPr>
          </w:p>
        </w:tc>
        <w:tc>
          <w:tcPr>
            <w:tcW w:w="1043" w:type="dxa"/>
            <w:tcBorders>
              <w:left w:val="nil"/>
              <w:bottom w:val="double" w:sz="6" w:space="0" w:color="auto"/>
              <w:right w:val="nil"/>
            </w:tcBorders>
            <w:vAlign w:val="bottom"/>
          </w:tcPr>
          <w:p w14:paraId="179C7F0A" w14:textId="77777777" w:rsidR="00473B27" w:rsidRPr="0097675E" w:rsidRDefault="00473B27" w:rsidP="00473B27">
            <w:pPr>
              <w:tabs>
                <w:tab w:val="decimal" w:pos="113"/>
              </w:tabs>
              <w:spacing w:line="200" w:lineRule="exact"/>
              <w:ind w:left="57"/>
              <w:rPr>
                <w:sz w:val="18"/>
                <w:szCs w:val="20"/>
              </w:rPr>
            </w:pPr>
          </w:p>
        </w:tc>
        <w:tc>
          <w:tcPr>
            <w:tcW w:w="140" w:type="dxa"/>
          </w:tcPr>
          <w:p w14:paraId="69C26864" w14:textId="77777777" w:rsidR="00473B27" w:rsidRPr="0097675E" w:rsidRDefault="00473B27" w:rsidP="00473B27">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622BA249" w14:textId="77777777" w:rsidR="00473B27" w:rsidRPr="0097675E" w:rsidRDefault="00473B27" w:rsidP="00473B27">
            <w:pPr>
              <w:tabs>
                <w:tab w:val="decimal" w:pos="113"/>
              </w:tabs>
              <w:spacing w:line="200" w:lineRule="exact"/>
              <w:ind w:left="57"/>
              <w:rPr>
                <w:sz w:val="18"/>
                <w:szCs w:val="20"/>
              </w:rPr>
            </w:pPr>
          </w:p>
        </w:tc>
        <w:tc>
          <w:tcPr>
            <w:tcW w:w="140" w:type="dxa"/>
          </w:tcPr>
          <w:p w14:paraId="3EFDC22E" w14:textId="77777777" w:rsidR="00473B27" w:rsidRPr="0097675E" w:rsidRDefault="00473B27" w:rsidP="00473B27">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280F3BA0" w14:textId="77777777" w:rsidR="00473B27" w:rsidRPr="0097675E" w:rsidRDefault="00473B27" w:rsidP="00473B27">
            <w:pPr>
              <w:tabs>
                <w:tab w:val="decimal" w:pos="113"/>
              </w:tabs>
              <w:spacing w:line="200" w:lineRule="exact"/>
              <w:ind w:left="57"/>
              <w:rPr>
                <w:sz w:val="18"/>
                <w:szCs w:val="20"/>
              </w:rPr>
            </w:pPr>
          </w:p>
        </w:tc>
        <w:tc>
          <w:tcPr>
            <w:tcW w:w="140" w:type="dxa"/>
          </w:tcPr>
          <w:p w14:paraId="6B6F2597" w14:textId="77777777" w:rsidR="00473B27" w:rsidRPr="0097675E" w:rsidRDefault="00473B27" w:rsidP="00473B27">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2202021A" w14:textId="77777777" w:rsidR="00473B27" w:rsidRPr="0097675E" w:rsidRDefault="00473B27" w:rsidP="00473B27">
            <w:pPr>
              <w:tabs>
                <w:tab w:val="decimal" w:pos="113"/>
              </w:tabs>
              <w:spacing w:line="200" w:lineRule="exact"/>
              <w:ind w:left="57"/>
              <w:rPr>
                <w:sz w:val="18"/>
                <w:szCs w:val="20"/>
              </w:rPr>
            </w:pPr>
          </w:p>
        </w:tc>
        <w:tc>
          <w:tcPr>
            <w:tcW w:w="110" w:type="dxa"/>
          </w:tcPr>
          <w:p w14:paraId="421756D1" w14:textId="77777777" w:rsidR="00473B27" w:rsidRPr="0097675E" w:rsidRDefault="00473B27" w:rsidP="00473B27">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146A72AF" w14:textId="77777777" w:rsidR="00473B27" w:rsidRPr="0097675E" w:rsidRDefault="00473B27" w:rsidP="00473B27">
            <w:pPr>
              <w:tabs>
                <w:tab w:val="decimal" w:pos="113"/>
              </w:tabs>
              <w:spacing w:line="200" w:lineRule="exact"/>
              <w:ind w:left="57"/>
              <w:rPr>
                <w:sz w:val="18"/>
                <w:szCs w:val="20"/>
              </w:rPr>
            </w:pPr>
          </w:p>
        </w:tc>
      </w:tr>
      <w:tr w:rsidR="00473B27" w:rsidRPr="0097675E" w14:paraId="09D10298" w14:textId="77777777" w:rsidTr="00473B27">
        <w:tc>
          <w:tcPr>
            <w:tcW w:w="2127" w:type="dxa"/>
            <w:vAlign w:val="bottom"/>
          </w:tcPr>
          <w:p w14:paraId="6D6E84C0" w14:textId="77777777" w:rsidR="00473B27" w:rsidRPr="00E72837" w:rsidRDefault="00473B27" w:rsidP="00473B27">
            <w:pPr>
              <w:pStyle w:val="a3"/>
              <w:widowControl/>
              <w:tabs>
                <w:tab w:val="left" w:pos="227"/>
                <w:tab w:val="left" w:pos="397"/>
                <w:tab w:val="left" w:pos="567"/>
              </w:tabs>
              <w:spacing w:line="200" w:lineRule="exact"/>
              <w:ind w:left="0"/>
              <w:rPr>
                <w:sz w:val="16"/>
                <w:szCs w:val="18"/>
              </w:rPr>
            </w:pPr>
          </w:p>
        </w:tc>
        <w:tc>
          <w:tcPr>
            <w:tcW w:w="113" w:type="dxa"/>
          </w:tcPr>
          <w:p w14:paraId="43E7B48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2B06A0B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384FC932"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tcBorders>
              <w:top w:val="double" w:sz="6" w:space="0" w:color="auto"/>
              <w:left w:val="nil"/>
              <w:right w:val="nil"/>
            </w:tcBorders>
            <w:vAlign w:val="bottom"/>
          </w:tcPr>
          <w:p w14:paraId="67E658A8"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0AE4088A"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6928520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4ADEA8D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5B00D81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4A6FA25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37B4646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1E7BEFF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13B109C8"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4B75E7FB" w14:textId="77777777" w:rsidTr="00473B27">
        <w:tc>
          <w:tcPr>
            <w:tcW w:w="2127" w:type="dxa"/>
            <w:vAlign w:val="bottom"/>
          </w:tcPr>
          <w:p w14:paraId="325D38E4" w14:textId="77777777" w:rsidR="00473B27" w:rsidRPr="00E72837" w:rsidRDefault="00473B27" w:rsidP="00473B27">
            <w:pPr>
              <w:pStyle w:val="a3"/>
              <w:tabs>
                <w:tab w:val="left" w:pos="227"/>
                <w:tab w:val="left" w:pos="397"/>
                <w:tab w:val="left" w:pos="567"/>
              </w:tabs>
              <w:spacing w:line="200" w:lineRule="exact"/>
              <w:ind w:left="227" w:hanging="170"/>
              <w:rPr>
                <w:sz w:val="16"/>
                <w:szCs w:val="18"/>
              </w:rPr>
            </w:pPr>
            <w:r w:rsidRPr="00E72837">
              <w:rPr>
                <w:rFonts w:hint="cs"/>
                <w:sz w:val="16"/>
                <w:szCs w:val="18"/>
                <w:rtl/>
              </w:rPr>
              <w:t>רווח (הפסד) מגזרי</w:t>
            </w:r>
          </w:p>
        </w:tc>
        <w:tc>
          <w:tcPr>
            <w:tcW w:w="113" w:type="dxa"/>
          </w:tcPr>
          <w:p w14:paraId="3D5C5B18"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double" w:sz="6" w:space="0" w:color="auto"/>
              <w:right w:val="nil"/>
            </w:tcBorders>
            <w:vAlign w:val="bottom"/>
          </w:tcPr>
          <w:p w14:paraId="1B1F8083" w14:textId="77777777" w:rsidR="00473B27" w:rsidRPr="0097675E" w:rsidRDefault="00473B27" w:rsidP="00473B27">
            <w:pPr>
              <w:tabs>
                <w:tab w:val="decimal" w:pos="113"/>
              </w:tabs>
              <w:spacing w:line="200" w:lineRule="exact"/>
              <w:ind w:left="57"/>
              <w:rPr>
                <w:sz w:val="18"/>
                <w:szCs w:val="20"/>
              </w:rPr>
            </w:pPr>
          </w:p>
        </w:tc>
        <w:tc>
          <w:tcPr>
            <w:tcW w:w="140" w:type="dxa"/>
          </w:tcPr>
          <w:p w14:paraId="2291DE6F"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bottom w:val="double" w:sz="6" w:space="0" w:color="auto"/>
              <w:right w:val="nil"/>
            </w:tcBorders>
            <w:vAlign w:val="bottom"/>
          </w:tcPr>
          <w:p w14:paraId="510F0EAE" w14:textId="77777777" w:rsidR="00473B27" w:rsidRPr="0097675E" w:rsidRDefault="00473B27" w:rsidP="00473B27">
            <w:pPr>
              <w:tabs>
                <w:tab w:val="decimal" w:pos="113"/>
              </w:tabs>
              <w:spacing w:line="200" w:lineRule="exact"/>
              <w:ind w:left="57"/>
              <w:rPr>
                <w:sz w:val="18"/>
                <w:szCs w:val="20"/>
              </w:rPr>
            </w:pPr>
          </w:p>
        </w:tc>
        <w:tc>
          <w:tcPr>
            <w:tcW w:w="140" w:type="dxa"/>
          </w:tcPr>
          <w:p w14:paraId="49B3188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76C1D646" w14:textId="77777777" w:rsidR="00473B27" w:rsidRPr="0097675E" w:rsidRDefault="00473B27" w:rsidP="00473B27">
            <w:pPr>
              <w:tabs>
                <w:tab w:val="decimal" w:pos="113"/>
              </w:tabs>
              <w:spacing w:line="200" w:lineRule="exact"/>
              <w:ind w:left="57"/>
              <w:rPr>
                <w:sz w:val="18"/>
                <w:szCs w:val="20"/>
              </w:rPr>
            </w:pPr>
          </w:p>
        </w:tc>
        <w:tc>
          <w:tcPr>
            <w:tcW w:w="140" w:type="dxa"/>
          </w:tcPr>
          <w:p w14:paraId="054641B5"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73535D0C" w14:textId="77777777" w:rsidR="00473B27" w:rsidRPr="0097675E" w:rsidRDefault="00473B27" w:rsidP="00473B27">
            <w:pPr>
              <w:tabs>
                <w:tab w:val="decimal" w:pos="113"/>
              </w:tabs>
              <w:spacing w:line="200" w:lineRule="exact"/>
              <w:ind w:left="57"/>
              <w:rPr>
                <w:sz w:val="18"/>
                <w:szCs w:val="20"/>
              </w:rPr>
            </w:pPr>
          </w:p>
        </w:tc>
        <w:tc>
          <w:tcPr>
            <w:tcW w:w="140" w:type="dxa"/>
          </w:tcPr>
          <w:p w14:paraId="60257A36"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18CE5657" w14:textId="77777777" w:rsidR="00473B27" w:rsidRPr="0097675E" w:rsidRDefault="00473B27" w:rsidP="00473B27">
            <w:pPr>
              <w:tabs>
                <w:tab w:val="decimal" w:pos="113"/>
              </w:tabs>
              <w:spacing w:line="200" w:lineRule="exact"/>
              <w:ind w:left="57"/>
              <w:rPr>
                <w:sz w:val="18"/>
                <w:szCs w:val="20"/>
              </w:rPr>
            </w:pPr>
          </w:p>
        </w:tc>
        <w:tc>
          <w:tcPr>
            <w:tcW w:w="110" w:type="dxa"/>
          </w:tcPr>
          <w:p w14:paraId="3ED31096"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shd w:val="clear" w:color="auto" w:fill="auto"/>
            <w:vAlign w:val="bottom"/>
          </w:tcPr>
          <w:p w14:paraId="4230212F" w14:textId="77777777" w:rsidR="00473B27" w:rsidRPr="0097675E" w:rsidRDefault="00473B27" w:rsidP="00473B27">
            <w:pPr>
              <w:tabs>
                <w:tab w:val="decimal" w:pos="113"/>
              </w:tabs>
              <w:spacing w:line="200" w:lineRule="exact"/>
              <w:ind w:left="57"/>
              <w:rPr>
                <w:sz w:val="18"/>
                <w:szCs w:val="20"/>
              </w:rPr>
            </w:pPr>
          </w:p>
        </w:tc>
      </w:tr>
      <w:tr w:rsidR="00473B27" w:rsidRPr="0097675E" w14:paraId="32F934DA" w14:textId="77777777" w:rsidTr="00473B27">
        <w:tc>
          <w:tcPr>
            <w:tcW w:w="2127" w:type="dxa"/>
            <w:vAlign w:val="bottom"/>
          </w:tcPr>
          <w:p w14:paraId="05517535" w14:textId="77777777" w:rsidR="00473B27" w:rsidRPr="00E72837" w:rsidRDefault="00473B27" w:rsidP="00473B27">
            <w:pPr>
              <w:pStyle w:val="a3"/>
              <w:widowControl/>
              <w:tabs>
                <w:tab w:val="left" w:pos="227"/>
                <w:tab w:val="left" w:pos="397"/>
                <w:tab w:val="left" w:pos="567"/>
              </w:tabs>
              <w:spacing w:line="200" w:lineRule="exact"/>
              <w:ind w:left="0"/>
              <w:rPr>
                <w:sz w:val="16"/>
                <w:szCs w:val="18"/>
                <w:rtl/>
              </w:rPr>
            </w:pPr>
          </w:p>
        </w:tc>
        <w:tc>
          <w:tcPr>
            <w:tcW w:w="113" w:type="dxa"/>
          </w:tcPr>
          <w:p w14:paraId="210A30B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1EFCD59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49B09A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vAlign w:val="bottom"/>
          </w:tcPr>
          <w:p w14:paraId="2ACD1E1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1A07049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1A48A26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F89FE36"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1BEA4672"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059D3B64"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7BFC12B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1067CB55"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78F03A4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4BE8DBA8" w14:textId="77777777" w:rsidTr="00473B27">
        <w:tc>
          <w:tcPr>
            <w:tcW w:w="2127" w:type="dxa"/>
            <w:vAlign w:val="bottom"/>
          </w:tcPr>
          <w:p w14:paraId="1D6D4E5D" w14:textId="77777777" w:rsidR="00473B27" w:rsidRPr="00E72837" w:rsidRDefault="00473B27" w:rsidP="00473B27">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הוצאות משותפות בלתי מוקצות</w:t>
            </w:r>
          </w:p>
        </w:tc>
        <w:tc>
          <w:tcPr>
            <w:tcW w:w="113" w:type="dxa"/>
          </w:tcPr>
          <w:p w14:paraId="0563FDFC"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vAlign w:val="bottom"/>
          </w:tcPr>
          <w:p w14:paraId="681368DD" w14:textId="77777777" w:rsidR="00473B27" w:rsidRPr="0097675E" w:rsidRDefault="00473B27" w:rsidP="00473B27">
            <w:pPr>
              <w:tabs>
                <w:tab w:val="decimal" w:pos="113"/>
              </w:tabs>
              <w:spacing w:line="200" w:lineRule="exact"/>
              <w:ind w:left="57"/>
              <w:rPr>
                <w:sz w:val="18"/>
                <w:szCs w:val="20"/>
              </w:rPr>
            </w:pPr>
          </w:p>
        </w:tc>
        <w:tc>
          <w:tcPr>
            <w:tcW w:w="140" w:type="dxa"/>
          </w:tcPr>
          <w:p w14:paraId="4BAAC897" w14:textId="77777777" w:rsidR="00473B27" w:rsidRPr="0097675E" w:rsidRDefault="00473B27" w:rsidP="00473B27">
            <w:pPr>
              <w:tabs>
                <w:tab w:val="decimal" w:pos="113"/>
              </w:tabs>
              <w:spacing w:line="200" w:lineRule="exact"/>
              <w:ind w:left="57"/>
              <w:rPr>
                <w:sz w:val="18"/>
                <w:szCs w:val="20"/>
              </w:rPr>
            </w:pPr>
          </w:p>
        </w:tc>
        <w:tc>
          <w:tcPr>
            <w:tcW w:w="1043" w:type="dxa"/>
            <w:vAlign w:val="bottom"/>
          </w:tcPr>
          <w:p w14:paraId="71DE2EAE" w14:textId="77777777" w:rsidR="00473B27" w:rsidRPr="0097675E" w:rsidRDefault="00473B27" w:rsidP="00473B27">
            <w:pPr>
              <w:tabs>
                <w:tab w:val="decimal" w:pos="113"/>
              </w:tabs>
              <w:spacing w:line="200" w:lineRule="exact"/>
              <w:ind w:left="57"/>
              <w:rPr>
                <w:sz w:val="18"/>
                <w:szCs w:val="20"/>
              </w:rPr>
            </w:pPr>
          </w:p>
        </w:tc>
        <w:tc>
          <w:tcPr>
            <w:tcW w:w="140" w:type="dxa"/>
          </w:tcPr>
          <w:p w14:paraId="73B1C3A4"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05AB634B" w14:textId="77777777" w:rsidR="00473B27" w:rsidRPr="0097675E" w:rsidRDefault="00473B27" w:rsidP="00473B27">
            <w:pPr>
              <w:tabs>
                <w:tab w:val="decimal" w:pos="113"/>
              </w:tabs>
              <w:spacing w:line="200" w:lineRule="exact"/>
              <w:ind w:left="57"/>
              <w:rPr>
                <w:sz w:val="18"/>
                <w:szCs w:val="20"/>
              </w:rPr>
            </w:pPr>
          </w:p>
        </w:tc>
        <w:tc>
          <w:tcPr>
            <w:tcW w:w="140" w:type="dxa"/>
          </w:tcPr>
          <w:p w14:paraId="1B0CD957"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56FA8EB5" w14:textId="77777777" w:rsidR="00473B27" w:rsidRPr="0097675E" w:rsidRDefault="00473B27" w:rsidP="00473B27">
            <w:pPr>
              <w:tabs>
                <w:tab w:val="decimal" w:pos="113"/>
              </w:tabs>
              <w:spacing w:line="200" w:lineRule="exact"/>
              <w:ind w:left="57"/>
              <w:rPr>
                <w:sz w:val="18"/>
                <w:szCs w:val="20"/>
              </w:rPr>
            </w:pPr>
          </w:p>
        </w:tc>
        <w:tc>
          <w:tcPr>
            <w:tcW w:w="140" w:type="dxa"/>
          </w:tcPr>
          <w:p w14:paraId="6541A71E"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22B52349" w14:textId="77777777" w:rsidR="00473B27" w:rsidRPr="0097675E" w:rsidRDefault="00473B27" w:rsidP="00473B27">
            <w:pPr>
              <w:tabs>
                <w:tab w:val="decimal" w:pos="113"/>
              </w:tabs>
              <w:spacing w:line="200" w:lineRule="exact"/>
              <w:ind w:left="57"/>
              <w:rPr>
                <w:sz w:val="18"/>
                <w:szCs w:val="20"/>
              </w:rPr>
            </w:pPr>
          </w:p>
        </w:tc>
        <w:tc>
          <w:tcPr>
            <w:tcW w:w="110" w:type="dxa"/>
          </w:tcPr>
          <w:p w14:paraId="1A1764E3"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0E86293E" w14:textId="77777777" w:rsidR="00473B27" w:rsidRPr="0097675E" w:rsidRDefault="00473B27" w:rsidP="00473B27">
            <w:pPr>
              <w:tabs>
                <w:tab w:val="decimal" w:pos="113"/>
              </w:tabs>
              <w:spacing w:line="200" w:lineRule="exact"/>
              <w:ind w:left="57"/>
              <w:rPr>
                <w:sz w:val="18"/>
                <w:szCs w:val="20"/>
              </w:rPr>
            </w:pPr>
          </w:p>
        </w:tc>
      </w:tr>
      <w:tr w:rsidR="00473B27" w:rsidRPr="0097675E" w14:paraId="50CE63C0" w14:textId="77777777" w:rsidTr="00473B27">
        <w:tc>
          <w:tcPr>
            <w:tcW w:w="2127" w:type="dxa"/>
            <w:vAlign w:val="bottom"/>
          </w:tcPr>
          <w:p w14:paraId="3F3F9559" w14:textId="77777777" w:rsidR="00473B27" w:rsidRPr="00E72837" w:rsidRDefault="00473B27" w:rsidP="00473B27">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הכנסות (הוצאות) מימון, נטו</w:t>
            </w:r>
          </w:p>
        </w:tc>
        <w:tc>
          <w:tcPr>
            <w:tcW w:w="113" w:type="dxa"/>
          </w:tcPr>
          <w:p w14:paraId="05513E98"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vAlign w:val="bottom"/>
          </w:tcPr>
          <w:p w14:paraId="18DAF6BB" w14:textId="77777777" w:rsidR="00473B27" w:rsidRPr="0097675E" w:rsidRDefault="00473B27" w:rsidP="00473B27">
            <w:pPr>
              <w:tabs>
                <w:tab w:val="decimal" w:pos="113"/>
              </w:tabs>
              <w:spacing w:line="200" w:lineRule="exact"/>
              <w:ind w:left="57"/>
              <w:rPr>
                <w:sz w:val="18"/>
                <w:szCs w:val="20"/>
              </w:rPr>
            </w:pPr>
          </w:p>
        </w:tc>
        <w:tc>
          <w:tcPr>
            <w:tcW w:w="140" w:type="dxa"/>
          </w:tcPr>
          <w:p w14:paraId="23382F8A" w14:textId="77777777" w:rsidR="00473B27" w:rsidRPr="0097675E" w:rsidRDefault="00473B27" w:rsidP="00473B27">
            <w:pPr>
              <w:tabs>
                <w:tab w:val="decimal" w:pos="113"/>
              </w:tabs>
              <w:spacing w:line="200" w:lineRule="exact"/>
              <w:ind w:left="57"/>
              <w:rPr>
                <w:sz w:val="18"/>
                <w:szCs w:val="20"/>
              </w:rPr>
            </w:pPr>
          </w:p>
        </w:tc>
        <w:tc>
          <w:tcPr>
            <w:tcW w:w="1043" w:type="dxa"/>
            <w:vAlign w:val="bottom"/>
          </w:tcPr>
          <w:p w14:paraId="3D847F2D" w14:textId="77777777" w:rsidR="00473B27" w:rsidRPr="0097675E" w:rsidRDefault="00473B27" w:rsidP="00473B27">
            <w:pPr>
              <w:tabs>
                <w:tab w:val="decimal" w:pos="113"/>
              </w:tabs>
              <w:spacing w:line="200" w:lineRule="exact"/>
              <w:ind w:left="57"/>
              <w:rPr>
                <w:sz w:val="18"/>
                <w:szCs w:val="20"/>
              </w:rPr>
            </w:pPr>
          </w:p>
        </w:tc>
        <w:tc>
          <w:tcPr>
            <w:tcW w:w="140" w:type="dxa"/>
          </w:tcPr>
          <w:p w14:paraId="1F0FA41C"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361799F1" w14:textId="77777777" w:rsidR="00473B27" w:rsidRPr="0097675E" w:rsidRDefault="00473B27" w:rsidP="00473B27">
            <w:pPr>
              <w:tabs>
                <w:tab w:val="decimal" w:pos="113"/>
              </w:tabs>
              <w:spacing w:line="200" w:lineRule="exact"/>
              <w:ind w:left="57"/>
              <w:rPr>
                <w:sz w:val="18"/>
                <w:szCs w:val="20"/>
              </w:rPr>
            </w:pPr>
          </w:p>
        </w:tc>
        <w:tc>
          <w:tcPr>
            <w:tcW w:w="140" w:type="dxa"/>
          </w:tcPr>
          <w:p w14:paraId="42798F3D"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4C78E516" w14:textId="77777777" w:rsidR="00473B27" w:rsidRPr="0097675E" w:rsidRDefault="00473B27" w:rsidP="00473B27">
            <w:pPr>
              <w:tabs>
                <w:tab w:val="decimal" w:pos="113"/>
              </w:tabs>
              <w:spacing w:line="200" w:lineRule="exact"/>
              <w:ind w:left="57"/>
              <w:rPr>
                <w:sz w:val="18"/>
                <w:szCs w:val="20"/>
              </w:rPr>
            </w:pPr>
          </w:p>
        </w:tc>
        <w:tc>
          <w:tcPr>
            <w:tcW w:w="140" w:type="dxa"/>
          </w:tcPr>
          <w:p w14:paraId="54F9533C"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7BFB0141" w14:textId="77777777" w:rsidR="00473B27" w:rsidRPr="0097675E" w:rsidRDefault="00473B27" w:rsidP="00473B27">
            <w:pPr>
              <w:tabs>
                <w:tab w:val="decimal" w:pos="113"/>
              </w:tabs>
              <w:spacing w:line="200" w:lineRule="exact"/>
              <w:ind w:left="57"/>
              <w:rPr>
                <w:sz w:val="18"/>
                <w:szCs w:val="20"/>
              </w:rPr>
            </w:pPr>
          </w:p>
        </w:tc>
        <w:tc>
          <w:tcPr>
            <w:tcW w:w="110" w:type="dxa"/>
          </w:tcPr>
          <w:p w14:paraId="676C205C"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3A224C1A" w14:textId="77777777" w:rsidR="00473B27" w:rsidRPr="0097675E" w:rsidRDefault="00473B27" w:rsidP="00473B27">
            <w:pPr>
              <w:tabs>
                <w:tab w:val="decimal" w:pos="113"/>
              </w:tabs>
              <w:spacing w:line="200" w:lineRule="exact"/>
              <w:ind w:left="57"/>
              <w:rPr>
                <w:sz w:val="18"/>
                <w:szCs w:val="20"/>
              </w:rPr>
            </w:pPr>
          </w:p>
        </w:tc>
      </w:tr>
      <w:tr w:rsidR="00473B27" w:rsidRPr="0097675E" w14:paraId="7B8E2944" w14:textId="77777777" w:rsidTr="00473B27">
        <w:tc>
          <w:tcPr>
            <w:tcW w:w="2127" w:type="dxa"/>
            <w:vAlign w:val="bottom"/>
          </w:tcPr>
          <w:p w14:paraId="18D5A295" w14:textId="77777777" w:rsidR="00473B27" w:rsidRPr="00E72837" w:rsidRDefault="00473B27" w:rsidP="00473B27">
            <w:pPr>
              <w:pStyle w:val="a3"/>
              <w:tabs>
                <w:tab w:val="left" w:pos="227"/>
                <w:tab w:val="left" w:pos="397"/>
                <w:tab w:val="left" w:pos="567"/>
              </w:tabs>
              <w:spacing w:line="200" w:lineRule="exact"/>
              <w:ind w:left="227" w:hanging="170"/>
              <w:rPr>
                <w:sz w:val="16"/>
                <w:szCs w:val="18"/>
                <w:rtl/>
              </w:rPr>
            </w:pPr>
            <w:r w:rsidRPr="00E72837">
              <w:rPr>
                <w:rFonts w:hint="cs"/>
                <w:sz w:val="16"/>
                <w:szCs w:val="18"/>
                <w:rtl/>
              </w:rPr>
              <w:t xml:space="preserve">חלק הקבוצה ברווחי (בהפסדי) חברות המטופלות לפי שיטת השווי </w:t>
            </w:r>
            <w:r w:rsidRPr="00E72837">
              <w:rPr>
                <w:rFonts w:hint="eastAsia"/>
                <w:sz w:val="16"/>
                <w:szCs w:val="18"/>
                <w:rtl/>
              </w:rPr>
              <w:t>המאזני</w:t>
            </w:r>
            <w:r w:rsidRPr="00E72837">
              <w:rPr>
                <w:sz w:val="16"/>
                <w:szCs w:val="18"/>
                <w:rtl/>
              </w:rPr>
              <w:t xml:space="preserve">, </w:t>
            </w:r>
            <w:r w:rsidRPr="00E72837">
              <w:rPr>
                <w:rFonts w:hint="eastAsia"/>
                <w:sz w:val="16"/>
                <w:szCs w:val="18"/>
                <w:rtl/>
              </w:rPr>
              <w:t>נטו</w:t>
            </w:r>
          </w:p>
        </w:tc>
        <w:tc>
          <w:tcPr>
            <w:tcW w:w="113" w:type="dxa"/>
          </w:tcPr>
          <w:p w14:paraId="56CADBD6"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shd w:val="clear" w:color="auto" w:fill="auto"/>
            <w:vAlign w:val="bottom"/>
          </w:tcPr>
          <w:p w14:paraId="3F6072F0" w14:textId="77777777" w:rsidR="00473B27" w:rsidRPr="0097675E" w:rsidRDefault="00473B27" w:rsidP="00473B27">
            <w:pPr>
              <w:tabs>
                <w:tab w:val="decimal" w:pos="113"/>
              </w:tabs>
              <w:spacing w:line="200" w:lineRule="exact"/>
              <w:ind w:left="57"/>
              <w:rPr>
                <w:sz w:val="18"/>
                <w:szCs w:val="20"/>
              </w:rPr>
            </w:pPr>
          </w:p>
        </w:tc>
        <w:tc>
          <w:tcPr>
            <w:tcW w:w="140" w:type="dxa"/>
          </w:tcPr>
          <w:p w14:paraId="722644FD" w14:textId="77777777" w:rsidR="00473B27" w:rsidRPr="0097675E" w:rsidRDefault="00473B27" w:rsidP="00473B27">
            <w:pPr>
              <w:tabs>
                <w:tab w:val="decimal" w:pos="113"/>
              </w:tabs>
              <w:spacing w:line="200" w:lineRule="exact"/>
              <w:ind w:left="57"/>
              <w:rPr>
                <w:sz w:val="18"/>
                <w:szCs w:val="20"/>
              </w:rPr>
            </w:pPr>
          </w:p>
        </w:tc>
        <w:tc>
          <w:tcPr>
            <w:tcW w:w="1043" w:type="dxa"/>
            <w:shd w:val="clear" w:color="auto" w:fill="auto"/>
            <w:vAlign w:val="bottom"/>
          </w:tcPr>
          <w:p w14:paraId="41319C04" w14:textId="77777777" w:rsidR="00473B27" w:rsidRPr="0097675E" w:rsidRDefault="00473B27" w:rsidP="00473B27">
            <w:pPr>
              <w:tabs>
                <w:tab w:val="decimal" w:pos="113"/>
              </w:tabs>
              <w:spacing w:line="200" w:lineRule="exact"/>
              <w:ind w:left="57"/>
              <w:rPr>
                <w:sz w:val="18"/>
                <w:szCs w:val="20"/>
              </w:rPr>
            </w:pPr>
          </w:p>
        </w:tc>
        <w:tc>
          <w:tcPr>
            <w:tcW w:w="140" w:type="dxa"/>
          </w:tcPr>
          <w:p w14:paraId="273B13E8" w14:textId="77777777" w:rsidR="00473B27" w:rsidRPr="0097675E" w:rsidRDefault="00473B27" w:rsidP="00473B27">
            <w:pPr>
              <w:tabs>
                <w:tab w:val="decimal" w:pos="113"/>
              </w:tabs>
              <w:spacing w:line="200" w:lineRule="exact"/>
              <w:ind w:left="57"/>
              <w:rPr>
                <w:sz w:val="18"/>
                <w:szCs w:val="20"/>
              </w:rPr>
            </w:pPr>
          </w:p>
        </w:tc>
        <w:tc>
          <w:tcPr>
            <w:tcW w:w="804" w:type="dxa"/>
            <w:shd w:val="clear" w:color="auto" w:fill="auto"/>
            <w:vAlign w:val="bottom"/>
          </w:tcPr>
          <w:p w14:paraId="20776594" w14:textId="77777777" w:rsidR="00473B27" w:rsidRPr="0097675E" w:rsidRDefault="00473B27" w:rsidP="00473B27">
            <w:pPr>
              <w:tabs>
                <w:tab w:val="decimal" w:pos="113"/>
              </w:tabs>
              <w:spacing w:line="200" w:lineRule="exact"/>
              <w:ind w:left="57"/>
              <w:rPr>
                <w:sz w:val="18"/>
                <w:szCs w:val="20"/>
              </w:rPr>
            </w:pPr>
          </w:p>
        </w:tc>
        <w:tc>
          <w:tcPr>
            <w:tcW w:w="140" w:type="dxa"/>
          </w:tcPr>
          <w:p w14:paraId="1F809E62" w14:textId="77777777" w:rsidR="00473B27" w:rsidRPr="0097675E" w:rsidRDefault="00473B27" w:rsidP="00473B27">
            <w:pPr>
              <w:tabs>
                <w:tab w:val="decimal" w:pos="113"/>
              </w:tabs>
              <w:spacing w:line="200" w:lineRule="exact"/>
              <w:ind w:left="57"/>
              <w:rPr>
                <w:sz w:val="18"/>
                <w:szCs w:val="20"/>
              </w:rPr>
            </w:pPr>
          </w:p>
        </w:tc>
        <w:tc>
          <w:tcPr>
            <w:tcW w:w="804" w:type="dxa"/>
            <w:shd w:val="clear" w:color="auto" w:fill="auto"/>
            <w:vAlign w:val="bottom"/>
          </w:tcPr>
          <w:p w14:paraId="2448D13F" w14:textId="77777777" w:rsidR="00473B27" w:rsidRPr="0097675E" w:rsidRDefault="00473B27" w:rsidP="00473B27">
            <w:pPr>
              <w:tabs>
                <w:tab w:val="decimal" w:pos="113"/>
              </w:tabs>
              <w:spacing w:line="200" w:lineRule="exact"/>
              <w:ind w:left="57"/>
              <w:rPr>
                <w:sz w:val="18"/>
                <w:szCs w:val="20"/>
              </w:rPr>
            </w:pPr>
          </w:p>
        </w:tc>
        <w:tc>
          <w:tcPr>
            <w:tcW w:w="140" w:type="dxa"/>
          </w:tcPr>
          <w:p w14:paraId="189027D8" w14:textId="77777777" w:rsidR="00473B27" w:rsidRPr="0097675E" w:rsidRDefault="00473B27" w:rsidP="00473B27">
            <w:pPr>
              <w:tabs>
                <w:tab w:val="decimal" w:pos="113"/>
              </w:tabs>
              <w:spacing w:line="200" w:lineRule="exact"/>
              <w:ind w:left="57"/>
              <w:rPr>
                <w:sz w:val="18"/>
                <w:szCs w:val="20"/>
              </w:rPr>
            </w:pPr>
          </w:p>
        </w:tc>
        <w:tc>
          <w:tcPr>
            <w:tcW w:w="804" w:type="dxa"/>
            <w:shd w:val="clear" w:color="auto" w:fill="auto"/>
            <w:vAlign w:val="bottom"/>
          </w:tcPr>
          <w:p w14:paraId="6D5547A8" w14:textId="77777777" w:rsidR="00473B27" w:rsidRPr="0097675E" w:rsidRDefault="00473B27" w:rsidP="00473B27">
            <w:pPr>
              <w:tabs>
                <w:tab w:val="decimal" w:pos="113"/>
              </w:tabs>
              <w:spacing w:line="200" w:lineRule="exact"/>
              <w:ind w:left="57"/>
              <w:rPr>
                <w:sz w:val="18"/>
                <w:szCs w:val="20"/>
              </w:rPr>
            </w:pPr>
          </w:p>
        </w:tc>
        <w:tc>
          <w:tcPr>
            <w:tcW w:w="110" w:type="dxa"/>
          </w:tcPr>
          <w:p w14:paraId="7BAAEF17" w14:textId="77777777" w:rsidR="00473B27" w:rsidRPr="0097675E" w:rsidRDefault="00473B27" w:rsidP="00473B27">
            <w:pPr>
              <w:tabs>
                <w:tab w:val="decimal" w:pos="113"/>
              </w:tabs>
              <w:spacing w:line="200" w:lineRule="exact"/>
              <w:ind w:left="57"/>
              <w:rPr>
                <w:sz w:val="18"/>
                <w:szCs w:val="20"/>
              </w:rPr>
            </w:pPr>
          </w:p>
        </w:tc>
        <w:tc>
          <w:tcPr>
            <w:tcW w:w="804" w:type="dxa"/>
            <w:tcBorders>
              <w:bottom w:val="single" w:sz="6" w:space="0" w:color="auto"/>
            </w:tcBorders>
            <w:shd w:val="clear" w:color="auto" w:fill="auto"/>
            <w:vAlign w:val="bottom"/>
          </w:tcPr>
          <w:p w14:paraId="67A33752" w14:textId="77777777" w:rsidR="00473B27" w:rsidRPr="0097675E" w:rsidRDefault="00473B27" w:rsidP="00473B27">
            <w:pPr>
              <w:tabs>
                <w:tab w:val="decimal" w:pos="113"/>
              </w:tabs>
              <w:spacing w:line="200" w:lineRule="exact"/>
              <w:ind w:left="57"/>
              <w:rPr>
                <w:sz w:val="18"/>
                <w:szCs w:val="20"/>
              </w:rPr>
            </w:pPr>
          </w:p>
        </w:tc>
      </w:tr>
      <w:tr w:rsidR="00473B27" w:rsidRPr="0097675E" w14:paraId="05B43188" w14:textId="77777777" w:rsidTr="00473B27">
        <w:tc>
          <w:tcPr>
            <w:tcW w:w="2127" w:type="dxa"/>
            <w:vAlign w:val="bottom"/>
          </w:tcPr>
          <w:p w14:paraId="17D205CC" w14:textId="77777777" w:rsidR="00473B27" w:rsidRPr="00E72837" w:rsidRDefault="00473B27" w:rsidP="00473B27">
            <w:pPr>
              <w:pStyle w:val="a3"/>
              <w:widowControl/>
              <w:tabs>
                <w:tab w:val="left" w:pos="227"/>
                <w:tab w:val="left" w:pos="397"/>
                <w:tab w:val="left" w:pos="567"/>
              </w:tabs>
              <w:spacing w:line="200" w:lineRule="exact"/>
              <w:ind w:left="0"/>
              <w:rPr>
                <w:sz w:val="16"/>
                <w:szCs w:val="18"/>
                <w:rtl/>
              </w:rPr>
            </w:pPr>
          </w:p>
        </w:tc>
        <w:tc>
          <w:tcPr>
            <w:tcW w:w="113" w:type="dxa"/>
          </w:tcPr>
          <w:p w14:paraId="6F3532C1"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66E9198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17858DB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vAlign w:val="bottom"/>
          </w:tcPr>
          <w:p w14:paraId="79996882"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0D4B3FB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1AD6EB2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4208E594"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6A5C3C8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F89DD41"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16F9EFE4"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0D74B94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6" w:space="0" w:color="auto"/>
            </w:tcBorders>
            <w:vAlign w:val="bottom"/>
          </w:tcPr>
          <w:p w14:paraId="51F3814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0E0139C5" w14:textId="77777777" w:rsidTr="00473B27">
        <w:tc>
          <w:tcPr>
            <w:tcW w:w="2127" w:type="dxa"/>
            <w:vAlign w:val="bottom"/>
          </w:tcPr>
          <w:p w14:paraId="6CDCD79D" w14:textId="77777777" w:rsidR="00473B27" w:rsidRPr="00E72837" w:rsidRDefault="00473B27" w:rsidP="00473B27">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רווח (הפסד) לפני מסים על ההכנסה</w:t>
            </w:r>
          </w:p>
        </w:tc>
        <w:tc>
          <w:tcPr>
            <w:tcW w:w="113" w:type="dxa"/>
          </w:tcPr>
          <w:p w14:paraId="6F489E7D"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shd w:val="clear" w:color="auto" w:fill="auto"/>
            <w:vAlign w:val="bottom"/>
          </w:tcPr>
          <w:p w14:paraId="4FF5165F" w14:textId="77777777" w:rsidR="00473B27" w:rsidRPr="0097675E" w:rsidRDefault="00473B27" w:rsidP="00473B27">
            <w:pPr>
              <w:tabs>
                <w:tab w:val="decimal" w:pos="113"/>
              </w:tabs>
              <w:spacing w:line="200" w:lineRule="exact"/>
              <w:ind w:left="57"/>
              <w:rPr>
                <w:sz w:val="18"/>
                <w:szCs w:val="20"/>
              </w:rPr>
            </w:pPr>
          </w:p>
        </w:tc>
        <w:tc>
          <w:tcPr>
            <w:tcW w:w="140" w:type="dxa"/>
          </w:tcPr>
          <w:p w14:paraId="0868292F" w14:textId="77777777" w:rsidR="00473B27" w:rsidRPr="0097675E" w:rsidRDefault="00473B27" w:rsidP="00473B27">
            <w:pPr>
              <w:tabs>
                <w:tab w:val="decimal" w:pos="113"/>
              </w:tabs>
              <w:spacing w:line="200" w:lineRule="exact"/>
              <w:ind w:left="57"/>
              <w:rPr>
                <w:sz w:val="18"/>
                <w:szCs w:val="20"/>
              </w:rPr>
            </w:pPr>
          </w:p>
        </w:tc>
        <w:tc>
          <w:tcPr>
            <w:tcW w:w="1043" w:type="dxa"/>
            <w:shd w:val="clear" w:color="auto" w:fill="auto"/>
            <w:vAlign w:val="bottom"/>
          </w:tcPr>
          <w:p w14:paraId="1F00AE6B" w14:textId="77777777" w:rsidR="00473B27" w:rsidRPr="0097675E" w:rsidRDefault="00473B27" w:rsidP="00473B27">
            <w:pPr>
              <w:tabs>
                <w:tab w:val="decimal" w:pos="113"/>
              </w:tabs>
              <w:spacing w:line="200" w:lineRule="exact"/>
              <w:ind w:left="57"/>
              <w:rPr>
                <w:sz w:val="18"/>
                <w:szCs w:val="20"/>
              </w:rPr>
            </w:pPr>
          </w:p>
        </w:tc>
        <w:tc>
          <w:tcPr>
            <w:tcW w:w="140" w:type="dxa"/>
          </w:tcPr>
          <w:p w14:paraId="782FF724" w14:textId="77777777" w:rsidR="00473B27" w:rsidRPr="0097675E" w:rsidRDefault="00473B27" w:rsidP="00473B27">
            <w:pPr>
              <w:tabs>
                <w:tab w:val="decimal" w:pos="113"/>
              </w:tabs>
              <w:spacing w:line="200" w:lineRule="exact"/>
              <w:ind w:left="57"/>
              <w:rPr>
                <w:sz w:val="18"/>
                <w:szCs w:val="20"/>
              </w:rPr>
            </w:pPr>
          </w:p>
        </w:tc>
        <w:tc>
          <w:tcPr>
            <w:tcW w:w="804" w:type="dxa"/>
            <w:shd w:val="clear" w:color="auto" w:fill="auto"/>
            <w:vAlign w:val="bottom"/>
          </w:tcPr>
          <w:p w14:paraId="632909BA" w14:textId="77777777" w:rsidR="00473B27" w:rsidRPr="0097675E" w:rsidRDefault="00473B27" w:rsidP="00473B27">
            <w:pPr>
              <w:tabs>
                <w:tab w:val="decimal" w:pos="113"/>
              </w:tabs>
              <w:spacing w:line="200" w:lineRule="exact"/>
              <w:ind w:left="57"/>
              <w:rPr>
                <w:sz w:val="18"/>
                <w:szCs w:val="20"/>
              </w:rPr>
            </w:pPr>
          </w:p>
        </w:tc>
        <w:tc>
          <w:tcPr>
            <w:tcW w:w="140" w:type="dxa"/>
          </w:tcPr>
          <w:p w14:paraId="386702E8" w14:textId="77777777" w:rsidR="00473B27" w:rsidRPr="0097675E" w:rsidRDefault="00473B27" w:rsidP="00473B27">
            <w:pPr>
              <w:tabs>
                <w:tab w:val="decimal" w:pos="113"/>
              </w:tabs>
              <w:spacing w:line="200" w:lineRule="exact"/>
              <w:ind w:left="57"/>
              <w:rPr>
                <w:sz w:val="18"/>
                <w:szCs w:val="20"/>
              </w:rPr>
            </w:pPr>
          </w:p>
        </w:tc>
        <w:tc>
          <w:tcPr>
            <w:tcW w:w="804" w:type="dxa"/>
            <w:shd w:val="clear" w:color="auto" w:fill="auto"/>
            <w:vAlign w:val="bottom"/>
          </w:tcPr>
          <w:p w14:paraId="62E74C0E" w14:textId="77777777" w:rsidR="00473B27" w:rsidRPr="0097675E" w:rsidRDefault="00473B27" w:rsidP="00473B27">
            <w:pPr>
              <w:tabs>
                <w:tab w:val="decimal" w:pos="113"/>
              </w:tabs>
              <w:spacing w:line="200" w:lineRule="exact"/>
              <w:ind w:left="57"/>
              <w:rPr>
                <w:sz w:val="18"/>
                <w:szCs w:val="20"/>
              </w:rPr>
            </w:pPr>
          </w:p>
        </w:tc>
        <w:tc>
          <w:tcPr>
            <w:tcW w:w="140" w:type="dxa"/>
          </w:tcPr>
          <w:p w14:paraId="5E5DA3C1" w14:textId="77777777" w:rsidR="00473B27" w:rsidRPr="0097675E" w:rsidRDefault="00473B27" w:rsidP="00473B27">
            <w:pPr>
              <w:tabs>
                <w:tab w:val="decimal" w:pos="113"/>
              </w:tabs>
              <w:spacing w:line="200" w:lineRule="exact"/>
              <w:ind w:left="57"/>
              <w:rPr>
                <w:sz w:val="18"/>
                <w:szCs w:val="20"/>
              </w:rPr>
            </w:pPr>
          </w:p>
        </w:tc>
        <w:tc>
          <w:tcPr>
            <w:tcW w:w="804" w:type="dxa"/>
            <w:shd w:val="clear" w:color="auto" w:fill="auto"/>
            <w:vAlign w:val="bottom"/>
          </w:tcPr>
          <w:p w14:paraId="496007D1" w14:textId="77777777" w:rsidR="00473B27" w:rsidRPr="0097675E" w:rsidRDefault="00473B27" w:rsidP="00473B27">
            <w:pPr>
              <w:tabs>
                <w:tab w:val="decimal" w:pos="113"/>
              </w:tabs>
              <w:spacing w:line="200" w:lineRule="exact"/>
              <w:ind w:left="57"/>
              <w:rPr>
                <w:sz w:val="18"/>
                <w:szCs w:val="20"/>
              </w:rPr>
            </w:pPr>
          </w:p>
        </w:tc>
        <w:tc>
          <w:tcPr>
            <w:tcW w:w="110" w:type="dxa"/>
          </w:tcPr>
          <w:p w14:paraId="0418BB90" w14:textId="77777777" w:rsidR="00473B27" w:rsidRPr="0097675E" w:rsidRDefault="00473B27" w:rsidP="00473B27">
            <w:pPr>
              <w:tabs>
                <w:tab w:val="decimal" w:pos="113"/>
              </w:tabs>
              <w:spacing w:line="200" w:lineRule="exact"/>
              <w:ind w:left="57"/>
              <w:rPr>
                <w:sz w:val="18"/>
                <w:szCs w:val="20"/>
              </w:rPr>
            </w:pPr>
          </w:p>
        </w:tc>
        <w:tc>
          <w:tcPr>
            <w:tcW w:w="804" w:type="dxa"/>
            <w:tcBorders>
              <w:bottom w:val="double" w:sz="6" w:space="0" w:color="auto"/>
            </w:tcBorders>
            <w:shd w:val="clear" w:color="auto" w:fill="auto"/>
            <w:vAlign w:val="bottom"/>
          </w:tcPr>
          <w:p w14:paraId="43E04699" w14:textId="77777777" w:rsidR="00473B27" w:rsidRPr="0097675E" w:rsidRDefault="00473B27" w:rsidP="00473B27">
            <w:pPr>
              <w:tabs>
                <w:tab w:val="decimal" w:pos="113"/>
              </w:tabs>
              <w:spacing w:line="200" w:lineRule="exact"/>
              <w:ind w:left="57"/>
              <w:rPr>
                <w:sz w:val="18"/>
                <w:szCs w:val="20"/>
              </w:rPr>
            </w:pPr>
          </w:p>
        </w:tc>
      </w:tr>
    </w:tbl>
    <w:p w14:paraId="6011FA67" w14:textId="77777777" w:rsidR="00AB7D68" w:rsidRDefault="00AB7D68" w:rsidP="004E3A03">
      <w:pPr>
        <w:pStyle w:val="30"/>
        <w:rPr>
          <w:rtl/>
        </w:rPr>
      </w:pPr>
    </w:p>
    <w:p w14:paraId="2CC03855" w14:textId="77777777" w:rsidR="004E3A03" w:rsidRPr="000F5011" w:rsidRDefault="00892691" w:rsidP="004E3A03">
      <w:pPr>
        <w:pStyle w:val="30"/>
        <w:shd w:val="clear" w:color="auto" w:fill="D9D9D9"/>
        <w:rPr>
          <w:sz w:val="16"/>
          <w:szCs w:val="20"/>
          <w:rtl/>
        </w:rPr>
      </w:pPr>
      <w:r w:rsidRPr="00892691">
        <w:rPr>
          <w:rFonts w:hint="eastAsia"/>
          <w:sz w:val="16"/>
          <w:szCs w:val="20"/>
          <w:u w:val="single"/>
          <w:rtl/>
        </w:rPr>
        <w:t>הערות</w:t>
      </w:r>
    </w:p>
    <w:p w14:paraId="653DD278" w14:textId="77777777" w:rsidR="004E3A03" w:rsidRPr="000F5011" w:rsidRDefault="00892691" w:rsidP="00920F43">
      <w:pPr>
        <w:pStyle w:val="30"/>
        <w:shd w:val="clear" w:color="auto" w:fill="D9D9D9"/>
        <w:rPr>
          <w:sz w:val="16"/>
          <w:szCs w:val="20"/>
          <w:rtl/>
        </w:rPr>
      </w:pPr>
      <w:r w:rsidRPr="00892691">
        <w:rPr>
          <w:rFonts w:hint="eastAsia"/>
          <w:sz w:val="16"/>
          <w:szCs w:val="20"/>
          <w:rtl/>
        </w:rPr>
        <w:t>במידה</w:t>
      </w:r>
      <w:r w:rsidRPr="00892691">
        <w:rPr>
          <w:sz w:val="16"/>
          <w:szCs w:val="20"/>
          <w:rtl/>
        </w:rPr>
        <w:t xml:space="preserve"> </w:t>
      </w:r>
      <w:r w:rsidRPr="00892691">
        <w:rPr>
          <w:rFonts w:hint="eastAsia"/>
          <w:sz w:val="16"/>
          <w:szCs w:val="20"/>
          <w:rtl/>
        </w:rPr>
        <w:t>שרלוונטי</w:t>
      </w:r>
      <w:r w:rsidRPr="00892691">
        <w:rPr>
          <w:sz w:val="16"/>
          <w:szCs w:val="20"/>
          <w:rtl/>
        </w:rPr>
        <w:t xml:space="preserve">, </w:t>
      </w:r>
      <w:r w:rsidRPr="00892691">
        <w:rPr>
          <w:rFonts w:hint="eastAsia"/>
          <w:sz w:val="16"/>
          <w:szCs w:val="20"/>
          <w:rtl/>
        </w:rPr>
        <w:t>יש</w:t>
      </w:r>
      <w:r w:rsidRPr="00892691">
        <w:rPr>
          <w:sz w:val="16"/>
          <w:szCs w:val="20"/>
          <w:rtl/>
        </w:rPr>
        <w:t xml:space="preserve"> </w:t>
      </w:r>
      <w:r w:rsidRPr="00892691">
        <w:rPr>
          <w:rFonts w:hint="eastAsia"/>
          <w:sz w:val="16"/>
          <w:szCs w:val="20"/>
          <w:rtl/>
        </w:rPr>
        <w:t>לתת</w:t>
      </w:r>
      <w:r w:rsidRPr="00892691">
        <w:rPr>
          <w:sz w:val="16"/>
          <w:szCs w:val="20"/>
          <w:rtl/>
        </w:rPr>
        <w:t xml:space="preserve"> </w:t>
      </w:r>
      <w:r w:rsidRPr="00892691">
        <w:rPr>
          <w:rFonts w:hint="eastAsia"/>
          <w:sz w:val="16"/>
          <w:szCs w:val="20"/>
          <w:rtl/>
        </w:rPr>
        <w:t>גילוי</w:t>
      </w:r>
      <w:r w:rsidRPr="00892691">
        <w:rPr>
          <w:sz w:val="16"/>
          <w:szCs w:val="20"/>
          <w:rtl/>
        </w:rPr>
        <w:t xml:space="preserve"> </w:t>
      </w:r>
      <w:r w:rsidR="000746AA">
        <w:rPr>
          <w:rFonts w:hint="cs"/>
          <w:sz w:val="16"/>
          <w:szCs w:val="20"/>
          <w:rtl/>
        </w:rPr>
        <w:t>נוסף</w:t>
      </w:r>
      <w:r w:rsidRPr="00892691">
        <w:rPr>
          <w:sz w:val="16"/>
          <w:szCs w:val="20"/>
          <w:rtl/>
        </w:rPr>
        <w:t xml:space="preserve"> </w:t>
      </w:r>
      <w:r w:rsidRPr="00892691">
        <w:rPr>
          <w:rFonts w:hint="eastAsia"/>
          <w:sz w:val="16"/>
          <w:szCs w:val="20"/>
          <w:rtl/>
        </w:rPr>
        <w:t>כדלקמן</w:t>
      </w:r>
      <w:r w:rsidRPr="00892691">
        <w:rPr>
          <w:sz w:val="16"/>
          <w:szCs w:val="20"/>
          <w:rtl/>
        </w:rPr>
        <w:t>:</w:t>
      </w:r>
    </w:p>
    <w:p w14:paraId="0FC02B46" w14:textId="77777777" w:rsidR="004E3A03" w:rsidRPr="000F5011" w:rsidRDefault="004E3A03" w:rsidP="004E3A03">
      <w:pPr>
        <w:pStyle w:val="30"/>
        <w:shd w:val="clear" w:color="auto" w:fill="D9D9D9"/>
        <w:rPr>
          <w:sz w:val="16"/>
          <w:szCs w:val="20"/>
          <w:rtl/>
        </w:rPr>
      </w:pPr>
    </w:p>
    <w:p w14:paraId="5A48E290" w14:textId="31451805" w:rsidR="008D22FA" w:rsidRPr="000F5011" w:rsidRDefault="00892691" w:rsidP="00473B27">
      <w:pPr>
        <w:pStyle w:val="30"/>
        <w:shd w:val="clear" w:color="auto" w:fill="D9D9D9" w:themeFill="background1" w:themeFillShade="D9"/>
        <w:rPr>
          <w:sz w:val="16"/>
          <w:szCs w:val="20"/>
          <w:rtl/>
        </w:rPr>
      </w:pPr>
      <w:r w:rsidRPr="00892691">
        <w:rPr>
          <w:sz w:val="16"/>
          <w:szCs w:val="20"/>
          <w:rtl/>
        </w:rPr>
        <w:t>1.</w:t>
      </w:r>
      <w:r w:rsidRPr="00892691">
        <w:rPr>
          <w:sz w:val="16"/>
          <w:szCs w:val="20"/>
          <w:rtl/>
        </w:rPr>
        <w:tab/>
      </w:r>
      <w:r w:rsidRPr="00892691">
        <w:rPr>
          <w:rFonts w:hint="eastAsia"/>
          <w:sz w:val="16"/>
          <w:szCs w:val="20"/>
          <w:rtl/>
        </w:rPr>
        <w:t>שינויים</w:t>
      </w:r>
      <w:r w:rsidRPr="00892691">
        <w:rPr>
          <w:sz w:val="16"/>
          <w:szCs w:val="20"/>
          <w:rtl/>
        </w:rPr>
        <w:t xml:space="preserve"> </w:t>
      </w:r>
      <w:r w:rsidRPr="00892691">
        <w:rPr>
          <w:rFonts w:hint="eastAsia"/>
          <w:sz w:val="16"/>
          <w:szCs w:val="20"/>
          <w:rtl/>
        </w:rPr>
        <w:t>בהתחייבויות</w:t>
      </w:r>
      <w:r w:rsidRPr="00892691">
        <w:rPr>
          <w:sz w:val="16"/>
          <w:szCs w:val="20"/>
          <w:rtl/>
        </w:rPr>
        <w:t xml:space="preserve"> </w:t>
      </w:r>
      <w:r w:rsidRPr="00892691">
        <w:rPr>
          <w:rFonts w:hint="eastAsia"/>
          <w:sz w:val="16"/>
          <w:szCs w:val="20"/>
          <w:rtl/>
        </w:rPr>
        <w:t>תלויות</w:t>
      </w:r>
      <w:r w:rsidRPr="00892691">
        <w:rPr>
          <w:sz w:val="16"/>
          <w:szCs w:val="20"/>
          <w:rtl/>
        </w:rPr>
        <w:t xml:space="preserve"> </w:t>
      </w:r>
      <w:r w:rsidRPr="00892691">
        <w:rPr>
          <w:rFonts w:hint="eastAsia"/>
          <w:sz w:val="16"/>
          <w:szCs w:val="20"/>
          <w:rtl/>
        </w:rPr>
        <w:t>או</w:t>
      </w:r>
      <w:r w:rsidRPr="00892691">
        <w:rPr>
          <w:sz w:val="16"/>
          <w:szCs w:val="20"/>
          <w:rtl/>
        </w:rPr>
        <w:t xml:space="preserve"> </w:t>
      </w:r>
      <w:r w:rsidRPr="00892691">
        <w:rPr>
          <w:rFonts w:hint="eastAsia"/>
          <w:sz w:val="16"/>
          <w:szCs w:val="20"/>
          <w:rtl/>
        </w:rPr>
        <w:t>בנכסים</w:t>
      </w:r>
      <w:r w:rsidRPr="00892691">
        <w:rPr>
          <w:sz w:val="16"/>
          <w:szCs w:val="20"/>
          <w:rtl/>
        </w:rPr>
        <w:t xml:space="preserve"> </w:t>
      </w:r>
      <w:r w:rsidRPr="00892691">
        <w:rPr>
          <w:rFonts w:hint="eastAsia"/>
          <w:sz w:val="16"/>
          <w:szCs w:val="20"/>
          <w:rtl/>
        </w:rPr>
        <w:t>תלויים</w:t>
      </w:r>
      <w:r w:rsidR="000746AA">
        <w:rPr>
          <w:rFonts w:hint="cs"/>
          <w:sz w:val="16"/>
          <w:szCs w:val="20"/>
          <w:rtl/>
        </w:rPr>
        <w:t xml:space="preserve"> המיוחסים למגזר</w:t>
      </w:r>
      <w:r w:rsidRPr="00892691">
        <w:rPr>
          <w:sz w:val="16"/>
          <w:szCs w:val="20"/>
          <w:rtl/>
        </w:rPr>
        <w:t xml:space="preserve">, </w:t>
      </w:r>
      <w:r w:rsidRPr="00892691">
        <w:rPr>
          <w:rFonts w:hint="eastAsia"/>
          <w:sz w:val="16"/>
          <w:szCs w:val="20"/>
          <w:rtl/>
        </w:rPr>
        <w:t>שחלו</w:t>
      </w:r>
      <w:r w:rsidRPr="00892691">
        <w:rPr>
          <w:sz w:val="16"/>
          <w:szCs w:val="20"/>
          <w:rtl/>
        </w:rPr>
        <w:t xml:space="preserve"> </w:t>
      </w:r>
      <w:r w:rsidRPr="00892691">
        <w:rPr>
          <w:rFonts w:hint="eastAsia"/>
          <w:sz w:val="16"/>
          <w:szCs w:val="20"/>
          <w:rtl/>
        </w:rPr>
        <w:t>לאחר</w:t>
      </w:r>
      <w:r w:rsidRPr="00892691">
        <w:rPr>
          <w:sz w:val="16"/>
          <w:szCs w:val="20"/>
          <w:rtl/>
        </w:rPr>
        <w:t xml:space="preserve"> 31 </w:t>
      </w:r>
      <w:r w:rsidRPr="00892691">
        <w:rPr>
          <w:rFonts w:hint="eastAsia"/>
          <w:sz w:val="16"/>
          <w:szCs w:val="20"/>
          <w:rtl/>
        </w:rPr>
        <w:t>בדצמבר</w:t>
      </w:r>
      <w:r w:rsidRPr="00892691">
        <w:rPr>
          <w:sz w:val="16"/>
          <w:szCs w:val="20"/>
          <w:rtl/>
        </w:rPr>
        <w:t xml:space="preserve">, </w:t>
      </w:r>
      <w:r w:rsidR="00473B27">
        <w:rPr>
          <w:rFonts w:hint="cs"/>
          <w:sz w:val="16"/>
          <w:szCs w:val="20"/>
          <w:rtl/>
        </w:rPr>
        <w:t>2018</w:t>
      </w:r>
      <w:r w:rsidRPr="00892691">
        <w:rPr>
          <w:sz w:val="16"/>
          <w:szCs w:val="20"/>
          <w:rtl/>
        </w:rPr>
        <w:t>.</w:t>
      </w:r>
    </w:p>
    <w:p w14:paraId="392888C0" w14:textId="77777777" w:rsidR="004E3A03" w:rsidRDefault="00892691" w:rsidP="007A5C28">
      <w:pPr>
        <w:pStyle w:val="30"/>
        <w:shd w:val="clear" w:color="auto" w:fill="D9D9D9"/>
        <w:rPr>
          <w:sz w:val="16"/>
          <w:szCs w:val="20"/>
          <w:rtl/>
        </w:rPr>
      </w:pPr>
      <w:r w:rsidRPr="00892691">
        <w:rPr>
          <w:sz w:val="16"/>
          <w:szCs w:val="20"/>
          <w:rtl/>
        </w:rPr>
        <w:t>2.</w:t>
      </w:r>
      <w:r w:rsidRPr="00892691">
        <w:rPr>
          <w:sz w:val="16"/>
          <w:szCs w:val="20"/>
          <w:rtl/>
        </w:rPr>
        <w:tab/>
      </w:r>
      <w:r w:rsidRPr="00892691">
        <w:rPr>
          <w:rFonts w:hint="eastAsia"/>
          <w:sz w:val="16"/>
          <w:szCs w:val="20"/>
          <w:rtl/>
        </w:rPr>
        <w:t>השפעת</w:t>
      </w:r>
      <w:r w:rsidRPr="00892691">
        <w:rPr>
          <w:sz w:val="16"/>
          <w:szCs w:val="20"/>
          <w:rtl/>
        </w:rPr>
        <w:t xml:space="preserve"> </w:t>
      </w:r>
      <w:r w:rsidRPr="00892691">
        <w:rPr>
          <w:rFonts w:hint="eastAsia"/>
          <w:sz w:val="16"/>
          <w:szCs w:val="20"/>
          <w:rtl/>
        </w:rPr>
        <w:t>השינויים</w:t>
      </w:r>
      <w:r w:rsidRPr="00892691">
        <w:rPr>
          <w:sz w:val="16"/>
          <w:szCs w:val="20"/>
          <w:rtl/>
        </w:rPr>
        <w:t xml:space="preserve"> </w:t>
      </w:r>
      <w:r w:rsidRPr="00892691">
        <w:rPr>
          <w:rFonts w:hint="eastAsia"/>
          <w:sz w:val="16"/>
          <w:szCs w:val="20"/>
          <w:rtl/>
        </w:rPr>
        <w:t>במהלך</w:t>
      </w:r>
      <w:r w:rsidRPr="00892691">
        <w:rPr>
          <w:sz w:val="16"/>
          <w:szCs w:val="20"/>
          <w:rtl/>
        </w:rPr>
        <w:t xml:space="preserve"> התקופה הנובעים מצירופי עסקים, השקעות לזמן ארוך, שינויים מבניים או פעילויות שהופסקו</w:t>
      </w:r>
      <w:r w:rsidR="000746AA">
        <w:rPr>
          <w:rFonts w:hint="cs"/>
          <w:sz w:val="16"/>
          <w:szCs w:val="20"/>
          <w:rtl/>
        </w:rPr>
        <w:t xml:space="preserve"> המיוחסים למגזר מסוים</w:t>
      </w:r>
      <w:r w:rsidRPr="00892691">
        <w:rPr>
          <w:sz w:val="16"/>
          <w:szCs w:val="20"/>
          <w:rtl/>
        </w:rPr>
        <w:t>.</w:t>
      </w:r>
    </w:p>
    <w:p w14:paraId="0E99E27E" w14:textId="77777777" w:rsidR="00892691" w:rsidRDefault="00892691">
      <w:pPr>
        <w:rPr>
          <w:rtl/>
        </w:rPr>
      </w:pPr>
    </w:p>
    <w:p w14:paraId="3575EB76" w14:textId="77777777" w:rsidR="00A27D0C" w:rsidRDefault="00A27D0C">
      <w:pPr>
        <w:rPr>
          <w:rtl/>
        </w:rPr>
      </w:pPr>
    </w:p>
    <w:p w14:paraId="07D6DCEC" w14:textId="77777777" w:rsidR="00A27D0C" w:rsidRDefault="00A27D0C">
      <w:pPr>
        <w:rPr>
          <w:rtl/>
        </w:rPr>
      </w:pPr>
    </w:p>
    <w:p w14:paraId="58E5EF0C" w14:textId="77777777" w:rsidR="00A27D0C" w:rsidRDefault="00A27D0C">
      <w:pPr>
        <w:rPr>
          <w:rtl/>
        </w:rPr>
      </w:pPr>
    </w:p>
    <w:p w14:paraId="08108ABC" w14:textId="77777777" w:rsidR="00A27D0C" w:rsidRDefault="00A27D0C">
      <w:pPr>
        <w:rPr>
          <w:rtl/>
        </w:rPr>
      </w:pPr>
    </w:p>
    <w:p w14:paraId="29F9C11F" w14:textId="77777777" w:rsidR="00A27D0C" w:rsidRDefault="00A27D0C" w:rsidP="00A27D0C">
      <w:pPr>
        <w:pStyle w:val="11"/>
        <w:rPr>
          <w:rtl/>
        </w:rPr>
      </w:pPr>
    </w:p>
    <w:p w14:paraId="0CA82756" w14:textId="77777777" w:rsidR="00A27D0C" w:rsidRDefault="00A27D0C" w:rsidP="00A27D0C">
      <w:pPr>
        <w:pStyle w:val="11"/>
        <w:rPr>
          <w:rtl/>
        </w:rPr>
      </w:pPr>
      <w:r>
        <w:rPr>
          <w:rFonts w:hint="cs"/>
          <w:rtl/>
        </w:rPr>
        <w:t>באור 16: -</w:t>
      </w:r>
      <w:r>
        <w:rPr>
          <w:rFonts w:hint="cs"/>
          <w:rtl/>
        </w:rPr>
        <w:tab/>
      </w:r>
      <w:r>
        <w:rPr>
          <w:rFonts w:hint="cs"/>
          <w:u w:val="single"/>
          <w:rtl/>
        </w:rPr>
        <w:t>מגזרי פעילות</w:t>
      </w:r>
      <w:r>
        <w:rPr>
          <w:rFonts w:hint="cs"/>
          <w:rtl/>
        </w:rPr>
        <w:t xml:space="preserve"> (המשך)</w:t>
      </w:r>
    </w:p>
    <w:p w14:paraId="7DA70CEF" w14:textId="77777777" w:rsidR="00A27D0C" w:rsidRDefault="00A27D0C">
      <w:pPr>
        <w:rPr>
          <w:rtl/>
        </w:rPr>
      </w:pPr>
    </w:p>
    <w:tbl>
      <w:tblPr>
        <w:tblStyle w:val="af6"/>
        <w:bidiVisual/>
        <w:tblW w:w="9739"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596"/>
        <w:gridCol w:w="8181"/>
      </w:tblGrid>
      <w:tr w:rsidR="00FE1EC1" w14:paraId="6C8B5B85" w14:textId="77777777" w:rsidTr="001F2C90">
        <w:tc>
          <w:tcPr>
            <w:tcW w:w="962" w:type="dxa"/>
            <w:tcBorders>
              <w:bottom w:val="single" w:sz="6" w:space="0" w:color="auto"/>
              <w:right w:val="single" w:sz="6" w:space="0" w:color="auto"/>
            </w:tcBorders>
            <w:tcMar>
              <w:left w:w="0" w:type="dxa"/>
              <w:right w:w="0" w:type="dxa"/>
            </w:tcMar>
            <w:vAlign w:val="center"/>
          </w:tcPr>
          <w:p w14:paraId="4092BC5D" w14:textId="77777777" w:rsidR="006B38FB" w:rsidRDefault="00FE1EC1" w:rsidP="00170452">
            <w:pPr>
              <w:rPr>
                <w:i/>
                <w:iCs/>
                <w:sz w:val="13"/>
                <w:szCs w:val="13"/>
                <w:rtl/>
              </w:rPr>
            </w:pPr>
            <w:r>
              <w:rPr>
                <w:i/>
                <w:iCs/>
                <w:sz w:val="13"/>
                <w:szCs w:val="13"/>
              </w:rPr>
              <w:t>IAS 34.16A(g)(iv)</w:t>
            </w:r>
          </w:p>
          <w:p w14:paraId="5851054A" w14:textId="77777777" w:rsidR="00892691" w:rsidRPr="00892691" w:rsidRDefault="00892691">
            <w:pPr>
              <w:rPr>
                <w:sz w:val="13"/>
                <w:szCs w:val="13"/>
                <w:rtl/>
              </w:rPr>
            </w:pPr>
          </w:p>
        </w:tc>
        <w:tc>
          <w:tcPr>
            <w:tcW w:w="596" w:type="dxa"/>
            <w:tcBorders>
              <w:left w:val="single" w:sz="6" w:space="0" w:color="auto"/>
            </w:tcBorders>
          </w:tcPr>
          <w:p w14:paraId="3744C8FE" w14:textId="77777777" w:rsidR="00FE1EC1" w:rsidDel="001A4186" w:rsidRDefault="00FE1EC1" w:rsidP="00170452">
            <w:pPr>
              <w:widowControl/>
              <w:ind w:left="57"/>
              <w:jc w:val="left"/>
              <w:rPr>
                <w:rtl/>
              </w:rPr>
            </w:pPr>
          </w:p>
        </w:tc>
        <w:tc>
          <w:tcPr>
            <w:tcW w:w="8181" w:type="dxa"/>
            <w:tcBorders>
              <w:left w:val="nil"/>
            </w:tcBorders>
            <w:tcMar>
              <w:left w:w="0" w:type="dxa"/>
              <w:right w:w="0" w:type="dxa"/>
            </w:tcMar>
          </w:tcPr>
          <w:p w14:paraId="64DF7B55" w14:textId="398EBE65" w:rsidR="00892691" w:rsidRPr="001F2C90" w:rsidRDefault="00FE1EC1" w:rsidP="00473B27">
            <w:pPr>
              <w:widowControl/>
              <w:ind w:left="57"/>
              <w:jc w:val="left"/>
              <w:rPr>
                <w:spacing w:val="-4"/>
                <w:sz w:val="22"/>
                <w:rtl/>
              </w:rPr>
            </w:pPr>
            <w:r w:rsidRPr="001F2C90">
              <w:rPr>
                <w:rFonts w:hint="cs"/>
                <w:spacing w:val="-4"/>
                <w:sz w:val="22"/>
                <w:rtl/>
              </w:rPr>
              <w:t xml:space="preserve">הטבלה הבאה מציגה נכסים והתחייבויות </w:t>
            </w:r>
            <w:r w:rsidR="006B38FB" w:rsidRPr="001F2C90">
              <w:rPr>
                <w:rFonts w:hint="cs"/>
                <w:spacing w:val="-4"/>
                <w:sz w:val="22"/>
                <w:rtl/>
              </w:rPr>
              <w:t>מגזריים</w:t>
            </w:r>
            <w:r w:rsidRPr="001F2C90">
              <w:rPr>
                <w:rFonts w:hint="cs"/>
                <w:spacing w:val="-4"/>
                <w:sz w:val="22"/>
                <w:rtl/>
              </w:rPr>
              <w:t xml:space="preserve"> ליום 30 בספטמבר, </w:t>
            </w:r>
            <w:r w:rsidR="00473B27">
              <w:rPr>
                <w:rFonts w:hint="cs"/>
                <w:spacing w:val="-4"/>
                <w:sz w:val="22"/>
                <w:rtl/>
              </w:rPr>
              <w:t>2019</w:t>
            </w:r>
            <w:r w:rsidRPr="001F2C90">
              <w:rPr>
                <w:rFonts w:hint="cs"/>
                <w:spacing w:val="-4"/>
                <w:sz w:val="22"/>
                <w:rtl/>
              </w:rPr>
              <w:t xml:space="preserve"> ו- 31 בדצמבר</w:t>
            </w:r>
            <w:r w:rsidR="006B38FB" w:rsidRPr="003127FA">
              <w:rPr>
                <w:rFonts w:hint="cs"/>
                <w:spacing w:val="-4"/>
                <w:sz w:val="22"/>
                <w:rtl/>
              </w:rPr>
              <w:t xml:space="preserve">, </w:t>
            </w:r>
            <w:r w:rsidR="00473B27">
              <w:rPr>
                <w:rFonts w:hint="cs"/>
                <w:spacing w:val="-4"/>
                <w:sz w:val="22"/>
                <w:rtl/>
              </w:rPr>
              <w:t>2018</w:t>
            </w:r>
            <w:r w:rsidR="006B38FB" w:rsidRPr="003127FA">
              <w:rPr>
                <w:rStyle w:val="ab"/>
                <w:spacing w:val="-4"/>
                <w:sz w:val="22"/>
                <w:rtl/>
              </w:rPr>
              <w:footnoteReference w:id="117"/>
            </w:r>
            <w:r w:rsidR="006B38FB" w:rsidRPr="003127FA">
              <w:rPr>
                <w:rFonts w:hint="cs"/>
                <w:color w:val="FF0000"/>
                <w:spacing w:val="-4"/>
                <w:sz w:val="22"/>
                <w:rtl/>
              </w:rPr>
              <w:t>:</w:t>
            </w:r>
            <w:r w:rsidR="006B38FB" w:rsidRPr="001F2C90">
              <w:rPr>
                <w:rFonts w:hint="cs"/>
                <w:spacing w:val="-4"/>
                <w:sz w:val="22"/>
                <w:rtl/>
              </w:rPr>
              <w:t xml:space="preserve"> </w:t>
            </w:r>
          </w:p>
        </w:tc>
      </w:tr>
    </w:tbl>
    <w:p w14:paraId="3942EFE2" w14:textId="77777777" w:rsidR="001F2C90" w:rsidRDefault="001F2C90" w:rsidP="001F2C90">
      <w:pPr>
        <w:widowControl/>
        <w:spacing w:line="120" w:lineRule="auto"/>
      </w:pPr>
    </w:p>
    <w:tbl>
      <w:tblPr>
        <w:bidiVisual/>
        <w:tblW w:w="8175" w:type="dxa"/>
        <w:tblInd w:w="1498" w:type="dxa"/>
        <w:tblLayout w:type="fixed"/>
        <w:tblCellMar>
          <w:left w:w="0" w:type="dxa"/>
          <w:right w:w="0" w:type="dxa"/>
        </w:tblCellMar>
        <w:tblLook w:val="0000" w:firstRow="0" w:lastRow="0" w:firstColumn="0" w:lastColumn="0" w:noHBand="0" w:noVBand="0"/>
      </w:tblPr>
      <w:tblGrid>
        <w:gridCol w:w="2329"/>
        <w:gridCol w:w="113"/>
        <w:gridCol w:w="804"/>
        <w:gridCol w:w="140"/>
        <w:gridCol w:w="1043"/>
        <w:gridCol w:w="140"/>
        <w:gridCol w:w="804"/>
        <w:gridCol w:w="140"/>
        <w:gridCol w:w="804"/>
        <w:gridCol w:w="140"/>
        <w:gridCol w:w="804"/>
        <w:gridCol w:w="110"/>
        <w:gridCol w:w="804"/>
      </w:tblGrid>
      <w:tr w:rsidR="00FE1EC1" w:rsidRPr="00254D41" w14:paraId="396934A8" w14:textId="77777777" w:rsidTr="00E72837">
        <w:tc>
          <w:tcPr>
            <w:tcW w:w="2329" w:type="dxa"/>
            <w:vAlign w:val="bottom"/>
          </w:tcPr>
          <w:p w14:paraId="57F98099" w14:textId="77777777" w:rsidR="00FE1EC1" w:rsidRPr="00254D41" w:rsidRDefault="00FE1EC1" w:rsidP="00170452">
            <w:pPr>
              <w:pStyle w:val="a3"/>
              <w:tabs>
                <w:tab w:val="left" w:pos="227"/>
                <w:tab w:val="left" w:pos="397"/>
                <w:tab w:val="left" w:pos="567"/>
              </w:tabs>
              <w:spacing w:line="220" w:lineRule="exact"/>
              <w:jc w:val="center"/>
              <w:rPr>
                <w:szCs w:val="22"/>
              </w:rPr>
            </w:pPr>
          </w:p>
        </w:tc>
        <w:tc>
          <w:tcPr>
            <w:tcW w:w="113" w:type="dxa"/>
          </w:tcPr>
          <w:p w14:paraId="19C76312" w14:textId="77777777" w:rsidR="00FE1EC1" w:rsidRPr="00254D41" w:rsidRDefault="00FE1EC1" w:rsidP="00170452">
            <w:pPr>
              <w:pStyle w:val="a3"/>
              <w:tabs>
                <w:tab w:val="left" w:pos="227"/>
                <w:tab w:val="left" w:pos="397"/>
                <w:tab w:val="left" w:pos="567"/>
              </w:tabs>
              <w:spacing w:line="220" w:lineRule="exact"/>
              <w:ind w:left="227" w:hanging="397"/>
              <w:jc w:val="center"/>
              <w:rPr>
                <w:szCs w:val="22"/>
              </w:rPr>
            </w:pPr>
          </w:p>
        </w:tc>
        <w:tc>
          <w:tcPr>
            <w:tcW w:w="804" w:type="dxa"/>
            <w:tcBorders>
              <w:top w:val="nil"/>
              <w:left w:val="nil"/>
              <w:bottom w:val="single" w:sz="6" w:space="0" w:color="auto"/>
              <w:right w:val="nil"/>
            </w:tcBorders>
            <w:vAlign w:val="bottom"/>
          </w:tcPr>
          <w:p w14:paraId="11307C30" w14:textId="77777777" w:rsidR="00FE1EC1" w:rsidRPr="00254D41" w:rsidRDefault="00FE1EC1" w:rsidP="00170452">
            <w:pPr>
              <w:spacing w:line="220" w:lineRule="exact"/>
              <w:jc w:val="center"/>
              <w:rPr>
                <w:b/>
                <w:szCs w:val="22"/>
              </w:rPr>
            </w:pPr>
            <w:r w:rsidRPr="00254D41">
              <w:rPr>
                <w:rFonts w:hint="cs"/>
                <w:b/>
                <w:szCs w:val="22"/>
                <w:rtl/>
              </w:rPr>
              <w:t>מגזר ציוד למניעת שריפות</w:t>
            </w:r>
          </w:p>
        </w:tc>
        <w:tc>
          <w:tcPr>
            <w:tcW w:w="140" w:type="dxa"/>
            <w:vAlign w:val="bottom"/>
          </w:tcPr>
          <w:p w14:paraId="0C18FE54" w14:textId="77777777" w:rsidR="00FE1EC1" w:rsidRPr="00254D41" w:rsidRDefault="00FE1EC1" w:rsidP="00170452">
            <w:pPr>
              <w:spacing w:line="220" w:lineRule="exact"/>
              <w:jc w:val="center"/>
              <w:rPr>
                <w:szCs w:val="22"/>
              </w:rPr>
            </w:pPr>
          </w:p>
        </w:tc>
        <w:tc>
          <w:tcPr>
            <w:tcW w:w="1043" w:type="dxa"/>
            <w:tcBorders>
              <w:top w:val="nil"/>
              <w:left w:val="nil"/>
              <w:bottom w:val="single" w:sz="6" w:space="0" w:color="auto"/>
              <w:right w:val="nil"/>
            </w:tcBorders>
            <w:vAlign w:val="bottom"/>
          </w:tcPr>
          <w:p w14:paraId="35E19B88" w14:textId="77777777" w:rsidR="00FE1EC1" w:rsidRPr="00254D41" w:rsidRDefault="00FE1EC1" w:rsidP="00170452">
            <w:pPr>
              <w:spacing w:line="220" w:lineRule="exact"/>
              <w:jc w:val="center"/>
              <w:rPr>
                <w:b/>
                <w:szCs w:val="22"/>
              </w:rPr>
            </w:pPr>
            <w:r w:rsidRPr="00254D41">
              <w:rPr>
                <w:rFonts w:hint="cs"/>
                <w:b/>
                <w:szCs w:val="22"/>
                <w:rtl/>
              </w:rPr>
              <w:t>מגזר אלקטרוניקה</w:t>
            </w:r>
          </w:p>
        </w:tc>
        <w:tc>
          <w:tcPr>
            <w:tcW w:w="140" w:type="dxa"/>
            <w:vAlign w:val="bottom"/>
          </w:tcPr>
          <w:p w14:paraId="2B188108" w14:textId="77777777" w:rsidR="00FE1EC1" w:rsidRPr="00254D41" w:rsidRDefault="00FE1EC1" w:rsidP="00170452">
            <w:pPr>
              <w:spacing w:line="220" w:lineRule="exact"/>
              <w:jc w:val="center"/>
              <w:rPr>
                <w:szCs w:val="22"/>
              </w:rPr>
            </w:pPr>
          </w:p>
        </w:tc>
        <w:tc>
          <w:tcPr>
            <w:tcW w:w="804" w:type="dxa"/>
            <w:tcBorders>
              <w:top w:val="nil"/>
              <w:left w:val="nil"/>
              <w:bottom w:val="single" w:sz="6" w:space="0" w:color="auto"/>
              <w:right w:val="nil"/>
            </w:tcBorders>
            <w:vAlign w:val="bottom"/>
          </w:tcPr>
          <w:p w14:paraId="661AD477" w14:textId="77777777" w:rsidR="00FE1EC1" w:rsidRPr="00254D41" w:rsidRDefault="00FE1EC1" w:rsidP="00170452">
            <w:pPr>
              <w:spacing w:line="220" w:lineRule="exact"/>
              <w:jc w:val="center"/>
              <w:rPr>
                <w:b/>
                <w:szCs w:val="22"/>
              </w:rPr>
            </w:pPr>
            <w:r w:rsidRPr="00254D41">
              <w:rPr>
                <w:rFonts w:hint="cs"/>
                <w:b/>
                <w:szCs w:val="22"/>
                <w:rtl/>
              </w:rPr>
              <w:t>מגזר נדל"ן להשקעה</w:t>
            </w:r>
          </w:p>
        </w:tc>
        <w:tc>
          <w:tcPr>
            <w:tcW w:w="140" w:type="dxa"/>
            <w:vAlign w:val="bottom"/>
          </w:tcPr>
          <w:p w14:paraId="2E55BACA" w14:textId="77777777" w:rsidR="00FE1EC1" w:rsidRPr="00254D41" w:rsidRDefault="00FE1EC1" w:rsidP="00170452">
            <w:pPr>
              <w:spacing w:line="220" w:lineRule="exact"/>
              <w:jc w:val="center"/>
              <w:rPr>
                <w:szCs w:val="22"/>
              </w:rPr>
            </w:pPr>
          </w:p>
        </w:tc>
        <w:tc>
          <w:tcPr>
            <w:tcW w:w="804" w:type="dxa"/>
            <w:tcBorders>
              <w:top w:val="nil"/>
              <w:left w:val="nil"/>
              <w:bottom w:val="single" w:sz="6" w:space="0" w:color="auto"/>
              <w:right w:val="nil"/>
            </w:tcBorders>
            <w:vAlign w:val="bottom"/>
          </w:tcPr>
          <w:p w14:paraId="29EB9DE4" w14:textId="77777777" w:rsidR="00FE1EC1" w:rsidRDefault="00FE1EC1" w:rsidP="00170452">
            <w:pPr>
              <w:spacing w:line="220" w:lineRule="exact"/>
              <w:jc w:val="center"/>
              <w:rPr>
                <w:szCs w:val="22"/>
              </w:rPr>
            </w:pPr>
            <w:r>
              <w:rPr>
                <w:rFonts w:hint="cs"/>
                <w:szCs w:val="22"/>
                <w:rtl/>
              </w:rPr>
              <w:t>פעילויות אחרות</w:t>
            </w:r>
          </w:p>
        </w:tc>
        <w:tc>
          <w:tcPr>
            <w:tcW w:w="140" w:type="dxa"/>
            <w:vAlign w:val="bottom"/>
          </w:tcPr>
          <w:p w14:paraId="4F150ABF" w14:textId="77777777" w:rsidR="00FE1EC1" w:rsidRPr="00254D41" w:rsidRDefault="00FE1EC1" w:rsidP="00170452">
            <w:pPr>
              <w:spacing w:line="220" w:lineRule="exact"/>
              <w:jc w:val="center"/>
              <w:rPr>
                <w:szCs w:val="22"/>
              </w:rPr>
            </w:pPr>
          </w:p>
        </w:tc>
        <w:tc>
          <w:tcPr>
            <w:tcW w:w="804" w:type="dxa"/>
            <w:tcBorders>
              <w:top w:val="nil"/>
              <w:left w:val="nil"/>
              <w:bottom w:val="single" w:sz="6" w:space="0" w:color="auto"/>
              <w:right w:val="nil"/>
            </w:tcBorders>
            <w:vAlign w:val="bottom"/>
          </w:tcPr>
          <w:p w14:paraId="754A0FD5" w14:textId="77777777" w:rsidR="00892691" w:rsidRDefault="00FE1EC1">
            <w:pPr>
              <w:spacing w:line="220" w:lineRule="exact"/>
              <w:jc w:val="center"/>
              <w:rPr>
                <w:szCs w:val="22"/>
              </w:rPr>
            </w:pPr>
            <w:r w:rsidRPr="00254D41">
              <w:rPr>
                <w:rFonts w:hint="cs"/>
                <w:szCs w:val="22"/>
                <w:rtl/>
              </w:rPr>
              <w:t>התאמות</w:t>
            </w:r>
          </w:p>
        </w:tc>
        <w:tc>
          <w:tcPr>
            <w:tcW w:w="110" w:type="dxa"/>
            <w:vAlign w:val="bottom"/>
          </w:tcPr>
          <w:p w14:paraId="354E6567" w14:textId="77777777" w:rsidR="00892691" w:rsidRDefault="00892691" w:rsidP="00892691">
            <w:pPr>
              <w:spacing w:line="220" w:lineRule="exact"/>
              <w:rPr>
                <w:szCs w:val="22"/>
              </w:rPr>
            </w:pPr>
          </w:p>
        </w:tc>
        <w:tc>
          <w:tcPr>
            <w:tcW w:w="804" w:type="dxa"/>
            <w:tcBorders>
              <w:top w:val="nil"/>
              <w:left w:val="nil"/>
              <w:bottom w:val="single" w:sz="6" w:space="0" w:color="auto"/>
              <w:right w:val="nil"/>
            </w:tcBorders>
            <w:vAlign w:val="bottom"/>
          </w:tcPr>
          <w:p w14:paraId="1B94E02F" w14:textId="77777777" w:rsidR="00FE1EC1" w:rsidRPr="00254D41" w:rsidRDefault="00FE1EC1" w:rsidP="00170452">
            <w:pPr>
              <w:spacing w:line="220" w:lineRule="exact"/>
              <w:jc w:val="center"/>
              <w:rPr>
                <w:szCs w:val="22"/>
              </w:rPr>
            </w:pPr>
            <w:r w:rsidRPr="00254D41">
              <w:rPr>
                <w:rFonts w:hint="cs"/>
                <w:szCs w:val="22"/>
                <w:rtl/>
              </w:rPr>
              <w:t>סה"כ</w:t>
            </w:r>
          </w:p>
        </w:tc>
      </w:tr>
      <w:tr w:rsidR="00FE1EC1" w:rsidRPr="00254D41" w14:paraId="3DE928AA" w14:textId="77777777" w:rsidTr="00E72837">
        <w:tc>
          <w:tcPr>
            <w:tcW w:w="2329" w:type="dxa"/>
            <w:vAlign w:val="bottom"/>
          </w:tcPr>
          <w:p w14:paraId="1415D2BF" w14:textId="77777777" w:rsidR="00FE1EC1" w:rsidRPr="00254D41" w:rsidRDefault="00FE1EC1" w:rsidP="00170452">
            <w:pPr>
              <w:pStyle w:val="a3"/>
              <w:tabs>
                <w:tab w:val="left" w:pos="227"/>
                <w:tab w:val="left" w:pos="397"/>
                <w:tab w:val="left" w:pos="567"/>
              </w:tabs>
              <w:spacing w:line="220" w:lineRule="exact"/>
              <w:jc w:val="center"/>
              <w:rPr>
                <w:szCs w:val="22"/>
              </w:rPr>
            </w:pPr>
          </w:p>
        </w:tc>
        <w:tc>
          <w:tcPr>
            <w:tcW w:w="113" w:type="dxa"/>
          </w:tcPr>
          <w:p w14:paraId="2442A854" w14:textId="77777777" w:rsidR="00FE1EC1" w:rsidRPr="00254D41" w:rsidRDefault="00FE1EC1" w:rsidP="00170452">
            <w:pPr>
              <w:pStyle w:val="a3"/>
              <w:tabs>
                <w:tab w:val="left" w:pos="227"/>
                <w:tab w:val="left" w:pos="397"/>
                <w:tab w:val="left" w:pos="567"/>
              </w:tabs>
              <w:spacing w:line="220" w:lineRule="exact"/>
              <w:ind w:left="227" w:hanging="397"/>
              <w:jc w:val="center"/>
              <w:rPr>
                <w:szCs w:val="22"/>
              </w:rPr>
            </w:pPr>
          </w:p>
        </w:tc>
        <w:tc>
          <w:tcPr>
            <w:tcW w:w="5733" w:type="dxa"/>
            <w:gridSpan w:val="11"/>
            <w:tcBorders>
              <w:top w:val="nil"/>
              <w:left w:val="nil"/>
              <w:bottom w:val="single" w:sz="6" w:space="0" w:color="auto"/>
              <w:right w:val="nil"/>
            </w:tcBorders>
            <w:vAlign w:val="bottom"/>
          </w:tcPr>
          <w:p w14:paraId="2C40682C" w14:textId="77777777" w:rsidR="00FE1EC1" w:rsidRPr="00254D41" w:rsidRDefault="00FE1EC1" w:rsidP="00170452">
            <w:pPr>
              <w:pStyle w:val="af5"/>
              <w:pBdr>
                <w:bottom w:val="none" w:sz="0" w:space="0" w:color="auto"/>
              </w:pBdr>
              <w:spacing w:line="220" w:lineRule="exact"/>
              <w:ind w:left="57"/>
              <w:rPr>
                <w:b w:val="0"/>
                <w:bCs w:val="0"/>
                <w:sz w:val="20"/>
                <w:szCs w:val="22"/>
              </w:rPr>
            </w:pPr>
            <w:r w:rsidRPr="00254D41">
              <w:rPr>
                <w:rFonts w:hint="cs"/>
                <w:b w:val="0"/>
                <w:bCs w:val="0"/>
                <w:sz w:val="20"/>
                <w:szCs w:val="22"/>
                <w:rtl/>
              </w:rPr>
              <w:t>מבוקר</w:t>
            </w:r>
          </w:p>
        </w:tc>
      </w:tr>
      <w:tr w:rsidR="00FE1EC1" w:rsidRPr="00254D41" w14:paraId="7FFFC175" w14:textId="77777777" w:rsidTr="00E72837">
        <w:tc>
          <w:tcPr>
            <w:tcW w:w="2329" w:type="dxa"/>
            <w:vAlign w:val="bottom"/>
          </w:tcPr>
          <w:p w14:paraId="34C9E2F1" w14:textId="77777777" w:rsidR="00FE1EC1" w:rsidRPr="00254D41" w:rsidRDefault="00FE1EC1" w:rsidP="00170452">
            <w:pPr>
              <w:pStyle w:val="a3"/>
              <w:tabs>
                <w:tab w:val="left" w:pos="227"/>
                <w:tab w:val="left" w:pos="397"/>
                <w:tab w:val="left" w:pos="567"/>
              </w:tabs>
              <w:spacing w:line="220" w:lineRule="exact"/>
              <w:jc w:val="center"/>
              <w:rPr>
                <w:szCs w:val="22"/>
              </w:rPr>
            </w:pPr>
          </w:p>
        </w:tc>
        <w:tc>
          <w:tcPr>
            <w:tcW w:w="113" w:type="dxa"/>
          </w:tcPr>
          <w:p w14:paraId="40140195" w14:textId="77777777" w:rsidR="00FE1EC1" w:rsidRPr="00254D41" w:rsidRDefault="00FE1EC1" w:rsidP="00170452">
            <w:pPr>
              <w:pStyle w:val="a3"/>
              <w:tabs>
                <w:tab w:val="left" w:pos="227"/>
                <w:tab w:val="left" w:pos="397"/>
                <w:tab w:val="left" w:pos="567"/>
              </w:tabs>
              <w:spacing w:line="220" w:lineRule="exact"/>
              <w:ind w:left="227" w:hanging="397"/>
              <w:jc w:val="center"/>
              <w:rPr>
                <w:szCs w:val="22"/>
              </w:rPr>
            </w:pPr>
          </w:p>
        </w:tc>
        <w:tc>
          <w:tcPr>
            <w:tcW w:w="5733" w:type="dxa"/>
            <w:gridSpan w:val="11"/>
            <w:tcBorders>
              <w:top w:val="nil"/>
              <w:left w:val="nil"/>
              <w:bottom w:val="single" w:sz="6" w:space="0" w:color="auto"/>
              <w:right w:val="nil"/>
            </w:tcBorders>
            <w:vAlign w:val="bottom"/>
          </w:tcPr>
          <w:p w14:paraId="5A8D7649" w14:textId="77777777" w:rsidR="00FE1EC1" w:rsidRPr="00254D41" w:rsidRDefault="00FE1EC1" w:rsidP="00170452">
            <w:pPr>
              <w:pStyle w:val="af5"/>
              <w:pBdr>
                <w:bottom w:val="none" w:sz="0" w:space="0" w:color="auto"/>
              </w:pBdr>
              <w:spacing w:line="220" w:lineRule="exact"/>
              <w:ind w:left="57"/>
              <w:rPr>
                <w:sz w:val="20"/>
                <w:szCs w:val="22"/>
              </w:rPr>
            </w:pPr>
            <w:r w:rsidRPr="00254D41">
              <w:rPr>
                <w:rFonts w:hint="cs"/>
                <w:b w:val="0"/>
                <w:bCs w:val="0"/>
                <w:sz w:val="20"/>
                <w:szCs w:val="22"/>
                <w:rtl/>
              </w:rPr>
              <w:t>אלפי ש"ח</w:t>
            </w:r>
          </w:p>
        </w:tc>
      </w:tr>
      <w:tr w:rsidR="00FE1EC1" w:rsidRPr="00254D41" w14:paraId="0933C498" w14:textId="77777777" w:rsidTr="00E72837">
        <w:tc>
          <w:tcPr>
            <w:tcW w:w="2329" w:type="dxa"/>
            <w:vAlign w:val="bottom"/>
          </w:tcPr>
          <w:p w14:paraId="11AD97C6" w14:textId="77777777" w:rsidR="00FE1EC1" w:rsidRPr="00FE1EC1" w:rsidRDefault="00892691" w:rsidP="00170452">
            <w:pPr>
              <w:pStyle w:val="a3"/>
              <w:tabs>
                <w:tab w:val="left" w:pos="227"/>
                <w:tab w:val="left" w:pos="397"/>
                <w:tab w:val="left" w:pos="567"/>
              </w:tabs>
              <w:spacing w:line="220" w:lineRule="exact"/>
              <w:ind w:left="227" w:hanging="170"/>
              <w:rPr>
                <w:b/>
                <w:bCs/>
                <w:szCs w:val="22"/>
              </w:rPr>
            </w:pPr>
            <w:r w:rsidRPr="00892691">
              <w:rPr>
                <w:rFonts w:hint="eastAsia"/>
                <w:b/>
                <w:bCs/>
                <w:szCs w:val="22"/>
                <w:rtl/>
              </w:rPr>
              <w:t>נכסים</w:t>
            </w:r>
            <w:r w:rsidRPr="00892691">
              <w:rPr>
                <w:b/>
                <w:bCs/>
                <w:szCs w:val="22"/>
                <w:rtl/>
              </w:rPr>
              <w:t xml:space="preserve"> </w:t>
            </w:r>
            <w:r w:rsidRPr="00892691">
              <w:rPr>
                <w:rFonts w:hint="eastAsia"/>
                <w:b/>
                <w:bCs/>
                <w:szCs w:val="22"/>
                <w:rtl/>
              </w:rPr>
              <w:t>תפעוליים</w:t>
            </w:r>
          </w:p>
        </w:tc>
        <w:tc>
          <w:tcPr>
            <w:tcW w:w="113" w:type="dxa"/>
          </w:tcPr>
          <w:p w14:paraId="4BA43A8E"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nil"/>
              <w:left w:val="nil"/>
              <w:right w:val="nil"/>
            </w:tcBorders>
            <w:vAlign w:val="bottom"/>
          </w:tcPr>
          <w:p w14:paraId="76673931" w14:textId="77777777" w:rsidR="00FE1EC1" w:rsidRPr="00254D41" w:rsidRDefault="00FE1EC1" w:rsidP="00170452">
            <w:pPr>
              <w:tabs>
                <w:tab w:val="decimal" w:pos="113"/>
              </w:tabs>
              <w:spacing w:line="220" w:lineRule="exact"/>
              <w:ind w:left="57"/>
              <w:rPr>
                <w:szCs w:val="22"/>
              </w:rPr>
            </w:pPr>
          </w:p>
        </w:tc>
        <w:tc>
          <w:tcPr>
            <w:tcW w:w="140" w:type="dxa"/>
          </w:tcPr>
          <w:p w14:paraId="710A044F" w14:textId="77777777" w:rsidR="00FE1EC1" w:rsidRPr="00254D41" w:rsidRDefault="00FE1EC1" w:rsidP="00170452">
            <w:pPr>
              <w:tabs>
                <w:tab w:val="decimal" w:pos="113"/>
              </w:tabs>
              <w:spacing w:line="220" w:lineRule="exact"/>
              <w:ind w:left="57"/>
              <w:rPr>
                <w:szCs w:val="22"/>
              </w:rPr>
            </w:pPr>
          </w:p>
        </w:tc>
        <w:tc>
          <w:tcPr>
            <w:tcW w:w="1043" w:type="dxa"/>
            <w:tcBorders>
              <w:top w:val="nil"/>
              <w:left w:val="nil"/>
              <w:right w:val="nil"/>
            </w:tcBorders>
            <w:vAlign w:val="bottom"/>
          </w:tcPr>
          <w:p w14:paraId="2854401D" w14:textId="77777777" w:rsidR="00FE1EC1" w:rsidRPr="00254D41" w:rsidRDefault="00FE1EC1" w:rsidP="00170452">
            <w:pPr>
              <w:tabs>
                <w:tab w:val="decimal" w:pos="113"/>
              </w:tabs>
              <w:spacing w:line="220" w:lineRule="exact"/>
              <w:ind w:left="57"/>
              <w:rPr>
                <w:szCs w:val="22"/>
              </w:rPr>
            </w:pPr>
          </w:p>
        </w:tc>
        <w:tc>
          <w:tcPr>
            <w:tcW w:w="140" w:type="dxa"/>
          </w:tcPr>
          <w:p w14:paraId="432C644A"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right w:val="nil"/>
            </w:tcBorders>
            <w:vAlign w:val="bottom"/>
          </w:tcPr>
          <w:p w14:paraId="191036DD" w14:textId="77777777" w:rsidR="00FE1EC1" w:rsidRPr="00254D41" w:rsidRDefault="00FE1EC1" w:rsidP="00170452">
            <w:pPr>
              <w:tabs>
                <w:tab w:val="decimal" w:pos="113"/>
              </w:tabs>
              <w:spacing w:line="220" w:lineRule="exact"/>
              <w:ind w:left="57"/>
              <w:rPr>
                <w:szCs w:val="22"/>
              </w:rPr>
            </w:pPr>
          </w:p>
        </w:tc>
        <w:tc>
          <w:tcPr>
            <w:tcW w:w="140" w:type="dxa"/>
          </w:tcPr>
          <w:p w14:paraId="1E1576CE"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right w:val="nil"/>
            </w:tcBorders>
            <w:vAlign w:val="bottom"/>
          </w:tcPr>
          <w:p w14:paraId="387B915B" w14:textId="77777777" w:rsidR="00FE1EC1" w:rsidRPr="00254D41" w:rsidRDefault="00FE1EC1" w:rsidP="00170452">
            <w:pPr>
              <w:tabs>
                <w:tab w:val="decimal" w:pos="113"/>
              </w:tabs>
              <w:spacing w:line="220" w:lineRule="exact"/>
              <w:ind w:left="57"/>
              <w:rPr>
                <w:szCs w:val="22"/>
              </w:rPr>
            </w:pPr>
          </w:p>
        </w:tc>
        <w:tc>
          <w:tcPr>
            <w:tcW w:w="140" w:type="dxa"/>
          </w:tcPr>
          <w:p w14:paraId="778425B3"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right w:val="nil"/>
            </w:tcBorders>
            <w:vAlign w:val="bottom"/>
          </w:tcPr>
          <w:p w14:paraId="23A73579" w14:textId="77777777" w:rsidR="00FE1EC1" w:rsidRPr="00254D41" w:rsidRDefault="00FE1EC1" w:rsidP="00170452">
            <w:pPr>
              <w:tabs>
                <w:tab w:val="decimal" w:pos="113"/>
              </w:tabs>
              <w:spacing w:line="220" w:lineRule="exact"/>
              <w:ind w:left="57"/>
              <w:rPr>
                <w:szCs w:val="22"/>
              </w:rPr>
            </w:pPr>
          </w:p>
        </w:tc>
        <w:tc>
          <w:tcPr>
            <w:tcW w:w="110" w:type="dxa"/>
          </w:tcPr>
          <w:p w14:paraId="60BB16BB"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right w:val="nil"/>
            </w:tcBorders>
            <w:vAlign w:val="bottom"/>
          </w:tcPr>
          <w:p w14:paraId="0463F17C" w14:textId="77777777" w:rsidR="00FE1EC1" w:rsidRPr="00254D41" w:rsidRDefault="00FE1EC1" w:rsidP="00170452">
            <w:pPr>
              <w:tabs>
                <w:tab w:val="decimal" w:pos="113"/>
              </w:tabs>
              <w:spacing w:line="220" w:lineRule="exact"/>
              <w:ind w:left="57"/>
              <w:rPr>
                <w:szCs w:val="22"/>
              </w:rPr>
            </w:pPr>
          </w:p>
        </w:tc>
      </w:tr>
      <w:tr w:rsidR="00FE1EC1" w:rsidRPr="00254D41" w14:paraId="42E043F1" w14:textId="77777777" w:rsidTr="00E72837">
        <w:tc>
          <w:tcPr>
            <w:tcW w:w="2329" w:type="dxa"/>
            <w:vAlign w:val="bottom"/>
          </w:tcPr>
          <w:p w14:paraId="2209A495" w14:textId="5E5E2517" w:rsidR="00FE1EC1" w:rsidRPr="00254D41" w:rsidRDefault="00FE1EC1" w:rsidP="008A629F">
            <w:pPr>
              <w:pStyle w:val="a3"/>
              <w:tabs>
                <w:tab w:val="left" w:pos="227"/>
                <w:tab w:val="left" w:pos="397"/>
                <w:tab w:val="left" w:pos="567"/>
              </w:tabs>
              <w:spacing w:line="220" w:lineRule="exact"/>
              <w:rPr>
                <w:szCs w:val="22"/>
              </w:rPr>
            </w:pPr>
            <w:r>
              <w:rPr>
                <w:rFonts w:hint="cs"/>
                <w:szCs w:val="22"/>
                <w:rtl/>
              </w:rPr>
              <w:t xml:space="preserve">30 בספטמבר, </w:t>
            </w:r>
            <w:r w:rsidR="008A629F">
              <w:rPr>
                <w:rFonts w:hint="cs"/>
                <w:szCs w:val="22"/>
                <w:rtl/>
              </w:rPr>
              <w:t>2019</w:t>
            </w:r>
            <w:r>
              <w:rPr>
                <w:rFonts w:hint="cs"/>
                <w:szCs w:val="22"/>
                <w:rtl/>
              </w:rPr>
              <w:t xml:space="preserve"> (בלתי מבוקר)</w:t>
            </w:r>
          </w:p>
        </w:tc>
        <w:tc>
          <w:tcPr>
            <w:tcW w:w="113" w:type="dxa"/>
          </w:tcPr>
          <w:p w14:paraId="66FBA5CB"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nil"/>
              <w:left w:val="nil"/>
              <w:bottom w:val="double" w:sz="4" w:space="0" w:color="auto"/>
              <w:right w:val="nil"/>
            </w:tcBorders>
            <w:vAlign w:val="bottom"/>
          </w:tcPr>
          <w:p w14:paraId="5F144964" w14:textId="77777777" w:rsidR="00FE1EC1" w:rsidRPr="00254D41" w:rsidRDefault="00FE1EC1" w:rsidP="00170452">
            <w:pPr>
              <w:tabs>
                <w:tab w:val="decimal" w:pos="113"/>
              </w:tabs>
              <w:spacing w:line="220" w:lineRule="exact"/>
              <w:ind w:left="57"/>
              <w:rPr>
                <w:szCs w:val="22"/>
              </w:rPr>
            </w:pPr>
          </w:p>
        </w:tc>
        <w:tc>
          <w:tcPr>
            <w:tcW w:w="140" w:type="dxa"/>
          </w:tcPr>
          <w:p w14:paraId="285069B4" w14:textId="77777777" w:rsidR="00FE1EC1" w:rsidRPr="00254D41" w:rsidRDefault="00FE1EC1" w:rsidP="00170452">
            <w:pPr>
              <w:tabs>
                <w:tab w:val="decimal" w:pos="113"/>
              </w:tabs>
              <w:spacing w:line="220" w:lineRule="exact"/>
              <w:ind w:left="57"/>
              <w:rPr>
                <w:szCs w:val="22"/>
              </w:rPr>
            </w:pPr>
          </w:p>
        </w:tc>
        <w:tc>
          <w:tcPr>
            <w:tcW w:w="1043" w:type="dxa"/>
            <w:tcBorders>
              <w:top w:val="nil"/>
              <w:left w:val="nil"/>
              <w:bottom w:val="double" w:sz="4" w:space="0" w:color="auto"/>
              <w:right w:val="nil"/>
            </w:tcBorders>
            <w:vAlign w:val="bottom"/>
          </w:tcPr>
          <w:p w14:paraId="2FF3F934" w14:textId="77777777" w:rsidR="00FE1EC1" w:rsidRPr="00254D41" w:rsidRDefault="00FE1EC1" w:rsidP="00170452">
            <w:pPr>
              <w:tabs>
                <w:tab w:val="decimal" w:pos="113"/>
              </w:tabs>
              <w:spacing w:line="220" w:lineRule="exact"/>
              <w:ind w:left="57"/>
              <w:rPr>
                <w:szCs w:val="22"/>
              </w:rPr>
            </w:pPr>
          </w:p>
        </w:tc>
        <w:tc>
          <w:tcPr>
            <w:tcW w:w="140" w:type="dxa"/>
          </w:tcPr>
          <w:p w14:paraId="3DAC1F6D"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0F3E62C8" w14:textId="77777777" w:rsidR="00FE1EC1" w:rsidRPr="00254D41" w:rsidRDefault="00FE1EC1" w:rsidP="00170452">
            <w:pPr>
              <w:tabs>
                <w:tab w:val="decimal" w:pos="113"/>
              </w:tabs>
              <w:spacing w:line="220" w:lineRule="exact"/>
              <w:ind w:left="57"/>
              <w:rPr>
                <w:szCs w:val="22"/>
              </w:rPr>
            </w:pPr>
          </w:p>
        </w:tc>
        <w:tc>
          <w:tcPr>
            <w:tcW w:w="140" w:type="dxa"/>
          </w:tcPr>
          <w:p w14:paraId="67603F63"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726CA3A9" w14:textId="77777777" w:rsidR="00FE1EC1" w:rsidRPr="00254D41" w:rsidRDefault="00FE1EC1" w:rsidP="00170452">
            <w:pPr>
              <w:tabs>
                <w:tab w:val="decimal" w:pos="113"/>
              </w:tabs>
              <w:spacing w:line="220" w:lineRule="exact"/>
              <w:ind w:left="57"/>
              <w:rPr>
                <w:szCs w:val="22"/>
              </w:rPr>
            </w:pPr>
          </w:p>
        </w:tc>
        <w:tc>
          <w:tcPr>
            <w:tcW w:w="140" w:type="dxa"/>
          </w:tcPr>
          <w:p w14:paraId="4CCF7D69"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4F0AF817" w14:textId="77777777" w:rsidR="00FE1EC1" w:rsidRPr="00254D41" w:rsidRDefault="00FE1EC1" w:rsidP="00170452">
            <w:pPr>
              <w:tabs>
                <w:tab w:val="decimal" w:pos="113"/>
              </w:tabs>
              <w:spacing w:line="220" w:lineRule="exact"/>
              <w:ind w:left="57"/>
              <w:rPr>
                <w:szCs w:val="22"/>
              </w:rPr>
            </w:pPr>
          </w:p>
        </w:tc>
        <w:tc>
          <w:tcPr>
            <w:tcW w:w="110" w:type="dxa"/>
          </w:tcPr>
          <w:p w14:paraId="72DC671D"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0C6CBECC" w14:textId="77777777" w:rsidR="00FE1EC1" w:rsidRPr="00254D41" w:rsidRDefault="00FE1EC1" w:rsidP="00170452">
            <w:pPr>
              <w:tabs>
                <w:tab w:val="decimal" w:pos="113"/>
              </w:tabs>
              <w:spacing w:line="220" w:lineRule="exact"/>
              <w:ind w:left="57"/>
              <w:rPr>
                <w:szCs w:val="22"/>
              </w:rPr>
            </w:pPr>
          </w:p>
        </w:tc>
      </w:tr>
      <w:tr w:rsidR="00FE1EC1" w:rsidRPr="00254D41" w14:paraId="0D987BA6" w14:textId="77777777" w:rsidTr="00E72837">
        <w:tc>
          <w:tcPr>
            <w:tcW w:w="2329" w:type="dxa"/>
            <w:vAlign w:val="bottom"/>
          </w:tcPr>
          <w:p w14:paraId="309B585B" w14:textId="77777777" w:rsidR="00FE1EC1" w:rsidRDefault="00FE1EC1" w:rsidP="00170452">
            <w:pPr>
              <w:pStyle w:val="a3"/>
              <w:tabs>
                <w:tab w:val="left" w:pos="227"/>
                <w:tab w:val="left" w:pos="397"/>
                <w:tab w:val="left" w:pos="567"/>
              </w:tabs>
              <w:spacing w:line="220" w:lineRule="exact"/>
              <w:rPr>
                <w:szCs w:val="22"/>
                <w:rtl/>
              </w:rPr>
            </w:pPr>
          </w:p>
        </w:tc>
        <w:tc>
          <w:tcPr>
            <w:tcW w:w="113" w:type="dxa"/>
          </w:tcPr>
          <w:p w14:paraId="529972CC"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double" w:sz="4" w:space="0" w:color="auto"/>
              <w:left w:val="nil"/>
              <w:right w:val="nil"/>
            </w:tcBorders>
            <w:vAlign w:val="bottom"/>
          </w:tcPr>
          <w:p w14:paraId="63D5F0D9" w14:textId="77777777" w:rsidR="00FE1EC1" w:rsidRPr="00254D41" w:rsidRDefault="00FE1EC1" w:rsidP="00170452">
            <w:pPr>
              <w:tabs>
                <w:tab w:val="decimal" w:pos="113"/>
              </w:tabs>
              <w:spacing w:line="220" w:lineRule="exact"/>
              <w:ind w:left="57"/>
              <w:rPr>
                <w:szCs w:val="22"/>
              </w:rPr>
            </w:pPr>
          </w:p>
        </w:tc>
        <w:tc>
          <w:tcPr>
            <w:tcW w:w="140" w:type="dxa"/>
          </w:tcPr>
          <w:p w14:paraId="21858E86" w14:textId="77777777" w:rsidR="00FE1EC1" w:rsidRPr="00254D41" w:rsidRDefault="00FE1EC1" w:rsidP="00170452">
            <w:pPr>
              <w:tabs>
                <w:tab w:val="decimal" w:pos="113"/>
              </w:tabs>
              <w:spacing w:line="220" w:lineRule="exact"/>
              <w:ind w:left="57"/>
              <w:rPr>
                <w:szCs w:val="22"/>
              </w:rPr>
            </w:pPr>
          </w:p>
        </w:tc>
        <w:tc>
          <w:tcPr>
            <w:tcW w:w="1043" w:type="dxa"/>
            <w:tcBorders>
              <w:top w:val="double" w:sz="4" w:space="0" w:color="auto"/>
              <w:left w:val="nil"/>
              <w:right w:val="nil"/>
            </w:tcBorders>
            <w:vAlign w:val="bottom"/>
          </w:tcPr>
          <w:p w14:paraId="1BB96E6B" w14:textId="77777777" w:rsidR="00FE1EC1" w:rsidRPr="00254D41" w:rsidRDefault="00FE1EC1" w:rsidP="00170452">
            <w:pPr>
              <w:tabs>
                <w:tab w:val="decimal" w:pos="113"/>
              </w:tabs>
              <w:spacing w:line="220" w:lineRule="exact"/>
              <w:ind w:left="57"/>
              <w:rPr>
                <w:szCs w:val="22"/>
              </w:rPr>
            </w:pPr>
          </w:p>
        </w:tc>
        <w:tc>
          <w:tcPr>
            <w:tcW w:w="140" w:type="dxa"/>
          </w:tcPr>
          <w:p w14:paraId="33CDBA24"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right w:val="nil"/>
            </w:tcBorders>
            <w:vAlign w:val="bottom"/>
          </w:tcPr>
          <w:p w14:paraId="766AC48D" w14:textId="77777777" w:rsidR="00FE1EC1" w:rsidRPr="00254D41" w:rsidRDefault="00FE1EC1" w:rsidP="00170452">
            <w:pPr>
              <w:tabs>
                <w:tab w:val="decimal" w:pos="113"/>
              </w:tabs>
              <w:spacing w:line="220" w:lineRule="exact"/>
              <w:ind w:left="57"/>
              <w:rPr>
                <w:szCs w:val="22"/>
              </w:rPr>
            </w:pPr>
          </w:p>
        </w:tc>
        <w:tc>
          <w:tcPr>
            <w:tcW w:w="140" w:type="dxa"/>
          </w:tcPr>
          <w:p w14:paraId="79034E61"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right w:val="nil"/>
            </w:tcBorders>
            <w:vAlign w:val="bottom"/>
          </w:tcPr>
          <w:p w14:paraId="0EE2D481" w14:textId="77777777" w:rsidR="00FE1EC1" w:rsidRPr="00254D41" w:rsidRDefault="00FE1EC1" w:rsidP="00170452">
            <w:pPr>
              <w:tabs>
                <w:tab w:val="decimal" w:pos="113"/>
              </w:tabs>
              <w:spacing w:line="220" w:lineRule="exact"/>
              <w:ind w:left="57"/>
              <w:rPr>
                <w:szCs w:val="22"/>
              </w:rPr>
            </w:pPr>
          </w:p>
        </w:tc>
        <w:tc>
          <w:tcPr>
            <w:tcW w:w="140" w:type="dxa"/>
          </w:tcPr>
          <w:p w14:paraId="2EFF16AE"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right w:val="nil"/>
            </w:tcBorders>
            <w:vAlign w:val="bottom"/>
          </w:tcPr>
          <w:p w14:paraId="0B15E56F" w14:textId="77777777" w:rsidR="00FE1EC1" w:rsidRPr="00254D41" w:rsidRDefault="00FE1EC1" w:rsidP="00170452">
            <w:pPr>
              <w:tabs>
                <w:tab w:val="decimal" w:pos="113"/>
              </w:tabs>
              <w:spacing w:line="220" w:lineRule="exact"/>
              <w:ind w:left="57"/>
              <w:rPr>
                <w:szCs w:val="22"/>
              </w:rPr>
            </w:pPr>
          </w:p>
        </w:tc>
        <w:tc>
          <w:tcPr>
            <w:tcW w:w="110" w:type="dxa"/>
          </w:tcPr>
          <w:p w14:paraId="620F8D18"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right w:val="nil"/>
            </w:tcBorders>
            <w:vAlign w:val="bottom"/>
          </w:tcPr>
          <w:p w14:paraId="09A4AD49" w14:textId="77777777" w:rsidR="00FE1EC1" w:rsidRPr="00254D41" w:rsidRDefault="00FE1EC1" w:rsidP="00170452">
            <w:pPr>
              <w:tabs>
                <w:tab w:val="decimal" w:pos="113"/>
              </w:tabs>
              <w:spacing w:line="220" w:lineRule="exact"/>
              <w:ind w:left="57"/>
              <w:rPr>
                <w:szCs w:val="22"/>
              </w:rPr>
            </w:pPr>
          </w:p>
        </w:tc>
      </w:tr>
      <w:tr w:rsidR="00FE1EC1" w:rsidRPr="00254D41" w14:paraId="3C9A74CB" w14:textId="77777777" w:rsidTr="00E72837">
        <w:tc>
          <w:tcPr>
            <w:tcW w:w="2329" w:type="dxa"/>
            <w:vAlign w:val="bottom"/>
          </w:tcPr>
          <w:p w14:paraId="2DCC56A3" w14:textId="1183A1D2" w:rsidR="00892691" w:rsidRDefault="00FE1EC1" w:rsidP="008A629F">
            <w:pPr>
              <w:pStyle w:val="a3"/>
              <w:tabs>
                <w:tab w:val="left" w:pos="227"/>
                <w:tab w:val="left" w:pos="397"/>
                <w:tab w:val="left" w:pos="567"/>
              </w:tabs>
              <w:spacing w:line="220" w:lineRule="exact"/>
              <w:rPr>
                <w:szCs w:val="22"/>
              </w:rPr>
            </w:pPr>
            <w:r>
              <w:rPr>
                <w:rFonts w:hint="cs"/>
                <w:szCs w:val="22"/>
                <w:rtl/>
              </w:rPr>
              <w:t xml:space="preserve">31 בדצמבר, </w:t>
            </w:r>
            <w:r w:rsidR="004F7D3D">
              <w:rPr>
                <w:rFonts w:hint="cs"/>
                <w:szCs w:val="22"/>
                <w:rtl/>
              </w:rPr>
              <w:t>201</w:t>
            </w:r>
            <w:r w:rsidR="008A629F">
              <w:rPr>
                <w:rFonts w:hint="cs"/>
                <w:szCs w:val="22"/>
                <w:rtl/>
              </w:rPr>
              <w:t>8</w:t>
            </w:r>
            <w:r>
              <w:rPr>
                <w:rFonts w:hint="cs"/>
                <w:szCs w:val="22"/>
                <w:rtl/>
              </w:rPr>
              <w:t xml:space="preserve"> (מבוקר) </w:t>
            </w:r>
          </w:p>
        </w:tc>
        <w:tc>
          <w:tcPr>
            <w:tcW w:w="113" w:type="dxa"/>
          </w:tcPr>
          <w:p w14:paraId="1324820F"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nil"/>
              <w:left w:val="nil"/>
              <w:bottom w:val="double" w:sz="4" w:space="0" w:color="auto"/>
              <w:right w:val="nil"/>
            </w:tcBorders>
            <w:vAlign w:val="bottom"/>
          </w:tcPr>
          <w:p w14:paraId="7A9E40ED" w14:textId="77777777" w:rsidR="00FE1EC1" w:rsidRPr="00254D41" w:rsidRDefault="00FE1EC1" w:rsidP="00170452">
            <w:pPr>
              <w:tabs>
                <w:tab w:val="decimal" w:pos="113"/>
              </w:tabs>
              <w:spacing w:line="220" w:lineRule="exact"/>
              <w:ind w:left="57"/>
              <w:rPr>
                <w:szCs w:val="22"/>
              </w:rPr>
            </w:pPr>
          </w:p>
        </w:tc>
        <w:tc>
          <w:tcPr>
            <w:tcW w:w="140" w:type="dxa"/>
          </w:tcPr>
          <w:p w14:paraId="242DCF3E" w14:textId="77777777" w:rsidR="00FE1EC1" w:rsidRPr="00254D41" w:rsidRDefault="00FE1EC1" w:rsidP="00170452">
            <w:pPr>
              <w:tabs>
                <w:tab w:val="decimal" w:pos="113"/>
              </w:tabs>
              <w:spacing w:line="220" w:lineRule="exact"/>
              <w:ind w:left="57"/>
              <w:rPr>
                <w:szCs w:val="22"/>
              </w:rPr>
            </w:pPr>
          </w:p>
        </w:tc>
        <w:tc>
          <w:tcPr>
            <w:tcW w:w="1043" w:type="dxa"/>
            <w:tcBorders>
              <w:top w:val="nil"/>
              <w:left w:val="nil"/>
              <w:bottom w:val="double" w:sz="4" w:space="0" w:color="auto"/>
              <w:right w:val="nil"/>
            </w:tcBorders>
            <w:vAlign w:val="bottom"/>
          </w:tcPr>
          <w:p w14:paraId="0C743CD7" w14:textId="77777777" w:rsidR="00FE1EC1" w:rsidRPr="00254D41" w:rsidRDefault="00FE1EC1" w:rsidP="00170452">
            <w:pPr>
              <w:tabs>
                <w:tab w:val="decimal" w:pos="113"/>
              </w:tabs>
              <w:spacing w:line="220" w:lineRule="exact"/>
              <w:ind w:left="57"/>
              <w:rPr>
                <w:szCs w:val="22"/>
              </w:rPr>
            </w:pPr>
          </w:p>
        </w:tc>
        <w:tc>
          <w:tcPr>
            <w:tcW w:w="140" w:type="dxa"/>
          </w:tcPr>
          <w:p w14:paraId="624ECA3D"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03B1609A" w14:textId="77777777" w:rsidR="00FE1EC1" w:rsidRPr="00254D41" w:rsidRDefault="00FE1EC1" w:rsidP="00170452">
            <w:pPr>
              <w:tabs>
                <w:tab w:val="decimal" w:pos="113"/>
              </w:tabs>
              <w:spacing w:line="220" w:lineRule="exact"/>
              <w:ind w:left="57"/>
              <w:rPr>
                <w:szCs w:val="22"/>
              </w:rPr>
            </w:pPr>
          </w:p>
        </w:tc>
        <w:tc>
          <w:tcPr>
            <w:tcW w:w="140" w:type="dxa"/>
          </w:tcPr>
          <w:p w14:paraId="46D3B0A3"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422C3C00" w14:textId="77777777" w:rsidR="00FE1EC1" w:rsidRPr="00254D41" w:rsidRDefault="00FE1EC1" w:rsidP="00170452">
            <w:pPr>
              <w:tabs>
                <w:tab w:val="decimal" w:pos="113"/>
              </w:tabs>
              <w:spacing w:line="220" w:lineRule="exact"/>
              <w:ind w:left="57"/>
              <w:rPr>
                <w:szCs w:val="22"/>
              </w:rPr>
            </w:pPr>
          </w:p>
        </w:tc>
        <w:tc>
          <w:tcPr>
            <w:tcW w:w="140" w:type="dxa"/>
          </w:tcPr>
          <w:p w14:paraId="36069D39"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36CA69A7" w14:textId="77777777" w:rsidR="00FE1EC1" w:rsidRPr="00254D41" w:rsidRDefault="00FE1EC1" w:rsidP="00170452">
            <w:pPr>
              <w:tabs>
                <w:tab w:val="decimal" w:pos="113"/>
              </w:tabs>
              <w:spacing w:line="220" w:lineRule="exact"/>
              <w:ind w:left="57"/>
              <w:rPr>
                <w:szCs w:val="22"/>
              </w:rPr>
            </w:pPr>
          </w:p>
        </w:tc>
        <w:tc>
          <w:tcPr>
            <w:tcW w:w="110" w:type="dxa"/>
          </w:tcPr>
          <w:p w14:paraId="0E43EC42"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5ECB697B" w14:textId="77777777" w:rsidR="00FE1EC1" w:rsidRPr="00254D41" w:rsidRDefault="00FE1EC1" w:rsidP="00170452">
            <w:pPr>
              <w:tabs>
                <w:tab w:val="decimal" w:pos="113"/>
              </w:tabs>
              <w:spacing w:line="220" w:lineRule="exact"/>
              <w:ind w:left="57"/>
              <w:rPr>
                <w:szCs w:val="22"/>
              </w:rPr>
            </w:pPr>
          </w:p>
        </w:tc>
      </w:tr>
      <w:tr w:rsidR="00A53C75" w:rsidRPr="00254D41" w14:paraId="615212DD" w14:textId="77777777" w:rsidTr="00E72837">
        <w:tc>
          <w:tcPr>
            <w:tcW w:w="2329" w:type="dxa"/>
            <w:vAlign w:val="bottom"/>
          </w:tcPr>
          <w:p w14:paraId="0C7F52CF" w14:textId="77777777" w:rsidR="00FE1EC1" w:rsidRPr="00254D41" w:rsidRDefault="00FE1EC1" w:rsidP="00170452">
            <w:pPr>
              <w:pStyle w:val="a3"/>
              <w:widowControl/>
              <w:tabs>
                <w:tab w:val="left" w:pos="227"/>
                <w:tab w:val="left" w:pos="397"/>
                <w:tab w:val="left" w:pos="567"/>
              </w:tabs>
              <w:spacing w:line="220" w:lineRule="exact"/>
              <w:ind w:left="0"/>
              <w:rPr>
                <w:szCs w:val="22"/>
                <w:rtl/>
              </w:rPr>
            </w:pPr>
          </w:p>
        </w:tc>
        <w:tc>
          <w:tcPr>
            <w:tcW w:w="113" w:type="dxa"/>
          </w:tcPr>
          <w:p w14:paraId="0B98987C"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804" w:type="dxa"/>
            <w:tcBorders>
              <w:top w:val="double" w:sz="4" w:space="0" w:color="auto"/>
            </w:tcBorders>
            <w:shd w:val="clear" w:color="auto" w:fill="auto"/>
            <w:vAlign w:val="bottom"/>
          </w:tcPr>
          <w:p w14:paraId="781E72E2"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140" w:type="dxa"/>
            <w:tcBorders>
              <w:left w:val="nil"/>
            </w:tcBorders>
          </w:tcPr>
          <w:p w14:paraId="432A3DE4"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1043" w:type="dxa"/>
            <w:tcBorders>
              <w:top w:val="double" w:sz="4" w:space="0" w:color="auto"/>
              <w:left w:val="nil"/>
              <w:right w:val="nil"/>
            </w:tcBorders>
            <w:shd w:val="clear" w:color="auto" w:fill="auto"/>
            <w:vAlign w:val="bottom"/>
          </w:tcPr>
          <w:p w14:paraId="46951BFC"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140" w:type="dxa"/>
          </w:tcPr>
          <w:p w14:paraId="615F6950"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804" w:type="dxa"/>
            <w:tcBorders>
              <w:top w:val="double" w:sz="4" w:space="0" w:color="auto"/>
              <w:left w:val="nil"/>
              <w:right w:val="nil"/>
            </w:tcBorders>
            <w:shd w:val="clear" w:color="auto" w:fill="auto"/>
            <w:vAlign w:val="bottom"/>
          </w:tcPr>
          <w:p w14:paraId="245808F1"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140" w:type="dxa"/>
          </w:tcPr>
          <w:p w14:paraId="605BC816"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804" w:type="dxa"/>
            <w:tcBorders>
              <w:top w:val="double" w:sz="4" w:space="0" w:color="auto"/>
              <w:left w:val="nil"/>
              <w:right w:val="nil"/>
            </w:tcBorders>
            <w:shd w:val="clear" w:color="auto" w:fill="auto"/>
            <w:vAlign w:val="bottom"/>
          </w:tcPr>
          <w:p w14:paraId="3C17D939"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140" w:type="dxa"/>
          </w:tcPr>
          <w:p w14:paraId="79F52264"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804" w:type="dxa"/>
            <w:tcBorders>
              <w:top w:val="double" w:sz="4" w:space="0" w:color="auto"/>
              <w:left w:val="nil"/>
              <w:right w:val="nil"/>
            </w:tcBorders>
            <w:shd w:val="clear" w:color="auto" w:fill="auto"/>
            <w:vAlign w:val="bottom"/>
          </w:tcPr>
          <w:p w14:paraId="4C35497E"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110" w:type="dxa"/>
          </w:tcPr>
          <w:p w14:paraId="335147A8"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804" w:type="dxa"/>
            <w:tcBorders>
              <w:top w:val="double" w:sz="4" w:space="0" w:color="auto"/>
              <w:left w:val="nil"/>
              <w:right w:val="nil"/>
            </w:tcBorders>
            <w:shd w:val="clear" w:color="auto" w:fill="auto"/>
            <w:vAlign w:val="bottom"/>
          </w:tcPr>
          <w:p w14:paraId="5036CC8D"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r>
      <w:tr w:rsidR="00FE1EC1" w:rsidRPr="00254D41" w14:paraId="1682052E" w14:textId="77777777" w:rsidTr="00E72837">
        <w:tc>
          <w:tcPr>
            <w:tcW w:w="2329" w:type="dxa"/>
            <w:vAlign w:val="bottom"/>
          </w:tcPr>
          <w:p w14:paraId="24AA99BB" w14:textId="77777777" w:rsidR="00FE1EC1" w:rsidRPr="00FE1EC1" w:rsidRDefault="00892691" w:rsidP="00170452">
            <w:pPr>
              <w:pStyle w:val="a3"/>
              <w:tabs>
                <w:tab w:val="left" w:pos="227"/>
                <w:tab w:val="left" w:pos="397"/>
                <w:tab w:val="left" w:pos="567"/>
              </w:tabs>
              <w:spacing w:line="220" w:lineRule="exact"/>
              <w:rPr>
                <w:b/>
                <w:bCs/>
                <w:szCs w:val="22"/>
              </w:rPr>
            </w:pPr>
            <w:r w:rsidRPr="00892691">
              <w:rPr>
                <w:rFonts w:hint="eastAsia"/>
                <w:b/>
                <w:bCs/>
                <w:szCs w:val="22"/>
                <w:rtl/>
              </w:rPr>
              <w:t>התחייבויות</w:t>
            </w:r>
            <w:r w:rsidRPr="00892691">
              <w:rPr>
                <w:b/>
                <w:bCs/>
                <w:szCs w:val="22"/>
                <w:rtl/>
              </w:rPr>
              <w:t xml:space="preserve"> </w:t>
            </w:r>
            <w:r w:rsidRPr="00892691">
              <w:rPr>
                <w:rFonts w:hint="eastAsia"/>
                <w:b/>
                <w:bCs/>
                <w:szCs w:val="22"/>
                <w:rtl/>
              </w:rPr>
              <w:t>תפעוליות</w:t>
            </w:r>
          </w:p>
        </w:tc>
        <w:tc>
          <w:tcPr>
            <w:tcW w:w="113" w:type="dxa"/>
          </w:tcPr>
          <w:p w14:paraId="3FD84E8F"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vAlign w:val="bottom"/>
          </w:tcPr>
          <w:p w14:paraId="684AA38E" w14:textId="77777777" w:rsidR="00FE1EC1" w:rsidRPr="00254D41" w:rsidRDefault="00FE1EC1" w:rsidP="00170452">
            <w:pPr>
              <w:tabs>
                <w:tab w:val="decimal" w:pos="113"/>
              </w:tabs>
              <w:spacing w:line="220" w:lineRule="exact"/>
              <w:ind w:left="57"/>
              <w:rPr>
                <w:szCs w:val="22"/>
              </w:rPr>
            </w:pPr>
          </w:p>
        </w:tc>
        <w:tc>
          <w:tcPr>
            <w:tcW w:w="140" w:type="dxa"/>
            <w:tcBorders>
              <w:left w:val="nil"/>
            </w:tcBorders>
          </w:tcPr>
          <w:p w14:paraId="1271761A" w14:textId="77777777" w:rsidR="00FE1EC1" w:rsidRPr="00254D41" w:rsidRDefault="00FE1EC1" w:rsidP="00170452">
            <w:pPr>
              <w:tabs>
                <w:tab w:val="decimal" w:pos="113"/>
              </w:tabs>
              <w:spacing w:line="220" w:lineRule="exact"/>
              <w:ind w:left="57"/>
              <w:rPr>
                <w:szCs w:val="22"/>
              </w:rPr>
            </w:pPr>
          </w:p>
        </w:tc>
        <w:tc>
          <w:tcPr>
            <w:tcW w:w="1043" w:type="dxa"/>
            <w:tcBorders>
              <w:left w:val="nil"/>
              <w:right w:val="nil"/>
            </w:tcBorders>
            <w:vAlign w:val="bottom"/>
          </w:tcPr>
          <w:p w14:paraId="25CC6C0F" w14:textId="77777777" w:rsidR="00FE1EC1" w:rsidRPr="00254D41" w:rsidRDefault="00FE1EC1" w:rsidP="00170452">
            <w:pPr>
              <w:tabs>
                <w:tab w:val="decimal" w:pos="113"/>
              </w:tabs>
              <w:spacing w:line="220" w:lineRule="exact"/>
              <w:ind w:left="57"/>
              <w:rPr>
                <w:szCs w:val="22"/>
              </w:rPr>
            </w:pPr>
          </w:p>
        </w:tc>
        <w:tc>
          <w:tcPr>
            <w:tcW w:w="140" w:type="dxa"/>
          </w:tcPr>
          <w:p w14:paraId="2E5A4029" w14:textId="77777777" w:rsidR="00FE1EC1" w:rsidRPr="00254D41" w:rsidRDefault="00FE1EC1" w:rsidP="00170452">
            <w:pPr>
              <w:tabs>
                <w:tab w:val="decimal" w:pos="113"/>
              </w:tabs>
              <w:spacing w:line="220" w:lineRule="exact"/>
              <w:ind w:left="57"/>
              <w:rPr>
                <w:szCs w:val="22"/>
              </w:rPr>
            </w:pPr>
          </w:p>
        </w:tc>
        <w:tc>
          <w:tcPr>
            <w:tcW w:w="804" w:type="dxa"/>
            <w:tcBorders>
              <w:left w:val="nil"/>
              <w:right w:val="nil"/>
            </w:tcBorders>
            <w:vAlign w:val="bottom"/>
          </w:tcPr>
          <w:p w14:paraId="575C2E06" w14:textId="77777777" w:rsidR="00FE1EC1" w:rsidRPr="00254D41" w:rsidRDefault="00FE1EC1" w:rsidP="00170452">
            <w:pPr>
              <w:tabs>
                <w:tab w:val="decimal" w:pos="113"/>
              </w:tabs>
              <w:spacing w:line="220" w:lineRule="exact"/>
              <w:ind w:left="57"/>
              <w:rPr>
                <w:szCs w:val="22"/>
              </w:rPr>
            </w:pPr>
          </w:p>
        </w:tc>
        <w:tc>
          <w:tcPr>
            <w:tcW w:w="140" w:type="dxa"/>
          </w:tcPr>
          <w:p w14:paraId="065E80D0" w14:textId="77777777" w:rsidR="00FE1EC1" w:rsidRPr="00254D41" w:rsidRDefault="00FE1EC1" w:rsidP="00170452">
            <w:pPr>
              <w:tabs>
                <w:tab w:val="decimal" w:pos="113"/>
              </w:tabs>
              <w:spacing w:line="220" w:lineRule="exact"/>
              <w:ind w:left="57"/>
              <w:rPr>
                <w:szCs w:val="22"/>
              </w:rPr>
            </w:pPr>
          </w:p>
        </w:tc>
        <w:tc>
          <w:tcPr>
            <w:tcW w:w="804" w:type="dxa"/>
            <w:tcBorders>
              <w:left w:val="nil"/>
              <w:right w:val="nil"/>
            </w:tcBorders>
            <w:vAlign w:val="bottom"/>
          </w:tcPr>
          <w:p w14:paraId="72805CDD" w14:textId="77777777" w:rsidR="00FE1EC1" w:rsidRPr="00254D41" w:rsidRDefault="00FE1EC1" w:rsidP="00170452">
            <w:pPr>
              <w:tabs>
                <w:tab w:val="decimal" w:pos="113"/>
              </w:tabs>
              <w:spacing w:line="220" w:lineRule="exact"/>
              <w:ind w:left="57"/>
              <w:rPr>
                <w:szCs w:val="22"/>
              </w:rPr>
            </w:pPr>
          </w:p>
        </w:tc>
        <w:tc>
          <w:tcPr>
            <w:tcW w:w="140" w:type="dxa"/>
          </w:tcPr>
          <w:p w14:paraId="4177780E" w14:textId="77777777" w:rsidR="00FE1EC1" w:rsidRPr="00254D41" w:rsidRDefault="00FE1EC1" w:rsidP="00170452">
            <w:pPr>
              <w:tabs>
                <w:tab w:val="decimal" w:pos="113"/>
              </w:tabs>
              <w:spacing w:line="220" w:lineRule="exact"/>
              <w:ind w:left="57"/>
              <w:rPr>
                <w:szCs w:val="22"/>
              </w:rPr>
            </w:pPr>
          </w:p>
        </w:tc>
        <w:tc>
          <w:tcPr>
            <w:tcW w:w="804" w:type="dxa"/>
            <w:tcBorders>
              <w:left w:val="nil"/>
              <w:right w:val="nil"/>
            </w:tcBorders>
            <w:vAlign w:val="bottom"/>
          </w:tcPr>
          <w:p w14:paraId="1F458EF9" w14:textId="77777777" w:rsidR="00FE1EC1" w:rsidRPr="00254D41" w:rsidRDefault="00FE1EC1" w:rsidP="00170452">
            <w:pPr>
              <w:tabs>
                <w:tab w:val="decimal" w:pos="113"/>
              </w:tabs>
              <w:spacing w:line="220" w:lineRule="exact"/>
              <w:ind w:left="57"/>
              <w:rPr>
                <w:szCs w:val="22"/>
              </w:rPr>
            </w:pPr>
          </w:p>
        </w:tc>
        <w:tc>
          <w:tcPr>
            <w:tcW w:w="110" w:type="dxa"/>
          </w:tcPr>
          <w:p w14:paraId="4A8AB0C9" w14:textId="77777777" w:rsidR="00FE1EC1" w:rsidRPr="00254D41" w:rsidRDefault="00FE1EC1" w:rsidP="00170452">
            <w:pPr>
              <w:tabs>
                <w:tab w:val="decimal" w:pos="113"/>
              </w:tabs>
              <w:spacing w:line="220" w:lineRule="exact"/>
              <w:ind w:left="57"/>
              <w:rPr>
                <w:szCs w:val="22"/>
              </w:rPr>
            </w:pPr>
          </w:p>
        </w:tc>
        <w:tc>
          <w:tcPr>
            <w:tcW w:w="804" w:type="dxa"/>
            <w:tcBorders>
              <w:left w:val="nil"/>
              <w:right w:val="nil"/>
            </w:tcBorders>
            <w:vAlign w:val="bottom"/>
          </w:tcPr>
          <w:p w14:paraId="45ACF00D" w14:textId="77777777" w:rsidR="00FE1EC1" w:rsidRPr="00254D41" w:rsidRDefault="00FE1EC1" w:rsidP="00170452">
            <w:pPr>
              <w:tabs>
                <w:tab w:val="decimal" w:pos="113"/>
              </w:tabs>
              <w:spacing w:line="220" w:lineRule="exact"/>
              <w:ind w:left="57"/>
              <w:rPr>
                <w:szCs w:val="22"/>
              </w:rPr>
            </w:pPr>
          </w:p>
        </w:tc>
      </w:tr>
      <w:tr w:rsidR="00A53C75" w:rsidRPr="00254D41" w14:paraId="26DDE087" w14:textId="77777777" w:rsidTr="00E72837">
        <w:tc>
          <w:tcPr>
            <w:tcW w:w="2329" w:type="dxa"/>
            <w:vAlign w:val="bottom"/>
          </w:tcPr>
          <w:p w14:paraId="150D831D" w14:textId="150AC1AC" w:rsidR="00FE1EC1" w:rsidRPr="00254D41" w:rsidRDefault="00FE1EC1" w:rsidP="008A629F">
            <w:pPr>
              <w:pStyle w:val="a3"/>
              <w:tabs>
                <w:tab w:val="left" w:pos="227"/>
                <w:tab w:val="left" w:pos="397"/>
                <w:tab w:val="left" w:pos="567"/>
              </w:tabs>
              <w:spacing w:line="220" w:lineRule="exact"/>
              <w:ind w:left="227" w:hanging="170"/>
              <w:rPr>
                <w:szCs w:val="22"/>
              </w:rPr>
            </w:pPr>
            <w:r>
              <w:rPr>
                <w:rFonts w:hint="cs"/>
                <w:szCs w:val="22"/>
                <w:rtl/>
              </w:rPr>
              <w:t xml:space="preserve">30 בספטמבר, </w:t>
            </w:r>
            <w:r w:rsidR="004A4A6B">
              <w:rPr>
                <w:rFonts w:hint="cs"/>
                <w:szCs w:val="22"/>
                <w:rtl/>
              </w:rPr>
              <w:t>201</w:t>
            </w:r>
            <w:r w:rsidR="008A629F">
              <w:rPr>
                <w:rFonts w:hint="cs"/>
                <w:szCs w:val="22"/>
                <w:rtl/>
              </w:rPr>
              <w:t>9</w:t>
            </w:r>
            <w:r>
              <w:rPr>
                <w:rFonts w:hint="cs"/>
                <w:szCs w:val="22"/>
                <w:rtl/>
              </w:rPr>
              <w:t xml:space="preserve"> (בלתי מבוקר)</w:t>
            </w:r>
          </w:p>
        </w:tc>
        <w:tc>
          <w:tcPr>
            <w:tcW w:w="113" w:type="dxa"/>
          </w:tcPr>
          <w:p w14:paraId="426BBB5D"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nil"/>
              <w:left w:val="nil"/>
              <w:bottom w:val="double" w:sz="4" w:space="0" w:color="auto"/>
              <w:right w:val="nil"/>
            </w:tcBorders>
            <w:vAlign w:val="bottom"/>
          </w:tcPr>
          <w:p w14:paraId="39FFB1BB" w14:textId="77777777" w:rsidR="00FE1EC1" w:rsidRPr="00254D41" w:rsidRDefault="00FE1EC1" w:rsidP="00170452">
            <w:pPr>
              <w:tabs>
                <w:tab w:val="decimal" w:pos="113"/>
              </w:tabs>
              <w:spacing w:line="220" w:lineRule="exact"/>
              <w:ind w:left="57"/>
              <w:rPr>
                <w:szCs w:val="22"/>
              </w:rPr>
            </w:pPr>
          </w:p>
        </w:tc>
        <w:tc>
          <w:tcPr>
            <w:tcW w:w="140" w:type="dxa"/>
          </w:tcPr>
          <w:p w14:paraId="21522FB2" w14:textId="77777777" w:rsidR="00FE1EC1" w:rsidRPr="00254D41" w:rsidRDefault="00FE1EC1" w:rsidP="00170452">
            <w:pPr>
              <w:tabs>
                <w:tab w:val="decimal" w:pos="113"/>
              </w:tabs>
              <w:spacing w:line="220" w:lineRule="exact"/>
              <w:ind w:left="57"/>
              <w:rPr>
                <w:szCs w:val="22"/>
              </w:rPr>
            </w:pPr>
          </w:p>
        </w:tc>
        <w:tc>
          <w:tcPr>
            <w:tcW w:w="1043" w:type="dxa"/>
            <w:tcBorders>
              <w:top w:val="nil"/>
              <w:left w:val="nil"/>
              <w:bottom w:val="double" w:sz="4" w:space="0" w:color="auto"/>
              <w:right w:val="nil"/>
            </w:tcBorders>
            <w:vAlign w:val="bottom"/>
          </w:tcPr>
          <w:p w14:paraId="68FC948E" w14:textId="77777777" w:rsidR="00FE1EC1" w:rsidRPr="00254D41" w:rsidRDefault="00FE1EC1" w:rsidP="00170452">
            <w:pPr>
              <w:tabs>
                <w:tab w:val="decimal" w:pos="113"/>
              </w:tabs>
              <w:spacing w:line="220" w:lineRule="exact"/>
              <w:ind w:left="57"/>
              <w:rPr>
                <w:szCs w:val="22"/>
              </w:rPr>
            </w:pPr>
          </w:p>
        </w:tc>
        <w:tc>
          <w:tcPr>
            <w:tcW w:w="140" w:type="dxa"/>
          </w:tcPr>
          <w:p w14:paraId="3CDC0412"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5F950360" w14:textId="77777777" w:rsidR="00FE1EC1" w:rsidRPr="00254D41" w:rsidRDefault="00FE1EC1" w:rsidP="00170452">
            <w:pPr>
              <w:tabs>
                <w:tab w:val="decimal" w:pos="113"/>
              </w:tabs>
              <w:spacing w:line="220" w:lineRule="exact"/>
              <w:ind w:left="57"/>
              <w:rPr>
                <w:szCs w:val="22"/>
              </w:rPr>
            </w:pPr>
          </w:p>
        </w:tc>
        <w:tc>
          <w:tcPr>
            <w:tcW w:w="140" w:type="dxa"/>
          </w:tcPr>
          <w:p w14:paraId="72AF55BC"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4B7901A9" w14:textId="77777777" w:rsidR="00FE1EC1" w:rsidRPr="00254D41" w:rsidRDefault="00FE1EC1" w:rsidP="00170452">
            <w:pPr>
              <w:tabs>
                <w:tab w:val="decimal" w:pos="113"/>
              </w:tabs>
              <w:spacing w:line="220" w:lineRule="exact"/>
              <w:ind w:left="57"/>
              <w:rPr>
                <w:szCs w:val="22"/>
              </w:rPr>
            </w:pPr>
          </w:p>
        </w:tc>
        <w:tc>
          <w:tcPr>
            <w:tcW w:w="140" w:type="dxa"/>
          </w:tcPr>
          <w:p w14:paraId="7C418DAD"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79E52B84" w14:textId="77777777" w:rsidR="00FE1EC1" w:rsidRPr="00254D41" w:rsidRDefault="00FE1EC1" w:rsidP="00170452">
            <w:pPr>
              <w:tabs>
                <w:tab w:val="decimal" w:pos="113"/>
              </w:tabs>
              <w:spacing w:line="220" w:lineRule="exact"/>
              <w:ind w:left="57"/>
              <w:rPr>
                <w:szCs w:val="22"/>
              </w:rPr>
            </w:pPr>
          </w:p>
        </w:tc>
        <w:tc>
          <w:tcPr>
            <w:tcW w:w="110" w:type="dxa"/>
          </w:tcPr>
          <w:p w14:paraId="67C368F4"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shd w:val="clear" w:color="auto" w:fill="auto"/>
            <w:vAlign w:val="bottom"/>
          </w:tcPr>
          <w:p w14:paraId="4E9E382C" w14:textId="77777777" w:rsidR="00FE1EC1" w:rsidRPr="00254D41" w:rsidRDefault="00FE1EC1" w:rsidP="00170452">
            <w:pPr>
              <w:tabs>
                <w:tab w:val="decimal" w:pos="113"/>
              </w:tabs>
              <w:spacing w:line="220" w:lineRule="exact"/>
              <w:ind w:left="57"/>
              <w:rPr>
                <w:szCs w:val="22"/>
              </w:rPr>
            </w:pPr>
          </w:p>
        </w:tc>
      </w:tr>
      <w:tr w:rsidR="00A53C75" w:rsidRPr="00254D41" w14:paraId="7AE5724E" w14:textId="77777777" w:rsidTr="00E72837">
        <w:tc>
          <w:tcPr>
            <w:tcW w:w="2329" w:type="dxa"/>
            <w:vAlign w:val="bottom"/>
          </w:tcPr>
          <w:p w14:paraId="28FB6E24" w14:textId="77777777" w:rsidR="00FE1EC1" w:rsidRDefault="00FE1EC1" w:rsidP="00170452">
            <w:pPr>
              <w:pStyle w:val="a3"/>
              <w:tabs>
                <w:tab w:val="left" w:pos="227"/>
                <w:tab w:val="left" w:pos="397"/>
                <w:tab w:val="left" w:pos="567"/>
              </w:tabs>
              <w:spacing w:line="220" w:lineRule="exact"/>
              <w:ind w:left="227" w:hanging="170"/>
              <w:rPr>
                <w:szCs w:val="22"/>
                <w:rtl/>
              </w:rPr>
            </w:pPr>
          </w:p>
        </w:tc>
        <w:tc>
          <w:tcPr>
            <w:tcW w:w="113" w:type="dxa"/>
          </w:tcPr>
          <w:p w14:paraId="50BD1F69"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double" w:sz="4" w:space="0" w:color="auto"/>
              <w:left w:val="nil"/>
              <w:bottom w:val="nil"/>
              <w:right w:val="nil"/>
            </w:tcBorders>
            <w:vAlign w:val="bottom"/>
          </w:tcPr>
          <w:p w14:paraId="026AF22A" w14:textId="77777777" w:rsidR="00FE1EC1" w:rsidRPr="00254D41" w:rsidRDefault="00FE1EC1" w:rsidP="00170452">
            <w:pPr>
              <w:tabs>
                <w:tab w:val="decimal" w:pos="113"/>
              </w:tabs>
              <w:spacing w:line="220" w:lineRule="exact"/>
              <w:ind w:left="57"/>
              <w:rPr>
                <w:szCs w:val="22"/>
              </w:rPr>
            </w:pPr>
          </w:p>
        </w:tc>
        <w:tc>
          <w:tcPr>
            <w:tcW w:w="140" w:type="dxa"/>
          </w:tcPr>
          <w:p w14:paraId="5BD8E1C4" w14:textId="77777777" w:rsidR="00FE1EC1" w:rsidRPr="00254D41" w:rsidRDefault="00FE1EC1" w:rsidP="00170452">
            <w:pPr>
              <w:tabs>
                <w:tab w:val="decimal" w:pos="113"/>
              </w:tabs>
              <w:spacing w:line="220" w:lineRule="exact"/>
              <w:ind w:left="57"/>
              <w:rPr>
                <w:szCs w:val="22"/>
              </w:rPr>
            </w:pPr>
          </w:p>
        </w:tc>
        <w:tc>
          <w:tcPr>
            <w:tcW w:w="1043" w:type="dxa"/>
            <w:tcBorders>
              <w:top w:val="double" w:sz="4" w:space="0" w:color="auto"/>
              <w:left w:val="nil"/>
              <w:bottom w:val="nil"/>
              <w:right w:val="nil"/>
            </w:tcBorders>
            <w:vAlign w:val="bottom"/>
          </w:tcPr>
          <w:p w14:paraId="2A59F200" w14:textId="77777777" w:rsidR="00FE1EC1" w:rsidRPr="00254D41" w:rsidRDefault="00FE1EC1" w:rsidP="00170452">
            <w:pPr>
              <w:tabs>
                <w:tab w:val="decimal" w:pos="113"/>
              </w:tabs>
              <w:spacing w:line="220" w:lineRule="exact"/>
              <w:ind w:left="57"/>
              <w:rPr>
                <w:szCs w:val="22"/>
              </w:rPr>
            </w:pPr>
          </w:p>
        </w:tc>
        <w:tc>
          <w:tcPr>
            <w:tcW w:w="140" w:type="dxa"/>
          </w:tcPr>
          <w:p w14:paraId="57A5B3A7"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bottom w:val="nil"/>
              <w:right w:val="nil"/>
            </w:tcBorders>
            <w:vAlign w:val="bottom"/>
          </w:tcPr>
          <w:p w14:paraId="0AE9FCB7" w14:textId="77777777" w:rsidR="00FE1EC1" w:rsidRPr="00254D41" w:rsidRDefault="00FE1EC1" w:rsidP="00170452">
            <w:pPr>
              <w:tabs>
                <w:tab w:val="decimal" w:pos="113"/>
              </w:tabs>
              <w:spacing w:line="220" w:lineRule="exact"/>
              <w:ind w:left="57"/>
              <w:rPr>
                <w:szCs w:val="22"/>
              </w:rPr>
            </w:pPr>
          </w:p>
        </w:tc>
        <w:tc>
          <w:tcPr>
            <w:tcW w:w="140" w:type="dxa"/>
          </w:tcPr>
          <w:p w14:paraId="4D90B34C"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bottom w:val="nil"/>
              <w:right w:val="nil"/>
            </w:tcBorders>
            <w:vAlign w:val="bottom"/>
          </w:tcPr>
          <w:p w14:paraId="433B5B00" w14:textId="77777777" w:rsidR="00FE1EC1" w:rsidRPr="00254D41" w:rsidRDefault="00FE1EC1" w:rsidP="00170452">
            <w:pPr>
              <w:tabs>
                <w:tab w:val="decimal" w:pos="113"/>
              </w:tabs>
              <w:spacing w:line="220" w:lineRule="exact"/>
              <w:ind w:left="57"/>
              <w:rPr>
                <w:szCs w:val="22"/>
              </w:rPr>
            </w:pPr>
          </w:p>
        </w:tc>
        <w:tc>
          <w:tcPr>
            <w:tcW w:w="140" w:type="dxa"/>
          </w:tcPr>
          <w:p w14:paraId="571EFA85"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bottom w:val="nil"/>
              <w:right w:val="nil"/>
            </w:tcBorders>
            <w:vAlign w:val="bottom"/>
          </w:tcPr>
          <w:p w14:paraId="5A7DB341" w14:textId="77777777" w:rsidR="00FE1EC1" w:rsidRPr="00254D41" w:rsidRDefault="00FE1EC1" w:rsidP="00170452">
            <w:pPr>
              <w:tabs>
                <w:tab w:val="decimal" w:pos="113"/>
              </w:tabs>
              <w:spacing w:line="220" w:lineRule="exact"/>
              <w:ind w:left="57"/>
              <w:rPr>
                <w:szCs w:val="22"/>
              </w:rPr>
            </w:pPr>
          </w:p>
        </w:tc>
        <w:tc>
          <w:tcPr>
            <w:tcW w:w="110" w:type="dxa"/>
          </w:tcPr>
          <w:p w14:paraId="2352B6E2"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right w:val="nil"/>
            </w:tcBorders>
            <w:shd w:val="clear" w:color="auto" w:fill="auto"/>
            <w:vAlign w:val="bottom"/>
          </w:tcPr>
          <w:p w14:paraId="373EAFA7" w14:textId="77777777" w:rsidR="00FE1EC1" w:rsidRPr="00254D41" w:rsidRDefault="00FE1EC1" w:rsidP="00170452">
            <w:pPr>
              <w:tabs>
                <w:tab w:val="decimal" w:pos="113"/>
              </w:tabs>
              <w:spacing w:line="220" w:lineRule="exact"/>
              <w:ind w:left="57"/>
              <w:rPr>
                <w:szCs w:val="22"/>
              </w:rPr>
            </w:pPr>
          </w:p>
        </w:tc>
      </w:tr>
      <w:tr w:rsidR="00A53C75" w:rsidRPr="00254D41" w14:paraId="13819C3A" w14:textId="77777777" w:rsidTr="00E72837">
        <w:tc>
          <w:tcPr>
            <w:tcW w:w="2329" w:type="dxa"/>
            <w:vAlign w:val="bottom"/>
          </w:tcPr>
          <w:p w14:paraId="4F5F15F8" w14:textId="24BF70A5" w:rsidR="00FE1EC1" w:rsidRPr="00254D41" w:rsidRDefault="00FE1EC1" w:rsidP="008A629F">
            <w:pPr>
              <w:pStyle w:val="a3"/>
              <w:tabs>
                <w:tab w:val="left" w:pos="227"/>
                <w:tab w:val="left" w:pos="397"/>
                <w:tab w:val="left" w:pos="567"/>
              </w:tabs>
              <w:spacing w:line="220" w:lineRule="exact"/>
              <w:ind w:left="227" w:hanging="170"/>
              <w:rPr>
                <w:szCs w:val="22"/>
                <w:rtl/>
              </w:rPr>
            </w:pPr>
            <w:r>
              <w:rPr>
                <w:rFonts w:hint="cs"/>
                <w:szCs w:val="22"/>
                <w:rtl/>
              </w:rPr>
              <w:t xml:space="preserve">31 בדצמבר, </w:t>
            </w:r>
            <w:r w:rsidR="004F7D3D">
              <w:rPr>
                <w:rFonts w:hint="cs"/>
                <w:szCs w:val="22"/>
                <w:rtl/>
              </w:rPr>
              <w:t>201</w:t>
            </w:r>
            <w:r w:rsidR="008A629F">
              <w:rPr>
                <w:rFonts w:hint="cs"/>
                <w:szCs w:val="22"/>
                <w:rtl/>
              </w:rPr>
              <w:t>8</w:t>
            </w:r>
            <w:r>
              <w:rPr>
                <w:rFonts w:hint="cs"/>
                <w:szCs w:val="22"/>
                <w:rtl/>
              </w:rPr>
              <w:t xml:space="preserve"> (מבוקר) </w:t>
            </w:r>
          </w:p>
        </w:tc>
        <w:tc>
          <w:tcPr>
            <w:tcW w:w="113" w:type="dxa"/>
          </w:tcPr>
          <w:p w14:paraId="0DDA99D9"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nil"/>
              <w:left w:val="nil"/>
              <w:bottom w:val="double" w:sz="6" w:space="0" w:color="auto"/>
              <w:right w:val="nil"/>
            </w:tcBorders>
            <w:vAlign w:val="bottom"/>
          </w:tcPr>
          <w:p w14:paraId="164CC9A4" w14:textId="77777777" w:rsidR="00FE1EC1" w:rsidRPr="00254D41" w:rsidRDefault="00FE1EC1" w:rsidP="00170452">
            <w:pPr>
              <w:tabs>
                <w:tab w:val="decimal" w:pos="113"/>
              </w:tabs>
              <w:spacing w:line="220" w:lineRule="exact"/>
              <w:ind w:left="57"/>
              <w:rPr>
                <w:szCs w:val="22"/>
              </w:rPr>
            </w:pPr>
          </w:p>
        </w:tc>
        <w:tc>
          <w:tcPr>
            <w:tcW w:w="140" w:type="dxa"/>
          </w:tcPr>
          <w:p w14:paraId="1AE047B6" w14:textId="77777777" w:rsidR="00FE1EC1" w:rsidRPr="00254D41" w:rsidRDefault="00FE1EC1" w:rsidP="00170452">
            <w:pPr>
              <w:tabs>
                <w:tab w:val="decimal" w:pos="113"/>
              </w:tabs>
              <w:spacing w:line="220" w:lineRule="exact"/>
              <w:ind w:left="57"/>
              <w:rPr>
                <w:szCs w:val="22"/>
              </w:rPr>
            </w:pPr>
          </w:p>
        </w:tc>
        <w:tc>
          <w:tcPr>
            <w:tcW w:w="1043" w:type="dxa"/>
            <w:tcBorders>
              <w:top w:val="nil"/>
              <w:left w:val="nil"/>
              <w:bottom w:val="double" w:sz="6" w:space="0" w:color="auto"/>
              <w:right w:val="nil"/>
            </w:tcBorders>
            <w:vAlign w:val="bottom"/>
          </w:tcPr>
          <w:p w14:paraId="292BCE43" w14:textId="77777777" w:rsidR="00FE1EC1" w:rsidRPr="00254D41" w:rsidRDefault="00FE1EC1" w:rsidP="00170452">
            <w:pPr>
              <w:tabs>
                <w:tab w:val="decimal" w:pos="113"/>
              </w:tabs>
              <w:spacing w:line="220" w:lineRule="exact"/>
              <w:ind w:left="57"/>
              <w:rPr>
                <w:szCs w:val="22"/>
              </w:rPr>
            </w:pPr>
          </w:p>
        </w:tc>
        <w:tc>
          <w:tcPr>
            <w:tcW w:w="140" w:type="dxa"/>
          </w:tcPr>
          <w:p w14:paraId="10949C36"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6" w:space="0" w:color="auto"/>
              <w:right w:val="nil"/>
            </w:tcBorders>
            <w:vAlign w:val="bottom"/>
          </w:tcPr>
          <w:p w14:paraId="30397C1D" w14:textId="77777777" w:rsidR="00FE1EC1" w:rsidRPr="00254D41" w:rsidRDefault="00FE1EC1" w:rsidP="00170452">
            <w:pPr>
              <w:tabs>
                <w:tab w:val="decimal" w:pos="113"/>
              </w:tabs>
              <w:spacing w:line="220" w:lineRule="exact"/>
              <w:ind w:left="57"/>
              <w:rPr>
                <w:szCs w:val="22"/>
              </w:rPr>
            </w:pPr>
          </w:p>
        </w:tc>
        <w:tc>
          <w:tcPr>
            <w:tcW w:w="140" w:type="dxa"/>
          </w:tcPr>
          <w:p w14:paraId="285B3CBA"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6" w:space="0" w:color="auto"/>
              <w:right w:val="nil"/>
            </w:tcBorders>
            <w:vAlign w:val="bottom"/>
          </w:tcPr>
          <w:p w14:paraId="4F357D64" w14:textId="77777777" w:rsidR="00FE1EC1" w:rsidRPr="00254D41" w:rsidRDefault="00FE1EC1" w:rsidP="00170452">
            <w:pPr>
              <w:tabs>
                <w:tab w:val="decimal" w:pos="113"/>
              </w:tabs>
              <w:spacing w:line="220" w:lineRule="exact"/>
              <w:ind w:left="57"/>
              <w:rPr>
                <w:szCs w:val="22"/>
              </w:rPr>
            </w:pPr>
          </w:p>
        </w:tc>
        <w:tc>
          <w:tcPr>
            <w:tcW w:w="140" w:type="dxa"/>
          </w:tcPr>
          <w:p w14:paraId="52184CA7"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6" w:space="0" w:color="auto"/>
              <w:right w:val="nil"/>
            </w:tcBorders>
            <w:vAlign w:val="bottom"/>
          </w:tcPr>
          <w:p w14:paraId="09418F05" w14:textId="77777777" w:rsidR="00FE1EC1" w:rsidRPr="00254D41" w:rsidRDefault="00FE1EC1" w:rsidP="00170452">
            <w:pPr>
              <w:tabs>
                <w:tab w:val="decimal" w:pos="113"/>
              </w:tabs>
              <w:spacing w:line="220" w:lineRule="exact"/>
              <w:ind w:left="57"/>
              <w:rPr>
                <w:szCs w:val="22"/>
              </w:rPr>
            </w:pPr>
          </w:p>
        </w:tc>
        <w:tc>
          <w:tcPr>
            <w:tcW w:w="110" w:type="dxa"/>
          </w:tcPr>
          <w:p w14:paraId="331858F5"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shd w:val="clear" w:color="auto" w:fill="auto"/>
            <w:vAlign w:val="bottom"/>
          </w:tcPr>
          <w:p w14:paraId="481973F0" w14:textId="77777777" w:rsidR="00FE1EC1" w:rsidRPr="00254D41" w:rsidRDefault="00FE1EC1" w:rsidP="00170452">
            <w:pPr>
              <w:tabs>
                <w:tab w:val="decimal" w:pos="113"/>
              </w:tabs>
              <w:spacing w:line="220" w:lineRule="exact"/>
              <w:ind w:left="57"/>
              <w:rPr>
                <w:szCs w:val="22"/>
              </w:rPr>
            </w:pPr>
          </w:p>
        </w:tc>
      </w:tr>
    </w:tbl>
    <w:p w14:paraId="6E530EF8" w14:textId="77777777" w:rsidR="00151B8D" w:rsidRDefault="005B3CD0" w:rsidP="00977A5A">
      <w:pPr>
        <w:pStyle w:val="11"/>
        <w:rPr>
          <w:rtl/>
        </w:rPr>
      </w:pPr>
      <w:r>
        <w:rPr>
          <w:rtl/>
        </w:rPr>
        <w:br w:type="page"/>
      </w:r>
    </w:p>
    <w:p w14:paraId="03723F40" w14:textId="77777777" w:rsidR="0097675E" w:rsidRDefault="0097675E" w:rsidP="00977A5A">
      <w:pPr>
        <w:pStyle w:val="11"/>
        <w:rPr>
          <w:rtl/>
        </w:rPr>
      </w:pPr>
    </w:p>
    <w:p w14:paraId="50F1372A" w14:textId="77777777" w:rsidR="00215B94" w:rsidRDefault="00215B94" w:rsidP="00977A5A">
      <w:pPr>
        <w:pStyle w:val="11"/>
        <w:rPr>
          <w:rtl/>
        </w:rPr>
      </w:pPr>
    </w:p>
    <w:p w14:paraId="50DE39F2" w14:textId="77777777" w:rsidR="003D46A8" w:rsidRDefault="00AB7D68">
      <w:pPr>
        <w:pStyle w:val="11"/>
        <w:rPr>
          <w:u w:val="single"/>
          <w:rtl/>
        </w:rPr>
      </w:pPr>
      <w:bookmarkStart w:id="56" w:name="_Toc290213646"/>
      <w:r>
        <w:rPr>
          <w:rFonts w:hint="cs"/>
          <w:rtl/>
        </w:rPr>
        <w:t xml:space="preserve">באור </w:t>
      </w:r>
      <w:r w:rsidR="00DB3160">
        <w:rPr>
          <w:rFonts w:hint="cs"/>
          <w:rtl/>
        </w:rPr>
        <w:t>17</w:t>
      </w:r>
      <w:r>
        <w:rPr>
          <w:rFonts w:hint="cs"/>
          <w:rtl/>
        </w:rPr>
        <w:t>: -</w:t>
      </w:r>
      <w:r>
        <w:rPr>
          <w:rFonts w:hint="cs"/>
          <w:rtl/>
        </w:rPr>
        <w:tab/>
      </w:r>
      <w:r>
        <w:rPr>
          <w:rFonts w:hint="cs"/>
          <w:u w:val="single"/>
          <w:rtl/>
        </w:rPr>
        <w:t xml:space="preserve">צירוף דוחות כספיים </w:t>
      </w:r>
      <w:r w:rsidR="00B21F52">
        <w:rPr>
          <w:rFonts w:hint="cs"/>
          <w:u w:val="single"/>
          <w:rtl/>
        </w:rPr>
        <w:t xml:space="preserve">או מידע תמציתי </w:t>
      </w:r>
      <w:r>
        <w:rPr>
          <w:rFonts w:hint="cs"/>
          <w:u w:val="single"/>
          <w:rtl/>
        </w:rPr>
        <w:t>של חברות כלולות</w:t>
      </w:r>
      <w:r w:rsidR="00CD5639">
        <w:rPr>
          <w:rFonts w:hint="cs"/>
          <w:u w:val="single"/>
          <w:rtl/>
        </w:rPr>
        <w:t xml:space="preserve"> וחברות בשליטה משותפת המטופלות לפי שיטת השווי המאזני</w:t>
      </w:r>
      <w:r w:rsidR="00977A5A" w:rsidRPr="00977A5A">
        <w:rPr>
          <w:rStyle w:val="ab"/>
          <w:rtl/>
        </w:rPr>
        <w:footnoteReference w:id="118"/>
      </w:r>
      <w:bookmarkEnd w:id="56"/>
    </w:p>
    <w:p w14:paraId="7861E422" w14:textId="77777777" w:rsidR="00AB7D68" w:rsidRDefault="00AB7D68">
      <w:pPr>
        <w:pStyle w:val="11"/>
        <w:rPr>
          <w:rtl/>
        </w:rPr>
      </w:pPr>
    </w:p>
    <w:p w14:paraId="5E79E9C8" w14:textId="77777777" w:rsidR="00AB7D68" w:rsidRDefault="004C2705">
      <w:pPr>
        <w:pStyle w:val="21"/>
        <w:rPr>
          <w:rtl/>
        </w:rPr>
      </w:pPr>
      <w:r>
        <w:rPr>
          <w:rFonts w:hint="cs"/>
          <w:rtl/>
        </w:rPr>
        <w:t>א.</w:t>
      </w:r>
      <w:r>
        <w:rPr>
          <w:rtl/>
        </w:rPr>
        <w:tab/>
      </w:r>
      <w:r w:rsidR="00AB7D68">
        <w:rPr>
          <w:rFonts w:hint="cs"/>
          <w:rtl/>
        </w:rPr>
        <w:t>החברה מצרפת</w:t>
      </w:r>
      <w:r w:rsidR="00255AB1">
        <w:rPr>
          <w:rStyle w:val="ab"/>
          <w:rtl/>
        </w:rPr>
        <w:footnoteReference w:id="119"/>
      </w:r>
      <w:r w:rsidR="00AB7D68">
        <w:rPr>
          <w:rFonts w:hint="cs"/>
          <w:rtl/>
        </w:rPr>
        <w:t xml:space="preserve"> לדוחותיה הכספיים את הדוחות הכספיים של החברות הכלולות </w:t>
      </w:r>
      <w:r w:rsidR="00A930B1">
        <w:rPr>
          <w:rFonts w:hint="cs"/>
          <w:rtl/>
        </w:rPr>
        <w:t>והחברות בשליטה משותפת המטופלות לפי שיטת השווי המאזני</w:t>
      </w:r>
      <w:r w:rsidR="00A930B1">
        <w:rPr>
          <w:rStyle w:val="ab"/>
          <w:rtl/>
        </w:rPr>
        <w:footnoteReference w:id="120"/>
      </w:r>
      <w:r w:rsidR="00A930B1">
        <w:rPr>
          <w:rFonts w:hint="cs"/>
          <w:rtl/>
        </w:rPr>
        <w:t xml:space="preserve"> </w:t>
      </w:r>
      <w:r w:rsidR="00AB7D68">
        <w:rPr>
          <w:rFonts w:hint="cs"/>
          <w:rtl/>
        </w:rPr>
        <w:t>הבאות:</w:t>
      </w:r>
    </w:p>
    <w:p w14:paraId="060A7A32" w14:textId="77777777" w:rsidR="00AB7D68" w:rsidRPr="00431E60" w:rsidRDefault="00AB7D68" w:rsidP="00151B8D">
      <w:pPr>
        <w:rPr>
          <w:rtl/>
        </w:rPr>
      </w:pPr>
    </w:p>
    <w:p w14:paraId="5AFE9027" w14:textId="77777777" w:rsidR="00AB7D68" w:rsidRDefault="00AB7D68" w:rsidP="00B267F5">
      <w:pPr>
        <w:pStyle w:val="30"/>
        <w:ind w:left="1701" w:firstLine="0"/>
        <w:rPr>
          <w:rtl/>
        </w:rPr>
      </w:pPr>
      <w:r>
        <w:rPr>
          <w:rFonts w:hint="cs"/>
          <w:rtl/>
        </w:rPr>
        <w:t xml:space="preserve">חברת </w:t>
      </w:r>
      <w:r>
        <w:rPr>
          <w:szCs w:val="22"/>
        </w:rPr>
        <w:t>X</w:t>
      </w:r>
      <w:r>
        <w:rPr>
          <w:rFonts w:hint="cs"/>
          <w:rtl/>
        </w:rPr>
        <w:t xml:space="preserve"> בע"מ.</w:t>
      </w:r>
    </w:p>
    <w:p w14:paraId="72ED06A6" w14:textId="77777777" w:rsidR="00AB7D68" w:rsidRDefault="00AB7D68" w:rsidP="00B267F5">
      <w:pPr>
        <w:pStyle w:val="30"/>
        <w:ind w:left="1701" w:firstLine="0"/>
        <w:rPr>
          <w:rtl/>
        </w:rPr>
      </w:pPr>
      <w:r>
        <w:rPr>
          <w:rFonts w:hint="cs"/>
          <w:rtl/>
        </w:rPr>
        <w:t xml:space="preserve">חברת </w:t>
      </w:r>
      <w:r>
        <w:rPr>
          <w:szCs w:val="22"/>
        </w:rPr>
        <w:t>Y</w:t>
      </w:r>
      <w:r>
        <w:rPr>
          <w:rFonts w:hint="cs"/>
          <w:rtl/>
        </w:rPr>
        <w:t xml:space="preserve"> בע"מ.</w:t>
      </w:r>
    </w:p>
    <w:p w14:paraId="0A251062" w14:textId="77777777" w:rsidR="00AB7D68" w:rsidRDefault="00AB7D68" w:rsidP="00B267F5">
      <w:pPr>
        <w:pStyle w:val="30"/>
        <w:ind w:left="1701" w:firstLine="0"/>
        <w:rPr>
          <w:rtl/>
        </w:rPr>
      </w:pPr>
      <w:r>
        <w:rPr>
          <w:rFonts w:hint="cs"/>
          <w:rtl/>
        </w:rPr>
        <w:t xml:space="preserve">חברת </w:t>
      </w:r>
      <w:r>
        <w:rPr>
          <w:szCs w:val="22"/>
        </w:rPr>
        <w:t>Z</w:t>
      </w:r>
      <w:r>
        <w:rPr>
          <w:rFonts w:hint="cs"/>
          <w:rtl/>
        </w:rPr>
        <w:t xml:space="preserve"> בע"מ.</w:t>
      </w:r>
    </w:p>
    <w:p w14:paraId="4AF23FAA" w14:textId="77777777" w:rsidR="00AB7D68" w:rsidRPr="00431E60" w:rsidRDefault="00AB7D68" w:rsidP="00151B8D">
      <w:pPr>
        <w:rPr>
          <w:rtl/>
        </w:rPr>
      </w:pPr>
    </w:p>
    <w:p w14:paraId="4A814236" w14:textId="498E5941" w:rsidR="004665A0" w:rsidRDefault="00AB7D68" w:rsidP="008A629F">
      <w:pPr>
        <w:pStyle w:val="30"/>
        <w:ind w:left="1701" w:firstLine="0"/>
        <w:rPr>
          <w:rtl/>
        </w:rPr>
      </w:pPr>
      <w:r>
        <w:rPr>
          <w:rFonts w:hint="cs"/>
          <w:rtl/>
        </w:rPr>
        <w:t xml:space="preserve">החברה אינה מצרפת את הדוחות הכספיים של חברה </w:t>
      </w:r>
      <w:r>
        <w:rPr>
          <w:szCs w:val="22"/>
        </w:rPr>
        <w:t>A</w:t>
      </w:r>
      <w:r>
        <w:rPr>
          <w:rFonts w:hint="cs"/>
          <w:rtl/>
        </w:rPr>
        <w:t xml:space="preserve"> בע"מ כיוון שדוחותיה הכספיים הינם חסרי משמעות ביחס לדוחות הכספיים של החברה. כמו כן לא מצורפים הדוחות הכספיים של חברה </w:t>
      </w:r>
      <w:r>
        <w:rPr>
          <w:szCs w:val="22"/>
        </w:rPr>
        <w:t>B</w:t>
      </w:r>
      <w:r>
        <w:rPr>
          <w:rFonts w:hint="cs"/>
          <w:rtl/>
        </w:rPr>
        <w:t xml:space="preserve"> בע"מ הואיל ולאחר </w:t>
      </w:r>
      <w:r w:rsidR="00FE0335">
        <w:rPr>
          <w:rFonts w:hint="cs"/>
          <w:rtl/>
        </w:rPr>
        <w:t>תקופת הדיווח</w:t>
      </w:r>
      <w:r>
        <w:rPr>
          <w:rFonts w:hint="cs"/>
          <w:rtl/>
        </w:rPr>
        <w:t xml:space="preserve"> חדלה חברה </w:t>
      </w:r>
      <w:r>
        <w:rPr>
          <w:szCs w:val="22"/>
        </w:rPr>
        <w:t>B</w:t>
      </w:r>
      <w:r>
        <w:rPr>
          <w:rFonts w:hint="cs"/>
          <w:rtl/>
        </w:rPr>
        <w:t xml:space="preserve"> </w:t>
      </w:r>
      <w:r w:rsidR="00D33F7C">
        <w:rPr>
          <w:rFonts w:hint="cs"/>
          <w:rtl/>
        </w:rPr>
        <w:t xml:space="preserve">בע"מ </w:t>
      </w:r>
      <w:r>
        <w:rPr>
          <w:rFonts w:hint="cs"/>
          <w:rtl/>
        </w:rPr>
        <w:t xml:space="preserve">מלהיות חברה כלולה של החברה בעקבות מכירתה במהלך הרבעון ___ של שנת </w:t>
      </w:r>
      <w:r w:rsidR="004A4A6B">
        <w:rPr>
          <w:rFonts w:hint="cs"/>
          <w:rtl/>
        </w:rPr>
        <w:t>201</w:t>
      </w:r>
      <w:r w:rsidR="008A629F">
        <w:rPr>
          <w:rFonts w:hint="cs"/>
          <w:rtl/>
        </w:rPr>
        <w:t>9</w:t>
      </w:r>
      <w:r>
        <w:rPr>
          <w:rFonts w:hint="cs"/>
          <w:rtl/>
        </w:rPr>
        <w:t>.</w:t>
      </w:r>
      <w:r w:rsidR="000A1918">
        <w:rPr>
          <w:rtl/>
        </w:rPr>
        <w:t xml:space="preserve"> </w:t>
      </w:r>
    </w:p>
    <w:p w14:paraId="5BD5E935" w14:textId="77777777" w:rsidR="00D87928" w:rsidRDefault="00D87928" w:rsidP="001A12F8">
      <w:pPr>
        <w:rPr>
          <w:rtl/>
        </w:rPr>
      </w:pPr>
    </w:p>
    <w:p w14:paraId="38607D0E" w14:textId="77777777" w:rsidR="00D87928" w:rsidRPr="00151B8D" w:rsidRDefault="00D87928" w:rsidP="00D87928">
      <w:pPr>
        <w:pStyle w:val="50"/>
        <w:shd w:val="clear" w:color="auto" w:fill="E0E0E0"/>
        <w:ind w:left="2268"/>
        <w:rPr>
          <w:sz w:val="18"/>
          <w:szCs w:val="20"/>
          <w:u w:val="single"/>
          <w:rtl/>
        </w:rPr>
      </w:pPr>
      <w:r w:rsidRPr="00151B8D">
        <w:rPr>
          <w:rFonts w:hint="cs"/>
          <w:sz w:val="18"/>
          <w:szCs w:val="20"/>
          <w:u w:val="single"/>
          <w:rtl/>
        </w:rPr>
        <w:t>הערה</w:t>
      </w:r>
    </w:p>
    <w:p w14:paraId="68AA6404" w14:textId="77777777" w:rsidR="003D46A8" w:rsidRPr="00151B8D" w:rsidRDefault="00D87928">
      <w:pPr>
        <w:pStyle w:val="41"/>
        <w:shd w:val="clear" w:color="auto" w:fill="E0E0E0"/>
        <w:tabs>
          <w:tab w:val="clear" w:pos="2268"/>
        </w:tabs>
        <w:ind w:left="1705" w:hanging="4"/>
        <w:rPr>
          <w:sz w:val="18"/>
          <w:szCs w:val="20"/>
          <w:rtl/>
        </w:rPr>
      </w:pPr>
      <w:r w:rsidRPr="00151B8D">
        <w:rPr>
          <w:rFonts w:hint="cs"/>
          <w:sz w:val="18"/>
          <w:szCs w:val="20"/>
          <w:rtl/>
        </w:rPr>
        <w:t xml:space="preserve">אם </w:t>
      </w:r>
      <w:r w:rsidR="007110C4" w:rsidRPr="00151B8D">
        <w:rPr>
          <w:rFonts w:hint="cs"/>
          <w:sz w:val="18"/>
          <w:szCs w:val="20"/>
          <w:rtl/>
        </w:rPr>
        <w:t xml:space="preserve">דוחות חברה כלולה מצורפים לראשונה בדוחות ביניים אלה, </w:t>
      </w:r>
      <w:r w:rsidRPr="00151B8D">
        <w:rPr>
          <w:rFonts w:hint="cs"/>
          <w:sz w:val="18"/>
          <w:szCs w:val="20"/>
          <w:rtl/>
        </w:rPr>
        <w:t xml:space="preserve">אזי נדרש לכלול בדוחות הביניים המצורפים של החברה הכלולה גם באור מדיניות חשבונאית שיושמה בדוחותיה הכספיים השנתיים האחרונים של החברה הכלולה. במידה שהדוחות המצורפים של החברה הכלולה אינם ערוכים על פי </w:t>
      </w:r>
      <w:r w:rsidRPr="00151B8D">
        <w:rPr>
          <w:sz w:val="18"/>
          <w:szCs w:val="20"/>
        </w:rPr>
        <w:t>IFRS</w:t>
      </w:r>
      <w:r w:rsidRPr="00151B8D">
        <w:rPr>
          <w:rFonts w:hint="cs"/>
          <w:sz w:val="18"/>
          <w:szCs w:val="20"/>
          <w:rtl/>
        </w:rPr>
        <w:t xml:space="preserve">, </w:t>
      </w:r>
      <w:r w:rsidR="00023717" w:rsidRPr="00151B8D">
        <w:rPr>
          <w:rFonts w:hint="cs"/>
          <w:sz w:val="18"/>
          <w:szCs w:val="20"/>
          <w:rtl/>
        </w:rPr>
        <w:t xml:space="preserve">אולם ערוכים לפי מערכת כללי חשבונאות מקיפה </w:t>
      </w:r>
      <w:r w:rsidR="00023717" w:rsidRPr="00151B8D">
        <w:rPr>
          <w:sz w:val="18"/>
          <w:szCs w:val="20"/>
        </w:rPr>
        <w:t>(comprehensive)</w:t>
      </w:r>
      <w:r w:rsidR="00023717" w:rsidRPr="00151B8D">
        <w:rPr>
          <w:rFonts w:hint="cs"/>
          <w:sz w:val="18"/>
          <w:szCs w:val="20"/>
          <w:rtl/>
        </w:rPr>
        <w:t xml:space="preserve"> ותוכן המידע בהם דומה בעיקרו לנדרש לפי </w:t>
      </w:r>
      <w:r w:rsidR="00023717" w:rsidRPr="00151B8D">
        <w:rPr>
          <w:sz w:val="18"/>
          <w:szCs w:val="20"/>
        </w:rPr>
        <w:t>IFRS</w:t>
      </w:r>
      <w:r w:rsidR="00023717" w:rsidRPr="00151B8D">
        <w:rPr>
          <w:rFonts w:hint="cs"/>
          <w:sz w:val="18"/>
          <w:szCs w:val="20"/>
          <w:rtl/>
        </w:rPr>
        <w:t xml:space="preserve">, אזי </w:t>
      </w:r>
      <w:r w:rsidRPr="00151B8D">
        <w:rPr>
          <w:rFonts w:hint="cs"/>
          <w:sz w:val="18"/>
          <w:szCs w:val="20"/>
          <w:rtl/>
        </w:rPr>
        <w:t>יש</w:t>
      </w:r>
      <w:r w:rsidR="00023717" w:rsidRPr="00151B8D">
        <w:rPr>
          <w:rFonts w:hint="cs"/>
          <w:sz w:val="18"/>
          <w:szCs w:val="20"/>
          <w:rtl/>
        </w:rPr>
        <w:t xml:space="preserve"> </w:t>
      </w:r>
      <w:r w:rsidRPr="00151B8D">
        <w:rPr>
          <w:rFonts w:hint="cs"/>
          <w:sz w:val="18"/>
          <w:szCs w:val="20"/>
          <w:rtl/>
        </w:rPr>
        <w:t>לכלול באור הכולל התאמות שנעשו בדוחותיה כדי להתאימם ל-</w:t>
      </w:r>
      <w:r w:rsidRPr="00151B8D">
        <w:rPr>
          <w:sz w:val="18"/>
          <w:szCs w:val="20"/>
        </w:rPr>
        <w:t>IFRS</w:t>
      </w:r>
      <w:r w:rsidRPr="00151B8D">
        <w:rPr>
          <w:rFonts w:hint="cs"/>
          <w:sz w:val="18"/>
          <w:szCs w:val="20"/>
          <w:rtl/>
        </w:rPr>
        <w:t>. ההתאמות הינן לגבי רווח נקי (הפסד), לגבי רווח (הפסד) כולל ולגבי סך ההון של החברה הכלולה. כמו כן, אם דוחות החברה הכלולה שצורפו אינם במטבע הדוחות של החברה, יצויין שער החליפין של המטבע בו הוצגו דוחות החברה הכלולה, לתאריך הדיווח, וכן יצויין השינוי שחל בו בשנת הדיווח.</w:t>
      </w:r>
    </w:p>
    <w:p w14:paraId="6BCBD6CD" w14:textId="77777777" w:rsidR="00D87928" w:rsidRPr="00151B8D" w:rsidRDefault="00D87928" w:rsidP="00D87928">
      <w:pPr>
        <w:pStyle w:val="41"/>
        <w:shd w:val="clear" w:color="auto" w:fill="E0E0E0"/>
        <w:tabs>
          <w:tab w:val="clear" w:pos="2268"/>
        </w:tabs>
        <w:ind w:left="1705" w:hanging="4"/>
        <w:rPr>
          <w:sz w:val="18"/>
          <w:szCs w:val="20"/>
        </w:rPr>
      </w:pPr>
      <w:r w:rsidRPr="00151B8D">
        <w:rPr>
          <w:rFonts w:hint="cs"/>
          <w:sz w:val="18"/>
          <w:szCs w:val="20"/>
          <w:rtl/>
        </w:rPr>
        <w:t>אם הדוחות אינם ערוכים בעברית או אנגלית, יש לתרגמם לעברית.</w:t>
      </w:r>
    </w:p>
    <w:p w14:paraId="05FC5F27" w14:textId="77777777" w:rsidR="002B0BE7" w:rsidRDefault="002B0BE7" w:rsidP="004C2705">
      <w:pPr>
        <w:pStyle w:val="41"/>
        <w:rPr>
          <w:rtl/>
        </w:rPr>
      </w:pPr>
    </w:p>
    <w:p w14:paraId="3DDB0534" w14:textId="77777777" w:rsidR="00F41C12" w:rsidRDefault="004C2705">
      <w:pPr>
        <w:pStyle w:val="21"/>
        <w:rPr>
          <w:rtl/>
        </w:rPr>
      </w:pPr>
      <w:r>
        <w:rPr>
          <w:rFonts w:hint="cs"/>
          <w:rtl/>
        </w:rPr>
        <w:t>ב</w:t>
      </w:r>
      <w:r w:rsidR="002B0BE7">
        <w:rPr>
          <w:rFonts w:hint="cs"/>
          <w:rtl/>
        </w:rPr>
        <w:t>.</w:t>
      </w:r>
      <w:r w:rsidRPr="007D64FF">
        <w:rPr>
          <w:rFonts w:hint="cs"/>
          <w:rtl/>
        </w:rPr>
        <w:t xml:space="preserve"> </w:t>
      </w:r>
      <w:r w:rsidRPr="007D64FF">
        <w:rPr>
          <w:rtl/>
        </w:rPr>
        <w:tab/>
      </w:r>
      <w:r w:rsidRPr="00272795">
        <w:rPr>
          <w:rFonts w:hint="cs"/>
          <w:u w:val="single"/>
          <w:rtl/>
        </w:rPr>
        <w:t>צירוף מידע תמציתי לכל אחת מהחברות הכלולות והחברות בשליטה משותפת המטופלות לפי שיטת השווי המאזני</w:t>
      </w:r>
      <w:r>
        <w:rPr>
          <w:rStyle w:val="ab"/>
          <w:rtl/>
        </w:rPr>
        <w:footnoteReference w:id="121"/>
      </w:r>
    </w:p>
    <w:p w14:paraId="166371E9" w14:textId="77777777" w:rsidR="004C2705" w:rsidRPr="007D64FF" w:rsidRDefault="004C2705" w:rsidP="001A12F8">
      <w:pPr>
        <w:rPr>
          <w:rtl/>
        </w:rPr>
      </w:pPr>
    </w:p>
    <w:p w14:paraId="0015BF35" w14:textId="77777777" w:rsidR="004C2705" w:rsidRPr="007D64FF" w:rsidRDefault="004C2705" w:rsidP="00CD5639">
      <w:pPr>
        <w:pStyle w:val="21"/>
        <w:rPr>
          <w:rtl/>
        </w:rPr>
      </w:pPr>
      <w:r w:rsidRPr="007D64FF">
        <w:rPr>
          <w:rtl/>
        </w:rPr>
        <w:tab/>
      </w:r>
      <w:r w:rsidRPr="007D64FF">
        <w:rPr>
          <w:rFonts w:hint="cs"/>
          <w:rtl/>
        </w:rPr>
        <w:t>להלן מידע תמציתי ביחס לכל אחת מהחברות הכלולות</w:t>
      </w:r>
      <w:r w:rsidR="00A930B1">
        <w:rPr>
          <w:rFonts w:hint="cs"/>
          <w:rtl/>
        </w:rPr>
        <w:t xml:space="preserve"> והחברות בשליטה משותפת המטופלות לפי שיטת השווי המאזני</w:t>
      </w:r>
      <w:r w:rsidR="00A930B1">
        <w:rPr>
          <w:rStyle w:val="ab"/>
          <w:rtl/>
        </w:rPr>
        <w:footnoteReference w:id="122"/>
      </w:r>
      <w:r w:rsidRPr="007D64FF">
        <w:rPr>
          <w:rFonts w:hint="cs"/>
          <w:rtl/>
        </w:rPr>
        <w:t xml:space="preserve">, </w:t>
      </w:r>
      <w:r>
        <w:rPr>
          <w:rFonts w:hint="cs"/>
          <w:rtl/>
        </w:rPr>
        <w:t>ל</w:t>
      </w:r>
      <w:r w:rsidRPr="007D64FF">
        <w:rPr>
          <w:rFonts w:hint="cs"/>
          <w:rtl/>
        </w:rPr>
        <w:t>כל אחת מתקופות הדיווח:</w:t>
      </w:r>
    </w:p>
    <w:p w14:paraId="5D54F346" w14:textId="77777777" w:rsidR="004C2705" w:rsidRPr="007D64FF" w:rsidRDefault="004C2705" w:rsidP="001A12F8">
      <w:pPr>
        <w:rPr>
          <w:rtl/>
        </w:rPr>
      </w:pPr>
    </w:p>
    <w:p w14:paraId="1F05A5EA" w14:textId="77777777" w:rsidR="004C2705" w:rsidRPr="007D64FF" w:rsidRDefault="004C2705" w:rsidP="00FE0335">
      <w:pPr>
        <w:pStyle w:val="21"/>
      </w:pPr>
      <w:r w:rsidRPr="007D64FF">
        <w:rPr>
          <w:rtl/>
        </w:rPr>
        <w:tab/>
      </w:r>
      <w:r w:rsidRPr="007D64FF">
        <w:rPr>
          <w:rFonts w:hint="cs"/>
          <w:rtl/>
        </w:rPr>
        <w:t xml:space="preserve">מידע תמציתי מתוך </w:t>
      </w:r>
      <w:r w:rsidR="00FE0335">
        <w:rPr>
          <w:rFonts w:hint="cs"/>
          <w:rtl/>
        </w:rPr>
        <w:t>הדוח על המצב הכספי</w:t>
      </w:r>
      <w:r>
        <w:rPr>
          <w:rFonts w:hint="cs"/>
          <w:rtl/>
        </w:rPr>
        <w:t>,</w:t>
      </w:r>
      <w:r w:rsidRPr="007D64FF">
        <w:rPr>
          <w:rFonts w:hint="cs"/>
          <w:rtl/>
        </w:rPr>
        <w:t xml:space="preserve"> </w:t>
      </w:r>
      <w:r>
        <w:rPr>
          <w:rFonts w:hint="cs"/>
          <w:rtl/>
        </w:rPr>
        <w:t xml:space="preserve">דוח רווח </w:t>
      </w:r>
      <w:r w:rsidR="00C2680E">
        <w:rPr>
          <w:rFonts w:hint="cs"/>
          <w:rtl/>
        </w:rPr>
        <w:t>א</w:t>
      </w:r>
      <w:r>
        <w:rPr>
          <w:rFonts w:hint="cs"/>
          <w:rtl/>
        </w:rPr>
        <w:t>ו</w:t>
      </w:r>
      <w:r w:rsidR="00C2680E">
        <w:rPr>
          <w:rFonts w:hint="cs"/>
          <w:rtl/>
        </w:rPr>
        <w:t xml:space="preserve"> </w:t>
      </w:r>
      <w:r>
        <w:rPr>
          <w:rFonts w:hint="cs"/>
          <w:rtl/>
        </w:rPr>
        <w:t xml:space="preserve">הפסד והדוח </w:t>
      </w:r>
      <w:r w:rsidRPr="007D64FF">
        <w:rPr>
          <w:rFonts w:hint="cs"/>
          <w:rtl/>
        </w:rPr>
        <w:t>על הרווח הכולל של חברת _________</w:t>
      </w:r>
      <w:r>
        <w:rPr>
          <w:rFonts w:hint="cs"/>
          <w:rtl/>
        </w:rPr>
        <w:t>:</w:t>
      </w:r>
    </w:p>
    <w:tbl>
      <w:tblPr>
        <w:bidiVisual/>
        <w:tblW w:w="0" w:type="auto"/>
        <w:tblInd w:w="1705" w:type="dxa"/>
        <w:tblLayout w:type="fixed"/>
        <w:tblCellMar>
          <w:left w:w="0" w:type="dxa"/>
          <w:right w:w="0" w:type="dxa"/>
        </w:tblCellMar>
        <w:tblLook w:val="01E0" w:firstRow="1" w:lastRow="1" w:firstColumn="1" w:lastColumn="1" w:noHBand="0" w:noVBand="0"/>
      </w:tblPr>
      <w:tblGrid>
        <w:gridCol w:w="3965"/>
        <w:gridCol w:w="113"/>
        <w:gridCol w:w="1105"/>
        <w:gridCol w:w="238"/>
        <w:gridCol w:w="1121"/>
        <w:gridCol w:w="236"/>
        <w:gridCol w:w="1189"/>
      </w:tblGrid>
      <w:tr w:rsidR="004C2705" w:rsidRPr="00E470B3" w14:paraId="7CC8ADB5" w14:textId="77777777" w:rsidTr="00E470B3">
        <w:tc>
          <w:tcPr>
            <w:tcW w:w="3965" w:type="dxa"/>
            <w:shd w:val="clear" w:color="auto" w:fill="auto"/>
            <w:vAlign w:val="bottom"/>
          </w:tcPr>
          <w:p w14:paraId="36BACF2F" w14:textId="77777777" w:rsidR="004C2705" w:rsidRPr="00E470B3" w:rsidRDefault="004C2705" w:rsidP="008B44A3">
            <w:pPr>
              <w:spacing w:line="240" w:lineRule="exact"/>
              <w:ind w:left="57"/>
              <w:rPr>
                <w:sz w:val="22"/>
                <w:rtl/>
              </w:rPr>
            </w:pPr>
          </w:p>
        </w:tc>
        <w:tc>
          <w:tcPr>
            <w:tcW w:w="113" w:type="dxa"/>
            <w:shd w:val="clear" w:color="auto" w:fill="auto"/>
            <w:vAlign w:val="bottom"/>
          </w:tcPr>
          <w:p w14:paraId="37AB1B5C" w14:textId="77777777" w:rsidR="004C2705" w:rsidRPr="00E470B3" w:rsidRDefault="004C2705" w:rsidP="008B44A3">
            <w:pPr>
              <w:spacing w:line="240" w:lineRule="exact"/>
              <w:rPr>
                <w:sz w:val="22"/>
                <w:rtl/>
              </w:rPr>
            </w:pPr>
          </w:p>
        </w:tc>
        <w:tc>
          <w:tcPr>
            <w:tcW w:w="2464" w:type="dxa"/>
            <w:gridSpan w:val="3"/>
            <w:tcBorders>
              <w:bottom w:val="single" w:sz="6" w:space="0" w:color="auto"/>
            </w:tcBorders>
            <w:shd w:val="clear" w:color="auto" w:fill="auto"/>
            <w:vAlign w:val="bottom"/>
          </w:tcPr>
          <w:p w14:paraId="3A4577BB" w14:textId="77777777" w:rsidR="004C2705" w:rsidRPr="00E470B3" w:rsidRDefault="00272795" w:rsidP="008B44A3">
            <w:pPr>
              <w:spacing w:line="240" w:lineRule="exact"/>
              <w:jc w:val="center"/>
              <w:rPr>
                <w:sz w:val="22"/>
                <w:rtl/>
              </w:rPr>
            </w:pPr>
            <w:r w:rsidRPr="00E470B3">
              <w:rPr>
                <w:rFonts w:hint="cs"/>
                <w:sz w:val="22"/>
                <w:rtl/>
              </w:rPr>
              <w:t>30 בספטמבר</w:t>
            </w:r>
          </w:p>
        </w:tc>
        <w:tc>
          <w:tcPr>
            <w:tcW w:w="236" w:type="dxa"/>
            <w:shd w:val="clear" w:color="auto" w:fill="auto"/>
            <w:vAlign w:val="bottom"/>
          </w:tcPr>
          <w:p w14:paraId="160F1C93" w14:textId="77777777" w:rsidR="004C2705" w:rsidRPr="00E470B3" w:rsidRDefault="004C2705" w:rsidP="008B44A3">
            <w:pPr>
              <w:spacing w:line="240" w:lineRule="exact"/>
              <w:jc w:val="center"/>
              <w:rPr>
                <w:sz w:val="22"/>
                <w:rtl/>
              </w:rPr>
            </w:pPr>
          </w:p>
        </w:tc>
        <w:tc>
          <w:tcPr>
            <w:tcW w:w="1189" w:type="dxa"/>
            <w:shd w:val="clear" w:color="auto" w:fill="auto"/>
            <w:vAlign w:val="bottom"/>
          </w:tcPr>
          <w:p w14:paraId="5CC7EC7F" w14:textId="77777777" w:rsidR="004C2705" w:rsidRPr="00E470B3" w:rsidRDefault="00272795" w:rsidP="008B44A3">
            <w:pPr>
              <w:spacing w:line="240" w:lineRule="exact"/>
              <w:jc w:val="center"/>
              <w:rPr>
                <w:sz w:val="22"/>
                <w:rtl/>
              </w:rPr>
            </w:pPr>
            <w:r w:rsidRPr="00E470B3">
              <w:rPr>
                <w:rFonts w:hint="cs"/>
                <w:sz w:val="22"/>
                <w:rtl/>
              </w:rPr>
              <w:t>31 בדצמבר</w:t>
            </w:r>
          </w:p>
        </w:tc>
      </w:tr>
      <w:tr w:rsidR="004C2705" w:rsidRPr="00E470B3" w14:paraId="5BA27010" w14:textId="77777777" w:rsidTr="00E470B3">
        <w:tc>
          <w:tcPr>
            <w:tcW w:w="3965" w:type="dxa"/>
            <w:shd w:val="clear" w:color="auto" w:fill="auto"/>
            <w:vAlign w:val="bottom"/>
          </w:tcPr>
          <w:p w14:paraId="39BCF656" w14:textId="77777777" w:rsidR="004C2705" w:rsidRPr="00E470B3" w:rsidRDefault="004C2705" w:rsidP="008B44A3">
            <w:pPr>
              <w:spacing w:line="240" w:lineRule="exact"/>
              <w:ind w:left="57"/>
              <w:rPr>
                <w:sz w:val="22"/>
                <w:rtl/>
              </w:rPr>
            </w:pPr>
          </w:p>
        </w:tc>
        <w:tc>
          <w:tcPr>
            <w:tcW w:w="113" w:type="dxa"/>
            <w:shd w:val="clear" w:color="auto" w:fill="auto"/>
            <w:vAlign w:val="bottom"/>
          </w:tcPr>
          <w:p w14:paraId="21430534" w14:textId="77777777" w:rsidR="004C2705" w:rsidRPr="00E470B3" w:rsidRDefault="004C2705" w:rsidP="008B44A3">
            <w:pPr>
              <w:spacing w:line="240" w:lineRule="exact"/>
              <w:rPr>
                <w:sz w:val="22"/>
                <w:rtl/>
              </w:rPr>
            </w:pPr>
          </w:p>
        </w:tc>
        <w:tc>
          <w:tcPr>
            <w:tcW w:w="1105" w:type="dxa"/>
            <w:tcBorders>
              <w:bottom w:val="single" w:sz="6" w:space="0" w:color="auto"/>
            </w:tcBorders>
            <w:shd w:val="clear" w:color="auto" w:fill="auto"/>
            <w:vAlign w:val="bottom"/>
          </w:tcPr>
          <w:p w14:paraId="232B6C11" w14:textId="0B69D900" w:rsidR="008D22FA" w:rsidRDefault="004A4A6B" w:rsidP="008A629F">
            <w:pPr>
              <w:spacing w:line="240" w:lineRule="exact"/>
              <w:jc w:val="center"/>
              <w:rPr>
                <w:sz w:val="22"/>
                <w:rtl/>
              </w:rPr>
            </w:pPr>
            <w:r>
              <w:rPr>
                <w:rFonts w:hint="cs"/>
                <w:sz w:val="22"/>
                <w:rtl/>
              </w:rPr>
              <w:t>201</w:t>
            </w:r>
            <w:r w:rsidR="008A629F">
              <w:rPr>
                <w:rFonts w:hint="cs"/>
                <w:sz w:val="22"/>
                <w:rtl/>
              </w:rPr>
              <w:t>9</w:t>
            </w:r>
          </w:p>
        </w:tc>
        <w:tc>
          <w:tcPr>
            <w:tcW w:w="238" w:type="dxa"/>
            <w:shd w:val="clear" w:color="auto" w:fill="auto"/>
            <w:vAlign w:val="bottom"/>
          </w:tcPr>
          <w:p w14:paraId="53DD894A" w14:textId="77777777" w:rsidR="004C2705" w:rsidRPr="00E470B3" w:rsidRDefault="004C2705" w:rsidP="008B44A3">
            <w:pPr>
              <w:spacing w:line="240" w:lineRule="exact"/>
              <w:jc w:val="center"/>
              <w:rPr>
                <w:sz w:val="22"/>
                <w:rtl/>
              </w:rPr>
            </w:pPr>
          </w:p>
        </w:tc>
        <w:tc>
          <w:tcPr>
            <w:tcW w:w="1121" w:type="dxa"/>
            <w:tcBorders>
              <w:bottom w:val="single" w:sz="6" w:space="0" w:color="auto"/>
            </w:tcBorders>
            <w:shd w:val="clear" w:color="auto" w:fill="auto"/>
            <w:vAlign w:val="bottom"/>
          </w:tcPr>
          <w:p w14:paraId="74E8AFCD" w14:textId="516B1B57" w:rsidR="008D22FA" w:rsidRDefault="004F7D3D" w:rsidP="008A629F">
            <w:pPr>
              <w:spacing w:line="240" w:lineRule="exact"/>
              <w:jc w:val="center"/>
              <w:rPr>
                <w:sz w:val="22"/>
                <w:rtl/>
              </w:rPr>
            </w:pPr>
            <w:r>
              <w:rPr>
                <w:rFonts w:hint="cs"/>
                <w:sz w:val="22"/>
                <w:rtl/>
              </w:rPr>
              <w:t>201</w:t>
            </w:r>
            <w:r w:rsidR="008A629F">
              <w:rPr>
                <w:rFonts w:hint="cs"/>
                <w:sz w:val="22"/>
                <w:rtl/>
              </w:rPr>
              <w:t>8</w:t>
            </w:r>
          </w:p>
        </w:tc>
        <w:tc>
          <w:tcPr>
            <w:tcW w:w="236" w:type="dxa"/>
            <w:shd w:val="clear" w:color="auto" w:fill="auto"/>
            <w:vAlign w:val="bottom"/>
          </w:tcPr>
          <w:p w14:paraId="1DAD3619" w14:textId="77777777" w:rsidR="004C2705" w:rsidRPr="00E470B3" w:rsidRDefault="004C2705" w:rsidP="008B44A3">
            <w:pPr>
              <w:spacing w:line="240" w:lineRule="exact"/>
              <w:jc w:val="center"/>
              <w:rPr>
                <w:sz w:val="22"/>
                <w:rtl/>
              </w:rPr>
            </w:pPr>
          </w:p>
        </w:tc>
        <w:tc>
          <w:tcPr>
            <w:tcW w:w="1189" w:type="dxa"/>
            <w:tcBorders>
              <w:bottom w:val="single" w:sz="6" w:space="0" w:color="auto"/>
            </w:tcBorders>
            <w:shd w:val="clear" w:color="auto" w:fill="auto"/>
            <w:vAlign w:val="bottom"/>
          </w:tcPr>
          <w:p w14:paraId="190122D8" w14:textId="70838DFB" w:rsidR="008D22FA" w:rsidRDefault="004F7D3D" w:rsidP="008A629F">
            <w:pPr>
              <w:spacing w:line="240" w:lineRule="exact"/>
              <w:jc w:val="center"/>
              <w:rPr>
                <w:sz w:val="22"/>
                <w:rtl/>
              </w:rPr>
            </w:pPr>
            <w:r>
              <w:rPr>
                <w:rFonts w:hint="cs"/>
                <w:sz w:val="22"/>
                <w:rtl/>
              </w:rPr>
              <w:t>201</w:t>
            </w:r>
            <w:r w:rsidR="008A629F">
              <w:rPr>
                <w:rFonts w:hint="cs"/>
                <w:sz w:val="22"/>
                <w:rtl/>
              </w:rPr>
              <w:t>8</w:t>
            </w:r>
          </w:p>
        </w:tc>
      </w:tr>
      <w:tr w:rsidR="00272795" w:rsidRPr="00E470B3" w14:paraId="330477CF" w14:textId="77777777" w:rsidTr="00E470B3">
        <w:tc>
          <w:tcPr>
            <w:tcW w:w="3965" w:type="dxa"/>
            <w:shd w:val="clear" w:color="auto" w:fill="auto"/>
            <w:vAlign w:val="bottom"/>
          </w:tcPr>
          <w:p w14:paraId="01B20D7A" w14:textId="77777777" w:rsidR="00272795" w:rsidRPr="00E470B3" w:rsidRDefault="00272795" w:rsidP="008B44A3">
            <w:pPr>
              <w:spacing w:line="240" w:lineRule="exact"/>
              <w:ind w:left="57"/>
              <w:rPr>
                <w:sz w:val="22"/>
                <w:rtl/>
              </w:rPr>
            </w:pPr>
          </w:p>
        </w:tc>
        <w:tc>
          <w:tcPr>
            <w:tcW w:w="113" w:type="dxa"/>
            <w:shd w:val="clear" w:color="auto" w:fill="auto"/>
            <w:vAlign w:val="bottom"/>
          </w:tcPr>
          <w:p w14:paraId="26BBB7DF" w14:textId="77777777" w:rsidR="00272795" w:rsidRPr="00E470B3" w:rsidRDefault="00272795" w:rsidP="008B44A3">
            <w:pPr>
              <w:spacing w:line="240" w:lineRule="exact"/>
              <w:rPr>
                <w:sz w:val="22"/>
                <w:rtl/>
              </w:rPr>
            </w:pPr>
          </w:p>
        </w:tc>
        <w:tc>
          <w:tcPr>
            <w:tcW w:w="2464" w:type="dxa"/>
            <w:gridSpan w:val="3"/>
            <w:tcBorders>
              <w:bottom w:val="single" w:sz="6" w:space="0" w:color="auto"/>
            </w:tcBorders>
            <w:shd w:val="clear" w:color="auto" w:fill="auto"/>
            <w:vAlign w:val="bottom"/>
          </w:tcPr>
          <w:p w14:paraId="0A89A27C" w14:textId="77777777" w:rsidR="00272795" w:rsidRPr="00E470B3" w:rsidRDefault="00272795" w:rsidP="008B44A3">
            <w:pPr>
              <w:spacing w:line="240" w:lineRule="exact"/>
              <w:jc w:val="center"/>
              <w:rPr>
                <w:sz w:val="22"/>
                <w:rtl/>
              </w:rPr>
            </w:pPr>
            <w:r w:rsidRPr="00E470B3">
              <w:rPr>
                <w:rFonts w:hint="cs"/>
                <w:sz w:val="22"/>
                <w:rtl/>
              </w:rPr>
              <w:t>בלתי מבוקר</w:t>
            </w:r>
          </w:p>
        </w:tc>
        <w:tc>
          <w:tcPr>
            <w:tcW w:w="236" w:type="dxa"/>
            <w:shd w:val="clear" w:color="auto" w:fill="auto"/>
            <w:vAlign w:val="bottom"/>
          </w:tcPr>
          <w:p w14:paraId="5D2B2990" w14:textId="77777777" w:rsidR="00272795" w:rsidRPr="00E470B3" w:rsidRDefault="00272795" w:rsidP="008B44A3">
            <w:pPr>
              <w:spacing w:line="240" w:lineRule="exact"/>
              <w:jc w:val="center"/>
              <w:rPr>
                <w:sz w:val="22"/>
                <w:rtl/>
              </w:rPr>
            </w:pPr>
          </w:p>
        </w:tc>
        <w:tc>
          <w:tcPr>
            <w:tcW w:w="1189" w:type="dxa"/>
            <w:tcBorders>
              <w:bottom w:val="single" w:sz="6" w:space="0" w:color="auto"/>
            </w:tcBorders>
            <w:shd w:val="clear" w:color="auto" w:fill="auto"/>
            <w:vAlign w:val="bottom"/>
          </w:tcPr>
          <w:p w14:paraId="5BE67432" w14:textId="77777777" w:rsidR="00272795" w:rsidRPr="00E470B3" w:rsidRDefault="00272795" w:rsidP="008B44A3">
            <w:pPr>
              <w:spacing w:line="240" w:lineRule="exact"/>
              <w:jc w:val="center"/>
              <w:rPr>
                <w:sz w:val="22"/>
                <w:rtl/>
              </w:rPr>
            </w:pPr>
            <w:r w:rsidRPr="00E470B3">
              <w:rPr>
                <w:rFonts w:hint="cs"/>
                <w:sz w:val="22"/>
                <w:rtl/>
              </w:rPr>
              <w:t>מבוקר</w:t>
            </w:r>
          </w:p>
        </w:tc>
      </w:tr>
      <w:tr w:rsidR="004C2705" w:rsidRPr="00E470B3" w14:paraId="3A52D5DA" w14:textId="77777777" w:rsidTr="00E470B3">
        <w:tc>
          <w:tcPr>
            <w:tcW w:w="3965" w:type="dxa"/>
            <w:shd w:val="clear" w:color="auto" w:fill="auto"/>
            <w:vAlign w:val="bottom"/>
          </w:tcPr>
          <w:p w14:paraId="4D750B47" w14:textId="77777777" w:rsidR="004C2705" w:rsidRPr="00E470B3" w:rsidRDefault="004C2705" w:rsidP="008B44A3">
            <w:pPr>
              <w:spacing w:line="240" w:lineRule="exact"/>
              <w:ind w:left="57"/>
              <w:rPr>
                <w:sz w:val="22"/>
                <w:rtl/>
              </w:rPr>
            </w:pPr>
          </w:p>
        </w:tc>
        <w:tc>
          <w:tcPr>
            <w:tcW w:w="113" w:type="dxa"/>
            <w:shd w:val="clear" w:color="auto" w:fill="auto"/>
            <w:vAlign w:val="bottom"/>
          </w:tcPr>
          <w:p w14:paraId="1E3E7CC9" w14:textId="77777777" w:rsidR="004C2705" w:rsidRPr="00E470B3" w:rsidRDefault="004C2705" w:rsidP="008B44A3">
            <w:pPr>
              <w:spacing w:line="240" w:lineRule="exact"/>
              <w:rPr>
                <w:sz w:val="22"/>
                <w:rtl/>
              </w:rPr>
            </w:pPr>
          </w:p>
        </w:tc>
        <w:tc>
          <w:tcPr>
            <w:tcW w:w="3889" w:type="dxa"/>
            <w:gridSpan w:val="5"/>
            <w:tcBorders>
              <w:bottom w:val="single" w:sz="6" w:space="0" w:color="auto"/>
            </w:tcBorders>
            <w:shd w:val="clear" w:color="auto" w:fill="auto"/>
            <w:vAlign w:val="bottom"/>
          </w:tcPr>
          <w:p w14:paraId="5E45E443" w14:textId="77777777" w:rsidR="004C2705" w:rsidRPr="00E470B3" w:rsidRDefault="004C2705" w:rsidP="008B44A3">
            <w:pPr>
              <w:spacing w:line="240" w:lineRule="exact"/>
              <w:jc w:val="center"/>
              <w:rPr>
                <w:sz w:val="22"/>
                <w:rtl/>
              </w:rPr>
            </w:pPr>
            <w:r w:rsidRPr="00E470B3">
              <w:rPr>
                <w:rFonts w:hint="cs"/>
                <w:sz w:val="22"/>
                <w:rtl/>
              </w:rPr>
              <w:t xml:space="preserve">אלפי ש"ח </w:t>
            </w:r>
          </w:p>
        </w:tc>
      </w:tr>
      <w:tr w:rsidR="004C2705" w:rsidRPr="00E470B3" w14:paraId="312BC12B" w14:textId="77777777" w:rsidTr="00E470B3">
        <w:tc>
          <w:tcPr>
            <w:tcW w:w="3965" w:type="dxa"/>
            <w:shd w:val="clear" w:color="auto" w:fill="auto"/>
            <w:vAlign w:val="bottom"/>
          </w:tcPr>
          <w:p w14:paraId="16E2DB2C" w14:textId="77777777" w:rsidR="004C2705" w:rsidRPr="00E470B3" w:rsidRDefault="004C2705" w:rsidP="008B44A3">
            <w:pPr>
              <w:widowControl/>
              <w:tabs>
                <w:tab w:val="left" w:pos="227"/>
                <w:tab w:val="left" w:pos="397"/>
                <w:tab w:val="left" w:pos="567"/>
              </w:tabs>
              <w:spacing w:line="120" w:lineRule="auto"/>
              <w:jc w:val="left"/>
              <w:rPr>
                <w:sz w:val="22"/>
                <w:rtl/>
              </w:rPr>
            </w:pPr>
          </w:p>
        </w:tc>
        <w:tc>
          <w:tcPr>
            <w:tcW w:w="113" w:type="dxa"/>
            <w:shd w:val="clear" w:color="auto" w:fill="auto"/>
            <w:vAlign w:val="bottom"/>
          </w:tcPr>
          <w:p w14:paraId="17FEEBB2" w14:textId="77777777" w:rsidR="004C2705" w:rsidRPr="00E470B3" w:rsidRDefault="004C2705" w:rsidP="008B44A3">
            <w:pPr>
              <w:widowControl/>
              <w:spacing w:line="120" w:lineRule="auto"/>
              <w:rPr>
                <w:sz w:val="22"/>
                <w:rtl/>
              </w:rPr>
            </w:pPr>
          </w:p>
        </w:tc>
        <w:tc>
          <w:tcPr>
            <w:tcW w:w="1105" w:type="dxa"/>
            <w:shd w:val="clear" w:color="auto" w:fill="auto"/>
            <w:vAlign w:val="bottom"/>
          </w:tcPr>
          <w:p w14:paraId="29A4D4CC" w14:textId="77777777" w:rsidR="004C2705" w:rsidRPr="00E470B3" w:rsidRDefault="004C2705" w:rsidP="008B44A3">
            <w:pPr>
              <w:widowControl/>
              <w:tabs>
                <w:tab w:val="decimal" w:pos="113"/>
              </w:tabs>
              <w:spacing w:line="120" w:lineRule="auto"/>
              <w:rPr>
                <w:sz w:val="22"/>
                <w:rtl/>
              </w:rPr>
            </w:pPr>
          </w:p>
        </w:tc>
        <w:tc>
          <w:tcPr>
            <w:tcW w:w="238" w:type="dxa"/>
            <w:shd w:val="clear" w:color="auto" w:fill="auto"/>
            <w:vAlign w:val="bottom"/>
          </w:tcPr>
          <w:p w14:paraId="33845460" w14:textId="77777777" w:rsidR="004C2705" w:rsidRPr="00E470B3" w:rsidRDefault="004C2705" w:rsidP="008B44A3">
            <w:pPr>
              <w:widowControl/>
              <w:tabs>
                <w:tab w:val="decimal" w:pos="113"/>
              </w:tabs>
              <w:spacing w:line="120" w:lineRule="auto"/>
              <w:rPr>
                <w:sz w:val="22"/>
                <w:rtl/>
              </w:rPr>
            </w:pPr>
          </w:p>
        </w:tc>
        <w:tc>
          <w:tcPr>
            <w:tcW w:w="1121" w:type="dxa"/>
            <w:shd w:val="clear" w:color="auto" w:fill="auto"/>
            <w:vAlign w:val="bottom"/>
          </w:tcPr>
          <w:p w14:paraId="76A5BE8A" w14:textId="77777777" w:rsidR="004C2705" w:rsidRPr="00E470B3" w:rsidRDefault="004C2705" w:rsidP="008B44A3">
            <w:pPr>
              <w:widowControl/>
              <w:tabs>
                <w:tab w:val="decimal" w:pos="113"/>
              </w:tabs>
              <w:spacing w:line="120" w:lineRule="auto"/>
              <w:rPr>
                <w:sz w:val="22"/>
                <w:rtl/>
              </w:rPr>
            </w:pPr>
          </w:p>
        </w:tc>
        <w:tc>
          <w:tcPr>
            <w:tcW w:w="236" w:type="dxa"/>
            <w:shd w:val="clear" w:color="auto" w:fill="auto"/>
            <w:vAlign w:val="bottom"/>
          </w:tcPr>
          <w:p w14:paraId="4F8BA1E7" w14:textId="77777777" w:rsidR="004C2705" w:rsidRPr="00E470B3" w:rsidRDefault="004C2705" w:rsidP="008B44A3">
            <w:pPr>
              <w:widowControl/>
              <w:tabs>
                <w:tab w:val="decimal" w:pos="113"/>
              </w:tabs>
              <w:spacing w:line="120" w:lineRule="auto"/>
              <w:rPr>
                <w:sz w:val="22"/>
                <w:rtl/>
              </w:rPr>
            </w:pPr>
          </w:p>
        </w:tc>
        <w:tc>
          <w:tcPr>
            <w:tcW w:w="1189" w:type="dxa"/>
            <w:shd w:val="clear" w:color="auto" w:fill="auto"/>
            <w:vAlign w:val="bottom"/>
          </w:tcPr>
          <w:p w14:paraId="3ACEF8CE" w14:textId="77777777" w:rsidR="004C2705" w:rsidRPr="00E470B3" w:rsidRDefault="004C2705" w:rsidP="008B44A3">
            <w:pPr>
              <w:widowControl/>
              <w:tabs>
                <w:tab w:val="decimal" w:pos="113"/>
              </w:tabs>
              <w:spacing w:line="120" w:lineRule="auto"/>
              <w:rPr>
                <w:sz w:val="22"/>
                <w:rtl/>
              </w:rPr>
            </w:pPr>
          </w:p>
        </w:tc>
      </w:tr>
      <w:tr w:rsidR="004C2705" w:rsidRPr="00E470B3" w14:paraId="36174F4B" w14:textId="77777777" w:rsidTr="00E470B3">
        <w:tc>
          <w:tcPr>
            <w:tcW w:w="3965" w:type="dxa"/>
            <w:shd w:val="clear" w:color="auto" w:fill="auto"/>
          </w:tcPr>
          <w:p w14:paraId="769E4949" w14:textId="77777777" w:rsidR="004C2705" w:rsidRPr="00E470B3" w:rsidRDefault="004C2705" w:rsidP="008B44A3">
            <w:pPr>
              <w:tabs>
                <w:tab w:val="left" w:pos="227"/>
                <w:tab w:val="left" w:pos="397"/>
                <w:tab w:val="left" w:pos="567"/>
              </w:tabs>
              <w:spacing w:line="240" w:lineRule="exact"/>
              <w:ind w:left="57"/>
              <w:rPr>
                <w:sz w:val="22"/>
                <w:rtl/>
              </w:rPr>
            </w:pPr>
            <w:r w:rsidRPr="00E470B3">
              <w:rPr>
                <w:rFonts w:hint="cs"/>
                <w:sz w:val="22"/>
                <w:rtl/>
              </w:rPr>
              <w:t>נכסים שוטפים</w:t>
            </w:r>
          </w:p>
        </w:tc>
        <w:tc>
          <w:tcPr>
            <w:tcW w:w="113" w:type="dxa"/>
            <w:shd w:val="clear" w:color="auto" w:fill="auto"/>
            <w:vAlign w:val="bottom"/>
          </w:tcPr>
          <w:p w14:paraId="316E7E57" w14:textId="77777777" w:rsidR="004C2705" w:rsidRPr="00E470B3" w:rsidRDefault="004C2705" w:rsidP="008B44A3">
            <w:pPr>
              <w:spacing w:line="240" w:lineRule="exact"/>
              <w:rPr>
                <w:sz w:val="22"/>
                <w:rtl/>
              </w:rPr>
            </w:pPr>
          </w:p>
        </w:tc>
        <w:tc>
          <w:tcPr>
            <w:tcW w:w="1105" w:type="dxa"/>
            <w:shd w:val="clear" w:color="auto" w:fill="auto"/>
            <w:vAlign w:val="bottom"/>
          </w:tcPr>
          <w:p w14:paraId="76F19D27"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2E26E14C"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249DEB77"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595EF950"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2B8F5E09" w14:textId="77777777" w:rsidR="004C2705" w:rsidRPr="00E470B3" w:rsidRDefault="004C2705" w:rsidP="008B44A3">
            <w:pPr>
              <w:tabs>
                <w:tab w:val="decimal" w:pos="113"/>
              </w:tabs>
              <w:spacing w:line="240" w:lineRule="exact"/>
              <w:rPr>
                <w:sz w:val="22"/>
                <w:rtl/>
              </w:rPr>
            </w:pPr>
          </w:p>
        </w:tc>
      </w:tr>
      <w:tr w:rsidR="004C2705" w:rsidRPr="00E470B3" w14:paraId="0D1BD786" w14:textId="77777777" w:rsidTr="00E470B3">
        <w:tc>
          <w:tcPr>
            <w:tcW w:w="3965" w:type="dxa"/>
            <w:shd w:val="clear" w:color="auto" w:fill="auto"/>
          </w:tcPr>
          <w:p w14:paraId="3749C9C9" w14:textId="77777777" w:rsidR="004C2705" w:rsidRPr="00E470B3" w:rsidRDefault="004C2705" w:rsidP="008B44A3">
            <w:pPr>
              <w:tabs>
                <w:tab w:val="left" w:pos="227"/>
                <w:tab w:val="left" w:pos="397"/>
                <w:tab w:val="left" w:pos="567"/>
              </w:tabs>
              <w:spacing w:line="240" w:lineRule="exact"/>
              <w:ind w:left="57"/>
              <w:rPr>
                <w:sz w:val="22"/>
                <w:rtl/>
              </w:rPr>
            </w:pPr>
            <w:r w:rsidRPr="00E470B3">
              <w:rPr>
                <w:rFonts w:hint="cs"/>
                <w:sz w:val="22"/>
                <w:rtl/>
              </w:rPr>
              <w:t>נכסים לא שוטפים</w:t>
            </w:r>
          </w:p>
        </w:tc>
        <w:tc>
          <w:tcPr>
            <w:tcW w:w="113" w:type="dxa"/>
            <w:shd w:val="clear" w:color="auto" w:fill="auto"/>
            <w:vAlign w:val="bottom"/>
          </w:tcPr>
          <w:p w14:paraId="24CF002F" w14:textId="77777777" w:rsidR="004C2705" w:rsidRPr="00E470B3" w:rsidRDefault="004C2705" w:rsidP="008B44A3">
            <w:pPr>
              <w:spacing w:line="240" w:lineRule="exact"/>
              <w:rPr>
                <w:sz w:val="22"/>
                <w:rtl/>
              </w:rPr>
            </w:pPr>
          </w:p>
        </w:tc>
        <w:tc>
          <w:tcPr>
            <w:tcW w:w="1105" w:type="dxa"/>
            <w:shd w:val="clear" w:color="auto" w:fill="auto"/>
            <w:vAlign w:val="bottom"/>
          </w:tcPr>
          <w:p w14:paraId="3446CE96"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1B701D39"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371DC72F"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0C6F27C0"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1F54A3C7" w14:textId="77777777" w:rsidR="004C2705" w:rsidRPr="00E470B3" w:rsidRDefault="004C2705" w:rsidP="008B44A3">
            <w:pPr>
              <w:tabs>
                <w:tab w:val="decimal" w:pos="113"/>
              </w:tabs>
              <w:spacing w:line="240" w:lineRule="exact"/>
              <w:rPr>
                <w:sz w:val="22"/>
                <w:rtl/>
              </w:rPr>
            </w:pPr>
          </w:p>
        </w:tc>
      </w:tr>
      <w:tr w:rsidR="004C2705" w:rsidRPr="00E470B3" w14:paraId="60988F33" w14:textId="77777777" w:rsidTr="00E470B3">
        <w:tc>
          <w:tcPr>
            <w:tcW w:w="3965" w:type="dxa"/>
            <w:shd w:val="clear" w:color="auto" w:fill="auto"/>
          </w:tcPr>
          <w:p w14:paraId="0027D513" w14:textId="77777777" w:rsidR="004C2705" w:rsidRPr="00E470B3" w:rsidRDefault="004C2705" w:rsidP="008B44A3">
            <w:pPr>
              <w:tabs>
                <w:tab w:val="left" w:pos="227"/>
                <w:tab w:val="left" w:pos="397"/>
                <w:tab w:val="left" w:pos="567"/>
              </w:tabs>
              <w:spacing w:line="240" w:lineRule="exact"/>
              <w:ind w:left="57"/>
              <w:rPr>
                <w:sz w:val="22"/>
                <w:rtl/>
              </w:rPr>
            </w:pPr>
          </w:p>
        </w:tc>
        <w:tc>
          <w:tcPr>
            <w:tcW w:w="113" w:type="dxa"/>
            <w:shd w:val="clear" w:color="auto" w:fill="auto"/>
            <w:vAlign w:val="bottom"/>
          </w:tcPr>
          <w:p w14:paraId="1325DF85" w14:textId="77777777" w:rsidR="004C2705" w:rsidRPr="00E470B3" w:rsidRDefault="004C2705" w:rsidP="008B44A3">
            <w:pPr>
              <w:spacing w:line="240" w:lineRule="exact"/>
              <w:rPr>
                <w:sz w:val="22"/>
                <w:rtl/>
              </w:rPr>
            </w:pPr>
          </w:p>
        </w:tc>
        <w:tc>
          <w:tcPr>
            <w:tcW w:w="1105" w:type="dxa"/>
            <w:shd w:val="clear" w:color="auto" w:fill="auto"/>
            <w:vAlign w:val="bottom"/>
          </w:tcPr>
          <w:p w14:paraId="2EFCABD7"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2E5913A1"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2A52E034"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48700721"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0CCE4778" w14:textId="77777777" w:rsidR="004C2705" w:rsidRPr="00E470B3" w:rsidRDefault="004C2705" w:rsidP="008B44A3">
            <w:pPr>
              <w:tabs>
                <w:tab w:val="decimal" w:pos="113"/>
              </w:tabs>
              <w:spacing w:line="240" w:lineRule="exact"/>
              <w:rPr>
                <w:sz w:val="22"/>
                <w:rtl/>
              </w:rPr>
            </w:pPr>
          </w:p>
        </w:tc>
      </w:tr>
      <w:tr w:rsidR="004C2705" w:rsidRPr="00E470B3" w14:paraId="4CD22CEF" w14:textId="77777777" w:rsidTr="00E470B3">
        <w:tc>
          <w:tcPr>
            <w:tcW w:w="3965" w:type="dxa"/>
            <w:shd w:val="clear" w:color="auto" w:fill="auto"/>
          </w:tcPr>
          <w:p w14:paraId="57BA71BD" w14:textId="77777777" w:rsidR="004C2705" w:rsidRPr="00E470B3" w:rsidRDefault="004C2705" w:rsidP="008B44A3">
            <w:pPr>
              <w:tabs>
                <w:tab w:val="left" w:pos="227"/>
                <w:tab w:val="left" w:pos="397"/>
                <w:tab w:val="left" w:pos="567"/>
              </w:tabs>
              <w:spacing w:line="240" w:lineRule="exact"/>
              <w:ind w:left="57"/>
              <w:rPr>
                <w:sz w:val="22"/>
                <w:vertAlign w:val="superscript"/>
                <w:rtl/>
              </w:rPr>
            </w:pPr>
            <w:r w:rsidRPr="00E470B3">
              <w:rPr>
                <w:rFonts w:hint="cs"/>
                <w:sz w:val="22"/>
                <w:rtl/>
              </w:rPr>
              <w:t>התחייבויות שוטפות</w:t>
            </w:r>
          </w:p>
        </w:tc>
        <w:tc>
          <w:tcPr>
            <w:tcW w:w="113" w:type="dxa"/>
            <w:shd w:val="clear" w:color="auto" w:fill="auto"/>
            <w:vAlign w:val="bottom"/>
          </w:tcPr>
          <w:p w14:paraId="26AA542D" w14:textId="77777777" w:rsidR="004C2705" w:rsidRPr="00E470B3" w:rsidRDefault="004C2705" w:rsidP="008B44A3">
            <w:pPr>
              <w:spacing w:line="240" w:lineRule="exact"/>
              <w:rPr>
                <w:sz w:val="22"/>
                <w:rtl/>
              </w:rPr>
            </w:pPr>
          </w:p>
        </w:tc>
        <w:tc>
          <w:tcPr>
            <w:tcW w:w="1105" w:type="dxa"/>
            <w:shd w:val="clear" w:color="auto" w:fill="auto"/>
            <w:vAlign w:val="bottom"/>
          </w:tcPr>
          <w:p w14:paraId="6F6C0721"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1E5A7374"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0F0BE35D"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561E1F6E"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5CA8A516" w14:textId="77777777" w:rsidR="004C2705" w:rsidRPr="00E470B3" w:rsidRDefault="004C2705" w:rsidP="008B44A3">
            <w:pPr>
              <w:tabs>
                <w:tab w:val="decimal" w:pos="113"/>
              </w:tabs>
              <w:spacing w:line="240" w:lineRule="exact"/>
              <w:rPr>
                <w:sz w:val="22"/>
                <w:rtl/>
              </w:rPr>
            </w:pPr>
          </w:p>
        </w:tc>
      </w:tr>
      <w:tr w:rsidR="004C2705" w:rsidRPr="00E470B3" w14:paraId="4F88A6BD" w14:textId="77777777" w:rsidTr="00E470B3">
        <w:tc>
          <w:tcPr>
            <w:tcW w:w="3965" w:type="dxa"/>
            <w:shd w:val="clear" w:color="auto" w:fill="auto"/>
          </w:tcPr>
          <w:p w14:paraId="3612B4E7" w14:textId="77777777" w:rsidR="004C2705" w:rsidRPr="00E470B3" w:rsidRDefault="004C2705" w:rsidP="008B44A3">
            <w:pPr>
              <w:tabs>
                <w:tab w:val="left" w:pos="227"/>
                <w:tab w:val="left" w:pos="397"/>
                <w:tab w:val="left" w:pos="567"/>
              </w:tabs>
              <w:spacing w:line="240" w:lineRule="exact"/>
              <w:ind w:left="57"/>
              <w:rPr>
                <w:sz w:val="22"/>
                <w:rtl/>
              </w:rPr>
            </w:pPr>
            <w:r w:rsidRPr="00E470B3">
              <w:rPr>
                <w:rFonts w:hint="cs"/>
                <w:sz w:val="22"/>
                <w:rtl/>
              </w:rPr>
              <w:t>התחייבויות לא שוטפות</w:t>
            </w:r>
          </w:p>
        </w:tc>
        <w:tc>
          <w:tcPr>
            <w:tcW w:w="113" w:type="dxa"/>
            <w:shd w:val="clear" w:color="auto" w:fill="auto"/>
            <w:vAlign w:val="bottom"/>
          </w:tcPr>
          <w:p w14:paraId="06B2C0DD" w14:textId="77777777" w:rsidR="004C2705" w:rsidRPr="00E470B3" w:rsidRDefault="004C2705" w:rsidP="008B44A3">
            <w:pPr>
              <w:spacing w:line="240" w:lineRule="exact"/>
              <w:rPr>
                <w:sz w:val="22"/>
                <w:rtl/>
              </w:rPr>
            </w:pPr>
          </w:p>
        </w:tc>
        <w:tc>
          <w:tcPr>
            <w:tcW w:w="1105" w:type="dxa"/>
            <w:shd w:val="clear" w:color="auto" w:fill="auto"/>
            <w:vAlign w:val="bottom"/>
          </w:tcPr>
          <w:p w14:paraId="129D8194"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3F80D372"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4C3C9D98"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4C76C09C"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02C80C33" w14:textId="77777777" w:rsidR="004C2705" w:rsidRPr="00E470B3" w:rsidRDefault="004C2705" w:rsidP="008B44A3">
            <w:pPr>
              <w:tabs>
                <w:tab w:val="decimal" w:pos="113"/>
              </w:tabs>
              <w:spacing w:line="240" w:lineRule="exact"/>
              <w:rPr>
                <w:sz w:val="22"/>
                <w:rtl/>
              </w:rPr>
            </w:pPr>
          </w:p>
        </w:tc>
      </w:tr>
      <w:tr w:rsidR="004C2705" w:rsidRPr="00E470B3" w14:paraId="3FE55E42" w14:textId="77777777" w:rsidTr="00E470B3">
        <w:tc>
          <w:tcPr>
            <w:tcW w:w="3965" w:type="dxa"/>
            <w:shd w:val="clear" w:color="auto" w:fill="auto"/>
          </w:tcPr>
          <w:p w14:paraId="487192EE" w14:textId="77777777" w:rsidR="004C2705" w:rsidRPr="00E470B3" w:rsidRDefault="004C2705" w:rsidP="00AA1373">
            <w:pPr>
              <w:widowControl/>
              <w:tabs>
                <w:tab w:val="left" w:pos="227"/>
                <w:tab w:val="left" w:pos="397"/>
                <w:tab w:val="left" w:pos="567"/>
              </w:tabs>
              <w:spacing w:line="120" w:lineRule="auto"/>
              <w:rPr>
                <w:sz w:val="22"/>
                <w:rtl/>
              </w:rPr>
            </w:pPr>
          </w:p>
        </w:tc>
        <w:tc>
          <w:tcPr>
            <w:tcW w:w="113" w:type="dxa"/>
            <w:shd w:val="clear" w:color="auto" w:fill="auto"/>
            <w:vAlign w:val="bottom"/>
          </w:tcPr>
          <w:p w14:paraId="481E7F04" w14:textId="77777777" w:rsidR="004C2705" w:rsidRPr="00E470B3" w:rsidRDefault="004C2705" w:rsidP="00AA1373">
            <w:pPr>
              <w:widowControl/>
              <w:spacing w:line="120" w:lineRule="auto"/>
              <w:rPr>
                <w:sz w:val="22"/>
                <w:rtl/>
              </w:rPr>
            </w:pPr>
          </w:p>
        </w:tc>
        <w:tc>
          <w:tcPr>
            <w:tcW w:w="1105" w:type="dxa"/>
            <w:shd w:val="clear" w:color="auto" w:fill="auto"/>
            <w:vAlign w:val="bottom"/>
          </w:tcPr>
          <w:p w14:paraId="54FB8C07" w14:textId="77777777" w:rsidR="004C2705" w:rsidRPr="00E470B3" w:rsidRDefault="004C2705" w:rsidP="00AA1373">
            <w:pPr>
              <w:widowControl/>
              <w:tabs>
                <w:tab w:val="decimal" w:pos="113"/>
              </w:tabs>
              <w:spacing w:line="120" w:lineRule="auto"/>
              <w:rPr>
                <w:sz w:val="22"/>
                <w:rtl/>
              </w:rPr>
            </w:pPr>
          </w:p>
        </w:tc>
        <w:tc>
          <w:tcPr>
            <w:tcW w:w="238" w:type="dxa"/>
            <w:shd w:val="clear" w:color="auto" w:fill="auto"/>
            <w:vAlign w:val="bottom"/>
          </w:tcPr>
          <w:p w14:paraId="5137BEA3" w14:textId="77777777" w:rsidR="004C2705" w:rsidRPr="00E470B3" w:rsidRDefault="004C2705" w:rsidP="00AA1373">
            <w:pPr>
              <w:widowControl/>
              <w:tabs>
                <w:tab w:val="decimal" w:pos="113"/>
              </w:tabs>
              <w:spacing w:line="120" w:lineRule="auto"/>
              <w:rPr>
                <w:sz w:val="22"/>
                <w:rtl/>
              </w:rPr>
            </w:pPr>
          </w:p>
        </w:tc>
        <w:tc>
          <w:tcPr>
            <w:tcW w:w="1121" w:type="dxa"/>
            <w:shd w:val="clear" w:color="auto" w:fill="auto"/>
            <w:vAlign w:val="bottom"/>
          </w:tcPr>
          <w:p w14:paraId="629941BD" w14:textId="77777777" w:rsidR="004C2705" w:rsidRPr="00E470B3" w:rsidRDefault="004C2705" w:rsidP="00AA1373">
            <w:pPr>
              <w:widowControl/>
              <w:tabs>
                <w:tab w:val="decimal" w:pos="113"/>
              </w:tabs>
              <w:spacing w:line="120" w:lineRule="auto"/>
              <w:rPr>
                <w:sz w:val="22"/>
                <w:rtl/>
              </w:rPr>
            </w:pPr>
          </w:p>
        </w:tc>
        <w:tc>
          <w:tcPr>
            <w:tcW w:w="236" w:type="dxa"/>
            <w:shd w:val="clear" w:color="auto" w:fill="auto"/>
            <w:vAlign w:val="bottom"/>
          </w:tcPr>
          <w:p w14:paraId="2C7BD74A" w14:textId="77777777" w:rsidR="004C2705" w:rsidRPr="00E470B3" w:rsidRDefault="004C2705" w:rsidP="00AA1373">
            <w:pPr>
              <w:widowControl/>
              <w:tabs>
                <w:tab w:val="decimal" w:pos="113"/>
              </w:tabs>
              <w:spacing w:line="120" w:lineRule="auto"/>
              <w:rPr>
                <w:sz w:val="22"/>
                <w:rtl/>
              </w:rPr>
            </w:pPr>
          </w:p>
        </w:tc>
        <w:tc>
          <w:tcPr>
            <w:tcW w:w="1189" w:type="dxa"/>
            <w:shd w:val="clear" w:color="auto" w:fill="auto"/>
            <w:vAlign w:val="bottom"/>
          </w:tcPr>
          <w:p w14:paraId="25FEED61" w14:textId="77777777" w:rsidR="004C2705" w:rsidRPr="00E470B3" w:rsidRDefault="004C2705" w:rsidP="00AA1373">
            <w:pPr>
              <w:widowControl/>
              <w:tabs>
                <w:tab w:val="decimal" w:pos="113"/>
              </w:tabs>
              <w:spacing w:line="120" w:lineRule="auto"/>
              <w:rPr>
                <w:sz w:val="22"/>
                <w:rtl/>
              </w:rPr>
            </w:pPr>
          </w:p>
        </w:tc>
      </w:tr>
      <w:tr w:rsidR="004C2705" w:rsidRPr="00E470B3" w14:paraId="7D236867" w14:textId="77777777" w:rsidTr="00E470B3">
        <w:tc>
          <w:tcPr>
            <w:tcW w:w="3965" w:type="dxa"/>
            <w:shd w:val="clear" w:color="auto" w:fill="auto"/>
          </w:tcPr>
          <w:p w14:paraId="5D5DD068" w14:textId="77777777" w:rsidR="004C2705" w:rsidRPr="00E470B3" w:rsidRDefault="004C2705" w:rsidP="008B44A3">
            <w:pPr>
              <w:tabs>
                <w:tab w:val="left" w:pos="227"/>
                <w:tab w:val="left" w:pos="397"/>
                <w:tab w:val="left" w:pos="567"/>
              </w:tabs>
              <w:spacing w:line="240" w:lineRule="exact"/>
              <w:ind w:left="57"/>
              <w:rPr>
                <w:sz w:val="22"/>
                <w:rtl/>
              </w:rPr>
            </w:pPr>
            <w:r w:rsidRPr="00E470B3">
              <w:rPr>
                <w:rFonts w:hint="cs"/>
                <w:sz w:val="22"/>
                <w:rtl/>
              </w:rPr>
              <w:t>הון המיוחס לבעלי מניות החברה</w:t>
            </w:r>
          </w:p>
        </w:tc>
        <w:tc>
          <w:tcPr>
            <w:tcW w:w="113" w:type="dxa"/>
            <w:shd w:val="clear" w:color="auto" w:fill="auto"/>
            <w:vAlign w:val="bottom"/>
          </w:tcPr>
          <w:p w14:paraId="73111C17" w14:textId="77777777" w:rsidR="004C2705" w:rsidRPr="00E470B3" w:rsidRDefault="004C2705" w:rsidP="008B44A3">
            <w:pPr>
              <w:spacing w:line="240" w:lineRule="exact"/>
              <w:rPr>
                <w:sz w:val="22"/>
                <w:rtl/>
              </w:rPr>
            </w:pPr>
          </w:p>
        </w:tc>
        <w:tc>
          <w:tcPr>
            <w:tcW w:w="1105" w:type="dxa"/>
            <w:shd w:val="clear" w:color="auto" w:fill="auto"/>
            <w:vAlign w:val="bottom"/>
          </w:tcPr>
          <w:p w14:paraId="726F9749"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3E0BD251"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66903E92"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46BD5C60"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698DB9F2" w14:textId="77777777" w:rsidR="004C2705" w:rsidRPr="00E470B3" w:rsidRDefault="004C2705" w:rsidP="008B44A3">
            <w:pPr>
              <w:tabs>
                <w:tab w:val="decimal" w:pos="113"/>
              </w:tabs>
              <w:spacing w:line="240" w:lineRule="exact"/>
              <w:rPr>
                <w:sz w:val="22"/>
                <w:rtl/>
              </w:rPr>
            </w:pPr>
          </w:p>
        </w:tc>
      </w:tr>
      <w:tr w:rsidR="004C2705" w:rsidRPr="00E470B3" w14:paraId="0F21D389" w14:textId="77777777" w:rsidTr="00E470B3">
        <w:tc>
          <w:tcPr>
            <w:tcW w:w="3965" w:type="dxa"/>
            <w:shd w:val="clear" w:color="auto" w:fill="auto"/>
          </w:tcPr>
          <w:p w14:paraId="52694269" w14:textId="77777777" w:rsidR="004C2705" w:rsidRPr="00AA1373" w:rsidRDefault="004C2705" w:rsidP="008B44A3">
            <w:pPr>
              <w:tabs>
                <w:tab w:val="left" w:pos="227"/>
                <w:tab w:val="left" w:pos="397"/>
                <w:tab w:val="left" w:pos="567"/>
              </w:tabs>
              <w:spacing w:line="240" w:lineRule="exact"/>
              <w:ind w:left="57"/>
              <w:rPr>
                <w:sz w:val="22"/>
                <w:rtl/>
              </w:rPr>
            </w:pPr>
            <w:r w:rsidRPr="00AA1373">
              <w:rPr>
                <w:rFonts w:hint="cs"/>
                <w:sz w:val="22"/>
                <w:rtl/>
              </w:rPr>
              <w:t xml:space="preserve">זכויות </w:t>
            </w:r>
            <w:r w:rsidR="00017FF4" w:rsidRPr="00AA1373">
              <w:rPr>
                <w:rFonts w:hint="cs"/>
                <w:sz w:val="22"/>
                <w:rtl/>
              </w:rPr>
              <w:t>שאינן מקנות שליטה</w:t>
            </w:r>
          </w:p>
        </w:tc>
        <w:tc>
          <w:tcPr>
            <w:tcW w:w="113" w:type="dxa"/>
            <w:shd w:val="clear" w:color="auto" w:fill="auto"/>
            <w:vAlign w:val="bottom"/>
          </w:tcPr>
          <w:p w14:paraId="2B258DE3" w14:textId="77777777" w:rsidR="004C2705" w:rsidRPr="00E470B3" w:rsidRDefault="004C2705" w:rsidP="008B44A3">
            <w:pPr>
              <w:spacing w:line="240" w:lineRule="exact"/>
              <w:rPr>
                <w:sz w:val="22"/>
                <w:rtl/>
              </w:rPr>
            </w:pPr>
          </w:p>
        </w:tc>
        <w:tc>
          <w:tcPr>
            <w:tcW w:w="1105" w:type="dxa"/>
            <w:shd w:val="clear" w:color="auto" w:fill="auto"/>
            <w:vAlign w:val="bottom"/>
          </w:tcPr>
          <w:p w14:paraId="5AC10BD7"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3AF010CC"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26C125D9"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5AD5B119"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52F7FFEC" w14:textId="77777777" w:rsidR="004C2705" w:rsidRPr="00E470B3" w:rsidRDefault="004C2705" w:rsidP="008B44A3">
            <w:pPr>
              <w:tabs>
                <w:tab w:val="decimal" w:pos="113"/>
              </w:tabs>
              <w:spacing w:line="240" w:lineRule="exact"/>
              <w:rPr>
                <w:sz w:val="22"/>
                <w:rtl/>
              </w:rPr>
            </w:pPr>
          </w:p>
        </w:tc>
      </w:tr>
    </w:tbl>
    <w:p w14:paraId="1FBCD73C" w14:textId="77777777" w:rsidR="00D87928" w:rsidRDefault="00D87928" w:rsidP="005B3CD0">
      <w:pPr>
        <w:rPr>
          <w:rtl/>
        </w:rPr>
      </w:pPr>
      <w:r>
        <w:rPr>
          <w:rtl/>
        </w:rPr>
        <w:br w:type="page"/>
      </w:r>
    </w:p>
    <w:p w14:paraId="2A99CF92" w14:textId="77777777" w:rsidR="00605DC8" w:rsidRDefault="00605DC8" w:rsidP="00605DC8">
      <w:pPr>
        <w:pStyle w:val="11"/>
        <w:rPr>
          <w:rtl/>
        </w:rPr>
      </w:pPr>
    </w:p>
    <w:p w14:paraId="0D520F93" w14:textId="77777777" w:rsidR="00E72837" w:rsidRDefault="00E72837" w:rsidP="00605DC8">
      <w:pPr>
        <w:pStyle w:val="11"/>
        <w:rPr>
          <w:rtl/>
        </w:rPr>
      </w:pPr>
    </w:p>
    <w:p w14:paraId="69BCE569" w14:textId="77777777" w:rsidR="00605DC8" w:rsidRDefault="00605DC8" w:rsidP="00605DC8">
      <w:pPr>
        <w:pStyle w:val="11"/>
        <w:rPr>
          <w:u w:val="single"/>
          <w:rtl/>
        </w:rPr>
      </w:pPr>
      <w:r>
        <w:rPr>
          <w:rFonts w:hint="cs"/>
          <w:rtl/>
        </w:rPr>
        <w:t>באור 17: -</w:t>
      </w:r>
      <w:r>
        <w:rPr>
          <w:rFonts w:hint="cs"/>
          <w:rtl/>
        </w:rPr>
        <w:tab/>
      </w:r>
      <w:r>
        <w:rPr>
          <w:rFonts w:hint="cs"/>
          <w:u w:val="single"/>
          <w:rtl/>
        </w:rPr>
        <w:t>צירוף דוחות כספיים או מידע תמציתי של חברות כלולות וחברות בשליטה משותפת המטופלות לפי שיטת השווי המאזני</w:t>
      </w:r>
      <w:r w:rsidRPr="00977A5A">
        <w:rPr>
          <w:rStyle w:val="ab"/>
          <w:rtl/>
        </w:rPr>
        <w:footnoteReference w:id="123"/>
      </w:r>
      <w:r w:rsidRPr="00605DC8">
        <w:rPr>
          <w:rFonts w:hint="cs"/>
          <w:rtl/>
        </w:rPr>
        <w:t xml:space="preserve"> (המשך)</w:t>
      </w:r>
    </w:p>
    <w:p w14:paraId="0EB9D107" w14:textId="77777777" w:rsidR="00D87928" w:rsidRPr="00605DC8" w:rsidRDefault="00D87928" w:rsidP="00D87928">
      <w:pPr>
        <w:pStyle w:val="11"/>
        <w:rPr>
          <w:rtl/>
        </w:rPr>
      </w:pPr>
    </w:p>
    <w:p w14:paraId="0994B1E5" w14:textId="77777777" w:rsidR="00D87928" w:rsidRDefault="00D87928" w:rsidP="00D87928">
      <w:pPr>
        <w:pStyle w:val="21"/>
        <w:rPr>
          <w:rtl/>
        </w:rPr>
      </w:pPr>
      <w:r w:rsidRPr="00605DC8">
        <w:rPr>
          <w:rFonts w:hint="cs"/>
          <w:rtl/>
        </w:rPr>
        <w:t xml:space="preserve">ב. </w:t>
      </w:r>
      <w:r w:rsidRPr="00605DC8">
        <w:rPr>
          <w:rtl/>
        </w:rPr>
        <w:tab/>
      </w:r>
      <w:r w:rsidRPr="00605DC8">
        <w:rPr>
          <w:rFonts w:hint="cs"/>
          <w:u w:val="single"/>
          <w:rtl/>
        </w:rPr>
        <w:t>צירוף מידע תמציתי לכל אחת מהחברות הכלולות והחברות בשליטה משותפת המטופלות לפי שיטת השווי המאזני</w:t>
      </w:r>
      <w:r w:rsidRPr="00605DC8">
        <w:rPr>
          <w:rFonts w:hint="cs"/>
          <w:rtl/>
        </w:rPr>
        <w:t xml:space="preserve"> (המשך)</w:t>
      </w:r>
      <w:r w:rsidRPr="00605DC8">
        <w:rPr>
          <w:rStyle w:val="ab"/>
          <w:rtl/>
        </w:rPr>
        <w:footnoteReference w:id="124"/>
      </w:r>
      <w:r>
        <w:rPr>
          <w:rFonts w:hint="cs"/>
          <w:rtl/>
        </w:rPr>
        <w:t xml:space="preserve"> </w:t>
      </w:r>
    </w:p>
    <w:tbl>
      <w:tblPr>
        <w:bidiVisual/>
        <w:tblW w:w="7966" w:type="dxa"/>
        <w:tblInd w:w="1674" w:type="dxa"/>
        <w:tblLayout w:type="fixed"/>
        <w:tblCellMar>
          <w:left w:w="0" w:type="dxa"/>
          <w:right w:w="0" w:type="dxa"/>
        </w:tblCellMar>
        <w:tblLook w:val="0000" w:firstRow="0" w:lastRow="0" w:firstColumn="0" w:lastColumn="0" w:noHBand="0" w:noVBand="0"/>
      </w:tblPr>
      <w:tblGrid>
        <w:gridCol w:w="2522"/>
        <w:gridCol w:w="113"/>
        <w:gridCol w:w="907"/>
        <w:gridCol w:w="181"/>
        <w:gridCol w:w="907"/>
        <w:gridCol w:w="117"/>
        <w:gridCol w:w="10"/>
        <w:gridCol w:w="907"/>
        <w:gridCol w:w="156"/>
        <w:gridCol w:w="15"/>
        <w:gridCol w:w="907"/>
        <w:gridCol w:w="113"/>
        <w:gridCol w:w="1111"/>
      </w:tblGrid>
      <w:tr w:rsidR="00272795" w:rsidRPr="00E470B3" w14:paraId="7FBAC9B1" w14:textId="77777777" w:rsidTr="00B267F5">
        <w:trPr>
          <w:cantSplit/>
        </w:trPr>
        <w:tc>
          <w:tcPr>
            <w:tcW w:w="2522" w:type="dxa"/>
            <w:vAlign w:val="bottom"/>
          </w:tcPr>
          <w:p w14:paraId="28794215" w14:textId="77777777" w:rsidR="00272795" w:rsidRPr="00E470B3" w:rsidRDefault="00272795" w:rsidP="00E470B3">
            <w:pPr>
              <w:tabs>
                <w:tab w:val="left" w:pos="227"/>
                <w:tab w:val="left" w:pos="397"/>
                <w:tab w:val="left" w:pos="567"/>
              </w:tabs>
              <w:spacing w:line="200" w:lineRule="exact"/>
              <w:ind w:left="227" w:hanging="170"/>
              <w:jc w:val="left"/>
              <w:rPr>
                <w:sz w:val="18"/>
                <w:szCs w:val="20"/>
              </w:rPr>
            </w:pPr>
          </w:p>
        </w:tc>
        <w:tc>
          <w:tcPr>
            <w:tcW w:w="113" w:type="dxa"/>
            <w:vAlign w:val="bottom"/>
          </w:tcPr>
          <w:p w14:paraId="4EE8F9B1" w14:textId="77777777" w:rsidR="00272795" w:rsidRPr="00E470B3" w:rsidRDefault="00272795" w:rsidP="00E470B3">
            <w:pPr>
              <w:spacing w:line="200" w:lineRule="exact"/>
              <w:ind w:left="57"/>
              <w:jc w:val="center"/>
              <w:rPr>
                <w:sz w:val="18"/>
                <w:szCs w:val="20"/>
              </w:rPr>
            </w:pPr>
          </w:p>
        </w:tc>
        <w:tc>
          <w:tcPr>
            <w:tcW w:w="1995" w:type="dxa"/>
            <w:gridSpan w:val="3"/>
            <w:tcBorders>
              <w:bottom w:val="single" w:sz="6" w:space="0" w:color="auto"/>
            </w:tcBorders>
            <w:vAlign w:val="bottom"/>
          </w:tcPr>
          <w:p w14:paraId="5ABFE1E0" w14:textId="77777777" w:rsidR="00272795" w:rsidRPr="00E470B3" w:rsidRDefault="00272795" w:rsidP="00E470B3">
            <w:pPr>
              <w:spacing w:line="200" w:lineRule="exact"/>
              <w:ind w:left="57"/>
              <w:jc w:val="center"/>
              <w:rPr>
                <w:sz w:val="18"/>
                <w:szCs w:val="20"/>
                <w:rtl/>
              </w:rPr>
            </w:pPr>
            <w:r w:rsidRPr="00E470B3">
              <w:rPr>
                <w:sz w:val="18"/>
                <w:szCs w:val="20"/>
                <w:rtl/>
              </w:rPr>
              <w:t>ל-9 החודשים שהסתיימו</w:t>
            </w:r>
          </w:p>
          <w:p w14:paraId="0E4941C5" w14:textId="77777777" w:rsidR="00272795" w:rsidRPr="00E470B3" w:rsidRDefault="00272795" w:rsidP="00E470B3">
            <w:pPr>
              <w:spacing w:line="200" w:lineRule="exact"/>
              <w:ind w:left="57"/>
              <w:jc w:val="center"/>
              <w:rPr>
                <w:sz w:val="18"/>
                <w:szCs w:val="20"/>
              </w:rPr>
            </w:pPr>
            <w:r w:rsidRPr="00E470B3">
              <w:rPr>
                <w:sz w:val="18"/>
                <w:szCs w:val="20"/>
                <w:rtl/>
              </w:rPr>
              <w:t>ביום 30 בספטמבר</w:t>
            </w:r>
          </w:p>
        </w:tc>
        <w:tc>
          <w:tcPr>
            <w:tcW w:w="127" w:type="dxa"/>
            <w:gridSpan w:val="2"/>
            <w:vAlign w:val="bottom"/>
          </w:tcPr>
          <w:p w14:paraId="2B6CCB8E" w14:textId="77777777" w:rsidR="00272795" w:rsidRPr="00E470B3" w:rsidRDefault="00272795" w:rsidP="00E470B3">
            <w:pPr>
              <w:spacing w:line="200" w:lineRule="exact"/>
              <w:ind w:left="57"/>
              <w:jc w:val="center"/>
              <w:rPr>
                <w:sz w:val="18"/>
                <w:szCs w:val="20"/>
              </w:rPr>
            </w:pPr>
          </w:p>
        </w:tc>
        <w:tc>
          <w:tcPr>
            <w:tcW w:w="1985" w:type="dxa"/>
            <w:gridSpan w:val="4"/>
            <w:tcBorders>
              <w:bottom w:val="single" w:sz="6" w:space="0" w:color="auto"/>
            </w:tcBorders>
            <w:vAlign w:val="bottom"/>
          </w:tcPr>
          <w:p w14:paraId="07C9C7C7" w14:textId="77777777" w:rsidR="00272795" w:rsidRPr="00E470B3" w:rsidRDefault="00272795" w:rsidP="00E470B3">
            <w:pPr>
              <w:spacing w:line="200" w:lineRule="exact"/>
              <w:ind w:left="57"/>
              <w:jc w:val="center"/>
              <w:rPr>
                <w:sz w:val="18"/>
                <w:szCs w:val="20"/>
                <w:rtl/>
              </w:rPr>
            </w:pPr>
            <w:r w:rsidRPr="00E470B3">
              <w:rPr>
                <w:sz w:val="18"/>
                <w:szCs w:val="20"/>
                <w:rtl/>
              </w:rPr>
              <w:t>ל-3 החודשים שהסתיימו</w:t>
            </w:r>
          </w:p>
          <w:p w14:paraId="6301D1D1" w14:textId="77777777" w:rsidR="00272795" w:rsidRPr="00E470B3" w:rsidRDefault="00272795" w:rsidP="00E470B3">
            <w:pPr>
              <w:spacing w:line="200" w:lineRule="exact"/>
              <w:ind w:left="57"/>
              <w:jc w:val="center"/>
              <w:rPr>
                <w:sz w:val="18"/>
                <w:szCs w:val="20"/>
              </w:rPr>
            </w:pPr>
            <w:r w:rsidRPr="00E470B3">
              <w:rPr>
                <w:sz w:val="18"/>
                <w:szCs w:val="20"/>
                <w:rtl/>
              </w:rPr>
              <w:t>ביום 30 בספטמבר</w:t>
            </w:r>
          </w:p>
        </w:tc>
        <w:tc>
          <w:tcPr>
            <w:tcW w:w="113" w:type="dxa"/>
            <w:vAlign w:val="bottom"/>
          </w:tcPr>
          <w:p w14:paraId="57DB256D" w14:textId="77777777" w:rsidR="00272795" w:rsidRPr="00E470B3" w:rsidRDefault="00272795" w:rsidP="00E470B3">
            <w:pPr>
              <w:spacing w:line="200" w:lineRule="exact"/>
              <w:ind w:left="57"/>
              <w:jc w:val="center"/>
              <w:rPr>
                <w:sz w:val="18"/>
                <w:szCs w:val="20"/>
              </w:rPr>
            </w:pPr>
          </w:p>
        </w:tc>
        <w:tc>
          <w:tcPr>
            <w:tcW w:w="1111" w:type="dxa"/>
            <w:vAlign w:val="bottom"/>
          </w:tcPr>
          <w:p w14:paraId="0D37B306" w14:textId="77777777" w:rsidR="00272795" w:rsidRPr="00E470B3" w:rsidRDefault="00272795" w:rsidP="00E470B3">
            <w:pPr>
              <w:spacing w:line="200" w:lineRule="exact"/>
              <w:ind w:left="16"/>
              <w:jc w:val="center"/>
              <w:rPr>
                <w:b/>
                <w:sz w:val="18"/>
                <w:szCs w:val="20"/>
                <w:rtl/>
              </w:rPr>
            </w:pPr>
            <w:r w:rsidRPr="00E470B3">
              <w:rPr>
                <w:b/>
                <w:sz w:val="18"/>
                <w:szCs w:val="20"/>
                <w:rtl/>
              </w:rPr>
              <w:t>לשנה שהסתיימה ביום</w:t>
            </w:r>
          </w:p>
          <w:p w14:paraId="2CDB9A4A" w14:textId="77777777" w:rsidR="00272795" w:rsidRPr="00E470B3" w:rsidRDefault="00272795" w:rsidP="00E470B3">
            <w:pPr>
              <w:spacing w:line="200" w:lineRule="exact"/>
              <w:ind w:left="16" w:hanging="11"/>
              <w:jc w:val="center"/>
              <w:rPr>
                <w:b/>
                <w:sz w:val="18"/>
                <w:szCs w:val="20"/>
              </w:rPr>
            </w:pPr>
            <w:r w:rsidRPr="00E470B3">
              <w:rPr>
                <w:b/>
                <w:sz w:val="18"/>
                <w:szCs w:val="20"/>
                <w:rtl/>
              </w:rPr>
              <w:t>31 בדצמבר</w:t>
            </w:r>
          </w:p>
        </w:tc>
      </w:tr>
      <w:tr w:rsidR="008A629F" w:rsidRPr="00E470B3" w14:paraId="2BD18688" w14:textId="77777777" w:rsidTr="00B267F5">
        <w:trPr>
          <w:cantSplit/>
        </w:trPr>
        <w:tc>
          <w:tcPr>
            <w:tcW w:w="2522" w:type="dxa"/>
            <w:vAlign w:val="bottom"/>
          </w:tcPr>
          <w:p w14:paraId="3BD89013" w14:textId="77777777" w:rsidR="008A629F" w:rsidRPr="00E470B3" w:rsidRDefault="008A629F" w:rsidP="008A629F">
            <w:pPr>
              <w:tabs>
                <w:tab w:val="left" w:pos="227"/>
                <w:tab w:val="left" w:pos="397"/>
                <w:tab w:val="left" w:pos="567"/>
              </w:tabs>
              <w:spacing w:line="200" w:lineRule="exact"/>
              <w:ind w:left="227" w:hanging="170"/>
              <w:jc w:val="left"/>
              <w:rPr>
                <w:sz w:val="18"/>
                <w:szCs w:val="20"/>
              </w:rPr>
            </w:pPr>
          </w:p>
        </w:tc>
        <w:tc>
          <w:tcPr>
            <w:tcW w:w="113" w:type="dxa"/>
            <w:vAlign w:val="bottom"/>
          </w:tcPr>
          <w:p w14:paraId="7E1BFDA5" w14:textId="77777777" w:rsidR="008A629F" w:rsidRPr="00E470B3" w:rsidRDefault="008A629F" w:rsidP="008A629F">
            <w:pPr>
              <w:spacing w:line="200" w:lineRule="exact"/>
              <w:ind w:left="57"/>
              <w:jc w:val="center"/>
              <w:rPr>
                <w:sz w:val="18"/>
                <w:szCs w:val="20"/>
              </w:rPr>
            </w:pPr>
          </w:p>
        </w:tc>
        <w:tc>
          <w:tcPr>
            <w:tcW w:w="907" w:type="dxa"/>
            <w:tcBorders>
              <w:bottom w:val="single" w:sz="6" w:space="0" w:color="auto"/>
            </w:tcBorders>
            <w:vAlign w:val="bottom"/>
          </w:tcPr>
          <w:p w14:paraId="12DE8D7E" w14:textId="25CB4CC5" w:rsidR="008A629F" w:rsidRPr="0097675E" w:rsidRDefault="008A629F" w:rsidP="008A629F">
            <w:pPr>
              <w:spacing w:line="240" w:lineRule="exact"/>
              <w:jc w:val="center"/>
              <w:rPr>
                <w:sz w:val="18"/>
                <w:szCs w:val="20"/>
                <w:rtl/>
              </w:rPr>
            </w:pPr>
            <w:r>
              <w:rPr>
                <w:rFonts w:hint="cs"/>
                <w:sz w:val="18"/>
                <w:szCs w:val="20"/>
                <w:rtl/>
              </w:rPr>
              <w:t>2019</w:t>
            </w:r>
          </w:p>
        </w:tc>
        <w:tc>
          <w:tcPr>
            <w:tcW w:w="181" w:type="dxa"/>
            <w:vAlign w:val="bottom"/>
          </w:tcPr>
          <w:p w14:paraId="7EE6D9A2" w14:textId="77777777" w:rsidR="008A629F" w:rsidRPr="0097675E" w:rsidRDefault="008A629F" w:rsidP="008A629F">
            <w:pPr>
              <w:spacing w:line="240" w:lineRule="exact"/>
              <w:jc w:val="center"/>
              <w:rPr>
                <w:sz w:val="18"/>
                <w:szCs w:val="20"/>
                <w:rtl/>
              </w:rPr>
            </w:pPr>
          </w:p>
        </w:tc>
        <w:tc>
          <w:tcPr>
            <w:tcW w:w="907" w:type="dxa"/>
            <w:tcBorders>
              <w:bottom w:val="single" w:sz="6" w:space="0" w:color="auto"/>
            </w:tcBorders>
            <w:vAlign w:val="bottom"/>
          </w:tcPr>
          <w:p w14:paraId="79382B43" w14:textId="3919A731" w:rsidR="008A629F" w:rsidRPr="0097675E" w:rsidRDefault="008A629F" w:rsidP="008A629F">
            <w:pPr>
              <w:spacing w:line="240" w:lineRule="exact"/>
              <w:jc w:val="center"/>
              <w:rPr>
                <w:sz w:val="18"/>
                <w:szCs w:val="20"/>
                <w:rtl/>
              </w:rPr>
            </w:pPr>
            <w:r>
              <w:rPr>
                <w:rFonts w:hint="cs"/>
                <w:sz w:val="18"/>
                <w:szCs w:val="20"/>
                <w:rtl/>
              </w:rPr>
              <w:t>2018</w:t>
            </w:r>
          </w:p>
        </w:tc>
        <w:tc>
          <w:tcPr>
            <w:tcW w:w="127" w:type="dxa"/>
            <w:gridSpan w:val="2"/>
            <w:vAlign w:val="bottom"/>
          </w:tcPr>
          <w:p w14:paraId="7AE09CA7" w14:textId="77777777" w:rsidR="008A629F" w:rsidRPr="0097675E" w:rsidRDefault="008A629F" w:rsidP="008A629F">
            <w:pPr>
              <w:spacing w:line="200" w:lineRule="exact"/>
              <w:ind w:left="57"/>
              <w:jc w:val="center"/>
              <w:rPr>
                <w:sz w:val="18"/>
                <w:szCs w:val="20"/>
              </w:rPr>
            </w:pPr>
          </w:p>
        </w:tc>
        <w:tc>
          <w:tcPr>
            <w:tcW w:w="907" w:type="dxa"/>
            <w:tcBorders>
              <w:bottom w:val="single" w:sz="6" w:space="0" w:color="auto"/>
            </w:tcBorders>
            <w:vAlign w:val="bottom"/>
          </w:tcPr>
          <w:p w14:paraId="15E6A17D" w14:textId="1E4E6EA2" w:rsidR="008A629F" w:rsidRPr="0097675E" w:rsidRDefault="008A629F" w:rsidP="008A629F">
            <w:pPr>
              <w:spacing w:line="240" w:lineRule="exact"/>
              <w:jc w:val="center"/>
              <w:rPr>
                <w:sz w:val="18"/>
                <w:szCs w:val="20"/>
                <w:rtl/>
              </w:rPr>
            </w:pPr>
            <w:r>
              <w:rPr>
                <w:rFonts w:hint="cs"/>
                <w:sz w:val="18"/>
                <w:szCs w:val="20"/>
                <w:rtl/>
              </w:rPr>
              <w:t>2019</w:t>
            </w:r>
          </w:p>
        </w:tc>
        <w:tc>
          <w:tcPr>
            <w:tcW w:w="171" w:type="dxa"/>
            <w:gridSpan w:val="2"/>
            <w:vAlign w:val="bottom"/>
          </w:tcPr>
          <w:p w14:paraId="4BCE04C3" w14:textId="77777777" w:rsidR="008A629F" w:rsidRPr="0097675E" w:rsidRDefault="008A629F" w:rsidP="008A629F">
            <w:pPr>
              <w:spacing w:line="240" w:lineRule="exact"/>
              <w:jc w:val="center"/>
              <w:rPr>
                <w:sz w:val="18"/>
                <w:szCs w:val="20"/>
                <w:rtl/>
              </w:rPr>
            </w:pPr>
          </w:p>
        </w:tc>
        <w:tc>
          <w:tcPr>
            <w:tcW w:w="907" w:type="dxa"/>
            <w:tcBorders>
              <w:bottom w:val="single" w:sz="6" w:space="0" w:color="auto"/>
            </w:tcBorders>
            <w:vAlign w:val="bottom"/>
          </w:tcPr>
          <w:p w14:paraId="39998A34" w14:textId="3E00838D" w:rsidR="008A629F" w:rsidRPr="0097675E" w:rsidRDefault="008A629F" w:rsidP="008A629F">
            <w:pPr>
              <w:spacing w:line="240" w:lineRule="exact"/>
              <w:jc w:val="center"/>
              <w:rPr>
                <w:sz w:val="18"/>
                <w:szCs w:val="20"/>
                <w:rtl/>
              </w:rPr>
            </w:pPr>
            <w:r>
              <w:rPr>
                <w:rFonts w:hint="cs"/>
                <w:sz w:val="18"/>
                <w:szCs w:val="20"/>
                <w:rtl/>
              </w:rPr>
              <w:t>2018</w:t>
            </w:r>
          </w:p>
        </w:tc>
        <w:tc>
          <w:tcPr>
            <w:tcW w:w="113" w:type="dxa"/>
            <w:vAlign w:val="bottom"/>
          </w:tcPr>
          <w:p w14:paraId="5257ACCE" w14:textId="77777777" w:rsidR="008A629F" w:rsidRPr="00E470B3" w:rsidRDefault="008A629F" w:rsidP="008A629F">
            <w:pPr>
              <w:spacing w:line="200" w:lineRule="exact"/>
              <w:ind w:left="57"/>
              <w:jc w:val="center"/>
              <w:rPr>
                <w:sz w:val="18"/>
                <w:szCs w:val="20"/>
              </w:rPr>
            </w:pPr>
          </w:p>
        </w:tc>
        <w:tc>
          <w:tcPr>
            <w:tcW w:w="1111" w:type="dxa"/>
            <w:tcBorders>
              <w:bottom w:val="single" w:sz="6" w:space="0" w:color="auto"/>
            </w:tcBorders>
            <w:vAlign w:val="bottom"/>
          </w:tcPr>
          <w:p w14:paraId="088D325B" w14:textId="4F510FC4" w:rsidR="008A629F" w:rsidRDefault="008A629F" w:rsidP="008A629F">
            <w:pPr>
              <w:tabs>
                <w:tab w:val="left" w:pos="227"/>
                <w:tab w:val="left" w:pos="397"/>
                <w:tab w:val="left" w:pos="567"/>
              </w:tabs>
              <w:spacing w:line="200" w:lineRule="exact"/>
              <w:ind w:left="227" w:hanging="170"/>
              <w:jc w:val="center"/>
              <w:rPr>
                <w:b/>
                <w:sz w:val="18"/>
                <w:szCs w:val="20"/>
              </w:rPr>
            </w:pPr>
            <w:r>
              <w:rPr>
                <w:rFonts w:hint="cs"/>
                <w:b/>
                <w:sz w:val="18"/>
                <w:szCs w:val="20"/>
                <w:rtl/>
              </w:rPr>
              <w:t>2018</w:t>
            </w:r>
          </w:p>
        </w:tc>
      </w:tr>
      <w:tr w:rsidR="008A629F" w:rsidRPr="00E470B3" w14:paraId="1560F222" w14:textId="77777777" w:rsidTr="00B267F5">
        <w:trPr>
          <w:cantSplit/>
        </w:trPr>
        <w:tc>
          <w:tcPr>
            <w:tcW w:w="2522" w:type="dxa"/>
            <w:vAlign w:val="bottom"/>
          </w:tcPr>
          <w:p w14:paraId="2022CF19" w14:textId="77777777" w:rsidR="008A629F" w:rsidRPr="00E470B3" w:rsidRDefault="008A629F" w:rsidP="008A629F">
            <w:pPr>
              <w:tabs>
                <w:tab w:val="left" w:pos="227"/>
                <w:tab w:val="left" w:pos="397"/>
                <w:tab w:val="left" w:pos="567"/>
              </w:tabs>
              <w:spacing w:line="200" w:lineRule="exact"/>
              <w:ind w:left="227" w:hanging="170"/>
              <w:jc w:val="left"/>
              <w:rPr>
                <w:sz w:val="18"/>
                <w:szCs w:val="20"/>
              </w:rPr>
            </w:pPr>
          </w:p>
        </w:tc>
        <w:tc>
          <w:tcPr>
            <w:tcW w:w="113" w:type="dxa"/>
            <w:vAlign w:val="bottom"/>
          </w:tcPr>
          <w:p w14:paraId="726FB4B1" w14:textId="77777777" w:rsidR="008A629F" w:rsidRPr="00E470B3" w:rsidRDefault="008A629F" w:rsidP="008A629F">
            <w:pPr>
              <w:spacing w:line="200" w:lineRule="exact"/>
              <w:ind w:left="57"/>
              <w:jc w:val="center"/>
              <w:rPr>
                <w:sz w:val="18"/>
                <w:szCs w:val="20"/>
              </w:rPr>
            </w:pPr>
          </w:p>
        </w:tc>
        <w:tc>
          <w:tcPr>
            <w:tcW w:w="4107" w:type="dxa"/>
            <w:gridSpan w:val="9"/>
            <w:tcBorders>
              <w:bottom w:val="single" w:sz="6" w:space="0" w:color="auto"/>
            </w:tcBorders>
            <w:vAlign w:val="bottom"/>
          </w:tcPr>
          <w:p w14:paraId="4273D67F" w14:textId="77777777" w:rsidR="008A629F" w:rsidRPr="00E470B3" w:rsidRDefault="008A629F" w:rsidP="008A629F">
            <w:pPr>
              <w:spacing w:line="200" w:lineRule="exact"/>
              <w:ind w:left="57"/>
              <w:jc w:val="center"/>
              <w:rPr>
                <w:sz w:val="18"/>
                <w:szCs w:val="20"/>
              </w:rPr>
            </w:pPr>
            <w:r w:rsidRPr="00E470B3">
              <w:rPr>
                <w:sz w:val="18"/>
                <w:szCs w:val="20"/>
                <w:rtl/>
              </w:rPr>
              <w:t>בלתי מבוקר</w:t>
            </w:r>
          </w:p>
        </w:tc>
        <w:tc>
          <w:tcPr>
            <w:tcW w:w="113" w:type="dxa"/>
            <w:vAlign w:val="bottom"/>
          </w:tcPr>
          <w:p w14:paraId="70F8AB10" w14:textId="77777777" w:rsidR="008A629F" w:rsidRPr="00E470B3" w:rsidRDefault="008A629F" w:rsidP="008A629F">
            <w:pPr>
              <w:spacing w:line="200" w:lineRule="exact"/>
              <w:ind w:left="57"/>
              <w:jc w:val="center"/>
              <w:rPr>
                <w:sz w:val="18"/>
                <w:szCs w:val="20"/>
              </w:rPr>
            </w:pPr>
          </w:p>
        </w:tc>
        <w:tc>
          <w:tcPr>
            <w:tcW w:w="1111" w:type="dxa"/>
            <w:tcBorders>
              <w:bottom w:val="single" w:sz="6" w:space="0" w:color="auto"/>
            </w:tcBorders>
            <w:vAlign w:val="bottom"/>
          </w:tcPr>
          <w:p w14:paraId="0EC7785B" w14:textId="77777777" w:rsidR="008A629F" w:rsidRPr="00E470B3" w:rsidRDefault="008A629F" w:rsidP="008A629F">
            <w:pPr>
              <w:tabs>
                <w:tab w:val="left" w:pos="227"/>
                <w:tab w:val="left" w:pos="397"/>
                <w:tab w:val="left" w:pos="567"/>
              </w:tabs>
              <w:spacing w:line="200" w:lineRule="exact"/>
              <w:ind w:left="227" w:hanging="170"/>
              <w:jc w:val="center"/>
              <w:rPr>
                <w:b/>
                <w:sz w:val="18"/>
                <w:szCs w:val="20"/>
              </w:rPr>
            </w:pPr>
            <w:r w:rsidRPr="00E470B3">
              <w:rPr>
                <w:b/>
                <w:sz w:val="18"/>
                <w:szCs w:val="20"/>
                <w:rtl/>
              </w:rPr>
              <w:t>מבוקר</w:t>
            </w:r>
          </w:p>
        </w:tc>
      </w:tr>
      <w:tr w:rsidR="008A629F" w:rsidRPr="00E470B3" w14:paraId="40388D42" w14:textId="77777777" w:rsidTr="00B267F5">
        <w:trPr>
          <w:cantSplit/>
        </w:trPr>
        <w:tc>
          <w:tcPr>
            <w:tcW w:w="2522" w:type="dxa"/>
            <w:vAlign w:val="bottom"/>
          </w:tcPr>
          <w:p w14:paraId="4335C93C" w14:textId="77777777" w:rsidR="008A629F" w:rsidRPr="00E470B3" w:rsidRDefault="008A629F" w:rsidP="008A629F">
            <w:pPr>
              <w:tabs>
                <w:tab w:val="left" w:pos="227"/>
                <w:tab w:val="left" w:pos="397"/>
                <w:tab w:val="left" w:pos="567"/>
              </w:tabs>
              <w:spacing w:line="200" w:lineRule="exact"/>
              <w:ind w:left="227" w:hanging="170"/>
              <w:jc w:val="left"/>
              <w:rPr>
                <w:sz w:val="18"/>
                <w:szCs w:val="20"/>
              </w:rPr>
            </w:pPr>
          </w:p>
        </w:tc>
        <w:tc>
          <w:tcPr>
            <w:tcW w:w="113" w:type="dxa"/>
            <w:vAlign w:val="bottom"/>
          </w:tcPr>
          <w:p w14:paraId="0175D632" w14:textId="77777777" w:rsidR="008A629F" w:rsidRPr="00E470B3" w:rsidRDefault="008A629F" w:rsidP="008A629F">
            <w:pPr>
              <w:spacing w:line="200" w:lineRule="exact"/>
              <w:ind w:left="57"/>
              <w:jc w:val="center"/>
              <w:rPr>
                <w:sz w:val="18"/>
                <w:szCs w:val="20"/>
              </w:rPr>
            </w:pPr>
          </w:p>
        </w:tc>
        <w:tc>
          <w:tcPr>
            <w:tcW w:w="5331" w:type="dxa"/>
            <w:gridSpan w:val="11"/>
            <w:tcBorders>
              <w:bottom w:val="single" w:sz="6" w:space="0" w:color="auto"/>
            </w:tcBorders>
            <w:vAlign w:val="bottom"/>
          </w:tcPr>
          <w:p w14:paraId="20A6F603" w14:textId="77777777" w:rsidR="008A629F" w:rsidRPr="00E470B3" w:rsidRDefault="008A629F" w:rsidP="008A629F">
            <w:pPr>
              <w:tabs>
                <w:tab w:val="left" w:pos="227"/>
                <w:tab w:val="left" w:pos="397"/>
                <w:tab w:val="left" w:pos="567"/>
              </w:tabs>
              <w:spacing w:line="200" w:lineRule="exact"/>
              <w:ind w:left="227" w:hanging="170"/>
              <w:jc w:val="center"/>
              <w:rPr>
                <w:b/>
                <w:sz w:val="18"/>
                <w:szCs w:val="20"/>
              </w:rPr>
            </w:pPr>
            <w:r w:rsidRPr="00E470B3">
              <w:rPr>
                <w:rFonts w:hint="cs"/>
                <w:b/>
                <w:sz w:val="18"/>
                <w:szCs w:val="20"/>
                <w:rtl/>
              </w:rPr>
              <w:t xml:space="preserve">אלפי ש"ח </w:t>
            </w:r>
          </w:p>
        </w:tc>
      </w:tr>
      <w:tr w:rsidR="008A629F" w:rsidRPr="00E470B3" w14:paraId="4852A94F" w14:textId="77777777" w:rsidTr="00B267F5">
        <w:trPr>
          <w:cantSplit/>
        </w:trPr>
        <w:tc>
          <w:tcPr>
            <w:tcW w:w="2522" w:type="dxa"/>
            <w:vAlign w:val="bottom"/>
          </w:tcPr>
          <w:p w14:paraId="548FFCD9" w14:textId="77777777" w:rsidR="008A629F" w:rsidRPr="00E470B3" w:rsidRDefault="008A629F" w:rsidP="008A629F">
            <w:pPr>
              <w:tabs>
                <w:tab w:val="left" w:pos="227"/>
                <w:tab w:val="left" w:pos="397"/>
                <w:tab w:val="left" w:pos="567"/>
              </w:tabs>
              <w:spacing w:line="200" w:lineRule="exact"/>
              <w:ind w:left="227" w:hanging="170"/>
              <w:jc w:val="left"/>
              <w:rPr>
                <w:sz w:val="18"/>
                <w:szCs w:val="20"/>
                <w:u w:val="single"/>
              </w:rPr>
            </w:pPr>
          </w:p>
        </w:tc>
        <w:tc>
          <w:tcPr>
            <w:tcW w:w="113" w:type="dxa"/>
            <w:vAlign w:val="bottom"/>
          </w:tcPr>
          <w:p w14:paraId="32E3E727" w14:textId="77777777" w:rsidR="008A629F" w:rsidRPr="00E470B3" w:rsidRDefault="008A629F" w:rsidP="008A629F">
            <w:pPr>
              <w:spacing w:line="200" w:lineRule="exact"/>
              <w:ind w:left="57"/>
              <w:rPr>
                <w:bCs/>
                <w:sz w:val="18"/>
                <w:szCs w:val="20"/>
                <w:u w:val="single"/>
              </w:rPr>
            </w:pPr>
          </w:p>
        </w:tc>
        <w:tc>
          <w:tcPr>
            <w:tcW w:w="907" w:type="dxa"/>
            <w:vAlign w:val="bottom"/>
          </w:tcPr>
          <w:p w14:paraId="6C27803B" w14:textId="77777777" w:rsidR="008A629F" w:rsidRPr="00E470B3" w:rsidRDefault="008A629F" w:rsidP="008A629F">
            <w:pPr>
              <w:tabs>
                <w:tab w:val="decimal" w:pos="113"/>
              </w:tabs>
              <w:spacing w:line="200" w:lineRule="exact"/>
              <w:ind w:left="57"/>
              <w:rPr>
                <w:bCs/>
                <w:iCs/>
                <w:sz w:val="18"/>
                <w:szCs w:val="20"/>
              </w:rPr>
            </w:pPr>
          </w:p>
        </w:tc>
        <w:tc>
          <w:tcPr>
            <w:tcW w:w="181" w:type="dxa"/>
            <w:vAlign w:val="bottom"/>
          </w:tcPr>
          <w:p w14:paraId="426F590F" w14:textId="77777777" w:rsidR="008A629F" w:rsidRPr="00E470B3" w:rsidRDefault="008A629F" w:rsidP="008A629F">
            <w:pPr>
              <w:tabs>
                <w:tab w:val="decimal" w:pos="113"/>
              </w:tabs>
              <w:spacing w:line="200" w:lineRule="exact"/>
              <w:ind w:left="57"/>
              <w:rPr>
                <w:sz w:val="18"/>
                <w:szCs w:val="20"/>
              </w:rPr>
            </w:pPr>
          </w:p>
        </w:tc>
        <w:tc>
          <w:tcPr>
            <w:tcW w:w="907" w:type="dxa"/>
            <w:vAlign w:val="bottom"/>
          </w:tcPr>
          <w:p w14:paraId="44B87794" w14:textId="77777777" w:rsidR="008A629F" w:rsidRPr="00E470B3" w:rsidRDefault="008A629F" w:rsidP="008A629F">
            <w:pPr>
              <w:tabs>
                <w:tab w:val="decimal" w:pos="113"/>
              </w:tabs>
              <w:spacing w:line="200" w:lineRule="exact"/>
              <w:ind w:left="57"/>
              <w:rPr>
                <w:sz w:val="18"/>
                <w:szCs w:val="20"/>
              </w:rPr>
            </w:pPr>
          </w:p>
        </w:tc>
        <w:tc>
          <w:tcPr>
            <w:tcW w:w="117" w:type="dxa"/>
            <w:vAlign w:val="bottom"/>
          </w:tcPr>
          <w:p w14:paraId="73D04E84" w14:textId="77777777" w:rsidR="008A629F" w:rsidRPr="00E470B3" w:rsidRDefault="008A629F" w:rsidP="008A629F">
            <w:pPr>
              <w:tabs>
                <w:tab w:val="decimal" w:pos="113"/>
              </w:tabs>
              <w:spacing w:line="200" w:lineRule="exact"/>
              <w:ind w:left="57"/>
              <w:rPr>
                <w:sz w:val="18"/>
                <w:szCs w:val="20"/>
              </w:rPr>
            </w:pPr>
          </w:p>
        </w:tc>
        <w:tc>
          <w:tcPr>
            <w:tcW w:w="917" w:type="dxa"/>
            <w:gridSpan w:val="2"/>
            <w:vAlign w:val="bottom"/>
          </w:tcPr>
          <w:p w14:paraId="1961116C" w14:textId="77777777" w:rsidR="008A629F" w:rsidRPr="00E470B3" w:rsidRDefault="008A629F" w:rsidP="008A629F">
            <w:pPr>
              <w:tabs>
                <w:tab w:val="decimal" w:pos="113"/>
              </w:tabs>
              <w:spacing w:line="200" w:lineRule="exact"/>
              <w:ind w:left="57"/>
              <w:rPr>
                <w:sz w:val="18"/>
                <w:szCs w:val="20"/>
              </w:rPr>
            </w:pPr>
          </w:p>
        </w:tc>
        <w:tc>
          <w:tcPr>
            <w:tcW w:w="156" w:type="dxa"/>
            <w:vAlign w:val="bottom"/>
          </w:tcPr>
          <w:p w14:paraId="3BE60C44" w14:textId="77777777" w:rsidR="008A629F" w:rsidRPr="00E470B3" w:rsidRDefault="008A629F" w:rsidP="008A629F">
            <w:pPr>
              <w:tabs>
                <w:tab w:val="decimal" w:pos="113"/>
              </w:tabs>
              <w:spacing w:line="200" w:lineRule="exact"/>
              <w:ind w:left="57"/>
              <w:rPr>
                <w:sz w:val="18"/>
                <w:szCs w:val="20"/>
              </w:rPr>
            </w:pPr>
          </w:p>
        </w:tc>
        <w:tc>
          <w:tcPr>
            <w:tcW w:w="922" w:type="dxa"/>
            <w:gridSpan w:val="2"/>
            <w:vAlign w:val="bottom"/>
          </w:tcPr>
          <w:p w14:paraId="037150BE" w14:textId="77777777" w:rsidR="008A629F" w:rsidRPr="00E470B3" w:rsidRDefault="008A629F" w:rsidP="008A629F">
            <w:pPr>
              <w:tabs>
                <w:tab w:val="decimal" w:pos="113"/>
              </w:tabs>
              <w:spacing w:line="200" w:lineRule="exact"/>
              <w:ind w:left="57"/>
              <w:rPr>
                <w:sz w:val="18"/>
                <w:szCs w:val="20"/>
              </w:rPr>
            </w:pPr>
          </w:p>
        </w:tc>
        <w:tc>
          <w:tcPr>
            <w:tcW w:w="113" w:type="dxa"/>
            <w:vAlign w:val="bottom"/>
          </w:tcPr>
          <w:p w14:paraId="2D3339CE" w14:textId="77777777" w:rsidR="008A629F" w:rsidRPr="00E470B3" w:rsidRDefault="008A629F" w:rsidP="008A629F">
            <w:pPr>
              <w:tabs>
                <w:tab w:val="decimal" w:pos="113"/>
              </w:tabs>
              <w:spacing w:line="200" w:lineRule="exact"/>
              <w:ind w:left="57"/>
              <w:rPr>
                <w:sz w:val="18"/>
                <w:szCs w:val="20"/>
              </w:rPr>
            </w:pPr>
          </w:p>
        </w:tc>
        <w:tc>
          <w:tcPr>
            <w:tcW w:w="1111" w:type="dxa"/>
            <w:vAlign w:val="bottom"/>
          </w:tcPr>
          <w:p w14:paraId="213D50D4" w14:textId="77777777" w:rsidR="008A629F" w:rsidRPr="00E470B3" w:rsidRDefault="008A629F" w:rsidP="008A629F">
            <w:pPr>
              <w:tabs>
                <w:tab w:val="left" w:pos="227"/>
                <w:tab w:val="left" w:pos="397"/>
                <w:tab w:val="left" w:pos="567"/>
              </w:tabs>
              <w:spacing w:line="200" w:lineRule="exact"/>
              <w:ind w:left="227" w:hanging="170"/>
              <w:jc w:val="left"/>
              <w:rPr>
                <w:b/>
                <w:sz w:val="18"/>
                <w:szCs w:val="20"/>
              </w:rPr>
            </w:pPr>
          </w:p>
        </w:tc>
      </w:tr>
      <w:tr w:rsidR="008A629F" w:rsidRPr="00E470B3" w14:paraId="52B20774" w14:textId="77777777" w:rsidTr="00B267F5">
        <w:trPr>
          <w:cantSplit/>
        </w:trPr>
        <w:tc>
          <w:tcPr>
            <w:tcW w:w="2522" w:type="dxa"/>
          </w:tcPr>
          <w:p w14:paraId="263622CD" w14:textId="77777777" w:rsidR="008A629F" w:rsidRPr="00E470B3" w:rsidRDefault="008A629F" w:rsidP="008A629F">
            <w:pPr>
              <w:widowControl/>
              <w:spacing w:line="200" w:lineRule="exact"/>
              <w:ind w:left="57"/>
              <w:jc w:val="left"/>
              <w:rPr>
                <w:sz w:val="18"/>
                <w:szCs w:val="20"/>
                <w:rtl/>
              </w:rPr>
            </w:pPr>
            <w:r w:rsidRPr="00E470B3">
              <w:rPr>
                <w:rFonts w:hint="cs"/>
                <w:sz w:val="18"/>
                <w:szCs w:val="20"/>
                <w:rtl/>
              </w:rPr>
              <w:t>הכנסות</w:t>
            </w:r>
          </w:p>
        </w:tc>
        <w:tc>
          <w:tcPr>
            <w:tcW w:w="113" w:type="dxa"/>
            <w:vAlign w:val="bottom"/>
          </w:tcPr>
          <w:p w14:paraId="05E1E9EB"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46D78EDF"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5690EB2F"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109B52AD"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31BF8034"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1AA61E10"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71DC171D"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236FA26E"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0CB72936"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69B4A886" w14:textId="77777777" w:rsidR="008A629F" w:rsidRPr="00E470B3" w:rsidRDefault="008A629F" w:rsidP="008A629F">
            <w:pPr>
              <w:tabs>
                <w:tab w:val="decimal" w:pos="113"/>
              </w:tabs>
              <w:spacing w:line="200" w:lineRule="exact"/>
              <w:jc w:val="left"/>
              <w:rPr>
                <w:sz w:val="18"/>
                <w:szCs w:val="20"/>
              </w:rPr>
            </w:pPr>
          </w:p>
        </w:tc>
      </w:tr>
      <w:tr w:rsidR="008A629F" w:rsidRPr="00E470B3" w14:paraId="7743492A" w14:textId="77777777" w:rsidTr="00B267F5">
        <w:trPr>
          <w:cantSplit/>
        </w:trPr>
        <w:tc>
          <w:tcPr>
            <w:tcW w:w="2522" w:type="dxa"/>
          </w:tcPr>
          <w:p w14:paraId="12D4C0C4" w14:textId="77777777" w:rsidR="008A629F" w:rsidRPr="00E470B3" w:rsidRDefault="008A629F" w:rsidP="008A629F">
            <w:pPr>
              <w:widowControl/>
              <w:spacing w:line="200" w:lineRule="exact"/>
              <w:ind w:left="57"/>
              <w:jc w:val="left"/>
              <w:rPr>
                <w:sz w:val="18"/>
                <w:szCs w:val="20"/>
                <w:rtl/>
              </w:rPr>
            </w:pPr>
          </w:p>
        </w:tc>
        <w:tc>
          <w:tcPr>
            <w:tcW w:w="113" w:type="dxa"/>
            <w:vAlign w:val="bottom"/>
          </w:tcPr>
          <w:p w14:paraId="06F3C798"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tcBorders>
            <w:vAlign w:val="bottom"/>
          </w:tcPr>
          <w:p w14:paraId="513CC206"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22EC35AD"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tcBorders>
            <w:vAlign w:val="bottom"/>
          </w:tcPr>
          <w:p w14:paraId="5AD3EAFD"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0EEACE25"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tcBorders>
            <w:vAlign w:val="bottom"/>
          </w:tcPr>
          <w:p w14:paraId="60F319F0"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6936E460"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tcBorders>
            <w:vAlign w:val="bottom"/>
          </w:tcPr>
          <w:p w14:paraId="79E42F0F"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41EE39C7"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tcBorders>
            <w:vAlign w:val="bottom"/>
          </w:tcPr>
          <w:p w14:paraId="6B2B4D59" w14:textId="77777777" w:rsidR="008A629F" w:rsidRPr="00E470B3" w:rsidRDefault="008A629F" w:rsidP="008A629F">
            <w:pPr>
              <w:tabs>
                <w:tab w:val="decimal" w:pos="113"/>
              </w:tabs>
              <w:spacing w:line="200" w:lineRule="exact"/>
              <w:jc w:val="left"/>
              <w:rPr>
                <w:sz w:val="18"/>
                <w:szCs w:val="20"/>
              </w:rPr>
            </w:pPr>
          </w:p>
        </w:tc>
      </w:tr>
      <w:tr w:rsidR="008A629F" w:rsidRPr="00E470B3" w14:paraId="6ED0A6AE" w14:textId="77777777" w:rsidTr="00B267F5">
        <w:trPr>
          <w:cantSplit/>
        </w:trPr>
        <w:tc>
          <w:tcPr>
            <w:tcW w:w="2522" w:type="dxa"/>
          </w:tcPr>
          <w:p w14:paraId="6B5AB795" w14:textId="77777777" w:rsidR="008A629F" w:rsidRPr="00E470B3" w:rsidRDefault="008A629F" w:rsidP="008A629F">
            <w:pPr>
              <w:widowControl/>
              <w:spacing w:line="200" w:lineRule="exact"/>
              <w:ind w:left="57"/>
              <w:jc w:val="left"/>
              <w:rPr>
                <w:sz w:val="18"/>
                <w:szCs w:val="20"/>
                <w:rtl/>
              </w:rPr>
            </w:pPr>
            <w:r w:rsidRPr="00E470B3">
              <w:rPr>
                <w:rFonts w:hint="cs"/>
                <w:sz w:val="18"/>
                <w:szCs w:val="20"/>
                <w:rtl/>
              </w:rPr>
              <w:t>רווח (הפסד) גולמי</w:t>
            </w:r>
          </w:p>
        </w:tc>
        <w:tc>
          <w:tcPr>
            <w:tcW w:w="113" w:type="dxa"/>
            <w:vAlign w:val="bottom"/>
          </w:tcPr>
          <w:p w14:paraId="1241BB8E"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7EC4E3C4"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6262C459"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021364C6"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3D0DBC9F"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5309FE8C"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41772916"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136FFDDF"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4A6B156C"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0921C008" w14:textId="77777777" w:rsidR="008A629F" w:rsidRPr="00E470B3" w:rsidRDefault="008A629F" w:rsidP="008A629F">
            <w:pPr>
              <w:tabs>
                <w:tab w:val="decimal" w:pos="113"/>
              </w:tabs>
              <w:spacing w:line="200" w:lineRule="exact"/>
              <w:jc w:val="left"/>
              <w:rPr>
                <w:sz w:val="18"/>
                <w:szCs w:val="20"/>
              </w:rPr>
            </w:pPr>
          </w:p>
        </w:tc>
      </w:tr>
      <w:tr w:rsidR="008A629F" w:rsidRPr="00E470B3" w14:paraId="1A64CFE4" w14:textId="77777777" w:rsidTr="00B267F5">
        <w:trPr>
          <w:cantSplit/>
        </w:trPr>
        <w:tc>
          <w:tcPr>
            <w:tcW w:w="2522" w:type="dxa"/>
          </w:tcPr>
          <w:p w14:paraId="55974EC1" w14:textId="77777777" w:rsidR="008A629F" w:rsidRPr="00E470B3" w:rsidRDefault="008A629F" w:rsidP="008A629F">
            <w:pPr>
              <w:widowControl/>
              <w:spacing w:line="200" w:lineRule="exact"/>
              <w:ind w:left="57"/>
              <w:jc w:val="left"/>
              <w:rPr>
                <w:sz w:val="18"/>
                <w:szCs w:val="20"/>
                <w:rtl/>
              </w:rPr>
            </w:pPr>
          </w:p>
        </w:tc>
        <w:tc>
          <w:tcPr>
            <w:tcW w:w="113" w:type="dxa"/>
            <w:vAlign w:val="bottom"/>
          </w:tcPr>
          <w:p w14:paraId="28B53189"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tcBorders>
            <w:vAlign w:val="bottom"/>
          </w:tcPr>
          <w:p w14:paraId="4A3A0C11"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2FEDC3F7"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tcBorders>
            <w:vAlign w:val="bottom"/>
          </w:tcPr>
          <w:p w14:paraId="4F83A1C3"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07E1972D"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tcBorders>
            <w:vAlign w:val="bottom"/>
          </w:tcPr>
          <w:p w14:paraId="74714AF3"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39552F8F"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tcBorders>
            <w:vAlign w:val="bottom"/>
          </w:tcPr>
          <w:p w14:paraId="140E4E5A"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03E09E87"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tcBorders>
            <w:vAlign w:val="bottom"/>
          </w:tcPr>
          <w:p w14:paraId="5B2E4DA0" w14:textId="77777777" w:rsidR="008A629F" w:rsidRPr="00E470B3" w:rsidRDefault="008A629F" w:rsidP="008A629F">
            <w:pPr>
              <w:tabs>
                <w:tab w:val="decimal" w:pos="113"/>
              </w:tabs>
              <w:spacing w:line="200" w:lineRule="exact"/>
              <w:jc w:val="left"/>
              <w:rPr>
                <w:sz w:val="18"/>
                <w:szCs w:val="20"/>
              </w:rPr>
            </w:pPr>
          </w:p>
        </w:tc>
      </w:tr>
      <w:tr w:rsidR="008A629F" w:rsidRPr="00E470B3" w14:paraId="198D66B6" w14:textId="77777777" w:rsidTr="00B267F5">
        <w:trPr>
          <w:cantSplit/>
        </w:trPr>
        <w:tc>
          <w:tcPr>
            <w:tcW w:w="2522" w:type="dxa"/>
          </w:tcPr>
          <w:p w14:paraId="28880C5C" w14:textId="77777777" w:rsidR="008A629F" w:rsidRPr="00E470B3" w:rsidRDefault="008A629F" w:rsidP="008A629F">
            <w:pPr>
              <w:widowControl/>
              <w:spacing w:line="200" w:lineRule="exact"/>
              <w:ind w:left="57"/>
              <w:jc w:val="left"/>
              <w:rPr>
                <w:sz w:val="18"/>
                <w:szCs w:val="20"/>
                <w:rtl/>
              </w:rPr>
            </w:pPr>
            <w:r w:rsidRPr="00E470B3">
              <w:rPr>
                <w:rFonts w:hint="cs"/>
                <w:sz w:val="18"/>
                <w:szCs w:val="20"/>
                <w:rtl/>
              </w:rPr>
              <w:t>רווח (הפסד) תפעולי</w:t>
            </w:r>
          </w:p>
        </w:tc>
        <w:tc>
          <w:tcPr>
            <w:tcW w:w="113" w:type="dxa"/>
            <w:vAlign w:val="bottom"/>
          </w:tcPr>
          <w:p w14:paraId="064EF78C"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1E7B6C56"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7FF7D4BD"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61A94B06"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36B00277"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195B6E8B"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63AC7FC5"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6BAE8806"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21A537C1"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5A58BE67" w14:textId="77777777" w:rsidR="008A629F" w:rsidRPr="00E470B3" w:rsidRDefault="008A629F" w:rsidP="008A629F">
            <w:pPr>
              <w:tabs>
                <w:tab w:val="decimal" w:pos="113"/>
              </w:tabs>
              <w:spacing w:line="200" w:lineRule="exact"/>
              <w:jc w:val="left"/>
              <w:rPr>
                <w:sz w:val="18"/>
                <w:szCs w:val="20"/>
              </w:rPr>
            </w:pPr>
          </w:p>
        </w:tc>
      </w:tr>
      <w:tr w:rsidR="008A629F" w:rsidRPr="00E470B3" w14:paraId="2A7A0D17" w14:textId="77777777" w:rsidTr="00B267F5">
        <w:trPr>
          <w:cantSplit/>
        </w:trPr>
        <w:tc>
          <w:tcPr>
            <w:tcW w:w="2522" w:type="dxa"/>
          </w:tcPr>
          <w:p w14:paraId="60AA202B" w14:textId="77777777" w:rsidR="008A629F" w:rsidRPr="00E470B3" w:rsidRDefault="008A629F" w:rsidP="008A629F">
            <w:pPr>
              <w:widowControl/>
              <w:spacing w:line="200" w:lineRule="exact"/>
              <w:ind w:left="57"/>
              <w:jc w:val="left"/>
              <w:rPr>
                <w:sz w:val="18"/>
                <w:szCs w:val="20"/>
                <w:rtl/>
              </w:rPr>
            </w:pPr>
          </w:p>
        </w:tc>
        <w:tc>
          <w:tcPr>
            <w:tcW w:w="113" w:type="dxa"/>
            <w:vAlign w:val="bottom"/>
          </w:tcPr>
          <w:p w14:paraId="79A0F978"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tcBorders>
            <w:vAlign w:val="bottom"/>
          </w:tcPr>
          <w:p w14:paraId="2F8F675B"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2B7CE427"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tcBorders>
            <w:vAlign w:val="bottom"/>
          </w:tcPr>
          <w:p w14:paraId="71497AB1"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2AF4BFEE"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tcBorders>
            <w:vAlign w:val="bottom"/>
          </w:tcPr>
          <w:p w14:paraId="0A73C908"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16F3FAE5"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tcBorders>
            <w:vAlign w:val="bottom"/>
          </w:tcPr>
          <w:p w14:paraId="28ECE581"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232D5630"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tcBorders>
            <w:vAlign w:val="bottom"/>
          </w:tcPr>
          <w:p w14:paraId="1D503E7D" w14:textId="77777777" w:rsidR="008A629F" w:rsidRPr="00E470B3" w:rsidRDefault="008A629F" w:rsidP="008A629F">
            <w:pPr>
              <w:tabs>
                <w:tab w:val="decimal" w:pos="113"/>
              </w:tabs>
              <w:spacing w:line="200" w:lineRule="exact"/>
              <w:jc w:val="left"/>
              <w:rPr>
                <w:sz w:val="18"/>
                <w:szCs w:val="20"/>
              </w:rPr>
            </w:pPr>
          </w:p>
        </w:tc>
      </w:tr>
      <w:tr w:rsidR="008A629F" w:rsidRPr="00E470B3" w14:paraId="2332F6C2" w14:textId="77777777" w:rsidTr="00B267F5">
        <w:trPr>
          <w:cantSplit/>
        </w:trPr>
        <w:tc>
          <w:tcPr>
            <w:tcW w:w="2522" w:type="dxa"/>
          </w:tcPr>
          <w:p w14:paraId="2754F05E" w14:textId="77777777" w:rsidR="008A629F" w:rsidRPr="00E470B3" w:rsidRDefault="008A629F" w:rsidP="008A629F">
            <w:pPr>
              <w:widowControl/>
              <w:spacing w:line="200" w:lineRule="exact"/>
              <w:ind w:left="57"/>
              <w:jc w:val="left"/>
              <w:rPr>
                <w:sz w:val="18"/>
                <w:szCs w:val="20"/>
                <w:vertAlign w:val="superscript"/>
                <w:rtl/>
              </w:rPr>
            </w:pPr>
            <w:r w:rsidRPr="00E470B3">
              <w:rPr>
                <w:rFonts w:hint="cs"/>
                <w:sz w:val="18"/>
                <w:szCs w:val="20"/>
                <w:rtl/>
              </w:rPr>
              <w:t>רווח נקי (הפסד)</w:t>
            </w:r>
          </w:p>
        </w:tc>
        <w:tc>
          <w:tcPr>
            <w:tcW w:w="113" w:type="dxa"/>
            <w:vAlign w:val="bottom"/>
          </w:tcPr>
          <w:p w14:paraId="009604CB"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16428D88"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123C4D36"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2E6AD571"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538B1073"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1902FD69"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22C0570D"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47D84026"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4E21D502"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02F59A74" w14:textId="77777777" w:rsidR="008A629F" w:rsidRPr="00E470B3" w:rsidRDefault="008A629F" w:rsidP="008A629F">
            <w:pPr>
              <w:tabs>
                <w:tab w:val="decimal" w:pos="113"/>
              </w:tabs>
              <w:spacing w:line="200" w:lineRule="exact"/>
              <w:jc w:val="left"/>
              <w:rPr>
                <w:sz w:val="18"/>
                <w:szCs w:val="20"/>
              </w:rPr>
            </w:pPr>
          </w:p>
        </w:tc>
      </w:tr>
      <w:tr w:rsidR="008A629F" w:rsidRPr="00E470B3" w14:paraId="40A45ECC" w14:textId="77777777" w:rsidTr="00B267F5">
        <w:trPr>
          <w:cantSplit/>
        </w:trPr>
        <w:tc>
          <w:tcPr>
            <w:tcW w:w="2522" w:type="dxa"/>
          </w:tcPr>
          <w:p w14:paraId="7531472B" w14:textId="77777777" w:rsidR="008A629F" w:rsidRPr="00E470B3" w:rsidRDefault="008A629F" w:rsidP="008A629F">
            <w:pPr>
              <w:widowControl/>
              <w:tabs>
                <w:tab w:val="left" w:pos="227"/>
                <w:tab w:val="left" w:pos="397"/>
                <w:tab w:val="left" w:pos="567"/>
              </w:tabs>
              <w:spacing w:line="200" w:lineRule="exact"/>
              <w:jc w:val="left"/>
              <w:rPr>
                <w:sz w:val="18"/>
                <w:szCs w:val="20"/>
                <w:rtl/>
              </w:rPr>
            </w:pPr>
          </w:p>
        </w:tc>
        <w:tc>
          <w:tcPr>
            <w:tcW w:w="113" w:type="dxa"/>
            <w:vAlign w:val="bottom"/>
          </w:tcPr>
          <w:p w14:paraId="7E843387"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tcBorders>
            <w:vAlign w:val="bottom"/>
          </w:tcPr>
          <w:p w14:paraId="30B9CC70"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62E4AB0B"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tcBorders>
            <w:vAlign w:val="bottom"/>
          </w:tcPr>
          <w:p w14:paraId="7982B456"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264D444D"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tcBorders>
            <w:vAlign w:val="bottom"/>
          </w:tcPr>
          <w:p w14:paraId="7D41F797"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66C44FD8"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tcBorders>
            <w:vAlign w:val="bottom"/>
          </w:tcPr>
          <w:p w14:paraId="1437F234"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41537B79"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tcBorders>
            <w:vAlign w:val="bottom"/>
          </w:tcPr>
          <w:p w14:paraId="3AB4AED8" w14:textId="77777777" w:rsidR="008A629F" w:rsidRPr="00E470B3" w:rsidRDefault="008A629F" w:rsidP="008A629F">
            <w:pPr>
              <w:tabs>
                <w:tab w:val="decimal" w:pos="113"/>
              </w:tabs>
              <w:spacing w:line="200" w:lineRule="exact"/>
              <w:jc w:val="left"/>
              <w:rPr>
                <w:sz w:val="18"/>
                <w:szCs w:val="20"/>
              </w:rPr>
            </w:pPr>
          </w:p>
        </w:tc>
      </w:tr>
      <w:tr w:rsidR="008A629F" w:rsidRPr="00E470B3" w14:paraId="72D2DBE1" w14:textId="77777777" w:rsidTr="00B267F5">
        <w:trPr>
          <w:cantSplit/>
        </w:trPr>
        <w:tc>
          <w:tcPr>
            <w:tcW w:w="2522" w:type="dxa"/>
          </w:tcPr>
          <w:p w14:paraId="7CD59923" w14:textId="77777777" w:rsidR="008A629F" w:rsidRPr="00E470B3" w:rsidRDefault="008A629F" w:rsidP="008A629F">
            <w:pPr>
              <w:widowControl/>
              <w:tabs>
                <w:tab w:val="left" w:pos="227"/>
                <w:tab w:val="left" w:pos="397"/>
                <w:tab w:val="left" w:pos="567"/>
              </w:tabs>
              <w:spacing w:line="200" w:lineRule="exact"/>
              <w:ind w:left="57"/>
              <w:jc w:val="left"/>
              <w:rPr>
                <w:sz w:val="18"/>
                <w:szCs w:val="20"/>
                <w:rtl/>
              </w:rPr>
            </w:pPr>
            <w:r w:rsidRPr="00E470B3">
              <w:rPr>
                <w:rFonts w:hint="cs"/>
                <w:sz w:val="18"/>
                <w:szCs w:val="20"/>
                <w:rtl/>
              </w:rPr>
              <w:t>מיוחס ל:</w:t>
            </w:r>
          </w:p>
        </w:tc>
        <w:tc>
          <w:tcPr>
            <w:tcW w:w="113" w:type="dxa"/>
            <w:vAlign w:val="bottom"/>
          </w:tcPr>
          <w:p w14:paraId="2960DC89"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vAlign w:val="bottom"/>
          </w:tcPr>
          <w:p w14:paraId="03F94153"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0C4BC08E" w14:textId="77777777" w:rsidR="008A629F" w:rsidRPr="00E470B3" w:rsidRDefault="008A629F" w:rsidP="008A629F">
            <w:pPr>
              <w:tabs>
                <w:tab w:val="decimal" w:pos="113"/>
              </w:tabs>
              <w:spacing w:line="200" w:lineRule="exact"/>
              <w:jc w:val="left"/>
              <w:rPr>
                <w:sz w:val="18"/>
                <w:szCs w:val="20"/>
              </w:rPr>
            </w:pPr>
          </w:p>
        </w:tc>
        <w:tc>
          <w:tcPr>
            <w:tcW w:w="907" w:type="dxa"/>
            <w:vAlign w:val="bottom"/>
          </w:tcPr>
          <w:p w14:paraId="5126D24A"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595E3E64" w14:textId="77777777" w:rsidR="008A629F" w:rsidRPr="00E470B3" w:rsidRDefault="008A629F" w:rsidP="008A629F">
            <w:pPr>
              <w:tabs>
                <w:tab w:val="decimal" w:pos="113"/>
              </w:tabs>
              <w:spacing w:line="200" w:lineRule="exact"/>
              <w:jc w:val="left"/>
              <w:rPr>
                <w:sz w:val="18"/>
                <w:szCs w:val="20"/>
              </w:rPr>
            </w:pPr>
          </w:p>
        </w:tc>
        <w:tc>
          <w:tcPr>
            <w:tcW w:w="917" w:type="dxa"/>
            <w:gridSpan w:val="2"/>
            <w:vAlign w:val="bottom"/>
          </w:tcPr>
          <w:p w14:paraId="0F8C768C"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1AAC81C6"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vAlign w:val="bottom"/>
          </w:tcPr>
          <w:p w14:paraId="66FB4326"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504BE7D0" w14:textId="77777777" w:rsidR="008A629F" w:rsidRPr="00E470B3" w:rsidRDefault="008A629F" w:rsidP="008A629F">
            <w:pPr>
              <w:tabs>
                <w:tab w:val="decimal" w:pos="113"/>
              </w:tabs>
              <w:spacing w:line="200" w:lineRule="exact"/>
              <w:ind w:left="57"/>
              <w:jc w:val="left"/>
              <w:rPr>
                <w:sz w:val="18"/>
                <w:szCs w:val="20"/>
              </w:rPr>
            </w:pPr>
          </w:p>
        </w:tc>
        <w:tc>
          <w:tcPr>
            <w:tcW w:w="1111" w:type="dxa"/>
            <w:vAlign w:val="bottom"/>
          </w:tcPr>
          <w:p w14:paraId="0B08FCB1" w14:textId="77777777" w:rsidR="008A629F" w:rsidRPr="00E470B3" w:rsidRDefault="008A629F" w:rsidP="008A629F">
            <w:pPr>
              <w:tabs>
                <w:tab w:val="decimal" w:pos="113"/>
              </w:tabs>
              <w:spacing w:line="200" w:lineRule="exact"/>
              <w:jc w:val="left"/>
              <w:rPr>
                <w:sz w:val="18"/>
                <w:szCs w:val="20"/>
              </w:rPr>
            </w:pPr>
          </w:p>
        </w:tc>
      </w:tr>
      <w:tr w:rsidR="008A629F" w:rsidRPr="00E470B3" w14:paraId="43C2B461" w14:textId="77777777" w:rsidTr="00B267F5">
        <w:trPr>
          <w:cantSplit/>
        </w:trPr>
        <w:tc>
          <w:tcPr>
            <w:tcW w:w="2522" w:type="dxa"/>
          </w:tcPr>
          <w:p w14:paraId="1E4A2ED1" w14:textId="77777777" w:rsidR="008A629F" w:rsidRPr="00E470B3" w:rsidRDefault="008A629F" w:rsidP="008A629F">
            <w:pPr>
              <w:widowControl/>
              <w:tabs>
                <w:tab w:val="left" w:pos="227"/>
                <w:tab w:val="left" w:pos="397"/>
                <w:tab w:val="left" w:pos="567"/>
              </w:tabs>
              <w:spacing w:line="200" w:lineRule="exact"/>
              <w:ind w:left="227" w:hanging="170"/>
              <w:jc w:val="left"/>
              <w:rPr>
                <w:sz w:val="18"/>
                <w:szCs w:val="20"/>
                <w:rtl/>
              </w:rPr>
            </w:pPr>
            <w:r w:rsidRPr="00E470B3">
              <w:rPr>
                <w:sz w:val="18"/>
                <w:szCs w:val="20"/>
                <w:rtl/>
              </w:rPr>
              <w:tab/>
            </w:r>
            <w:r w:rsidRPr="00E470B3">
              <w:rPr>
                <w:rFonts w:hint="cs"/>
                <w:sz w:val="18"/>
                <w:szCs w:val="20"/>
                <w:rtl/>
              </w:rPr>
              <w:t>בעלי מניות החברה</w:t>
            </w:r>
          </w:p>
        </w:tc>
        <w:tc>
          <w:tcPr>
            <w:tcW w:w="113" w:type="dxa"/>
            <w:vAlign w:val="bottom"/>
          </w:tcPr>
          <w:p w14:paraId="1EF2C6F1"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62C6DC2C"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01F96EE9"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59209BD6"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53074D9D"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5A396DF4"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683C1563"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640D5872"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6F06F350"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78B14576" w14:textId="77777777" w:rsidR="008A629F" w:rsidRPr="00E470B3" w:rsidRDefault="008A629F" w:rsidP="008A629F">
            <w:pPr>
              <w:tabs>
                <w:tab w:val="decimal" w:pos="113"/>
              </w:tabs>
              <w:spacing w:line="200" w:lineRule="exact"/>
              <w:jc w:val="left"/>
              <w:rPr>
                <w:sz w:val="18"/>
                <w:szCs w:val="20"/>
              </w:rPr>
            </w:pPr>
          </w:p>
        </w:tc>
      </w:tr>
      <w:tr w:rsidR="008A629F" w:rsidRPr="00E470B3" w14:paraId="1AC8C321" w14:textId="77777777" w:rsidTr="00B267F5">
        <w:trPr>
          <w:cantSplit/>
        </w:trPr>
        <w:tc>
          <w:tcPr>
            <w:tcW w:w="2522" w:type="dxa"/>
          </w:tcPr>
          <w:p w14:paraId="1F8ED877" w14:textId="77777777" w:rsidR="008A629F" w:rsidRPr="00E470B3" w:rsidRDefault="008A629F" w:rsidP="008A629F">
            <w:pPr>
              <w:widowControl/>
              <w:tabs>
                <w:tab w:val="left" w:pos="227"/>
                <w:tab w:val="left" w:pos="397"/>
                <w:tab w:val="left" w:pos="567"/>
              </w:tabs>
              <w:spacing w:line="200" w:lineRule="exact"/>
              <w:ind w:left="397" w:hanging="340"/>
              <w:jc w:val="left"/>
              <w:rPr>
                <w:sz w:val="18"/>
                <w:szCs w:val="20"/>
                <w:rtl/>
              </w:rPr>
            </w:pPr>
            <w:r w:rsidRPr="00E470B3">
              <w:rPr>
                <w:sz w:val="18"/>
                <w:szCs w:val="20"/>
                <w:rtl/>
              </w:rPr>
              <w:tab/>
            </w:r>
            <w:r w:rsidRPr="00E470B3">
              <w:rPr>
                <w:rFonts w:hint="cs"/>
                <w:sz w:val="18"/>
                <w:szCs w:val="20"/>
                <w:rtl/>
              </w:rPr>
              <w:t>זכויות שאינן מקנות שליטה</w:t>
            </w:r>
          </w:p>
        </w:tc>
        <w:tc>
          <w:tcPr>
            <w:tcW w:w="113" w:type="dxa"/>
            <w:vAlign w:val="bottom"/>
          </w:tcPr>
          <w:p w14:paraId="4612FDEF"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bottom w:val="double" w:sz="6" w:space="0" w:color="auto"/>
            </w:tcBorders>
            <w:shd w:val="clear" w:color="auto" w:fill="auto"/>
            <w:vAlign w:val="bottom"/>
          </w:tcPr>
          <w:p w14:paraId="61A49636"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02236E09"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bottom w:val="double" w:sz="6" w:space="0" w:color="auto"/>
            </w:tcBorders>
            <w:shd w:val="clear" w:color="auto" w:fill="auto"/>
            <w:vAlign w:val="bottom"/>
          </w:tcPr>
          <w:p w14:paraId="24410FA3"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6F0194D0"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bottom w:val="double" w:sz="6" w:space="0" w:color="auto"/>
            </w:tcBorders>
            <w:shd w:val="clear" w:color="auto" w:fill="auto"/>
            <w:vAlign w:val="bottom"/>
          </w:tcPr>
          <w:p w14:paraId="2AB6F40A"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47BCDC81"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bottom w:val="double" w:sz="6" w:space="0" w:color="auto"/>
            </w:tcBorders>
            <w:shd w:val="clear" w:color="auto" w:fill="auto"/>
            <w:vAlign w:val="bottom"/>
          </w:tcPr>
          <w:p w14:paraId="33641589"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219AE5FD"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bottom w:val="double" w:sz="6" w:space="0" w:color="auto"/>
            </w:tcBorders>
            <w:shd w:val="clear" w:color="auto" w:fill="auto"/>
            <w:vAlign w:val="bottom"/>
          </w:tcPr>
          <w:p w14:paraId="4E75DDBF" w14:textId="77777777" w:rsidR="008A629F" w:rsidRPr="00E470B3" w:rsidRDefault="008A629F" w:rsidP="008A629F">
            <w:pPr>
              <w:tabs>
                <w:tab w:val="decimal" w:pos="113"/>
              </w:tabs>
              <w:spacing w:line="200" w:lineRule="exact"/>
              <w:jc w:val="left"/>
              <w:rPr>
                <w:sz w:val="18"/>
                <w:szCs w:val="20"/>
              </w:rPr>
            </w:pPr>
          </w:p>
        </w:tc>
      </w:tr>
      <w:tr w:rsidR="008A629F" w:rsidRPr="00E470B3" w14:paraId="314FDF5C" w14:textId="77777777" w:rsidTr="00B267F5">
        <w:trPr>
          <w:cantSplit/>
        </w:trPr>
        <w:tc>
          <w:tcPr>
            <w:tcW w:w="2522" w:type="dxa"/>
          </w:tcPr>
          <w:p w14:paraId="22F27B31" w14:textId="77777777" w:rsidR="008A629F" w:rsidRPr="00E470B3" w:rsidRDefault="008A629F" w:rsidP="008A629F">
            <w:pPr>
              <w:widowControl/>
              <w:spacing w:line="200" w:lineRule="exact"/>
              <w:ind w:left="57"/>
              <w:jc w:val="left"/>
              <w:rPr>
                <w:sz w:val="18"/>
                <w:szCs w:val="20"/>
                <w:rtl/>
              </w:rPr>
            </w:pPr>
          </w:p>
        </w:tc>
        <w:tc>
          <w:tcPr>
            <w:tcW w:w="113" w:type="dxa"/>
            <w:vAlign w:val="bottom"/>
          </w:tcPr>
          <w:p w14:paraId="4B6CD51A"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tcBorders>
            <w:vAlign w:val="bottom"/>
          </w:tcPr>
          <w:p w14:paraId="2938192B"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682A4E7A"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tcBorders>
            <w:vAlign w:val="bottom"/>
          </w:tcPr>
          <w:p w14:paraId="3A117F94"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4C5821C3"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tcBorders>
            <w:vAlign w:val="bottom"/>
          </w:tcPr>
          <w:p w14:paraId="6C141D3D"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5AB2A079"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tcBorders>
            <w:vAlign w:val="bottom"/>
          </w:tcPr>
          <w:p w14:paraId="11C330C7"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08330E93"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tcBorders>
            <w:vAlign w:val="bottom"/>
          </w:tcPr>
          <w:p w14:paraId="29C2CD6F" w14:textId="77777777" w:rsidR="008A629F" w:rsidRPr="00E470B3" w:rsidRDefault="008A629F" w:rsidP="008A629F">
            <w:pPr>
              <w:tabs>
                <w:tab w:val="decimal" w:pos="113"/>
              </w:tabs>
              <w:spacing w:line="200" w:lineRule="exact"/>
              <w:jc w:val="left"/>
              <w:rPr>
                <w:sz w:val="18"/>
                <w:szCs w:val="20"/>
              </w:rPr>
            </w:pPr>
          </w:p>
        </w:tc>
      </w:tr>
      <w:tr w:rsidR="008A629F" w:rsidRPr="00E470B3" w14:paraId="67681A8F" w14:textId="77777777" w:rsidTr="00B267F5">
        <w:trPr>
          <w:cantSplit/>
        </w:trPr>
        <w:tc>
          <w:tcPr>
            <w:tcW w:w="2522" w:type="dxa"/>
          </w:tcPr>
          <w:p w14:paraId="6038A390" w14:textId="77777777" w:rsidR="008A629F" w:rsidRPr="00E470B3" w:rsidRDefault="008A629F" w:rsidP="008A629F">
            <w:pPr>
              <w:widowControl/>
              <w:tabs>
                <w:tab w:val="left" w:pos="227"/>
                <w:tab w:val="left" w:pos="397"/>
                <w:tab w:val="left" w:pos="567"/>
              </w:tabs>
              <w:spacing w:line="200" w:lineRule="exact"/>
              <w:ind w:left="57"/>
              <w:jc w:val="left"/>
              <w:rPr>
                <w:sz w:val="18"/>
                <w:szCs w:val="20"/>
                <w:rtl/>
              </w:rPr>
            </w:pPr>
            <w:r w:rsidRPr="00E470B3">
              <w:rPr>
                <w:rFonts w:hint="cs"/>
                <w:sz w:val="18"/>
                <w:szCs w:val="20"/>
                <w:rtl/>
              </w:rPr>
              <w:t>רווח (הפסד) כולל</w:t>
            </w:r>
          </w:p>
        </w:tc>
        <w:tc>
          <w:tcPr>
            <w:tcW w:w="113" w:type="dxa"/>
            <w:vAlign w:val="bottom"/>
          </w:tcPr>
          <w:p w14:paraId="77E7AEAA"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0E24AA6B"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2FAA8BAF"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3CBD96FC"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5056164A"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11A1FF6F"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0ED1040B"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0394CEC0"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7ECC4A6D"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7E503E04" w14:textId="77777777" w:rsidR="008A629F" w:rsidRPr="00E470B3" w:rsidRDefault="008A629F" w:rsidP="008A629F">
            <w:pPr>
              <w:tabs>
                <w:tab w:val="decimal" w:pos="113"/>
              </w:tabs>
              <w:spacing w:line="200" w:lineRule="exact"/>
              <w:jc w:val="left"/>
              <w:rPr>
                <w:sz w:val="18"/>
                <w:szCs w:val="20"/>
              </w:rPr>
            </w:pPr>
          </w:p>
        </w:tc>
      </w:tr>
      <w:tr w:rsidR="008A629F" w:rsidRPr="00E470B3" w14:paraId="505F8C00" w14:textId="77777777" w:rsidTr="00B267F5">
        <w:trPr>
          <w:cantSplit/>
        </w:trPr>
        <w:tc>
          <w:tcPr>
            <w:tcW w:w="2522" w:type="dxa"/>
          </w:tcPr>
          <w:p w14:paraId="1FCFCA93" w14:textId="77777777" w:rsidR="008A629F" w:rsidRPr="00E470B3" w:rsidRDefault="008A629F" w:rsidP="008A629F">
            <w:pPr>
              <w:widowControl/>
              <w:tabs>
                <w:tab w:val="left" w:pos="227"/>
                <w:tab w:val="left" w:pos="397"/>
                <w:tab w:val="left" w:pos="567"/>
              </w:tabs>
              <w:spacing w:line="200" w:lineRule="exact"/>
              <w:jc w:val="left"/>
              <w:rPr>
                <w:sz w:val="18"/>
                <w:szCs w:val="20"/>
                <w:rtl/>
              </w:rPr>
            </w:pPr>
          </w:p>
        </w:tc>
        <w:tc>
          <w:tcPr>
            <w:tcW w:w="113" w:type="dxa"/>
            <w:vAlign w:val="bottom"/>
          </w:tcPr>
          <w:p w14:paraId="019B2F17"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tcBorders>
            <w:vAlign w:val="bottom"/>
          </w:tcPr>
          <w:p w14:paraId="396A35FC"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3AA5D9F8"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tcBorders>
            <w:vAlign w:val="bottom"/>
          </w:tcPr>
          <w:p w14:paraId="07A7C0BC"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4999A445"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tcBorders>
            <w:vAlign w:val="bottom"/>
          </w:tcPr>
          <w:p w14:paraId="263FB8D8"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75A2FEC6"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tcBorders>
            <w:vAlign w:val="bottom"/>
          </w:tcPr>
          <w:p w14:paraId="0914D6A3"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7F7AE37C"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tcBorders>
            <w:vAlign w:val="bottom"/>
          </w:tcPr>
          <w:p w14:paraId="2875F5B3" w14:textId="77777777" w:rsidR="008A629F" w:rsidRPr="00E470B3" w:rsidRDefault="008A629F" w:rsidP="008A629F">
            <w:pPr>
              <w:tabs>
                <w:tab w:val="decimal" w:pos="113"/>
              </w:tabs>
              <w:spacing w:line="200" w:lineRule="exact"/>
              <w:jc w:val="left"/>
              <w:rPr>
                <w:sz w:val="18"/>
                <w:szCs w:val="20"/>
              </w:rPr>
            </w:pPr>
          </w:p>
        </w:tc>
      </w:tr>
      <w:tr w:rsidR="008A629F" w:rsidRPr="00E470B3" w14:paraId="11533ED3" w14:textId="77777777" w:rsidTr="00B267F5">
        <w:trPr>
          <w:cantSplit/>
        </w:trPr>
        <w:tc>
          <w:tcPr>
            <w:tcW w:w="2522" w:type="dxa"/>
          </w:tcPr>
          <w:p w14:paraId="7C8AA9C6" w14:textId="77777777" w:rsidR="008A629F" w:rsidRPr="00E470B3" w:rsidRDefault="008A629F" w:rsidP="008A629F">
            <w:pPr>
              <w:widowControl/>
              <w:tabs>
                <w:tab w:val="left" w:pos="227"/>
                <w:tab w:val="left" w:pos="397"/>
                <w:tab w:val="left" w:pos="567"/>
              </w:tabs>
              <w:spacing w:line="200" w:lineRule="exact"/>
              <w:ind w:left="57"/>
              <w:jc w:val="left"/>
              <w:rPr>
                <w:sz w:val="18"/>
                <w:szCs w:val="20"/>
                <w:rtl/>
              </w:rPr>
            </w:pPr>
            <w:r w:rsidRPr="00E470B3">
              <w:rPr>
                <w:rFonts w:hint="cs"/>
                <w:sz w:val="18"/>
                <w:szCs w:val="20"/>
                <w:rtl/>
              </w:rPr>
              <w:t>מיוחס ל:</w:t>
            </w:r>
          </w:p>
        </w:tc>
        <w:tc>
          <w:tcPr>
            <w:tcW w:w="113" w:type="dxa"/>
            <w:vAlign w:val="bottom"/>
          </w:tcPr>
          <w:p w14:paraId="6E9FFF99"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vAlign w:val="bottom"/>
          </w:tcPr>
          <w:p w14:paraId="0B1D755D"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042C301B" w14:textId="77777777" w:rsidR="008A629F" w:rsidRPr="00E470B3" w:rsidRDefault="008A629F" w:rsidP="008A629F">
            <w:pPr>
              <w:tabs>
                <w:tab w:val="decimal" w:pos="113"/>
              </w:tabs>
              <w:spacing w:line="200" w:lineRule="exact"/>
              <w:jc w:val="left"/>
              <w:rPr>
                <w:sz w:val="18"/>
                <w:szCs w:val="20"/>
              </w:rPr>
            </w:pPr>
          </w:p>
        </w:tc>
        <w:tc>
          <w:tcPr>
            <w:tcW w:w="907" w:type="dxa"/>
            <w:vAlign w:val="bottom"/>
          </w:tcPr>
          <w:p w14:paraId="2E3E1B94"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1FB4D735" w14:textId="77777777" w:rsidR="008A629F" w:rsidRPr="00E470B3" w:rsidRDefault="008A629F" w:rsidP="008A629F">
            <w:pPr>
              <w:tabs>
                <w:tab w:val="decimal" w:pos="113"/>
              </w:tabs>
              <w:spacing w:line="200" w:lineRule="exact"/>
              <w:jc w:val="left"/>
              <w:rPr>
                <w:sz w:val="18"/>
                <w:szCs w:val="20"/>
              </w:rPr>
            </w:pPr>
          </w:p>
        </w:tc>
        <w:tc>
          <w:tcPr>
            <w:tcW w:w="917" w:type="dxa"/>
            <w:gridSpan w:val="2"/>
            <w:vAlign w:val="bottom"/>
          </w:tcPr>
          <w:p w14:paraId="77B0C8F1"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5419CAB3"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vAlign w:val="bottom"/>
          </w:tcPr>
          <w:p w14:paraId="7C820652"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23397B11" w14:textId="77777777" w:rsidR="008A629F" w:rsidRPr="00E470B3" w:rsidRDefault="008A629F" w:rsidP="008A629F">
            <w:pPr>
              <w:tabs>
                <w:tab w:val="decimal" w:pos="113"/>
              </w:tabs>
              <w:spacing w:line="200" w:lineRule="exact"/>
              <w:ind w:left="57"/>
              <w:jc w:val="left"/>
              <w:rPr>
                <w:sz w:val="18"/>
                <w:szCs w:val="20"/>
              </w:rPr>
            </w:pPr>
          </w:p>
        </w:tc>
        <w:tc>
          <w:tcPr>
            <w:tcW w:w="1111" w:type="dxa"/>
            <w:vAlign w:val="bottom"/>
          </w:tcPr>
          <w:p w14:paraId="6F32F7A4" w14:textId="77777777" w:rsidR="008A629F" w:rsidRPr="00E470B3" w:rsidRDefault="008A629F" w:rsidP="008A629F">
            <w:pPr>
              <w:tabs>
                <w:tab w:val="decimal" w:pos="113"/>
              </w:tabs>
              <w:spacing w:line="200" w:lineRule="exact"/>
              <w:jc w:val="left"/>
              <w:rPr>
                <w:sz w:val="18"/>
                <w:szCs w:val="20"/>
              </w:rPr>
            </w:pPr>
          </w:p>
        </w:tc>
      </w:tr>
      <w:tr w:rsidR="008A629F" w:rsidRPr="00E470B3" w14:paraId="1ECCB770" w14:textId="77777777" w:rsidTr="00B267F5">
        <w:trPr>
          <w:cantSplit/>
        </w:trPr>
        <w:tc>
          <w:tcPr>
            <w:tcW w:w="2522" w:type="dxa"/>
          </w:tcPr>
          <w:p w14:paraId="419DDC06" w14:textId="77777777" w:rsidR="008A629F" w:rsidRPr="00E470B3" w:rsidRDefault="008A629F" w:rsidP="008A629F">
            <w:pPr>
              <w:widowControl/>
              <w:tabs>
                <w:tab w:val="left" w:pos="227"/>
                <w:tab w:val="left" w:pos="397"/>
                <w:tab w:val="left" w:pos="567"/>
              </w:tabs>
              <w:spacing w:line="200" w:lineRule="exact"/>
              <w:ind w:firstLine="57"/>
              <w:jc w:val="left"/>
              <w:rPr>
                <w:sz w:val="18"/>
                <w:szCs w:val="20"/>
                <w:rtl/>
              </w:rPr>
            </w:pPr>
            <w:r w:rsidRPr="00E470B3">
              <w:rPr>
                <w:sz w:val="18"/>
                <w:szCs w:val="20"/>
                <w:rtl/>
              </w:rPr>
              <w:tab/>
            </w:r>
            <w:r w:rsidRPr="00E470B3">
              <w:rPr>
                <w:rFonts w:hint="cs"/>
                <w:sz w:val="18"/>
                <w:szCs w:val="20"/>
                <w:rtl/>
              </w:rPr>
              <w:t>בעלי מניות החברה</w:t>
            </w:r>
          </w:p>
        </w:tc>
        <w:tc>
          <w:tcPr>
            <w:tcW w:w="113" w:type="dxa"/>
            <w:vAlign w:val="bottom"/>
          </w:tcPr>
          <w:p w14:paraId="600EB4EF"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2F401E1A"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49CF86CA"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3972C7D4"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0368DEB2"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6933FB7F"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0A44371E"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760336AA"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7454FD82"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7B8E57D6" w14:textId="77777777" w:rsidR="008A629F" w:rsidRPr="00E470B3" w:rsidRDefault="008A629F" w:rsidP="008A629F">
            <w:pPr>
              <w:tabs>
                <w:tab w:val="decimal" w:pos="113"/>
              </w:tabs>
              <w:spacing w:line="200" w:lineRule="exact"/>
              <w:jc w:val="left"/>
              <w:rPr>
                <w:sz w:val="18"/>
                <w:szCs w:val="20"/>
              </w:rPr>
            </w:pPr>
          </w:p>
        </w:tc>
      </w:tr>
      <w:tr w:rsidR="008A629F" w:rsidRPr="00E470B3" w14:paraId="67865DB2" w14:textId="77777777" w:rsidTr="00B267F5">
        <w:trPr>
          <w:cantSplit/>
        </w:trPr>
        <w:tc>
          <w:tcPr>
            <w:tcW w:w="2522" w:type="dxa"/>
          </w:tcPr>
          <w:p w14:paraId="2EA5FF8E" w14:textId="77777777" w:rsidR="008A629F" w:rsidRPr="00E470B3" w:rsidRDefault="008A629F" w:rsidP="008A629F">
            <w:pPr>
              <w:widowControl/>
              <w:tabs>
                <w:tab w:val="left" w:pos="227"/>
                <w:tab w:val="left" w:pos="397"/>
                <w:tab w:val="left" w:pos="567"/>
              </w:tabs>
              <w:spacing w:line="200" w:lineRule="exact"/>
              <w:ind w:left="397" w:hanging="340"/>
              <w:jc w:val="left"/>
              <w:rPr>
                <w:sz w:val="18"/>
                <w:szCs w:val="20"/>
                <w:rtl/>
              </w:rPr>
            </w:pPr>
            <w:r w:rsidRPr="00E470B3">
              <w:rPr>
                <w:sz w:val="18"/>
                <w:szCs w:val="20"/>
                <w:rtl/>
              </w:rPr>
              <w:tab/>
            </w:r>
            <w:r w:rsidRPr="00E470B3">
              <w:rPr>
                <w:rFonts w:hint="cs"/>
                <w:sz w:val="18"/>
                <w:szCs w:val="20"/>
                <w:rtl/>
              </w:rPr>
              <w:t>זכויות שאינן מקנות שליטה</w:t>
            </w:r>
          </w:p>
        </w:tc>
        <w:tc>
          <w:tcPr>
            <w:tcW w:w="113" w:type="dxa"/>
            <w:vAlign w:val="bottom"/>
          </w:tcPr>
          <w:p w14:paraId="3149C972"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bottom w:val="double" w:sz="6" w:space="0" w:color="auto"/>
            </w:tcBorders>
            <w:shd w:val="clear" w:color="auto" w:fill="auto"/>
            <w:vAlign w:val="bottom"/>
          </w:tcPr>
          <w:p w14:paraId="76C1F29A"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0984F622"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bottom w:val="double" w:sz="6" w:space="0" w:color="auto"/>
            </w:tcBorders>
            <w:shd w:val="clear" w:color="auto" w:fill="auto"/>
            <w:vAlign w:val="bottom"/>
          </w:tcPr>
          <w:p w14:paraId="4CE33750"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43CDE469"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bottom w:val="double" w:sz="6" w:space="0" w:color="auto"/>
            </w:tcBorders>
            <w:shd w:val="clear" w:color="auto" w:fill="auto"/>
            <w:vAlign w:val="bottom"/>
          </w:tcPr>
          <w:p w14:paraId="4CC05CA5"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0AAF113E"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bottom w:val="double" w:sz="6" w:space="0" w:color="auto"/>
            </w:tcBorders>
            <w:shd w:val="clear" w:color="auto" w:fill="auto"/>
            <w:vAlign w:val="bottom"/>
          </w:tcPr>
          <w:p w14:paraId="79352F31"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0860696F"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bottom w:val="double" w:sz="6" w:space="0" w:color="auto"/>
            </w:tcBorders>
            <w:shd w:val="clear" w:color="auto" w:fill="auto"/>
            <w:vAlign w:val="bottom"/>
          </w:tcPr>
          <w:p w14:paraId="75B979E6" w14:textId="77777777" w:rsidR="008A629F" w:rsidRPr="00E470B3" w:rsidRDefault="008A629F" w:rsidP="008A629F">
            <w:pPr>
              <w:tabs>
                <w:tab w:val="decimal" w:pos="113"/>
              </w:tabs>
              <w:spacing w:line="200" w:lineRule="exact"/>
              <w:jc w:val="left"/>
              <w:rPr>
                <w:sz w:val="18"/>
                <w:szCs w:val="20"/>
              </w:rPr>
            </w:pPr>
          </w:p>
        </w:tc>
      </w:tr>
    </w:tbl>
    <w:p w14:paraId="28C55A4B" w14:textId="77777777" w:rsidR="00D87928" w:rsidRDefault="00D87928">
      <w:pPr>
        <w:rPr>
          <w:rtl/>
        </w:rPr>
      </w:pPr>
    </w:p>
    <w:p w14:paraId="3625C6EA" w14:textId="77777777" w:rsidR="00D87928" w:rsidRDefault="00D87928" w:rsidP="00D87928">
      <w:pPr>
        <w:pStyle w:val="41"/>
        <w:shd w:val="clear" w:color="auto" w:fill="D9D9D9"/>
        <w:ind w:left="2268"/>
        <w:rPr>
          <w:sz w:val="18"/>
          <w:szCs w:val="22"/>
          <w:u w:val="single"/>
          <w:rtl/>
        </w:rPr>
      </w:pPr>
      <w:r w:rsidRPr="007D64FF">
        <w:rPr>
          <w:rFonts w:hint="cs"/>
          <w:sz w:val="18"/>
          <w:szCs w:val="22"/>
          <w:u w:val="single"/>
          <w:rtl/>
        </w:rPr>
        <w:t>הערות</w:t>
      </w:r>
    </w:p>
    <w:p w14:paraId="624CC66A" w14:textId="77777777" w:rsidR="00D87928" w:rsidRDefault="00D87928" w:rsidP="00D87928">
      <w:pPr>
        <w:pStyle w:val="41"/>
        <w:shd w:val="clear" w:color="auto" w:fill="D9D9D9"/>
        <w:ind w:left="2268"/>
        <w:rPr>
          <w:sz w:val="18"/>
          <w:szCs w:val="22"/>
          <w:rtl/>
        </w:rPr>
      </w:pPr>
      <w:r w:rsidRPr="007D64FF">
        <w:rPr>
          <w:rFonts w:hint="cs"/>
          <w:sz w:val="18"/>
          <w:szCs w:val="22"/>
          <w:rtl/>
        </w:rPr>
        <w:t>1.</w:t>
      </w:r>
      <w:r w:rsidRPr="007D64FF">
        <w:rPr>
          <w:rFonts w:hint="cs"/>
          <w:sz w:val="18"/>
          <w:szCs w:val="22"/>
          <w:rtl/>
        </w:rPr>
        <w:tab/>
        <w:t>אם המידע התמציתי של החברה הכלולה מוצג או מסווג בדוחות הכספיים של החברה הכלולה באופן שונה מהמוצג בדוחות המאוחדים, יש לציין עובדה זו.</w:t>
      </w:r>
    </w:p>
    <w:p w14:paraId="3664AE52" w14:textId="77777777" w:rsidR="00D87928" w:rsidRDefault="00D87928" w:rsidP="00F05D18">
      <w:pPr>
        <w:pStyle w:val="41"/>
        <w:shd w:val="clear" w:color="auto" w:fill="D9D9D9"/>
        <w:ind w:left="2268"/>
        <w:rPr>
          <w:rtl/>
        </w:rPr>
      </w:pPr>
      <w:r w:rsidRPr="007D64FF">
        <w:rPr>
          <w:rFonts w:hint="cs"/>
          <w:sz w:val="18"/>
          <w:szCs w:val="22"/>
          <w:rtl/>
        </w:rPr>
        <w:t>2.</w:t>
      </w:r>
      <w:r w:rsidRPr="007D64FF">
        <w:rPr>
          <w:rFonts w:hint="cs"/>
          <w:sz w:val="18"/>
          <w:szCs w:val="22"/>
          <w:rtl/>
        </w:rPr>
        <w:tab/>
        <w:t xml:space="preserve">במידה שהמידע התמציתי של החברה הכלולה אינו ערוך על פי </w:t>
      </w:r>
      <w:r w:rsidRPr="007D64FF">
        <w:rPr>
          <w:sz w:val="18"/>
          <w:szCs w:val="22"/>
        </w:rPr>
        <w:t>IFRS</w:t>
      </w:r>
      <w:r w:rsidRPr="007D64FF">
        <w:rPr>
          <w:rFonts w:hint="cs"/>
          <w:sz w:val="18"/>
          <w:szCs w:val="22"/>
          <w:rtl/>
        </w:rPr>
        <w:t>, יש לכלול באור הכולל התאמות שנעשו כדי להתאימו ל</w:t>
      </w:r>
      <w:r>
        <w:rPr>
          <w:rFonts w:hint="cs"/>
          <w:sz w:val="18"/>
          <w:szCs w:val="22"/>
          <w:rtl/>
        </w:rPr>
        <w:t>-</w:t>
      </w:r>
      <w:r w:rsidRPr="007D64FF">
        <w:rPr>
          <w:sz w:val="18"/>
          <w:szCs w:val="22"/>
        </w:rPr>
        <w:t>IFRS</w:t>
      </w:r>
      <w:r w:rsidRPr="007D64FF">
        <w:rPr>
          <w:rFonts w:hint="cs"/>
          <w:sz w:val="18"/>
          <w:szCs w:val="22"/>
          <w:rtl/>
        </w:rPr>
        <w:t>. ההתאמות הינן לגבי רווח נקי (הפסד)</w:t>
      </w:r>
      <w:r>
        <w:rPr>
          <w:rFonts w:hint="cs"/>
          <w:sz w:val="18"/>
          <w:szCs w:val="22"/>
          <w:rtl/>
        </w:rPr>
        <w:t>,</w:t>
      </w:r>
      <w:r w:rsidRPr="007D64FF">
        <w:rPr>
          <w:rFonts w:hint="cs"/>
          <w:sz w:val="18"/>
          <w:szCs w:val="22"/>
          <w:rtl/>
        </w:rPr>
        <w:t xml:space="preserve"> </w:t>
      </w:r>
      <w:r>
        <w:rPr>
          <w:rFonts w:hint="cs"/>
          <w:sz w:val="18"/>
          <w:szCs w:val="22"/>
          <w:rtl/>
        </w:rPr>
        <w:t xml:space="preserve">לגבי </w:t>
      </w:r>
      <w:r w:rsidRPr="007D64FF">
        <w:rPr>
          <w:rFonts w:hint="cs"/>
          <w:sz w:val="18"/>
          <w:szCs w:val="22"/>
          <w:rtl/>
        </w:rPr>
        <w:t>רווח (הפסד) כולל ול</w:t>
      </w:r>
      <w:r>
        <w:rPr>
          <w:rFonts w:hint="cs"/>
          <w:sz w:val="18"/>
          <w:szCs w:val="22"/>
          <w:rtl/>
        </w:rPr>
        <w:t xml:space="preserve">גבי </w:t>
      </w:r>
      <w:r w:rsidRPr="007D64FF">
        <w:rPr>
          <w:rFonts w:hint="cs"/>
          <w:sz w:val="18"/>
          <w:szCs w:val="22"/>
          <w:rtl/>
        </w:rPr>
        <w:t>סך ההון של החברה הכלולה. כמו כן</w:t>
      </w:r>
      <w:r>
        <w:rPr>
          <w:rFonts w:hint="cs"/>
          <w:sz w:val="18"/>
          <w:szCs w:val="22"/>
          <w:rtl/>
        </w:rPr>
        <w:t>,</w:t>
      </w:r>
      <w:r w:rsidRPr="007D64FF">
        <w:rPr>
          <w:rFonts w:hint="cs"/>
          <w:sz w:val="18"/>
          <w:szCs w:val="22"/>
          <w:rtl/>
        </w:rPr>
        <w:t xml:space="preserve"> אם הנתונים התמציתיים שצורפו אינם במטבע הדוחות של החברה, יצויין שער החליפין של המטבע בו הוצג המידע התמציתי למטבע בו הוצגו דוחות החברה, לתאריך ה</w:t>
      </w:r>
      <w:r>
        <w:rPr>
          <w:rFonts w:hint="cs"/>
          <w:sz w:val="18"/>
          <w:szCs w:val="22"/>
          <w:rtl/>
        </w:rPr>
        <w:t>דיווח</w:t>
      </w:r>
      <w:r w:rsidRPr="007D64FF">
        <w:rPr>
          <w:rFonts w:hint="cs"/>
          <w:sz w:val="18"/>
          <w:szCs w:val="22"/>
          <w:rtl/>
        </w:rPr>
        <w:t>, וכן יצויין השינוי שחל בו בשנת הדיווח.</w:t>
      </w:r>
    </w:p>
    <w:p w14:paraId="4F804326" w14:textId="77777777" w:rsidR="00264F64" w:rsidRDefault="00272795">
      <w:pPr>
        <w:rPr>
          <w:rtl/>
        </w:rPr>
      </w:pPr>
      <w:r>
        <w:rPr>
          <w:rtl/>
        </w:rPr>
        <w:br w:type="page"/>
      </w:r>
    </w:p>
    <w:p w14:paraId="069CEDF6" w14:textId="77777777" w:rsidR="00151B8D" w:rsidRDefault="00151B8D">
      <w:pPr>
        <w:rPr>
          <w:rtl/>
        </w:rPr>
      </w:pPr>
    </w:p>
    <w:p w14:paraId="4D61B216" w14:textId="77777777" w:rsidR="00F06854" w:rsidRDefault="00F06854">
      <w:pPr>
        <w:rPr>
          <w:rtl/>
        </w:rPr>
      </w:pPr>
    </w:p>
    <w:tbl>
      <w:tblPr>
        <w:tblStyle w:val="af6"/>
        <w:bidiVisual/>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2953"/>
        <w:gridCol w:w="1275"/>
      </w:tblGrid>
      <w:tr w:rsidR="00626492" w:rsidRPr="008A7508" w14:paraId="58826AA1" w14:textId="77777777" w:rsidTr="00646B60">
        <w:tc>
          <w:tcPr>
            <w:tcW w:w="1064" w:type="dxa"/>
            <w:tcMar>
              <w:left w:w="0" w:type="dxa"/>
              <w:right w:w="0" w:type="dxa"/>
            </w:tcMar>
          </w:tcPr>
          <w:p w14:paraId="37F9C6EA" w14:textId="77777777" w:rsidR="003D46A8" w:rsidRDefault="00626492">
            <w:pPr>
              <w:pStyle w:val="11"/>
              <w:tabs>
                <w:tab w:val="clear" w:pos="1134"/>
              </w:tabs>
              <w:ind w:left="57" w:firstLine="0"/>
              <w:rPr>
                <w:sz w:val="24"/>
                <w:rtl/>
              </w:rPr>
            </w:pPr>
            <w:r w:rsidRPr="008A7508">
              <w:rPr>
                <w:sz w:val="24"/>
                <w:rtl/>
              </w:rPr>
              <w:t xml:space="preserve">באור </w:t>
            </w:r>
            <w:r w:rsidR="00DB3160">
              <w:rPr>
                <w:rFonts w:hint="cs"/>
                <w:sz w:val="24"/>
                <w:rtl/>
              </w:rPr>
              <w:t>18</w:t>
            </w:r>
            <w:r w:rsidRPr="008A7508">
              <w:rPr>
                <w:sz w:val="24"/>
                <w:rtl/>
              </w:rPr>
              <w:t>: -</w:t>
            </w:r>
          </w:p>
        </w:tc>
        <w:tc>
          <w:tcPr>
            <w:tcW w:w="2953" w:type="dxa"/>
          </w:tcPr>
          <w:p w14:paraId="0450DF72" w14:textId="77777777" w:rsidR="00626492" w:rsidRPr="008A7508" w:rsidRDefault="00626492" w:rsidP="00744C06">
            <w:pPr>
              <w:pStyle w:val="11"/>
              <w:tabs>
                <w:tab w:val="clear" w:pos="1134"/>
              </w:tabs>
              <w:ind w:left="4" w:firstLine="0"/>
              <w:rPr>
                <w:sz w:val="24"/>
                <w:rtl/>
              </w:rPr>
            </w:pPr>
            <w:r>
              <w:rPr>
                <w:rFonts w:hint="cs"/>
                <w:u w:val="single"/>
                <w:rtl/>
              </w:rPr>
              <w:t>אירועים לאחר תקופת הדיווח</w:t>
            </w:r>
          </w:p>
        </w:tc>
        <w:tc>
          <w:tcPr>
            <w:tcW w:w="1275" w:type="dxa"/>
            <w:tcBorders>
              <w:bottom w:val="single" w:sz="4" w:space="0" w:color="auto"/>
              <w:right w:val="single" w:sz="4" w:space="0" w:color="auto"/>
            </w:tcBorders>
            <w:vAlign w:val="center"/>
          </w:tcPr>
          <w:p w14:paraId="2D98C320" w14:textId="77777777" w:rsidR="00626492" w:rsidRPr="008A7508" w:rsidRDefault="00626492" w:rsidP="0077143B">
            <w:pPr>
              <w:pStyle w:val="11"/>
              <w:tabs>
                <w:tab w:val="clear" w:pos="1134"/>
              </w:tabs>
              <w:bidi w:val="0"/>
              <w:ind w:left="4" w:firstLine="0"/>
              <w:jc w:val="right"/>
              <w:rPr>
                <w:i/>
                <w:iCs/>
                <w:sz w:val="13"/>
                <w:szCs w:val="13"/>
              </w:rPr>
            </w:pPr>
            <w:r>
              <w:rPr>
                <w:i/>
                <w:iCs/>
                <w:sz w:val="13"/>
                <w:szCs w:val="13"/>
              </w:rPr>
              <w:t>IAS 34.16A(</w:t>
            </w:r>
            <w:r w:rsidR="0077143B">
              <w:rPr>
                <w:i/>
                <w:iCs/>
                <w:sz w:val="13"/>
                <w:szCs w:val="13"/>
              </w:rPr>
              <w:t>h</w:t>
            </w:r>
            <w:r>
              <w:rPr>
                <w:i/>
                <w:iCs/>
                <w:sz w:val="13"/>
                <w:szCs w:val="13"/>
              </w:rPr>
              <w:t>)</w:t>
            </w:r>
          </w:p>
        </w:tc>
      </w:tr>
    </w:tbl>
    <w:p w14:paraId="1E4191AF" w14:textId="77777777" w:rsidR="00137E56" w:rsidRDefault="00137E56" w:rsidP="00137E56">
      <w:pPr>
        <w:pStyle w:val="21"/>
        <w:rPr>
          <w:highlight w:val="lightGray"/>
          <w:u w:val="single"/>
          <w:rtl/>
        </w:rPr>
      </w:pPr>
    </w:p>
    <w:p w14:paraId="547EAF54" w14:textId="49904BF5" w:rsidR="008D22FA" w:rsidRDefault="007A5F11" w:rsidP="0054462D">
      <w:pPr>
        <w:pStyle w:val="21"/>
        <w:rPr>
          <w:rtl/>
        </w:rPr>
      </w:pPr>
      <w:r>
        <w:rPr>
          <w:rFonts w:hint="cs"/>
          <w:rtl/>
        </w:rPr>
        <w:t>א</w:t>
      </w:r>
      <w:r w:rsidR="00B267F5">
        <w:rPr>
          <w:rFonts w:hint="cs"/>
          <w:rtl/>
        </w:rPr>
        <w:t>.</w:t>
      </w:r>
      <w:r w:rsidR="00B267F5">
        <w:rPr>
          <w:rFonts w:hint="cs"/>
          <w:rtl/>
        </w:rPr>
        <w:tab/>
      </w:r>
      <w:r w:rsidR="00F2585A" w:rsidRPr="00F2585A">
        <w:rPr>
          <w:rFonts w:hint="eastAsia"/>
          <w:shd w:val="clear" w:color="auto" w:fill="D9D9D9" w:themeFill="background1" w:themeFillShade="D9"/>
          <w:rtl/>
        </w:rPr>
        <w:t>לאחר</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תקופת</w:t>
      </w:r>
      <w:r w:rsidR="00F2585A" w:rsidRPr="00F2585A">
        <w:rPr>
          <w:shd w:val="clear" w:color="auto" w:fill="D9D9D9" w:themeFill="background1" w:themeFillShade="D9"/>
          <w:rtl/>
        </w:rPr>
        <w:t xml:space="preserve"> הדיווח </w:t>
      </w:r>
      <w:r w:rsidR="00F2585A" w:rsidRPr="00F2585A">
        <w:rPr>
          <w:rFonts w:hint="eastAsia"/>
          <w:shd w:val="clear" w:color="auto" w:fill="D9D9D9" w:themeFill="background1" w:themeFillShade="D9"/>
          <w:rtl/>
        </w:rPr>
        <w:t>נרשמו</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ירידות</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שערים</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בבורסות</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העולם</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וזאת</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בין</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היתר</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על</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רקע</w:t>
      </w:r>
      <w:r w:rsidR="00F2585A" w:rsidRPr="00F2585A">
        <w:rPr>
          <w:shd w:val="clear" w:color="auto" w:fill="D9D9D9" w:themeFill="background1" w:themeFillShade="D9"/>
          <w:rtl/>
        </w:rPr>
        <w:t xml:space="preserve"> ____. </w:t>
      </w:r>
      <w:r w:rsidR="00F2585A" w:rsidRPr="00F2585A">
        <w:rPr>
          <w:rFonts w:hint="eastAsia"/>
          <w:shd w:val="clear" w:color="auto" w:fill="D9D9D9" w:themeFill="background1" w:themeFillShade="D9"/>
          <w:rtl/>
        </w:rPr>
        <w:t>נכון</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ליום</w:t>
      </w:r>
      <w:r w:rsidR="00F2585A" w:rsidRPr="00F2585A">
        <w:rPr>
          <w:shd w:val="clear" w:color="auto" w:fill="D9D9D9" w:themeFill="background1" w:themeFillShade="D9"/>
          <w:rtl/>
        </w:rPr>
        <w:t xml:space="preserve"> 30 </w:t>
      </w:r>
      <w:r w:rsidR="00F2585A" w:rsidRPr="00F2585A">
        <w:rPr>
          <w:rFonts w:hint="eastAsia"/>
          <w:shd w:val="clear" w:color="auto" w:fill="D9D9D9" w:themeFill="background1" w:themeFillShade="D9"/>
          <w:rtl/>
        </w:rPr>
        <w:t>בספטמבר</w:t>
      </w:r>
      <w:r w:rsidR="00F2585A" w:rsidRPr="00F2585A">
        <w:rPr>
          <w:shd w:val="clear" w:color="auto" w:fill="D9D9D9" w:themeFill="background1" w:themeFillShade="D9"/>
          <w:rtl/>
        </w:rPr>
        <w:t xml:space="preserve">, </w:t>
      </w:r>
      <w:r w:rsidR="0054462D">
        <w:rPr>
          <w:rFonts w:hint="cs"/>
          <w:shd w:val="clear" w:color="auto" w:fill="D9D9D9" w:themeFill="background1" w:themeFillShade="D9"/>
          <w:rtl/>
        </w:rPr>
        <w:t>2019</w:t>
      </w:r>
      <w:r w:rsidR="00F2585A" w:rsidRPr="00F2585A">
        <w:rPr>
          <w:shd w:val="clear" w:color="auto" w:fill="D9D9D9" w:themeFill="background1" w:themeFillShade="D9"/>
          <w:rtl/>
        </w:rPr>
        <w:t xml:space="preserve"> לחברה תיק נכסים בסך של כ- _____ אלפי ש"ח שחשוף לירידות שערים אלה. אומדן ההשפעה על הרווח הנקי/הרווח הכולל האחר </w:t>
      </w:r>
      <w:r w:rsidR="00F2585A" w:rsidRPr="00F2585A">
        <w:rPr>
          <w:shd w:val="clear" w:color="auto" w:fill="808080" w:themeFill="background1" w:themeFillShade="80"/>
          <w:rtl/>
        </w:rPr>
        <w:t xml:space="preserve">[יש </w:t>
      </w:r>
      <w:r w:rsidR="00F2585A" w:rsidRPr="00F2585A">
        <w:rPr>
          <w:rFonts w:hint="eastAsia"/>
          <w:shd w:val="clear" w:color="auto" w:fill="808080" w:themeFill="background1" w:themeFillShade="80"/>
          <w:rtl/>
        </w:rPr>
        <w:t>להתאים</w:t>
      </w:r>
      <w:r w:rsidR="00F2585A" w:rsidRPr="00F2585A">
        <w:rPr>
          <w:shd w:val="clear" w:color="auto" w:fill="808080" w:themeFill="background1" w:themeFillShade="80"/>
          <w:rtl/>
        </w:rPr>
        <w:t>]</w:t>
      </w:r>
      <w:r w:rsidR="00F2585A" w:rsidRPr="00F2585A">
        <w:rPr>
          <w:shd w:val="clear" w:color="auto" w:fill="D9D9D9" w:themeFill="background1" w:themeFillShade="D9"/>
          <w:rtl/>
        </w:rPr>
        <w:t xml:space="preserve"> בעקבות ירידות שערים אלה מתאריך הדוח הכספי ועד סמוך לאישורו, נטו לאחר מס </w:t>
      </w:r>
      <w:r w:rsidR="00F2585A" w:rsidRPr="00F2585A">
        <w:rPr>
          <w:shd w:val="clear" w:color="auto" w:fill="808080" w:themeFill="background1" w:themeFillShade="80"/>
          <w:rtl/>
        </w:rPr>
        <w:t xml:space="preserve">[יש </w:t>
      </w:r>
      <w:r w:rsidR="00F2585A" w:rsidRPr="00F2585A">
        <w:rPr>
          <w:rFonts w:hint="eastAsia"/>
          <w:shd w:val="clear" w:color="auto" w:fill="808080" w:themeFill="background1" w:themeFillShade="80"/>
          <w:rtl/>
        </w:rPr>
        <w:t>לבחון</w:t>
      </w:r>
      <w:r w:rsidR="00F2585A" w:rsidRPr="00F2585A">
        <w:rPr>
          <w:shd w:val="clear" w:color="auto" w:fill="808080" w:themeFill="background1" w:themeFillShade="80"/>
          <w:rtl/>
        </w:rPr>
        <w:t xml:space="preserve"> </w:t>
      </w:r>
      <w:r w:rsidR="00F2585A" w:rsidRPr="00F2585A">
        <w:rPr>
          <w:rFonts w:hint="eastAsia"/>
          <w:shd w:val="clear" w:color="auto" w:fill="808080" w:themeFill="background1" w:themeFillShade="80"/>
          <w:rtl/>
        </w:rPr>
        <w:t>בהתאם</w:t>
      </w:r>
      <w:r w:rsidR="00F2585A" w:rsidRPr="00F2585A">
        <w:rPr>
          <w:shd w:val="clear" w:color="auto" w:fill="808080" w:themeFill="background1" w:themeFillShade="80"/>
          <w:rtl/>
        </w:rPr>
        <w:t xml:space="preserve"> </w:t>
      </w:r>
      <w:r w:rsidR="00F2585A" w:rsidRPr="00F2585A">
        <w:rPr>
          <w:rFonts w:hint="eastAsia"/>
          <w:shd w:val="clear" w:color="auto" w:fill="808080" w:themeFill="background1" w:themeFillShade="80"/>
          <w:rtl/>
        </w:rPr>
        <w:t>למקרה</w:t>
      </w:r>
      <w:r w:rsidR="00F2585A" w:rsidRPr="00F2585A">
        <w:rPr>
          <w:shd w:val="clear" w:color="auto" w:fill="808080" w:themeFill="background1" w:themeFillShade="80"/>
          <w:rtl/>
        </w:rPr>
        <w:t>]</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מוערך</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בסך</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של</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כ</w:t>
      </w:r>
      <w:r w:rsidR="00F2585A" w:rsidRPr="00F2585A">
        <w:rPr>
          <w:shd w:val="clear" w:color="auto" w:fill="D9D9D9" w:themeFill="background1" w:themeFillShade="D9"/>
          <w:rtl/>
        </w:rPr>
        <w:t xml:space="preserve">- ___ </w:t>
      </w:r>
      <w:r w:rsidR="00F2585A" w:rsidRPr="00F2585A">
        <w:rPr>
          <w:rFonts w:hint="eastAsia"/>
          <w:shd w:val="clear" w:color="auto" w:fill="D9D9D9" w:themeFill="background1" w:themeFillShade="D9"/>
          <w:rtl/>
        </w:rPr>
        <w:t>אלפי</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ש</w:t>
      </w:r>
      <w:r w:rsidR="00F2585A" w:rsidRPr="00F2585A">
        <w:rPr>
          <w:shd w:val="clear" w:color="auto" w:fill="D9D9D9" w:themeFill="background1" w:themeFillShade="D9"/>
          <w:rtl/>
        </w:rPr>
        <w:t xml:space="preserve">"ח, </w:t>
      </w:r>
      <w:r w:rsidR="00F2585A" w:rsidRPr="00F2585A">
        <w:rPr>
          <w:rFonts w:hint="eastAsia"/>
          <w:shd w:val="clear" w:color="auto" w:fill="D9D9D9" w:themeFill="background1" w:themeFillShade="D9"/>
          <w:rtl/>
        </w:rPr>
        <w:t>סכום</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אשר</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עשוי</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לקטון</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או</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לגדול</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בהתאם</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להתפתחויות</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בשוק</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ההון</w:t>
      </w:r>
      <w:r w:rsidR="00F2585A" w:rsidRPr="00F2585A">
        <w:rPr>
          <w:shd w:val="clear" w:color="auto" w:fill="D9D9D9" w:themeFill="background1" w:themeFillShade="D9"/>
          <w:rtl/>
        </w:rPr>
        <w:t>.</w:t>
      </w:r>
    </w:p>
    <w:p w14:paraId="1B1911AB" w14:textId="77777777" w:rsidR="008D22FA" w:rsidRDefault="008D22FA">
      <w:pPr>
        <w:pStyle w:val="21"/>
        <w:rPr>
          <w:rtl/>
        </w:rPr>
      </w:pPr>
    </w:p>
    <w:p w14:paraId="2BC79308" w14:textId="77777777" w:rsidR="008D22FA" w:rsidRDefault="007A5F11">
      <w:pPr>
        <w:pStyle w:val="21"/>
        <w:rPr>
          <w:rtl/>
        </w:rPr>
      </w:pPr>
      <w:r>
        <w:rPr>
          <w:rFonts w:hint="cs"/>
          <w:rtl/>
        </w:rPr>
        <w:t>ב</w:t>
      </w:r>
      <w:r w:rsidR="00B267F5">
        <w:rPr>
          <w:rFonts w:hint="cs"/>
          <w:rtl/>
        </w:rPr>
        <w:t>.</w:t>
      </w:r>
      <w:r w:rsidR="00B267F5">
        <w:rPr>
          <w:rFonts w:hint="cs"/>
          <w:rtl/>
        </w:rPr>
        <w:tab/>
      </w:r>
      <w:r w:rsidR="00F2585A" w:rsidRPr="00F2585A">
        <w:rPr>
          <w:rFonts w:hint="eastAsia"/>
          <w:shd w:val="clear" w:color="auto" w:fill="D9D9D9" w:themeFill="background1" w:themeFillShade="D9"/>
          <w:rtl/>
        </w:rPr>
        <w:t>יש</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לפרט</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אירועים</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נוספים</w:t>
      </w:r>
      <w:r w:rsidR="00562698">
        <w:rPr>
          <w:rFonts w:hint="cs"/>
          <w:shd w:val="clear" w:color="auto" w:fill="D9D9D9" w:themeFill="background1" w:themeFillShade="D9"/>
          <w:rtl/>
        </w:rPr>
        <w:t>, אם קיימים</w:t>
      </w:r>
      <w:r w:rsidR="00F2585A" w:rsidRPr="00F2585A">
        <w:rPr>
          <w:shd w:val="clear" w:color="auto" w:fill="D9D9D9" w:themeFill="background1" w:themeFillShade="D9"/>
          <w:rtl/>
        </w:rPr>
        <w:t>.</w:t>
      </w:r>
    </w:p>
    <w:p w14:paraId="22605F71" w14:textId="77777777" w:rsidR="0073661F" w:rsidRDefault="0073661F" w:rsidP="0073661F">
      <w:pPr>
        <w:ind w:left="720"/>
        <w:rPr>
          <w:rtl/>
        </w:rPr>
      </w:pPr>
    </w:p>
    <w:p w14:paraId="663A3B1B" w14:textId="77777777" w:rsidR="00225232" w:rsidRPr="0073661F" w:rsidRDefault="00225232">
      <w:pPr>
        <w:pStyle w:val="21"/>
        <w:rPr>
          <w:rtl/>
        </w:rPr>
      </w:pPr>
    </w:p>
    <w:tbl>
      <w:tblPr>
        <w:tblStyle w:val="af6"/>
        <w:bidiVisual/>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2939"/>
        <w:gridCol w:w="1275"/>
      </w:tblGrid>
      <w:tr w:rsidR="00626492" w:rsidRPr="008A7508" w14:paraId="0C388D30" w14:textId="77777777" w:rsidTr="00646B60">
        <w:tc>
          <w:tcPr>
            <w:tcW w:w="1078" w:type="dxa"/>
            <w:tcMar>
              <w:left w:w="0" w:type="dxa"/>
              <w:right w:w="0" w:type="dxa"/>
            </w:tcMar>
          </w:tcPr>
          <w:p w14:paraId="62FA5878" w14:textId="77777777" w:rsidR="003D46A8" w:rsidRDefault="00626492">
            <w:pPr>
              <w:pStyle w:val="11"/>
              <w:tabs>
                <w:tab w:val="clear" w:pos="1134"/>
              </w:tabs>
              <w:ind w:left="57" w:firstLine="0"/>
              <w:rPr>
                <w:sz w:val="24"/>
                <w:rtl/>
              </w:rPr>
            </w:pPr>
            <w:r w:rsidRPr="008A7508">
              <w:rPr>
                <w:sz w:val="24"/>
                <w:rtl/>
              </w:rPr>
              <w:t xml:space="preserve">באור </w:t>
            </w:r>
            <w:r w:rsidR="00DB3160">
              <w:rPr>
                <w:rFonts w:hint="cs"/>
                <w:sz w:val="24"/>
                <w:rtl/>
              </w:rPr>
              <w:t>19</w:t>
            </w:r>
            <w:r w:rsidRPr="008A7508">
              <w:rPr>
                <w:sz w:val="24"/>
                <w:rtl/>
              </w:rPr>
              <w:t>: -</w:t>
            </w:r>
          </w:p>
        </w:tc>
        <w:tc>
          <w:tcPr>
            <w:tcW w:w="2939" w:type="dxa"/>
          </w:tcPr>
          <w:p w14:paraId="3920CF62" w14:textId="77777777" w:rsidR="00626492" w:rsidRPr="008A7508" w:rsidRDefault="00626492" w:rsidP="00744C06">
            <w:pPr>
              <w:pStyle w:val="11"/>
              <w:tabs>
                <w:tab w:val="clear" w:pos="1134"/>
              </w:tabs>
              <w:ind w:left="4" w:firstLine="0"/>
              <w:rPr>
                <w:sz w:val="24"/>
                <w:rtl/>
              </w:rPr>
            </w:pPr>
            <w:r>
              <w:rPr>
                <w:rFonts w:hint="cs"/>
                <w:u w:val="single"/>
                <w:rtl/>
              </w:rPr>
              <w:t>מסים על ההכנסה</w:t>
            </w:r>
            <w:r>
              <w:rPr>
                <w:rStyle w:val="ab"/>
                <w:rtl/>
              </w:rPr>
              <w:footnoteReference w:id="125"/>
            </w:r>
          </w:p>
        </w:tc>
        <w:tc>
          <w:tcPr>
            <w:tcW w:w="1275" w:type="dxa"/>
            <w:tcBorders>
              <w:bottom w:val="single" w:sz="4" w:space="0" w:color="auto"/>
              <w:right w:val="single" w:sz="4" w:space="0" w:color="auto"/>
            </w:tcBorders>
            <w:vAlign w:val="center"/>
          </w:tcPr>
          <w:p w14:paraId="3AC0A9A2" w14:textId="77777777" w:rsidR="00626492" w:rsidRPr="008A7508" w:rsidRDefault="00626492" w:rsidP="00626492">
            <w:pPr>
              <w:pStyle w:val="11"/>
              <w:tabs>
                <w:tab w:val="clear" w:pos="1134"/>
              </w:tabs>
              <w:bidi w:val="0"/>
              <w:ind w:left="4" w:firstLine="0"/>
              <w:jc w:val="right"/>
              <w:rPr>
                <w:i/>
                <w:iCs/>
                <w:sz w:val="13"/>
                <w:szCs w:val="13"/>
              </w:rPr>
            </w:pPr>
            <w:r>
              <w:rPr>
                <w:i/>
                <w:iCs/>
                <w:sz w:val="13"/>
                <w:szCs w:val="13"/>
              </w:rPr>
              <w:t>IAS 34.16A(d)</w:t>
            </w:r>
          </w:p>
        </w:tc>
      </w:tr>
    </w:tbl>
    <w:p w14:paraId="708D1C0A" w14:textId="77777777" w:rsidR="00626492" w:rsidRDefault="00626492">
      <w:pPr>
        <w:pStyle w:val="11"/>
        <w:rPr>
          <w:rtl/>
        </w:rPr>
      </w:pPr>
    </w:p>
    <w:p w14:paraId="70798EE9" w14:textId="77777777" w:rsidR="00151B8D" w:rsidRDefault="00151B8D">
      <w:pPr>
        <w:pStyle w:val="11"/>
        <w:rPr>
          <w:rtl/>
        </w:rPr>
      </w:pPr>
    </w:p>
    <w:p w14:paraId="026C746A" w14:textId="77777777" w:rsidR="005B3CD0" w:rsidRDefault="005B3CD0">
      <w:pPr>
        <w:pStyle w:val="11"/>
        <w:rPr>
          <w:rtl/>
        </w:rPr>
      </w:pPr>
      <w:bookmarkStart w:id="57" w:name="_Toc290213650"/>
    </w:p>
    <w:p w14:paraId="15BAAC0D" w14:textId="77777777" w:rsidR="005B3CD0" w:rsidRDefault="005B3CD0">
      <w:pPr>
        <w:pStyle w:val="11"/>
        <w:rPr>
          <w:rtl/>
        </w:rPr>
      </w:pPr>
    </w:p>
    <w:p w14:paraId="35672247" w14:textId="77777777" w:rsidR="005B3CD0" w:rsidRDefault="005B3CD0">
      <w:pPr>
        <w:pStyle w:val="11"/>
        <w:rPr>
          <w:rtl/>
        </w:rPr>
      </w:pPr>
    </w:p>
    <w:p w14:paraId="509AC712" w14:textId="77777777" w:rsidR="005B3CD0" w:rsidRDefault="005B3CD0">
      <w:pPr>
        <w:pStyle w:val="11"/>
        <w:rPr>
          <w:rtl/>
        </w:rPr>
      </w:pPr>
    </w:p>
    <w:p w14:paraId="5CD3F01A" w14:textId="77777777" w:rsidR="003D46A8" w:rsidRDefault="00AB7D68">
      <w:pPr>
        <w:pStyle w:val="11"/>
        <w:rPr>
          <w:rtl/>
        </w:rPr>
      </w:pPr>
      <w:r>
        <w:rPr>
          <w:rFonts w:hint="cs"/>
          <w:rtl/>
        </w:rPr>
        <w:t xml:space="preserve">באור </w:t>
      </w:r>
      <w:r w:rsidR="007110C4">
        <w:rPr>
          <w:rFonts w:hint="cs"/>
          <w:rtl/>
        </w:rPr>
        <w:t>20</w:t>
      </w:r>
      <w:r>
        <w:rPr>
          <w:rFonts w:hint="cs"/>
          <w:rtl/>
        </w:rPr>
        <w:t>: -</w:t>
      </w:r>
      <w:r>
        <w:rPr>
          <w:rFonts w:hint="cs"/>
          <w:rtl/>
        </w:rPr>
        <w:tab/>
      </w:r>
      <w:r>
        <w:rPr>
          <w:rFonts w:hint="cs"/>
          <w:u w:val="single"/>
          <w:rtl/>
        </w:rPr>
        <w:t>חתימה על הדוחות הכספיים</w:t>
      </w:r>
      <w:r w:rsidR="001C00CA" w:rsidRPr="00977A5A">
        <w:rPr>
          <w:rStyle w:val="ab"/>
          <w:rtl/>
        </w:rPr>
        <w:footnoteReference w:id="126"/>
      </w:r>
      <w:bookmarkEnd w:id="57"/>
    </w:p>
    <w:p w14:paraId="49AF0B3B" w14:textId="77777777" w:rsidR="00225232" w:rsidRDefault="00225232">
      <w:pPr>
        <w:pStyle w:val="11"/>
        <w:spacing w:line="240" w:lineRule="auto"/>
        <w:rPr>
          <w:u w:val="single"/>
          <w:rtl/>
        </w:rPr>
      </w:pPr>
    </w:p>
    <w:p w14:paraId="5B4EC4F4" w14:textId="77777777" w:rsidR="00225232" w:rsidRDefault="00AB7D68">
      <w:pPr>
        <w:pStyle w:val="21"/>
        <w:ind w:left="1134" w:firstLine="0"/>
        <w:rPr>
          <w:rtl/>
        </w:rPr>
      </w:pPr>
      <w:r>
        <w:rPr>
          <w:rFonts w:hint="cs"/>
          <w:rtl/>
        </w:rPr>
        <w:t xml:space="preserve">ביום _____ הסמיך דירקטוריון החברה את ____, דירקטור בחברה המכהן כ-____ בחברה, לחתום על הדוחות הכספיים של החברה במקום מנכ"ל החברה מר ____ אשר </w:t>
      </w:r>
      <w:r>
        <w:rPr>
          <w:rFonts w:hint="cs"/>
          <w:u w:val="single"/>
          <w:shd w:val="clear" w:color="auto" w:fill="D9D9D9"/>
          <w:rtl/>
        </w:rPr>
        <w:t>[יש לפרט את הסיבה]</w:t>
      </w:r>
      <w:r>
        <w:rPr>
          <w:rFonts w:hint="cs"/>
          <w:rtl/>
        </w:rPr>
        <w:t xml:space="preserve"> ולפיכך נבצר ממנו לחתום.</w:t>
      </w:r>
    </w:p>
    <w:p w14:paraId="77E69B68" w14:textId="77777777" w:rsidR="00605DC8" w:rsidRDefault="00605DC8">
      <w:pPr>
        <w:widowControl/>
        <w:overflowPunct/>
        <w:autoSpaceDE/>
        <w:autoSpaceDN/>
        <w:bidi w:val="0"/>
        <w:adjustRightInd/>
        <w:spacing w:line="240" w:lineRule="auto"/>
        <w:jc w:val="left"/>
        <w:textAlignment w:val="auto"/>
        <w:sectPr w:rsidR="00605DC8" w:rsidSect="00BA7D9A">
          <w:headerReference w:type="default" r:id="rId17"/>
          <w:footnotePr>
            <w:numRestart w:val="eachPage"/>
          </w:footnotePr>
          <w:pgSz w:w="11907" w:h="16840" w:code="9"/>
          <w:pgMar w:top="1134" w:right="1134" w:bottom="1134" w:left="1134" w:header="567" w:footer="567" w:gutter="0"/>
          <w:cols w:space="720"/>
          <w:bidi/>
          <w:rtlGutter/>
          <w:docGrid w:linePitch="299"/>
        </w:sectPr>
      </w:pPr>
    </w:p>
    <w:p w14:paraId="64E4CBA8" w14:textId="77777777" w:rsidR="00310EFA" w:rsidRDefault="00310EFA" w:rsidP="003C4011">
      <w:pPr>
        <w:pStyle w:val="ac"/>
        <w:rPr>
          <w:rFonts w:cs="Narkisim"/>
          <w:sz w:val="20"/>
          <w:szCs w:val="24"/>
          <w:rtl/>
        </w:rPr>
      </w:pPr>
    </w:p>
    <w:p w14:paraId="3865D502" w14:textId="77777777" w:rsidR="00AA1373" w:rsidRPr="00D33F7C" w:rsidRDefault="00AA1373" w:rsidP="003C4011">
      <w:pPr>
        <w:pStyle w:val="ac"/>
        <w:rPr>
          <w:rFonts w:cs="Narkisim"/>
          <w:sz w:val="20"/>
          <w:szCs w:val="24"/>
          <w:rtl/>
        </w:rPr>
      </w:pPr>
    </w:p>
    <w:p w14:paraId="35A97390" w14:textId="77777777" w:rsidR="008D22FA" w:rsidRPr="003715E0" w:rsidRDefault="00892691">
      <w:pPr>
        <w:shd w:val="clear" w:color="auto" w:fill="D9D9D9" w:themeFill="background1" w:themeFillShade="D9"/>
        <w:rPr>
          <w:u w:val="single"/>
          <w:rtl/>
        </w:rPr>
      </w:pPr>
      <w:r w:rsidRPr="00892691">
        <w:rPr>
          <w:rFonts w:hint="eastAsia"/>
          <w:u w:val="single"/>
          <w:rtl/>
        </w:rPr>
        <w:t>הערה</w:t>
      </w:r>
      <w:r w:rsidRPr="00892691">
        <w:rPr>
          <w:u w:val="single"/>
          <w:rtl/>
        </w:rPr>
        <w:t>:</w:t>
      </w:r>
    </w:p>
    <w:p w14:paraId="40C319E1" w14:textId="77777777" w:rsidR="008D22FA" w:rsidRDefault="008D22FA">
      <w:pPr>
        <w:shd w:val="clear" w:color="auto" w:fill="D9D9D9" w:themeFill="background1" w:themeFillShade="D9"/>
        <w:rPr>
          <w:rtl/>
        </w:rPr>
      </w:pPr>
    </w:p>
    <w:p w14:paraId="17C499EB" w14:textId="77777777" w:rsidR="008D22FA" w:rsidRDefault="00F2585A" w:rsidP="00F23B10">
      <w:pPr>
        <w:shd w:val="clear" w:color="auto" w:fill="D9D9D9" w:themeFill="background1" w:themeFillShade="D9"/>
        <w:rPr>
          <w:rtl/>
        </w:rPr>
      </w:pPr>
      <w:r w:rsidRPr="00F2585A">
        <w:rPr>
          <w:rFonts w:hint="eastAsia"/>
          <w:rtl/>
        </w:rPr>
        <w:t>בהתאם</w:t>
      </w:r>
      <w:r w:rsidRPr="00F2585A">
        <w:rPr>
          <w:rtl/>
        </w:rPr>
        <w:t xml:space="preserve"> ל-</w:t>
      </w:r>
      <w:r w:rsidR="002B2004">
        <w:t>A</w:t>
      </w:r>
      <w:r w:rsidR="002B2004">
        <w:rPr>
          <w:rFonts w:hint="cs"/>
          <w:rtl/>
        </w:rPr>
        <w:t>106.</w:t>
      </w:r>
      <w:r w:rsidRPr="00F2585A">
        <w:t>IAS 1</w:t>
      </w:r>
      <w:r w:rsidRPr="00F2585A">
        <w:rPr>
          <w:rtl/>
        </w:rPr>
        <w:t xml:space="preserve"> </w:t>
      </w:r>
      <w:r w:rsidRPr="00F2585A">
        <w:rPr>
          <w:rFonts w:hint="eastAsia"/>
          <w:rtl/>
        </w:rPr>
        <w:t>נדרשו</w:t>
      </w:r>
      <w:r w:rsidR="002B2004">
        <w:rPr>
          <w:rFonts w:hint="cs"/>
          <w:rtl/>
        </w:rPr>
        <w:t>ת</w:t>
      </w:r>
      <w:r w:rsidRPr="00F2585A">
        <w:rPr>
          <w:rtl/>
        </w:rPr>
        <w:t xml:space="preserve"> </w:t>
      </w:r>
      <w:r w:rsidRPr="00F2585A">
        <w:rPr>
          <w:rFonts w:hint="eastAsia"/>
          <w:rtl/>
        </w:rPr>
        <w:t>החברות</w:t>
      </w:r>
      <w:r w:rsidRPr="00F2585A">
        <w:rPr>
          <w:rtl/>
        </w:rPr>
        <w:t xml:space="preserve"> </w:t>
      </w:r>
      <w:r w:rsidRPr="00F2585A">
        <w:rPr>
          <w:rFonts w:hint="eastAsia"/>
          <w:rtl/>
        </w:rPr>
        <w:t>לבחור</w:t>
      </w:r>
      <w:r w:rsidRPr="00F2585A">
        <w:rPr>
          <w:rtl/>
        </w:rPr>
        <w:t xml:space="preserve"> האם להציג את</w:t>
      </w:r>
      <w:r w:rsidR="003C4011" w:rsidRPr="00D33F7C">
        <w:rPr>
          <w:rtl/>
        </w:rPr>
        <w:t xml:space="preserve"> התנועה בין יתרת הפתיחה ליתרת הסגירה בגין כל רכיב של רווח כולל אחר בדוח על השינויים בהון או במסגרת </w:t>
      </w:r>
      <w:r w:rsidR="003C4011" w:rsidRPr="00D33F7C">
        <w:rPr>
          <w:rFonts w:hint="eastAsia"/>
          <w:rtl/>
        </w:rPr>
        <w:t>הבאורים</w:t>
      </w:r>
      <w:r w:rsidR="003C4011" w:rsidRPr="00D33F7C">
        <w:rPr>
          <w:rtl/>
        </w:rPr>
        <w:t xml:space="preserve"> לדוחות הכספיים השנתיים. </w:t>
      </w:r>
      <w:r w:rsidR="0019531E">
        <w:rPr>
          <w:rFonts w:hint="cs"/>
          <w:rtl/>
        </w:rPr>
        <w:t xml:space="preserve">ההנחה </w:t>
      </w:r>
      <w:r w:rsidR="003C4011" w:rsidRPr="00D33F7C">
        <w:rPr>
          <w:rFonts w:hint="cs"/>
          <w:rtl/>
        </w:rPr>
        <w:t xml:space="preserve">בדוחות לדוגמא אלה </w:t>
      </w:r>
      <w:r w:rsidR="0019531E">
        <w:rPr>
          <w:rFonts w:hint="cs"/>
          <w:rtl/>
        </w:rPr>
        <w:t xml:space="preserve">היא שהחברה </w:t>
      </w:r>
      <w:r w:rsidR="003C4011" w:rsidRPr="00D33F7C">
        <w:rPr>
          <w:rFonts w:hint="cs"/>
          <w:rtl/>
        </w:rPr>
        <w:t xml:space="preserve">בחרה </w:t>
      </w:r>
      <w:r w:rsidR="0019531E">
        <w:rPr>
          <w:rFonts w:hint="cs"/>
          <w:rtl/>
        </w:rPr>
        <w:t>ב</w:t>
      </w:r>
      <w:r w:rsidR="003C4011" w:rsidRPr="00D33F7C">
        <w:rPr>
          <w:rFonts w:hint="cs"/>
          <w:rtl/>
        </w:rPr>
        <w:t xml:space="preserve">חלופה של הצגת </w:t>
      </w:r>
      <w:r w:rsidR="003C4011" w:rsidRPr="00D33F7C">
        <w:rPr>
          <w:rtl/>
        </w:rPr>
        <w:t xml:space="preserve">התנועה כאמור </w:t>
      </w:r>
      <w:r w:rsidRPr="00F2585A">
        <w:rPr>
          <w:rFonts w:hint="eastAsia"/>
          <w:b/>
          <w:bCs/>
          <w:rtl/>
        </w:rPr>
        <w:t>במסגרת</w:t>
      </w:r>
      <w:r w:rsidRPr="00F2585A">
        <w:rPr>
          <w:b/>
          <w:bCs/>
          <w:rtl/>
        </w:rPr>
        <w:t xml:space="preserve"> </w:t>
      </w:r>
      <w:r w:rsidRPr="00F2585A">
        <w:rPr>
          <w:rFonts w:hint="eastAsia"/>
          <w:b/>
          <w:bCs/>
          <w:rtl/>
        </w:rPr>
        <w:t>הבאורים</w:t>
      </w:r>
      <w:r w:rsidR="003C4011" w:rsidRPr="00D33F7C">
        <w:rPr>
          <w:rFonts w:hint="cs"/>
          <w:rtl/>
        </w:rPr>
        <w:t xml:space="preserve"> לדוחות הכספיים השנתיים. ע</w:t>
      </w:r>
      <w:r w:rsidR="0019531E">
        <w:rPr>
          <w:rFonts w:hint="cs"/>
          <w:rtl/>
        </w:rPr>
        <w:t xml:space="preserve">בור </w:t>
      </w:r>
      <w:r w:rsidR="00BF2EF3">
        <w:rPr>
          <w:rFonts w:hint="cs"/>
          <w:rtl/>
        </w:rPr>
        <w:t>חב</w:t>
      </w:r>
      <w:r w:rsidR="003C4011" w:rsidRPr="00D33F7C">
        <w:rPr>
          <w:rFonts w:hint="cs"/>
          <w:rtl/>
        </w:rPr>
        <w:t xml:space="preserve">רות </w:t>
      </w:r>
      <w:r w:rsidR="007911F0">
        <w:rPr>
          <w:rFonts w:hint="cs"/>
          <w:rtl/>
        </w:rPr>
        <w:t xml:space="preserve">שבחרו </w:t>
      </w:r>
      <w:r w:rsidR="003C4011" w:rsidRPr="00D33F7C">
        <w:rPr>
          <w:rFonts w:hint="cs"/>
          <w:rtl/>
        </w:rPr>
        <w:t xml:space="preserve">להציג את התנועה כאמור </w:t>
      </w:r>
      <w:r w:rsidRPr="00F2585A">
        <w:rPr>
          <w:rFonts w:hint="eastAsia"/>
          <w:b/>
          <w:bCs/>
          <w:rtl/>
        </w:rPr>
        <w:t>במסגרת</w:t>
      </w:r>
      <w:r w:rsidRPr="00F2585A">
        <w:rPr>
          <w:b/>
          <w:bCs/>
          <w:rtl/>
        </w:rPr>
        <w:t xml:space="preserve"> הדוח על השינויים בהון</w:t>
      </w:r>
      <w:r w:rsidR="003C4011" w:rsidRPr="00D33F7C">
        <w:rPr>
          <w:rFonts w:hint="cs"/>
          <w:rtl/>
        </w:rPr>
        <w:t xml:space="preserve">, מובא </w:t>
      </w:r>
      <w:r w:rsidR="00803898" w:rsidRPr="00D33F7C">
        <w:rPr>
          <w:rFonts w:hint="cs"/>
          <w:rtl/>
        </w:rPr>
        <w:t xml:space="preserve">להלן </w:t>
      </w:r>
      <w:r w:rsidR="003C4011" w:rsidRPr="00D33F7C">
        <w:rPr>
          <w:rFonts w:hint="cs"/>
          <w:rtl/>
        </w:rPr>
        <w:t xml:space="preserve">מבנה של הדוח על השינויים בהון בהתאם </w:t>
      </w:r>
      <w:r w:rsidR="002B2004" w:rsidRPr="00D33F7C">
        <w:rPr>
          <w:rFonts w:hint="cs"/>
          <w:rtl/>
        </w:rPr>
        <w:t>ל</w:t>
      </w:r>
      <w:r w:rsidR="002B2004">
        <w:rPr>
          <w:rFonts w:hint="cs"/>
          <w:rtl/>
        </w:rPr>
        <w:t>-</w:t>
      </w:r>
      <w:r w:rsidR="002B2004" w:rsidRPr="00D33F7C">
        <w:rPr>
          <w:rFonts w:hint="cs"/>
          <w:rtl/>
        </w:rPr>
        <w:t xml:space="preserve"> </w:t>
      </w:r>
      <w:r w:rsidR="003C4011" w:rsidRPr="00D33F7C">
        <w:rPr>
          <w:rFonts w:hint="cs"/>
        </w:rPr>
        <w:t>IAS 1</w:t>
      </w:r>
      <w:r w:rsidR="009031DA">
        <w:rPr>
          <w:rFonts w:hint="cs"/>
          <w:rtl/>
        </w:rPr>
        <w:t>, שיש להשתמש בו במקום במוצג בדוחות על השינויים בהון שבגוף הדוחות לדוגמא.</w:t>
      </w:r>
    </w:p>
    <w:p w14:paraId="6C51834B" w14:textId="77777777" w:rsidR="008D22FA" w:rsidRDefault="008D22FA">
      <w:pPr>
        <w:shd w:val="clear" w:color="auto" w:fill="D9D9D9" w:themeFill="background1" w:themeFillShade="D9"/>
        <w:rPr>
          <w:rtl/>
        </w:rPr>
      </w:pPr>
    </w:p>
    <w:p w14:paraId="0E26B38F" w14:textId="53BC8AC2" w:rsidR="004665A0" w:rsidRDefault="00803898" w:rsidP="00E25534">
      <w:pPr>
        <w:shd w:val="clear" w:color="auto" w:fill="D9D9D9" w:themeFill="background1" w:themeFillShade="D9"/>
      </w:pPr>
      <w:r w:rsidRPr="00D33F7C">
        <w:rPr>
          <w:rFonts w:hint="cs"/>
          <w:rtl/>
        </w:rPr>
        <w:t>בנספח זה מובא</w:t>
      </w:r>
      <w:r w:rsidR="00863275" w:rsidRPr="00D33F7C">
        <w:rPr>
          <w:rFonts w:hint="cs"/>
          <w:rtl/>
        </w:rPr>
        <w:t>ת דוגמ</w:t>
      </w:r>
      <w:r w:rsidR="0073661F">
        <w:rPr>
          <w:rFonts w:hint="cs"/>
          <w:rtl/>
        </w:rPr>
        <w:t>א</w:t>
      </w:r>
      <w:r w:rsidR="00863275" w:rsidRPr="00D33F7C">
        <w:rPr>
          <w:rFonts w:hint="cs"/>
          <w:rtl/>
        </w:rPr>
        <w:t xml:space="preserve"> לתקופ</w:t>
      </w:r>
      <w:r w:rsidR="008A1599">
        <w:rPr>
          <w:rFonts w:hint="cs"/>
          <w:rtl/>
        </w:rPr>
        <w:t xml:space="preserve">ה </w:t>
      </w:r>
      <w:r w:rsidR="00863275" w:rsidRPr="00D33F7C">
        <w:rPr>
          <w:rFonts w:hint="cs"/>
          <w:rtl/>
        </w:rPr>
        <w:t xml:space="preserve">אחת בלבד (תשעה חודשים </w:t>
      </w:r>
      <w:r w:rsidR="00BF2EF3">
        <w:rPr>
          <w:rFonts w:hint="cs"/>
          <w:rtl/>
        </w:rPr>
        <w:t>שהסתיימו ביום 30 בספטמבר,</w:t>
      </w:r>
      <w:r w:rsidR="00863275" w:rsidRPr="00D33F7C">
        <w:rPr>
          <w:rFonts w:hint="cs"/>
          <w:rtl/>
        </w:rPr>
        <w:t xml:space="preserve"> </w:t>
      </w:r>
      <w:r w:rsidR="00655AA2">
        <w:rPr>
          <w:rFonts w:hint="cs"/>
          <w:rtl/>
        </w:rPr>
        <w:t>201</w:t>
      </w:r>
      <w:r w:rsidR="00E25534">
        <w:rPr>
          <w:rFonts w:hint="cs"/>
          <w:rtl/>
        </w:rPr>
        <w:t>9</w:t>
      </w:r>
      <w:r w:rsidR="00863275" w:rsidRPr="00D33F7C">
        <w:rPr>
          <w:rFonts w:hint="cs"/>
          <w:rtl/>
        </w:rPr>
        <w:t>), ועל חברה המשתמשת במבנה שלהלן להציגו עבור כל תקופות ההשוואה הנדרשות בדוח.</w:t>
      </w:r>
    </w:p>
    <w:p w14:paraId="7DC32A38" w14:textId="77777777" w:rsidR="00CA0503" w:rsidRDefault="00CA0503" w:rsidP="00E470B3">
      <w:pPr>
        <w:spacing w:line="240" w:lineRule="auto"/>
        <w:rPr>
          <w:rtl/>
        </w:rPr>
      </w:pPr>
    </w:p>
    <w:p w14:paraId="4337AC2A" w14:textId="77777777" w:rsidR="0019531E" w:rsidRDefault="0019531E" w:rsidP="00E470B3">
      <w:pPr>
        <w:spacing w:line="240" w:lineRule="auto"/>
        <w:rPr>
          <w:rtl/>
        </w:rPr>
      </w:pPr>
    </w:p>
    <w:p w14:paraId="49D4B0FB" w14:textId="77777777" w:rsidR="00E127B2" w:rsidRDefault="00E127B2">
      <w:pPr>
        <w:widowControl/>
        <w:overflowPunct/>
        <w:autoSpaceDE/>
        <w:autoSpaceDN/>
        <w:bidi w:val="0"/>
        <w:adjustRightInd/>
        <w:spacing w:line="240" w:lineRule="auto"/>
        <w:jc w:val="left"/>
        <w:textAlignment w:val="auto"/>
        <w:rPr>
          <w:rtl/>
        </w:rPr>
      </w:pPr>
    </w:p>
    <w:p w14:paraId="7F967255" w14:textId="77777777" w:rsidR="0019531E" w:rsidRDefault="0019531E" w:rsidP="00E470B3">
      <w:pPr>
        <w:spacing w:line="240" w:lineRule="auto"/>
        <w:rPr>
          <w:rtl/>
        </w:rPr>
        <w:sectPr w:rsidR="0019531E" w:rsidSect="00BA7D9A">
          <w:headerReference w:type="default" r:id="rId18"/>
          <w:footnotePr>
            <w:numRestart w:val="eachPage"/>
          </w:footnotePr>
          <w:pgSz w:w="11907" w:h="16840" w:code="9"/>
          <w:pgMar w:top="1134" w:right="1134" w:bottom="1134" w:left="1134" w:header="567" w:footer="567" w:gutter="0"/>
          <w:cols w:space="720"/>
          <w:bidi/>
          <w:rtlGutter/>
          <w:docGrid w:linePitch="299"/>
        </w:sectPr>
      </w:pPr>
    </w:p>
    <w:p w14:paraId="49AD2F53" w14:textId="77777777" w:rsidR="003C4011" w:rsidRDefault="003C4011" w:rsidP="00E470B3">
      <w:pPr>
        <w:spacing w:line="240" w:lineRule="auto"/>
        <w:rPr>
          <w:sz w:val="8"/>
          <w:szCs w:val="12"/>
          <w:rtl/>
        </w:rPr>
      </w:pPr>
    </w:p>
    <w:p w14:paraId="4B086C53" w14:textId="77777777" w:rsidR="00EE5286" w:rsidRPr="00E470B3" w:rsidRDefault="00EE5286" w:rsidP="00E470B3">
      <w:pPr>
        <w:spacing w:line="240" w:lineRule="auto"/>
        <w:rPr>
          <w:sz w:val="8"/>
          <w:szCs w:val="12"/>
          <w:rtl/>
        </w:rPr>
      </w:pPr>
    </w:p>
    <w:tbl>
      <w:tblPr>
        <w:bidiVisual/>
        <w:tblW w:w="15776" w:type="dxa"/>
        <w:tblInd w:w="55" w:type="dxa"/>
        <w:tblLayout w:type="fixed"/>
        <w:tblCellMar>
          <w:left w:w="0" w:type="dxa"/>
          <w:right w:w="0" w:type="dxa"/>
        </w:tblCellMar>
        <w:tblLook w:val="0000" w:firstRow="0" w:lastRow="0" w:firstColumn="0" w:lastColumn="0" w:noHBand="0" w:noVBand="0"/>
      </w:tblPr>
      <w:tblGrid>
        <w:gridCol w:w="3177"/>
        <w:gridCol w:w="113"/>
        <w:gridCol w:w="624"/>
        <w:gridCol w:w="113"/>
        <w:gridCol w:w="624"/>
        <w:gridCol w:w="113"/>
        <w:gridCol w:w="624"/>
        <w:gridCol w:w="113"/>
        <w:gridCol w:w="680"/>
        <w:gridCol w:w="113"/>
        <w:gridCol w:w="624"/>
        <w:gridCol w:w="113"/>
        <w:gridCol w:w="624"/>
        <w:gridCol w:w="113"/>
        <w:gridCol w:w="737"/>
        <w:gridCol w:w="113"/>
        <w:gridCol w:w="737"/>
        <w:gridCol w:w="113"/>
        <w:gridCol w:w="680"/>
        <w:gridCol w:w="79"/>
        <w:gridCol w:w="734"/>
        <w:gridCol w:w="113"/>
        <w:gridCol w:w="680"/>
        <w:gridCol w:w="113"/>
        <w:gridCol w:w="680"/>
        <w:gridCol w:w="113"/>
        <w:gridCol w:w="680"/>
        <w:gridCol w:w="113"/>
        <w:gridCol w:w="680"/>
        <w:gridCol w:w="113"/>
        <w:gridCol w:w="680"/>
        <w:gridCol w:w="113"/>
        <w:gridCol w:w="737"/>
      </w:tblGrid>
      <w:tr w:rsidR="000F2299" w:rsidRPr="00E11086" w14:paraId="47D252AF" w14:textId="77777777" w:rsidTr="003675AA">
        <w:tc>
          <w:tcPr>
            <w:tcW w:w="3177" w:type="dxa"/>
            <w:vAlign w:val="bottom"/>
          </w:tcPr>
          <w:p w14:paraId="13FD5427" w14:textId="77777777" w:rsidR="000F2299" w:rsidRPr="000A726A" w:rsidRDefault="000F2299" w:rsidP="00E91DD1">
            <w:pPr>
              <w:spacing w:line="160" w:lineRule="exact"/>
              <w:ind w:left="198" w:hanging="170"/>
              <w:jc w:val="center"/>
              <w:rPr>
                <w:sz w:val="14"/>
                <w:szCs w:val="14"/>
              </w:rPr>
            </w:pPr>
          </w:p>
        </w:tc>
        <w:tc>
          <w:tcPr>
            <w:tcW w:w="113" w:type="dxa"/>
            <w:vAlign w:val="bottom"/>
          </w:tcPr>
          <w:p w14:paraId="78921D34" w14:textId="77777777" w:rsidR="000F2299" w:rsidRPr="000A726A" w:rsidRDefault="000F2299" w:rsidP="00E470B3">
            <w:pPr>
              <w:spacing w:line="160" w:lineRule="exact"/>
              <w:jc w:val="center"/>
              <w:rPr>
                <w:sz w:val="14"/>
                <w:szCs w:val="14"/>
              </w:rPr>
            </w:pPr>
          </w:p>
        </w:tc>
        <w:tc>
          <w:tcPr>
            <w:tcW w:w="10843" w:type="dxa"/>
            <w:gridSpan w:val="27"/>
            <w:tcBorders>
              <w:left w:val="nil"/>
              <w:bottom w:val="single" w:sz="6" w:space="0" w:color="auto"/>
              <w:right w:val="nil"/>
            </w:tcBorders>
            <w:shd w:val="clear" w:color="auto" w:fill="auto"/>
            <w:vAlign w:val="bottom"/>
          </w:tcPr>
          <w:p w14:paraId="18774735" w14:textId="77777777" w:rsidR="000F2299" w:rsidRPr="00E11086" w:rsidRDefault="000C4C0E" w:rsidP="00E470B3">
            <w:pPr>
              <w:keepNext/>
              <w:tabs>
                <w:tab w:val="left" w:pos="0"/>
                <w:tab w:val="left" w:pos="397"/>
                <w:tab w:val="left" w:pos="510"/>
              </w:tabs>
              <w:spacing w:line="160" w:lineRule="exact"/>
              <w:jc w:val="center"/>
              <w:outlineLvl w:val="1"/>
              <w:rPr>
                <w:sz w:val="14"/>
                <w:szCs w:val="14"/>
                <w:rtl/>
              </w:rPr>
            </w:pPr>
            <w:r w:rsidRPr="00E11086">
              <w:rPr>
                <w:rFonts w:hint="eastAsia"/>
                <w:sz w:val="14"/>
                <w:szCs w:val="14"/>
                <w:rtl/>
              </w:rPr>
              <w:t>מיוחס</w:t>
            </w:r>
            <w:r w:rsidRPr="00E11086">
              <w:rPr>
                <w:sz w:val="14"/>
                <w:szCs w:val="14"/>
                <w:rtl/>
              </w:rPr>
              <w:t xml:space="preserve"> </w:t>
            </w:r>
            <w:r w:rsidRPr="00E11086">
              <w:rPr>
                <w:rFonts w:hint="eastAsia"/>
                <w:sz w:val="14"/>
                <w:szCs w:val="14"/>
                <w:rtl/>
              </w:rPr>
              <w:t>לבעלי</w:t>
            </w:r>
            <w:r w:rsidRPr="00E11086">
              <w:rPr>
                <w:sz w:val="14"/>
                <w:szCs w:val="14"/>
                <w:rtl/>
              </w:rPr>
              <w:t xml:space="preserve"> </w:t>
            </w:r>
            <w:r w:rsidRPr="00E11086">
              <w:rPr>
                <w:rFonts w:hint="eastAsia"/>
                <w:sz w:val="14"/>
                <w:szCs w:val="14"/>
                <w:rtl/>
              </w:rPr>
              <w:t>מניות</w:t>
            </w:r>
            <w:r w:rsidRPr="00E11086">
              <w:rPr>
                <w:sz w:val="14"/>
                <w:szCs w:val="14"/>
                <w:rtl/>
              </w:rPr>
              <w:t xml:space="preserve"> </w:t>
            </w:r>
            <w:r w:rsidRPr="00E11086">
              <w:rPr>
                <w:rFonts w:hint="eastAsia"/>
                <w:sz w:val="14"/>
                <w:szCs w:val="14"/>
                <w:rtl/>
              </w:rPr>
              <w:t>החברה</w:t>
            </w:r>
          </w:p>
        </w:tc>
        <w:tc>
          <w:tcPr>
            <w:tcW w:w="113" w:type="dxa"/>
            <w:vAlign w:val="bottom"/>
          </w:tcPr>
          <w:p w14:paraId="32F384B6" w14:textId="77777777" w:rsidR="000F2299" w:rsidRPr="00E11086" w:rsidRDefault="000F2299" w:rsidP="00E470B3">
            <w:pPr>
              <w:spacing w:line="160" w:lineRule="exact"/>
              <w:jc w:val="center"/>
              <w:rPr>
                <w:sz w:val="14"/>
                <w:szCs w:val="14"/>
              </w:rPr>
            </w:pPr>
          </w:p>
        </w:tc>
        <w:tc>
          <w:tcPr>
            <w:tcW w:w="680" w:type="dxa"/>
            <w:tcBorders>
              <w:left w:val="nil"/>
              <w:right w:val="nil"/>
            </w:tcBorders>
            <w:shd w:val="clear" w:color="auto" w:fill="auto"/>
            <w:vAlign w:val="bottom"/>
          </w:tcPr>
          <w:p w14:paraId="43370665" w14:textId="77777777" w:rsidR="000F2299" w:rsidRPr="00E11086" w:rsidRDefault="000F2299" w:rsidP="00E470B3">
            <w:pPr>
              <w:spacing w:line="160" w:lineRule="exact"/>
              <w:jc w:val="center"/>
              <w:rPr>
                <w:sz w:val="14"/>
                <w:szCs w:val="14"/>
                <w:rtl/>
              </w:rPr>
            </w:pPr>
          </w:p>
        </w:tc>
        <w:tc>
          <w:tcPr>
            <w:tcW w:w="113" w:type="dxa"/>
            <w:vAlign w:val="bottom"/>
          </w:tcPr>
          <w:p w14:paraId="30FD2716" w14:textId="77777777" w:rsidR="000F2299" w:rsidRPr="00E11086" w:rsidRDefault="000F2299" w:rsidP="00E470B3">
            <w:pPr>
              <w:spacing w:line="160" w:lineRule="exact"/>
              <w:jc w:val="center"/>
              <w:rPr>
                <w:sz w:val="14"/>
                <w:szCs w:val="14"/>
              </w:rPr>
            </w:pPr>
          </w:p>
        </w:tc>
        <w:tc>
          <w:tcPr>
            <w:tcW w:w="737" w:type="dxa"/>
            <w:tcBorders>
              <w:left w:val="nil"/>
              <w:right w:val="nil"/>
            </w:tcBorders>
            <w:shd w:val="clear" w:color="auto" w:fill="auto"/>
            <w:vAlign w:val="bottom"/>
          </w:tcPr>
          <w:p w14:paraId="7AD13B06" w14:textId="77777777" w:rsidR="000F2299" w:rsidRPr="00E11086" w:rsidRDefault="000F2299" w:rsidP="00E470B3">
            <w:pPr>
              <w:spacing w:line="160" w:lineRule="exact"/>
              <w:jc w:val="center"/>
              <w:rPr>
                <w:sz w:val="14"/>
                <w:szCs w:val="14"/>
                <w:rtl/>
              </w:rPr>
            </w:pPr>
          </w:p>
        </w:tc>
      </w:tr>
      <w:tr w:rsidR="00577DDE" w:rsidRPr="00E11086" w14:paraId="2E3D662F" w14:textId="77777777" w:rsidTr="003675AA">
        <w:tc>
          <w:tcPr>
            <w:tcW w:w="3177" w:type="dxa"/>
            <w:vAlign w:val="bottom"/>
          </w:tcPr>
          <w:p w14:paraId="6ABAE700" w14:textId="77777777" w:rsidR="00577DDE" w:rsidRPr="00E11086" w:rsidRDefault="00577DDE" w:rsidP="00E91DD1">
            <w:pPr>
              <w:spacing w:line="160" w:lineRule="exact"/>
              <w:ind w:left="198" w:hanging="170"/>
              <w:jc w:val="center"/>
              <w:rPr>
                <w:sz w:val="14"/>
                <w:szCs w:val="14"/>
              </w:rPr>
            </w:pPr>
          </w:p>
        </w:tc>
        <w:tc>
          <w:tcPr>
            <w:tcW w:w="113" w:type="dxa"/>
            <w:vAlign w:val="bottom"/>
          </w:tcPr>
          <w:p w14:paraId="1F3CECA1" w14:textId="77777777" w:rsidR="00577DDE" w:rsidRPr="00E11086" w:rsidRDefault="00577DDE" w:rsidP="00E470B3">
            <w:pPr>
              <w:spacing w:line="160" w:lineRule="exact"/>
              <w:jc w:val="center"/>
              <w:rPr>
                <w:sz w:val="14"/>
                <w:szCs w:val="14"/>
              </w:rPr>
            </w:pPr>
          </w:p>
        </w:tc>
        <w:tc>
          <w:tcPr>
            <w:tcW w:w="624" w:type="dxa"/>
            <w:tcBorders>
              <w:top w:val="single" w:sz="6" w:space="0" w:color="auto"/>
              <w:left w:val="nil"/>
              <w:bottom w:val="single" w:sz="6" w:space="0" w:color="auto"/>
              <w:right w:val="nil"/>
            </w:tcBorders>
            <w:vAlign w:val="bottom"/>
          </w:tcPr>
          <w:p w14:paraId="7F4E991A" w14:textId="77777777" w:rsidR="00577DDE" w:rsidRPr="00E11086" w:rsidRDefault="00577DDE" w:rsidP="00895C60">
            <w:pPr>
              <w:spacing w:line="160" w:lineRule="exact"/>
              <w:jc w:val="center"/>
              <w:rPr>
                <w:sz w:val="14"/>
                <w:szCs w:val="14"/>
                <w:rtl/>
              </w:rPr>
            </w:pPr>
            <w:r w:rsidRPr="00E11086">
              <w:rPr>
                <w:rFonts w:hint="eastAsia"/>
                <w:sz w:val="14"/>
                <w:szCs w:val="14"/>
                <w:rtl/>
              </w:rPr>
              <w:t>הון</w:t>
            </w:r>
            <w:r w:rsidRPr="00E11086">
              <w:rPr>
                <w:sz w:val="14"/>
                <w:szCs w:val="14"/>
                <w:rtl/>
              </w:rPr>
              <w:t xml:space="preserve"> </w:t>
            </w:r>
          </w:p>
          <w:p w14:paraId="055478A1" w14:textId="77777777" w:rsidR="00577DDE" w:rsidRPr="00E11086" w:rsidRDefault="00577DDE" w:rsidP="00895C60">
            <w:pPr>
              <w:spacing w:line="160" w:lineRule="exact"/>
              <w:jc w:val="center"/>
              <w:rPr>
                <w:sz w:val="14"/>
                <w:szCs w:val="14"/>
              </w:rPr>
            </w:pPr>
            <w:r w:rsidRPr="00E11086">
              <w:rPr>
                <w:rFonts w:hint="eastAsia"/>
                <w:sz w:val="14"/>
                <w:szCs w:val="14"/>
                <w:rtl/>
              </w:rPr>
              <w:t>מניות</w:t>
            </w:r>
            <w:r w:rsidRPr="00E11086">
              <w:rPr>
                <w:sz w:val="14"/>
                <w:szCs w:val="14"/>
                <w:rtl/>
              </w:rPr>
              <w:t xml:space="preserve"> </w:t>
            </w:r>
          </w:p>
        </w:tc>
        <w:tc>
          <w:tcPr>
            <w:tcW w:w="113" w:type="dxa"/>
            <w:tcBorders>
              <w:top w:val="single" w:sz="6" w:space="0" w:color="auto"/>
              <w:left w:val="nil"/>
              <w:bottom w:val="nil"/>
              <w:right w:val="nil"/>
            </w:tcBorders>
            <w:vAlign w:val="bottom"/>
          </w:tcPr>
          <w:p w14:paraId="14A46779" w14:textId="77777777" w:rsidR="00577DDE" w:rsidRPr="00E11086" w:rsidRDefault="00577DDE" w:rsidP="00895C60">
            <w:pPr>
              <w:spacing w:line="160" w:lineRule="exact"/>
              <w:jc w:val="center"/>
              <w:rPr>
                <w:sz w:val="14"/>
                <w:szCs w:val="14"/>
              </w:rPr>
            </w:pPr>
          </w:p>
        </w:tc>
        <w:tc>
          <w:tcPr>
            <w:tcW w:w="624" w:type="dxa"/>
            <w:tcBorders>
              <w:top w:val="single" w:sz="6" w:space="0" w:color="auto"/>
              <w:left w:val="nil"/>
              <w:bottom w:val="single" w:sz="6" w:space="0" w:color="auto"/>
              <w:right w:val="nil"/>
            </w:tcBorders>
            <w:vAlign w:val="bottom"/>
          </w:tcPr>
          <w:p w14:paraId="02223C2A" w14:textId="77777777" w:rsidR="00577DDE" w:rsidRPr="00E11086" w:rsidRDefault="00577DDE" w:rsidP="00895C60">
            <w:pPr>
              <w:spacing w:line="160" w:lineRule="exact"/>
              <w:jc w:val="center"/>
              <w:rPr>
                <w:sz w:val="14"/>
                <w:szCs w:val="14"/>
              </w:rPr>
            </w:pPr>
            <w:r w:rsidRPr="00E11086">
              <w:rPr>
                <w:rFonts w:hint="eastAsia"/>
                <w:sz w:val="14"/>
                <w:szCs w:val="14"/>
                <w:rtl/>
              </w:rPr>
              <w:t>פרמיה</w:t>
            </w:r>
            <w:r w:rsidRPr="00E11086">
              <w:rPr>
                <w:sz w:val="14"/>
                <w:szCs w:val="14"/>
                <w:rtl/>
              </w:rPr>
              <w:t xml:space="preserve"> </w:t>
            </w:r>
            <w:r w:rsidRPr="00E11086">
              <w:rPr>
                <w:rFonts w:hint="eastAsia"/>
                <w:sz w:val="14"/>
                <w:szCs w:val="14"/>
                <w:rtl/>
              </w:rPr>
              <w:t>על</w:t>
            </w:r>
            <w:r w:rsidRPr="00E11086">
              <w:rPr>
                <w:sz w:val="14"/>
                <w:szCs w:val="14"/>
                <w:rtl/>
              </w:rPr>
              <w:t xml:space="preserve"> </w:t>
            </w:r>
            <w:r w:rsidRPr="00E11086">
              <w:rPr>
                <w:rFonts w:hint="eastAsia"/>
                <w:sz w:val="14"/>
                <w:szCs w:val="14"/>
                <w:rtl/>
              </w:rPr>
              <w:t>מניות</w:t>
            </w:r>
          </w:p>
        </w:tc>
        <w:tc>
          <w:tcPr>
            <w:tcW w:w="113" w:type="dxa"/>
            <w:tcBorders>
              <w:top w:val="single" w:sz="6" w:space="0" w:color="auto"/>
              <w:left w:val="nil"/>
              <w:bottom w:val="nil"/>
              <w:right w:val="nil"/>
            </w:tcBorders>
            <w:vAlign w:val="bottom"/>
          </w:tcPr>
          <w:p w14:paraId="766ADB5D" w14:textId="77777777" w:rsidR="00577DDE" w:rsidRPr="00E11086" w:rsidRDefault="00577DDE" w:rsidP="00895C60">
            <w:pPr>
              <w:spacing w:line="160" w:lineRule="exact"/>
              <w:jc w:val="center"/>
              <w:rPr>
                <w:sz w:val="14"/>
                <w:szCs w:val="14"/>
              </w:rPr>
            </w:pPr>
          </w:p>
        </w:tc>
        <w:tc>
          <w:tcPr>
            <w:tcW w:w="624" w:type="dxa"/>
            <w:tcBorders>
              <w:top w:val="single" w:sz="6" w:space="0" w:color="auto"/>
              <w:left w:val="nil"/>
              <w:bottom w:val="single" w:sz="6" w:space="0" w:color="auto"/>
              <w:right w:val="nil"/>
            </w:tcBorders>
            <w:vAlign w:val="bottom"/>
          </w:tcPr>
          <w:p w14:paraId="7C6E8342" w14:textId="77777777" w:rsidR="00577DDE" w:rsidRPr="00E11086" w:rsidRDefault="00577DDE" w:rsidP="00895C60">
            <w:pPr>
              <w:spacing w:line="160" w:lineRule="exact"/>
              <w:jc w:val="center"/>
              <w:rPr>
                <w:sz w:val="14"/>
                <w:szCs w:val="14"/>
                <w:rtl/>
              </w:rPr>
            </w:pPr>
            <w:r w:rsidRPr="00E11086">
              <w:rPr>
                <w:rFonts w:hint="eastAsia"/>
                <w:sz w:val="14"/>
                <w:szCs w:val="14"/>
                <w:rtl/>
              </w:rPr>
              <w:t>כתבי</w:t>
            </w:r>
          </w:p>
          <w:p w14:paraId="36AE714A" w14:textId="77777777" w:rsidR="00577DDE" w:rsidRPr="00E11086" w:rsidRDefault="00577DDE" w:rsidP="00895C60">
            <w:pPr>
              <w:spacing w:line="160" w:lineRule="exact"/>
              <w:jc w:val="center"/>
              <w:rPr>
                <w:sz w:val="14"/>
                <w:szCs w:val="14"/>
              </w:rPr>
            </w:pPr>
            <w:r w:rsidRPr="00E11086">
              <w:rPr>
                <w:sz w:val="14"/>
                <w:szCs w:val="14"/>
                <w:rtl/>
              </w:rPr>
              <w:t xml:space="preserve"> אופציה</w:t>
            </w:r>
          </w:p>
        </w:tc>
        <w:tc>
          <w:tcPr>
            <w:tcW w:w="113" w:type="dxa"/>
            <w:tcBorders>
              <w:top w:val="single" w:sz="6" w:space="0" w:color="auto"/>
              <w:left w:val="nil"/>
              <w:bottom w:val="nil"/>
              <w:right w:val="nil"/>
            </w:tcBorders>
            <w:vAlign w:val="bottom"/>
          </w:tcPr>
          <w:p w14:paraId="5D3CF687" w14:textId="77777777" w:rsidR="00577DDE" w:rsidRPr="00E11086" w:rsidRDefault="00577DDE" w:rsidP="00895C60">
            <w:pPr>
              <w:spacing w:line="160" w:lineRule="exact"/>
              <w:jc w:val="center"/>
              <w:rPr>
                <w:sz w:val="14"/>
                <w:szCs w:val="14"/>
              </w:rPr>
            </w:pPr>
          </w:p>
        </w:tc>
        <w:tc>
          <w:tcPr>
            <w:tcW w:w="680" w:type="dxa"/>
            <w:tcBorders>
              <w:top w:val="single" w:sz="6" w:space="0" w:color="auto"/>
              <w:left w:val="nil"/>
              <w:bottom w:val="single" w:sz="6" w:space="0" w:color="auto"/>
              <w:right w:val="nil"/>
            </w:tcBorders>
            <w:vAlign w:val="bottom"/>
          </w:tcPr>
          <w:p w14:paraId="06CA804C" w14:textId="2A09F8A5" w:rsidR="00577DDE" w:rsidRPr="00577DDE" w:rsidRDefault="00516850" w:rsidP="00310EFA">
            <w:pPr>
              <w:spacing w:line="180" w:lineRule="exact"/>
              <w:jc w:val="center"/>
              <w:rPr>
                <w:sz w:val="14"/>
                <w:szCs w:val="14"/>
              </w:rPr>
            </w:pPr>
            <w:r w:rsidRPr="00E11086">
              <w:rPr>
                <w:rFonts w:hint="eastAsia"/>
                <w:sz w:val="14"/>
                <w:szCs w:val="14"/>
                <w:rtl/>
              </w:rPr>
              <w:t>קרן</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עסקאות</w:t>
            </w:r>
            <w:r w:rsidRPr="00E11086">
              <w:rPr>
                <w:sz w:val="14"/>
                <w:szCs w:val="14"/>
                <w:rtl/>
              </w:rPr>
              <w:t xml:space="preserve"> </w:t>
            </w:r>
            <w:r w:rsidRPr="00E11086">
              <w:rPr>
                <w:rFonts w:hint="eastAsia"/>
                <w:sz w:val="14"/>
                <w:szCs w:val="14"/>
                <w:rtl/>
              </w:rPr>
              <w:t>עם</w:t>
            </w:r>
            <w:r w:rsidRPr="00E11086">
              <w:rPr>
                <w:sz w:val="14"/>
                <w:szCs w:val="14"/>
                <w:rtl/>
              </w:rPr>
              <w:t xml:space="preserve"> </w:t>
            </w:r>
            <w:r w:rsidRPr="00E11086">
              <w:rPr>
                <w:rFonts w:hint="eastAsia"/>
                <w:sz w:val="14"/>
                <w:szCs w:val="14"/>
                <w:rtl/>
              </w:rPr>
              <w:t>בעלי</w:t>
            </w:r>
            <w:r w:rsidRPr="00E11086">
              <w:rPr>
                <w:sz w:val="14"/>
                <w:szCs w:val="14"/>
                <w:rtl/>
              </w:rPr>
              <w:t xml:space="preserve"> </w:t>
            </w:r>
            <w:r w:rsidRPr="00E11086">
              <w:rPr>
                <w:rFonts w:hint="eastAsia"/>
                <w:sz w:val="14"/>
                <w:szCs w:val="14"/>
                <w:rtl/>
              </w:rPr>
              <w:t>זכויות</w:t>
            </w:r>
            <w:r w:rsidRPr="00E11086">
              <w:rPr>
                <w:sz w:val="14"/>
                <w:szCs w:val="14"/>
                <w:rtl/>
              </w:rPr>
              <w:t xml:space="preserve"> </w:t>
            </w:r>
            <w:r w:rsidRPr="00E11086">
              <w:rPr>
                <w:rFonts w:hint="eastAsia"/>
                <w:sz w:val="14"/>
                <w:szCs w:val="14"/>
                <w:rtl/>
              </w:rPr>
              <w:t>שאינן</w:t>
            </w:r>
            <w:r w:rsidRPr="00E11086">
              <w:rPr>
                <w:sz w:val="14"/>
                <w:szCs w:val="14"/>
                <w:rtl/>
              </w:rPr>
              <w:t xml:space="preserve"> </w:t>
            </w:r>
            <w:r w:rsidRPr="00E11086">
              <w:rPr>
                <w:rFonts w:hint="eastAsia"/>
                <w:sz w:val="14"/>
                <w:szCs w:val="14"/>
                <w:rtl/>
              </w:rPr>
              <w:t>מקנות</w:t>
            </w:r>
            <w:r w:rsidRPr="00E11086">
              <w:rPr>
                <w:sz w:val="14"/>
                <w:szCs w:val="14"/>
                <w:rtl/>
              </w:rPr>
              <w:t xml:space="preserve"> </w:t>
            </w:r>
            <w:r w:rsidRPr="00E11086">
              <w:rPr>
                <w:rFonts w:hint="eastAsia"/>
                <w:sz w:val="14"/>
                <w:szCs w:val="14"/>
                <w:rtl/>
              </w:rPr>
              <w:t>שליטה</w:t>
            </w:r>
            <w:r w:rsidRPr="00E11086">
              <w:rPr>
                <w:rStyle w:val="ab"/>
                <w:sz w:val="14"/>
                <w:szCs w:val="14"/>
                <w:rtl/>
              </w:rPr>
              <w:footnoteReference w:id="127"/>
            </w:r>
          </w:p>
        </w:tc>
        <w:tc>
          <w:tcPr>
            <w:tcW w:w="113" w:type="dxa"/>
            <w:tcBorders>
              <w:top w:val="single" w:sz="6" w:space="0" w:color="auto"/>
              <w:left w:val="nil"/>
              <w:bottom w:val="nil"/>
              <w:right w:val="nil"/>
            </w:tcBorders>
            <w:vAlign w:val="bottom"/>
          </w:tcPr>
          <w:p w14:paraId="21A8A2A0" w14:textId="77777777" w:rsidR="00577DDE" w:rsidRPr="00E11086" w:rsidRDefault="00577DDE" w:rsidP="00895C60">
            <w:pPr>
              <w:spacing w:line="160" w:lineRule="exact"/>
              <w:jc w:val="center"/>
              <w:rPr>
                <w:sz w:val="14"/>
                <w:szCs w:val="14"/>
              </w:rPr>
            </w:pPr>
          </w:p>
        </w:tc>
        <w:tc>
          <w:tcPr>
            <w:tcW w:w="624" w:type="dxa"/>
            <w:tcBorders>
              <w:top w:val="single" w:sz="6" w:space="0" w:color="auto"/>
              <w:left w:val="nil"/>
              <w:bottom w:val="single" w:sz="6" w:space="0" w:color="auto"/>
              <w:right w:val="nil"/>
            </w:tcBorders>
            <w:vAlign w:val="bottom"/>
          </w:tcPr>
          <w:p w14:paraId="5D73A4BF" w14:textId="77777777" w:rsidR="00577DDE" w:rsidRPr="00E11086" w:rsidRDefault="00577DDE" w:rsidP="00895C60">
            <w:pPr>
              <w:spacing w:line="160" w:lineRule="exact"/>
              <w:jc w:val="center"/>
              <w:rPr>
                <w:sz w:val="14"/>
                <w:szCs w:val="14"/>
                <w:rtl/>
              </w:rPr>
            </w:pPr>
            <w:r w:rsidRPr="00E11086">
              <w:rPr>
                <w:rFonts w:hint="eastAsia"/>
                <w:sz w:val="14"/>
                <w:szCs w:val="14"/>
                <w:rtl/>
              </w:rPr>
              <w:t>מניות</w:t>
            </w:r>
            <w:r w:rsidRPr="00E11086">
              <w:rPr>
                <w:sz w:val="14"/>
                <w:szCs w:val="14"/>
                <w:rtl/>
              </w:rPr>
              <w:t xml:space="preserve"> </w:t>
            </w:r>
          </w:p>
          <w:p w14:paraId="38841E4F" w14:textId="77777777" w:rsidR="00577DDE" w:rsidRPr="00E11086" w:rsidRDefault="00577DDE" w:rsidP="00895C60">
            <w:pPr>
              <w:spacing w:line="160" w:lineRule="exact"/>
              <w:jc w:val="center"/>
              <w:rPr>
                <w:sz w:val="14"/>
                <w:szCs w:val="14"/>
              </w:rPr>
            </w:pPr>
            <w:r w:rsidRPr="00E11086">
              <w:rPr>
                <w:rFonts w:hint="eastAsia"/>
                <w:sz w:val="14"/>
                <w:szCs w:val="14"/>
                <w:rtl/>
              </w:rPr>
              <w:t>אוצר</w:t>
            </w:r>
          </w:p>
        </w:tc>
        <w:tc>
          <w:tcPr>
            <w:tcW w:w="113" w:type="dxa"/>
            <w:tcBorders>
              <w:top w:val="single" w:sz="6" w:space="0" w:color="auto"/>
              <w:left w:val="nil"/>
              <w:bottom w:val="nil"/>
              <w:right w:val="nil"/>
            </w:tcBorders>
            <w:vAlign w:val="bottom"/>
          </w:tcPr>
          <w:p w14:paraId="3F8B9E42" w14:textId="77777777" w:rsidR="00577DDE" w:rsidRPr="00E11086" w:rsidRDefault="00577DDE" w:rsidP="00895C60">
            <w:pPr>
              <w:spacing w:line="160" w:lineRule="exact"/>
              <w:jc w:val="center"/>
              <w:rPr>
                <w:sz w:val="14"/>
                <w:szCs w:val="14"/>
              </w:rPr>
            </w:pPr>
          </w:p>
        </w:tc>
        <w:tc>
          <w:tcPr>
            <w:tcW w:w="624" w:type="dxa"/>
            <w:tcBorders>
              <w:top w:val="single" w:sz="6" w:space="0" w:color="auto"/>
              <w:left w:val="nil"/>
              <w:bottom w:val="single" w:sz="6" w:space="0" w:color="auto"/>
              <w:right w:val="nil"/>
            </w:tcBorders>
            <w:vAlign w:val="bottom"/>
          </w:tcPr>
          <w:p w14:paraId="6A43107B" w14:textId="77777777" w:rsidR="00577DDE" w:rsidRPr="00E11086" w:rsidRDefault="00577DDE" w:rsidP="00895C60">
            <w:pPr>
              <w:spacing w:line="160" w:lineRule="exact"/>
              <w:jc w:val="center"/>
              <w:rPr>
                <w:sz w:val="14"/>
                <w:szCs w:val="14"/>
              </w:rPr>
            </w:pPr>
            <w:r w:rsidRPr="00E11086">
              <w:rPr>
                <w:rFonts w:hint="eastAsia"/>
                <w:sz w:val="14"/>
                <w:szCs w:val="14"/>
                <w:rtl/>
              </w:rPr>
              <w:t>קרן</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עסקה</w:t>
            </w:r>
            <w:r w:rsidRPr="00E11086">
              <w:rPr>
                <w:sz w:val="14"/>
                <w:szCs w:val="14"/>
                <w:rtl/>
              </w:rPr>
              <w:t xml:space="preserve"> </w:t>
            </w:r>
            <w:r w:rsidRPr="00E11086">
              <w:rPr>
                <w:rFonts w:hint="eastAsia"/>
                <w:sz w:val="14"/>
                <w:szCs w:val="14"/>
                <w:rtl/>
              </w:rPr>
              <w:t>עם</w:t>
            </w:r>
            <w:r w:rsidRPr="00E11086">
              <w:rPr>
                <w:sz w:val="14"/>
                <w:szCs w:val="14"/>
                <w:rtl/>
              </w:rPr>
              <w:t xml:space="preserve"> </w:t>
            </w:r>
            <w:r w:rsidRPr="00E11086">
              <w:rPr>
                <w:rFonts w:hint="eastAsia"/>
                <w:sz w:val="14"/>
                <w:szCs w:val="14"/>
                <w:rtl/>
              </w:rPr>
              <w:t>בעל</w:t>
            </w:r>
            <w:r w:rsidRPr="00E11086">
              <w:rPr>
                <w:sz w:val="14"/>
                <w:szCs w:val="14"/>
                <w:rtl/>
              </w:rPr>
              <w:t xml:space="preserve"> </w:t>
            </w:r>
            <w:r w:rsidRPr="00E11086">
              <w:rPr>
                <w:rFonts w:hint="eastAsia"/>
                <w:sz w:val="14"/>
                <w:szCs w:val="14"/>
                <w:rtl/>
              </w:rPr>
              <w:t>שליטה</w:t>
            </w:r>
          </w:p>
        </w:tc>
        <w:tc>
          <w:tcPr>
            <w:tcW w:w="113" w:type="dxa"/>
            <w:tcBorders>
              <w:top w:val="single" w:sz="6" w:space="0" w:color="auto"/>
              <w:left w:val="nil"/>
              <w:bottom w:val="nil"/>
              <w:right w:val="nil"/>
            </w:tcBorders>
            <w:vAlign w:val="bottom"/>
          </w:tcPr>
          <w:p w14:paraId="29DC3BF7" w14:textId="77777777" w:rsidR="00577DDE" w:rsidRPr="00E11086" w:rsidRDefault="00577DDE" w:rsidP="00895C60">
            <w:pPr>
              <w:spacing w:line="160" w:lineRule="exact"/>
              <w:jc w:val="center"/>
              <w:rPr>
                <w:sz w:val="14"/>
                <w:szCs w:val="14"/>
              </w:rPr>
            </w:pPr>
          </w:p>
        </w:tc>
        <w:tc>
          <w:tcPr>
            <w:tcW w:w="737" w:type="dxa"/>
            <w:tcBorders>
              <w:top w:val="single" w:sz="6" w:space="0" w:color="auto"/>
              <w:left w:val="nil"/>
              <w:bottom w:val="single" w:sz="6" w:space="0" w:color="auto"/>
              <w:right w:val="nil"/>
            </w:tcBorders>
            <w:vAlign w:val="bottom"/>
          </w:tcPr>
          <w:p w14:paraId="00F5412F" w14:textId="77777777" w:rsidR="00577DDE" w:rsidRPr="00E11086" w:rsidRDefault="00577DDE" w:rsidP="00895C60">
            <w:pPr>
              <w:pStyle w:val="a3"/>
              <w:widowControl/>
              <w:spacing w:line="160" w:lineRule="exact"/>
              <w:ind w:left="0"/>
              <w:jc w:val="center"/>
              <w:rPr>
                <w:sz w:val="14"/>
                <w:szCs w:val="14"/>
                <w:rtl/>
              </w:rPr>
            </w:pPr>
            <w:r w:rsidRPr="00E11086">
              <w:rPr>
                <w:rFonts w:hint="eastAsia"/>
                <w:sz w:val="14"/>
                <w:szCs w:val="14"/>
                <w:rtl/>
              </w:rPr>
              <w:t>קרן</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עסקאות</w:t>
            </w:r>
            <w:r w:rsidRPr="00E11086">
              <w:rPr>
                <w:sz w:val="14"/>
                <w:szCs w:val="14"/>
                <w:rtl/>
              </w:rPr>
              <w:t xml:space="preserve"> </w:t>
            </w:r>
            <w:r w:rsidRPr="00E11086">
              <w:rPr>
                <w:rFonts w:hint="eastAsia"/>
                <w:sz w:val="14"/>
                <w:szCs w:val="14"/>
                <w:rtl/>
              </w:rPr>
              <w:t>תשלום</w:t>
            </w:r>
            <w:r w:rsidRPr="00E11086">
              <w:rPr>
                <w:sz w:val="14"/>
                <w:szCs w:val="14"/>
                <w:rtl/>
              </w:rPr>
              <w:t xml:space="preserve"> </w:t>
            </w:r>
            <w:r w:rsidRPr="00E11086">
              <w:rPr>
                <w:rFonts w:hint="eastAsia"/>
                <w:sz w:val="14"/>
                <w:szCs w:val="14"/>
                <w:rtl/>
              </w:rPr>
              <w:t>מבוסס</w:t>
            </w:r>
            <w:r w:rsidRPr="00E11086">
              <w:rPr>
                <w:sz w:val="14"/>
                <w:szCs w:val="14"/>
                <w:rtl/>
              </w:rPr>
              <w:t xml:space="preserve"> </w:t>
            </w:r>
            <w:r w:rsidRPr="00E11086">
              <w:rPr>
                <w:rFonts w:hint="eastAsia"/>
                <w:sz w:val="14"/>
                <w:szCs w:val="14"/>
                <w:rtl/>
              </w:rPr>
              <w:t>מניות</w:t>
            </w:r>
            <w:r w:rsidRPr="00E11086">
              <w:rPr>
                <w:sz w:val="14"/>
                <w:szCs w:val="14"/>
                <w:rtl/>
              </w:rPr>
              <w:t xml:space="preserve"> </w:t>
            </w:r>
          </w:p>
        </w:tc>
        <w:tc>
          <w:tcPr>
            <w:tcW w:w="113" w:type="dxa"/>
            <w:tcBorders>
              <w:top w:val="single" w:sz="6" w:space="0" w:color="auto"/>
              <w:left w:val="nil"/>
              <w:bottom w:val="nil"/>
              <w:right w:val="nil"/>
            </w:tcBorders>
            <w:vAlign w:val="bottom"/>
          </w:tcPr>
          <w:p w14:paraId="5BD2625E" w14:textId="77777777" w:rsidR="00577DDE" w:rsidRPr="00E11086" w:rsidRDefault="00577DDE" w:rsidP="00895C60">
            <w:pPr>
              <w:spacing w:line="160" w:lineRule="exact"/>
              <w:jc w:val="center"/>
              <w:rPr>
                <w:sz w:val="14"/>
                <w:szCs w:val="14"/>
              </w:rPr>
            </w:pPr>
          </w:p>
        </w:tc>
        <w:tc>
          <w:tcPr>
            <w:tcW w:w="737" w:type="dxa"/>
            <w:tcBorders>
              <w:top w:val="single" w:sz="6" w:space="0" w:color="auto"/>
              <w:left w:val="nil"/>
              <w:bottom w:val="single" w:sz="6" w:space="0" w:color="auto"/>
              <w:right w:val="nil"/>
            </w:tcBorders>
            <w:vAlign w:val="bottom"/>
          </w:tcPr>
          <w:p w14:paraId="31149621" w14:textId="77777777" w:rsidR="00577DDE" w:rsidRPr="00E11086" w:rsidRDefault="00577DDE" w:rsidP="00895C60">
            <w:pPr>
              <w:pStyle w:val="a3"/>
              <w:widowControl/>
              <w:spacing w:line="160" w:lineRule="exact"/>
              <w:ind w:left="0"/>
              <w:jc w:val="center"/>
              <w:rPr>
                <w:sz w:val="14"/>
                <w:szCs w:val="14"/>
                <w:rtl/>
              </w:rPr>
            </w:pPr>
            <w:r w:rsidRPr="00E11086">
              <w:rPr>
                <w:rFonts w:hint="eastAsia"/>
                <w:sz w:val="14"/>
                <w:szCs w:val="14"/>
                <w:rtl/>
              </w:rPr>
              <w:t>יתרת</w:t>
            </w:r>
            <w:r w:rsidRPr="00E11086">
              <w:rPr>
                <w:sz w:val="14"/>
                <w:szCs w:val="14"/>
                <w:rtl/>
              </w:rPr>
              <w:t xml:space="preserve"> </w:t>
            </w:r>
            <w:r w:rsidRPr="00E11086">
              <w:rPr>
                <w:rFonts w:hint="eastAsia"/>
                <w:sz w:val="14"/>
                <w:szCs w:val="14"/>
                <w:rtl/>
              </w:rPr>
              <w:t>רווח</w:t>
            </w:r>
            <w:r w:rsidRPr="00E11086">
              <w:rPr>
                <w:sz w:val="14"/>
                <w:szCs w:val="14"/>
                <w:rtl/>
              </w:rPr>
              <w:t xml:space="preserve"> (הפסד)</w:t>
            </w:r>
          </w:p>
        </w:tc>
        <w:tc>
          <w:tcPr>
            <w:tcW w:w="113" w:type="dxa"/>
            <w:tcBorders>
              <w:top w:val="single" w:sz="6" w:space="0" w:color="auto"/>
              <w:left w:val="nil"/>
              <w:bottom w:val="nil"/>
              <w:right w:val="nil"/>
            </w:tcBorders>
            <w:vAlign w:val="bottom"/>
          </w:tcPr>
          <w:p w14:paraId="7DD03717" w14:textId="77777777" w:rsidR="00577DDE" w:rsidRPr="00E11086" w:rsidRDefault="00577DDE" w:rsidP="00895C60">
            <w:pPr>
              <w:spacing w:line="160" w:lineRule="exact"/>
              <w:jc w:val="center"/>
              <w:rPr>
                <w:sz w:val="14"/>
                <w:szCs w:val="14"/>
              </w:rPr>
            </w:pPr>
          </w:p>
        </w:tc>
        <w:tc>
          <w:tcPr>
            <w:tcW w:w="680" w:type="dxa"/>
            <w:tcBorders>
              <w:top w:val="single" w:sz="6" w:space="0" w:color="auto"/>
              <w:left w:val="nil"/>
              <w:bottom w:val="single" w:sz="6" w:space="0" w:color="auto"/>
              <w:right w:val="nil"/>
            </w:tcBorders>
            <w:shd w:val="clear" w:color="auto" w:fill="auto"/>
            <w:vAlign w:val="bottom"/>
          </w:tcPr>
          <w:p w14:paraId="37DE7C05" w14:textId="77777777" w:rsidR="00577DDE" w:rsidRPr="00E11086" w:rsidRDefault="00577DDE" w:rsidP="00895C60">
            <w:pPr>
              <w:pStyle w:val="a3"/>
              <w:widowControl/>
              <w:spacing w:line="160" w:lineRule="exact"/>
              <w:ind w:left="0"/>
              <w:jc w:val="center"/>
              <w:rPr>
                <w:sz w:val="14"/>
                <w:szCs w:val="14"/>
                <w:rtl/>
              </w:rPr>
            </w:pPr>
            <w:r w:rsidRPr="00E11086">
              <w:rPr>
                <w:rFonts w:hint="eastAsia"/>
                <w:sz w:val="14"/>
                <w:szCs w:val="14"/>
                <w:rtl/>
              </w:rPr>
              <w:t>קרן</w:t>
            </w:r>
            <w:r w:rsidRPr="00E11086">
              <w:rPr>
                <w:sz w:val="14"/>
                <w:szCs w:val="14"/>
                <w:rtl/>
              </w:rPr>
              <w:t xml:space="preserve"> </w:t>
            </w:r>
            <w:r w:rsidRPr="00E11086">
              <w:rPr>
                <w:rFonts w:hint="eastAsia"/>
                <w:sz w:val="14"/>
                <w:szCs w:val="14"/>
                <w:rtl/>
              </w:rPr>
              <w:t>הערכה</w:t>
            </w:r>
            <w:r w:rsidRPr="00E11086">
              <w:rPr>
                <w:sz w:val="14"/>
                <w:szCs w:val="14"/>
                <w:rtl/>
              </w:rPr>
              <w:t xml:space="preserve"> </w:t>
            </w:r>
            <w:r w:rsidRPr="00E11086">
              <w:rPr>
                <w:rFonts w:hint="eastAsia"/>
                <w:sz w:val="14"/>
                <w:szCs w:val="14"/>
                <w:rtl/>
              </w:rPr>
              <w:t>מחדש</w:t>
            </w:r>
          </w:p>
        </w:tc>
        <w:tc>
          <w:tcPr>
            <w:tcW w:w="79" w:type="dxa"/>
            <w:tcBorders>
              <w:top w:val="single" w:sz="6" w:space="0" w:color="auto"/>
              <w:left w:val="nil"/>
              <w:right w:val="nil"/>
            </w:tcBorders>
            <w:shd w:val="clear" w:color="auto" w:fill="auto"/>
          </w:tcPr>
          <w:p w14:paraId="6D489FA9" w14:textId="77777777" w:rsidR="00577DDE" w:rsidRPr="00E11086" w:rsidRDefault="00577DDE" w:rsidP="00895C60">
            <w:pPr>
              <w:pStyle w:val="a3"/>
              <w:widowControl/>
              <w:spacing w:line="160" w:lineRule="exact"/>
              <w:ind w:left="0"/>
              <w:jc w:val="center"/>
              <w:rPr>
                <w:sz w:val="14"/>
                <w:szCs w:val="14"/>
                <w:rtl/>
              </w:rPr>
            </w:pPr>
          </w:p>
        </w:tc>
        <w:tc>
          <w:tcPr>
            <w:tcW w:w="734" w:type="dxa"/>
            <w:tcBorders>
              <w:top w:val="single" w:sz="6" w:space="0" w:color="auto"/>
              <w:left w:val="nil"/>
              <w:bottom w:val="single" w:sz="6" w:space="0" w:color="auto"/>
              <w:right w:val="nil"/>
            </w:tcBorders>
            <w:shd w:val="clear" w:color="auto" w:fill="auto"/>
            <w:vAlign w:val="bottom"/>
          </w:tcPr>
          <w:p w14:paraId="1621FA0D" w14:textId="15803D03" w:rsidR="00577DDE" w:rsidRPr="00E11086" w:rsidRDefault="00577DDE" w:rsidP="00565FB0">
            <w:pPr>
              <w:pStyle w:val="a3"/>
              <w:widowControl/>
              <w:spacing w:line="160" w:lineRule="exact"/>
              <w:ind w:left="0"/>
              <w:jc w:val="center"/>
              <w:rPr>
                <w:sz w:val="14"/>
                <w:szCs w:val="14"/>
                <w:rtl/>
              </w:rPr>
            </w:pPr>
            <w:r w:rsidRPr="00E11086">
              <w:rPr>
                <w:rFonts w:hint="eastAsia"/>
                <w:sz w:val="14"/>
                <w:szCs w:val="14"/>
                <w:rtl/>
              </w:rPr>
              <w:t>קרן</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נכסים</w:t>
            </w:r>
            <w:r w:rsidRPr="00E11086">
              <w:rPr>
                <w:sz w:val="14"/>
                <w:szCs w:val="14"/>
                <w:rtl/>
              </w:rPr>
              <w:t xml:space="preserve"> </w:t>
            </w:r>
            <w:r w:rsidRPr="00E11086">
              <w:rPr>
                <w:rFonts w:hint="eastAsia"/>
                <w:sz w:val="14"/>
                <w:szCs w:val="14"/>
                <w:rtl/>
              </w:rPr>
              <w:t>פיננסיים</w:t>
            </w:r>
            <w:r w:rsidRPr="00E11086">
              <w:rPr>
                <w:sz w:val="14"/>
                <w:szCs w:val="14"/>
                <w:rtl/>
              </w:rPr>
              <w:t xml:space="preserve"> </w:t>
            </w:r>
            <w:r w:rsidR="00565FB0">
              <w:rPr>
                <w:rFonts w:hint="cs"/>
                <w:sz w:val="14"/>
                <w:szCs w:val="14"/>
                <w:rtl/>
              </w:rPr>
              <w:t>הנמדדים בשווי הוגן דרך רווח כולל אחר</w:t>
            </w:r>
          </w:p>
        </w:tc>
        <w:tc>
          <w:tcPr>
            <w:tcW w:w="113" w:type="dxa"/>
            <w:tcBorders>
              <w:top w:val="single" w:sz="6" w:space="0" w:color="auto"/>
              <w:left w:val="nil"/>
              <w:right w:val="nil"/>
            </w:tcBorders>
            <w:shd w:val="clear" w:color="auto" w:fill="auto"/>
          </w:tcPr>
          <w:p w14:paraId="30828EAE" w14:textId="77777777" w:rsidR="00577DDE" w:rsidRPr="00E11086" w:rsidRDefault="00577DDE" w:rsidP="00895C60">
            <w:pPr>
              <w:pStyle w:val="a3"/>
              <w:widowControl/>
              <w:spacing w:line="160" w:lineRule="exact"/>
              <w:ind w:left="0"/>
              <w:jc w:val="center"/>
              <w:rPr>
                <w:sz w:val="14"/>
                <w:szCs w:val="14"/>
                <w:rtl/>
              </w:rPr>
            </w:pPr>
          </w:p>
        </w:tc>
        <w:tc>
          <w:tcPr>
            <w:tcW w:w="680" w:type="dxa"/>
            <w:tcBorders>
              <w:top w:val="single" w:sz="6" w:space="0" w:color="auto"/>
              <w:left w:val="nil"/>
              <w:bottom w:val="single" w:sz="6" w:space="0" w:color="auto"/>
              <w:right w:val="nil"/>
            </w:tcBorders>
            <w:shd w:val="clear" w:color="auto" w:fill="auto"/>
            <w:vAlign w:val="bottom"/>
          </w:tcPr>
          <w:p w14:paraId="1BA86767" w14:textId="77777777" w:rsidR="00577DDE" w:rsidRPr="00E11086" w:rsidRDefault="00577DDE" w:rsidP="00895C60">
            <w:pPr>
              <w:pStyle w:val="a3"/>
              <w:widowControl/>
              <w:spacing w:line="160" w:lineRule="exact"/>
              <w:ind w:left="0"/>
              <w:jc w:val="center"/>
              <w:rPr>
                <w:sz w:val="14"/>
                <w:szCs w:val="14"/>
                <w:rtl/>
              </w:rPr>
            </w:pPr>
            <w:r w:rsidRPr="00E11086">
              <w:rPr>
                <w:rFonts w:hint="eastAsia"/>
                <w:sz w:val="14"/>
                <w:szCs w:val="14"/>
                <w:rtl/>
              </w:rPr>
              <w:t>קרן</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עסקאות</w:t>
            </w:r>
            <w:r w:rsidRPr="00E11086">
              <w:rPr>
                <w:sz w:val="14"/>
                <w:szCs w:val="14"/>
                <w:rtl/>
              </w:rPr>
              <w:t xml:space="preserve"> </w:t>
            </w:r>
            <w:r w:rsidRPr="00E11086">
              <w:rPr>
                <w:rFonts w:hint="eastAsia"/>
                <w:sz w:val="14"/>
                <w:szCs w:val="14"/>
                <w:rtl/>
              </w:rPr>
              <w:t>גידור</w:t>
            </w:r>
          </w:p>
        </w:tc>
        <w:tc>
          <w:tcPr>
            <w:tcW w:w="113" w:type="dxa"/>
            <w:tcBorders>
              <w:top w:val="single" w:sz="6" w:space="0" w:color="auto"/>
              <w:left w:val="nil"/>
              <w:right w:val="nil"/>
            </w:tcBorders>
            <w:shd w:val="clear" w:color="auto" w:fill="auto"/>
            <w:vAlign w:val="bottom"/>
          </w:tcPr>
          <w:p w14:paraId="2693AB1E" w14:textId="77777777" w:rsidR="00577DDE" w:rsidRPr="00E11086" w:rsidRDefault="00577DDE" w:rsidP="00895C60">
            <w:pPr>
              <w:pStyle w:val="a3"/>
              <w:widowControl/>
              <w:spacing w:line="160" w:lineRule="exact"/>
              <w:ind w:left="0"/>
              <w:jc w:val="center"/>
              <w:rPr>
                <w:sz w:val="14"/>
                <w:szCs w:val="14"/>
                <w:rtl/>
              </w:rPr>
            </w:pPr>
          </w:p>
        </w:tc>
        <w:tc>
          <w:tcPr>
            <w:tcW w:w="680" w:type="dxa"/>
            <w:tcBorders>
              <w:top w:val="single" w:sz="6" w:space="0" w:color="auto"/>
              <w:left w:val="nil"/>
              <w:bottom w:val="single" w:sz="6" w:space="0" w:color="auto"/>
              <w:right w:val="nil"/>
            </w:tcBorders>
            <w:shd w:val="clear" w:color="auto" w:fill="auto"/>
            <w:vAlign w:val="bottom"/>
          </w:tcPr>
          <w:p w14:paraId="0A18696E" w14:textId="77777777" w:rsidR="00577DDE" w:rsidRPr="00E11086" w:rsidRDefault="00577DDE" w:rsidP="00895C60">
            <w:pPr>
              <w:pStyle w:val="a3"/>
              <w:widowControl/>
              <w:spacing w:line="160" w:lineRule="exact"/>
              <w:ind w:left="0"/>
              <w:jc w:val="center"/>
              <w:rPr>
                <w:sz w:val="14"/>
                <w:szCs w:val="14"/>
                <w:rtl/>
              </w:rPr>
            </w:pPr>
            <w:r w:rsidRPr="00E11086">
              <w:rPr>
                <w:rFonts w:hint="eastAsia"/>
                <w:sz w:val="14"/>
                <w:szCs w:val="14"/>
                <w:rtl/>
              </w:rPr>
              <w:t>התאמות</w:t>
            </w:r>
            <w:r w:rsidRPr="00E11086">
              <w:rPr>
                <w:sz w:val="14"/>
                <w:szCs w:val="14"/>
                <w:rtl/>
              </w:rPr>
              <w:t xml:space="preserve"> </w:t>
            </w:r>
            <w:r w:rsidRPr="00E11086">
              <w:rPr>
                <w:rFonts w:hint="eastAsia"/>
                <w:sz w:val="14"/>
                <w:szCs w:val="14"/>
                <w:rtl/>
              </w:rPr>
              <w:t>הנובעות</w:t>
            </w:r>
            <w:r w:rsidRPr="00E11086">
              <w:rPr>
                <w:sz w:val="14"/>
                <w:szCs w:val="14"/>
                <w:rtl/>
              </w:rPr>
              <w:t xml:space="preserve"> </w:t>
            </w:r>
            <w:r w:rsidRPr="00E11086">
              <w:rPr>
                <w:rFonts w:hint="eastAsia"/>
                <w:sz w:val="14"/>
                <w:szCs w:val="14"/>
                <w:rtl/>
              </w:rPr>
              <w:t>מתרגום</w:t>
            </w:r>
            <w:r w:rsidRPr="00E11086">
              <w:rPr>
                <w:sz w:val="14"/>
                <w:szCs w:val="14"/>
                <w:rtl/>
              </w:rPr>
              <w:t xml:space="preserve"> </w:t>
            </w:r>
            <w:r w:rsidRPr="00E11086">
              <w:rPr>
                <w:rFonts w:hint="eastAsia"/>
                <w:sz w:val="14"/>
                <w:szCs w:val="14"/>
                <w:rtl/>
              </w:rPr>
              <w:t>דוחות</w:t>
            </w:r>
            <w:r w:rsidRPr="00E11086">
              <w:rPr>
                <w:sz w:val="14"/>
                <w:szCs w:val="14"/>
                <w:rtl/>
              </w:rPr>
              <w:t xml:space="preserve"> </w:t>
            </w:r>
            <w:r w:rsidRPr="00E11086">
              <w:rPr>
                <w:rFonts w:hint="eastAsia"/>
                <w:sz w:val="14"/>
                <w:szCs w:val="14"/>
                <w:rtl/>
              </w:rPr>
              <w:t>כספיים</w:t>
            </w:r>
            <w:r w:rsidRPr="00E11086">
              <w:rPr>
                <w:sz w:val="14"/>
                <w:szCs w:val="14"/>
                <w:rtl/>
              </w:rPr>
              <w:t xml:space="preserve"> </w:t>
            </w:r>
            <w:r w:rsidRPr="00E11086">
              <w:rPr>
                <w:rFonts w:hint="eastAsia"/>
                <w:sz w:val="14"/>
                <w:szCs w:val="14"/>
                <w:rtl/>
              </w:rPr>
              <w:t>של</w:t>
            </w:r>
            <w:r w:rsidRPr="00E11086">
              <w:rPr>
                <w:sz w:val="14"/>
                <w:szCs w:val="14"/>
                <w:rtl/>
              </w:rPr>
              <w:t xml:space="preserve"> </w:t>
            </w:r>
            <w:r w:rsidRPr="00E11086">
              <w:rPr>
                <w:rFonts w:hint="eastAsia"/>
                <w:sz w:val="14"/>
                <w:szCs w:val="14"/>
                <w:rtl/>
              </w:rPr>
              <w:t>פעילויות</w:t>
            </w:r>
            <w:r w:rsidRPr="00E11086">
              <w:rPr>
                <w:sz w:val="14"/>
                <w:szCs w:val="14"/>
                <w:rtl/>
              </w:rPr>
              <w:t xml:space="preserve"> </w:t>
            </w:r>
            <w:r w:rsidRPr="00E11086">
              <w:rPr>
                <w:rFonts w:hint="eastAsia"/>
                <w:sz w:val="14"/>
                <w:szCs w:val="14"/>
                <w:rtl/>
              </w:rPr>
              <w:t>חוץ</w:t>
            </w:r>
            <w:r w:rsidRPr="00E11086">
              <w:rPr>
                <w:rStyle w:val="ab"/>
                <w:sz w:val="14"/>
                <w:szCs w:val="14"/>
                <w:rtl/>
              </w:rPr>
              <w:footnoteReference w:id="128"/>
            </w:r>
            <w:r w:rsidRPr="00E11086">
              <w:rPr>
                <w:sz w:val="14"/>
                <w:szCs w:val="14"/>
                <w:rtl/>
              </w:rPr>
              <w:t xml:space="preserve"> </w:t>
            </w:r>
          </w:p>
        </w:tc>
        <w:tc>
          <w:tcPr>
            <w:tcW w:w="113" w:type="dxa"/>
            <w:tcBorders>
              <w:top w:val="single" w:sz="6" w:space="0" w:color="auto"/>
              <w:left w:val="nil"/>
              <w:right w:val="nil"/>
            </w:tcBorders>
            <w:shd w:val="clear" w:color="auto" w:fill="auto"/>
            <w:vAlign w:val="bottom"/>
          </w:tcPr>
          <w:p w14:paraId="65915808" w14:textId="77777777" w:rsidR="00577DDE" w:rsidRPr="00E11086" w:rsidRDefault="00577DDE" w:rsidP="00895C60">
            <w:pPr>
              <w:pStyle w:val="a3"/>
              <w:widowControl/>
              <w:spacing w:line="160" w:lineRule="exact"/>
              <w:ind w:left="0"/>
              <w:jc w:val="center"/>
              <w:rPr>
                <w:sz w:val="14"/>
                <w:szCs w:val="14"/>
                <w:rtl/>
              </w:rPr>
            </w:pPr>
          </w:p>
        </w:tc>
        <w:tc>
          <w:tcPr>
            <w:tcW w:w="680" w:type="dxa"/>
            <w:tcBorders>
              <w:top w:val="single" w:sz="6" w:space="0" w:color="auto"/>
              <w:left w:val="nil"/>
              <w:bottom w:val="single" w:sz="6" w:space="0" w:color="auto"/>
              <w:right w:val="nil"/>
            </w:tcBorders>
            <w:shd w:val="clear" w:color="auto" w:fill="auto"/>
            <w:vAlign w:val="bottom"/>
          </w:tcPr>
          <w:p w14:paraId="13EB1828" w14:textId="7906B453" w:rsidR="00577DDE" w:rsidRPr="00E11086" w:rsidRDefault="00516850" w:rsidP="00895C60">
            <w:pPr>
              <w:pStyle w:val="a3"/>
              <w:widowControl/>
              <w:spacing w:line="160" w:lineRule="exact"/>
              <w:ind w:left="0"/>
              <w:jc w:val="center"/>
              <w:rPr>
                <w:sz w:val="14"/>
                <w:szCs w:val="14"/>
                <w:rtl/>
              </w:rPr>
            </w:pPr>
            <w:r>
              <w:rPr>
                <w:rFonts w:hint="cs"/>
                <w:sz w:val="14"/>
                <w:szCs w:val="14"/>
                <w:rtl/>
              </w:rPr>
              <w:t>קרן בגין מדידה מחדש בשל תכנית להטבה מוגדרת</w:t>
            </w:r>
          </w:p>
        </w:tc>
        <w:tc>
          <w:tcPr>
            <w:tcW w:w="113" w:type="dxa"/>
            <w:tcBorders>
              <w:left w:val="nil"/>
              <w:right w:val="nil"/>
            </w:tcBorders>
            <w:vAlign w:val="bottom"/>
          </w:tcPr>
          <w:p w14:paraId="3D0A6390" w14:textId="77777777" w:rsidR="00577DDE" w:rsidRPr="00E11086" w:rsidRDefault="00577DDE" w:rsidP="00895C60">
            <w:pPr>
              <w:spacing w:line="160" w:lineRule="exact"/>
              <w:jc w:val="center"/>
              <w:rPr>
                <w:sz w:val="14"/>
                <w:szCs w:val="14"/>
              </w:rPr>
            </w:pPr>
          </w:p>
        </w:tc>
        <w:tc>
          <w:tcPr>
            <w:tcW w:w="680" w:type="dxa"/>
            <w:tcBorders>
              <w:left w:val="nil"/>
              <w:bottom w:val="single" w:sz="6" w:space="0" w:color="auto"/>
              <w:right w:val="nil"/>
            </w:tcBorders>
            <w:shd w:val="clear" w:color="auto" w:fill="auto"/>
            <w:vAlign w:val="bottom"/>
          </w:tcPr>
          <w:p w14:paraId="529A6B85" w14:textId="77777777" w:rsidR="00577DDE" w:rsidRPr="00E11086" w:rsidRDefault="00577DDE" w:rsidP="00895C60">
            <w:pPr>
              <w:spacing w:line="160" w:lineRule="exact"/>
              <w:jc w:val="center"/>
              <w:rPr>
                <w:sz w:val="14"/>
                <w:szCs w:val="14"/>
              </w:rPr>
            </w:pPr>
            <w:r w:rsidRPr="00E11086">
              <w:rPr>
                <w:rFonts w:hint="eastAsia"/>
                <w:sz w:val="14"/>
                <w:szCs w:val="14"/>
                <w:rtl/>
              </w:rPr>
              <w:t>סה</w:t>
            </w:r>
            <w:r w:rsidRPr="00E11086">
              <w:rPr>
                <w:sz w:val="14"/>
                <w:szCs w:val="14"/>
                <w:rtl/>
              </w:rPr>
              <w:t>"כ</w:t>
            </w:r>
          </w:p>
        </w:tc>
        <w:tc>
          <w:tcPr>
            <w:tcW w:w="113" w:type="dxa"/>
            <w:vAlign w:val="bottom"/>
          </w:tcPr>
          <w:p w14:paraId="091BAFDA" w14:textId="77777777" w:rsidR="00577DDE" w:rsidRPr="00E11086" w:rsidRDefault="00577DDE" w:rsidP="00895C60">
            <w:pPr>
              <w:spacing w:line="160" w:lineRule="exact"/>
              <w:jc w:val="center"/>
              <w:rPr>
                <w:sz w:val="14"/>
                <w:szCs w:val="14"/>
              </w:rPr>
            </w:pPr>
          </w:p>
        </w:tc>
        <w:tc>
          <w:tcPr>
            <w:tcW w:w="680" w:type="dxa"/>
            <w:tcBorders>
              <w:left w:val="nil"/>
              <w:bottom w:val="single" w:sz="6" w:space="0" w:color="auto"/>
              <w:right w:val="nil"/>
            </w:tcBorders>
            <w:shd w:val="clear" w:color="auto" w:fill="auto"/>
            <w:vAlign w:val="bottom"/>
          </w:tcPr>
          <w:p w14:paraId="0635EC35" w14:textId="77777777" w:rsidR="00577DDE" w:rsidRPr="00E11086" w:rsidRDefault="00577DDE" w:rsidP="00895C60">
            <w:pPr>
              <w:spacing w:line="160" w:lineRule="exact"/>
              <w:jc w:val="center"/>
              <w:rPr>
                <w:sz w:val="14"/>
                <w:szCs w:val="14"/>
              </w:rPr>
            </w:pPr>
            <w:r w:rsidRPr="00E11086">
              <w:rPr>
                <w:rFonts w:hint="eastAsia"/>
                <w:sz w:val="14"/>
                <w:szCs w:val="14"/>
                <w:rtl/>
              </w:rPr>
              <w:t>זכויות</w:t>
            </w:r>
            <w:r w:rsidRPr="00E11086">
              <w:rPr>
                <w:sz w:val="14"/>
                <w:szCs w:val="14"/>
                <w:rtl/>
              </w:rPr>
              <w:t xml:space="preserve"> </w:t>
            </w:r>
            <w:r w:rsidRPr="00E11086">
              <w:rPr>
                <w:rFonts w:hint="eastAsia"/>
                <w:sz w:val="14"/>
                <w:szCs w:val="14"/>
                <w:rtl/>
              </w:rPr>
              <w:t>שאינן</w:t>
            </w:r>
            <w:r w:rsidRPr="00E11086">
              <w:rPr>
                <w:sz w:val="14"/>
                <w:szCs w:val="14"/>
                <w:rtl/>
              </w:rPr>
              <w:t xml:space="preserve"> </w:t>
            </w:r>
            <w:r w:rsidRPr="00E11086">
              <w:rPr>
                <w:rFonts w:hint="eastAsia"/>
                <w:sz w:val="14"/>
                <w:szCs w:val="14"/>
                <w:rtl/>
              </w:rPr>
              <w:t>מקנות</w:t>
            </w:r>
            <w:r w:rsidRPr="00E11086">
              <w:rPr>
                <w:sz w:val="14"/>
                <w:szCs w:val="14"/>
                <w:rtl/>
              </w:rPr>
              <w:t xml:space="preserve"> </w:t>
            </w:r>
            <w:r w:rsidRPr="00E11086">
              <w:rPr>
                <w:rFonts w:hint="eastAsia"/>
                <w:sz w:val="14"/>
                <w:szCs w:val="14"/>
                <w:rtl/>
              </w:rPr>
              <w:t>שליטה</w:t>
            </w:r>
          </w:p>
        </w:tc>
        <w:tc>
          <w:tcPr>
            <w:tcW w:w="113" w:type="dxa"/>
            <w:vAlign w:val="bottom"/>
          </w:tcPr>
          <w:p w14:paraId="5DB34E98" w14:textId="77777777" w:rsidR="00577DDE" w:rsidRPr="00E11086" w:rsidRDefault="00577DDE" w:rsidP="00895C60">
            <w:pPr>
              <w:spacing w:line="160" w:lineRule="exact"/>
              <w:jc w:val="center"/>
              <w:rPr>
                <w:sz w:val="14"/>
                <w:szCs w:val="14"/>
              </w:rPr>
            </w:pPr>
          </w:p>
        </w:tc>
        <w:tc>
          <w:tcPr>
            <w:tcW w:w="737" w:type="dxa"/>
            <w:tcBorders>
              <w:left w:val="nil"/>
              <w:bottom w:val="single" w:sz="6" w:space="0" w:color="auto"/>
              <w:right w:val="nil"/>
            </w:tcBorders>
            <w:shd w:val="clear" w:color="auto" w:fill="auto"/>
            <w:vAlign w:val="bottom"/>
          </w:tcPr>
          <w:p w14:paraId="42DB16E7" w14:textId="77777777" w:rsidR="00577DDE" w:rsidRPr="00E11086" w:rsidRDefault="00577DDE" w:rsidP="00895C60">
            <w:pPr>
              <w:spacing w:line="160" w:lineRule="exact"/>
              <w:jc w:val="center"/>
              <w:rPr>
                <w:sz w:val="14"/>
                <w:szCs w:val="14"/>
                <w:rtl/>
              </w:rPr>
            </w:pPr>
            <w:r w:rsidRPr="00E11086">
              <w:rPr>
                <w:rFonts w:hint="eastAsia"/>
                <w:sz w:val="14"/>
                <w:szCs w:val="14"/>
                <w:rtl/>
              </w:rPr>
              <w:t>סה</w:t>
            </w:r>
            <w:r w:rsidRPr="00E11086">
              <w:rPr>
                <w:sz w:val="14"/>
                <w:szCs w:val="14"/>
                <w:rtl/>
              </w:rPr>
              <w:t xml:space="preserve">"כ </w:t>
            </w:r>
          </w:p>
          <w:p w14:paraId="6A0A7528" w14:textId="77777777" w:rsidR="00577DDE" w:rsidRPr="00E11086" w:rsidRDefault="00577DDE" w:rsidP="00895C60">
            <w:pPr>
              <w:spacing w:line="160" w:lineRule="exact"/>
              <w:jc w:val="center"/>
              <w:rPr>
                <w:sz w:val="14"/>
                <w:szCs w:val="14"/>
              </w:rPr>
            </w:pPr>
            <w:r w:rsidRPr="00E11086">
              <w:rPr>
                <w:rFonts w:hint="eastAsia"/>
                <w:sz w:val="14"/>
                <w:szCs w:val="14"/>
                <w:rtl/>
              </w:rPr>
              <w:t>הון</w:t>
            </w:r>
          </w:p>
        </w:tc>
      </w:tr>
      <w:tr w:rsidR="000F2299" w:rsidRPr="00E11086" w14:paraId="402F5A5B" w14:textId="77777777" w:rsidTr="003675AA">
        <w:tc>
          <w:tcPr>
            <w:tcW w:w="3177" w:type="dxa"/>
            <w:vAlign w:val="bottom"/>
          </w:tcPr>
          <w:p w14:paraId="0485ED13" w14:textId="77777777" w:rsidR="000F2299" w:rsidRPr="00E11086" w:rsidRDefault="000F2299" w:rsidP="00E91DD1">
            <w:pPr>
              <w:pStyle w:val="a3"/>
              <w:spacing w:line="160" w:lineRule="exact"/>
              <w:ind w:left="198" w:hanging="170"/>
              <w:rPr>
                <w:b/>
                <w:sz w:val="14"/>
                <w:szCs w:val="14"/>
                <w:u w:val="single"/>
              </w:rPr>
            </w:pPr>
          </w:p>
        </w:tc>
        <w:tc>
          <w:tcPr>
            <w:tcW w:w="113" w:type="dxa"/>
            <w:vAlign w:val="bottom"/>
          </w:tcPr>
          <w:p w14:paraId="20E496C5" w14:textId="77777777" w:rsidR="000F2299" w:rsidRPr="00E11086" w:rsidRDefault="000F2299" w:rsidP="00E470B3">
            <w:pPr>
              <w:spacing w:line="160" w:lineRule="exact"/>
              <w:rPr>
                <w:sz w:val="14"/>
                <w:szCs w:val="14"/>
              </w:rPr>
            </w:pPr>
          </w:p>
        </w:tc>
        <w:tc>
          <w:tcPr>
            <w:tcW w:w="12486" w:type="dxa"/>
            <w:gridSpan w:val="31"/>
            <w:tcBorders>
              <w:left w:val="nil"/>
              <w:bottom w:val="single" w:sz="6" w:space="0" w:color="auto"/>
              <w:right w:val="nil"/>
            </w:tcBorders>
            <w:shd w:val="clear" w:color="auto" w:fill="auto"/>
            <w:vAlign w:val="bottom"/>
          </w:tcPr>
          <w:p w14:paraId="7C78C520" w14:textId="77777777" w:rsidR="000F2299" w:rsidRPr="00E11086" w:rsidRDefault="000C4C0E" w:rsidP="00E470B3">
            <w:pPr>
              <w:tabs>
                <w:tab w:val="decimal" w:pos="113"/>
              </w:tabs>
              <w:spacing w:line="160" w:lineRule="exact"/>
              <w:jc w:val="center"/>
              <w:rPr>
                <w:sz w:val="14"/>
                <w:szCs w:val="14"/>
                <w:rtl/>
              </w:rPr>
            </w:pPr>
            <w:r w:rsidRPr="00E11086">
              <w:rPr>
                <w:rFonts w:hint="eastAsia"/>
                <w:sz w:val="14"/>
                <w:szCs w:val="14"/>
                <w:rtl/>
              </w:rPr>
              <w:t>בלתי</w:t>
            </w:r>
            <w:r w:rsidRPr="00E11086">
              <w:rPr>
                <w:sz w:val="14"/>
                <w:szCs w:val="14"/>
                <w:rtl/>
              </w:rPr>
              <w:t xml:space="preserve"> </w:t>
            </w:r>
            <w:r w:rsidRPr="00E11086">
              <w:rPr>
                <w:rFonts w:hint="eastAsia"/>
                <w:sz w:val="14"/>
                <w:szCs w:val="14"/>
                <w:rtl/>
              </w:rPr>
              <w:t>מבוקר</w:t>
            </w:r>
          </w:p>
        </w:tc>
      </w:tr>
      <w:tr w:rsidR="000F2299" w:rsidRPr="00E11086" w14:paraId="25BB00BF" w14:textId="77777777" w:rsidTr="003675AA">
        <w:tc>
          <w:tcPr>
            <w:tcW w:w="3177" w:type="dxa"/>
            <w:vAlign w:val="bottom"/>
          </w:tcPr>
          <w:p w14:paraId="73AA271A" w14:textId="77777777" w:rsidR="000F2299" w:rsidRPr="00E11086" w:rsidRDefault="000F2299" w:rsidP="00E91DD1">
            <w:pPr>
              <w:pStyle w:val="a3"/>
              <w:spacing w:line="160" w:lineRule="exact"/>
              <w:ind w:left="198" w:hanging="170"/>
              <w:rPr>
                <w:b/>
                <w:sz w:val="14"/>
                <w:szCs w:val="14"/>
                <w:u w:val="single"/>
              </w:rPr>
            </w:pPr>
          </w:p>
        </w:tc>
        <w:tc>
          <w:tcPr>
            <w:tcW w:w="113" w:type="dxa"/>
            <w:vAlign w:val="bottom"/>
          </w:tcPr>
          <w:p w14:paraId="61AB0CAD" w14:textId="77777777" w:rsidR="000F2299" w:rsidRPr="00E11086" w:rsidRDefault="000F2299" w:rsidP="00E470B3">
            <w:pPr>
              <w:spacing w:line="160" w:lineRule="exact"/>
              <w:rPr>
                <w:sz w:val="14"/>
                <w:szCs w:val="14"/>
              </w:rPr>
            </w:pPr>
          </w:p>
        </w:tc>
        <w:tc>
          <w:tcPr>
            <w:tcW w:w="12486" w:type="dxa"/>
            <w:gridSpan w:val="31"/>
            <w:tcBorders>
              <w:left w:val="nil"/>
              <w:bottom w:val="single" w:sz="6" w:space="0" w:color="auto"/>
              <w:right w:val="nil"/>
            </w:tcBorders>
            <w:shd w:val="clear" w:color="auto" w:fill="auto"/>
            <w:vAlign w:val="bottom"/>
          </w:tcPr>
          <w:p w14:paraId="7A1228FA" w14:textId="77777777" w:rsidR="000F2299" w:rsidRPr="00E11086" w:rsidRDefault="000C4C0E" w:rsidP="00E470B3">
            <w:pPr>
              <w:tabs>
                <w:tab w:val="decimal" w:pos="113"/>
              </w:tabs>
              <w:spacing w:line="160" w:lineRule="exact"/>
              <w:jc w:val="center"/>
              <w:rPr>
                <w:sz w:val="14"/>
                <w:szCs w:val="14"/>
              </w:rPr>
            </w:pPr>
            <w:r w:rsidRPr="00E11086">
              <w:rPr>
                <w:rFonts w:hint="eastAsia"/>
                <w:sz w:val="14"/>
                <w:szCs w:val="14"/>
                <w:rtl/>
              </w:rPr>
              <w:t>אלפי</w:t>
            </w:r>
            <w:r w:rsidRPr="00E11086">
              <w:rPr>
                <w:sz w:val="14"/>
                <w:szCs w:val="14"/>
                <w:rtl/>
              </w:rPr>
              <w:t xml:space="preserve"> </w:t>
            </w:r>
            <w:r w:rsidRPr="00E11086">
              <w:rPr>
                <w:rFonts w:hint="eastAsia"/>
                <w:sz w:val="14"/>
                <w:szCs w:val="14"/>
                <w:rtl/>
              </w:rPr>
              <w:t>ש</w:t>
            </w:r>
            <w:r w:rsidRPr="00E11086">
              <w:rPr>
                <w:sz w:val="14"/>
                <w:szCs w:val="14"/>
                <w:rtl/>
              </w:rPr>
              <w:t>"ח</w:t>
            </w:r>
          </w:p>
        </w:tc>
      </w:tr>
      <w:tr w:rsidR="00E63B7E" w:rsidRPr="00E11086" w14:paraId="5F0FD09E" w14:textId="77777777" w:rsidTr="003675AA">
        <w:tc>
          <w:tcPr>
            <w:tcW w:w="3177" w:type="dxa"/>
            <w:vAlign w:val="bottom"/>
          </w:tcPr>
          <w:p w14:paraId="12187808" w14:textId="0BA60A76" w:rsidR="008D22FA" w:rsidRDefault="000C4C0E" w:rsidP="003675AA">
            <w:pPr>
              <w:pStyle w:val="a3"/>
              <w:spacing w:line="160" w:lineRule="exact"/>
              <w:ind w:left="198" w:hanging="170"/>
              <w:jc w:val="both"/>
              <w:rPr>
                <w:b/>
                <w:sz w:val="14"/>
                <w:szCs w:val="14"/>
              </w:rPr>
            </w:pPr>
            <w:r w:rsidRPr="00E11086">
              <w:rPr>
                <w:rFonts w:hint="eastAsia"/>
                <w:b/>
                <w:sz w:val="14"/>
                <w:szCs w:val="14"/>
                <w:u w:val="single"/>
                <w:rtl/>
              </w:rPr>
              <w:t>יתרה</w:t>
            </w:r>
            <w:r w:rsidRPr="00E11086">
              <w:rPr>
                <w:b/>
                <w:sz w:val="14"/>
                <w:szCs w:val="14"/>
                <w:u w:val="single"/>
                <w:rtl/>
              </w:rPr>
              <w:t xml:space="preserve"> </w:t>
            </w:r>
            <w:r w:rsidRPr="00E11086">
              <w:rPr>
                <w:rFonts w:hint="eastAsia"/>
                <w:b/>
                <w:sz w:val="14"/>
                <w:szCs w:val="14"/>
                <w:u w:val="single"/>
                <w:rtl/>
              </w:rPr>
              <w:t>ליום</w:t>
            </w:r>
            <w:r w:rsidRPr="00E11086">
              <w:rPr>
                <w:b/>
                <w:sz w:val="14"/>
                <w:szCs w:val="14"/>
                <w:u w:val="single"/>
                <w:rtl/>
              </w:rPr>
              <w:t xml:space="preserve"> 1 </w:t>
            </w:r>
            <w:r w:rsidRPr="00E11086">
              <w:rPr>
                <w:rFonts w:hint="eastAsia"/>
                <w:b/>
                <w:sz w:val="14"/>
                <w:szCs w:val="14"/>
                <w:u w:val="single"/>
                <w:rtl/>
              </w:rPr>
              <w:t>בינואר</w:t>
            </w:r>
            <w:r w:rsidRPr="00E11086">
              <w:rPr>
                <w:b/>
                <w:sz w:val="14"/>
                <w:szCs w:val="14"/>
                <w:u w:val="single"/>
                <w:rtl/>
              </w:rPr>
              <w:t xml:space="preserve">, </w:t>
            </w:r>
            <w:r w:rsidR="003675AA">
              <w:rPr>
                <w:rFonts w:hint="cs"/>
                <w:b/>
                <w:sz w:val="14"/>
                <w:szCs w:val="14"/>
                <w:u w:val="single"/>
                <w:rtl/>
              </w:rPr>
              <w:t>2019</w:t>
            </w:r>
            <w:r w:rsidR="006C3028" w:rsidRPr="00E11086">
              <w:rPr>
                <w:b/>
                <w:sz w:val="14"/>
                <w:szCs w:val="14"/>
                <w:rtl/>
              </w:rPr>
              <w:t xml:space="preserve"> </w:t>
            </w:r>
            <w:r w:rsidRPr="00E11086">
              <w:rPr>
                <w:b/>
                <w:sz w:val="14"/>
                <w:szCs w:val="14"/>
                <w:rtl/>
              </w:rPr>
              <w:t>(מבוקר)</w:t>
            </w:r>
          </w:p>
        </w:tc>
        <w:tc>
          <w:tcPr>
            <w:tcW w:w="113" w:type="dxa"/>
            <w:vAlign w:val="bottom"/>
          </w:tcPr>
          <w:p w14:paraId="4FC179D0" w14:textId="77777777" w:rsidR="000F2299" w:rsidRPr="00E11086" w:rsidRDefault="000F2299" w:rsidP="00E470B3">
            <w:pPr>
              <w:spacing w:line="160" w:lineRule="exact"/>
              <w:rPr>
                <w:sz w:val="14"/>
                <w:szCs w:val="14"/>
              </w:rPr>
            </w:pPr>
          </w:p>
        </w:tc>
        <w:tc>
          <w:tcPr>
            <w:tcW w:w="624" w:type="dxa"/>
            <w:shd w:val="clear" w:color="auto" w:fill="auto"/>
            <w:vAlign w:val="bottom"/>
          </w:tcPr>
          <w:p w14:paraId="4C6AEF29" w14:textId="77777777" w:rsidR="000F2299" w:rsidRPr="00E11086" w:rsidRDefault="000F2299" w:rsidP="00E470B3">
            <w:pPr>
              <w:tabs>
                <w:tab w:val="decimal" w:pos="113"/>
              </w:tabs>
              <w:spacing w:line="160" w:lineRule="exact"/>
              <w:rPr>
                <w:sz w:val="14"/>
                <w:szCs w:val="14"/>
              </w:rPr>
            </w:pPr>
          </w:p>
        </w:tc>
        <w:tc>
          <w:tcPr>
            <w:tcW w:w="113" w:type="dxa"/>
            <w:vAlign w:val="bottom"/>
          </w:tcPr>
          <w:p w14:paraId="3D65E67D" w14:textId="77777777" w:rsidR="000F2299" w:rsidRPr="00E11086" w:rsidRDefault="000F2299" w:rsidP="00E470B3">
            <w:pPr>
              <w:tabs>
                <w:tab w:val="decimal" w:pos="113"/>
              </w:tabs>
              <w:spacing w:line="160" w:lineRule="exact"/>
              <w:rPr>
                <w:sz w:val="14"/>
                <w:szCs w:val="14"/>
              </w:rPr>
            </w:pPr>
          </w:p>
        </w:tc>
        <w:tc>
          <w:tcPr>
            <w:tcW w:w="624" w:type="dxa"/>
            <w:shd w:val="clear" w:color="auto" w:fill="auto"/>
            <w:vAlign w:val="bottom"/>
          </w:tcPr>
          <w:p w14:paraId="09482726" w14:textId="77777777" w:rsidR="000F2299" w:rsidRPr="00E11086" w:rsidRDefault="000F2299" w:rsidP="00E470B3">
            <w:pPr>
              <w:tabs>
                <w:tab w:val="decimal" w:pos="113"/>
              </w:tabs>
              <w:spacing w:line="160" w:lineRule="exact"/>
              <w:rPr>
                <w:sz w:val="14"/>
                <w:szCs w:val="14"/>
              </w:rPr>
            </w:pPr>
          </w:p>
        </w:tc>
        <w:tc>
          <w:tcPr>
            <w:tcW w:w="113" w:type="dxa"/>
            <w:vAlign w:val="bottom"/>
          </w:tcPr>
          <w:p w14:paraId="30129933" w14:textId="77777777" w:rsidR="000F2299" w:rsidRPr="00E11086" w:rsidRDefault="000F2299" w:rsidP="00E470B3">
            <w:pPr>
              <w:tabs>
                <w:tab w:val="decimal" w:pos="113"/>
              </w:tabs>
              <w:spacing w:line="160" w:lineRule="exact"/>
              <w:rPr>
                <w:sz w:val="14"/>
                <w:szCs w:val="14"/>
              </w:rPr>
            </w:pPr>
          </w:p>
        </w:tc>
        <w:tc>
          <w:tcPr>
            <w:tcW w:w="624" w:type="dxa"/>
            <w:shd w:val="clear" w:color="auto" w:fill="auto"/>
            <w:vAlign w:val="bottom"/>
          </w:tcPr>
          <w:p w14:paraId="548BFC70" w14:textId="77777777" w:rsidR="000F2299" w:rsidRPr="00E11086" w:rsidRDefault="000F2299" w:rsidP="00E470B3">
            <w:pPr>
              <w:tabs>
                <w:tab w:val="decimal" w:pos="113"/>
              </w:tabs>
              <w:spacing w:line="160" w:lineRule="exact"/>
              <w:rPr>
                <w:sz w:val="14"/>
                <w:szCs w:val="14"/>
              </w:rPr>
            </w:pPr>
          </w:p>
        </w:tc>
        <w:tc>
          <w:tcPr>
            <w:tcW w:w="113" w:type="dxa"/>
          </w:tcPr>
          <w:p w14:paraId="19603666" w14:textId="77777777" w:rsidR="000F2299" w:rsidRPr="00E11086" w:rsidRDefault="000F2299" w:rsidP="00E470B3">
            <w:pPr>
              <w:tabs>
                <w:tab w:val="decimal" w:pos="113"/>
              </w:tabs>
              <w:spacing w:line="160" w:lineRule="exact"/>
              <w:rPr>
                <w:sz w:val="14"/>
                <w:szCs w:val="14"/>
              </w:rPr>
            </w:pPr>
          </w:p>
        </w:tc>
        <w:tc>
          <w:tcPr>
            <w:tcW w:w="680" w:type="dxa"/>
            <w:shd w:val="clear" w:color="auto" w:fill="auto"/>
          </w:tcPr>
          <w:p w14:paraId="1B139523" w14:textId="77777777" w:rsidR="000F2299" w:rsidRPr="00E11086" w:rsidRDefault="000F2299" w:rsidP="00E470B3">
            <w:pPr>
              <w:tabs>
                <w:tab w:val="decimal" w:pos="113"/>
              </w:tabs>
              <w:spacing w:line="160" w:lineRule="exact"/>
              <w:rPr>
                <w:sz w:val="14"/>
                <w:szCs w:val="14"/>
              </w:rPr>
            </w:pPr>
          </w:p>
        </w:tc>
        <w:tc>
          <w:tcPr>
            <w:tcW w:w="113" w:type="dxa"/>
          </w:tcPr>
          <w:p w14:paraId="594D2E63" w14:textId="77777777" w:rsidR="000F2299" w:rsidRPr="00E11086" w:rsidRDefault="000F2299" w:rsidP="00E470B3">
            <w:pPr>
              <w:tabs>
                <w:tab w:val="decimal" w:pos="113"/>
              </w:tabs>
              <w:spacing w:line="160" w:lineRule="exact"/>
              <w:rPr>
                <w:sz w:val="14"/>
                <w:szCs w:val="14"/>
              </w:rPr>
            </w:pPr>
          </w:p>
        </w:tc>
        <w:tc>
          <w:tcPr>
            <w:tcW w:w="624" w:type="dxa"/>
            <w:shd w:val="clear" w:color="auto" w:fill="auto"/>
          </w:tcPr>
          <w:p w14:paraId="00F98188" w14:textId="77777777" w:rsidR="000F2299" w:rsidRPr="00E11086" w:rsidRDefault="000F2299" w:rsidP="00E470B3">
            <w:pPr>
              <w:tabs>
                <w:tab w:val="decimal" w:pos="113"/>
              </w:tabs>
              <w:spacing w:line="160" w:lineRule="exact"/>
              <w:rPr>
                <w:sz w:val="14"/>
                <w:szCs w:val="14"/>
              </w:rPr>
            </w:pPr>
          </w:p>
        </w:tc>
        <w:tc>
          <w:tcPr>
            <w:tcW w:w="113" w:type="dxa"/>
            <w:vAlign w:val="bottom"/>
          </w:tcPr>
          <w:p w14:paraId="7EEAF1A7" w14:textId="77777777" w:rsidR="000F2299" w:rsidRPr="00E11086" w:rsidRDefault="000F2299" w:rsidP="00E470B3">
            <w:pPr>
              <w:tabs>
                <w:tab w:val="decimal" w:pos="113"/>
              </w:tabs>
              <w:spacing w:line="160" w:lineRule="exact"/>
              <w:rPr>
                <w:sz w:val="14"/>
                <w:szCs w:val="14"/>
              </w:rPr>
            </w:pPr>
          </w:p>
        </w:tc>
        <w:tc>
          <w:tcPr>
            <w:tcW w:w="624" w:type="dxa"/>
            <w:shd w:val="clear" w:color="auto" w:fill="auto"/>
            <w:vAlign w:val="bottom"/>
          </w:tcPr>
          <w:p w14:paraId="16459D2A" w14:textId="77777777" w:rsidR="000F2299" w:rsidRPr="00E11086" w:rsidRDefault="000F2299" w:rsidP="00E470B3">
            <w:pPr>
              <w:tabs>
                <w:tab w:val="decimal" w:pos="113"/>
              </w:tabs>
              <w:spacing w:line="160" w:lineRule="exact"/>
              <w:rPr>
                <w:sz w:val="14"/>
                <w:szCs w:val="14"/>
              </w:rPr>
            </w:pPr>
          </w:p>
        </w:tc>
        <w:tc>
          <w:tcPr>
            <w:tcW w:w="113" w:type="dxa"/>
            <w:vAlign w:val="bottom"/>
          </w:tcPr>
          <w:p w14:paraId="07AB1F44" w14:textId="77777777" w:rsidR="000F2299" w:rsidRPr="00E11086" w:rsidRDefault="000F2299" w:rsidP="00E470B3">
            <w:pPr>
              <w:tabs>
                <w:tab w:val="decimal" w:pos="113"/>
              </w:tabs>
              <w:spacing w:line="160" w:lineRule="exact"/>
              <w:rPr>
                <w:sz w:val="14"/>
                <w:szCs w:val="14"/>
              </w:rPr>
            </w:pPr>
          </w:p>
        </w:tc>
        <w:tc>
          <w:tcPr>
            <w:tcW w:w="737" w:type="dxa"/>
            <w:shd w:val="clear" w:color="auto" w:fill="auto"/>
            <w:vAlign w:val="bottom"/>
          </w:tcPr>
          <w:p w14:paraId="4ADB205C" w14:textId="77777777" w:rsidR="000F2299" w:rsidRPr="00E11086" w:rsidRDefault="000F2299" w:rsidP="00E470B3">
            <w:pPr>
              <w:tabs>
                <w:tab w:val="decimal" w:pos="113"/>
              </w:tabs>
              <w:spacing w:line="160" w:lineRule="exact"/>
              <w:rPr>
                <w:sz w:val="14"/>
                <w:szCs w:val="14"/>
              </w:rPr>
            </w:pPr>
          </w:p>
        </w:tc>
        <w:tc>
          <w:tcPr>
            <w:tcW w:w="113" w:type="dxa"/>
            <w:vAlign w:val="bottom"/>
          </w:tcPr>
          <w:p w14:paraId="53754D27" w14:textId="77777777" w:rsidR="000F2299" w:rsidRPr="00E11086" w:rsidRDefault="000F2299" w:rsidP="00E470B3">
            <w:pPr>
              <w:tabs>
                <w:tab w:val="decimal" w:pos="113"/>
              </w:tabs>
              <w:spacing w:line="160" w:lineRule="exact"/>
              <w:rPr>
                <w:sz w:val="14"/>
                <w:szCs w:val="14"/>
              </w:rPr>
            </w:pPr>
          </w:p>
        </w:tc>
        <w:tc>
          <w:tcPr>
            <w:tcW w:w="737" w:type="dxa"/>
            <w:shd w:val="clear" w:color="auto" w:fill="auto"/>
            <w:vAlign w:val="bottom"/>
          </w:tcPr>
          <w:p w14:paraId="561DA1F1" w14:textId="77777777" w:rsidR="000F2299" w:rsidRPr="00E11086" w:rsidRDefault="000F2299" w:rsidP="00E470B3">
            <w:pPr>
              <w:tabs>
                <w:tab w:val="decimal" w:pos="113"/>
              </w:tabs>
              <w:spacing w:line="160" w:lineRule="exact"/>
              <w:rPr>
                <w:sz w:val="14"/>
                <w:szCs w:val="14"/>
              </w:rPr>
            </w:pPr>
          </w:p>
        </w:tc>
        <w:tc>
          <w:tcPr>
            <w:tcW w:w="113" w:type="dxa"/>
            <w:vAlign w:val="bottom"/>
          </w:tcPr>
          <w:p w14:paraId="49DA6D0C" w14:textId="77777777" w:rsidR="000F2299" w:rsidRPr="00E11086" w:rsidRDefault="000F2299" w:rsidP="00E470B3">
            <w:pPr>
              <w:tabs>
                <w:tab w:val="decimal" w:pos="113"/>
              </w:tabs>
              <w:spacing w:line="160" w:lineRule="exact"/>
              <w:rPr>
                <w:sz w:val="14"/>
                <w:szCs w:val="14"/>
              </w:rPr>
            </w:pPr>
          </w:p>
        </w:tc>
        <w:tc>
          <w:tcPr>
            <w:tcW w:w="680" w:type="dxa"/>
            <w:shd w:val="clear" w:color="auto" w:fill="auto"/>
            <w:vAlign w:val="bottom"/>
          </w:tcPr>
          <w:p w14:paraId="5B963EAC" w14:textId="77777777" w:rsidR="000F2299" w:rsidRPr="00E11086" w:rsidRDefault="000F2299" w:rsidP="00E470B3">
            <w:pPr>
              <w:tabs>
                <w:tab w:val="decimal" w:pos="113"/>
              </w:tabs>
              <w:spacing w:line="160" w:lineRule="exact"/>
              <w:rPr>
                <w:sz w:val="14"/>
                <w:szCs w:val="14"/>
              </w:rPr>
            </w:pPr>
          </w:p>
        </w:tc>
        <w:tc>
          <w:tcPr>
            <w:tcW w:w="79" w:type="dxa"/>
            <w:shd w:val="clear" w:color="auto" w:fill="auto"/>
            <w:vAlign w:val="bottom"/>
          </w:tcPr>
          <w:p w14:paraId="2DEF3A1B" w14:textId="77777777" w:rsidR="000F2299" w:rsidRPr="00E11086" w:rsidRDefault="000F2299" w:rsidP="00E470B3">
            <w:pPr>
              <w:tabs>
                <w:tab w:val="decimal" w:pos="113"/>
              </w:tabs>
              <w:spacing w:line="160" w:lineRule="exact"/>
              <w:rPr>
                <w:sz w:val="14"/>
                <w:szCs w:val="14"/>
              </w:rPr>
            </w:pPr>
          </w:p>
        </w:tc>
        <w:tc>
          <w:tcPr>
            <w:tcW w:w="734" w:type="dxa"/>
            <w:shd w:val="clear" w:color="auto" w:fill="auto"/>
            <w:vAlign w:val="bottom"/>
          </w:tcPr>
          <w:p w14:paraId="4D94EDAF" w14:textId="77777777" w:rsidR="000F2299" w:rsidRPr="00E11086" w:rsidRDefault="000F2299" w:rsidP="00E470B3">
            <w:pPr>
              <w:tabs>
                <w:tab w:val="decimal" w:pos="113"/>
              </w:tabs>
              <w:spacing w:line="160" w:lineRule="exact"/>
              <w:rPr>
                <w:sz w:val="14"/>
                <w:szCs w:val="14"/>
              </w:rPr>
            </w:pPr>
          </w:p>
        </w:tc>
        <w:tc>
          <w:tcPr>
            <w:tcW w:w="113" w:type="dxa"/>
            <w:shd w:val="clear" w:color="auto" w:fill="auto"/>
            <w:vAlign w:val="bottom"/>
          </w:tcPr>
          <w:p w14:paraId="656F1E2D" w14:textId="77777777" w:rsidR="000F2299" w:rsidRPr="00E11086" w:rsidRDefault="000F2299" w:rsidP="00E470B3">
            <w:pPr>
              <w:tabs>
                <w:tab w:val="decimal" w:pos="113"/>
              </w:tabs>
              <w:spacing w:line="160" w:lineRule="exact"/>
              <w:rPr>
                <w:sz w:val="14"/>
                <w:szCs w:val="14"/>
              </w:rPr>
            </w:pPr>
          </w:p>
        </w:tc>
        <w:tc>
          <w:tcPr>
            <w:tcW w:w="680" w:type="dxa"/>
            <w:shd w:val="clear" w:color="auto" w:fill="auto"/>
            <w:vAlign w:val="bottom"/>
          </w:tcPr>
          <w:p w14:paraId="72E588C0" w14:textId="77777777" w:rsidR="000F2299" w:rsidRPr="00E11086" w:rsidRDefault="000F2299" w:rsidP="00E470B3">
            <w:pPr>
              <w:tabs>
                <w:tab w:val="decimal" w:pos="113"/>
              </w:tabs>
              <w:spacing w:line="160" w:lineRule="exact"/>
              <w:rPr>
                <w:sz w:val="14"/>
                <w:szCs w:val="14"/>
              </w:rPr>
            </w:pPr>
          </w:p>
        </w:tc>
        <w:tc>
          <w:tcPr>
            <w:tcW w:w="113" w:type="dxa"/>
            <w:shd w:val="clear" w:color="auto" w:fill="auto"/>
            <w:vAlign w:val="bottom"/>
          </w:tcPr>
          <w:p w14:paraId="6ABC16DF" w14:textId="77777777" w:rsidR="000F2299" w:rsidRPr="00E11086" w:rsidRDefault="000F2299" w:rsidP="00E470B3">
            <w:pPr>
              <w:tabs>
                <w:tab w:val="decimal" w:pos="113"/>
              </w:tabs>
              <w:spacing w:line="160" w:lineRule="exact"/>
              <w:rPr>
                <w:sz w:val="14"/>
                <w:szCs w:val="14"/>
              </w:rPr>
            </w:pPr>
          </w:p>
        </w:tc>
        <w:tc>
          <w:tcPr>
            <w:tcW w:w="680" w:type="dxa"/>
            <w:shd w:val="clear" w:color="auto" w:fill="auto"/>
            <w:vAlign w:val="bottom"/>
          </w:tcPr>
          <w:p w14:paraId="4CC66338" w14:textId="77777777" w:rsidR="000F2299" w:rsidRPr="00E11086" w:rsidRDefault="000F2299" w:rsidP="00E470B3">
            <w:pPr>
              <w:tabs>
                <w:tab w:val="decimal" w:pos="113"/>
              </w:tabs>
              <w:spacing w:line="160" w:lineRule="exact"/>
              <w:rPr>
                <w:sz w:val="14"/>
                <w:szCs w:val="14"/>
              </w:rPr>
            </w:pPr>
          </w:p>
        </w:tc>
        <w:tc>
          <w:tcPr>
            <w:tcW w:w="113" w:type="dxa"/>
            <w:shd w:val="clear" w:color="auto" w:fill="auto"/>
            <w:vAlign w:val="bottom"/>
          </w:tcPr>
          <w:p w14:paraId="71D93EFF" w14:textId="77777777" w:rsidR="000F2299" w:rsidRPr="00E11086" w:rsidRDefault="000F2299" w:rsidP="00E470B3">
            <w:pPr>
              <w:tabs>
                <w:tab w:val="decimal" w:pos="113"/>
              </w:tabs>
              <w:spacing w:line="160" w:lineRule="exact"/>
              <w:rPr>
                <w:sz w:val="14"/>
                <w:szCs w:val="14"/>
              </w:rPr>
            </w:pPr>
          </w:p>
        </w:tc>
        <w:tc>
          <w:tcPr>
            <w:tcW w:w="680" w:type="dxa"/>
            <w:shd w:val="clear" w:color="auto" w:fill="auto"/>
            <w:vAlign w:val="bottom"/>
          </w:tcPr>
          <w:p w14:paraId="3652ACCE" w14:textId="77777777" w:rsidR="000F2299" w:rsidRPr="00E11086" w:rsidRDefault="000F2299" w:rsidP="00E470B3">
            <w:pPr>
              <w:tabs>
                <w:tab w:val="decimal" w:pos="113"/>
              </w:tabs>
              <w:spacing w:line="160" w:lineRule="exact"/>
              <w:rPr>
                <w:sz w:val="14"/>
                <w:szCs w:val="14"/>
              </w:rPr>
            </w:pPr>
          </w:p>
        </w:tc>
        <w:tc>
          <w:tcPr>
            <w:tcW w:w="113" w:type="dxa"/>
            <w:vAlign w:val="bottom"/>
          </w:tcPr>
          <w:p w14:paraId="1CBC3188" w14:textId="77777777" w:rsidR="000F2299" w:rsidRPr="00E11086" w:rsidRDefault="000F2299" w:rsidP="00E470B3">
            <w:pPr>
              <w:tabs>
                <w:tab w:val="decimal" w:pos="113"/>
              </w:tabs>
              <w:spacing w:line="160" w:lineRule="exact"/>
              <w:rPr>
                <w:sz w:val="14"/>
                <w:szCs w:val="14"/>
              </w:rPr>
            </w:pPr>
          </w:p>
        </w:tc>
        <w:tc>
          <w:tcPr>
            <w:tcW w:w="680" w:type="dxa"/>
            <w:shd w:val="clear" w:color="auto" w:fill="auto"/>
            <w:vAlign w:val="bottom"/>
          </w:tcPr>
          <w:p w14:paraId="7AC4E7F3" w14:textId="77777777" w:rsidR="000F2299" w:rsidRPr="00E11086" w:rsidRDefault="000F2299" w:rsidP="00E470B3">
            <w:pPr>
              <w:tabs>
                <w:tab w:val="decimal" w:pos="113"/>
              </w:tabs>
              <w:spacing w:line="160" w:lineRule="exact"/>
              <w:rPr>
                <w:sz w:val="14"/>
                <w:szCs w:val="14"/>
              </w:rPr>
            </w:pPr>
          </w:p>
        </w:tc>
        <w:tc>
          <w:tcPr>
            <w:tcW w:w="113" w:type="dxa"/>
            <w:vAlign w:val="bottom"/>
          </w:tcPr>
          <w:p w14:paraId="6F03424C" w14:textId="77777777" w:rsidR="000F2299" w:rsidRPr="00E11086" w:rsidRDefault="000F2299" w:rsidP="00E470B3">
            <w:pPr>
              <w:tabs>
                <w:tab w:val="decimal" w:pos="113"/>
              </w:tabs>
              <w:spacing w:line="160" w:lineRule="exact"/>
              <w:rPr>
                <w:sz w:val="14"/>
                <w:szCs w:val="14"/>
              </w:rPr>
            </w:pPr>
          </w:p>
        </w:tc>
        <w:tc>
          <w:tcPr>
            <w:tcW w:w="680" w:type="dxa"/>
            <w:shd w:val="clear" w:color="auto" w:fill="auto"/>
            <w:vAlign w:val="bottom"/>
          </w:tcPr>
          <w:p w14:paraId="6B134289" w14:textId="77777777" w:rsidR="000F2299" w:rsidRPr="00E11086" w:rsidRDefault="000F2299" w:rsidP="00E470B3">
            <w:pPr>
              <w:tabs>
                <w:tab w:val="decimal" w:pos="113"/>
              </w:tabs>
              <w:spacing w:line="160" w:lineRule="exact"/>
              <w:rPr>
                <w:sz w:val="14"/>
                <w:szCs w:val="14"/>
              </w:rPr>
            </w:pPr>
          </w:p>
        </w:tc>
        <w:tc>
          <w:tcPr>
            <w:tcW w:w="113" w:type="dxa"/>
          </w:tcPr>
          <w:p w14:paraId="5CEC7562" w14:textId="77777777" w:rsidR="000F2299" w:rsidRPr="00E11086" w:rsidRDefault="000F2299" w:rsidP="00E470B3">
            <w:pPr>
              <w:tabs>
                <w:tab w:val="decimal" w:pos="113"/>
              </w:tabs>
              <w:spacing w:line="160" w:lineRule="exact"/>
              <w:rPr>
                <w:sz w:val="14"/>
                <w:szCs w:val="14"/>
              </w:rPr>
            </w:pPr>
          </w:p>
        </w:tc>
        <w:tc>
          <w:tcPr>
            <w:tcW w:w="737" w:type="dxa"/>
            <w:shd w:val="clear" w:color="auto" w:fill="auto"/>
          </w:tcPr>
          <w:p w14:paraId="766014ED" w14:textId="77777777" w:rsidR="000F2299" w:rsidRPr="00E11086" w:rsidRDefault="000F2299" w:rsidP="00E470B3">
            <w:pPr>
              <w:tabs>
                <w:tab w:val="decimal" w:pos="113"/>
              </w:tabs>
              <w:spacing w:line="160" w:lineRule="exact"/>
              <w:rPr>
                <w:sz w:val="14"/>
                <w:szCs w:val="14"/>
              </w:rPr>
            </w:pPr>
          </w:p>
        </w:tc>
      </w:tr>
      <w:tr w:rsidR="00655AA2" w:rsidRPr="00E11086" w14:paraId="58C04BA7" w14:textId="77777777" w:rsidTr="003675AA">
        <w:tc>
          <w:tcPr>
            <w:tcW w:w="3177" w:type="dxa"/>
            <w:vAlign w:val="bottom"/>
          </w:tcPr>
          <w:p w14:paraId="5480FADA" w14:textId="25A9E548" w:rsidR="00655AA2" w:rsidRPr="00655AA2" w:rsidRDefault="00655AA2" w:rsidP="0054462D">
            <w:pPr>
              <w:widowControl/>
              <w:spacing w:line="160" w:lineRule="exact"/>
              <w:ind w:left="198" w:hanging="170"/>
              <w:jc w:val="left"/>
              <w:rPr>
                <w:sz w:val="14"/>
                <w:szCs w:val="14"/>
                <w:rtl/>
              </w:rPr>
            </w:pPr>
            <w:r w:rsidRPr="00655AA2">
              <w:rPr>
                <w:rFonts w:hint="cs"/>
                <w:sz w:val="14"/>
                <w:szCs w:val="14"/>
                <w:rtl/>
              </w:rPr>
              <w:t xml:space="preserve">השפעה מצטברת כתוצאה מאימוץ לראשונה של </w:t>
            </w:r>
            <w:r w:rsidRPr="00655AA2">
              <w:rPr>
                <w:rFonts w:hint="cs"/>
                <w:sz w:val="14"/>
                <w:szCs w:val="14"/>
              </w:rPr>
              <w:t xml:space="preserve">IFRS </w:t>
            </w:r>
            <w:r w:rsidR="0054462D">
              <w:rPr>
                <w:sz w:val="14"/>
                <w:szCs w:val="14"/>
              </w:rPr>
              <w:t>16</w:t>
            </w:r>
            <w:r w:rsidRPr="00655AA2">
              <w:rPr>
                <w:rFonts w:hint="cs"/>
                <w:sz w:val="14"/>
                <w:szCs w:val="14"/>
                <w:rtl/>
              </w:rPr>
              <w:t xml:space="preserve"> ליום 1 בינואר </w:t>
            </w:r>
            <w:r w:rsidR="0054462D">
              <w:rPr>
                <w:rFonts w:hint="cs"/>
                <w:sz w:val="14"/>
                <w:szCs w:val="14"/>
                <w:rtl/>
              </w:rPr>
              <w:t>2019</w:t>
            </w:r>
            <w:r w:rsidRPr="00655AA2">
              <w:rPr>
                <w:rFonts w:hint="cs"/>
                <w:sz w:val="14"/>
                <w:szCs w:val="14"/>
                <w:rtl/>
              </w:rPr>
              <w:t xml:space="preserve"> </w:t>
            </w:r>
            <w:r w:rsidR="005C7519">
              <w:rPr>
                <w:sz w:val="14"/>
                <w:szCs w:val="14"/>
                <w:rtl/>
              </w:rPr>
              <w:t>-</w:t>
            </w:r>
            <w:r w:rsidR="006448AF">
              <w:rPr>
                <w:rFonts w:hint="cs"/>
                <w:sz w:val="14"/>
                <w:szCs w:val="14"/>
                <w:rtl/>
              </w:rPr>
              <w:t xml:space="preserve"> ראה באור 2ג</w:t>
            </w:r>
            <w:r w:rsidR="0054462D">
              <w:rPr>
                <w:rFonts w:hint="cs"/>
                <w:sz w:val="14"/>
                <w:szCs w:val="14"/>
                <w:rtl/>
              </w:rPr>
              <w:t>'1</w:t>
            </w:r>
          </w:p>
        </w:tc>
        <w:tc>
          <w:tcPr>
            <w:tcW w:w="113" w:type="dxa"/>
            <w:vAlign w:val="bottom"/>
          </w:tcPr>
          <w:p w14:paraId="732452B0" w14:textId="77777777" w:rsidR="00655AA2" w:rsidRPr="00E11086" w:rsidRDefault="00655AA2" w:rsidP="00655AA2">
            <w:pPr>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53850D71" w14:textId="77777777" w:rsidR="00655AA2" w:rsidRPr="00E11086" w:rsidRDefault="00655AA2" w:rsidP="00655AA2">
            <w:pPr>
              <w:tabs>
                <w:tab w:val="decimal" w:pos="113"/>
              </w:tabs>
              <w:spacing w:line="160" w:lineRule="exact"/>
              <w:rPr>
                <w:sz w:val="14"/>
                <w:szCs w:val="14"/>
              </w:rPr>
            </w:pPr>
          </w:p>
        </w:tc>
        <w:tc>
          <w:tcPr>
            <w:tcW w:w="113" w:type="dxa"/>
            <w:vAlign w:val="bottom"/>
          </w:tcPr>
          <w:p w14:paraId="32618A48"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6302CB03" w14:textId="77777777" w:rsidR="00655AA2" w:rsidRPr="00E11086" w:rsidRDefault="00655AA2" w:rsidP="00655AA2">
            <w:pPr>
              <w:tabs>
                <w:tab w:val="decimal" w:pos="113"/>
              </w:tabs>
              <w:spacing w:line="160" w:lineRule="exact"/>
              <w:rPr>
                <w:sz w:val="14"/>
                <w:szCs w:val="14"/>
              </w:rPr>
            </w:pPr>
          </w:p>
        </w:tc>
        <w:tc>
          <w:tcPr>
            <w:tcW w:w="113" w:type="dxa"/>
            <w:vAlign w:val="bottom"/>
          </w:tcPr>
          <w:p w14:paraId="7D3330A4"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2FDDFBC4" w14:textId="77777777" w:rsidR="00655AA2" w:rsidRPr="00E11086" w:rsidRDefault="00655AA2" w:rsidP="00655AA2">
            <w:pPr>
              <w:tabs>
                <w:tab w:val="decimal" w:pos="113"/>
              </w:tabs>
              <w:spacing w:line="160" w:lineRule="exact"/>
              <w:rPr>
                <w:sz w:val="14"/>
                <w:szCs w:val="14"/>
              </w:rPr>
            </w:pPr>
          </w:p>
        </w:tc>
        <w:tc>
          <w:tcPr>
            <w:tcW w:w="113" w:type="dxa"/>
          </w:tcPr>
          <w:p w14:paraId="72104F2A"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tcPr>
          <w:p w14:paraId="76B9EA9A" w14:textId="77777777" w:rsidR="00655AA2" w:rsidRPr="00E11086" w:rsidRDefault="00655AA2" w:rsidP="00655AA2">
            <w:pPr>
              <w:tabs>
                <w:tab w:val="decimal" w:pos="113"/>
              </w:tabs>
              <w:spacing w:line="160" w:lineRule="exact"/>
              <w:rPr>
                <w:sz w:val="14"/>
                <w:szCs w:val="14"/>
              </w:rPr>
            </w:pPr>
          </w:p>
        </w:tc>
        <w:tc>
          <w:tcPr>
            <w:tcW w:w="113" w:type="dxa"/>
          </w:tcPr>
          <w:p w14:paraId="556A08F6"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tcPr>
          <w:p w14:paraId="5FE69850" w14:textId="77777777" w:rsidR="00655AA2" w:rsidRPr="00E11086" w:rsidRDefault="00655AA2" w:rsidP="00655AA2">
            <w:pPr>
              <w:tabs>
                <w:tab w:val="decimal" w:pos="113"/>
              </w:tabs>
              <w:spacing w:line="160" w:lineRule="exact"/>
              <w:rPr>
                <w:sz w:val="14"/>
                <w:szCs w:val="14"/>
              </w:rPr>
            </w:pPr>
          </w:p>
        </w:tc>
        <w:tc>
          <w:tcPr>
            <w:tcW w:w="113" w:type="dxa"/>
            <w:vAlign w:val="bottom"/>
          </w:tcPr>
          <w:p w14:paraId="2C6E11D3"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15AEA08D" w14:textId="77777777" w:rsidR="00655AA2" w:rsidRPr="00E11086" w:rsidRDefault="00655AA2" w:rsidP="00655AA2">
            <w:pPr>
              <w:tabs>
                <w:tab w:val="decimal" w:pos="113"/>
              </w:tabs>
              <w:spacing w:line="160" w:lineRule="exact"/>
              <w:rPr>
                <w:sz w:val="14"/>
                <w:szCs w:val="14"/>
              </w:rPr>
            </w:pPr>
          </w:p>
        </w:tc>
        <w:tc>
          <w:tcPr>
            <w:tcW w:w="113" w:type="dxa"/>
            <w:vAlign w:val="bottom"/>
          </w:tcPr>
          <w:p w14:paraId="6751ECFB"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4CFD3605" w14:textId="77777777" w:rsidR="00655AA2" w:rsidRPr="00E11086" w:rsidRDefault="00655AA2" w:rsidP="00655AA2">
            <w:pPr>
              <w:tabs>
                <w:tab w:val="decimal" w:pos="113"/>
              </w:tabs>
              <w:spacing w:line="160" w:lineRule="exact"/>
              <w:rPr>
                <w:sz w:val="14"/>
                <w:szCs w:val="14"/>
              </w:rPr>
            </w:pPr>
          </w:p>
        </w:tc>
        <w:tc>
          <w:tcPr>
            <w:tcW w:w="113" w:type="dxa"/>
            <w:vAlign w:val="bottom"/>
          </w:tcPr>
          <w:p w14:paraId="290E39AE"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21C79637" w14:textId="77777777" w:rsidR="00655AA2" w:rsidRPr="00E11086" w:rsidRDefault="00655AA2" w:rsidP="00655AA2">
            <w:pPr>
              <w:tabs>
                <w:tab w:val="decimal" w:pos="113"/>
              </w:tabs>
              <w:spacing w:line="160" w:lineRule="exact"/>
              <w:rPr>
                <w:sz w:val="14"/>
                <w:szCs w:val="14"/>
              </w:rPr>
            </w:pPr>
          </w:p>
        </w:tc>
        <w:tc>
          <w:tcPr>
            <w:tcW w:w="113" w:type="dxa"/>
            <w:vAlign w:val="bottom"/>
          </w:tcPr>
          <w:p w14:paraId="00DA72D5"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774075B" w14:textId="77777777" w:rsidR="00655AA2" w:rsidRPr="00E11086" w:rsidRDefault="00655AA2" w:rsidP="00655AA2">
            <w:pPr>
              <w:tabs>
                <w:tab w:val="decimal" w:pos="113"/>
              </w:tabs>
              <w:spacing w:line="160" w:lineRule="exact"/>
              <w:rPr>
                <w:sz w:val="14"/>
                <w:szCs w:val="14"/>
              </w:rPr>
            </w:pPr>
          </w:p>
        </w:tc>
        <w:tc>
          <w:tcPr>
            <w:tcW w:w="79" w:type="dxa"/>
            <w:tcBorders>
              <w:left w:val="nil"/>
              <w:right w:val="nil"/>
            </w:tcBorders>
            <w:shd w:val="clear" w:color="auto" w:fill="auto"/>
            <w:vAlign w:val="bottom"/>
          </w:tcPr>
          <w:p w14:paraId="194B0DD2" w14:textId="77777777" w:rsidR="00655AA2" w:rsidRPr="00E11086" w:rsidRDefault="00655AA2" w:rsidP="00655AA2">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6F5DF579"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029F080A"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2A041C75"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7AC49084"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61E90AE4"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4453BF3E"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BDC955F" w14:textId="77777777" w:rsidR="00655AA2" w:rsidRPr="00E11086" w:rsidRDefault="00655AA2" w:rsidP="00655AA2">
            <w:pPr>
              <w:tabs>
                <w:tab w:val="decimal" w:pos="113"/>
              </w:tabs>
              <w:spacing w:line="160" w:lineRule="exact"/>
              <w:rPr>
                <w:sz w:val="14"/>
                <w:szCs w:val="14"/>
              </w:rPr>
            </w:pPr>
          </w:p>
        </w:tc>
        <w:tc>
          <w:tcPr>
            <w:tcW w:w="113" w:type="dxa"/>
            <w:vAlign w:val="bottom"/>
          </w:tcPr>
          <w:p w14:paraId="385B5446"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22BCD773" w14:textId="77777777" w:rsidR="00655AA2" w:rsidRPr="00E11086" w:rsidRDefault="00655AA2" w:rsidP="00655AA2">
            <w:pPr>
              <w:tabs>
                <w:tab w:val="decimal" w:pos="113"/>
              </w:tabs>
              <w:spacing w:line="160" w:lineRule="exact"/>
              <w:rPr>
                <w:sz w:val="14"/>
                <w:szCs w:val="14"/>
              </w:rPr>
            </w:pPr>
          </w:p>
        </w:tc>
        <w:tc>
          <w:tcPr>
            <w:tcW w:w="113" w:type="dxa"/>
            <w:vAlign w:val="bottom"/>
          </w:tcPr>
          <w:p w14:paraId="41A21E56"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03728EA1" w14:textId="77777777" w:rsidR="00655AA2" w:rsidRPr="00E11086" w:rsidDel="00260764" w:rsidRDefault="00655AA2" w:rsidP="00655AA2">
            <w:pPr>
              <w:widowControl/>
              <w:tabs>
                <w:tab w:val="decimal" w:pos="74"/>
              </w:tabs>
              <w:spacing w:line="160" w:lineRule="exact"/>
              <w:ind w:left="57"/>
              <w:rPr>
                <w:sz w:val="14"/>
                <w:szCs w:val="14"/>
              </w:rPr>
            </w:pPr>
          </w:p>
        </w:tc>
        <w:tc>
          <w:tcPr>
            <w:tcW w:w="113" w:type="dxa"/>
          </w:tcPr>
          <w:p w14:paraId="5CD6719B"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tcPr>
          <w:p w14:paraId="29D12D36" w14:textId="77777777" w:rsidR="00655AA2" w:rsidRPr="00E11086" w:rsidRDefault="00655AA2" w:rsidP="00655AA2">
            <w:pPr>
              <w:tabs>
                <w:tab w:val="decimal" w:pos="113"/>
              </w:tabs>
              <w:spacing w:line="160" w:lineRule="exact"/>
              <w:rPr>
                <w:sz w:val="14"/>
                <w:szCs w:val="14"/>
              </w:rPr>
            </w:pPr>
          </w:p>
        </w:tc>
      </w:tr>
      <w:tr w:rsidR="00655AA2" w:rsidRPr="00E11086" w14:paraId="70FBCB5B" w14:textId="77777777" w:rsidTr="003675AA">
        <w:tc>
          <w:tcPr>
            <w:tcW w:w="3177" w:type="dxa"/>
            <w:vAlign w:val="bottom"/>
          </w:tcPr>
          <w:p w14:paraId="64233A1B" w14:textId="77777777" w:rsidR="00655AA2" w:rsidRPr="00655AA2" w:rsidRDefault="00655AA2" w:rsidP="00655AA2">
            <w:pPr>
              <w:widowControl/>
              <w:spacing w:line="160" w:lineRule="exact"/>
              <w:ind w:left="198" w:hanging="170"/>
              <w:jc w:val="left"/>
              <w:rPr>
                <w:sz w:val="14"/>
                <w:szCs w:val="14"/>
                <w:rtl/>
              </w:rPr>
            </w:pPr>
          </w:p>
        </w:tc>
        <w:tc>
          <w:tcPr>
            <w:tcW w:w="113" w:type="dxa"/>
            <w:vAlign w:val="bottom"/>
          </w:tcPr>
          <w:p w14:paraId="367901FD" w14:textId="77777777" w:rsidR="00655AA2" w:rsidRPr="00E11086" w:rsidRDefault="00655AA2" w:rsidP="00655AA2">
            <w:pPr>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5B4E1B21" w14:textId="77777777" w:rsidR="00655AA2" w:rsidRPr="00E11086" w:rsidRDefault="00655AA2" w:rsidP="00655AA2">
            <w:pPr>
              <w:tabs>
                <w:tab w:val="decimal" w:pos="113"/>
              </w:tabs>
              <w:spacing w:line="160" w:lineRule="exact"/>
              <w:rPr>
                <w:sz w:val="14"/>
                <w:szCs w:val="14"/>
              </w:rPr>
            </w:pPr>
          </w:p>
        </w:tc>
        <w:tc>
          <w:tcPr>
            <w:tcW w:w="113" w:type="dxa"/>
            <w:vAlign w:val="bottom"/>
          </w:tcPr>
          <w:p w14:paraId="5E73A11F"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14F8FDD4" w14:textId="77777777" w:rsidR="00655AA2" w:rsidRPr="00E11086" w:rsidRDefault="00655AA2" w:rsidP="00655AA2">
            <w:pPr>
              <w:tabs>
                <w:tab w:val="decimal" w:pos="113"/>
              </w:tabs>
              <w:spacing w:line="160" w:lineRule="exact"/>
              <w:rPr>
                <w:sz w:val="14"/>
                <w:szCs w:val="14"/>
              </w:rPr>
            </w:pPr>
          </w:p>
        </w:tc>
        <w:tc>
          <w:tcPr>
            <w:tcW w:w="113" w:type="dxa"/>
            <w:vAlign w:val="bottom"/>
          </w:tcPr>
          <w:p w14:paraId="2F2E6025"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212B32C6" w14:textId="77777777" w:rsidR="00655AA2" w:rsidRPr="00E11086" w:rsidRDefault="00655AA2" w:rsidP="00655AA2">
            <w:pPr>
              <w:tabs>
                <w:tab w:val="decimal" w:pos="113"/>
              </w:tabs>
              <w:spacing w:line="160" w:lineRule="exact"/>
              <w:rPr>
                <w:sz w:val="14"/>
                <w:szCs w:val="14"/>
              </w:rPr>
            </w:pPr>
          </w:p>
        </w:tc>
        <w:tc>
          <w:tcPr>
            <w:tcW w:w="113" w:type="dxa"/>
          </w:tcPr>
          <w:p w14:paraId="1147ACC6"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tcPr>
          <w:p w14:paraId="05BBEF6A" w14:textId="77777777" w:rsidR="00655AA2" w:rsidRPr="00E11086" w:rsidRDefault="00655AA2" w:rsidP="00655AA2">
            <w:pPr>
              <w:tabs>
                <w:tab w:val="decimal" w:pos="113"/>
              </w:tabs>
              <w:spacing w:line="160" w:lineRule="exact"/>
              <w:rPr>
                <w:sz w:val="14"/>
                <w:szCs w:val="14"/>
              </w:rPr>
            </w:pPr>
          </w:p>
        </w:tc>
        <w:tc>
          <w:tcPr>
            <w:tcW w:w="113" w:type="dxa"/>
          </w:tcPr>
          <w:p w14:paraId="15DC73ED"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tcPr>
          <w:p w14:paraId="45580A56" w14:textId="77777777" w:rsidR="00655AA2" w:rsidRPr="00E11086" w:rsidRDefault="00655AA2" w:rsidP="00655AA2">
            <w:pPr>
              <w:tabs>
                <w:tab w:val="decimal" w:pos="113"/>
              </w:tabs>
              <w:spacing w:line="160" w:lineRule="exact"/>
              <w:rPr>
                <w:sz w:val="14"/>
                <w:szCs w:val="14"/>
              </w:rPr>
            </w:pPr>
          </w:p>
        </w:tc>
        <w:tc>
          <w:tcPr>
            <w:tcW w:w="113" w:type="dxa"/>
            <w:vAlign w:val="bottom"/>
          </w:tcPr>
          <w:p w14:paraId="5D916AC5"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2EB9E621" w14:textId="77777777" w:rsidR="00655AA2" w:rsidRPr="00E11086" w:rsidRDefault="00655AA2" w:rsidP="00655AA2">
            <w:pPr>
              <w:tabs>
                <w:tab w:val="decimal" w:pos="113"/>
              </w:tabs>
              <w:spacing w:line="160" w:lineRule="exact"/>
              <w:rPr>
                <w:sz w:val="14"/>
                <w:szCs w:val="14"/>
              </w:rPr>
            </w:pPr>
          </w:p>
        </w:tc>
        <w:tc>
          <w:tcPr>
            <w:tcW w:w="113" w:type="dxa"/>
            <w:vAlign w:val="bottom"/>
          </w:tcPr>
          <w:p w14:paraId="2CBE3C4F"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191C5EA5" w14:textId="77777777" w:rsidR="00655AA2" w:rsidRPr="00E11086" w:rsidRDefault="00655AA2" w:rsidP="00655AA2">
            <w:pPr>
              <w:tabs>
                <w:tab w:val="decimal" w:pos="113"/>
              </w:tabs>
              <w:spacing w:line="160" w:lineRule="exact"/>
              <w:rPr>
                <w:sz w:val="14"/>
                <w:szCs w:val="14"/>
              </w:rPr>
            </w:pPr>
          </w:p>
        </w:tc>
        <w:tc>
          <w:tcPr>
            <w:tcW w:w="113" w:type="dxa"/>
            <w:vAlign w:val="bottom"/>
          </w:tcPr>
          <w:p w14:paraId="70679F67"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525B2CDA" w14:textId="77777777" w:rsidR="00655AA2" w:rsidRPr="00E11086" w:rsidRDefault="00655AA2" w:rsidP="00655AA2">
            <w:pPr>
              <w:tabs>
                <w:tab w:val="decimal" w:pos="113"/>
              </w:tabs>
              <w:spacing w:line="160" w:lineRule="exact"/>
              <w:rPr>
                <w:sz w:val="14"/>
                <w:szCs w:val="14"/>
              </w:rPr>
            </w:pPr>
          </w:p>
        </w:tc>
        <w:tc>
          <w:tcPr>
            <w:tcW w:w="113" w:type="dxa"/>
            <w:vAlign w:val="bottom"/>
          </w:tcPr>
          <w:p w14:paraId="0ED4798B"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084794E1" w14:textId="77777777" w:rsidR="00655AA2" w:rsidRPr="00E11086" w:rsidRDefault="00655AA2" w:rsidP="00655AA2">
            <w:pPr>
              <w:tabs>
                <w:tab w:val="decimal" w:pos="113"/>
              </w:tabs>
              <w:spacing w:line="160" w:lineRule="exact"/>
              <w:rPr>
                <w:sz w:val="14"/>
                <w:szCs w:val="14"/>
              </w:rPr>
            </w:pPr>
          </w:p>
        </w:tc>
        <w:tc>
          <w:tcPr>
            <w:tcW w:w="79" w:type="dxa"/>
            <w:tcBorders>
              <w:left w:val="nil"/>
              <w:right w:val="nil"/>
            </w:tcBorders>
            <w:shd w:val="clear" w:color="auto" w:fill="auto"/>
            <w:vAlign w:val="bottom"/>
          </w:tcPr>
          <w:p w14:paraId="3D2724E0" w14:textId="77777777" w:rsidR="00655AA2" w:rsidRPr="00E11086" w:rsidRDefault="00655AA2" w:rsidP="00655AA2">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21BE7480"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22882526"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C05E3B1"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68FCE2AD"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4890FDD5"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7D66BF4C"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69C5CE87" w14:textId="77777777" w:rsidR="00655AA2" w:rsidRPr="00E11086" w:rsidRDefault="00655AA2" w:rsidP="00655AA2">
            <w:pPr>
              <w:tabs>
                <w:tab w:val="decimal" w:pos="113"/>
              </w:tabs>
              <w:spacing w:line="160" w:lineRule="exact"/>
              <w:rPr>
                <w:sz w:val="14"/>
                <w:szCs w:val="14"/>
              </w:rPr>
            </w:pPr>
          </w:p>
        </w:tc>
        <w:tc>
          <w:tcPr>
            <w:tcW w:w="113" w:type="dxa"/>
            <w:vAlign w:val="bottom"/>
          </w:tcPr>
          <w:p w14:paraId="6490FE10"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296F90AB" w14:textId="77777777" w:rsidR="00655AA2" w:rsidRPr="00E11086" w:rsidRDefault="00655AA2" w:rsidP="00655AA2">
            <w:pPr>
              <w:tabs>
                <w:tab w:val="decimal" w:pos="113"/>
              </w:tabs>
              <w:spacing w:line="160" w:lineRule="exact"/>
              <w:rPr>
                <w:sz w:val="14"/>
                <w:szCs w:val="14"/>
              </w:rPr>
            </w:pPr>
          </w:p>
        </w:tc>
        <w:tc>
          <w:tcPr>
            <w:tcW w:w="113" w:type="dxa"/>
            <w:vAlign w:val="bottom"/>
          </w:tcPr>
          <w:p w14:paraId="380DB654"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011895ED" w14:textId="77777777" w:rsidR="00655AA2" w:rsidRPr="00E11086" w:rsidDel="00260764" w:rsidRDefault="00655AA2" w:rsidP="00655AA2">
            <w:pPr>
              <w:widowControl/>
              <w:tabs>
                <w:tab w:val="decimal" w:pos="74"/>
              </w:tabs>
              <w:spacing w:line="160" w:lineRule="exact"/>
              <w:ind w:left="57"/>
              <w:rPr>
                <w:sz w:val="14"/>
                <w:szCs w:val="14"/>
              </w:rPr>
            </w:pPr>
          </w:p>
        </w:tc>
        <w:tc>
          <w:tcPr>
            <w:tcW w:w="113" w:type="dxa"/>
          </w:tcPr>
          <w:p w14:paraId="273C5DAC"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tcPr>
          <w:p w14:paraId="51E24848" w14:textId="77777777" w:rsidR="00655AA2" w:rsidRPr="00E11086" w:rsidRDefault="00655AA2" w:rsidP="00655AA2">
            <w:pPr>
              <w:tabs>
                <w:tab w:val="decimal" w:pos="113"/>
              </w:tabs>
              <w:spacing w:line="160" w:lineRule="exact"/>
              <w:rPr>
                <w:sz w:val="14"/>
                <w:szCs w:val="14"/>
              </w:rPr>
            </w:pPr>
          </w:p>
        </w:tc>
      </w:tr>
      <w:tr w:rsidR="00655AA2" w:rsidRPr="00E11086" w14:paraId="777ECDDF" w14:textId="77777777" w:rsidTr="003675AA">
        <w:tc>
          <w:tcPr>
            <w:tcW w:w="3177" w:type="dxa"/>
            <w:vAlign w:val="bottom"/>
          </w:tcPr>
          <w:p w14:paraId="5834A671" w14:textId="341B8B3C" w:rsidR="00655AA2" w:rsidRPr="00655AA2" w:rsidRDefault="00655AA2" w:rsidP="0054462D">
            <w:pPr>
              <w:widowControl/>
              <w:spacing w:line="160" w:lineRule="exact"/>
              <w:ind w:left="198" w:hanging="170"/>
              <w:jc w:val="left"/>
              <w:rPr>
                <w:sz w:val="14"/>
                <w:szCs w:val="14"/>
                <w:rtl/>
              </w:rPr>
            </w:pPr>
            <w:r w:rsidRPr="00655AA2">
              <w:rPr>
                <w:rFonts w:hint="cs"/>
                <w:sz w:val="14"/>
                <w:szCs w:val="14"/>
                <w:rtl/>
              </w:rPr>
              <w:t xml:space="preserve">יתרה ליום 1 בינואר </w:t>
            </w:r>
            <w:r w:rsidR="0054462D">
              <w:rPr>
                <w:rFonts w:hint="cs"/>
                <w:sz w:val="14"/>
                <w:szCs w:val="14"/>
                <w:rtl/>
              </w:rPr>
              <w:t>2019</w:t>
            </w:r>
            <w:r w:rsidRPr="00655AA2">
              <w:rPr>
                <w:rFonts w:hint="cs"/>
                <w:sz w:val="14"/>
                <w:szCs w:val="14"/>
                <w:rtl/>
              </w:rPr>
              <w:t xml:space="preserve"> (לאחר אימוץ לראשונה של </w:t>
            </w:r>
            <w:r w:rsidRPr="003675AA">
              <w:rPr>
                <w:rFonts w:hint="cs"/>
                <w:sz w:val="12"/>
                <w:szCs w:val="12"/>
              </w:rPr>
              <w:t xml:space="preserve">IFRS </w:t>
            </w:r>
            <w:r w:rsidR="0054462D">
              <w:rPr>
                <w:sz w:val="14"/>
                <w:szCs w:val="14"/>
              </w:rPr>
              <w:t>16</w:t>
            </w:r>
            <w:r w:rsidRPr="00655AA2">
              <w:rPr>
                <w:rFonts w:hint="cs"/>
                <w:sz w:val="14"/>
                <w:szCs w:val="14"/>
                <w:rtl/>
              </w:rPr>
              <w:t>)</w:t>
            </w:r>
          </w:p>
        </w:tc>
        <w:tc>
          <w:tcPr>
            <w:tcW w:w="113" w:type="dxa"/>
            <w:vAlign w:val="bottom"/>
          </w:tcPr>
          <w:p w14:paraId="76E221D4" w14:textId="77777777" w:rsidR="00655AA2" w:rsidRPr="00E11086" w:rsidRDefault="00655AA2" w:rsidP="00655AA2">
            <w:pPr>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5C38A79E" w14:textId="77777777" w:rsidR="00655AA2" w:rsidRPr="00E11086" w:rsidRDefault="00655AA2" w:rsidP="00655AA2">
            <w:pPr>
              <w:tabs>
                <w:tab w:val="decimal" w:pos="113"/>
              </w:tabs>
              <w:spacing w:line="160" w:lineRule="exact"/>
              <w:rPr>
                <w:sz w:val="14"/>
                <w:szCs w:val="14"/>
              </w:rPr>
            </w:pPr>
          </w:p>
        </w:tc>
        <w:tc>
          <w:tcPr>
            <w:tcW w:w="113" w:type="dxa"/>
            <w:vAlign w:val="bottom"/>
          </w:tcPr>
          <w:p w14:paraId="04833DEE"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39EB8BA8" w14:textId="77777777" w:rsidR="00655AA2" w:rsidRPr="00E11086" w:rsidRDefault="00655AA2" w:rsidP="00655AA2">
            <w:pPr>
              <w:tabs>
                <w:tab w:val="decimal" w:pos="113"/>
              </w:tabs>
              <w:spacing w:line="160" w:lineRule="exact"/>
              <w:rPr>
                <w:sz w:val="14"/>
                <w:szCs w:val="14"/>
              </w:rPr>
            </w:pPr>
          </w:p>
        </w:tc>
        <w:tc>
          <w:tcPr>
            <w:tcW w:w="113" w:type="dxa"/>
            <w:vAlign w:val="bottom"/>
          </w:tcPr>
          <w:p w14:paraId="1C598EB7"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32C4BE6D" w14:textId="77777777" w:rsidR="00655AA2" w:rsidRPr="00E11086" w:rsidRDefault="00655AA2" w:rsidP="00655AA2">
            <w:pPr>
              <w:tabs>
                <w:tab w:val="decimal" w:pos="113"/>
              </w:tabs>
              <w:spacing w:line="160" w:lineRule="exact"/>
              <w:rPr>
                <w:sz w:val="14"/>
                <w:szCs w:val="14"/>
              </w:rPr>
            </w:pPr>
          </w:p>
        </w:tc>
        <w:tc>
          <w:tcPr>
            <w:tcW w:w="113" w:type="dxa"/>
          </w:tcPr>
          <w:p w14:paraId="40CA1B10"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tcPr>
          <w:p w14:paraId="247D08E2" w14:textId="77777777" w:rsidR="00655AA2" w:rsidRPr="00E11086" w:rsidRDefault="00655AA2" w:rsidP="00655AA2">
            <w:pPr>
              <w:tabs>
                <w:tab w:val="decimal" w:pos="113"/>
              </w:tabs>
              <w:spacing w:line="160" w:lineRule="exact"/>
              <w:rPr>
                <w:sz w:val="14"/>
                <w:szCs w:val="14"/>
              </w:rPr>
            </w:pPr>
          </w:p>
        </w:tc>
        <w:tc>
          <w:tcPr>
            <w:tcW w:w="113" w:type="dxa"/>
          </w:tcPr>
          <w:p w14:paraId="6BCA984C"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tcPr>
          <w:p w14:paraId="56417F6A" w14:textId="77777777" w:rsidR="00655AA2" w:rsidRPr="00E11086" w:rsidRDefault="00655AA2" w:rsidP="00655AA2">
            <w:pPr>
              <w:tabs>
                <w:tab w:val="decimal" w:pos="113"/>
              </w:tabs>
              <w:spacing w:line="160" w:lineRule="exact"/>
              <w:rPr>
                <w:sz w:val="14"/>
                <w:szCs w:val="14"/>
              </w:rPr>
            </w:pPr>
          </w:p>
        </w:tc>
        <w:tc>
          <w:tcPr>
            <w:tcW w:w="113" w:type="dxa"/>
            <w:vAlign w:val="bottom"/>
          </w:tcPr>
          <w:p w14:paraId="29C1DD40"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0D51AEA1" w14:textId="77777777" w:rsidR="00655AA2" w:rsidRPr="00E11086" w:rsidRDefault="00655AA2" w:rsidP="00655AA2">
            <w:pPr>
              <w:tabs>
                <w:tab w:val="decimal" w:pos="113"/>
              </w:tabs>
              <w:spacing w:line="160" w:lineRule="exact"/>
              <w:rPr>
                <w:sz w:val="14"/>
                <w:szCs w:val="14"/>
              </w:rPr>
            </w:pPr>
          </w:p>
        </w:tc>
        <w:tc>
          <w:tcPr>
            <w:tcW w:w="113" w:type="dxa"/>
            <w:vAlign w:val="bottom"/>
          </w:tcPr>
          <w:p w14:paraId="11A509D1"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03765AAA" w14:textId="77777777" w:rsidR="00655AA2" w:rsidRPr="00E11086" w:rsidRDefault="00655AA2" w:rsidP="00655AA2">
            <w:pPr>
              <w:tabs>
                <w:tab w:val="decimal" w:pos="113"/>
              </w:tabs>
              <w:spacing w:line="160" w:lineRule="exact"/>
              <w:rPr>
                <w:sz w:val="14"/>
                <w:szCs w:val="14"/>
              </w:rPr>
            </w:pPr>
          </w:p>
        </w:tc>
        <w:tc>
          <w:tcPr>
            <w:tcW w:w="113" w:type="dxa"/>
            <w:vAlign w:val="bottom"/>
          </w:tcPr>
          <w:p w14:paraId="6E80E706"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622BC504" w14:textId="77777777" w:rsidR="00655AA2" w:rsidRPr="00E11086" w:rsidRDefault="00655AA2" w:rsidP="00655AA2">
            <w:pPr>
              <w:tabs>
                <w:tab w:val="decimal" w:pos="113"/>
              </w:tabs>
              <w:spacing w:line="160" w:lineRule="exact"/>
              <w:rPr>
                <w:sz w:val="14"/>
                <w:szCs w:val="14"/>
              </w:rPr>
            </w:pPr>
          </w:p>
        </w:tc>
        <w:tc>
          <w:tcPr>
            <w:tcW w:w="113" w:type="dxa"/>
            <w:vAlign w:val="bottom"/>
          </w:tcPr>
          <w:p w14:paraId="443223C3"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292CC9A" w14:textId="77777777" w:rsidR="00655AA2" w:rsidRPr="00E11086" w:rsidRDefault="00655AA2" w:rsidP="00655AA2">
            <w:pPr>
              <w:tabs>
                <w:tab w:val="decimal" w:pos="113"/>
              </w:tabs>
              <w:spacing w:line="160" w:lineRule="exact"/>
              <w:rPr>
                <w:sz w:val="14"/>
                <w:szCs w:val="14"/>
              </w:rPr>
            </w:pPr>
          </w:p>
        </w:tc>
        <w:tc>
          <w:tcPr>
            <w:tcW w:w="79" w:type="dxa"/>
            <w:tcBorders>
              <w:left w:val="nil"/>
              <w:right w:val="nil"/>
            </w:tcBorders>
            <w:shd w:val="clear" w:color="auto" w:fill="auto"/>
            <w:vAlign w:val="bottom"/>
          </w:tcPr>
          <w:p w14:paraId="64C004D6" w14:textId="77777777" w:rsidR="00655AA2" w:rsidRPr="00E11086" w:rsidRDefault="00655AA2" w:rsidP="00655AA2">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35867E3A"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03A553E9"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7890C724"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6534A471"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2F956056"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109DA28E"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0A71D6DD" w14:textId="77777777" w:rsidR="00655AA2" w:rsidRPr="00E11086" w:rsidRDefault="00655AA2" w:rsidP="00655AA2">
            <w:pPr>
              <w:tabs>
                <w:tab w:val="decimal" w:pos="113"/>
              </w:tabs>
              <w:spacing w:line="160" w:lineRule="exact"/>
              <w:rPr>
                <w:sz w:val="14"/>
                <w:szCs w:val="14"/>
              </w:rPr>
            </w:pPr>
          </w:p>
        </w:tc>
        <w:tc>
          <w:tcPr>
            <w:tcW w:w="113" w:type="dxa"/>
            <w:vAlign w:val="bottom"/>
          </w:tcPr>
          <w:p w14:paraId="4C4C9561"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310B93D0" w14:textId="77777777" w:rsidR="00655AA2" w:rsidRPr="00E11086" w:rsidRDefault="00655AA2" w:rsidP="00655AA2">
            <w:pPr>
              <w:tabs>
                <w:tab w:val="decimal" w:pos="113"/>
              </w:tabs>
              <w:spacing w:line="160" w:lineRule="exact"/>
              <w:rPr>
                <w:sz w:val="14"/>
                <w:szCs w:val="14"/>
              </w:rPr>
            </w:pPr>
          </w:p>
        </w:tc>
        <w:tc>
          <w:tcPr>
            <w:tcW w:w="113" w:type="dxa"/>
            <w:vAlign w:val="bottom"/>
          </w:tcPr>
          <w:p w14:paraId="243269C8"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3D10E19E" w14:textId="77777777" w:rsidR="00655AA2" w:rsidRPr="00E11086" w:rsidDel="00260764" w:rsidRDefault="00655AA2" w:rsidP="00655AA2">
            <w:pPr>
              <w:widowControl/>
              <w:tabs>
                <w:tab w:val="decimal" w:pos="74"/>
              </w:tabs>
              <w:spacing w:line="160" w:lineRule="exact"/>
              <w:ind w:left="57"/>
              <w:rPr>
                <w:sz w:val="14"/>
                <w:szCs w:val="14"/>
              </w:rPr>
            </w:pPr>
          </w:p>
        </w:tc>
        <w:tc>
          <w:tcPr>
            <w:tcW w:w="113" w:type="dxa"/>
          </w:tcPr>
          <w:p w14:paraId="4BAC3A92"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tcPr>
          <w:p w14:paraId="294FDA84" w14:textId="77777777" w:rsidR="00655AA2" w:rsidRPr="00E11086" w:rsidRDefault="00655AA2" w:rsidP="00655AA2">
            <w:pPr>
              <w:tabs>
                <w:tab w:val="decimal" w:pos="113"/>
              </w:tabs>
              <w:spacing w:line="160" w:lineRule="exact"/>
              <w:rPr>
                <w:sz w:val="14"/>
                <w:szCs w:val="14"/>
              </w:rPr>
            </w:pPr>
          </w:p>
        </w:tc>
      </w:tr>
      <w:tr w:rsidR="00E63B7E" w:rsidRPr="00E11086" w14:paraId="30C304F0" w14:textId="77777777" w:rsidTr="003675AA">
        <w:tc>
          <w:tcPr>
            <w:tcW w:w="3177" w:type="dxa"/>
            <w:vAlign w:val="bottom"/>
          </w:tcPr>
          <w:p w14:paraId="28725049" w14:textId="77777777" w:rsidR="000F2299" w:rsidRPr="00E11086" w:rsidRDefault="000C4C0E" w:rsidP="00E91DD1">
            <w:pPr>
              <w:widowControl/>
              <w:spacing w:line="160" w:lineRule="exact"/>
              <w:ind w:left="198" w:hanging="170"/>
              <w:jc w:val="left"/>
              <w:rPr>
                <w:sz w:val="14"/>
                <w:szCs w:val="14"/>
                <w:rtl/>
              </w:rPr>
            </w:pPr>
            <w:r w:rsidRPr="00E11086">
              <w:rPr>
                <w:rFonts w:hint="eastAsia"/>
                <w:sz w:val="14"/>
                <w:szCs w:val="14"/>
                <w:rtl/>
              </w:rPr>
              <w:t>רווח</w:t>
            </w:r>
            <w:r w:rsidRPr="00E11086">
              <w:rPr>
                <w:sz w:val="14"/>
                <w:szCs w:val="14"/>
                <w:rtl/>
              </w:rPr>
              <w:t xml:space="preserve"> </w:t>
            </w:r>
            <w:r w:rsidRPr="00E11086">
              <w:rPr>
                <w:rFonts w:hint="eastAsia"/>
                <w:sz w:val="14"/>
                <w:szCs w:val="14"/>
                <w:rtl/>
              </w:rPr>
              <w:t>נקי</w:t>
            </w:r>
            <w:r w:rsidRPr="00E11086">
              <w:rPr>
                <w:sz w:val="14"/>
                <w:szCs w:val="14"/>
                <w:rtl/>
              </w:rPr>
              <w:t xml:space="preserve"> (הפסד)</w:t>
            </w:r>
          </w:p>
        </w:tc>
        <w:tc>
          <w:tcPr>
            <w:tcW w:w="113" w:type="dxa"/>
            <w:vAlign w:val="bottom"/>
          </w:tcPr>
          <w:p w14:paraId="447EC1A2" w14:textId="77777777" w:rsidR="000F2299" w:rsidRPr="00E11086" w:rsidRDefault="000F2299" w:rsidP="00E470B3">
            <w:pPr>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4DD737C5" w14:textId="77777777" w:rsidR="000F2299" w:rsidRPr="00E11086" w:rsidRDefault="000F2299" w:rsidP="00E470B3">
            <w:pPr>
              <w:tabs>
                <w:tab w:val="decimal" w:pos="113"/>
              </w:tabs>
              <w:spacing w:line="160" w:lineRule="exact"/>
              <w:rPr>
                <w:sz w:val="14"/>
                <w:szCs w:val="14"/>
              </w:rPr>
            </w:pPr>
          </w:p>
        </w:tc>
        <w:tc>
          <w:tcPr>
            <w:tcW w:w="113" w:type="dxa"/>
            <w:vAlign w:val="bottom"/>
          </w:tcPr>
          <w:p w14:paraId="54836B30" w14:textId="77777777" w:rsidR="000F2299" w:rsidRPr="00E11086" w:rsidRDefault="000F229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50B3FC7C" w14:textId="77777777" w:rsidR="000F2299" w:rsidRPr="00E11086" w:rsidRDefault="000F2299" w:rsidP="00E470B3">
            <w:pPr>
              <w:tabs>
                <w:tab w:val="decimal" w:pos="113"/>
              </w:tabs>
              <w:spacing w:line="160" w:lineRule="exact"/>
              <w:rPr>
                <w:sz w:val="14"/>
                <w:szCs w:val="14"/>
              </w:rPr>
            </w:pPr>
          </w:p>
        </w:tc>
        <w:tc>
          <w:tcPr>
            <w:tcW w:w="113" w:type="dxa"/>
            <w:vAlign w:val="bottom"/>
          </w:tcPr>
          <w:p w14:paraId="23E9F80A" w14:textId="77777777" w:rsidR="000F2299" w:rsidRPr="00E11086" w:rsidRDefault="000F229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61DD6D0D" w14:textId="77777777" w:rsidR="000F2299" w:rsidRPr="00E11086" w:rsidRDefault="000F2299" w:rsidP="00E470B3">
            <w:pPr>
              <w:tabs>
                <w:tab w:val="decimal" w:pos="113"/>
              </w:tabs>
              <w:spacing w:line="160" w:lineRule="exact"/>
              <w:rPr>
                <w:sz w:val="14"/>
                <w:szCs w:val="14"/>
              </w:rPr>
            </w:pPr>
          </w:p>
        </w:tc>
        <w:tc>
          <w:tcPr>
            <w:tcW w:w="113" w:type="dxa"/>
          </w:tcPr>
          <w:p w14:paraId="06AD6843" w14:textId="77777777" w:rsidR="000F2299" w:rsidRPr="00E11086" w:rsidRDefault="000F229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tcPr>
          <w:p w14:paraId="45859254" w14:textId="77777777" w:rsidR="000F2299" w:rsidRPr="00E11086" w:rsidRDefault="000F2299" w:rsidP="00E470B3">
            <w:pPr>
              <w:tabs>
                <w:tab w:val="decimal" w:pos="113"/>
              </w:tabs>
              <w:spacing w:line="160" w:lineRule="exact"/>
              <w:rPr>
                <w:sz w:val="14"/>
                <w:szCs w:val="14"/>
              </w:rPr>
            </w:pPr>
          </w:p>
        </w:tc>
        <w:tc>
          <w:tcPr>
            <w:tcW w:w="113" w:type="dxa"/>
          </w:tcPr>
          <w:p w14:paraId="304B7F00" w14:textId="77777777" w:rsidR="000F2299" w:rsidRPr="00E11086" w:rsidRDefault="000F229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tcPr>
          <w:p w14:paraId="5B53FEB6" w14:textId="77777777" w:rsidR="000F2299" w:rsidRPr="00E11086" w:rsidRDefault="000F2299" w:rsidP="00E470B3">
            <w:pPr>
              <w:tabs>
                <w:tab w:val="decimal" w:pos="113"/>
              </w:tabs>
              <w:spacing w:line="160" w:lineRule="exact"/>
              <w:rPr>
                <w:sz w:val="14"/>
                <w:szCs w:val="14"/>
              </w:rPr>
            </w:pPr>
          </w:p>
        </w:tc>
        <w:tc>
          <w:tcPr>
            <w:tcW w:w="113" w:type="dxa"/>
            <w:vAlign w:val="bottom"/>
          </w:tcPr>
          <w:p w14:paraId="405F728B" w14:textId="77777777" w:rsidR="000F2299" w:rsidRPr="00E11086" w:rsidRDefault="000F229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28BA23F3" w14:textId="77777777" w:rsidR="000F2299" w:rsidRPr="00E11086" w:rsidRDefault="000F2299" w:rsidP="00E470B3">
            <w:pPr>
              <w:tabs>
                <w:tab w:val="decimal" w:pos="113"/>
              </w:tabs>
              <w:spacing w:line="160" w:lineRule="exact"/>
              <w:rPr>
                <w:sz w:val="14"/>
                <w:szCs w:val="14"/>
              </w:rPr>
            </w:pPr>
          </w:p>
        </w:tc>
        <w:tc>
          <w:tcPr>
            <w:tcW w:w="113" w:type="dxa"/>
            <w:vAlign w:val="bottom"/>
          </w:tcPr>
          <w:p w14:paraId="0801F8DF" w14:textId="77777777" w:rsidR="000F2299" w:rsidRPr="00E11086" w:rsidRDefault="000F229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4EB54373" w14:textId="77777777" w:rsidR="000F2299" w:rsidRPr="00E11086" w:rsidRDefault="000F2299" w:rsidP="00E470B3">
            <w:pPr>
              <w:tabs>
                <w:tab w:val="decimal" w:pos="113"/>
              </w:tabs>
              <w:spacing w:line="160" w:lineRule="exact"/>
              <w:rPr>
                <w:sz w:val="14"/>
                <w:szCs w:val="14"/>
              </w:rPr>
            </w:pPr>
          </w:p>
        </w:tc>
        <w:tc>
          <w:tcPr>
            <w:tcW w:w="113" w:type="dxa"/>
            <w:vAlign w:val="bottom"/>
          </w:tcPr>
          <w:p w14:paraId="1AE974B6" w14:textId="77777777" w:rsidR="000F2299" w:rsidRPr="00E11086" w:rsidRDefault="000F229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092F2D1B" w14:textId="77777777" w:rsidR="000F2299" w:rsidRPr="00E11086" w:rsidRDefault="000F2299" w:rsidP="00E470B3">
            <w:pPr>
              <w:tabs>
                <w:tab w:val="decimal" w:pos="113"/>
              </w:tabs>
              <w:spacing w:line="160" w:lineRule="exact"/>
              <w:rPr>
                <w:sz w:val="14"/>
                <w:szCs w:val="14"/>
              </w:rPr>
            </w:pPr>
          </w:p>
        </w:tc>
        <w:tc>
          <w:tcPr>
            <w:tcW w:w="113" w:type="dxa"/>
            <w:vAlign w:val="bottom"/>
          </w:tcPr>
          <w:p w14:paraId="71E2271E" w14:textId="77777777" w:rsidR="000F2299" w:rsidRPr="00E11086" w:rsidRDefault="000F229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0C03A097" w14:textId="77777777" w:rsidR="000F2299" w:rsidRPr="00E11086" w:rsidRDefault="000F229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0234698C" w14:textId="77777777" w:rsidR="000F2299" w:rsidRPr="00E11086" w:rsidRDefault="000F2299" w:rsidP="00E470B3">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2FC1C52D" w14:textId="77777777" w:rsidR="000F2299" w:rsidRPr="00E11086" w:rsidRDefault="000F229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7B6145C" w14:textId="77777777" w:rsidR="000F2299" w:rsidRPr="00E11086" w:rsidRDefault="000F229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F37E310" w14:textId="77777777" w:rsidR="000F2299" w:rsidRPr="00E11086" w:rsidRDefault="000F229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E0ECE40" w14:textId="77777777" w:rsidR="000F2299" w:rsidRPr="00E11086" w:rsidRDefault="000F229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190B6D9B" w14:textId="77777777" w:rsidR="000F2299" w:rsidRPr="00E11086" w:rsidRDefault="000F229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6788CA0" w14:textId="77777777" w:rsidR="000F2299" w:rsidRPr="00E11086" w:rsidRDefault="000F229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39B7D49B" w14:textId="77777777" w:rsidR="000F2299" w:rsidRPr="00E11086" w:rsidRDefault="000F2299" w:rsidP="00E470B3">
            <w:pPr>
              <w:tabs>
                <w:tab w:val="decimal" w:pos="113"/>
              </w:tabs>
              <w:spacing w:line="160" w:lineRule="exact"/>
              <w:rPr>
                <w:sz w:val="14"/>
                <w:szCs w:val="14"/>
              </w:rPr>
            </w:pPr>
          </w:p>
        </w:tc>
        <w:tc>
          <w:tcPr>
            <w:tcW w:w="113" w:type="dxa"/>
            <w:vAlign w:val="bottom"/>
          </w:tcPr>
          <w:p w14:paraId="5C640929" w14:textId="77777777" w:rsidR="000F2299" w:rsidRPr="00E11086" w:rsidRDefault="000F229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04C05558" w14:textId="77777777" w:rsidR="000F2299" w:rsidRPr="00E11086" w:rsidRDefault="000F2299" w:rsidP="00E470B3">
            <w:pPr>
              <w:tabs>
                <w:tab w:val="decimal" w:pos="113"/>
              </w:tabs>
              <w:spacing w:line="160" w:lineRule="exact"/>
              <w:rPr>
                <w:sz w:val="14"/>
                <w:szCs w:val="14"/>
              </w:rPr>
            </w:pPr>
          </w:p>
        </w:tc>
        <w:tc>
          <w:tcPr>
            <w:tcW w:w="113" w:type="dxa"/>
            <w:vAlign w:val="bottom"/>
          </w:tcPr>
          <w:p w14:paraId="6196D693" w14:textId="77777777" w:rsidR="000F2299" w:rsidRPr="00E11086" w:rsidRDefault="000F229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72B2BBC9" w14:textId="77777777" w:rsidR="000F2299" w:rsidRPr="00E11086" w:rsidDel="00260764" w:rsidRDefault="000F2299" w:rsidP="00E470B3">
            <w:pPr>
              <w:widowControl/>
              <w:tabs>
                <w:tab w:val="decimal" w:pos="74"/>
              </w:tabs>
              <w:spacing w:line="160" w:lineRule="exact"/>
              <w:ind w:left="57"/>
              <w:rPr>
                <w:sz w:val="14"/>
                <w:szCs w:val="14"/>
              </w:rPr>
            </w:pPr>
          </w:p>
        </w:tc>
        <w:tc>
          <w:tcPr>
            <w:tcW w:w="113" w:type="dxa"/>
          </w:tcPr>
          <w:p w14:paraId="4DDB0DEC" w14:textId="77777777" w:rsidR="000F2299" w:rsidRPr="00E11086" w:rsidRDefault="000F229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tcPr>
          <w:p w14:paraId="67B1F2F8" w14:textId="77777777" w:rsidR="000F2299" w:rsidRPr="00E11086" w:rsidRDefault="000F2299" w:rsidP="00E470B3">
            <w:pPr>
              <w:tabs>
                <w:tab w:val="decimal" w:pos="113"/>
              </w:tabs>
              <w:spacing w:line="160" w:lineRule="exact"/>
              <w:rPr>
                <w:sz w:val="14"/>
                <w:szCs w:val="14"/>
              </w:rPr>
            </w:pPr>
          </w:p>
        </w:tc>
      </w:tr>
      <w:tr w:rsidR="00E63B7E" w:rsidRPr="00E11086" w14:paraId="16A4A04C" w14:textId="77777777" w:rsidTr="003675AA">
        <w:tc>
          <w:tcPr>
            <w:tcW w:w="3177" w:type="dxa"/>
            <w:vAlign w:val="bottom"/>
          </w:tcPr>
          <w:p w14:paraId="44A133CB" w14:textId="77777777" w:rsidR="00595A79" w:rsidRPr="00E11086" w:rsidRDefault="003C4011" w:rsidP="00E91DD1">
            <w:pPr>
              <w:widowControl/>
              <w:spacing w:line="160" w:lineRule="exact"/>
              <w:ind w:left="198" w:hanging="170"/>
              <w:jc w:val="left"/>
              <w:rPr>
                <w:sz w:val="14"/>
                <w:szCs w:val="14"/>
                <w:rtl/>
              </w:rPr>
            </w:pPr>
            <w:r w:rsidRPr="00E11086">
              <w:rPr>
                <w:rFonts w:hint="cs"/>
                <w:sz w:val="14"/>
                <w:szCs w:val="14"/>
                <w:rtl/>
              </w:rPr>
              <w:t>רווח (הפסד) כולל אחר (לאחר השפעת המס):</w:t>
            </w:r>
          </w:p>
        </w:tc>
        <w:tc>
          <w:tcPr>
            <w:tcW w:w="113" w:type="dxa"/>
            <w:shd w:val="clear" w:color="auto" w:fill="auto"/>
            <w:vAlign w:val="bottom"/>
          </w:tcPr>
          <w:p w14:paraId="774CCCF5" w14:textId="77777777" w:rsidR="00595A79" w:rsidRPr="00E11086" w:rsidRDefault="00595A79" w:rsidP="00E470B3">
            <w:pPr>
              <w:spacing w:line="160" w:lineRule="exact"/>
              <w:rPr>
                <w:sz w:val="14"/>
                <w:szCs w:val="14"/>
              </w:rPr>
            </w:pPr>
          </w:p>
        </w:tc>
        <w:tc>
          <w:tcPr>
            <w:tcW w:w="624" w:type="dxa"/>
            <w:tcBorders>
              <w:top w:val="single" w:sz="6" w:space="0" w:color="auto"/>
              <w:left w:val="nil"/>
              <w:right w:val="nil"/>
            </w:tcBorders>
            <w:shd w:val="clear" w:color="auto" w:fill="auto"/>
            <w:vAlign w:val="bottom"/>
          </w:tcPr>
          <w:p w14:paraId="585FC784" w14:textId="77777777" w:rsidR="00595A79" w:rsidRPr="00E11086" w:rsidRDefault="00595A79" w:rsidP="00E470B3">
            <w:pPr>
              <w:tabs>
                <w:tab w:val="decimal" w:pos="113"/>
              </w:tabs>
              <w:spacing w:line="160" w:lineRule="exact"/>
              <w:rPr>
                <w:sz w:val="14"/>
                <w:szCs w:val="14"/>
              </w:rPr>
            </w:pPr>
          </w:p>
        </w:tc>
        <w:tc>
          <w:tcPr>
            <w:tcW w:w="113" w:type="dxa"/>
            <w:shd w:val="clear" w:color="auto" w:fill="auto"/>
            <w:vAlign w:val="bottom"/>
          </w:tcPr>
          <w:p w14:paraId="6D75FE2C"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vAlign w:val="bottom"/>
          </w:tcPr>
          <w:p w14:paraId="62A4DB6A" w14:textId="77777777" w:rsidR="00595A79" w:rsidRPr="00E11086" w:rsidRDefault="00595A79" w:rsidP="00E470B3">
            <w:pPr>
              <w:tabs>
                <w:tab w:val="decimal" w:pos="113"/>
              </w:tabs>
              <w:spacing w:line="160" w:lineRule="exact"/>
              <w:rPr>
                <w:sz w:val="14"/>
                <w:szCs w:val="14"/>
              </w:rPr>
            </w:pPr>
          </w:p>
        </w:tc>
        <w:tc>
          <w:tcPr>
            <w:tcW w:w="113" w:type="dxa"/>
            <w:shd w:val="clear" w:color="auto" w:fill="auto"/>
            <w:vAlign w:val="bottom"/>
          </w:tcPr>
          <w:p w14:paraId="69824E0B"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vAlign w:val="bottom"/>
          </w:tcPr>
          <w:p w14:paraId="46F8E259" w14:textId="77777777" w:rsidR="00595A79" w:rsidRPr="00E11086" w:rsidRDefault="00595A79" w:rsidP="00E470B3">
            <w:pPr>
              <w:tabs>
                <w:tab w:val="decimal" w:pos="113"/>
              </w:tabs>
              <w:spacing w:line="160" w:lineRule="exact"/>
              <w:rPr>
                <w:sz w:val="14"/>
                <w:szCs w:val="14"/>
              </w:rPr>
            </w:pPr>
          </w:p>
        </w:tc>
        <w:tc>
          <w:tcPr>
            <w:tcW w:w="113" w:type="dxa"/>
            <w:shd w:val="clear" w:color="auto" w:fill="auto"/>
          </w:tcPr>
          <w:p w14:paraId="55104ED1"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tcPr>
          <w:p w14:paraId="6DAC83A3" w14:textId="77777777" w:rsidR="00595A79" w:rsidRPr="00E11086" w:rsidRDefault="00595A79" w:rsidP="00E470B3">
            <w:pPr>
              <w:tabs>
                <w:tab w:val="decimal" w:pos="113"/>
              </w:tabs>
              <w:spacing w:line="160" w:lineRule="exact"/>
              <w:rPr>
                <w:sz w:val="14"/>
                <w:szCs w:val="14"/>
              </w:rPr>
            </w:pPr>
          </w:p>
        </w:tc>
        <w:tc>
          <w:tcPr>
            <w:tcW w:w="113" w:type="dxa"/>
            <w:shd w:val="clear" w:color="auto" w:fill="auto"/>
          </w:tcPr>
          <w:p w14:paraId="0E42EAA5"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tcPr>
          <w:p w14:paraId="38307B1B" w14:textId="77777777" w:rsidR="00595A79" w:rsidRPr="00E11086" w:rsidRDefault="00595A79" w:rsidP="00E470B3">
            <w:pPr>
              <w:tabs>
                <w:tab w:val="decimal" w:pos="113"/>
              </w:tabs>
              <w:spacing w:line="160" w:lineRule="exact"/>
              <w:rPr>
                <w:sz w:val="14"/>
                <w:szCs w:val="14"/>
              </w:rPr>
            </w:pPr>
          </w:p>
        </w:tc>
        <w:tc>
          <w:tcPr>
            <w:tcW w:w="113" w:type="dxa"/>
            <w:shd w:val="clear" w:color="auto" w:fill="auto"/>
            <w:vAlign w:val="bottom"/>
          </w:tcPr>
          <w:p w14:paraId="36EF995E"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vAlign w:val="bottom"/>
          </w:tcPr>
          <w:p w14:paraId="20DB8DD5" w14:textId="77777777" w:rsidR="00595A79" w:rsidRPr="00E11086" w:rsidRDefault="00595A79" w:rsidP="00E470B3">
            <w:pPr>
              <w:tabs>
                <w:tab w:val="decimal" w:pos="113"/>
              </w:tabs>
              <w:spacing w:line="160" w:lineRule="exact"/>
              <w:rPr>
                <w:sz w:val="14"/>
                <w:szCs w:val="14"/>
              </w:rPr>
            </w:pPr>
          </w:p>
        </w:tc>
        <w:tc>
          <w:tcPr>
            <w:tcW w:w="113" w:type="dxa"/>
            <w:vAlign w:val="bottom"/>
          </w:tcPr>
          <w:p w14:paraId="21DCE053" w14:textId="77777777" w:rsidR="00595A79" w:rsidRPr="00E11086" w:rsidRDefault="00595A79" w:rsidP="00E470B3">
            <w:pPr>
              <w:tabs>
                <w:tab w:val="decimal" w:pos="113"/>
              </w:tabs>
              <w:spacing w:line="160" w:lineRule="exact"/>
              <w:rPr>
                <w:sz w:val="14"/>
                <w:szCs w:val="14"/>
              </w:rPr>
            </w:pPr>
          </w:p>
        </w:tc>
        <w:tc>
          <w:tcPr>
            <w:tcW w:w="737" w:type="dxa"/>
            <w:tcBorders>
              <w:top w:val="single" w:sz="6" w:space="0" w:color="auto"/>
              <w:left w:val="nil"/>
              <w:right w:val="nil"/>
            </w:tcBorders>
            <w:shd w:val="clear" w:color="auto" w:fill="auto"/>
            <w:vAlign w:val="bottom"/>
          </w:tcPr>
          <w:p w14:paraId="31968F9E" w14:textId="77777777" w:rsidR="00595A79" w:rsidRPr="00E11086" w:rsidRDefault="00595A79" w:rsidP="00E470B3">
            <w:pPr>
              <w:tabs>
                <w:tab w:val="decimal" w:pos="113"/>
              </w:tabs>
              <w:spacing w:line="160" w:lineRule="exact"/>
              <w:rPr>
                <w:sz w:val="14"/>
                <w:szCs w:val="14"/>
              </w:rPr>
            </w:pPr>
          </w:p>
        </w:tc>
        <w:tc>
          <w:tcPr>
            <w:tcW w:w="113" w:type="dxa"/>
            <w:vAlign w:val="bottom"/>
          </w:tcPr>
          <w:p w14:paraId="78107477" w14:textId="77777777" w:rsidR="00595A79" w:rsidRPr="00E11086" w:rsidRDefault="00595A79" w:rsidP="00E470B3">
            <w:pPr>
              <w:tabs>
                <w:tab w:val="decimal" w:pos="113"/>
              </w:tabs>
              <w:spacing w:line="160" w:lineRule="exact"/>
              <w:rPr>
                <w:sz w:val="14"/>
                <w:szCs w:val="14"/>
              </w:rPr>
            </w:pPr>
          </w:p>
        </w:tc>
        <w:tc>
          <w:tcPr>
            <w:tcW w:w="737" w:type="dxa"/>
            <w:tcBorders>
              <w:top w:val="single" w:sz="6" w:space="0" w:color="auto"/>
              <w:left w:val="nil"/>
              <w:right w:val="nil"/>
            </w:tcBorders>
            <w:shd w:val="clear" w:color="auto" w:fill="auto"/>
            <w:vAlign w:val="bottom"/>
          </w:tcPr>
          <w:p w14:paraId="2A50F1CB" w14:textId="77777777" w:rsidR="00595A79" w:rsidRPr="00E11086" w:rsidRDefault="00595A79" w:rsidP="00E470B3">
            <w:pPr>
              <w:tabs>
                <w:tab w:val="decimal" w:pos="113"/>
              </w:tabs>
              <w:spacing w:line="160" w:lineRule="exact"/>
              <w:rPr>
                <w:sz w:val="14"/>
                <w:szCs w:val="14"/>
              </w:rPr>
            </w:pPr>
          </w:p>
        </w:tc>
        <w:tc>
          <w:tcPr>
            <w:tcW w:w="113" w:type="dxa"/>
            <w:vAlign w:val="bottom"/>
          </w:tcPr>
          <w:p w14:paraId="7E58B642"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2C55070D"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54FC47FA" w14:textId="77777777" w:rsidR="00595A79" w:rsidRPr="00E11086" w:rsidRDefault="00595A79" w:rsidP="00E470B3">
            <w:pPr>
              <w:tabs>
                <w:tab w:val="decimal" w:pos="113"/>
              </w:tabs>
              <w:spacing w:line="160" w:lineRule="exact"/>
              <w:rPr>
                <w:sz w:val="14"/>
                <w:szCs w:val="14"/>
              </w:rPr>
            </w:pPr>
          </w:p>
        </w:tc>
        <w:tc>
          <w:tcPr>
            <w:tcW w:w="734" w:type="dxa"/>
            <w:tcBorders>
              <w:top w:val="single" w:sz="6" w:space="0" w:color="auto"/>
              <w:left w:val="nil"/>
              <w:right w:val="nil"/>
            </w:tcBorders>
            <w:shd w:val="clear" w:color="auto" w:fill="auto"/>
            <w:vAlign w:val="bottom"/>
          </w:tcPr>
          <w:p w14:paraId="6D621BE2"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7D493AD"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6132474F"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0E69E61"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0A56D2A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FDCC562"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138D2396" w14:textId="77777777" w:rsidR="00595A79" w:rsidRPr="00E11086" w:rsidRDefault="00595A79" w:rsidP="00E470B3">
            <w:pPr>
              <w:tabs>
                <w:tab w:val="decimal" w:pos="113"/>
              </w:tabs>
              <w:spacing w:line="160" w:lineRule="exact"/>
              <w:rPr>
                <w:sz w:val="14"/>
                <w:szCs w:val="14"/>
              </w:rPr>
            </w:pPr>
          </w:p>
        </w:tc>
        <w:tc>
          <w:tcPr>
            <w:tcW w:w="113" w:type="dxa"/>
            <w:vAlign w:val="bottom"/>
          </w:tcPr>
          <w:p w14:paraId="289AE2F2"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59013342" w14:textId="77777777" w:rsidR="00595A79" w:rsidRPr="00E11086" w:rsidRDefault="00595A79" w:rsidP="00E470B3">
            <w:pPr>
              <w:tabs>
                <w:tab w:val="decimal" w:pos="113"/>
              </w:tabs>
              <w:spacing w:line="160" w:lineRule="exact"/>
              <w:rPr>
                <w:sz w:val="14"/>
                <w:szCs w:val="14"/>
              </w:rPr>
            </w:pPr>
          </w:p>
        </w:tc>
        <w:tc>
          <w:tcPr>
            <w:tcW w:w="113" w:type="dxa"/>
            <w:vAlign w:val="bottom"/>
          </w:tcPr>
          <w:p w14:paraId="1E18408C"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2370FEF9"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40F24E34" w14:textId="77777777" w:rsidR="00595A79" w:rsidRPr="00E11086" w:rsidRDefault="00595A79" w:rsidP="00E470B3">
            <w:pPr>
              <w:tabs>
                <w:tab w:val="decimal" w:pos="113"/>
              </w:tabs>
              <w:spacing w:line="160" w:lineRule="exact"/>
              <w:rPr>
                <w:sz w:val="14"/>
                <w:szCs w:val="14"/>
              </w:rPr>
            </w:pPr>
          </w:p>
        </w:tc>
        <w:tc>
          <w:tcPr>
            <w:tcW w:w="737" w:type="dxa"/>
            <w:tcBorders>
              <w:top w:val="single" w:sz="6" w:space="0" w:color="auto"/>
              <w:left w:val="nil"/>
              <w:right w:val="nil"/>
            </w:tcBorders>
            <w:shd w:val="clear" w:color="auto" w:fill="auto"/>
          </w:tcPr>
          <w:p w14:paraId="2AAF0020" w14:textId="77777777" w:rsidR="00595A79" w:rsidRPr="00E11086" w:rsidRDefault="00595A79" w:rsidP="00E470B3">
            <w:pPr>
              <w:tabs>
                <w:tab w:val="decimal" w:pos="113"/>
              </w:tabs>
              <w:spacing w:line="160" w:lineRule="exact"/>
              <w:rPr>
                <w:sz w:val="14"/>
                <w:szCs w:val="14"/>
              </w:rPr>
            </w:pPr>
          </w:p>
        </w:tc>
      </w:tr>
      <w:tr w:rsidR="00777B7A" w:rsidRPr="00E11086" w14:paraId="4B3653C8" w14:textId="77777777" w:rsidTr="003675AA">
        <w:tc>
          <w:tcPr>
            <w:tcW w:w="3177" w:type="dxa"/>
            <w:vAlign w:val="bottom"/>
          </w:tcPr>
          <w:p w14:paraId="44A640D3"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הערכה</w:t>
            </w:r>
            <w:r w:rsidRPr="00E11086">
              <w:rPr>
                <w:sz w:val="14"/>
                <w:szCs w:val="14"/>
                <w:rtl/>
              </w:rPr>
              <w:t xml:space="preserve"> </w:t>
            </w:r>
            <w:r w:rsidRPr="00E11086">
              <w:rPr>
                <w:rFonts w:hint="eastAsia"/>
                <w:sz w:val="14"/>
                <w:szCs w:val="14"/>
                <w:rtl/>
              </w:rPr>
              <w:t>מחדש</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שערוך</w:t>
            </w:r>
            <w:r w:rsidRPr="00E11086">
              <w:rPr>
                <w:sz w:val="14"/>
                <w:szCs w:val="14"/>
                <w:rtl/>
              </w:rPr>
              <w:t xml:space="preserve"> </w:t>
            </w:r>
            <w:r w:rsidRPr="00E11086">
              <w:rPr>
                <w:rFonts w:hint="eastAsia"/>
                <w:sz w:val="14"/>
                <w:szCs w:val="14"/>
                <w:rtl/>
              </w:rPr>
              <w:t>רכוש</w:t>
            </w:r>
            <w:r w:rsidRPr="00E11086">
              <w:rPr>
                <w:sz w:val="14"/>
                <w:szCs w:val="14"/>
                <w:rtl/>
              </w:rPr>
              <w:t xml:space="preserve"> </w:t>
            </w:r>
            <w:r w:rsidRPr="00E11086">
              <w:rPr>
                <w:rFonts w:hint="eastAsia"/>
                <w:sz w:val="14"/>
                <w:szCs w:val="14"/>
                <w:rtl/>
              </w:rPr>
              <w:t>קבוע</w:t>
            </w:r>
            <w:r w:rsidR="00E11086">
              <w:rPr>
                <w:rStyle w:val="ab"/>
                <w:sz w:val="14"/>
                <w:szCs w:val="14"/>
                <w:rtl/>
              </w:rPr>
              <w:footnoteReference w:id="129"/>
            </w:r>
          </w:p>
        </w:tc>
        <w:tc>
          <w:tcPr>
            <w:tcW w:w="113" w:type="dxa"/>
            <w:vAlign w:val="bottom"/>
          </w:tcPr>
          <w:p w14:paraId="3911C7DA" w14:textId="77777777" w:rsidR="00595A79" w:rsidRPr="00E11086" w:rsidRDefault="00595A79" w:rsidP="00E470B3">
            <w:pPr>
              <w:spacing w:line="160" w:lineRule="exact"/>
              <w:rPr>
                <w:sz w:val="14"/>
                <w:szCs w:val="14"/>
              </w:rPr>
            </w:pPr>
          </w:p>
        </w:tc>
        <w:tc>
          <w:tcPr>
            <w:tcW w:w="624" w:type="dxa"/>
            <w:tcBorders>
              <w:left w:val="nil"/>
              <w:right w:val="nil"/>
            </w:tcBorders>
            <w:shd w:val="clear" w:color="auto" w:fill="auto"/>
            <w:vAlign w:val="bottom"/>
          </w:tcPr>
          <w:p w14:paraId="7A2CD0EE" w14:textId="77777777" w:rsidR="00595A79" w:rsidRPr="00E11086" w:rsidRDefault="00595A79" w:rsidP="00E470B3">
            <w:pPr>
              <w:tabs>
                <w:tab w:val="decimal" w:pos="113"/>
              </w:tabs>
              <w:spacing w:line="160" w:lineRule="exact"/>
              <w:rPr>
                <w:sz w:val="14"/>
                <w:szCs w:val="14"/>
              </w:rPr>
            </w:pPr>
          </w:p>
        </w:tc>
        <w:tc>
          <w:tcPr>
            <w:tcW w:w="113" w:type="dxa"/>
            <w:vAlign w:val="bottom"/>
          </w:tcPr>
          <w:p w14:paraId="24583964" w14:textId="77777777" w:rsidR="00595A79" w:rsidRPr="00E11086" w:rsidRDefault="00595A79" w:rsidP="00E470B3">
            <w:pPr>
              <w:tabs>
                <w:tab w:val="decimal" w:pos="113"/>
              </w:tabs>
              <w:spacing w:line="160" w:lineRule="exact"/>
              <w:rPr>
                <w:sz w:val="14"/>
                <w:szCs w:val="14"/>
              </w:rPr>
            </w:pPr>
          </w:p>
        </w:tc>
        <w:tc>
          <w:tcPr>
            <w:tcW w:w="624" w:type="dxa"/>
            <w:tcBorders>
              <w:left w:val="nil"/>
              <w:right w:val="nil"/>
            </w:tcBorders>
            <w:shd w:val="clear" w:color="auto" w:fill="auto"/>
            <w:vAlign w:val="bottom"/>
          </w:tcPr>
          <w:p w14:paraId="679E7FC7" w14:textId="77777777" w:rsidR="00595A79" w:rsidRPr="00E11086" w:rsidRDefault="00595A79" w:rsidP="00E470B3">
            <w:pPr>
              <w:tabs>
                <w:tab w:val="decimal" w:pos="113"/>
              </w:tabs>
              <w:spacing w:line="160" w:lineRule="exact"/>
              <w:rPr>
                <w:sz w:val="14"/>
                <w:szCs w:val="14"/>
              </w:rPr>
            </w:pPr>
          </w:p>
        </w:tc>
        <w:tc>
          <w:tcPr>
            <w:tcW w:w="113" w:type="dxa"/>
            <w:vAlign w:val="bottom"/>
          </w:tcPr>
          <w:p w14:paraId="4698D5F3" w14:textId="77777777" w:rsidR="00595A79" w:rsidRPr="00E11086" w:rsidRDefault="00595A79" w:rsidP="00E470B3">
            <w:pPr>
              <w:tabs>
                <w:tab w:val="decimal" w:pos="113"/>
              </w:tabs>
              <w:spacing w:line="160" w:lineRule="exact"/>
              <w:rPr>
                <w:sz w:val="14"/>
                <w:szCs w:val="14"/>
              </w:rPr>
            </w:pPr>
          </w:p>
        </w:tc>
        <w:tc>
          <w:tcPr>
            <w:tcW w:w="624" w:type="dxa"/>
            <w:tcBorders>
              <w:left w:val="nil"/>
              <w:right w:val="nil"/>
            </w:tcBorders>
            <w:shd w:val="clear" w:color="auto" w:fill="auto"/>
            <w:vAlign w:val="bottom"/>
          </w:tcPr>
          <w:p w14:paraId="7054B141" w14:textId="77777777" w:rsidR="00595A79" w:rsidRPr="00E11086" w:rsidRDefault="00595A79" w:rsidP="00E470B3">
            <w:pPr>
              <w:tabs>
                <w:tab w:val="decimal" w:pos="113"/>
              </w:tabs>
              <w:spacing w:line="160" w:lineRule="exact"/>
              <w:rPr>
                <w:sz w:val="14"/>
                <w:szCs w:val="14"/>
              </w:rPr>
            </w:pPr>
          </w:p>
        </w:tc>
        <w:tc>
          <w:tcPr>
            <w:tcW w:w="113" w:type="dxa"/>
          </w:tcPr>
          <w:p w14:paraId="7C20EC9E"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tcPr>
          <w:p w14:paraId="162259B8" w14:textId="77777777" w:rsidR="00595A79" w:rsidRPr="00E11086" w:rsidRDefault="00595A79" w:rsidP="00E470B3">
            <w:pPr>
              <w:tabs>
                <w:tab w:val="decimal" w:pos="113"/>
              </w:tabs>
              <w:spacing w:line="160" w:lineRule="exact"/>
              <w:rPr>
                <w:sz w:val="14"/>
                <w:szCs w:val="14"/>
              </w:rPr>
            </w:pPr>
          </w:p>
        </w:tc>
        <w:tc>
          <w:tcPr>
            <w:tcW w:w="113" w:type="dxa"/>
          </w:tcPr>
          <w:p w14:paraId="3ED8A61C" w14:textId="77777777" w:rsidR="00595A79" w:rsidRPr="00E11086" w:rsidRDefault="00595A79" w:rsidP="00E470B3">
            <w:pPr>
              <w:tabs>
                <w:tab w:val="decimal" w:pos="113"/>
              </w:tabs>
              <w:spacing w:line="160" w:lineRule="exact"/>
              <w:rPr>
                <w:sz w:val="14"/>
                <w:szCs w:val="14"/>
              </w:rPr>
            </w:pPr>
          </w:p>
        </w:tc>
        <w:tc>
          <w:tcPr>
            <w:tcW w:w="624" w:type="dxa"/>
            <w:tcBorders>
              <w:left w:val="nil"/>
              <w:right w:val="nil"/>
            </w:tcBorders>
            <w:shd w:val="clear" w:color="auto" w:fill="auto"/>
          </w:tcPr>
          <w:p w14:paraId="186957D7" w14:textId="77777777" w:rsidR="00595A79" w:rsidRPr="00E11086" w:rsidRDefault="00595A79" w:rsidP="00E470B3">
            <w:pPr>
              <w:tabs>
                <w:tab w:val="decimal" w:pos="113"/>
              </w:tabs>
              <w:spacing w:line="160" w:lineRule="exact"/>
              <w:rPr>
                <w:sz w:val="14"/>
                <w:szCs w:val="14"/>
              </w:rPr>
            </w:pPr>
          </w:p>
        </w:tc>
        <w:tc>
          <w:tcPr>
            <w:tcW w:w="113" w:type="dxa"/>
            <w:vAlign w:val="bottom"/>
          </w:tcPr>
          <w:p w14:paraId="1C5B9A8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01437167" w14:textId="77777777" w:rsidR="00595A79" w:rsidRPr="00E11086" w:rsidRDefault="00595A79" w:rsidP="00E470B3">
            <w:pPr>
              <w:tabs>
                <w:tab w:val="decimal" w:pos="113"/>
              </w:tabs>
              <w:spacing w:line="160" w:lineRule="exact"/>
              <w:rPr>
                <w:sz w:val="14"/>
                <w:szCs w:val="14"/>
              </w:rPr>
            </w:pPr>
          </w:p>
        </w:tc>
        <w:tc>
          <w:tcPr>
            <w:tcW w:w="113" w:type="dxa"/>
            <w:vAlign w:val="bottom"/>
          </w:tcPr>
          <w:p w14:paraId="13623FC8"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3B359A73" w14:textId="77777777" w:rsidR="00595A79" w:rsidRPr="00E11086" w:rsidRDefault="00595A79" w:rsidP="00E470B3">
            <w:pPr>
              <w:tabs>
                <w:tab w:val="decimal" w:pos="113"/>
              </w:tabs>
              <w:spacing w:line="160" w:lineRule="exact"/>
              <w:rPr>
                <w:sz w:val="14"/>
                <w:szCs w:val="14"/>
              </w:rPr>
            </w:pPr>
          </w:p>
        </w:tc>
        <w:tc>
          <w:tcPr>
            <w:tcW w:w="113" w:type="dxa"/>
            <w:vAlign w:val="bottom"/>
          </w:tcPr>
          <w:p w14:paraId="1272F50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F2DBA3E" w14:textId="77777777" w:rsidR="00595A79" w:rsidRPr="00E11086" w:rsidRDefault="00595A79" w:rsidP="00E470B3">
            <w:pPr>
              <w:tabs>
                <w:tab w:val="decimal" w:pos="113"/>
              </w:tabs>
              <w:spacing w:line="160" w:lineRule="exact"/>
              <w:rPr>
                <w:sz w:val="14"/>
                <w:szCs w:val="14"/>
              </w:rPr>
            </w:pPr>
          </w:p>
        </w:tc>
        <w:tc>
          <w:tcPr>
            <w:tcW w:w="113" w:type="dxa"/>
            <w:vAlign w:val="bottom"/>
          </w:tcPr>
          <w:p w14:paraId="784ED408"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3292C3F"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5D9331BF"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72E84374"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370AC88"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497ACC2"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9CB4FA9"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7BC07A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37E2B72"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A557A79" w14:textId="77777777" w:rsidR="00595A79" w:rsidRPr="00E11086" w:rsidRDefault="00595A79" w:rsidP="00E470B3">
            <w:pPr>
              <w:tabs>
                <w:tab w:val="decimal" w:pos="113"/>
              </w:tabs>
              <w:spacing w:line="160" w:lineRule="exact"/>
              <w:rPr>
                <w:sz w:val="14"/>
                <w:szCs w:val="14"/>
              </w:rPr>
            </w:pPr>
          </w:p>
        </w:tc>
        <w:tc>
          <w:tcPr>
            <w:tcW w:w="113" w:type="dxa"/>
            <w:vAlign w:val="bottom"/>
          </w:tcPr>
          <w:p w14:paraId="1C48476E"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1BE907C7" w14:textId="77777777" w:rsidR="00595A79" w:rsidRPr="00E11086" w:rsidRDefault="00595A79" w:rsidP="00E470B3">
            <w:pPr>
              <w:tabs>
                <w:tab w:val="decimal" w:pos="113"/>
              </w:tabs>
              <w:spacing w:line="160" w:lineRule="exact"/>
              <w:rPr>
                <w:sz w:val="14"/>
                <w:szCs w:val="14"/>
              </w:rPr>
            </w:pPr>
          </w:p>
        </w:tc>
        <w:tc>
          <w:tcPr>
            <w:tcW w:w="113" w:type="dxa"/>
            <w:vAlign w:val="bottom"/>
          </w:tcPr>
          <w:p w14:paraId="55DC1557"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72B7F59"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5AC163E1"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482193F7" w14:textId="77777777" w:rsidR="00595A79" w:rsidRPr="00E11086" w:rsidRDefault="00595A79" w:rsidP="00E470B3">
            <w:pPr>
              <w:tabs>
                <w:tab w:val="decimal" w:pos="113"/>
              </w:tabs>
              <w:spacing w:line="160" w:lineRule="exact"/>
              <w:rPr>
                <w:sz w:val="14"/>
                <w:szCs w:val="14"/>
              </w:rPr>
            </w:pPr>
          </w:p>
        </w:tc>
      </w:tr>
      <w:tr w:rsidR="00595A79" w:rsidRPr="00E11086" w14:paraId="0AEB73EA" w14:textId="77777777" w:rsidTr="003675AA">
        <w:tc>
          <w:tcPr>
            <w:tcW w:w="3177" w:type="dxa"/>
            <w:vAlign w:val="bottom"/>
          </w:tcPr>
          <w:p w14:paraId="7E38EC74" w14:textId="7D2BD65E" w:rsidR="00595A79" w:rsidRPr="00E11086" w:rsidRDefault="000C4C0E" w:rsidP="00565FB0">
            <w:pPr>
              <w:widowControl/>
              <w:spacing w:line="160" w:lineRule="exact"/>
              <w:ind w:left="198" w:hanging="170"/>
              <w:jc w:val="left"/>
              <w:rPr>
                <w:sz w:val="14"/>
                <w:szCs w:val="14"/>
                <w:rtl/>
              </w:rPr>
            </w:pPr>
            <w:r w:rsidRPr="00E11086">
              <w:rPr>
                <w:rFonts w:hint="eastAsia"/>
                <w:sz w:val="14"/>
                <w:szCs w:val="14"/>
                <w:rtl/>
              </w:rPr>
              <w:t>רווח</w:t>
            </w:r>
            <w:r w:rsidRPr="00E11086">
              <w:rPr>
                <w:sz w:val="14"/>
                <w:szCs w:val="14"/>
                <w:rtl/>
              </w:rPr>
              <w:t xml:space="preserve"> (הפסד) </w:t>
            </w:r>
            <w:r w:rsidRPr="00E11086">
              <w:rPr>
                <w:rFonts w:hint="eastAsia"/>
                <w:sz w:val="14"/>
                <w:szCs w:val="14"/>
                <w:rtl/>
              </w:rPr>
              <w:t>בגין</w:t>
            </w:r>
            <w:r w:rsidRPr="00E11086">
              <w:rPr>
                <w:sz w:val="14"/>
                <w:szCs w:val="14"/>
                <w:rtl/>
              </w:rPr>
              <w:t xml:space="preserve"> </w:t>
            </w:r>
            <w:r w:rsidRPr="00E11086">
              <w:rPr>
                <w:rFonts w:hint="eastAsia"/>
                <w:sz w:val="14"/>
                <w:szCs w:val="14"/>
                <w:rtl/>
              </w:rPr>
              <w:t>נכסים</w:t>
            </w:r>
            <w:r w:rsidRPr="00E11086">
              <w:rPr>
                <w:sz w:val="14"/>
                <w:szCs w:val="14"/>
                <w:rtl/>
              </w:rPr>
              <w:t xml:space="preserve"> </w:t>
            </w:r>
            <w:r w:rsidRPr="00E11086">
              <w:rPr>
                <w:rFonts w:hint="eastAsia"/>
                <w:sz w:val="14"/>
                <w:szCs w:val="14"/>
                <w:rtl/>
              </w:rPr>
              <w:t>פיננסיים</w:t>
            </w:r>
            <w:r w:rsidRPr="00E11086">
              <w:rPr>
                <w:sz w:val="14"/>
                <w:szCs w:val="14"/>
                <w:rtl/>
              </w:rPr>
              <w:t xml:space="preserve"> </w:t>
            </w:r>
            <w:r w:rsidR="00565FB0">
              <w:rPr>
                <w:rFonts w:hint="cs"/>
                <w:sz w:val="14"/>
                <w:szCs w:val="14"/>
                <w:rtl/>
              </w:rPr>
              <w:t>הנמדדים בשווי הוגן דרך רווח כולל אחר</w:t>
            </w:r>
          </w:p>
        </w:tc>
        <w:tc>
          <w:tcPr>
            <w:tcW w:w="113" w:type="dxa"/>
            <w:vAlign w:val="bottom"/>
          </w:tcPr>
          <w:p w14:paraId="68D4254F"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2DA83B9D" w14:textId="77777777" w:rsidR="00595A79" w:rsidRPr="00E11086" w:rsidRDefault="00595A79" w:rsidP="00E470B3">
            <w:pPr>
              <w:tabs>
                <w:tab w:val="decimal" w:pos="113"/>
              </w:tabs>
              <w:spacing w:line="160" w:lineRule="exact"/>
              <w:rPr>
                <w:sz w:val="14"/>
                <w:szCs w:val="14"/>
              </w:rPr>
            </w:pPr>
          </w:p>
        </w:tc>
        <w:tc>
          <w:tcPr>
            <w:tcW w:w="113" w:type="dxa"/>
            <w:vAlign w:val="bottom"/>
          </w:tcPr>
          <w:p w14:paraId="2A03CFC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6F47B62C" w14:textId="77777777" w:rsidR="00595A79" w:rsidRPr="00E11086" w:rsidRDefault="00595A79" w:rsidP="00E470B3">
            <w:pPr>
              <w:tabs>
                <w:tab w:val="decimal" w:pos="113"/>
              </w:tabs>
              <w:spacing w:line="160" w:lineRule="exact"/>
              <w:rPr>
                <w:sz w:val="14"/>
                <w:szCs w:val="14"/>
              </w:rPr>
            </w:pPr>
          </w:p>
        </w:tc>
        <w:tc>
          <w:tcPr>
            <w:tcW w:w="113" w:type="dxa"/>
            <w:vAlign w:val="bottom"/>
          </w:tcPr>
          <w:p w14:paraId="2D24B9D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4FAFAC5" w14:textId="77777777" w:rsidR="00595A79" w:rsidRPr="00E11086" w:rsidRDefault="00595A79" w:rsidP="00E470B3">
            <w:pPr>
              <w:tabs>
                <w:tab w:val="decimal" w:pos="113"/>
              </w:tabs>
              <w:spacing w:line="160" w:lineRule="exact"/>
              <w:rPr>
                <w:sz w:val="14"/>
                <w:szCs w:val="14"/>
              </w:rPr>
            </w:pPr>
          </w:p>
        </w:tc>
        <w:tc>
          <w:tcPr>
            <w:tcW w:w="113" w:type="dxa"/>
          </w:tcPr>
          <w:p w14:paraId="5B734D34"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7165A49F" w14:textId="77777777" w:rsidR="00595A79" w:rsidRPr="00E11086" w:rsidRDefault="00595A79" w:rsidP="00E470B3">
            <w:pPr>
              <w:tabs>
                <w:tab w:val="decimal" w:pos="113"/>
              </w:tabs>
              <w:spacing w:line="160" w:lineRule="exact"/>
              <w:rPr>
                <w:sz w:val="14"/>
                <w:szCs w:val="14"/>
              </w:rPr>
            </w:pPr>
          </w:p>
        </w:tc>
        <w:tc>
          <w:tcPr>
            <w:tcW w:w="113" w:type="dxa"/>
          </w:tcPr>
          <w:p w14:paraId="636954B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5AE381CA" w14:textId="77777777" w:rsidR="00595A79" w:rsidRPr="00E11086" w:rsidRDefault="00595A79" w:rsidP="00E470B3">
            <w:pPr>
              <w:tabs>
                <w:tab w:val="decimal" w:pos="113"/>
              </w:tabs>
              <w:spacing w:line="160" w:lineRule="exact"/>
              <w:rPr>
                <w:sz w:val="14"/>
                <w:szCs w:val="14"/>
              </w:rPr>
            </w:pPr>
          </w:p>
        </w:tc>
        <w:tc>
          <w:tcPr>
            <w:tcW w:w="113" w:type="dxa"/>
            <w:vAlign w:val="bottom"/>
          </w:tcPr>
          <w:p w14:paraId="64F6FAA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1FA8B18" w14:textId="77777777" w:rsidR="00595A79" w:rsidRPr="00E11086" w:rsidRDefault="00595A79" w:rsidP="00E470B3">
            <w:pPr>
              <w:tabs>
                <w:tab w:val="decimal" w:pos="113"/>
              </w:tabs>
              <w:spacing w:line="160" w:lineRule="exact"/>
              <w:rPr>
                <w:sz w:val="14"/>
                <w:szCs w:val="14"/>
              </w:rPr>
            </w:pPr>
          </w:p>
        </w:tc>
        <w:tc>
          <w:tcPr>
            <w:tcW w:w="113" w:type="dxa"/>
            <w:vAlign w:val="bottom"/>
          </w:tcPr>
          <w:p w14:paraId="33B6FAED"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0DC51C75" w14:textId="77777777" w:rsidR="00595A79" w:rsidRPr="00E11086" w:rsidRDefault="00595A79" w:rsidP="00E470B3">
            <w:pPr>
              <w:tabs>
                <w:tab w:val="decimal" w:pos="113"/>
              </w:tabs>
              <w:spacing w:line="160" w:lineRule="exact"/>
              <w:rPr>
                <w:sz w:val="14"/>
                <w:szCs w:val="14"/>
              </w:rPr>
            </w:pPr>
          </w:p>
        </w:tc>
        <w:tc>
          <w:tcPr>
            <w:tcW w:w="113" w:type="dxa"/>
            <w:vAlign w:val="bottom"/>
          </w:tcPr>
          <w:p w14:paraId="5DE17D7C"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E97D4BE" w14:textId="77777777" w:rsidR="00595A79" w:rsidRPr="00E11086" w:rsidRDefault="00595A79" w:rsidP="00E470B3">
            <w:pPr>
              <w:tabs>
                <w:tab w:val="decimal" w:pos="113"/>
              </w:tabs>
              <w:spacing w:line="160" w:lineRule="exact"/>
              <w:rPr>
                <w:sz w:val="14"/>
                <w:szCs w:val="14"/>
              </w:rPr>
            </w:pPr>
          </w:p>
        </w:tc>
        <w:tc>
          <w:tcPr>
            <w:tcW w:w="113" w:type="dxa"/>
            <w:vAlign w:val="bottom"/>
          </w:tcPr>
          <w:p w14:paraId="11C93692"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F3F45B2"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6961A284"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61A48EA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1024BD5"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023DAB5"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A8A31AB"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2A018E0"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2E74C9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E717F56" w14:textId="77777777" w:rsidR="00595A79" w:rsidRPr="00E11086" w:rsidRDefault="00595A79" w:rsidP="00E470B3">
            <w:pPr>
              <w:tabs>
                <w:tab w:val="decimal" w:pos="113"/>
              </w:tabs>
              <w:spacing w:line="160" w:lineRule="exact"/>
              <w:rPr>
                <w:sz w:val="14"/>
                <w:szCs w:val="14"/>
              </w:rPr>
            </w:pPr>
          </w:p>
        </w:tc>
        <w:tc>
          <w:tcPr>
            <w:tcW w:w="113" w:type="dxa"/>
            <w:vAlign w:val="bottom"/>
          </w:tcPr>
          <w:p w14:paraId="632F0193"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1D5C5493" w14:textId="77777777" w:rsidR="00595A79" w:rsidRPr="00E11086" w:rsidRDefault="00595A79" w:rsidP="00E470B3">
            <w:pPr>
              <w:tabs>
                <w:tab w:val="decimal" w:pos="113"/>
              </w:tabs>
              <w:spacing w:line="160" w:lineRule="exact"/>
              <w:rPr>
                <w:sz w:val="14"/>
                <w:szCs w:val="14"/>
              </w:rPr>
            </w:pPr>
          </w:p>
        </w:tc>
        <w:tc>
          <w:tcPr>
            <w:tcW w:w="113" w:type="dxa"/>
            <w:vAlign w:val="bottom"/>
          </w:tcPr>
          <w:p w14:paraId="7A253BA7"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016E74FA"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058A3F5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23ABA526" w14:textId="77777777" w:rsidR="00595A79" w:rsidRPr="00E11086" w:rsidRDefault="00595A79" w:rsidP="00E470B3">
            <w:pPr>
              <w:tabs>
                <w:tab w:val="decimal" w:pos="113"/>
              </w:tabs>
              <w:spacing w:line="160" w:lineRule="exact"/>
              <w:rPr>
                <w:sz w:val="14"/>
                <w:szCs w:val="14"/>
              </w:rPr>
            </w:pPr>
          </w:p>
        </w:tc>
      </w:tr>
      <w:tr w:rsidR="00595A79" w:rsidRPr="00E11086" w14:paraId="7A9AC346" w14:textId="77777777" w:rsidTr="003675AA">
        <w:tc>
          <w:tcPr>
            <w:tcW w:w="3177" w:type="dxa"/>
            <w:vAlign w:val="bottom"/>
          </w:tcPr>
          <w:p w14:paraId="199018AB" w14:textId="6B061748" w:rsidR="00595A79" w:rsidRPr="00E11086" w:rsidRDefault="00595A79" w:rsidP="00E91DD1">
            <w:pPr>
              <w:widowControl/>
              <w:spacing w:line="160" w:lineRule="exact"/>
              <w:ind w:left="198" w:hanging="170"/>
              <w:jc w:val="left"/>
              <w:rPr>
                <w:sz w:val="14"/>
                <w:szCs w:val="14"/>
                <w:rtl/>
              </w:rPr>
            </w:pPr>
          </w:p>
        </w:tc>
        <w:tc>
          <w:tcPr>
            <w:tcW w:w="113" w:type="dxa"/>
            <w:vAlign w:val="bottom"/>
          </w:tcPr>
          <w:p w14:paraId="480F1231"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0539B2E1" w14:textId="77777777" w:rsidR="00595A79" w:rsidRPr="00E11086" w:rsidRDefault="00595A79" w:rsidP="00E470B3">
            <w:pPr>
              <w:tabs>
                <w:tab w:val="decimal" w:pos="113"/>
              </w:tabs>
              <w:spacing w:line="160" w:lineRule="exact"/>
              <w:rPr>
                <w:sz w:val="14"/>
                <w:szCs w:val="14"/>
              </w:rPr>
            </w:pPr>
          </w:p>
        </w:tc>
        <w:tc>
          <w:tcPr>
            <w:tcW w:w="113" w:type="dxa"/>
            <w:vAlign w:val="bottom"/>
          </w:tcPr>
          <w:p w14:paraId="11900362"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CDE8F6E" w14:textId="77777777" w:rsidR="00595A79" w:rsidRPr="00E11086" w:rsidRDefault="00595A79" w:rsidP="00E470B3">
            <w:pPr>
              <w:tabs>
                <w:tab w:val="decimal" w:pos="113"/>
              </w:tabs>
              <w:spacing w:line="160" w:lineRule="exact"/>
              <w:rPr>
                <w:sz w:val="14"/>
                <w:szCs w:val="14"/>
              </w:rPr>
            </w:pPr>
          </w:p>
        </w:tc>
        <w:tc>
          <w:tcPr>
            <w:tcW w:w="113" w:type="dxa"/>
            <w:vAlign w:val="bottom"/>
          </w:tcPr>
          <w:p w14:paraId="61315E1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DF30D6B" w14:textId="77777777" w:rsidR="00595A79" w:rsidRPr="00E11086" w:rsidRDefault="00595A79" w:rsidP="00E470B3">
            <w:pPr>
              <w:tabs>
                <w:tab w:val="decimal" w:pos="113"/>
              </w:tabs>
              <w:spacing w:line="160" w:lineRule="exact"/>
              <w:rPr>
                <w:sz w:val="14"/>
                <w:szCs w:val="14"/>
              </w:rPr>
            </w:pPr>
          </w:p>
        </w:tc>
        <w:tc>
          <w:tcPr>
            <w:tcW w:w="113" w:type="dxa"/>
          </w:tcPr>
          <w:p w14:paraId="305687C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02A3C932" w14:textId="77777777" w:rsidR="00595A79" w:rsidRPr="00E11086" w:rsidRDefault="00595A79" w:rsidP="00E470B3">
            <w:pPr>
              <w:tabs>
                <w:tab w:val="decimal" w:pos="113"/>
              </w:tabs>
              <w:spacing w:line="160" w:lineRule="exact"/>
              <w:rPr>
                <w:sz w:val="14"/>
                <w:szCs w:val="14"/>
              </w:rPr>
            </w:pPr>
          </w:p>
        </w:tc>
        <w:tc>
          <w:tcPr>
            <w:tcW w:w="113" w:type="dxa"/>
          </w:tcPr>
          <w:p w14:paraId="606A25DB"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633B2038" w14:textId="77777777" w:rsidR="00595A79" w:rsidRPr="00E11086" w:rsidRDefault="00595A79" w:rsidP="00E470B3">
            <w:pPr>
              <w:tabs>
                <w:tab w:val="decimal" w:pos="113"/>
              </w:tabs>
              <w:spacing w:line="160" w:lineRule="exact"/>
              <w:rPr>
                <w:sz w:val="14"/>
                <w:szCs w:val="14"/>
              </w:rPr>
            </w:pPr>
          </w:p>
        </w:tc>
        <w:tc>
          <w:tcPr>
            <w:tcW w:w="113" w:type="dxa"/>
            <w:vAlign w:val="bottom"/>
          </w:tcPr>
          <w:p w14:paraId="6E4FF722"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0CC8B7AF" w14:textId="77777777" w:rsidR="00595A79" w:rsidRPr="00E11086" w:rsidRDefault="00595A79" w:rsidP="00E470B3">
            <w:pPr>
              <w:tabs>
                <w:tab w:val="decimal" w:pos="113"/>
              </w:tabs>
              <w:spacing w:line="160" w:lineRule="exact"/>
              <w:rPr>
                <w:sz w:val="14"/>
                <w:szCs w:val="14"/>
              </w:rPr>
            </w:pPr>
          </w:p>
        </w:tc>
        <w:tc>
          <w:tcPr>
            <w:tcW w:w="113" w:type="dxa"/>
            <w:vAlign w:val="bottom"/>
          </w:tcPr>
          <w:p w14:paraId="0B3B7072"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02557DEA" w14:textId="77777777" w:rsidR="00595A79" w:rsidRPr="00E11086" w:rsidRDefault="00595A79" w:rsidP="00E470B3">
            <w:pPr>
              <w:tabs>
                <w:tab w:val="decimal" w:pos="113"/>
              </w:tabs>
              <w:spacing w:line="160" w:lineRule="exact"/>
              <w:rPr>
                <w:sz w:val="14"/>
                <w:szCs w:val="14"/>
              </w:rPr>
            </w:pPr>
          </w:p>
        </w:tc>
        <w:tc>
          <w:tcPr>
            <w:tcW w:w="113" w:type="dxa"/>
            <w:vAlign w:val="bottom"/>
          </w:tcPr>
          <w:p w14:paraId="24CC2BD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47BA8291" w14:textId="77777777" w:rsidR="00595A79" w:rsidRPr="00E11086" w:rsidRDefault="00595A79" w:rsidP="00E470B3">
            <w:pPr>
              <w:tabs>
                <w:tab w:val="decimal" w:pos="113"/>
              </w:tabs>
              <w:spacing w:line="160" w:lineRule="exact"/>
              <w:rPr>
                <w:sz w:val="14"/>
                <w:szCs w:val="14"/>
              </w:rPr>
            </w:pPr>
          </w:p>
        </w:tc>
        <w:tc>
          <w:tcPr>
            <w:tcW w:w="113" w:type="dxa"/>
            <w:vAlign w:val="bottom"/>
          </w:tcPr>
          <w:p w14:paraId="592FCCA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9CA92DC"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0B70CF40"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01CB8F1D"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93DFC3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A028C8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ED6C64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0816F75"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09D90EF"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7CDC17F" w14:textId="77777777" w:rsidR="00595A79" w:rsidRPr="00E11086" w:rsidRDefault="00595A79" w:rsidP="00E470B3">
            <w:pPr>
              <w:tabs>
                <w:tab w:val="decimal" w:pos="113"/>
              </w:tabs>
              <w:spacing w:line="160" w:lineRule="exact"/>
              <w:rPr>
                <w:sz w:val="14"/>
                <w:szCs w:val="14"/>
              </w:rPr>
            </w:pPr>
          </w:p>
        </w:tc>
        <w:tc>
          <w:tcPr>
            <w:tcW w:w="113" w:type="dxa"/>
            <w:vAlign w:val="bottom"/>
          </w:tcPr>
          <w:p w14:paraId="6B84EB9A"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54F68F5" w14:textId="77777777" w:rsidR="00595A79" w:rsidRPr="00E11086" w:rsidRDefault="00595A79" w:rsidP="00E470B3">
            <w:pPr>
              <w:tabs>
                <w:tab w:val="decimal" w:pos="113"/>
              </w:tabs>
              <w:spacing w:line="160" w:lineRule="exact"/>
              <w:rPr>
                <w:sz w:val="14"/>
                <w:szCs w:val="14"/>
              </w:rPr>
            </w:pPr>
          </w:p>
        </w:tc>
        <w:tc>
          <w:tcPr>
            <w:tcW w:w="113" w:type="dxa"/>
            <w:vAlign w:val="bottom"/>
          </w:tcPr>
          <w:p w14:paraId="327A5C24"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1B2DA274"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40BDF9A8"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531F80BD" w14:textId="77777777" w:rsidR="00595A79" w:rsidRPr="00E11086" w:rsidRDefault="00595A79" w:rsidP="00E470B3">
            <w:pPr>
              <w:tabs>
                <w:tab w:val="decimal" w:pos="113"/>
              </w:tabs>
              <w:spacing w:line="160" w:lineRule="exact"/>
              <w:rPr>
                <w:sz w:val="14"/>
                <w:szCs w:val="14"/>
              </w:rPr>
            </w:pPr>
          </w:p>
        </w:tc>
      </w:tr>
      <w:tr w:rsidR="00595A79" w:rsidRPr="00E11086" w14:paraId="4F0BB2C9" w14:textId="77777777" w:rsidTr="003675AA">
        <w:tc>
          <w:tcPr>
            <w:tcW w:w="3177" w:type="dxa"/>
            <w:vAlign w:val="bottom"/>
          </w:tcPr>
          <w:p w14:paraId="1E4254DC"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רווח</w:t>
            </w:r>
            <w:r w:rsidRPr="00E11086">
              <w:rPr>
                <w:sz w:val="14"/>
                <w:szCs w:val="14"/>
                <w:rtl/>
              </w:rPr>
              <w:t xml:space="preserve"> (הפסד) </w:t>
            </w:r>
            <w:r w:rsidRPr="00E11086">
              <w:rPr>
                <w:rFonts w:hint="eastAsia"/>
                <w:sz w:val="14"/>
                <w:szCs w:val="14"/>
                <w:rtl/>
              </w:rPr>
              <w:t>בגין</w:t>
            </w:r>
            <w:r w:rsidRPr="00E11086">
              <w:rPr>
                <w:sz w:val="14"/>
                <w:szCs w:val="14"/>
                <w:rtl/>
              </w:rPr>
              <w:t xml:space="preserve"> </w:t>
            </w:r>
            <w:r w:rsidRPr="00E11086">
              <w:rPr>
                <w:rFonts w:hint="eastAsia"/>
                <w:sz w:val="14"/>
                <w:szCs w:val="14"/>
                <w:rtl/>
              </w:rPr>
              <w:t>עסקאות</w:t>
            </w:r>
            <w:r w:rsidRPr="00E11086">
              <w:rPr>
                <w:sz w:val="14"/>
                <w:szCs w:val="14"/>
                <w:rtl/>
              </w:rPr>
              <w:t xml:space="preserve"> </w:t>
            </w:r>
            <w:r w:rsidRPr="00E11086">
              <w:rPr>
                <w:rFonts w:hint="eastAsia"/>
                <w:sz w:val="14"/>
                <w:szCs w:val="14"/>
                <w:rtl/>
              </w:rPr>
              <w:t>גידור</w:t>
            </w:r>
            <w:r w:rsidRPr="00E11086">
              <w:rPr>
                <w:sz w:val="14"/>
                <w:szCs w:val="14"/>
                <w:rtl/>
              </w:rPr>
              <w:t xml:space="preserve"> </w:t>
            </w:r>
            <w:r w:rsidRPr="00E11086">
              <w:rPr>
                <w:rFonts w:hint="eastAsia"/>
                <w:sz w:val="14"/>
                <w:szCs w:val="14"/>
                <w:rtl/>
              </w:rPr>
              <w:t>תזרימי</w:t>
            </w:r>
            <w:r w:rsidRPr="00E11086">
              <w:rPr>
                <w:sz w:val="14"/>
                <w:szCs w:val="14"/>
                <w:rtl/>
              </w:rPr>
              <w:t xml:space="preserve"> </w:t>
            </w:r>
            <w:r w:rsidRPr="00E11086">
              <w:rPr>
                <w:rFonts w:hint="eastAsia"/>
                <w:sz w:val="14"/>
                <w:szCs w:val="14"/>
                <w:rtl/>
              </w:rPr>
              <w:t>מזומנים</w:t>
            </w:r>
          </w:p>
        </w:tc>
        <w:tc>
          <w:tcPr>
            <w:tcW w:w="113" w:type="dxa"/>
            <w:vAlign w:val="bottom"/>
          </w:tcPr>
          <w:p w14:paraId="71BE3C48"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2A1B977C" w14:textId="77777777" w:rsidR="00595A79" w:rsidRPr="00E11086" w:rsidRDefault="00595A79" w:rsidP="00E470B3">
            <w:pPr>
              <w:tabs>
                <w:tab w:val="decimal" w:pos="113"/>
              </w:tabs>
              <w:spacing w:line="160" w:lineRule="exact"/>
              <w:rPr>
                <w:sz w:val="14"/>
                <w:szCs w:val="14"/>
              </w:rPr>
            </w:pPr>
          </w:p>
        </w:tc>
        <w:tc>
          <w:tcPr>
            <w:tcW w:w="113" w:type="dxa"/>
            <w:vAlign w:val="bottom"/>
          </w:tcPr>
          <w:p w14:paraId="7F8F374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4497B36" w14:textId="77777777" w:rsidR="00595A79" w:rsidRPr="00E11086" w:rsidRDefault="00595A79" w:rsidP="00E470B3">
            <w:pPr>
              <w:tabs>
                <w:tab w:val="decimal" w:pos="113"/>
              </w:tabs>
              <w:spacing w:line="160" w:lineRule="exact"/>
              <w:rPr>
                <w:sz w:val="14"/>
                <w:szCs w:val="14"/>
              </w:rPr>
            </w:pPr>
          </w:p>
        </w:tc>
        <w:tc>
          <w:tcPr>
            <w:tcW w:w="113" w:type="dxa"/>
            <w:vAlign w:val="bottom"/>
          </w:tcPr>
          <w:p w14:paraId="02089260"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DE4127E" w14:textId="77777777" w:rsidR="00595A79" w:rsidRPr="00E11086" w:rsidRDefault="00595A79" w:rsidP="00E470B3">
            <w:pPr>
              <w:tabs>
                <w:tab w:val="decimal" w:pos="113"/>
              </w:tabs>
              <w:spacing w:line="160" w:lineRule="exact"/>
              <w:rPr>
                <w:sz w:val="14"/>
                <w:szCs w:val="14"/>
              </w:rPr>
            </w:pPr>
          </w:p>
        </w:tc>
        <w:tc>
          <w:tcPr>
            <w:tcW w:w="113" w:type="dxa"/>
          </w:tcPr>
          <w:p w14:paraId="51A6264B"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6E17F6C4" w14:textId="77777777" w:rsidR="00595A79" w:rsidRPr="00E11086" w:rsidRDefault="00595A79" w:rsidP="00E470B3">
            <w:pPr>
              <w:tabs>
                <w:tab w:val="decimal" w:pos="113"/>
              </w:tabs>
              <w:spacing w:line="160" w:lineRule="exact"/>
              <w:rPr>
                <w:sz w:val="14"/>
                <w:szCs w:val="14"/>
              </w:rPr>
            </w:pPr>
          </w:p>
        </w:tc>
        <w:tc>
          <w:tcPr>
            <w:tcW w:w="113" w:type="dxa"/>
          </w:tcPr>
          <w:p w14:paraId="2862B02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6D0C477E" w14:textId="77777777" w:rsidR="00595A79" w:rsidRPr="00E11086" w:rsidRDefault="00595A79" w:rsidP="00E470B3">
            <w:pPr>
              <w:tabs>
                <w:tab w:val="decimal" w:pos="113"/>
              </w:tabs>
              <w:spacing w:line="160" w:lineRule="exact"/>
              <w:rPr>
                <w:sz w:val="14"/>
                <w:szCs w:val="14"/>
              </w:rPr>
            </w:pPr>
          </w:p>
        </w:tc>
        <w:tc>
          <w:tcPr>
            <w:tcW w:w="113" w:type="dxa"/>
            <w:vAlign w:val="bottom"/>
          </w:tcPr>
          <w:p w14:paraId="0B1F94A1"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5958EAC" w14:textId="77777777" w:rsidR="00595A79" w:rsidRPr="00E11086" w:rsidRDefault="00595A79" w:rsidP="00E470B3">
            <w:pPr>
              <w:tabs>
                <w:tab w:val="decimal" w:pos="113"/>
              </w:tabs>
              <w:spacing w:line="160" w:lineRule="exact"/>
              <w:rPr>
                <w:sz w:val="14"/>
                <w:szCs w:val="14"/>
              </w:rPr>
            </w:pPr>
          </w:p>
        </w:tc>
        <w:tc>
          <w:tcPr>
            <w:tcW w:w="113" w:type="dxa"/>
            <w:vAlign w:val="bottom"/>
          </w:tcPr>
          <w:p w14:paraId="658F407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43A7EE5E" w14:textId="77777777" w:rsidR="00595A79" w:rsidRPr="00E11086" w:rsidRDefault="00595A79" w:rsidP="00E470B3">
            <w:pPr>
              <w:tabs>
                <w:tab w:val="decimal" w:pos="113"/>
              </w:tabs>
              <w:spacing w:line="160" w:lineRule="exact"/>
              <w:rPr>
                <w:sz w:val="14"/>
                <w:szCs w:val="14"/>
              </w:rPr>
            </w:pPr>
          </w:p>
        </w:tc>
        <w:tc>
          <w:tcPr>
            <w:tcW w:w="113" w:type="dxa"/>
            <w:vAlign w:val="bottom"/>
          </w:tcPr>
          <w:p w14:paraId="1C705249"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1C116E99" w14:textId="77777777" w:rsidR="00595A79" w:rsidRPr="00E11086" w:rsidRDefault="00595A79" w:rsidP="00E470B3">
            <w:pPr>
              <w:tabs>
                <w:tab w:val="decimal" w:pos="113"/>
              </w:tabs>
              <w:spacing w:line="160" w:lineRule="exact"/>
              <w:rPr>
                <w:sz w:val="14"/>
                <w:szCs w:val="14"/>
              </w:rPr>
            </w:pPr>
          </w:p>
        </w:tc>
        <w:tc>
          <w:tcPr>
            <w:tcW w:w="113" w:type="dxa"/>
            <w:vAlign w:val="bottom"/>
          </w:tcPr>
          <w:p w14:paraId="63CCA046"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C2D7C37"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38031B34"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6A376FD5"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BCA255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4506F762"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74D4BC9"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B61280D"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94A3FE2"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40818DAE" w14:textId="77777777" w:rsidR="00595A79" w:rsidRPr="00E11086" w:rsidRDefault="00595A79" w:rsidP="00E470B3">
            <w:pPr>
              <w:tabs>
                <w:tab w:val="decimal" w:pos="113"/>
              </w:tabs>
              <w:spacing w:line="160" w:lineRule="exact"/>
              <w:rPr>
                <w:sz w:val="14"/>
                <w:szCs w:val="14"/>
              </w:rPr>
            </w:pPr>
          </w:p>
        </w:tc>
        <w:tc>
          <w:tcPr>
            <w:tcW w:w="113" w:type="dxa"/>
            <w:vAlign w:val="bottom"/>
          </w:tcPr>
          <w:p w14:paraId="4525181D"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3B1AEA73" w14:textId="77777777" w:rsidR="00595A79" w:rsidRPr="00E11086" w:rsidRDefault="00595A79" w:rsidP="00E470B3">
            <w:pPr>
              <w:tabs>
                <w:tab w:val="decimal" w:pos="113"/>
              </w:tabs>
              <w:spacing w:line="160" w:lineRule="exact"/>
              <w:rPr>
                <w:sz w:val="14"/>
                <w:szCs w:val="14"/>
              </w:rPr>
            </w:pPr>
          </w:p>
        </w:tc>
        <w:tc>
          <w:tcPr>
            <w:tcW w:w="113" w:type="dxa"/>
            <w:vAlign w:val="bottom"/>
          </w:tcPr>
          <w:p w14:paraId="12A1166C"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8E5DC24"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353B1FAE"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383B1E71" w14:textId="77777777" w:rsidR="00595A79" w:rsidRPr="00E11086" w:rsidRDefault="00595A79" w:rsidP="00E470B3">
            <w:pPr>
              <w:tabs>
                <w:tab w:val="decimal" w:pos="113"/>
              </w:tabs>
              <w:spacing w:line="160" w:lineRule="exact"/>
              <w:rPr>
                <w:sz w:val="14"/>
                <w:szCs w:val="14"/>
              </w:rPr>
            </w:pPr>
          </w:p>
        </w:tc>
      </w:tr>
      <w:tr w:rsidR="00595A79" w:rsidRPr="00E11086" w14:paraId="1D94AA28" w14:textId="77777777" w:rsidTr="003675AA">
        <w:tc>
          <w:tcPr>
            <w:tcW w:w="3177" w:type="dxa"/>
            <w:vAlign w:val="bottom"/>
          </w:tcPr>
          <w:p w14:paraId="0ED6ABC7"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העברה</w:t>
            </w:r>
            <w:r w:rsidRPr="00E11086">
              <w:rPr>
                <w:sz w:val="14"/>
                <w:szCs w:val="14"/>
                <w:rtl/>
              </w:rPr>
              <w:t xml:space="preserve"> </w:t>
            </w:r>
            <w:r w:rsidRPr="00E11086">
              <w:rPr>
                <w:rFonts w:hint="eastAsia"/>
                <w:sz w:val="14"/>
                <w:szCs w:val="14"/>
                <w:rtl/>
              </w:rPr>
              <w:t>לרווח</w:t>
            </w:r>
            <w:r w:rsidRPr="00E11086">
              <w:rPr>
                <w:sz w:val="14"/>
                <w:szCs w:val="14"/>
                <w:rtl/>
              </w:rPr>
              <w:t xml:space="preserve"> </w:t>
            </w:r>
            <w:r w:rsidRPr="00E11086">
              <w:rPr>
                <w:rFonts w:hint="eastAsia"/>
                <w:sz w:val="14"/>
                <w:szCs w:val="14"/>
                <w:rtl/>
              </w:rPr>
              <w:t>או</w:t>
            </w:r>
            <w:r w:rsidRPr="00E11086">
              <w:rPr>
                <w:sz w:val="14"/>
                <w:szCs w:val="14"/>
                <w:rtl/>
              </w:rPr>
              <w:t xml:space="preserve"> </w:t>
            </w:r>
            <w:r w:rsidRPr="00E11086">
              <w:rPr>
                <w:rFonts w:hint="eastAsia"/>
                <w:sz w:val="14"/>
                <w:szCs w:val="14"/>
                <w:rtl/>
              </w:rPr>
              <w:t>הפסד</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עסקאות</w:t>
            </w:r>
            <w:r w:rsidRPr="00E11086">
              <w:rPr>
                <w:sz w:val="14"/>
                <w:szCs w:val="14"/>
                <w:rtl/>
              </w:rPr>
              <w:t xml:space="preserve"> </w:t>
            </w:r>
            <w:r w:rsidRPr="00E11086">
              <w:rPr>
                <w:rFonts w:hint="eastAsia"/>
                <w:sz w:val="14"/>
                <w:szCs w:val="14"/>
                <w:rtl/>
              </w:rPr>
              <w:t>גידור</w:t>
            </w:r>
            <w:r w:rsidRPr="00E11086">
              <w:rPr>
                <w:sz w:val="14"/>
                <w:szCs w:val="14"/>
                <w:rtl/>
              </w:rPr>
              <w:t xml:space="preserve"> </w:t>
            </w:r>
            <w:r w:rsidRPr="00E11086">
              <w:rPr>
                <w:rFonts w:hint="eastAsia"/>
                <w:sz w:val="14"/>
                <w:szCs w:val="14"/>
                <w:rtl/>
              </w:rPr>
              <w:t>תזרימי</w:t>
            </w:r>
            <w:r w:rsidRPr="00E11086">
              <w:rPr>
                <w:sz w:val="14"/>
                <w:szCs w:val="14"/>
                <w:rtl/>
              </w:rPr>
              <w:t xml:space="preserve"> </w:t>
            </w:r>
            <w:r w:rsidRPr="00E11086">
              <w:rPr>
                <w:rFonts w:hint="eastAsia"/>
                <w:sz w:val="14"/>
                <w:szCs w:val="14"/>
                <w:rtl/>
              </w:rPr>
              <w:t>מזומנים</w:t>
            </w:r>
          </w:p>
        </w:tc>
        <w:tc>
          <w:tcPr>
            <w:tcW w:w="113" w:type="dxa"/>
            <w:vAlign w:val="bottom"/>
          </w:tcPr>
          <w:p w14:paraId="5C88B434"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0376109A" w14:textId="77777777" w:rsidR="00595A79" w:rsidRPr="00E11086" w:rsidRDefault="00595A79" w:rsidP="00E470B3">
            <w:pPr>
              <w:tabs>
                <w:tab w:val="decimal" w:pos="113"/>
              </w:tabs>
              <w:spacing w:line="160" w:lineRule="exact"/>
              <w:rPr>
                <w:sz w:val="14"/>
                <w:szCs w:val="14"/>
              </w:rPr>
            </w:pPr>
          </w:p>
        </w:tc>
        <w:tc>
          <w:tcPr>
            <w:tcW w:w="113" w:type="dxa"/>
            <w:vAlign w:val="bottom"/>
          </w:tcPr>
          <w:p w14:paraId="63679206"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759E538" w14:textId="77777777" w:rsidR="00595A79" w:rsidRPr="00E11086" w:rsidRDefault="00595A79" w:rsidP="00E470B3">
            <w:pPr>
              <w:tabs>
                <w:tab w:val="decimal" w:pos="113"/>
              </w:tabs>
              <w:spacing w:line="160" w:lineRule="exact"/>
              <w:rPr>
                <w:sz w:val="14"/>
                <w:szCs w:val="14"/>
              </w:rPr>
            </w:pPr>
          </w:p>
        </w:tc>
        <w:tc>
          <w:tcPr>
            <w:tcW w:w="113" w:type="dxa"/>
            <w:vAlign w:val="bottom"/>
          </w:tcPr>
          <w:p w14:paraId="6EBB648A"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60D021D" w14:textId="77777777" w:rsidR="00595A79" w:rsidRPr="00E11086" w:rsidRDefault="00595A79" w:rsidP="00E470B3">
            <w:pPr>
              <w:tabs>
                <w:tab w:val="decimal" w:pos="113"/>
              </w:tabs>
              <w:spacing w:line="160" w:lineRule="exact"/>
              <w:rPr>
                <w:sz w:val="14"/>
                <w:szCs w:val="14"/>
              </w:rPr>
            </w:pPr>
          </w:p>
        </w:tc>
        <w:tc>
          <w:tcPr>
            <w:tcW w:w="113" w:type="dxa"/>
          </w:tcPr>
          <w:p w14:paraId="5C16CF4D"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721BA2B9" w14:textId="77777777" w:rsidR="00595A79" w:rsidRPr="00E11086" w:rsidRDefault="00595A79" w:rsidP="00E470B3">
            <w:pPr>
              <w:tabs>
                <w:tab w:val="decimal" w:pos="113"/>
              </w:tabs>
              <w:spacing w:line="160" w:lineRule="exact"/>
              <w:rPr>
                <w:sz w:val="14"/>
                <w:szCs w:val="14"/>
              </w:rPr>
            </w:pPr>
          </w:p>
        </w:tc>
        <w:tc>
          <w:tcPr>
            <w:tcW w:w="113" w:type="dxa"/>
          </w:tcPr>
          <w:p w14:paraId="293E86A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5EC14AE0" w14:textId="77777777" w:rsidR="00595A79" w:rsidRPr="00E11086" w:rsidRDefault="00595A79" w:rsidP="00E470B3">
            <w:pPr>
              <w:tabs>
                <w:tab w:val="decimal" w:pos="113"/>
              </w:tabs>
              <w:spacing w:line="160" w:lineRule="exact"/>
              <w:rPr>
                <w:sz w:val="14"/>
                <w:szCs w:val="14"/>
              </w:rPr>
            </w:pPr>
          </w:p>
        </w:tc>
        <w:tc>
          <w:tcPr>
            <w:tcW w:w="113" w:type="dxa"/>
            <w:vAlign w:val="bottom"/>
          </w:tcPr>
          <w:p w14:paraId="38625DC6"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0B44C13" w14:textId="77777777" w:rsidR="00595A79" w:rsidRPr="00E11086" w:rsidRDefault="00595A79" w:rsidP="00E470B3">
            <w:pPr>
              <w:tabs>
                <w:tab w:val="decimal" w:pos="113"/>
              </w:tabs>
              <w:spacing w:line="160" w:lineRule="exact"/>
              <w:rPr>
                <w:sz w:val="14"/>
                <w:szCs w:val="14"/>
              </w:rPr>
            </w:pPr>
          </w:p>
        </w:tc>
        <w:tc>
          <w:tcPr>
            <w:tcW w:w="113" w:type="dxa"/>
            <w:vAlign w:val="bottom"/>
          </w:tcPr>
          <w:p w14:paraId="0FD731E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4DA1F27C" w14:textId="77777777" w:rsidR="00595A79" w:rsidRPr="00E11086" w:rsidRDefault="00595A79" w:rsidP="00E470B3">
            <w:pPr>
              <w:tabs>
                <w:tab w:val="decimal" w:pos="113"/>
              </w:tabs>
              <w:spacing w:line="160" w:lineRule="exact"/>
              <w:rPr>
                <w:sz w:val="14"/>
                <w:szCs w:val="14"/>
              </w:rPr>
            </w:pPr>
          </w:p>
        </w:tc>
        <w:tc>
          <w:tcPr>
            <w:tcW w:w="113" w:type="dxa"/>
            <w:vAlign w:val="bottom"/>
          </w:tcPr>
          <w:p w14:paraId="58E0662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33BB973F" w14:textId="77777777" w:rsidR="00595A79" w:rsidRPr="00E11086" w:rsidRDefault="00595A79" w:rsidP="00E470B3">
            <w:pPr>
              <w:tabs>
                <w:tab w:val="decimal" w:pos="113"/>
              </w:tabs>
              <w:spacing w:line="160" w:lineRule="exact"/>
              <w:rPr>
                <w:sz w:val="14"/>
                <w:szCs w:val="14"/>
              </w:rPr>
            </w:pPr>
          </w:p>
        </w:tc>
        <w:tc>
          <w:tcPr>
            <w:tcW w:w="113" w:type="dxa"/>
            <w:vAlign w:val="bottom"/>
          </w:tcPr>
          <w:p w14:paraId="3EA624C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6DCC3ED"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5E551D55"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0253359A"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D3C01C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21C146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A482C6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DDC5BF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9C0BF7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27DFC90" w14:textId="77777777" w:rsidR="00595A79" w:rsidRPr="00E11086" w:rsidRDefault="00595A79" w:rsidP="00E470B3">
            <w:pPr>
              <w:tabs>
                <w:tab w:val="decimal" w:pos="113"/>
              </w:tabs>
              <w:spacing w:line="160" w:lineRule="exact"/>
              <w:rPr>
                <w:sz w:val="14"/>
                <w:szCs w:val="14"/>
              </w:rPr>
            </w:pPr>
          </w:p>
        </w:tc>
        <w:tc>
          <w:tcPr>
            <w:tcW w:w="113" w:type="dxa"/>
            <w:vAlign w:val="bottom"/>
          </w:tcPr>
          <w:p w14:paraId="164F1355"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2A55062" w14:textId="77777777" w:rsidR="00595A79" w:rsidRPr="00E11086" w:rsidRDefault="00595A79" w:rsidP="00E470B3">
            <w:pPr>
              <w:tabs>
                <w:tab w:val="decimal" w:pos="113"/>
              </w:tabs>
              <w:spacing w:line="160" w:lineRule="exact"/>
              <w:rPr>
                <w:sz w:val="14"/>
                <w:szCs w:val="14"/>
              </w:rPr>
            </w:pPr>
          </w:p>
        </w:tc>
        <w:tc>
          <w:tcPr>
            <w:tcW w:w="113" w:type="dxa"/>
            <w:vAlign w:val="bottom"/>
          </w:tcPr>
          <w:p w14:paraId="4B09BBC2"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F74DA91"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50F1C564"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662E6990" w14:textId="77777777" w:rsidR="00595A79" w:rsidRPr="00E11086" w:rsidRDefault="00595A79" w:rsidP="00E470B3">
            <w:pPr>
              <w:tabs>
                <w:tab w:val="decimal" w:pos="113"/>
              </w:tabs>
              <w:spacing w:line="160" w:lineRule="exact"/>
              <w:rPr>
                <w:sz w:val="14"/>
                <w:szCs w:val="14"/>
              </w:rPr>
            </w:pPr>
          </w:p>
        </w:tc>
      </w:tr>
      <w:tr w:rsidR="00595A79" w:rsidRPr="00E11086" w14:paraId="0329C205" w14:textId="77777777" w:rsidTr="003675AA">
        <w:tc>
          <w:tcPr>
            <w:tcW w:w="3177" w:type="dxa"/>
            <w:vAlign w:val="bottom"/>
          </w:tcPr>
          <w:p w14:paraId="6B508922"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התאמות</w:t>
            </w:r>
            <w:r w:rsidRPr="00E11086">
              <w:rPr>
                <w:sz w:val="14"/>
                <w:szCs w:val="14"/>
                <w:rtl/>
              </w:rPr>
              <w:t xml:space="preserve"> </w:t>
            </w:r>
            <w:r w:rsidRPr="00E11086">
              <w:rPr>
                <w:rFonts w:hint="eastAsia"/>
                <w:sz w:val="14"/>
                <w:szCs w:val="14"/>
                <w:rtl/>
              </w:rPr>
              <w:t>הנובעות</w:t>
            </w:r>
            <w:r w:rsidRPr="00E11086">
              <w:rPr>
                <w:sz w:val="14"/>
                <w:szCs w:val="14"/>
                <w:rtl/>
              </w:rPr>
              <w:t xml:space="preserve"> </w:t>
            </w:r>
            <w:r w:rsidRPr="00E11086">
              <w:rPr>
                <w:rFonts w:hint="eastAsia"/>
                <w:sz w:val="14"/>
                <w:szCs w:val="14"/>
                <w:rtl/>
              </w:rPr>
              <w:t>מתרגום</w:t>
            </w:r>
            <w:r w:rsidRPr="00E11086">
              <w:rPr>
                <w:sz w:val="14"/>
                <w:szCs w:val="14"/>
                <w:rtl/>
              </w:rPr>
              <w:t xml:space="preserve"> </w:t>
            </w:r>
            <w:r w:rsidRPr="00E11086">
              <w:rPr>
                <w:rFonts w:hint="eastAsia"/>
                <w:sz w:val="14"/>
                <w:szCs w:val="14"/>
                <w:rtl/>
              </w:rPr>
              <w:t>דוחות</w:t>
            </w:r>
            <w:r w:rsidRPr="00E11086">
              <w:rPr>
                <w:sz w:val="14"/>
                <w:szCs w:val="14"/>
                <w:rtl/>
              </w:rPr>
              <w:t xml:space="preserve"> </w:t>
            </w:r>
            <w:r w:rsidRPr="00E11086">
              <w:rPr>
                <w:rFonts w:hint="eastAsia"/>
                <w:sz w:val="14"/>
                <w:szCs w:val="14"/>
                <w:rtl/>
              </w:rPr>
              <w:t>כספיים</w:t>
            </w:r>
            <w:r w:rsidRPr="00E11086">
              <w:rPr>
                <w:sz w:val="14"/>
                <w:szCs w:val="14"/>
                <w:rtl/>
              </w:rPr>
              <w:t xml:space="preserve"> </w:t>
            </w:r>
            <w:r w:rsidRPr="00E11086">
              <w:rPr>
                <w:rFonts w:hint="eastAsia"/>
                <w:sz w:val="14"/>
                <w:szCs w:val="14"/>
                <w:rtl/>
              </w:rPr>
              <w:t>של</w:t>
            </w:r>
            <w:r w:rsidRPr="00E11086">
              <w:rPr>
                <w:sz w:val="14"/>
                <w:szCs w:val="14"/>
                <w:rtl/>
              </w:rPr>
              <w:t xml:space="preserve"> </w:t>
            </w:r>
            <w:r w:rsidRPr="00E11086">
              <w:rPr>
                <w:rFonts w:hint="eastAsia"/>
                <w:sz w:val="14"/>
                <w:szCs w:val="14"/>
                <w:rtl/>
              </w:rPr>
              <w:t>פעילויות</w:t>
            </w:r>
            <w:r w:rsidRPr="00E11086">
              <w:rPr>
                <w:sz w:val="14"/>
                <w:szCs w:val="14"/>
                <w:rtl/>
              </w:rPr>
              <w:t xml:space="preserve"> </w:t>
            </w:r>
            <w:r w:rsidRPr="00E11086">
              <w:rPr>
                <w:rFonts w:hint="eastAsia"/>
                <w:sz w:val="14"/>
                <w:szCs w:val="14"/>
                <w:rtl/>
              </w:rPr>
              <w:t>חוץ</w:t>
            </w:r>
          </w:p>
        </w:tc>
        <w:tc>
          <w:tcPr>
            <w:tcW w:w="113" w:type="dxa"/>
            <w:vAlign w:val="bottom"/>
          </w:tcPr>
          <w:p w14:paraId="0BA9DDEF"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0EB3C19D" w14:textId="77777777" w:rsidR="00595A79" w:rsidRPr="00E11086" w:rsidRDefault="00595A79" w:rsidP="00E470B3">
            <w:pPr>
              <w:tabs>
                <w:tab w:val="decimal" w:pos="113"/>
              </w:tabs>
              <w:spacing w:line="160" w:lineRule="exact"/>
              <w:rPr>
                <w:sz w:val="14"/>
                <w:szCs w:val="14"/>
              </w:rPr>
            </w:pPr>
          </w:p>
        </w:tc>
        <w:tc>
          <w:tcPr>
            <w:tcW w:w="113" w:type="dxa"/>
            <w:vAlign w:val="bottom"/>
          </w:tcPr>
          <w:p w14:paraId="211768D2"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A1D1064" w14:textId="77777777" w:rsidR="00595A79" w:rsidRPr="00E11086" w:rsidRDefault="00595A79" w:rsidP="00E470B3">
            <w:pPr>
              <w:tabs>
                <w:tab w:val="decimal" w:pos="113"/>
              </w:tabs>
              <w:spacing w:line="160" w:lineRule="exact"/>
              <w:rPr>
                <w:sz w:val="14"/>
                <w:szCs w:val="14"/>
              </w:rPr>
            </w:pPr>
          </w:p>
        </w:tc>
        <w:tc>
          <w:tcPr>
            <w:tcW w:w="113" w:type="dxa"/>
            <w:vAlign w:val="bottom"/>
          </w:tcPr>
          <w:p w14:paraId="680A867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6D5A7FF" w14:textId="77777777" w:rsidR="00595A79" w:rsidRPr="00E11086" w:rsidRDefault="00595A79" w:rsidP="00E470B3">
            <w:pPr>
              <w:tabs>
                <w:tab w:val="decimal" w:pos="113"/>
              </w:tabs>
              <w:spacing w:line="160" w:lineRule="exact"/>
              <w:rPr>
                <w:sz w:val="14"/>
                <w:szCs w:val="14"/>
              </w:rPr>
            </w:pPr>
          </w:p>
        </w:tc>
        <w:tc>
          <w:tcPr>
            <w:tcW w:w="113" w:type="dxa"/>
          </w:tcPr>
          <w:p w14:paraId="7D9ACBE2"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368C8CD2" w14:textId="77777777" w:rsidR="00595A79" w:rsidRPr="00E11086" w:rsidRDefault="00595A79" w:rsidP="00E470B3">
            <w:pPr>
              <w:tabs>
                <w:tab w:val="decimal" w:pos="113"/>
              </w:tabs>
              <w:spacing w:line="160" w:lineRule="exact"/>
              <w:rPr>
                <w:sz w:val="14"/>
                <w:szCs w:val="14"/>
              </w:rPr>
            </w:pPr>
          </w:p>
        </w:tc>
        <w:tc>
          <w:tcPr>
            <w:tcW w:w="113" w:type="dxa"/>
          </w:tcPr>
          <w:p w14:paraId="49032789"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1910850B" w14:textId="77777777" w:rsidR="00595A79" w:rsidRPr="00E11086" w:rsidRDefault="00595A79" w:rsidP="00E470B3">
            <w:pPr>
              <w:tabs>
                <w:tab w:val="decimal" w:pos="113"/>
              </w:tabs>
              <w:spacing w:line="160" w:lineRule="exact"/>
              <w:rPr>
                <w:sz w:val="14"/>
                <w:szCs w:val="14"/>
              </w:rPr>
            </w:pPr>
          </w:p>
        </w:tc>
        <w:tc>
          <w:tcPr>
            <w:tcW w:w="113" w:type="dxa"/>
            <w:vAlign w:val="bottom"/>
          </w:tcPr>
          <w:p w14:paraId="29CCBB6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E3E5867" w14:textId="77777777" w:rsidR="00595A79" w:rsidRPr="00E11086" w:rsidRDefault="00595A79" w:rsidP="00E470B3">
            <w:pPr>
              <w:tabs>
                <w:tab w:val="decimal" w:pos="113"/>
              </w:tabs>
              <w:spacing w:line="160" w:lineRule="exact"/>
              <w:rPr>
                <w:sz w:val="14"/>
                <w:szCs w:val="14"/>
              </w:rPr>
            </w:pPr>
          </w:p>
        </w:tc>
        <w:tc>
          <w:tcPr>
            <w:tcW w:w="113" w:type="dxa"/>
            <w:vAlign w:val="bottom"/>
          </w:tcPr>
          <w:p w14:paraId="28D2362B"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374E5CA" w14:textId="77777777" w:rsidR="00595A79" w:rsidRPr="00E11086" w:rsidRDefault="00595A79" w:rsidP="00E470B3">
            <w:pPr>
              <w:tabs>
                <w:tab w:val="decimal" w:pos="113"/>
              </w:tabs>
              <w:spacing w:line="160" w:lineRule="exact"/>
              <w:rPr>
                <w:sz w:val="14"/>
                <w:szCs w:val="14"/>
              </w:rPr>
            </w:pPr>
          </w:p>
        </w:tc>
        <w:tc>
          <w:tcPr>
            <w:tcW w:w="113" w:type="dxa"/>
            <w:vAlign w:val="bottom"/>
          </w:tcPr>
          <w:p w14:paraId="56A04BE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E8BB3E1" w14:textId="77777777" w:rsidR="00595A79" w:rsidRPr="00E11086" w:rsidRDefault="00595A79" w:rsidP="00E470B3">
            <w:pPr>
              <w:tabs>
                <w:tab w:val="decimal" w:pos="113"/>
              </w:tabs>
              <w:spacing w:line="160" w:lineRule="exact"/>
              <w:rPr>
                <w:sz w:val="14"/>
                <w:szCs w:val="14"/>
              </w:rPr>
            </w:pPr>
          </w:p>
        </w:tc>
        <w:tc>
          <w:tcPr>
            <w:tcW w:w="113" w:type="dxa"/>
            <w:vAlign w:val="bottom"/>
          </w:tcPr>
          <w:p w14:paraId="3080A0F8"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1AC28F4"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54ABF0D5"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6342ED33"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992A4DB"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9CB2B8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2523FFF"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86E04EF"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FC022D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9062A30" w14:textId="77777777" w:rsidR="00595A79" w:rsidRPr="00E11086" w:rsidRDefault="00595A79" w:rsidP="00E470B3">
            <w:pPr>
              <w:tabs>
                <w:tab w:val="decimal" w:pos="113"/>
              </w:tabs>
              <w:spacing w:line="160" w:lineRule="exact"/>
              <w:rPr>
                <w:sz w:val="14"/>
                <w:szCs w:val="14"/>
              </w:rPr>
            </w:pPr>
          </w:p>
        </w:tc>
        <w:tc>
          <w:tcPr>
            <w:tcW w:w="113" w:type="dxa"/>
            <w:vAlign w:val="bottom"/>
          </w:tcPr>
          <w:p w14:paraId="5C8D4C3A"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33B23047" w14:textId="77777777" w:rsidR="00595A79" w:rsidRPr="00E11086" w:rsidRDefault="00595A79" w:rsidP="00E470B3">
            <w:pPr>
              <w:tabs>
                <w:tab w:val="decimal" w:pos="113"/>
              </w:tabs>
              <w:spacing w:line="160" w:lineRule="exact"/>
              <w:rPr>
                <w:sz w:val="14"/>
                <w:szCs w:val="14"/>
              </w:rPr>
            </w:pPr>
          </w:p>
        </w:tc>
        <w:tc>
          <w:tcPr>
            <w:tcW w:w="113" w:type="dxa"/>
            <w:vAlign w:val="bottom"/>
          </w:tcPr>
          <w:p w14:paraId="55F2DA26"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0A7D325"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215C2F8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6896FB0B" w14:textId="77777777" w:rsidR="00595A79" w:rsidRPr="00E11086" w:rsidRDefault="00595A79" w:rsidP="00E470B3">
            <w:pPr>
              <w:tabs>
                <w:tab w:val="decimal" w:pos="113"/>
              </w:tabs>
              <w:spacing w:line="160" w:lineRule="exact"/>
              <w:rPr>
                <w:sz w:val="14"/>
                <w:szCs w:val="14"/>
              </w:rPr>
            </w:pPr>
          </w:p>
        </w:tc>
      </w:tr>
      <w:tr w:rsidR="00595A79" w:rsidRPr="00E11086" w14:paraId="2BF239A0" w14:textId="77777777" w:rsidTr="003675AA">
        <w:tc>
          <w:tcPr>
            <w:tcW w:w="3177" w:type="dxa"/>
            <w:vAlign w:val="bottom"/>
          </w:tcPr>
          <w:p w14:paraId="7404F84E"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התאמות</w:t>
            </w:r>
            <w:r w:rsidRPr="00E11086">
              <w:rPr>
                <w:sz w:val="14"/>
                <w:szCs w:val="14"/>
                <w:rtl/>
              </w:rPr>
              <w:t xml:space="preserve"> </w:t>
            </w:r>
            <w:r w:rsidRPr="00E11086">
              <w:rPr>
                <w:rFonts w:hint="eastAsia"/>
                <w:sz w:val="14"/>
                <w:szCs w:val="14"/>
                <w:rtl/>
              </w:rPr>
              <w:t>הנובעות</w:t>
            </w:r>
            <w:r w:rsidRPr="00E11086">
              <w:rPr>
                <w:sz w:val="14"/>
                <w:szCs w:val="14"/>
                <w:rtl/>
              </w:rPr>
              <w:t xml:space="preserve"> </w:t>
            </w:r>
            <w:r w:rsidRPr="00E11086">
              <w:rPr>
                <w:rFonts w:hint="eastAsia"/>
                <w:sz w:val="14"/>
                <w:szCs w:val="14"/>
                <w:rtl/>
              </w:rPr>
              <w:t>מתרגום</w:t>
            </w:r>
            <w:r w:rsidRPr="00E11086">
              <w:rPr>
                <w:sz w:val="14"/>
                <w:szCs w:val="14"/>
                <w:rtl/>
              </w:rPr>
              <w:t xml:space="preserve"> </w:t>
            </w:r>
            <w:r w:rsidRPr="00E11086">
              <w:rPr>
                <w:rFonts w:hint="eastAsia"/>
                <w:sz w:val="14"/>
                <w:szCs w:val="14"/>
                <w:rtl/>
              </w:rPr>
              <w:t>דוחות</w:t>
            </w:r>
            <w:r w:rsidRPr="00E11086">
              <w:rPr>
                <w:sz w:val="14"/>
                <w:szCs w:val="14"/>
                <w:rtl/>
              </w:rPr>
              <w:t xml:space="preserve"> </w:t>
            </w:r>
            <w:r w:rsidRPr="00E11086">
              <w:rPr>
                <w:rFonts w:hint="eastAsia"/>
                <w:sz w:val="14"/>
                <w:szCs w:val="14"/>
                <w:rtl/>
              </w:rPr>
              <w:t>כספיים</w:t>
            </w:r>
            <w:r w:rsidRPr="00E11086">
              <w:rPr>
                <w:sz w:val="14"/>
                <w:szCs w:val="14"/>
                <w:rtl/>
              </w:rPr>
              <w:t xml:space="preserve"> </w:t>
            </w:r>
            <w:r w:rsidRPr="00E11086">
              <w:rPr>
                <w:rFonts w:hint="eastAsia"/>
                <w:sz w:val="14"/>
                <w:szCs w:val="14"/>
                <w:rtl/>
              </w:rPr>
              <w:t>ממטבע</w:t>
            </w:r>
            <w:r w:rsidRPr="00E11086">
              <w:rPr>
                <w:sz w:val="14"/>
                <w:szCs w:val="14"/>
                <w:rtl/>
              </w:rPr>
              <w:t xml:space="preserve"> </w:t>
            </w:r>
            <w:r w:rsidRPr="00E11086">
              <w:rPr>
                <w:rFonts w:hint="eastAsia"/>
                <w:sz w:val="14"/>
                <w:szCs w:val="14"/>
                <w:rtl/>
              </w:rPr>
              <w:t>הפעילות</w:t>
            </w:r>
            <w:r w:rsidRPr="00E11086">
              <w:rPr>
                <w:sz w:val="14"/>
                <w:szCs w:val="14"/>
                <w:rtl/>
              </w:rPr>
              <w:t xml:space="preserve"> </w:t>
            </w:r>
            <w:r w:rsidRPr="00E11086">
              <w:rPr>
                <w:rFonts w:hint="eastAsia"/>
                <w:sz w:val="14"/>
                <w:szCs w:val="14"/>
                <w:rtl/>
              </w:rPr>
              <w:t>למטבע</w:t>
            </w:r>
            <w:r w:rsidRPr="00E11086">
              <w:rPr>
                <w:sz w:val="14"/>
                <w:szCs w:val="14"/>
                <w:rtl/>
              </w:rPr>
              <w:t xml:space="preserve"> </w:t>
            </w:r>
            <w:r w:rsidRPr="00E11086">
              <w:rPr>
                <w:rFonts w:hint="eastAsia"/>
                <w:sz w:val="14"/>
                <w:szCs w:val="14"/>
                <w:rtl/>
              </w:rPr>
              <w:t>ההצגה</w:t>
            </w:r>
          </w:p>
        </w:tc>
        <w:tc>
          <w:tcPr>
            <w:tcW w:w="113" w:type="dxa"/>
            <w:vAlign w:val="bottom"/>
          </w:tcPr>
          <w:p w14:paraId="7DB6B4E8"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654720B0" w14:textId="77777777" w:rsidR="00595A79" w:rsidRPr="00E11086" w:rsidRDefault="00595A79" w:rsidP="00E470B3">
            <w:pPr>
              <w:tabs>
                <w:tab w:val="decimal" w:pos="113"/>
              </w:tabs>
              <w:spacing w:line="160" w:lineRule="exact"/>
              <w:rPr>
                <w:sz w:val="14"/>
                <w:szCs w:val="14"/>
              </w:rPr>
            </w:pPr>
          </w:p>
        </w:tc>
        <w:tc>
          <w:tcPr>
            <w:tcW w:w="113" w:type="dxa"/>
            <w:vAlign w:val="bottom"/>
          </w:tcPr>
          <w:p w14:paraId="74BDFC3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782BD7A" w14:textId="77777777" w:rsidR="00595A79" w:rsidRPr="00E11086" w:rsidRDefault="00595A79" w:rsidP="00E470B3">
            <w:pPr>
              <w:tabs>
                <w:tab w:val="decimal" w:pos="113"/>
              </w:tabs>
              <w:spacing w:line="160" w:lineRule="exact"/>
              <w:rPr>
                <w:sz w:val="14"/>
                <w:szCs w:val="14"/>
              </w:rPr>
            </w:pPr>
          </w:p>
        </w:tc>
        <w:tc>
          <w:tcPr>
            <w:tcW w:w="113" w:type="dxa"/>
            <w:vAlign w:val="bottom"/>
          </w:tcPr>
          <w:p w14:paraId="2DABBAFA"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030D181" w14:textId="77777777" w:rsidR="00595A79" w:rsidRPr="00E11086" w:rsidRDefault="00595A79" w:rsidP="00E470B3">
            <w:pPr>
              <w:tabs>
                <w:tab w:val="decimal" w:pos="113"/>
              </w:tabs>
              <w:spacing w:line="160" w:lineRule="exact"/>
              <w:rPr>
                <w:sz w:val="14"/>
                <w:szCs w:val="14"/>
              </w:rPr>
            </w:pPr>
          </w:p>
        </w:tc>
        <w:tc>
          <w:tcPr>
            <w:tcW w:w="113" w:type="dxa"/>
          </w:tcPr>
          <w:p w14:paraId="5BE1FCAE"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07A78F9B" w14:textId="77777777" w:rsidR="00595A79" w:rsidRPr="00E11086" w:rsidRDefault="00595A79" w:rsidP="00E470B3">
            <w:pPr>
              <w:tabs>
                <w:tab w:val="decimal" w:pos="113"/>
              </w:tabs>
              <w:spacing w:line="160" w:lineRule="exact"/>
              <w:rPr>
                <w:sz w:val="14"/>
                <w:szCs w:val="14"/>
              </w:rPr>
            </w:pPr>
          </w:p>
        </w:tc>
        <w:tc>
          <w:tcPr>
            <w:tcW w:w="113" w:type="dxa"/>
          </w:tcPr>
          <w:p w14:paraId="423CF27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372EB22C" w14:textId="77777777" w:rsidR="00595A79" w:rsidRPr="00E11086" w:rsidRDefault="00595A79" w:rsidP="00E470B3">
            <w:pPr>
              <w:tabs>
                <w:tab w:val="decimal" w:pos="113"/>
              </w:tabs>
              <w:spacing w:line="160" w:lineRule="exact"/>
              <w:rPr>
                <w:sz w:val="14"/>
                <w:szCs w:val="14"/>
              </w:rPr>
            </w:pPr>
          </w:p>
        </w:tc>
        <w:tc>
          <w:tcPr>
            <w:tcW w:w="113" w:type="dxa"/>
            <w:vAlign w:val="bottom"/>
          </w:tcPr>
          <w:p w14:paraId="15760DE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6CFF9760" w14:textId="77777777" w:rsidR="00595A79" w:rsidRPr="00E11086" w:rsidRDefault="00595A79" w:rsidP="00E470B3">
            <w:pPr>
              <w:tabs>
                <w:tab w:val="decimal" w:pos="113"/>
              </w:tabs>
              <w:spacing w:line="160" w:lineRule="exact"/>
              <w:rPr>
                <w:sz w:val="14"/>
                <w:szCs w:val="14"/>
              </w:rPr>
            </w:pPr>
          </w:p>
        </w:tc>
        <w:tc>
          <w:tcPr>
            <w:tcW w:w="113" w:type="dxa"/>
            <w:vAlign w:val="bottom"/>
          </w:tcPr>
          <w:p w14:paraId="245F3CE1"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74AF5914" w14:textId="77777777" w:rsidR="00595A79" w:rsidRPr="00E11086" w:rsidRDefault="00595A79" w:rsidP="00E470B3">
            <w:pPr>
              <w:tabs>
                <w:tab w:val="decimal" w:pos="113"/>
              </w:tabs>
              <w:spacing w:line="160" w:lineRule="exact"/>
              <w:rPr>
                <w:sz w:val="14"/>
                <w:szCs w:val="14"/>
              </w:rPr>
            </w:pPr>
          </w:p>
        </w:tc>
        <w:tc>
          <w:tcPr>
            <w:tcW w:w="113" w:type="dxa"/>
            <w:vAlign w:val="bottom"/>
          </w:tcPr>
          <w:p w14:paraId="05F95033"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488678C9" w14:textId="77777777" w:rsidR="00595A79" w:rsidRPr="00E11086" w:rsidRDefault="00595A79" w:rsidP="00E470B3">
            <w:pPr>
              <w:tabs>
                <w:tab w:val="decimal" w:pos="113"/>
              </w:tabs>
              <w:spacing w:line="160" w:lineRule="exact"/>
              <w:rPr>
                <w:sz w:val="14"/>
                <w:szCs w:val="14"/>
              </w:rPr>
            </w:pPr>
          </w:p>
        </w:tc>
        <w:tc>
          <w:tcPr>
            <w:tcW w:w="113" w:type="dxa"/>
            <w:vAlign w:val="bottom"/>
          </w:tcPr>
          <w:p w14:paraId="69D4A310"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D809A2C"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69A7390A"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4F44112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15384FA"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C2122F0"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E46534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AF5234F"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9584BB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4B5E7AC9" w14:textId="77777777" w:rsidR="00595A79" w:rsidRPr="00E11086" w:rsidRDefault="00595A79" w:rsidP="00E470B3">
            <w:pPr>
              <w:tabs>
                <w:tab w:val="decimal" w:pos="113"/>
              </w:tabs>
              <w:spacing w:line="160" w:lineRule="exact"/>
              <w:rPr>
                <w:sz w:val="14"/>
                <w:szCs w:val="14"/>
              </w:rPr>
            </w:pPr>
          </w:p>
        </w:tc>
        <w:tc>
          <w:tcPr>
            <w:tcW w:w="113" w:type="dxa"/>
            <w:vAlign w:val="bottom"/>
          </w:tcPr>
          <w:p w14:paraId="029944DE"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CF3B5F0" w14:textId="77777777" w:rsidR="00595A79" w:rsidRPr="00E11086" w:rsidRDefault="00595A79" w:rsidP="00E470B3">
            <w:pPr>
              <w:tabs>
                <w:tab w:val="decimal" w:pos="113"/>
              </w:tabs>
              <w:spacing w:line="160" w:lineRule="exact"/>
              <w:rPr>
                <w:sz w:val="14"/>
                <w:szCs w:val="14"/>
              </w:rPr>
            </w:pPr>
          </w:p>
        </w:tc>
        <w:tc>
          <w:tcPr>
            <w:tcW w:w="113" w:type="dxa"/>
            <w:vAlign w:val="bottom"/>
          </w:tcPr>
          <w:p w14:paraId="3C97A85C"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212298AE"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47481B1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3443E699" w14:textId="77777777" w:rsidR="00595A79" w:rsidRPr="00E11086" w:rsidRDefault="00595A79" w:rsidP="00E470B3">
            <w:pPr>
              <w:tabs>
                <w:tab w:val="decimal" w:pos="113"/>
              </w:tabs>
              <w:spacing w:line="160" w:lineRule="exact"/>
              <w:rPr>
                <w:sz w:val="14"/>
                <w:szCs w:val="14"/>
              </w:rPr>
            </w:pPr>
          </w:p>
        </w:tc>
      </w:tr>
      <w:tr w:rsidR="00595A79" w:rsidRPr="00E11086" w14:paraId="20457656" w14:textId="77777777" w:rsidTr="003675AA">
        <w:tc>
          <w:tcPr>
            <w:tcW w:w="3177" w:type="dxa"/>
            <w:vAlign w:val="bottom"/>
          </w:tcPr>
          <w:p w14:paraId="069971E4"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העברה</w:t>
            </w:r>
            <w:r w:rsidRPr="00E11086">
              <w:rPr>
                <w:sz w:val="14"/>
                <w:szCs w:val="14"/>
                <w:rtl/>
              </w:rPr>
              <w:t xml:space="preserve"> </w:t>
            </w:r>
            <w:r w:rsidRPr="00E11086">
              <w:rPr>
                <w:rFonts w:hint="eastAsia"/>
                <w:sz w:val="14"/>
                <w:szCs w:val="14"/>
                <w:rtl/>
              </w:rPr>
              <w:t>לרווח</w:t>
            </w:r>
            <w:r w:rsidRPr="00E11086">
              <w:rPr>
                <w:sz w:val="14"/>
                <w:szCs w:val="14"/>
                <w:rtl/>
              </w:rPr>
              <w:t xml:space="preserve"> </w:t>
            </w:r>
            <w:r w:rsidRPr="00E11086">
              <w:rPr>
                <w:rFonts w:hint="eastAsia"/>
                <w:sz w:val="14"/>
                <w:szCs w:val="14"/>
                <w:rtl/>
              </w:rPr>
              <w:t>או</w:t>
            </w:r>
            <w:r w:rsidRPr="00E11086">
              <w:rPr>
                <w:sz w:val="14"/>
                <w:szCs w:val="14"/>
                <w:rtl/>
              </w:rPr>
              <w:t xml:space="preserve"> </w:t>
            </w:r>
            <w:r w:rsidRPr="00E11086">
              <w:rPr>
                <w:rFonts w:hint="eastAsia"/>
                <w:sz w:val="14"/>
                <w:szCs w:val="14"/>
                <w:rtl/>
              </w:rPr>
              <w:t>הפסד</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מימוש</w:t>
            </w:r>
            <w:r w:rsidRPr="00E11086">
              <w:rPr>
                <w:sz w:val="14"/>
                <w:szCs w:val="14"/>
                <w:rtl/>
              </w:rPr>
              <w:t xml:space="preserve"> </w:t>
            </w:r>
            <w:r w:rsidRPr="00E11086">
              <w:rPr>
                <w:rFonts w:hint="eastAsia"/>
                <w:sz w:val="14"/>
                <w:szCs w:val="14"/>
                <w:rtl/>
              </w:rPr>
              <w:t>פעילות</w:t>
            </w:r>
            <w:r w:rsidRPr="00E11086">
              <w:rPr>
                <w:sz w:val="14"/>
                <w:szCs w:val="14"/>
                <w:rtl/>
              </w:rPr>
              <w:t xml:space="preserve"> </w:t>
            </w:r>
            <w:r w:rsidRPr="00E11086">
              <w:rPr>
                <w:rFonts w:hint="eastAsia"/>
                <w:sz w:val="14"/>
                <w:szCs w:val="14"/>
                <w:rtl/>
              </w:rPr>
              <w:t>חוץ</w:t>
            </w:r>
          </w:p>
        </w:tc>
        <w:tc>
          <w:tcPr>
            <w:tcW w:w="113" w:type="dxa"/>
            <w:vAlign w:val="bottom"/>
          </w:tcPr>
          <w:p w14:paraId="47B2E53C"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35110B7C" w14:textId="77777777" w:rsidR="00595A79" w:rsidRPr="00E11086" w:rsidRDefault="00595A79" w:rsidP="00E470B3">
            <w:pPr>
              <w:tabs>
                <w:tab w:val="decimal" w:pos="113"/>
              </w:tabs>
              <w:spacing w:line="160" w:lineRule="exact"/>
              <w:rPr>
                <w:sz w:val="14"/>
                <w:szCs w:val="14"/>
              </w:rPr>
            </w:pPr>
          </w:p>
        </w:tc>
        <w:tc>
          <w:tcPr>
            <w:tcW w:w="113" w:type="dxa"/>
            <w:vAlign w:val="bottom"/>
          </w:tcPr>
          <w:p w14:paraId="69F261F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2A563B4" w14:textId="77777777" w:rsidR="00595A79" w:rsidRPr="00E11086" w:rsidRDefault="00595A79" w:rsidP="00E470B3">
            <w:pPr>
              <w:tabs>
                <w:tab w:val="decimal" w:pos="113"/>
              </w:tabs>
              <w:spacing w:line="160" w:lineRule="exact"/>
              <w:rPr>
                <w:sz w:val="14"/>
                <w:szCs w:val="14"/>
              </w:rPr>
            </w:pPr>
          </w:p>
        </w:tc>
        <w:tc>
          <w:tcPr>
            <w:tcW w:w="113" w:type="dxa"/>
            <w:vAlign w:val="bottom"/>
          </w:tcPr>
          <w:p w14:paraId="6DEEA67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775E8CA" w14:textId="77777777" w:rsidR="00595A79" w:rsidRPr="00E11086" w:rsidRDefault="00595A79" w:rsidP="00E470B3">
            <w:pPr>
              <w:tabs>
                <w:tab w:val="decimal" w:pos="113"/>
              </w:tabs>
              <w:spacing w:line="160" w:lineRule="exact"/>
              <w:rPr>
                <w:sz w:val="14"/>
                <w:szCs w:val="14"/>
              </w:rPr>
            </w:pPr>
          </w:p>
        </w:tc>
        <w:tc>
          <w:tcPr>
            <w:tcW w:w="113" w:type="dxa"/>
          </w:tcPr>
          <w:p w14:paraId="0170966E"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5747B5FA" w14:textId="77777777" w:rsidR="00595A79" w:rsidRPr="00E11086" w:rsidRDefault="00595A79" w:rsidP="00E470B3">
            <w:pPr>
              <w:tabs>
                <w:tab w:val="decimal" w:pos="113"/>
              </w:tabs>
              <w:spacing w:line="160" w:lineRule="exact"/>
              <w:rPr>
                <w:sz w:val="14"/>
                <w:szCs w:val="14"/>
              </w:rPr>
            </w:pPr>
          </w:p>
        </w:tc>
        <w:tc>
          <w:tcPr>
            <w:tcW w:w="113" w:type="dxa"/>
          </w:tcPr>
          <w:p w14:paraId="751D249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7A129CCF" w14:textId="77777777" w:rsidR="00595A79" w:rsidRPr="00E11086" w:rsidRDefault="00595A79" w:rsidP="00E470B3">
            <w:pPr>
              <w:tabs>
                <w:tab w:val="decimal" w:pos="113"/>
              </w:tabs>
              <w:spacing w:line="160" w:lineRule="exact"/>
              <w:rPr>
                <w:sz w:val="14"/>
                <w:szCs w:val="14"/>
              </w:rPr>
            </w:pPr>
          </w:p>
        </w:tc>
        <w:tc>
          <w:tcPr>
            <w:tcW w:w="113" w:type="dxa"/>
            <w:vAlign w:val="bottom"/>
          </w:tcPr>
          <w:p w14:paraId="3716A21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A56288B" w14:textId="77777777" w:rsidR="00595A79" w:rsidRPr="00E11086" w:rsidRDefault="00595A79" w:rsidP="00E470B3">
            <w:pPr>
              <w:tabs>
                <w:tab w:val="decimal" w:pos="113"/>
              </w:tabs>
              <w:spacing w:line="160" w:lineRule="exact"/>
              <w:rPr>
                <w:sz w:val="14"/>
                <w:szCs w:val="14"/>
              </w:rPr>
            </w:pPr>
          </w:p>
        </w:tc>
        <w:tc>
          <w:tcPr>
            <w:tcW w:w="113" w:type="dxa"/>
            <w:vAlign w:val="bottom"/>
          </w:tcPr>
          <w:p w14:paraId="565E5FEB"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7D92AB49" w14:textId="77777777" w:rsidR="00595A79" w:rsidRPr="00E11086" w:rsidRDefault="00595A79" w:rsidP="00E470B3">
            <w:pPr>
              <w:tabs>
                <w:tab w:val="decimal" w:pos="113"/>
              </w:tabs>
              <w:spacing w:line="160" w:lineRule="exact"/>
              <w:rPr>
                <w:sz w:val="14"/>
                <w:szCs w:val="14"/>
              </w:rPr>
            </w:pPr>
          </w:p>
        </w:tc>
        <w:tc>
          <w:tcPr>
            <w:tcW w:w="113" w:type="dxa"/>
            <w:vAlign w:val="bottom"/>
          </w:tcPr>
          <w:p w14:paraId="7EC20574"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74582FBE" w14:textId="77777777" w:rsidR="00595A79" w:rsidRPr="00E11086" w:rsidRDefault="00595A79" w:rsidP="00E470B3">
            <w:pPr>
              <w:tabs>
                <w:tab w:val="decimal" w:pos="113"/>
              </w:tabs>
              <w:spacing w:line="160" w:lineRule="exact"/>
              <w:rPr>
                <w:sz w:val="14"/>
                <w:szCs w:val="14"/>
              </w:rPr>
            </w:pPr>
          </w:p>
        </w:tc>
        <w:tc>
          <w:tcPr>
            <w:tcW w:w="113" w:type="dxa"/>
            <w:vAlign w:val="bottom"/>
          </w:tcPr>
          <w:p w14:paraId="762C8EE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673DA2A"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45853C6C"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236BD9C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B8F236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D4EEEE7"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82FF9C0"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38CE87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FBEA2B3"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F7490D5" w14:textId="77777777" w:rsidR="00595A79" w:rsidRPr="00E11086" w:rsidRDefault="00595A79" w:rsidP="00E470B3">
            <w:pPr>
              <w:tabs>
                <w:tab w:val="decimal" w:pos="113"/>
              </w:tabs>
              <w:spacing w:line="160" w:lineRule="exact"/>
              <w:rPr>
                <w:sz w:val="14"/>
                <w:szCs w:val="14"/>
              </w:rPr>
            </w:pPr>
          </w:p>
        </w:tc>
        <w:tc>
          <w:tcPr>
            <w:tcW w:w="113" w:type="dxa"/>
            <w:vAlign w:val="bottom"/>
          </w:tcPr>
          <w:p w14:paraId="15E5131F"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101B5AA4" w14:textId="77777777" w:rsidR="00595A79" w:rsidRPr="00E11086" w:rsidRDefault="00595A79" w:rsidP="00E470B3">
            <w:pPr>
              <w:tabs>
                <w:tab w:val="decimal" w:pos="113"/>
              </w:tabs>
              <w:spacing w:line="160" w:lineRule="exact"/>
              <w:rPr>
                <w:sz w:val="14"/>
                <w:szCs w:val="14"/>
              </w:rPr>
            </w:pPr>
          </w:p>
        </w:tc>
        <w:tc>
          <w:tcPr>
            <w:tcW w:w="113" w:type="dxa"/>
            <w:vAlign w:val="bottom"/>
          </w:tcPr>
          <w:p w14:paraId="0470F8E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D09A003"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754C9B15"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16E6688C" w14:textId="77777777" w:rsidR="00595A79" w:rsidRPr="00E11086" w:rsidRDefault="00595A79" w:rsidP="00E470B3">
            <w:pPr>
              <w:tabs>
                <w:tab w:val="decimal" w:pos="113"/>
              </w:tabs>
              <w:spacing w:line="160" w:lineRule="exact"/>
              <w:rPr>
                <w:sz w:val="14"/>
                <w:szCs w:val="14"/>
              </w:rPr>
            </w:pPr>
          </w:p>
        </w:tc>
      </w:tr>
      <w:tr w:rsidR="00777B7A" w:rsidRPr="00E11086" w14:paraId="79053EFB" w14:textId="77777777" w:rsidTr="003675AA">
        <w:tc>
          <w:tcPr>
            <w:tcW w:w="3177" w:type="dxa"/>
            <w:vAlign w:val="bottom"/>
          </w:tcPr>
          <w:p w14:paraId="23D992EB"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חלק</w:t>
            </w:r>
            <w:r w:rsidRPr="00E11086">
              <w:rPr>
                <w:sz w:val="14"/>
                <w:szCs w:val="14"/>
                <w:rtl/>
              </w:rPr>
              <w:t xml:space="preserve"> </w:t>
            </w:r>
            <w:r w:rsidRPr="00E11086">
              <w:rPr>
                <w:rFonts w:hint="eastAsia"/>
                <w:sz w:val="14"/>
                <w:szCs w:val="14"/>
                <w:rtl/>
              </w:rPr>
              <w:t>הקבוצה</w:t>
            </w:r>
            <w:r w:rsidRPr="00E11086">
              <w:rPr>
                <w:sz w:val="14"/>
                <w:szCs w:val="14"/>
                <w:rtl/>
              </w:rPr>
              <w:t xml:space="preserve"> </w:t>
            </w:r>
            <w:r w:rsidRPr="00E11086">
              <w:rPr>
                <w:rFonts w:hint="eastAsia"/>
                <w:sz w:val="14"/>
                <w:szCs w:val="14"/>
                <w:rtl/>
              </w:rPr>
              <w:t>ברווח</w:t>
            </w:r>
            <w:r w:rsidRPr="00E11086">
              <w:rPr>
                <w:sz w:val="14"/>
                <w:szCs w:val="14"/>
                <w:rtl/>
              </w:rPr>
              <w:t xml:space="preserve"> (הפסד) </w:t>
            </w:r>
            <w:r w:rsidRPr="00E11086">
              <w:rPr>
                <w:rFonts w:hint="eastAsia"/>
                <w:sz w:val="14"/>
                <w:szCs w:val="14"/>
                <w:rtl/>
              </w:rPr>
              <w:t>כולל</w:t>
            </w:r>
            <w:r w:rsidRPr="00E11086">
              <w:rPr>
                <w:sz w:val="14"/>
                <w:szCs w:val="14"/>
                <w:rtl/>
              </w:rPr>
              <w:t xml:space="preserve"> </w:t>
            </w:r>
            <w:r w:rsidRPr="00E11086">
              <w:rPr>
                <w:rFonts w:hint="eastAsia"/>
                <w:sz w:val="14"/>
                <w:szCs w:val="14"/>
                <w:rtl/>
              </w:rPr>
              <w:t>אחר</w:t>
            </w:r>
            <w:r w:rsidRPr="00E11086">
              <w:rPr>
                <w:sz w:val="14"/>
                <w:szCs w:val="14"/>
                <w:rtl/>
              </w:rPr>
              <w:t xml:space="preserve">, </w:t>
            </w:r>
            <w:r w:rsidRPr="00E11086">
              <w:rPr>
                <w:rFonts w:hint="eastAsia"/>
                <w:sz w:val="14"/>
                <w:szCs w:val="14"/>
                <w:rtl/>
              </w:rPr>
              <w:t>נטו</w:t>
            </w:r>
            <w:r w:rsidRPr="00E11086">
              <w:rPr>
                <w:sz w:val="14"/>
                <w:szCs w:val="14"/>
                <w:rtl/>
              </w:rPr>
              <w:t xml:space="preserve"> </w:t>
            </w:r>
            <w:r w:rsidRPr="00E11086">
              <w:rPr>
                <w:rFonts w:hint="eastAsia"/>
                <w:sz w:val="14"/>
                <w:szCs w:val="14"/>
                <w:rtl/>
              </w:rPr>
              <w:t>של</w:t>
            </w:r>
            <w:r w:rsidRPr="00E11086">
              <w:rPr>
                <w:sz w:val="14"/>
                <w:szCs w:val="14"/>
                <w:rtl/>
              </w:rPr>
              <w:t xml:space="preserve"> </w:t>
            </w:r>
            <w:r w:rsidRPr="00E11086">
              <w:rPr>
                <w:rFonts w:hint="eastAsia"/>
                <w:sz w:val="14"/>
                <w:szCs w:val="14"/>
                <w:rtl/>
              </w:rPr>
              <w:t>חברות</w:t>
            </w:r>
            <w:r w:rsidRPr="00E11086">
              <w:rPr>
                <w:sz w:val="14"/>
                <w:szCs w:val="14"/>
                <w:rtl/>
              </w:rPr>
              <w:t xml:space="preserve"> </w:t>
            </w:r>
            <w:r w:rsidRPr="00E11086">
              <w:rPr>
                <w:rFonts w:hint="eastAsia"/>
                <w:sz w:val="14"/>
                <w:szCs w:val="14"/>
                <w:rtl/>
              </w:rPr>
              <w:t>המטופלות</w:t>
            </w:r>
            <w:r w:rsidRPr="00E11086">
              <w:rPr>
                <w:sz w:val="14"/>
                <w:szCs w:val="14"/>
                <w:rtl/>
              </w:rPr>
              <w:t xml:space="preserve"> </w:t>
            </w:r>
            <w:r w:rsidRPr="00E11086">
              <w:rPr>
                <w:rFonts w:hint="eastAsia"/>
                <w:sz w:val="14"/>
                <w:szCs w:val="14"/>
                <w:rtl/>
              </w:rPr>
              <w:t>לפי</w:t>
            </w:r>
            <w:r w:rsidRPr="00E11086">
              <w:rPr>
                <w:sz w:val="14"/>
                <w:szCs w:val="14"/>
                <w:rtl/>
              </w:rPr>
              <w:t xml:space="preserve"> </w:t>
            </w:r>
            <w:r w:rsidRPr="00E11086">
              <w:rPr>
                <w:rFonts w:hint="eastAsia"/>
                <w:sz w:val="14"/>
                <w:szCs w:val="14"/>
                <w:rtl/>
              </w:rPr>
              <w:t>שיטת</w:t>
            </w:r>
            <w:r w:rsidRPr="00E11086">
              <w:rPr>
                <w:sz w:val="14"/>
                <w:szCs w:val="14"/>
                <w:rtl/>
              </w:rPr>
              <w:t xml:space="preserve"> </w:t>
            </w:r>
            <w:r w:rsidRPr="00E11086">
              <w:rPr>
                <w:rFonts w:hint="eastAsia"/>
                <w:sz w:val="14"/>
                <w:szCs w:val="14"/>
                <w:rtl/>
              </w:rPr>
              <w:t>השווי</w:t>
            </w:r>
            <w:r w:rsidRPr="00E11086">
              <w:rPr>
                <w:sz w:val="14"/>
                <w:szCs w:val="14"/>
                <w:rtl/>
              </w:rPr>
              <w:t xml:space="preserve"> </w:t>
            </w:r>
            <w:r w:rsidRPr="00E11086">
              <w:rPr>
                <w:rFonts w:hint="eastAsia"/>
                <w:sz w:val="14"/>
                <w:szCs w:val="14"/>
                <w:rtl/>
              </w:rPr>
              <w:t>המאזני</w:t>
            </w:r>
          </w:p>
        </w:tc>
        <w:tc>
          <w:tcPr>
            <w:tcW w:w="113" w:type="dxa"/>
            <w:vAlign w:val="bottom"/>
          </w:tcPr>
          <w:p w14:paraId="6CE5F465" w14:textId="77777777" w:rsidR="00595A79" w:rsidRPr="00E11086" w:rsidRDefault="00595A79" w:rsidP="00E470B3">
            <w:pPr>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4CDDBB48" w14:textId="77777777" w:rsidR="00595A79" w:rsidRPr="00E11086" w:rsidRDefault="00595A79" w:rsidP="00E470B3">
            <w:pPr>
              <w:tabs>
                <w:tab w:val="decimal" w:pos="113"/>
              </w:tabs>
              <w:spacing w:line="160" w:lineRule="exact"/>
              <w:rPr>
                <w:sz w:val="14"/>
                <w:szCs w:val="14"/>
              </w:rPr>
            </w:pPr>
          </w:p>
        </w:tc>
        <w:tc>
          <w:tcPr>
            <w:tcW w:w="113" w:type="dxa"/>
            <w:vAlign w:val="bottom"/>
          </w:tcPr>
          <w:p w14:paraId="716684E8"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0505AAA0" w14:textId="77777777" w:rsidR="00595A79" w:rsidRPr="00E11086" w:rsidRDefault="00595A79" w:rsidP="00E470B3">
            <w:pPr>
              <w:tabs>
                <w:tab w:val="decimal" w:pos="113"/>
              </w:tabs>
              <w:spacing w:line="160" w:lineRule="exact"/>
              <w:rPr>
                <w:sz w:val="14"/>
                <w:szCs w:val="14"/>
              </w:rPr>
            </w:pPr>
          </w:p>
        </w:tc>
        <w:tc>
          <w:tcPr>
            <w:tcW w:w="113" w:type="dxa"/>
            <w:vAlign w:val="bottom"/>
          </w:tcPr>
          <w:p w14:paraId="456F76CB"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602D2C33" w14:textId="77777777" w:rsidR="00595A79" w:rsidRPr="00E11086" w:rsidRDefault="00595A79" w:rsidP="00E470B3">
            <w:pPr>
              <w:tabs>
                <w:tab w:val="decimal" w:pos="113"/>
              </w:tabs>
              <w:spacing w:line="160" w:lineRule="exact"/>
              <w:rPr>
                <w:sz w:val="14"/>
                <w:szCs w:val="14"/>
              </w:rPr>
            </w:pPr>
          </w:p>
        </w:tc>
        <w:tc>
          <w:tcPr>
            <w:tcW w:w="113" w:type="dxa"/>
          </w:tcPr>
          <w:p w14:paraId="4005944B" w14:textId="77777777" w:rsidR="00595A79" w:rsidRPr="00E11086" w:rsidRDefault="00595A7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tcPr>
          <w:p w14:paraId="3116CD13" w14:textId="77777777" w:rsidR="00595A79" w:rsidRPr="00E11086" w:rsidRDefault="00595A79" w:rsidP="00E470B3">
            <w:pPr>
              <w:tabs>
                <w:tab w:val="decimal" w:pos="113"/>
              </w:tabs>
              <w:spacing w:line="160" w:lineRule="exact"/>
              <w:rPr>
                <w:sz w:val="14"/>
                <w:szCs w:val="14"/>
              </w:rPr>
            </w:pPr>
          </w:p>
        </w:tc>
        <w:tc>
          <w:tcPr>
            <w:tcW w:w="113" w:type="dxa"/>
          </w:tcPr>
          <w:p w14:paraId="52C624D9"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tcPr>
          <w:p w14:paraId="16807599" w14:textId="77777777" w:rsidR="00595A79" w:rsidRPr="00E11086" w:rsidRDefault="00595A79" w:rsidP="00E470B3">
            <w:pPr>
              <w:tabs>
                <w:tab w:val="decimal" w:pos="113"/>
              </w:tabs>
              <w:spacing w:line="160" w:lineRule="exact"/>
              <w:rPr>
                <w:sz w:val="14"/>
                <w:szCs w:val="14"/>
              </w:rPr>
            </w:pPr>
          </w:p>
        </w:tc>
        <w:tc>
          <w:tcPr>
            <w:tcW w:w="113" w:type="dxa"/>
            <w:vAlign w:val="bottom"/>
          </w:tcPr>
          <w:p w14:paraId="592C1D1C"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0C65B3A9" w14:textId="77777777" w:rsidR="00595A79" w:rsidRPr="00E11086" w:rsidRDefault="00595A79" w:rsidP="00E470B3">
            <w:pPr>
              <w:tabs>
                <w:tab w:val="decimal" w:pos="113"/>
              </w:tabs>
              <w:spacing w:line="160" w:lineRule="exact"/>
              <w:rPr>
                <w:sz w:val="14"/>
                <w:szCs w:val="14"/>
              </w:rPr>
            </w:pPr>
          </w:p>
        </w:tc>
        <w:tc>
          <w:tcPr>
            <w:tcW w:w="113" w:type="dxa"/>
            <w:vAlign w:val="bottom"/>
          </w:tcPr>
          <w:p w14:paraId="34AA10DE" w14:textId="77777777" w:rsidR="00595A79" w:rsidRPr="00E11086" w:rsidRDefault="00595A7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7B55F082" w14:textId="77777777" w:rsidR="00595A79" w:rsidRPr="00E11086" w:rsidRDefault="00595A79" w:rsidP="00E470B3">
            <w:pPr>
              <w:tabs>
                <w:tab w:val="decimal" w:pos="113"/>
              </w:tabs>
              <w:spacing w:line="160" w:lineRule="exact"/>
              <w:rPr>
                <w:sz w:val="14"/>
                <w:szCs w:val="14"/>
              </w:rPr>
            </w:pPr>
          </w:p>
        </w:tc>
        <w:tc>
          <w:tcPr>
            <w:tcW w:w="113" w:type="dxa"/>
            <w:vAlign w:val="bottom"/>
          </w:tcPr>
          <w:p w14:paraId="2AF89F98" w14:textId="77777777" w:rsidR="00595A79" w:rsidRPr="00E11086" w:rsidRDefault="00595A7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1F0F4125" w14:textId="77777777" w:rsidR="00595A79" w:rsidRPr="00E11086" w:rsidRDefault="00595A79" w:rsidP="00E470B3">
            <w:pPr>
              <w:tabs>
                <w:tab w:val="decimal" w:pos="113"/>
              </w:tabs>
              <w:spacing w:line="160" w:lineRule="exact"/>
              <w:rPr>
                <w:sz w:val="14"/>
                <w:szCs w:val="14"/>
              </w:rPr>
            </w:pPr>
          </w:p>
        </w:tc>
        <w:tc>
          <w:tcPr>
            <w:tcW w:w="113" w:type="dxa"/>
            <w:vAlign w:val="bottom"/>
          </w:tcPr>
          <w:p w14:paraId="2742E164"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4BCD6E9A"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2318E968" w14:textId="77777777" w:rsidR="00595A79" w:rsidRPr="00E11086" w:rsidRDefault="00595A79" w:rsidP="00E470B3">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0DBEFDFF"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322D07D"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19A535B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20B3D8B"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3444EBF1"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31C4C80"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7FAF9D11" w14:textId="77777777" w:rsidR="00595A79" w:rsidRPr="00E11086" w:rsidRDefault="00595A79" w:rsidP="00E470B3">
            <w:pPr>
              <w:tabs>
                <w:tab w:val="decimal" w:pos="113"/>
              </w:tabs>
              <w:spacing w:line="160" w:lineRule="exact"/>
              <w:rPr>
                <w:sz w:val="14"/>
                <w:szCs w:val="14"/>
              </w:rPr>
            </w:pPr>
          </w:p>
        </w:tc>
        <w:tc>
          <w:tcPr>
            <w:tcW w:w="113" w:type="dxa"/>
            <w:vAlign w:val="bottom"/>
          </w:tcPr>
          <w:p w14:paraId="0F299BD3" w14:textId="77777777" w:rsidR="00595A79" w:rsidRPr="00E11086" w:rsidRDefault="00595A7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4A4BB0DD" w14:textId="77777777" w:rsidR="00595A79" w:rsidRPr="00E11086" w:rsidRDefault="00595A79" w:rsidP="00E470B3">
            <w:pPr>
              <w:tabs>
                <w:tab w:val="decimal" w:pos="113"/>
              </w:tabs>
              <w:spacing w:line="160" w:lineRule="exact"/>
              <w:rPr>
                <w:sz w:val="14"/>
                <w:szCs w:val="14"/>
              </w:rPr>
            </w:pPr>
          </w:p>
        </w:tc>
        <w:tc>
          <w:tcPr>
            <w:tcW w:w="113" w:type="dxa"/>
            <w:vAlign w:val="bottom"/>
          </w:tcPr>
          <w:p w14:paraId="54CCE580" w14:textId="77777777" w:rsidR="00595A79" w:rsidRPr="00E11086" w:rsidRDefault="00595A7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538D49D3"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6E55F3D3" w14:textId="77777777" w:rsidR="00595A79" w:rsidRPr="00E11086" w:rsidRDefault="00595A7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tcPr>
          <w:p w14:paraId="7277CD20" w14:textId="77777777" w:rsidR="00595A79" w:rsidRPr="00E11086" w:rsidRDefault="00595A79" w:rsidP="00E470B3">
            <w:pPr>
              <w:tabs>
                <w:tab w:val="decimal" w:pos="113"/>
              </w:tabs>
              <w:spacing w:line="160" w:lineRule="exact"/>
              <w:rPr>
                <w:sz w:val="14"/>
                <w:szCs w:val="14"/>
              </w:rPr>
            </w:pPr>
          </w:p>
        </w:tc>
      </w:tr>
      <w:tr w:rsidR="003C4011" w:rsidRPr="00E11086" w14:paraId="4A44B353" w14:textId="77777777" w:rsidTr="003675AA">
        <w:tc>
          <w:tcPr>
            <w:tcW w:w="3177" w:type="dxa"/>
            <w:vAlign w:val="bottom"/>
          </w:tcPr>
          <w:p w14:paraId="774EB98E" w14:textId="77777777" w:rsidR="00264F64" w:rsidRPr="00E11086" w:rsidRDefault="00595A79" w:rsidP="00E91DD1">
            <w:pPr>
              <w:widowControl/>
              <w:spacing w:line="160" w:lineRule="exact"/>
              <w:ind w:left="198" w:hanging="170"/>
              <w:jc w:val="left"/>
              <w:rPr>
                <w:sz w:val="14"/>
                <w:szCs w:val="14"/>
                <w:rtl/>
              </w:rPr>
            </w:pPr>
            <w:r w:rsidRPr="00E11086">
              <w:rPr>
                <w:rFonts w:hint="cs"/>
                <w:sz w:val="14"/>
                <w:szCs w:val="14"/>
                <w:rtl/>
              </w:rPr>
              <w:t xml:space="preserve">סה"כ </w:t>
            </w:r>
            <w:r w:rsidR="000C4C0E" w:rsidRPr="00E11086">
              <w:rPr>
                <w:rFonts w:hint="eastAsia"/>
                <w:sz w:val="14"/>
                <w:szCs w:val="14"/>
                <w:rtl/>
              </w:rPr>
              <w:t>רווח</w:t>
            </w:r>
            <w:r w:rsidR="000C4C0E" w:rsidRPr="00E11086">
              <w:rPr>
                <w:sz w:val="14"/>
                <w:szCs w:val="14"/>
                <w:rtl/>
              </w:rPr>
              <w:t xml:space="preserve"> (הפסד) </w:t>
            </w:r>
            <w:r w:rsidR="000C4C0E" w:rsidRPr="00E11086">
              <w:rPr>
                <w:rFonts w:hint="eastAsia"/>
                <w:sz w:val="14"/>
                <w:szCs w:val="14"/>
                <w:rtl/>
              </w:rPr>
              <w:t>כולל</w:t>
            </w:r>
            <w:r w:rsidR="000C4C0E" w:rsidRPr="00E11086">
              <w:rPr>
                <w:sz w:val="14"/>
                <w:szCs w:val="14"/>
                <w:rtl/>
              </w:rPr>
              <w:t xml:space="preserve"> </w:t>
            </w:r>
            <w:r w:rsidR="000C4C0E" w:rsidRPr="00E11086">
              <w:rPr>
                <w:rFonts w:hint="eastAsia"/>
                <w:sz w:val="14"/>
                <w:szCs w:val="14"/>
                <w:rtl/>
              </w:rPr>
              <w:t>אחר</w:t>
            </w:r>
          </w:p>
        </w:tc>
        <w:tc>
          <w:tcPr>
            <w:tcW w:w="113" w:type="dxa"/>
            <w:vAlign w:val="bottom"/>
          </w:tcPr>
          <w:p w14:paraId="22316244" w14:textId="77777777" w:rsidR="00595A79" w:rsidRPr="00E11086" w:rsidRDefault="00595A79" w:rsidP="00E470B3">
            <w:pPr>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5B9390E9" w14:textId="77777777" w:rsidR="00595A79" w:rsidRPr="00E11086" w:rsidRDefault="00595A79" w:rsidP="00E470B3">
            <w:pPr>
              <w:tabs>
                <w:tab w:val="decimal" w:pos="113"/>
              </w:tabs>
              <w:spacing w:line="160" w:lineRule="exact"/>
              <w:rPr>
                <w:sz w:val="14"/>
                <w:szCs w:val="14"/>
              </w:rPr>
            </w:pPr>
          </w:p>
        </w:tc>
        <w:tc>
          <w:tcPr>
            <w:tcW w:w="113" w:type="dxa"/>
            <w:vAlign w:val="bottom"/>
          </w:tcPr>
          <w:p w14:paraId="472B1C0D"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5BDFFDA8" w14:textId="77777777" w:rsidR="00595A79" w:rsidRPr="00E11086" w:rsidRDefault="00595A79" w:rsidP="00E470B3">
            <w:pPr>
              <w:tabs>
                <w:tab w:val="decimal" w:pos="113"/>
              </w:tabs>
              <w:spacing w:line="160" w:lineRule="exact"/>
              <w:rPr>
                <w:sz w:val="14"/>
                <w:szCs w:val="14"/>
              </w:rPr>
            </w:pPr>
          </w:p>
        </w:tc>
        <w:tc>
          <w:tcPr>
            <w:tcW w:w="113" w:type="dxa"/>
            <w:vAlign w:val="bottom"/>
          </w:tcPr>
          <w:p w14:paraId="3B12F531"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61552680" w14:textId="77777777" w:rsidR="00595A79" w:rsidRPr="00E11086" w:rsidRDefault="00595A79" w:rsidP="00E470B3">
            <w:pPr>
              <w:tabs>
                <w:tab w:val="decimal" w:pos="113"/>
              </w:tabs>
              <w:spacing w:line="160" w:lineRule="exact"/>
              <w:rPr>
                <w:sz w:val="14"/>
                <w:szCs w:val="14"/>
              </w:rPr>
            </w:pPr>
          </w:p>
        </w:tc>
        <w:tc>
          <w:tcPr>
            <w:tcW w:w="113" w:type="dxa"/>
          </w:tcPr>
          <w:p w14:paraId="1AB2E434" w14:textId="77777777" w:rsidR="00595A79" w:rsidRPr="00E11086" w:rsidRDefault="00595A7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tcPr>
          <w:p w14:paraId="5BE9615A" w14:textId="77777777" w:rsidR="00595A79" w:rsidRPr="00E11086" w:rsidRDefault="00595A79" w:rsidP="00E470B3">
            <w:pPr>
              <w:tabs>
                <w:tab w:val="decimal" w:pos="113"/>
              </w:tabs>
              <w:spacing w:line="160" w:lineRule="exact"/>
              <w:rPr>
                <w:sz w:val="14"/>
                <w:szCs w:val="14"/>
              </w:rPr>
            </w:pPr>
          </w:p>
        </w:tc>
        <w:tc>
          <w:tcPr>
            <w:tcW w:w="113" w:type="dxa"/>
          </w:tcPr>
          <w:p w14:paraId="234897F5"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tcPr>
          <w:p w14:paraId="32FA58D0" w14:textId="77777777" w:rsidR="00595A79" w:rsidRPr="00E11086" w:rsidRDefault="00595A79" w:rsidP="00E470B3">
            <w:pPr>
              <w:tabs>
                <w:tab w:val="decimal" w:pos="113"/>
              </w:tabs>
              <w:spacing w:line="160" w:lineRule="exact"/>
              <w:rPr>
                <w:sz w:val="14"/>
                <w:szCs w:val="14"/>
              </w:rPr>
            </w:pPr>
          </w:p>
        </w:tc>
        <w:tc>
          <w:tcPr>
            <w:tcW w:w="113" w:type="dxa"/>
            <w:vAlign w:val="bottom"/>
          </w:tcPr>
          <w:p w14:paraId="492DEFFD"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025CA13E" w14:textId="77777777" w:rsidR="00595A79" w:rsidRPr="00E11086" w:rsidRDefault="00595A79" w:rsidP="00E470B3">
            <w:pPr>
              <w:tabs>
                <w:tab w:val="decimal" w:pos="113"/>
              </w:tabs>
              <w:spacing w:line="160" w:lineRule="exact"/>
              <w:rPr>
                <w:sz w:val="14"/>
                <w:szCs w:val="14"/>
              </w:rPr>
            </w:pPr>
          </w:p>
        </w:tc>
        <w:tc>
          <w:tcPr>
            <w:tcW w:w="113" w:type="dxa"/>
            <w:vAlign w:val="bottom"/>
          </w:tcPr>
          <w:p w14:paraId="36A28351" w14:textId="77777777" w:rsidR="00595A79" w:rsidRPr="00E11086" w:rsidRDefault="00595A7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13949252" w14:textId="77777777" w:rsidR="00595A79" w:rsidRPr="00E11086" w:rsidRDefault="00595A79" w:rsidP="00E470B3">
            <w:pPr>
              <w:tabs>
                <w:tab w:val="decimal" w:pos="113"/>
              </w:tabs>
              <w:spacing w:line="160" w:lineRule="exact"/>
              <w:rPr>
                <w:sz w:val="14"/>
                <w:szCs w:val="14"/>
              </w:rPr>
            </w:pPr>
          </w:p>
        </w:tc>
        <w:tc>
          <w:tcPr>
            <w:tcW w:w="113" w:type="dxa"/>
            <w:vAlign w:val="bottom"/>
          </w:tcPr>
          <w:p w14:paraId="45BE20BE" w14:textId="77777777" w:rsidR="00595A79" w:rsidRPr="00E11086" w:rsidRDefault="00595A7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29FAE168" w14:textId="77777777" w:rsidR="00595A79" w:rsidRPr="00E11086" w:rsidRDefault="00595A79" w:rsidP="00E470B3">
            <w:pPr>
              <w:tabs>
                <w:tab w:val="decimal" w:pos="113"/>
              </w:tabs>
              <w:spacing w:line="160" w:lineRule="exact"/>
              <w:rPr>
                <w:sz w:val="14"/>
                <w:szCs w:val="14"/>
              </w:rPr>
            </w:pPr>
          </w:p>
        </w:tc>
        <w:tc>
          <w:tcPr>
            <w:tcW w:w="113" w:type="dxa"/>
            <w:vAlign w:val="bottom"/>
          </w:tcPr>
          <w:p w14:paraId="18A61818"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36F704DF"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3D82A2AC" w14:textId="77777777" w:rsidR="00595A79" w:rsidRPr="00E11086" w:rsidRDefault="00595A79" w:rsidP="00E470B3">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57A77B2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F2C3267"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6D966BD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EB3E974"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170FD299"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50EE7AF"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37DB15F1" w14:textId="77777777" w:rsidR="00595A79" w:rsidRPr="00E11086" w:rsidRDefault="00595A79" w:rsidP="00E470B3">
            <w:pPr>
              <w:tabs>
                <w:tab w:val="decimal" w:pos="113"/>
              </w:tabs>
              <w:spacing w:line="160" w:lineRule="exact"/>
              <w:rPr>
                <w:sz w:val="14"/>
                <w:szCs w:val="14"/>
              </w:rPr>
            </w:pPr>
          </w:p>
        </w:tc>
        <w:tc>
          <w:tcPr>
            <w:tcW w:w="113" w:type="dxa"/>
            <w:vAlign w:val="bottom"/>
          </w:tcPr>
          <w:p w14:paraId="6AE59192" w14:textId="77777777" w:rsidR="00595A79" w:rsidRPr="00E11086" w:rsidRDefault="00595A7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040E71C6" w14:textId="77777777" w:rsidR="00595A79" w:rsidRPr="00E11086" w:rsidRDefault="00595A79" w:rsidP="00E470B3">
            <w:pPr>
              <w:tabs>
                <w:tab w:val="decimal" w:pos="113"/>
              </w:tabs>
              <w:spacing w:line="160" w:lineRule="exact"/>
              <w:rPr>
                <w:sz w:val="14"/>
                <w:szCs w:val="14"/>
              </w:rPr>
            </w:pPr>
          </w:p>
        </w:tc>
        <w:tc>
          <w:tcPr>
            <w:tcW w:w="113" w:type="dxa"/>
            <w:vAlign w:val="bottom"/>
          </w:tcPr>
          <w:p w14:paraId="392F636A" w14:textId="77777777" w:rsidR="00595A79" w:rsidRPr="00E11086" w:rsidRDefault="00595A7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6A05B2F8"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77AFCFA6" w14:textId="77777777" w:rsidR="00595A79" w:rsidRPr="00E11086" w:rsidRDefault="00595A7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tcPr>
          <w:p w14:paraId="2EBE014D" w14:textId="77777777" w:rsidR="00595A79" w:rsidRPr="00E11086" w:rsidRDefault="00595A79" w:rsidP="00E470B3">
            <w:pPr>
              <w:tabs>
                <w:tab w:val="decimal" w:pos="113"/>
              </w:tabs>
              <w:spacing w:line="160" w:lineRule="exact"/>
              <w:rPr>
                <w:sz w:val="14"/>
                <w:szCs w:val="14"/>
              </w:rPr>
            </w:pPr>
          </w:p>
        </w:tc>
      </w:tr>
      <w:tr w:rsidR="00017898" w:rsidRPr="00E11086" w14:paraId="199708C6" w14:textId="77777777" w:rsidTr="003675AA">
        <w:tc>
          <w:tcPr>
            <w:tcW w:w="3177" w:type="dxa"/>
            <w:vAlign w:val="bottom"/>
          </w:tcPr>
          <w:p w14:paraId="48A05483"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סה</w:t>
            </w:r>
            <w:r w:rsidRPr="00E11086">
              <w:rPr>
                <w:sz w:val="14"/>
                <w:szCs w:val="14"/>
                <w:rtl/>
              </w:rPr>
              <w:t xml:space="preserve">"כ </w:t>
            </w:r>
            <w:r w:rsidRPr="00E11086">
              <w:rPr>
                <w:rFonts w:hint="eastAsia"/>
                <w:sz w:val="14"/>
                <w:szCs w:val="14"/>
                <w:rtl/>
              </w:rPr>
              <w:t>רווח</w:t>
            </w:r>
            <w:r w:rsidRPr="00E11086">
              <w:rPr>
                <w:sz w:val="14"/>
                <w:szCs w:val="14"/>
                <w:rtl/>
              </w:rPr>
              <w:t xml:space="preserve"> (הפסד) </w:t>
            </w:r>
            <w:r w:rsidRPr="00E11086">
              <w:rPr>
                <w:rFonts w:hint="eastAsia"/>
                <w:sz w:val="14"/>
                <w:szCs w:val="14"/>
                <w:rtl/>
              </w:rPr>
              <w:t>כולל</w:t>
            </w:r>
          </w:p>
        </w:tc>
        <w:tc>
          <w:tcPr>
            <w:tcW w:w="113" w:type="dxa"/>
            <w:vAlign w:val="bottom"/>
          </w:tcPr>
          <w:p w14:paraId="49D70BDE" w14:textId="77777777" w:rsidR="00595A79" w:rsidRPr="00E11086" w:rsidRDefault="00595A79" w:rsidP="00E470B3">
            <w:pPr>
              <w:spacing w:line="160" w:lineRule="exact"/>
              <w:rPr>
                <w:sz w:val="14"/>
                <w:szCs w:val="14"/>
              </w:rPr>
            </w:pPr>
          </w:p>
        </w:tc>
        <w:tc>
          <w:tcPr>
            <w:tcW w:w="624" w:type="dxa"/>
            <w:tcBorders>
              <w:top w:val="single" w:sz="6" w:space="0" w:color="auto"/>
              <w:left w:val="nil"/>
              <w:right w:val="nil"/>
            </w:tcBorders>
            <w:shd w:val="clear" w:color="auto" w:fill="auto"/>
            <w:vAlign w:val="bottom"/>
          </w:tcPr>
          <w:p w14:paraId="59EF1B2A" w14:textId="77777777" w:rsidR="00595A79" w:rsidRPr="00E11086" w:rsidRDefault="00595A79" w:rsidP="00E470B3">
            <w:pPr>
              <w:tabs>
                <w:tab w:val="decimal" w:pos="113"/>
              </w:tabs>
              <w:spacing w:line="160" w:lineRule="exact"/>
              <w:rPr>
                <w:sz w:val="14"/>
                <w:szCs w:val="14"/>
              </w:rPr>
            </w:pPr>
          </w:p>
        </w:tc>
        <w:tc>
          <w:tcPr>
            <w:tcW w:w="113" w:type="dxa"/>
            <w:vAlign w:val="bottom"/>
          </w:tcPr>
          <w:p w14:paraId="44F1FA17"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vAlign w:val="bottom"/>
          </w:tcPr>
          <w:p w14:paraId="12142A69" w14:textId="77777777" w:rsidR="00595A79" w:rsidRPr="00E11086" w:rsidRDefault="00595A79" w:rsidP="00E470B3">
            <w:pPr>
              <w:tabs>
                <w:tab w:val="decimal" w:pos="113"/>
              </w:tabs>
              <w:spacing w:line="160" w:lineRule="exact"/>
              <w:rPr>
                <w:sz w:val="14"/>
                <w:szCs w:val="14"/>
              </w:rPr>
            </w:pPr>
          </w:p>
        </w:tc>
        <w:tc>
          <w:tcPr>
            <w:tcW w:w="113" w:type="dxa"/>
            <w:vAlign w:val="bottom"/>
          </w:tcPr>
          <w:p w14:paraId="2AABC0C2"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vAlign w:val="bottom"/>
          </w:tcPr>
          <w:p w14:paraId="1A0E9850" w14:textId="77777777" w:rsidR="00595A79" w:rsidRPr="00E11086" w:rsidRDefault="00595A79" w:rsidP="00E470B3">
            <w:pPr>
              <w:tabs>
                <w:tab w:val="decimal" w:pos="113"/>
              </w:tabs>
              <w:spacing w:line="160" w:lineRule="exact"/>
              <w:rPr>
                <w:sz w:val="14"/>
                <w:szCs w:val="14"/>
              </w:rPr>
            </w:pPr>
          </w:p>
        </w:tc>
        <w:tc>
          <w:tcPr>
            <w:tcW w:w="113" w:type="dxa"/>
          </w:tcPr>
          <w:p w14:paraId="3CF5F3A1"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tcPr>
          <w:p w14:paraId="429034AA" w14:textId="77777777" w:rsidR="00595A79" w:rsidRPr="00E11086" w:rsidRDefault="00595A79" w:rsidP="00E470B3">
            <w:pPr>
              <w:tabs>
                <w:tab w:val="decimal" w:pos="113"/>
              </w:tabs>
              <w:spacing w:line="160" w:lineRule="exact"/>
              <w:rPr>
                <w:sz w:val="14"/>
                <w:szCs w:val="14"/>
              </w:rPr>
            </w:pPr>
          </w:p>
        </w:tc>
        <w:tc>
          <w:tcPr>
            <w:tcW w:w="113" w:type="dxa"/>
          </w:tcPr>
          <w:p w14:paraId="31413B0B"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tcPr>
          <w:p w14:paraId="2E82F44E" w14:textId="77777777" w:rsidR="00595A79" w:rsidRPr="00E11086" w:rsidRDefault="00595A79" w:rsidP="00E470B3">
            <w:pPr>
              <w:tabs>
                <w:tab w:val="decimal" w:pos="113"/>
              </w:tabs>
              <w:spacing w:line="160" w:lineRule="exact"/>
              <w:rPr>
                <w:sz w:val="14"/>
                <w:szCs w:val="14"/>
              </w:rPr>
            </w:pPr>
          </w:p>
        </w:tc>
        <w:tc>
          <w:tcPr>
            <w:tcW w:w="113" w:type="dxa"/>
            <w:vAlign w:val="bottom"/>
          </w:tcPr>
          <w:p w14:paraId="70E32FF8"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vAlign w:val="bottom"/>
          </w:tcPr>
          <w:p w14:paraId="56B442EA" w14:textId="77777777" w:rsidR="00595A79" w:rsidRPr="00E11086" w:rsidRDefault="00595A79" w:rsidP="00E470B3">
            <w:pPr>
              <w:tabs>
                <w:tab w:val="decimal" w:pos="113"/>
              </w:tabs>
              <w:spacing w:line="160" w:lineRule="exact"/>
              <w:rPr>
                <w:sz w:val="14"/>
                <w:szCs w:val="14"/>
              </w:rPr>
            </w:pPr>
          </w:p>
        </w:tc>
        <w:tc>
          <w:tcPr>
            <w:tcW w:w="113" w:type="dxa"/>
            <w:vAlign w:val="bottom"/>
          </w:tcPr>
          <w:p w14:paraId="5C77F4BB" w14:textId="77777777" w:rsidR="00595A79" w:rsidRPr="00E11086" w:rsidRDefault="00595A79" w:rsidP="00E470B3">
            <w:pPr>
              <w:tabs>
                <w:tab w:val="decimal" w:pos="113"/>
              </w:tabs>
              <w:spacing w:line="160" w:lineRule="exact"/>
              <w:rPr>
                <w:sz w:val="14"/>
                <w:szCs w:val="14"/>
              </w:rPr>
            </w:pPr>
          </w:p>
        </w:tc>
        <w:tc>
          <w:tcPr>
            <w:tcW w:w="737" w:type="dxa"/>
            <w:tcBorders>
              <w:top w:val="single" w:sz="6" w:space="0" w:color="auto"/>
              <w:left w:val="nil"/>
              <w:right w:val="nil"/>
            </w:tcBorders>
            <w:shd w:val="clear" w:color="auto" w:fill="auto"/>
            <w:vAlign w:val="bottom"/>
          </w:tcPr>
          <w:p w14:paraId="00F48F17" w14:textId="77777777" w:rsidR="00595A79" w:rsidRPr="00E11086" w:rsidRDefault="00595A79" w:rsidP="00E470B3">
            <w:pPr>
              <w:tabs>
                <w:tab w:val="decimal" w:pos="113"/>
              </w:tabs>
              <w:spacing w:line="160" w:lineRule="exact"/>
              <w:rPr>
                <w:sz w:val="14"/>
                <w:szCs w:val="14"/>
              </w:rPr>
            </w:pPr>
          </w:p>
        </w:tc>
        <w:tc>
          <w:tcPr>
            <w:tcW w:w="113" w:type="dxa"/>
            <w:vAlign w:val="bottom"/>
          </w:tcPr>
          <w:p w14:paraId="41222113" w14:textId="77777777" w:rsidR="00595A79" w:rsidRPr="00E11086" w:rsidRDefault="00595A79" w:rsidP="00E470B3">
            <w:pPr>
              <w:tabs>
                <w:tab w:val="decimal" w:pos="113"/>
              </w:tabs>
              <w:spacing w:line="160" w:lineRule="exact"/>
              <w:rPr>
                <w:sz w:val="14"/>
                <w:szCs w:val="14"/>
              </w:rPr>
            </w:pPr>
          </w:p>
        </w:tc>
        <w:tc>
          <w:tcPr>
            <w:tcW w:w="737" w:type="dxa"/>
            <w:tcBorders>
              <w:top w:val="single" w:sz="6" w:space="0" w:color="auto"/>
              <w:left w:val="nil"/>
              <w:right w:val="nil"/>
            </w:tcBorders>
            <w:shd w:val="clear" w:color="auto" w:fill="auto"/>
            <w:vAlign w:val="bottom"/>
          </w:tcPr>
          <w:p w14:paraId="555BA6D3" w14:textId="77777777" w:rsidR="00595A79" w:rsidRPr="00E11086" w:rsidRDefault="00595A79" w:rsidP="00E470B3">
            <w:pPr>
              <w:tabs>
                <w:tab w:val="decimal" w:pos="113"/>
              </w:tabs>
              <w:spacing w:line="160" w:lineRule="exact"/>
              <w:rPr>
                <w:sz w:val="14"/>
                <w:szCs w:val="14"/>
              </w:rPr>
            </w:pPr>
          </w:p>
        </w:tc>
        <w:tc>
          <w:tcPr>
            <w:tcW w:w="113" w:type="dxa"/>
            <w:vAlign w:val="bottom"/>
          </w:tcPr>
          <w:p w14:paraId="381BD88D"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1F4F6248"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437A1B74" w14:textId="77777777" w:rsidR="00595A79" w:rsidRPr="00E11086" w:rsidRDefault="00595A79" w:rsidP="00E470B3">
            <w:pPr>
              <w:tabs>
                <w:tab w:val="decimal" w:pos="113"/>
              </w:tabs>
              <w:spacing w:line="160" w:lineRule="exact"/>
              <w:rPr>
                <w:sz w:val="14"/>
                <w:szCs w:val="14"/>
              </w:rPr>
            </w:pPr>
          </w:p>
        </w:tc>
        <w:tc>
          <w:tcPr>
            <w:tcW w:w="734" w:type="dxa"/>
            <w:tcBorders>
              <w:top w:val="single" w:sz="6" w:space="0" w:color="auto"/>
              <w:left w:val="nil"/>
              <w:right w:val="nil"/>
            </w:tcBorders>
            <w:shd w:val="clear" w:color="auto" w:fill="auto"/>
            <w:vAlign w:val="bottom"/>
          </w:tcPr>
          <w:p w14:paraId="3E7C0CEE"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808CD7E"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44C03C1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DCEAFC7"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1D3A223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A3F3EF1"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475E8EC6" w14:textId="77777777" w:rsidR="00595A79" w:rsidRPr="00E11086" w:rsidRDefault="00595A79" w:rsidP="00E470B3">
            <w:pPr>
              <w:tabs>
                <w:tab w:val="decimal" w:pos="113"/>
              </w:tabs>
              <w:spacing w:line="160" w:lineRule="exact"/>
              <w:rPr>
                <w:sz w:val="14"/>
                <w:szCs w:val="14"/>
              </w:rPr>
            </w:pPr>
          </w:p>
        </w:tc>
        <w:tc>
          <w:tcPr>
            <w:tcW w:w="113" w:type="dxa"/>
            <w:vAlign w:val="bottom"/>
          </w:tcPr>
          <w:p w14:paraId="11981900"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1303CB07" w14:textId="77777777" w:rsidR="00595A79" w:rsidRPr="00E11086" w:rsidRDefault="00595A79" w:rsidP="00E470B3">
            <w:pPr>
              <w:tabs>
                <w:tab w:val="decimal" w:pos="113"/>
              </w:tabs>
              <w:spacing w:line="160" w:lineRule="exact"/>
              <w:rPr>
                <w:sz w:val="14"/>
                <w:szCs w:val="14"/>
              </w:rPr>
            </w:pPr>
          </w:p>
        </w:tc>
        <w:tc>
          <w:tcPr>
            <w:tcW w:w="113" w:type="dxa"/>
            <w:vAlign w:val="bottom"/>
          </w:tcPr>
          <w:p w14:paraId="13907D99"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292F16F2" w14:textId="77777777" w:rsidR="00595A79" w:rsidRPr="00E11086" w:rsidRDefault="00595A79" w:rsidP="00E470B3">
            <w:pPr>
              <w:widowControl/>
              <w:tabs>
                <w:tab w:val="decimal" w:pos="74"/>
              </w:tabs>
              <w:spacing w:line="160" w:lineRule="exact"/>
              <w:ind w:left="57"/>
              <w:rPr>
                <w:sz w:val="14"/>
                <w:szCs w:val="14"/>
                <w:rtl/>
              </w:rPr>
            </w:pPr>
          </w:p>
        </w:tc>
        <w:tc>
          <w:tcPr>
            <w:tcW w:w="113" w:type="dxa"/>
          </w:tcPr>
          <w:p w14:paraId="0E901CE1" w14:textId="77777777" w:rsidR="00595A79" w:rsidRPr="00E11086" w:rsidRDefault="00595A79" w:rsidP="00E470B3">
            <w:pPr>
              <w:tabs>
                <w:tab w:val="decimal" w:pos="113"/>
              </w:tabs>
              <w:spacing w:line="160" w:lineRule="exact"/>
              <w:rPr>
                <w:sz w:val="14"/>
                <w:szCs w:val="14"/>
              </w:rPr>
            </w:pPr>
          </w:p>
        </w:tc>
        <w:tc>
          <w:tcPr>
            <w:tcW w:w="737" w:type="dxa"/>
            <w:tcBorders>
              <w:top w:val="single" w:sz="6" w:space="0" w:color="auto"/>
              <w:left w:val="nil"/>
              <w:right w:val="nil"/>
            </w:tcBorders>
            <w:shd w:val="clear" w:color="auto" w:fill="auto"/>
          </w:tcPr>
          <w:p w14:paraId="49B0AAD8" w14:textId="77777777" w:rsidR="00595A79" w:rsidRPr="00E11086" w:rsidRDefault="00595A79" w:rsidP="00E470B3">
            <w:pPr>
              <w:tabs>
                <w:tab w:val="decimal" w:pos="113"/>
              </w:tabs>
              <w:spacing w:line="160" w:lineRule="exact"/>
              <w:rPr>
                <w:sz w:val="14"/>
                <w:szCs w:val="14"/>
              </w:rPr>
            </w:pPr>
          </w:p>
        </w:tc>
      </w:tr>
      <w:tr w:rsidR="00017898" w:rsidRPr="00E11086" w14:paraId="723E929E" w14:textId="77777777" w:rsidTr="003675AA">
        <w:tc>
          <w:tcPr>
            <w:tcW w:w="3177" w:type="dxa"/>
            <w:vAlign w:val="bottom"/>
          </w:tcPr>
          <w:p w14:paraId="52384169" w14:textId="77777777" w:rsidR="00595A79" w:rsidRPr="00E11086" w:rsidRDefault="00595A79" w:rsidP="00E91DD1">
            <w:pPr>
              <w:pStyle w:val="a3"/>
              <w:widowControl/>
              <w:bidi w:val="0"/>
              <w:spacing w:line="120" w:lineRule="auto"/>
              <w:ind w:left="198" w:hanging="170"/>
              <w:rPr>
                <w:b/>
                <w:sz w:val="14"/>
                <w:szCs w:val="14"/>
                <w:u w:val="single"/>
                <w:rtl/>
              </w:rPr>
            </w:pPr>
          </w:p>
        </w:tc>
        <w:tc>
          <w:tcPr>
            <w:tcW w:w="113" w:type="dxa"/>
            <w:vAlign w:val="bottom"/>
          </w:tcPr>
          <w:p w14:paraId="53323CCC" w14:textId="77777777" w:rsidR="00595A79" w:rsidRPr="00E11086" w:rsidRDefault="00595A79" w:rsidP="00E470B3">
            <w:pPr>
              <w:pStyle w:val="a3"/>
              <w:widowControl/>
              <w:bidi w:val="0"/>
              <w:spacing w:line="120" w:lineRule="auto"/>
              <w:ind w:left="0"/>
              <w:rPr>
                <w:b/>
                <w:sz w:val="14"/>
                <w:szCs w:val="14"/>
                <w:u w:val="single"/>
              </w:rPr>
            </w:pPr>
          </w:p>
        </w:tc>
        <w:tc>
          <w:tcPr>
            <w:tcW w:w="624" w:type="dxa"/>
            <w:tcBorders>
              <w:left w:val="nil"/>
              <w:right w:val="nil"/>
            </w:tcBorders>
            <w:shd w:val="clear" w:color="auto" w:fill="auto"/>
            <w:vAlign w:val="bottom"/>
          </w:tcPr>
          <w:p w14:paraId="49534E47"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1BEED06A" w14:textId="77777777" w:rsidR="00595A79" w:rsidRPr="00E11086" w:rsidRDefault="00595A79" w:rsidP="00E470B3">
            <w:pPr>
              <w:pStyle w:val="a3"/>
              <w:widowControl/>
              <w:bidi w:val="0"/>
              <w:spacing w:line="120" w:lineRule="auto"/>
              <w:ind w:left="0"/>
              <w:rPr>
                <w:b/>
                <w:sz w:val="14"/>
                <w:szCs w:val="14"/>
                <w:u w:val="single"/>
              </w:rPr>
            </w:pPr>
          </w:p>
        </w:tc>
        <w:tc>
          <w:tcPr>
            <w:tcW w:w="624" w:type="dxa"/>
            <w:tcBorders>
              <w:left w:val="nil"/>
              <w:right w:val="nil"/>
            </w:tcBorders>
            <w:shd w:val="clear" w:color="auto" w:fill="auto"/>
            <w:vAlign w:val="bottom"/>
          </w:tcPr>
          <w:p w14:paraId="33BE2516"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20A187C6" w14:textId="77777777" w:rsidR="00595A79" w:rsidRPr="00E11086" w:rsidRDefault="00595A79" w:rsidP="00E470B3">
            <w:pPr>
              <w:pStyle w:val="a3"/>
              <w:widowControl/>
              <w:bidi w:val="0"/>
              <w:spacing w:line="120" w:lineRule="auto"/>
              <w:ind w:left="0"/>
              <w:rPr>
                <w:b/>
                <w:sz w:val="14"/>
                <w:szCs w:val="14"/>
                <w:u w:val="single"/>
              </w:rPr>
            </w:pPr>
          </w:p>
        </w:tc>
        <w:tc>
          <w:tcPr>
            <w:tcW w:w="624" w:type="dxa"/>
            <w:tcBorders>
              <w:left w:val="nil"/>
              <w:right w:val="nil"/>
            </w:tcBorders>
            <w:shd w:val="clear" w:color="auto" w:fill="auto"/>
            <w:vAlign w:val="bottom"/>
          </w:tcPr>
          <w:p w14:paraId="6FE2750B" w14:textId="77777777" w:rsidR="00595A79" w:rsidRPr="00E11086" w:rsidRDefault="00595A79" w:rsidP="00E470B3">
            <w:pPr>
              <w:pStyle w:val="a3"/>
              <w:widowControl/>
              <w:bidi w:val="0"/>
              <w:spacing w:line="120" w:lineRule="auto"/>
              <w:ind w:left="0"/>
              <w:rPr>
                <w:b/>
                <w:sz w:val="14"/>
                <w:szCs w:val="14"/>
                <w:u w:val="single"/>
              </w:rPr>
            </w:pPr>
          </w:p>
        </w:tc>
        <w:tc>
          <w:tcPr>
            <w:tcW w:w="113" w:type="dxa"/>
          </w:tcPr>
          <w:p w14:paraId="5DB11716"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tcPr>
          <w:p w14:paraId="6DCF9D00" w14:textId="77777777" w:rsidR="00595A79" w:rsidRPr="00E11086" w:rsidRDefault="00595A79" w:rsidP="00E470B3">
            <w:pPr>
              <w:pStyle w:val="a3"/>
              <w:widowControl/>
              <w:bidi w:val="0"/>
              <w:spacing w:line="120" w:lineRule="auto"/>
              <w:ind w:left="0"/>
              <w:rPr>
                <w:b/>
                <w:sz w:val="14"/>
                <w:szCs w:val="14"/>
                <w:u w:val="single"/>
              </w:rPr>
            </w:pPr>
          </w:p>
        </w:tc>
        <w:tc>
          <w:tcPr>
            <w:tcW w:w="113" w:type="dxa"/>
          </w:tcPr>
          <w:p w14:paraId="50C70C6C" w14:textId="77777777" w:rsidR="00595A79" w:rsidRPr="00E11086" w:rsidRDefault="00595A79" w:rsidP="00E470B3">
            <w:pPr>
              <w:pStyle w:val="a3"/>
              <w:widowControl/>
              <w:bidi w:val="0"/>
              <w:spacing w:line="120" w:lineRule="auto"/>
              <w:ind w:left="0"/>
              <w:rPr>
                <w:b/>
                <w:sz w:val="14"/>
                <w:szCs w:val="14"/>
                <w:u w:val="single"/>
              </w:rPr>
            </w:pPr>
          </w:p>
        </w:tc>
        <w:tc>
          <w:tcPr>
            <w:tcW w:w="624" w:type="dxa"/>
            <w:tcBorders>
              <w:left w:val="nil"/>
              <w:right w:val="nil"/>
            </w:tcBorders>
            <w:shd w:val="clear" w:color="auto" w:fill="auto"/>
          </w:tcPr>
          <w:p w14:paraId="7F347C26"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1B8BB3BF" w14:textId="77777777" w:rsidR="00595A79" w:rsidRPr="00E11086" w:rsidRDefault="00595A79" w:rsidP="00E470B3">
            <w:pPr>
              <w:pStyle w:val="a3"/>
              <w:widowControl/>
              <w:bidi w:val="0"/>
              <w:spacing w:line="120" w:lineRule="auto"/>
              <w:ind w:left="0"/>
              <w:rPr>
                <w:b/>
                <w:sz w:val="14"/>
                <w:szCs w:val="14"/>
                <w:u w:val="single"/>
              </w:rPr>
            </w:pPr>
          </w:p>
        </w:tc>
        <w:tc>
          <w:tcPr>
            <w:tcW w:w="624" w:type="dxa"/>
            <w:tcBorders>
              <w:left w:val="nil"/>
              <w:right w:val="nil"/>
            </w:tcBorders>
            <w:shd w:val="clear" w:color="auto" w:fill="auto"/>
            <w:vAlign w:val="bottom"/>
          </w:tcPr>
          <w:p w14:paraId="597B5644"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6BA94B2A" w14:textId="77777777" w:rsidR="00595A79" w:rsidRPr="00E11086" w:rsidRDefault="00595A79" w:rsidP="00E470B3">
            <w:pPr>
              <w:pStyle w:val="a3"/>
              <w:widowControl/>
              <w:bidi w:val="0"/>
              <w:spacing w:line="120" w:lineRule="auto"/>
              <w:ind w:left="0"/>
              <w:rPr>
                <w:b/>
                <w:sz w:val="14"/>
                <w:szCs w:val="14"/>
                <w:u w:val="single"/>
              </w:rPr>
            </w:pPr>
          </w:p>
        </w:tc>
        <w:tc>
          <w:tcPr>
            <w:tcW w:w="737" w:type="dxa"/>
            <w:tcBorders>
              <w:left w:val="nil"/>
              <w:right w:val="nil"/>
            </w:tcBorders>
            <w:shd w:val="clear" w:color="auto" w:fill="auto"/>
            <w:vAlign w:val="bottom"/>
          </w:tcPr>
          <w:p w14:paraId="58B569A4"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42A29B42" w14:textId="77777777" w:rsidR="00595A79" w:rsidRPr="00E11086" w:rsidRDefault="00595A79" w:rsidP="00E470B3">
            <w:pPr>
              <w:pStyle w:val="a3"/>
              <w:widowControl/>
              <w:bidi w:val="0"/>
              <w:spacing w:line="120" w:lineRule="auto"/>
              <w:ind w:left="0"/>
              <w:rPr>
                <w:b/>
                <w:sz w:val="14"/>
                <w:szCs w:val="14"/>
                <w:u w:val="single"/>
              </w:rPr>
            </w:pPr>
          </w:p>
        </w:tc>
        <w:tc>
          <w:tcPr>
            <w:tcW w:w="737" w:type="dxa"/>
            <w:tcBorders>
              <w:left w:val="nil"/>
              <w:right w:val="nil"/>
            </w:tcBorders>
            <w:shd w:val="clear" w:color="auto" w:fill="auto"/>
            <w:vAlign w:val="bottom"/>
          </w:tcPr>
          <w:p w14:paraId="732B1548"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56DC50FC"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vAlign w:val="bottom"/>
          </w:tcPr>
          <w:p w14:paraId="5D1BA7B1" w14:textId="77777777" w:rsidR="00595A79" w:rsidRPr="00E11086" w:rsidRDefault="00595A79" w:rsidP="00E470B3">
            <w:pPr>
              <w:pStyle w:val="a3"/>
              <w:widowControl/>
              <w:bidi w:val="0"/>
              <w:spacing w:line="120" w:lineRule="auto"/>
              <w:ind w:left="0"/>
              <w:rPr>
                <w:b/>
                <w:sz w:val="14"/>
                <w:szCs w:val="14"/>
                <w:u w:val="single"/>
              </w:rPr>
            </w:pPr>
          </w:p>
        </w:tc>
        <w:tc>
          <w:tcPr>
            <w:tcW w:w="79" w:type="dxa"/>
            <w:tcBorders>
              <w:left w:val="nil"/>
              <w:right w:val="nil"/>
            </w:tcBorders>
            <w:shd w:val="clear" w:color="auto" w:fill="auto"/>
            <w:vAlign w:val="bottom"/>
          </w:tcPr>
          <w:p w14:paraId="08FD0A78" w14:textId="77777777" w:rsidR="00595A79" w:rsidRPr="00E11086" w:rsidRDefault="00595A79" w:rsidP="00E470B3">
            <w:pPr>
              <w:pStyle w:val="a3"/>
              <w:widowControl/>
              <w:bidi w:val="0"/>
              <w:spacing w:line="120" w:lineRule="auto"/>
              <w:ind w:left="0"/>
              <w:rPr>
                <w:b/>
                <w:sz w:val="14"/>
                <w:szCs w:val="14"/>
                <w:u w:val="single"/>
              </w:rPr>
            </w:pPr>
          </w:p>
        </w:tc>
        <w:tc>
          <w:tcPr>
            <w:tcW w:w="734" w:type="dxa"/>
            <w:tcBorders>
              <w:left w:val="nil"/>
              <w:right w:val="nil"/>
            </w:tcBorders>
            <w:shd w:val="clear" w:color="auto" w:fill="auto"/>
            <w:vAlign w:val="bottom"/>
          </w:tcPr>
          <w:p w14:paraId="6E8756E9" w14:textId="77777777" w:rsidR="00595A79" w:rsidRPr="00E11086" w:rsidRDefault="00595A79" w:rsidP="00E470B3">
            <w:pPr>
              <w:pStyle w:val="a3"/>
              <w:widowControl/>
              <w:bidi w:val="0"/>
              <w:spacing w:line="120" w:lineRule="auto"/>
              <w:ind w:left="0"/>
              <w:rPr>
                <w:b/>
                <w:sz w:val="14"/>
                <w:szCs w:val="14"/>
                <w:u w:val="single"/>
              </w:rPr>
            </w:pPr>
          </w:p>
        </w:tc>
        <w:tc>
          <w:tcPr>
            <w:tcW w:w="113" w:type="dxa"/>
            <w:tcBorders>
              <w:left w:val="nil"/>
              <w:right w:val="nil"/>
            </w:tcBorders>
            <w:shd w:val="clear" w:color="auto" w:fill="auto"/>
            <w:vAlign w:val="bottom"/>
          </w:tcPr>
          <w:p w14:paraId="591E271F"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vAlign w:val="bottom"/>
          </w:tcPr>
          <w:p w14:paraId="74CFC17A" w14:textId="77777777" w:rsidR="00595A79" w:rsidRPr="00E11086" w:rsidRDefault="00595A79" w:rsidP="00E470B3">
            <w:pPr>
              <w:pStyle w:val="a3"/>
              <w:widowControl/>
              <w:bidi w:val="0"/>
              <w:spacing w:line="120" w:lineRule="auto"/>
              <w:ind w:left="0"/>
              <w:rPr>
                <w:b/>
                <w:sz w:val="14"/>
                <w:szCs w:val="14"/>
                <w:u w:val="single"/>
              </w:rPr>
            </w:pPr>
          </w:p>
        </w:tc>
        <w:tc>
          <w:tcPr>
            <w:tcW w:w="113" w:type="dxa"/>
            <w:tcBorders>
              <w:left w:val="nil"/>
              <w:right w:val="nil"/>
            </w:tcBorders>
            <w:shd w:val="clear" w:color="auto" w:fill="auto"/>
            <w:vAlign w:val="bottom"/>
          </w:tcPr>
          <w:p w14:paraId="613E50C4"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vAlign w:val="bottom"/>
          </w:tcPr>
          <w:p w14:paraId="2EAD5B53" w14:textId="77777777" w:rsidR="00595A79" w:rsidRPr="00E11086" w:rsidRDefault="00595A79" w:rsidP="00E470B3">
            <w:pPr>
              <w:pStyle w:val="a3"/>
              <w:widowControl/>
              <w:bidi w:val="0"/>
              <w:spacing w:line="120" w:lineRule="auto"/>
              <w:ind w:left="0"/>
              <w:rPr>
                <w:b/>
                <w:sz w:val="14"/>
                <w:szCs w:val="14"/>
                <w:u w:val="single"/>
              </w:rPr>
            </w:pPr>
          </w:p>
        </w:tc>
        <w:tc>
          <w:tcPr>
            <w:tcW w:w="113" w:type="dxa"/>
            <w:tcBorders>
              <w:left w:val="nil"/>
              <w:right w:val="nil"/>
            </w:tcBorders>
            <w:shd w:val="clear" w:color="auto" w:fill="auto"/>
            <w:vAlign w:val="bottom"/>
          </w:tcPr>
          <w:p w14:paraId="4B955D1D"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vAlign w:val="bottom"/>
          </w:tcPr>
          <w:p w14:paraId="3C21F2D5"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7D6DB249"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vAlign w:val="bottom"/>
          </w:tcPr>
          <w:p w14:paraId="745DA3B6"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475E6D6F"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vAlign w:val="bottom"/>
          </w:tcPr>
          <w:p w14:paraId="0C991FF5" w14:textId="77777777" w:rsidR="00595A79" w:rsidRPr="00E11086" w:rsidRDefault="00595A79" w:rsidP="00E470B3">
            <w:pPr>
              <w:pStyle w:val="a3"/>
              <w:widowControl/>
              <w:bidi w:val="0"/>
              <w:spacing w:line="120" w:lineRule="auto"/>
              <w:ind w:left="0"/>
              <w:rPr>
                <w:b/>
                <w:sz w:val="14"/>
                <w:szCs w:val="14"/>
                <w:u w:val="single"/>
              </w:rPr>
            </w:pPr>
          </w:p>
        </w:tc>
        <w:tc>
          <w:tcPr>
            <w:tcW w:w="113" w:type="dxa"/>
          </w:tcPr>
          <w:p w14:paraId="696BAB4E" w14:textId="77777777" w:rsidR="00595A79" w:rsidRPr="00E11086" w:rsidRDefault="00595A79" w:rsidP="00E470B3">
            <w:pPr>
              <w:pStyle w:val="a3"/>
              <w:widowControl/>
              <w:bidi w:val="0"/>
              <w:spacing w:line="120" w:lineRule="auto"/>
              <w:ind w:left="0"/>
              <w:rPr>
                <w:b/>
                <w:sz w:val="14"/>
                <w:szCs w:val="14"/>
                <w:u w:val="single"/>
              </w:rPr>
            </w:pPr>
          </w:p>
        </w:tc>
        <w:tc>
          <w:tcPr>
            <w:tcW w:w="737" w:type="dxa"/>
            <w:tcBorders>
              <w:left w:val="nil"/>
              <w:right w:val="nil"/>
            </w:tcBorders>
            <w:shd w:val="clear" w:color="auto" w:fill="auto"/>
          </w:tcPr>
          <w:p w14:paraId="6297BD1B" w14:textId="77777777" w:rsidR="00595A79" w:rsidRPr="00E11086" w:rsidRDefault="00595A79" w:rsidP="00E470B3">
            <w:pPr>
              <w:pStyle w:val="a3"/>
              <w:widowControl/>
              <w:bidi w:val="0"/>
              <w:spacing w:line="120" w:lineRule="auto"/>
              <w:ind w:left="0"/>
              <w:rPr>
                <w:b/>
                <w:sz w:val="14"/>
                <w:szCs w:val="14"/>
                <w:u w:val="single"/>
              </w:rPr>
            </w:pPr>
          </w:p>
        </w:tc>
      </w:tr>
      <w:tr w:rsidR="00595A79" w:rsidRPr="00E11086" w14:paraId="48F43B12" w14:textId="77777777" w:rsidTr="003675AA">
        <w:tc>
          <w:tcPr>
            <w:tcW w:w="3177" w:type="dxa"/>
            <w:vAlign w:val="bottom"/>
          </w:tcPr>
          <w:p w14:paraId="658BA11F"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העברה</w:t>
            </w:r>
            <w:r w:rsidRPr="00E11086">
              <w:rPr>
                <w:sz w:val="14"/>
                <w:szCs w:val="14"/>
                <w:rtl/>
              </w:rPr>
              <w:t xml:space="preserve"> </w:t>
            </w:r>
            <w:r w:rsidRPr="00E11086">
              <w:rPr>
                <w:rFonts w:hint="eastAsia"/>
                <w:sz w:val="14"/>
                <w:szCs w:val="14"/>
                <w:rtl/>
              </w:rPr>
              <w:t>מקרן</w:t>
            </w:r>
            <w:r w:rsidRPr="00E11086">
              <w:rPr>
                <w:sz w:val="14"/>
                <w:szCs w:val="14"/>
                <w:rtl/>
              </w:rPr>
              <w:t xml:space="preserve"> </w:t>
            </w:r>
            <w:r w:rsidRPr="00E11086">
              <w:rPr>
                <w:rFonts w:hint="eastAsia"/>
                <w:sz w:val="14"/>
                <w:szCs w:val="14"/>
                <w:rtl/>
              </w:rPr>
              <w:t>הערכה</w:t>
            </w:r>
            <w:r w:rsidRPr="00E11086">
              <w:rPr>
                <w:sz w:val="14"/>
                <w:szCs w:val="14"/>
                <w:rtl/>
              </w:rPr>
              <w:t xml:space="preserve"> </w:t>
            </w:r>
            <w:r w:rsidRPr="00E11086">
              <w:rPr>
                <w:rFonts w:hint="eastAsia"/>
                <w:sz w:val="14"/>
                <w:szCs w:val="14"/>
                <w:rtl/>
              </w:rPr>
              <w:t>מחדש</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מימוש</w:t>
            </w:r>
            <w:r w:rsidRPr="00E11086">
              <w:rPr>
                <w:sz w:val="14"/>
                <w:szCs w:val="14"/>
                <w:rtl/>
              </w:rPr>
              <w:t xml:space="preserve"> </w:t>
            </w:r>
            <w:r w:rsidRPr="00E11086">
              <w:rPr>
                <w:rFonts w:hint="eastAsia"/>
                <w:sz w:val="14"/>
                <w:szCs w:val="14"/>
                <w:rtl/>
              </w:rPr>
              <w:t>רכוש</w:t>
            </w:r>
            <w:r w:rsidRPr="00E11086">
              <w:rPr>
                <w:sz w:val="14"/>
                <w:szCs w:val="14"/>
                <w:rtl/>
              </w:rPr>
              <w:t xml:space="preserve"> </w:t>
            </w:r>
            <w:r w:rsidRPr="00E11086">
              <w:rPr>
                <w:rFonts w:hint="eastAsia"/>
                <w:sz w:val="14"/>
                <w:szCs w:val="14"/>
                <w:rtl/>
              </w:rPr>
              <w:t>קבוע</w:t>
            </w:r>
          </w:p>
        </w:tc>
        <w:tc>
          <w:tcPr>
            <w:tcW w:w="113" w:type="dxa"/>
            <w:vAlign w:val="bottom"/>
          </w:tcPr>
          <w:p w14:paraId="38B1077E"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7A792F75" w14:textId="77777777" w:rsidR="00595A79" w:rsidRPr="00E11086" w:rsidRDefault="00595A79" w:rsidP="00E470B3">
            <w:pPr>
              <w:tabs>
                <w:tab w:val="decimal" w:pos="113"/>
              </w:tabs>
              <w:spacing w:line="160" w:lineRule="exact"/>
              <w:rPr>
                <w:sz w:val="14"/>
                <w:szCs w:val="14"/>
              </w:rPr>
            </w:pPr>
          </w:p>
        </w:tc>
        <w:tc>
          <w:tcPr>
            <w:tcW w:w="113" w:type="dxa"/>
            <w:vAlign w:val="bottom"/>
          </w:tcPr>
          <w:p w14:paraId="161E8EA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D541701" w14:textId="77777777" w:rsidR="00595A79" w:rsidRPr="00E11086" w:rsidRDefault="00595A79" w:rsidP="00E470B3">
            <w:pPr>
              <w:tabs>
                <w:tab w:val="decimal" w:pos="113"/>
              </w:tabs>
              <w:spacing w:line="160" w:lineRule="exact"/>
              <w:rPr>
                <w:sz w:val="14"/>
                <w:szCs w:val="14"/>
              </w:rPr>
            </w:pPr>
          </w:p>
        </w:tc>
        <w:tc>
          <w:tcPr>
            <w:tcW w:w="113" w:type="dxa"/>
            <w:vAlign w:val="bottom"/>
          </w:tcPr>
          <w:p w14:paraId="0E0355E3"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10294BF" w14:textId="77777777" w:rsidR="00595A79" w:rsidRPr="00E11086" w:rsidRDefault="00595A79" w:rsidP="00E470B3">
            <w:pPr>
              <w:tabs>
                <w:tab w:val="decimal" w:pos="113"/>
              </w:tabs>
              <w:spacing w:line="160" w:lineRule="exact"/>
              <w:rPr>
                <w:sz w:val="14"/>
                <w:szCs w:val="14"/>
              </w:rPr>
            </w:pPr>
          </w:p>
        </w:tc>
        <w:tc>
          <w:tcPr>
            <w:tcW w:w="113" w:type="dxa"/>
          </w:tcPr>
          <w:p w14:paraId="4B112E77"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6D306538" w14:textId="77777777" w:rsidR="00595A79" w:rsidRPr="00E11086" w:rsidRDefault="00595A79" w:rsidP="00E470B3">
            <w:pPr>
              <w:tabs>
                <w:tab w:val="decimal" w:pos="113"/>
              </w:tabs>
              <w:spacing w:line="160" w:lineRule="exact"/>
              <w:rPr>
                <w:sz w:val="14"/>
                <w:szCs w:val="14"/>
              </w:rPr>
            </w:pPr>
          </w:p>
        </w:tc>
        <w:tc>
          <w:tcPr>
            <w:tcW w:w="113" w:type="dxa"/>
          </w:tcPr>
          <w:p w14:paraId="74A7F4F3"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6A6D05C9" w14:textId="77777777" w:rsidR="00595A79" w:rsidRPr="00E11086" w:rsidRDefault="00595A79" w:rsidP="00E470B3">
            <w:pPr>
              <w:tabs>
                <w:tab w:val="decimal" w:pos="113"/>
              </w:tabs>
              <w:spacing w:line="160" w:lineRule="exact"/>
              <w:rPr>
                <w:sz w:val="14"/>
                <w:szCs w:val="14"/>
              </w:rPr>
            </w:pPr>
          </w:p>
        </w:tc>
        <w:tc>
          <w:tcPr>
            <w:tcW w:w="113" w:type="dxa"/>
            <w:vAlign w:val="bottom"/>
          </w:tcPr>
          <w:p w14:paraId="7383E56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6059F01" w14:textId="77777777" w:rsidR="00595A79" w:rsidRPr="00E11086" w:rsidRDefault="00595A79" w:rsidP="00E470B3">
            <w:pPr>
              <w:tabs>
                <w:tab w:val="decimal" w:pos="113"/>
              </w:tabs>
              <w:spacing w:line="160" w:lineRule="exact"/>
              <w:rPr>
                <w:sz w:val="14"/>
                <w:szCs w:val="14"/>
              </w:rPr>
            </w:pPr>
          </w:p>
        </w:tc>
        <w:tc>
          <w:tcPr>
            <w:tcW w:w="113" w:type="dxa"/>
            <w:vAlign w:val="bottom"/>
          </w:tcPr>
          <w:p w14:paraId="40B1AE8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7B811741" w14:textId="77777777" w:rsidR="00595A79" w:rsidRPr="00E11086" w:rsidRDefault="00595A79" w:rsidP="00E470B3">
            <w:pPr>
              <w:tabs>
                <w:tab w:val="decimal" w:pos="113"/>
              </w:tabs>
              <w:spacing w:line="160" w:lineRule="exact"/>
              <w:rPr>
                <w:sz w:val="14"/>
                <w:szCs w:val="14"/>
              </w:rPr>
            </w:pPr>
          </w:p>
        </w:tc>
        <w:tc>
          <w:tcPr>
            <w:tcW w:w="113" w:type="dxa"/>
            <w:vAlign w:val="bottom"/>
          </w:tcPr>
          <w:p w14:paraId="22660AE2"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3FBC33BA" w14:textId="77777777" w:rsidR="00595A79" w:rsidRPr="00E11086" w:rsidRDefault="00595A79" w:rsidP="00E470B3">
            <w:pPr>
              <w:tabs>
                <w:tab w:val="decimal" w:pos="113"/>
              </w:tabs>
              <w:spacing w:line="160" w:lineRule="exact"/>
              <w:rPr>
                <w:sz w:val="14"/>
                <w:szCs w:val="14"/>
              </w:rPr>
            </w:pPr>
          </w:p>
        </w:tc>
        <w:tc>
          <w:tcPr>
            <w:tcW w:w="113" w:type="dxa"/>
            <w:vAlign w:val="bottom"/>
          </w:tcPr>
          <w:p w14:paraId="3219462E"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EA623DD"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16BA7DE6"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0B7CA544"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7DCEAD5"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129D203"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C6A6E65"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A19E019"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DB7085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1C86CC3" w14:textId="77777777" w:rsidR="00595A79" w:rsidRPr="00E11086" w:rsidRDefault="00595A79" w:rsidP="00E470B3">
            <w:pPr>
              <w:tabs>
                <w:tab w:val="decimal" w:pos="113"/>
              </w:tabs>
              <w:spacing w:line="160" w:lineRule="exact"/>
              <w:rPr>
                <w:sz w:val="14"/>
                <w:szCs w:val="14"/>
              </w:rPr>
            </w:pPr>
          </w:p>
        </w:tc>
        <w:tc>
          <w:tcPr>
            <w:tcW w:w="113" w:type="dxa"/>
            <w:vAlign w:val="bottom"/>
          </w:tcPr>
          <w:p w14:paraId="61016FA5"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0F2501FC" w14:textId="77777777" w:rsidR="00595A79" w:rsidRPr="00E11086" w:rsidRDefault="00595A79" w:rsidP="00E470B3">
            <w:pPr>
              <w:tabs>
                <w:tab w:val="decimal" w:pos="113"/>
              </w:tabs>
              <w:spacing w:line="160" w:lineRule="exact"/>
              <w:rPr>
                <w:sz w:val="14"/>
                <w:szCs w:val="14"/>
              </w:rPr>
            </w:pPr>
          </w:p>
        </w:tc>
        <w:tc>
          <w:tcPr>
            <w:tcW w:w="113" w:type="dxa"/>
            <w:vAlign w:val="bottom"/>
          </w:tcPr>
          <w:p w14:paraId="19C9C963"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D3F8E37" w14:textId="77777777" w:rsidR="00595A79" w:rsidRPr="00E11086" w:rsidRDefault="00595A79" w:rsidP="00E470B3">
            <w:pPr>
              <w:tabs>
                <w:tab w:val="decimal" w:pos="113"/>
              </w:tabs>
              <w:spacing w:line="160" w:lineRule="exact"/>
              <w:rPr>
                <w:sz w:val="14"/>
                <w:szCs w:val="14"/>
              </w:rPr>
            </w:pPr>
          </w:p>
        </w:tc>
        <w:tc>
          <w:tcPr>
            <w:tcW w:w="113" w:type="dxa"/>
          </w:tcPr>
          <w:p w14:paraId="3A3FB71C"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39609300" w14:textId="77777777" w:rsidR="00595A79" w:rsidRPr="00E11086" w:rsidRDefault="00595A79" w:rsidP="00E470B3">
            <w:pPr>
              <w:tabs>
                <w:tab w:val="decimal" w:pos="113"/>
              </w:tabs>
              <w:spacing w:line="160" w:lineRule="exact"/>
              <w:rPr>
                <w:sz w:val="14"/>
                <w:szCs w:val="14"/>
              </w:rPr>
            </w:pPr>
          </w:p>
        </w:tc>
      </w:tr>
      <w:tr w:rsidR="00595A79" w:rsidRPr="00E11086" w14:paraId="33A0C971" w14:textId="77777777" w:rsidTr="003675AA">
        <w:tc>
          <w:tcPr>
            <w:tcW w:w="3177" w:type="dxa"/>
            <w:vAlign w:val="bottom"/>
          </w:tcPr>
          <w:p w14:paraId="5C8AF3BC"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העברה</w:t>
            </w:r>
            <w:r w:rsidRPr="00E11086">
              <w:rPr>
                <w:sz w:val="14"/>
                <w:szCs w:val="14"/>
                <w:rtl/>
              </w:rPr>
              <w:t xml:space="preserve"> </w:t>
            </w:r>
            <w:r w:rsidRPr="00E11086">
              <w:rPr>
                <w:rFonts w:hint="eastAsia"/>
                <w:sz w:val="14"/>
                <w:szCs w:val="14"/>
                <w:rtl/>
              </w:rPr>
              <w:t>מקרן</w:t>
            </w:r>
            <w:r w:rsidRPr="00E11086">
              <w:rPr>
                <w:sz w:val="14"/>
                <w:szCs w:val="14"/>
                <w:rtl/>
              </w:rPr>
              <w:t xml:space="preserve"> </w:t>
            </w:r>
            <w:r w:rsidRPr="00E11086">
              <w:rPr>
                <w:rFonts w:hint="eastAsia"/>
                <w:sz w:val="14"/>
                <w:szCs w:val="14"/>
                <w:rtl/>
              </w:rPr>
              <w:t>הערכה</w:t>
            </w:r>
            <w:r w:rsidRPr="00E11086">
              <w:rPr>
                <w:sz w:val="14"/>
                <w:szCs w:val="14"/>
                <w:rtl/>
              </w:rPr>
              <w:t xml:space="preserve"> </w:t>
            </w:r>
            <w:r w:rsidRPr="00E11086">
              <w:rPr>
                <w:rFonts w:hint="eastAsia"/>
                <w:sz w:val="14"/>
                <w:szCs w:val="14"/>
                <w:rtl/>
              </w:rPr>
              <w:t>מחדש</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שערוך</w:t>
            </w:r>
            <w:r w:rsidRPr="00E11086">
              <w:rPr>
                <w:sz w:val="14"/>
                <w:szCs w:val="14"/>
                <w:rtl/>
              </w:rPr>
              <w:t xml:space="preserve"> </w:t>
            </w:r>
            <w:r w:rsidRPr="00E11086">
              <w:rPr>
                <w:rFonts w:hint="eastAsia"/>
                <w:sz w:val="14"/>
                <w:szCs w:val="14"/>
                <w:rtl/>
              </w:rPr>
              <w:t>רכוש</w:t>
            </w:r>
            <w:r w:rsidRPr="00E11086">
              <w:rPr>
                <w:sz w:val="14"/>
                <w:szCs w:val="14"/>
                <w:rtl/>
              </w:rPr>
              <w:t xml:space="preserve"> </w:t>
            </w:r>
            <w:r w:rsidRPr="00E11086">
              <w:rPr>
                <w:rFonts w:hint="eastAsia"/>
                <w:sz w:val="14"/>
                <w:szCs w:val="14"/>
                <w:rtl/>
              </w:rPr>
              <w:t>קבוע</w:t>
            </w:r>
            <w:r w:rsidRPr="00E11086">
              <w:rPr>
                <w:sz w:val="14"/>
                <w:szCs w:val="14"/>
                <w:rtl/>
              </w:rPr>
              <w:t xml:space="preserve">, </w:t>
            </w:r>
            <w:r w:rsidRPr="00E11086">
              <w:rPr>
                <w:rFonts w:hint="eastAsia"/>
                <w:sz w:val="14"/>
                <w:szCs w:val="14"/>
                <w:rtl/>
              </w:rPr>
              <w:t>בגובה</w:t>
            </w:r>
            <w:r w:rsidRPr="00E11086">
              <w:rPr>
                <w:sz w:val="14"/>
                <w:szCs w:val="14"/>
                <w:rtl/>
              </w:rPr>
              <w:t xml:space="preserve"> </w:t>
            </w:r>
            <w:r w:rsidRPr="00E11086">
              <w:rPr>
                <w:rFonts w:hint="eastAsia"/>
                <w:sz w:val="14"/>
                <w:szCs w:val="14"/>
                <w:rtl/>
              </w:rPr>
              <w:t>הפחת</w:t>
            </w:r>
          </w:p>
        </w:tc>
        <w:tc>
          <w:tcPr>
            <w:tcW w:w="113" w:type="dxa"/>
            <w:vAlign w:val="bottom"/>
          </w:tcPr>
          <w:p w14:paraId="59B5571A"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1CDB5830" w14:textId="77777777" w:rsidR="00595A79" w:rsidRPr="00E11086" w:rsidRDefault="00595A79" w:rsidP="00E470B3">
            <w:pPr>
              <w:tabs>
                <w:tab w:val="decimal" w:pos="113"/>
              </w:tabs>
              <w:spacing w:line="160" w:lineRule="exact"/>
              <w:rPr>
                <w:sz w:val="14"/>
                <w:szCs w:val="14"/>
              </w:rPr>
            </w:pPr>
          </w:p>
        </w:tc>
        <w:tc>
          <w:tcPr>
            <w:tcW w:w="113" w:type="dxa"/>
            <w:vAlign w:val="bottom"/>
          </w:tcPr>
          <w:p w14:paraId="25D2F7D0"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979C041" w14:textId="77777777" w:rsidR="00595A79" w:rsidRPr="00E11086" w:rsidRDefault="00595A79" w:rsidP="00E470B3">
            <w:pPr>
              <w:tabs>
                <w:tab w:val="decimal" w:pos="113"/>
              </w:tabs>
              <w:spacing w:line="160" w:lineRule="exact"/>
              <w:rPr>
                <w:sz w:val="14"/>
                <w:szCs w:val="14"/>
              </w:rPr>
            </w:pPr>
          </w:p>
        </w:tc>
        <w:tc>
          <w:tcPr>
            <w:tcW w:w="113" w:type="dxa"/>
            <w:vAlign w:val="bottom"/>
          </w:tcPr>
          <w:p w14:paraId="3ED14159"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CC4D4F6" w14:textId="77777777" w:rsidR="00595A79" w:rsidRPr="00E11086" w:rsidRDefault="00595A79" w:rsidP="00E470B3">
            <w:pPr>
              <w:tabs>
                <w:tab w:val="decimal" w:pos="113"/>
              </w:tabs>
              <w:spacing w:line="160" w:lineRule="exact"/>
              <w:rPr>
                <w:sz w:val="14"/>
                <w:szCs w:val="14"/>
              </w:rPr>
            </w:pPr>
          </w:p>
        </w:tc>
        <w:tc>
          <w:tcPr>
            <w:tcW w:w="113" w:type="dxa"/>
          </w:tcPr>
          <w:p w14:paraId="262AD535"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54422533" w14:textId="77777777" w:rsidR="00595A79" w:rsidRPr="00E11086" w:rsidRDefault="00595A79" w:rsidP="00E470B3">
            <w:pPr>
              <w:tabs>
                <w:tab w:val="decimal" w:pos="113"/>
              </w:tabs>
              <w:spacing w:line="160" w:lineRule="exact"/>
              <w:rPr>
                <w:sz w:val="14"/>
                <w:szCs w:val="14"/>
              </w:rPr>
            </w:pPr>
          </w:p>
        </w:tc>
        <w:tc>
          <w:tcPr>
            <w:tcW w:w="113" w:type="dxa"/>
          </w:tcPr>
          <w:p w14:paraId="0899F24B"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14F0D5C8" w14:textId="77777777" w:rsidR="00595A79" w:rsidRPr="00E11086" w:rsidRDefault="00595A79" w:rsidP="00E470B3">
            <w:pPr>
              <w:tabs>
                <w:tab w:val="decimal" w:pos="113"/>
              </w:tabs>
              <w:spacing w:line="160" w:lineRule="exact"/>
              <w:rPr>
                <w:sz w:val="14"/>
                <w:szCs w:val="14"/>
              </w:rPr>
            </w:pPr>
          </w:p>
        </w:tc>
        <w:tc>
          <w:tcPr>
            <w:tcW w:w="113" w:type="dxa"/>
            <w:vAlign w:val="bottom"/>
          </w:tcPr>
          <w:p w14:paraId="76460569"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74A9057" w14:textId="77777777" w:rsidR="00595A79" w:rsidRPr="00E11086" w:rsidRDefault="00595A79" w:rsidP="00E470B3">
            <w:pPr>
              <w:tabs>
                <w:tab w:val="decimal" w:pos="113"/>
              </w:tabs>
              <w:spacing w:line="160" w:lineRule="exact"/>
              <w:rPr>
                <w:sz w:val="14"/>
                <w:szCs w:val="14"/>
              </w:rPr>
            </w:pPr>
          </w:p>
        </w:tc>
        <w:tc>
          <w:tcPr>
            <w:tcW w:w="113" w:type="dxa"/>
            <w:vAlign w:val="bottom"/>
          </w:tcPr>
          <w:p w14:paraId="02905BE9"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7722A852" w14:textId="77777777" w:rsidR="00595A79" w:rsidRPr="00E11086" w:rsidRDefault="00595A79" w:rsidP="00E470B3">
            <w:pPr>
              <w:tabs>
                <w:tab w:val="decimal" w:pos="113"/>
              </w:tabs>
              <w:spacing w:line="160" w:lineRule="exact"/>
              <w:rPr>
                <w:sz w:val="14"/>
                <w:szCs w:val="14"/>
              </w:rPr>
            </w:pPr>
          </w:p>
        </w:tc>
        <w:tc>
          <w:tcPr>
            <w:tcW w:w="113" w:type="dxa"/>
            <w:vAlign w:val="bottom"/>
          </w:tcPr>
          <w:p w14:paraId="07A05837"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D64FB4A" w14:textId="77777777" w:rsidR="00595A79" w:rsidRPr="00E11086" w:rsidRDefault="00595A79" w:rsidP="00E470B3">
            <w:pPr>
              <w:tabs>
                <w:tab w:val="decimal" w:pos="113"/>
              </w:tabs>
              <w:spacing w:line="160" w:lineRule="exact"/>
              <w:rPr>
                <w:sz w:val="14"/>
                <w:szCs w:val="14"/>
              </w:rPr>
            </w:pPr>
          </w:p>
        </w:tc>
        <w:tc>
          <w:tcPr>
            <w:tcW w:w="113" w:type="dxa"/>
            <w:vAlign w:val="bottom"/>
          </w:tcPr>
          <w:p w14:paraId="16092066"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72CACB6"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07EAC326"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544D3430"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0D7F5C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7FD5D3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DEDD31B"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7C8A1A1"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6ED69D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D023A77" w14:textId="77777777" w:rsidR="00595A79" w:rsidRPr="00E11086" w:rsidRDefault="00595A79" w:rsidP="00E470B3">
            <w:pPr>
              <w:tabs>
                <w:tab w:val="decimal" w:pos="113"/>
              </w:tabs>
              <w:spacing w:line="160" w:lineRule="exact"/>
              <w:rPr>
                <w:sz w:val="14"/>
                <w:szCs w:val="14"/>
              </w:rPr>
            </w:pPr>
          </w:p>
        </w:tc>
        <w:tc>
          <w:tcPr>
            <w:tcW w:w="113" w:type="dxa"/>
            <w:vAlign w:val="bottom"/>
          </w:tcPr>
          <w:p w14:paraId="0989CD83"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069DCBD2" w14:textId="77777777" w:rsidR="00595A79" w:rsidRPr="00E11086" w:rsidRDefault="00595A79" w:rsidP="00E470B3">
            <w:pPr>
              <w:tabs>
                <w:tab w:val="decimal" w:pos="113"/>
              </w:tabs>
              <w:spacing w:line="160" w:lineRule="exact"/>
              <w:rPr>
                <w:sz w:val="14"/>
                <w:szCs w:val="14"/>
              </w:rPr>
            </w:pPr>
          </w:p>
        </w:tc>
        <w:tc>
          <w:tcPr>
            <w:tcW w:w="113" w:type="dxa"/>
            <w:vAlign w:val="bottom"/>
          </w:tcPr>
          <w:p w14:paraId="6EA0F7BA"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304C7C81" w14:textId="77777777" w:rsidR="00595A79" w:rsidRPr="00E11086" w:rsidRDefault="00595A79" w:rsidP="00E470B3">
            <w:pPr>
              <w:tabs>
                <w:tab w:val="decimal" w:pos="113"/>
              </w:tabs>
              <w:spacing w:line="160" w:lineRule="exact"/>
              <w:rPr>
                <w:sz w:val="14"/>
                <w:szCs w:val="14"/>
              </w:rPr>
            </w:pPr>
          </w:p>
        </w:tc>
        <w:tc>
          <w:tcPr>
            <w:tcW w:w="113" w:type="dxa"/>
          </w:tcPr>
          <w:p w14:paraId="015123EE"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20DC0461" w14:textId="77777777" w:rsidR="00595A79" w:rsidRPr="00E11086" w:rsidRDefault="00595A79" w:rsidP="00E470B3">
            <w:pPr>
              <w:tabs>
                <w:tab w:val="decimal" w:pos="113"/>
              </w:tabs>
              <w:spacing w:line="160" w:lineRule="exact"/>
              <w:rPr>
                <w:sz w:val="14"/>
                <w:szCs w:val="14"/>
              </w:rPr>
            </w:pPr>
          </w:p>
        </w:tc>
      </w:tr>
      <w:tr w:rsidR="000528F0" w:rsidRPr="00E11086" w14:paraId="1085EA13" w14:textId="77777777" w:rsidTr="003675AA">
        <w:trPr>
          <w:trHeight w:val="60"/>
        </w:trPr>
        <w:tc>
          <w:tcPr>
            <w:tcW w:w="3177" w:type="dxa"/>
            <w:vAlign w:val="bottom"/>
          </w:tcPr>
          <w:p w14:paraId="3A5CCEFA"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הנפקת</w:t>
            </w:r>
            <w:r w:rsidRPr="00E11086">
              <w:rPr>
                <w:sz w:val="14"/>
                <w:szCs w:val="14"/>
                <w:rtl/>
              </w:rPr>
              <w:t xml:space="preserve"> </w:t>
            </w:r>
            <w:r w:rsidRPr="00E11086">
              <w:rPr>
                <w:rFonts w:hint="eastAsia"/>
                <w:sz w:val="14"/>
                <w:szCs w:val="14"/>
                <w:rtl/>
              </w:rPr>
              <w:t>הון</w:t>
            </w:r>
            <w:r w:rsidRPr="00E11086">
              <w:rPr>
                <w:sz w:val="14"/>
                <w:szCs w:val="14"/>
                <w:rtl/>
              </w:rPr>
              <w:t xml:space="preserve"> </w:t>
            </w:r>
            <w:r w:rsidRPr="00E11086">
              <w:rPr>
                <w:rFonts w:hint="eastAsia"/>
                <w:sz w:val="14"/>
                <w:szCs w:val="14"/>
                <w:rtl/>
              </w:rPr>
              <w:t>מניות</w:t>
            </w:r>
            <w:r w:rsidRPr="00E11086">
              <w:rPr>
                <w:sz w:val="14"/>
                <w:szCs w:val="14"/>
                <w:rtl/>
              </w:rPr>
              <w:t xml:space="preserve"> (בניכוי </w:t>
            </w:r>
            <w:r w:rsidRPr="00E11086">
              <w:rPr>
                <w:rFonts w:hint="eastAsia"/>
                <w:sz w:val="14"/>
                <w:szCs w:val="14"/>
                <w:rtl/>
              </w:rPr>
              <w:t>הוצאות</w:t>
            </w:r>
            <w:r w:rsidRPr="00E11086">
              <w:rPr>
                <w:sz w:val="14"/>
                <w:szCs w:val="14"/>
                <w:rtl/>
              </w:rPr>
              <w:t xml:space="preserve"> </w:t>
            </w:r>
            <w:r w:rsidRPr="00E11086">
              <w:rPr>
                <w:rFonts w:hint="eastAsia"/>
                <w:sz w:val="14"/>
                <w:szCs w:val="14"/>
                <w:rtl/>
              </w:rPr>
              <w:t>הנפקה</w:t>
            </w:r>
            <w:r w:rsidR="00595A79" w:rsidRPr="00E11086">
              <w:rPr>
                <w:rFonts w:hint="cs"/>
                <w:sz w:val="14"/>
                <w:szCs w:val="14"/>
                <w:rtl/>
              </w:rPr>
              <w:t xml:space="preserve"> בסך ____ אלפי ש"ח</w:t>
            </w:r>
            <w:r w:rsidRPr="00E11086">
              <w:rPr>
                <w:sz w:val="14"/>
                <w:szCs w:val="14"/>
                <w:rtl/>
              </w:rPr>
              <w:t>)</w:t>
            </w:r>
          </w:p>
        </w:tc>
        <w:tc>
          <w:tcPr>
            <w:tcW w:w="113" w:type="dxa"/>
            <w:vAlign w:val="bottom"/>
          </w:tcPr>
          <w:p w14:paraId="157D23A1"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7CCC8857" w14:textId="77777777" w:rsidR="00595A79" w:rsidRPr="00E11086" w:rsidRDefault="00595A79" w:rsidP="00E470B3">
            <w:pPr>
              <w:tabs>
                <w:tab w:val="decimal" w:pos="113"/>
              </w:tabs>
              <w:spacing w:line="160" w:lineRule="exact"/>
              <w:rPr>
                <w:sz w:val="14"/>
                <w:szCs w:val="14"/>
              </w:rPr>
            </w:pPr>
          </w:p>
        </w:tc>
        <w:tc>
          <w:tcPr>
            <w:tcW w:w="113" w:type="dxa"/>
            <w:vAlign w:val="bottom"/>
          </w:tcPr>
          <w:p w14:paraId="4D975BE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2AE89B6" w14:textId="77777777" w:rsidR="00595A79" w:rsidRPr="00E11086" w:rsidRDefault="00595A79" w:rsidP="00E470B3">
            <w:pPr>
              <w:tabs>
                <w:tab w:val="decimal" w:pos="113"/>
              </w:tabs>
              <w:spacing w:line="160" w:lineRule="exact"/>
              <w:rPr>
                <w:sz w:val="14"/>
                <w:szCs w:val="14"/>
              </w:rPr>
            </w:pPr>
          </w:p>
        </w:tc>
        <w:tc>
          <w:tcPr>
            <w:tcW w:w="113" w:type="dxa"/>
            <w:vAlign w:val="bottom"/>
          </w:tcPr>
          <w:p w14:paraId="3CE5D333"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7E41B53" w14:textId="77777777" w:rsidR="00595A79" w:rsidRPr="00E11086" w:rsidRDefault="00595A79" w:rsidP="00E470B3">
            <w:pPr>
              <w:tabs>
                <w:tab w:val="decimal" w:pos="113"/>
              </w:tabs>
              <w:spacing w:line="160" w:lineRule="exact"/>
              <w:rPr>
                <w:sz w:val="14"/>
                <w:szCs w:val="14"/>
              </w:rPr>
            </w:pPr>
          </w:p>
        </w:tc>
        <w:tc>
          <w:tcPr>
            <w:tcW w:w="113" w:type="dxa"/>
          </w:tcPr>
          <w:p w14:paraId="64F92A26"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45D2DC54" w14:textId="77777777" w:rsidR="00595A79" w:rsidRPr="00E11086" w:rsidRDefault="00595A79" w:rsidP="00E470B3">
            <w:pPr>
              <w:tabs>
                <w:tab w:val="decimal" w:pos="113"/>
              </w:tabs>
              <w:spacing w:line="160" w:lineRule="exact"/>
              <w:rPr>
                <w:sz w:val="14"/>
                <w:szCs w:val="14"/>
              </w:rPr>
            </w:pPr>
          </w:p>
        </w:tc>
        <w:tc>
          <w:tcPr>
            <w:tcW w:w="113" w:type="dxa"/>
          </w:tcPr>
          <w:p w14:paraId="455B6B4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5F2EE6FE" w14:textId="77777777" w:rsidR="00595A79" w:rsidRPr="00E11086" w:rsidRDefault="00595A79" w:rsidP="00E470B3">
            <w:pPr>
              <w:tabs>
                <w:tab w:val="decimal" w:pos="113"/>
              </w:tabs>
              <w:spacing w:line="160" w:lineRule="exact"/>
              <w:rPr>
                <w:sz w:val="14"/>
                <w:szCs w:val="14"/>
              </w:rPr>
            </w:pPr>
          </w:p>
        </w:tc>
        <w:tc>
          <w:tcPr>
            <w:tcW w:w="113" w:type="dxa"/>
            <w:vAlign w:val="bottom"/>
          </w:tcPr>
          <w:p w14:paraId="25608F91"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047079BB" w14:textId="77777777" w:rsidR="00595A79" w:rsidRPr="00E11086" w:rsidRDefault="00595A79" w:rsidP="00E470B3">
            <w:pPr>
              <w:tabs>
                <w:tab w:val="decimal" w:pos="113"/>
              </w:tabs>
              <w:spacing w:line="160" w:lineRule="exact"/>
              <w:rPr>
                <w:sz w:val="14"/>
                <w:szCs w:val="14"/>
              </w:rPr>
            </w:pPr>
          </w:p>
        </w:tc>
        <w:tc>
          <w:tcPr>
            <w:tcW w:w="113" w:type="dxa"/>
            <w:vAlign w:val="bottom"/>
          </w:tcPr>
          <w:p w14:paraId="69FABC6B"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31B4BA2" w14:textId="77777777" w:rsidR="00595A79" w:rsidRPr="00E11086" w:rsidRDefault="00595A79" w:rsidP="00E470B3">
            <w:pPr>
              <w:tabs>
                <w:tab w:val="decimal" w:pos="113"/>
              </w:tabs>
              <w:spacing w:line="160" w:lineRule="exact"/>
              <w:rPr>
                <w:sz w:val="14"/>
                <w:szCs w:val="14"/>
              </w:rPr>
            </w:pPr>
          </w:p>
        </w:tc>
        <w:tc>
          <w:tcPr>
            <w:tcW w:w="113" w:type="dxa"/>
            <w:vAlign w:val="bottom"/>
          </w:tcPr>
          <w:p w14:paraId="59315BDE"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59E4191" w14:textId="77777777" w:rsidR="00595A79" w:rsidRPr="00E11086" w:rsidRDefault="00595A79" w:rsidP="00E470B3">
            <w:pPr>
              <w:tabs>
                <w:tab w:val="decimal" w:pos="113"/>
              </w:tabs>
              <w:spacing w:line="160" w:lineRule="exact"/>
              <w:rPr>
                <w:sz w:val="14"/>
                <w:szCs w:val="14"/>
              </w:rPr>
            </w:pPr>
          </w:p>
        </w:tc>
        <w:tc>
          <w:tcPr>
            <w:tcW w:w="113" w:type="dxa"/>
            <w:vAlign w:val="bottom"/>
          </w:tcPr>
          <w:p w14:paraId="3346436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99567B8"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63B8BD62"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414633A4"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D37E8A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4E532D9"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7DC830E"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19C69D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895D21F"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6AAC7C1" w14:textId="77777777" w:rsidR="00595A79" w:rsidRPr="00E11086" w:rsidRDefault="00595A79" w:rsidP="00E470B3">
            <w:pPr>
              <w:tabs>
                <w:tab w:val="decimal" w:pos="113"/>
              </w:tabs>
              <w:spacing w:line="160" w:lineRule="exact"/>
              <w:rPr>
                <w:sz w:val="14"/>
                <w:szCs w:val="14"/>
              </w:rPr>
            </w:pPr>
          </w:p>
        </w:tc>
        <w:tc>
          <w:tcPr>
            <w:tcW w:w="113" w:type="dxa"/>
            <w:vAlign w:val="bottom"/>
          </w:tcPr>
          <w:p w14:paraId="60BDFE71"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3D73241" w14:textId="77777777" w:rsidR="00595A79" w:rsidRPr="00E11086" w:rsidRDefault="00595A79" w:rsidP="00E470B3">
            <w:pPr>
              <w:tabs>
                <w:tab w:val="decimal" w:pos="113"/>
              </w:tabs>
              <w:spacing w:line="160" w:lineRule="exact"/>
              <w:rPr>
                <w:sz w:val="14"/>
                <w:szCs w:val="14"/>
              </w:rPr>
            </w:pPr>
          </w:p>
        </w:tc>
        <w:tc>
          <w:tcPr>
            <w:tcW w:w="113" w:type="dxa"/>
            <w:vAlign w:val="bottom"/>
          </w:tcPr>
          <w:p w14:paraId="21AFD576"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19CCE6E" w14:textId="77777777" w:rsidR="00595A79" w:rsidRPr="00E11086" w:rsidRDefault="00595A79" w:rsidP="00E470B3">
            <w:pPr>
              <w:tabs>
                <w:tab w:val="decimal" w:pos="113"/>
              </w:tabs>
              <w:spacing w:line="160" w:lineRule="exact"/>
              <w:rPr>
                <w:sz w:val="14"/>
                <w:szCs w:val="14"/>
              </w:rPr>
            </w:pPr>
          </w:p>
        </w:tc>
        <w:tc>
          <w:tcPr>
            <w:tcW w:w="113" w:type="dxa"/>
          </w:tcPr>
          <w:p w14:paraId="27A84581"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7D7F1CEF" w14:textId="77777777" w:rsidR="00595A79" w:rsidRPr="00E11086" w:rsidRDefault="00595A79" w:rsidP="00E470B3">
            <w:pPr>
              <w:tabs>
                <w:tab w:val="decimal" w:pos="113"/>
              </w:tabs>
              <w:spacing w:line="160" w:lineRule="exact"/>
              <w:rPr>
                <w:sz w:val="14"/>
                <w:szCs w:val="14"/>
              </w:rPr>
            </w:pPr>
          </w:p>
        </w:tc>
      </w:tr>
      <w:tr w:rsidR="00595A79" w:rsidRPr="00E11086" w14:paraId="13B0A56B" w14:textId="77777777" w:rsidTr="003675AA">
        <w:tc>
          <w:tcPr>
            <w:tcW w:w="3177" w:type="dxa"/>
            <w:vAlign w:val="bottom"/>
          </w:tcPr>
          <w:p w14:paraId="7C718815"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הנפקת</w:t>
            </w:r>
            <w:r w:rsidRPr="00E11086">
              <w:rPr>
                <w:sz w:val="14"/>
                <w:szCs w:val="14"/>
                <w:rtl/>
              </w:rPr>
              <w:t xml:space="preserve"> </w:t>
            </w:r>
            <w:r w:rsidRPr="00E11086">
              <w:rPr>
                <w:rFonts w:hint="eastAsia"/>
                <w:sz w:val="14"/>
                <w:szCs w:val="14"/>
                <w:rtl/>
              </w:rPr>
              <w:t>הון</w:t>
            </w:r>
            <w:r w:rsidRPr="00E11086">
              <w:rPr>
                <w:sz w:val="14"/>
                <w:szCs w:val="14"/>
                <w:rtl/>
              </w:rPr>
              <w:t xml:space="preserve">/מכירת </w:t>
            </w:r>
            <w:r w:rsidRPr="00E11086">
              <w:rPr>
                <w:rFonts w:hint="eastAsia"/>
                <w:sz w:val="14"/>
                <w:szCs w:val="14"/>
                <w:rtl/>
              </w:rPr>
              <w:t>מניות</w:t>
            </w:r>
            <w:r w:rsidRPr="00E11086">
              <w:rPr>
                <w:sz w:val="14"/>
                <w:szCs w:val="14"/>
                <w:rtl/>
              </w:rPr>
              <w:t xml:space="preserve"> </w:t>
            </w:r>
            <w:r w:rsidRPr="00E11086">
              <w:rPr>
                <w:rFonts w:hint="eastAsia"/>
                <w:sz w:val="14"/>
                <w:szCs w:val="14"/>
                <w:rtl/>
              </w:rPr>
              <w:t>לבעלי</w:t>
            </w:r>
            <w:r w:rsidRPr="00E11086">
              <w:rPr>
                <w:sz w:val="14"/>
                <w:szCs w:val="14"/>
                <w:rtl/>
              </w:rPr>
              <w:t xml:space="preserve"> </w:t>
            </w:r>
            <w:r w:rsidRPr="00E11086">
              <w:rPr>
                <w:rFonts w:hint="eastAsia"/>
                <w:sz w:val="14"/>
                <w:szCs w:val="14"/>
                <w:rtl/>
              </w:rPr>
              <w:t>זכויות</w:t>
            </w:r>
            <w:r w:rsidRPr="00E11086">
              <w:rPr>
                <w:sz w:val="14"/>
                <w:szCs w:val="14"/>
                <w:rtl/>
              </w:rPr>
              <w:t xml:space="preserve"> </w:t>
            </w:r>
            <w:r w:rsidRPr="00E11086">
              <w:rPr>
                <w:rFonts w:hint="eastAsia"/>
                <w:sz w:val="14"/>
                <w:szCs w:val="14"/>
                <w:rtl/>
              </w:rPr>
              <w:t>שאינן</w:t>
            </w:r>
            <w:r w:rsidRPr="00E11086">
              <w:rPr>
                <w:sz w:val="14"/>
                <w:szCs w:val="14"/>
                <w:rtl/>
              </w:rPr>
              <w:t xml:space="preserve"> </w:t>
            </w:r>
            <w:r w:rsidRPr="00E11086">
              <w:rPr>
                <w:rFonts w:hint="eastAsia"/>
                <w:sz w:val="14"/>
                <w:szCs w:val="14"/>
                <w:rtl/>
              </w:rPr>
              <w:t>מקנות</w:t>
            </w:r>
            <w:r w:rsidRPr="00E11086">
              <w:rPr>
                <w:sz w:val="14"/>
                <w:szCs w:val="14"/>
                <w:rtl/>
              </w:rPr>
              <w:t xml:space="preserve"> </w:t>
            </w:r>
            <w:r w:rsidRPr="00E11086">
              <w:rPr>
                <w:rFonts w:hint="eastAsia"/>
                <w:sz w:val="14"/>
                <w:szCs w:val="14"/>
                <w:rtl/>
              </w:rPr>
              <w:t>שליטה</w:t>
            </w:r>
          </w:p>
        </w:tc>
        <w:tc>
          <w:tcPr>
            <w:tcW w:w="113" w:type="dxa"/>
            <w:vAlign w:val="bottom"/>
          </w:tcPr>
          <w:p w14:paraId="2A7E7BC6"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515F355E" w14:textId="77777777" w:rsidR="00595A79" w:rsidRPr="00E11086" w:rsidRDefault="00595A79" w:rsidP="00E470B3">
            <w:pPr>
              <w:tabs>
                <w:tab w:val="decimal" w:pos="113"/>
              </w:tabs>
              <w:spacing w:line="160" w:lineRule="exact"/>
              <w:rPr>
                <w:sz w:val="14"/>
                <w:szCs w:val="14"/>
              </w:rPr>
            </w:pPr>
          </w:p>
        </w:tc>
        <w:tc>
          <w:tcPr>
            <w:tcW w:w="113" w:type="dxa"/>
            <w:vAlign w:val="bottom"/>
          </w:tcPr>
          <w:p w14:paraId="4C8F3A3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DB8BBAD" w14:textId="77777777" w:rsidR="00595A79" w:rsidRPr="00E11086" w:rsidRDefault="00595A79" w:rsidP="00E470B3">
            <w:pPr>
              <w:tabs>
                <w:tab w:val="decimal" w:pos="113"/>
              </w:tabs>
              <w:spacing w:line="160" w:lineRule="exact"/>
              <w:rPr>
                <w:sz w:val="14"/>
                <w:szCs w:val="14"/>
              </w:rPr>
            </w:pPr>
          </w:p>
        </w:tc>
        <w:tc>
          <w:tcPr>
            <w:tcW w:w="113" w:type="dxa"/>
            <w:vAlign w:val="bottom"/>
          </w:tcPr>
          <w:p w14:paraId="2304AD12"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0570617C" w14:textId="77777777" w:rsidR="00595A79" w:rsidRPr="00E11086" w:rsidRDefault="00595A79" w:rsidP="00E470B3">
            <w:pPr>
              <w:tabs>
                <w:tab w:val="decimal" w:pos="113"/>
              </w:tabs>
              <w:spacing w:line="160" w:lineRule="exact"/>
              <w:rPr>
                <w:sz w:val="14"/>
                <w:szCs w:val="14"/>
              </w:rPr>
            </w:pPr>
          </w:p>
        </w:tc>
        <w:tc>
          <w:tcPr>
            <w:tcW w:w="113" w:type="dxa"/>
          </w:tcPr>
          <w:p w14:paraId="435892A3"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37FE40B8" w14:textId="77777777" w:rsidR="00595A79" w:rsidRPr="00E11086" w:rsidRDefault="00595A79" w:rsidP="00E470B3">
            <w:pPr>
              <w:tabs>
                <w:tab w:val="decimal" w:pos="113"/>
              </w:tabs>
              <w:spacing w:line="160" w:lineRule="exact"/>
              <w:rPr>
                <w:sz w:val="14"/>
                <w:szCs w:val="14"/>
              </w:rPr>
            </w:pPr>
          </w:p>
        </w:tc>
        <w:tc>
          <w:tcPr>
            <w:tcW w:w="113" w:type="dxa"/>
          </w:tcPr>
          <w:p w14:paraId="3005B3F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65D55AB3" w14:textId="77777777" w:rsidR="00595A79" w:rsidRPr="00E11086" w:rsidRDefault="00595A79" w:rsidP="00E470B3">
            <w:pPr>
              <w:tabs>
                <w:tab w:val="decimal" w:pos="113"/>
              </w:tabs>
              <w:spacing w:line="160" w:lineRule="exact"/>
              <w:rPr>
                <w:sz w:val="14"/>
                <w:szCs w:val="14"/>
              </w:rPr>
            </w:pPr>
          </w:p>
        </w:tc>
        <w:tc>
          <w:tcPr>
            <w:tcW w:w="113" w:type="dxa"/>
            <w:vAlign w:val="bottom"/>
          </w:tcPr>
          <w:p w14:paraId="450574A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D59B6AF" w14:textId="77777777" w:rsidR="00595A79" w:rsidRPr="00E11086" w:rsidRDefault="00595A79" w:rsidP="00E470B3">
            <w:pPr>
              <w:tabs>
                <w:tab w:val="decimal" w:pos="113"/>
              </w:tabs>
              <w:spacing w:line="160" w:lineRule="exact"/>
              <w:rPr>
                <w:sz w:val="14"/>
                <w:szCs w:val="14"/>
              </w:rPr>
            </w:pPr>
          </w:p>
        </w:tc>
        <w:tc>
          <w:tcPr>
            <w:tcW w:w="113" w:type="dxa"/>
            <w:vAlign w:val="bottom"/>
          </w:tcPr>
          <w:p w14:paraId="75C24D5C"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3A1EB0F1" w14:textId="77777777" w:rsidR="00595A79" w:rsidRPr="00E11086" w:rsidRDefault="00595A79" w:rsidP="00E470B3">
            <w:pPr>
              <w:tabs>
                <w:tab w:val="decimal" w:pos="113"/>
              </w:tabs>
              <w:spacing w:line="160" w:lineRule="exact"/>
              <w:rPr>
                <w:sz w:val="14"/>
                <w:szCs w:val="14"/>
              </w:rPr>
            </w:pPr>
          </w:p>
        </w:tc>
        <w:tc>
          <w:tcPr>
            <w:tcW w:w="113" w:type="dxa"/>
            <w:vAlign w:val="bottom"/>
          </w:tcPr>
          <w:p w14:paraId="4676E465"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A24BE2C" w14:textId="77777777" w:rsidR="00595A79" w:rsidRPr="00E11086" w:rsidRDefault="00595A79" w:rsidP="00E470B3">
            <w:pPr>
              <w:tabs>
                <w:tab w:val="decimal" w:pos="113"/>
              </w:tabs>
              <w:spacing w:line="160" w:lineRule="exact"/>
              <w:rPr>
                <w:sz w:val="14"/>
                <w:szCs w:val="14"/>
              </w:rPr>
            </w:pPr>
          </w:p>
        </w:tc>
        <w:tc>
          <w:tcPr>
            <w:tcW w:w="113" w:type="dxa"/>
            <w:vAlign w:val="bottom"/>
          </w:tcPr>
          <w:p w14:paraId="4EA082C3"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EC55870"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73DECC93"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455B286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529BAC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CEF4972"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2E17C7F"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F71E50F"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F6D50E2"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FC4BF2D" w14:textId="77777777" w:rsidR="00595A79" w:rsidRPr="00E11086" w:rsidRDefault="00595A79" w:rsidP="00E470B3">
            <w:pPr>
              <w:tabs>
                <w:tab w:val="decimal" w:pos="113"/>
              </w:tabs>
              <w:spacing w:line="160" w:lineRule="exact"/>
              <w:rPr>
                <w:sz w:val="14"/>
                <w:szCs w:val="14"/>
              </w:rPr>
            </w:pPr>
          </w:p>
        </w:tc>
        <w:tc>
          <w:tcPr>
            <w:tcW w:w="113" w:type="dxa"/>
            <w:vAlign w:val="bottom"/>
          </w:tcPr>
          <w:p w14:paraId="09E6E95B"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A9310E3" w14:textId="77777777" w:rsidR="00595A79" w:rsidRPr="00E11086" w:rsidRDefault="00595A79" w:rsidP="00E470B3">
            <w:pPr>
              <w:tabs>
                <w:tab w:val="decimal" w:pos="113"/>
              </w:tabs>
              <w:spacing w:line="160" w:lineRule="exact"/>
              <w:rPr>
                <w:sz w:val="14"/>
                <w:szCs w:val="14"/>
              </w:rPr>
            </w:pPr>
          </w:p>
        </w:tc>
        <w:tc>
          <w:tcPr>
            <w:tcW w:w="113" w:type="dxa"/>
            <w:vAlign w:val="bottom"/>
          </w:tcPr>
          <w:p w14:paraId="76FBC395"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338B135B" w14:textId="77777777" w:rsidR="00595A79" w:rsidRPr="00E11086" w:rsidRDefault="00595A79" w:rsidP="00E470B3">
            <w:pPr>
              <w:tabs>
                <w:tab w:val="decimal" w:pos="113"/>
              </w:tabs>
              <w:spacing w:line="160" w:lineRule="exact"/>
              <w:rPr>
                <w:sz w:val="14"/>
                <w:szCs w:val="14"/>
              </w:rPr>
            </w:pPr>
          </w:p>
        </w:tc>
        <w:tc>
          <w:tcPr>
            <w:tcW w:w="113" w:type="dxa"/>
          </w:tcPr>
          <w:p w14:paraId="79725702"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3280D679" w14:textId="77777777" w:rsidR="00595A79" w:rsidRPr="00E11086" w:rsidRDefault="00595A79" w:rsidP="00E470B3">
            <w:pPr>
              <w:tabs>
                <w:tab w:val="decimal" w:pos="113"/>
              </w:tabs>
              <w:spacing w:line="160" w:lineRule="exact"/>
              <w:rPr>
                <w:sz w:val="14"/>
                <w:szCs w:val="14"/>
              </w:rPr>
            </w:pPr>
          </w:p>
        </w:tc>
      </w:tr>
      <w:tr w:rsidR="00595A79" w:rsidRPr="00E11086" w14:paraId="59CA0850" w14:textId="77777777" w:rsidTr="003675AA">
        <w:tc>
          <w:tcPr>
            <w:tcW w:w="3177" w:type="dxa"/>
            <w:vAlign w:val="bottom"/>
          </w:tcPr>
          <w:p w14:paraId="7AC6BBF4"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תקבולים</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אופציית</w:t>
            </w:r>
            <w:r w:rsidRPr="00E11086">
              <w:rPr>
                <w:sz w:val="14"/>
                <w:szCs w:val="14"/>
                <w:rtl/>
              </w:rPr>
              <w:t xml:space="preserve"> </w:t>
            </w:r>
            <w:r w:rsidRPr="00E11086">
              <w:rPr>
                <w:rFonts w:hint="eastAsia"/>
                <w:sz w:val="14"/>
                <w:szCs w:val="14"/>
                <w:rtl/>
              </w:rPr>
              <w:t>המרה</w:t>
            </w:r>
            <w:r w:rsidRPr="00E11086">
              <w:rPr>
                <w:sz w:val="14"/>
                <w:szCs w:val="14"/>
                <w:rtl/>
              </w:rPr>
              <w:t xml:space="preserve"> </w:t>
            </w:r>
            <w:r w:rsidRPr="00E11086">
              <w:rPr>
                <w:rFonts w:hint="eastAsia"/>
                <w:sz w:val="14"/>
                <w:szCs w:val="14"/>
                <w:rtl/>
              </w:rPr>
              <w:t>בהנפקת</w:t>
            </w:r>
            <w:r w:rsidRPr="00E11086">
              <w:rPr>
                <w:sz w:val="14"/>
                <w:szCs w:val="14"/>
                <w:rtl/>
              </w:rPr>
              <w:t xml:space="preserve"> </w:t>
            </w:r>
            <w:r w:rsidRPr="00E11086">
              <w:rPr>
                <w:rFonts w:hint="eastAsia"/>
                <w:sz w:val="14"/>
                <w:szCs w:val="14"/>
                <w:rtl/>
              </w:rPr>
              <w:t>אגרות</w:t>
            </w:r>
            <w:r w:rsidRPr="00E11086">
              <w:rPr>
                <w:sz w:val="14"/>
                <w:szCs w:val="14"/>
                <w:rtl/>
              </w:rPr>
              <w:t xml:space="preserve"> </w:t>
            </w:r>
            <w:r w:rsidRPr="00E11086">
              <w:rPr>
                <w:rFonts w:hint="eastAsia"/>
                <w:sz w:val="14"/>
                <w:szCs w:val="14"/>
                <w:rtl/>
              </w:rPr>
              <w:t>חוב</w:t>
            </w:r>
            <w:r w:rsidRPr="00E11086">
              <w:rPr>
                <w:sz w:val="14"/>
                <w:szCs w:val="14"/>
                <w:rtl/>
              </w:rPr>
              <w:t xml:space="preserve"> </w:t>
            </w:r>
            <w:r w:rsidRPr="00E11086">
              <w:rPr>
                <w:rFonts w:hint="eastAsia"/>
                <w:sz w:val="14"/>
                <w:szCs w:val="14"/>
                <w:rtl/>
              </w:rPr>
              <w:t>ניתנות</w:t>
            </w:r>
            <w:r w:rsidRPr="00E11086">
              <w:rPr>
                <w:sz w:val="14"/>
                <w:szCs w:val="14"/>
                <w:rtl/>
              </w:rPr>
              <w:t xml:space="preserve"> </w:t>
            </w:r>
            <w:r w:rsidRPr="00E11086">
              <w:rPr>
                <w:rFonts w:hint="eastAsia"/>
                <w:sz w:val="14"/>
                <w:szCs w:val="14"/>
                <w:rtl/>
              </w:rPr>
              <w:t>להמרה</w:t>
            </w:r>
            <w:r w:rsidRPr="00E11086">
              <w:rPr>
                <w:sz w:val="14"/>
                <w:szCs w:val="14"/>
                <w:rtl/>
              </w:rPr>
              <w:t xml:space="preserve"> (בניכוי </w:t>
            </w:r>
            <w:r w:rsidRPr="00E11086">
              <w:rPr>
                <w:rFonts w:hint="eastAsia"/>
                <w:sz w:val="14"/>
                <w:szCs w:val="14"/>
                <w:rtl/>
              </w:rPr>
              <w:t>הוצאות</w:t>
            </w:r>
            <w:r w:rsidRPr="00E11086">
              <w:rPr>
                <w:sz w:val="14"/>
                <w:szCs w:val="14"/>
                <w:rtl/>
              </w:rPr>
              <w:t xml:space="preserve"> </w:t>
            </w:r>
            <w:r w:rsidRPr="00E11086">
              <w:rPr>
                <w:rFonts w:hint="eastAsia"/>
                <w:sz w:val="14"/>
                <w:szCs w:val="14"/>
                <w:rtl/>
              </w:rPr>
              <w:t>הנפקה</w:t>
            </w:r>
            <w:r w:rsidRPr="00E11086">
              <w:rPr>
                <w:sz w:val="14"/>
                <w:szCs w:val="14"/>
                <w:rtl/>
              </w:rPr>
              <w:t>)</w:t>
            </w:r>
          </w:p>
        </w:tc>
        <w:tc>
          <w:tcPr>
            <w:tcW w:w="113" w:type="dxa"/>
            <w:vAlign w:val="bottom"/>
          </w:tcPr>
          <w:p w14:paraId="352587C9"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7BD70581" w14:textId="77777777" w:rsidR="00595A79" w:rsidRPr="00E11086" w:rsidRDefault="00595A79" w:rsidP="00E470B3">
            <w:pPr>
              <w:tabs>
                <w:tab w:val="decimal" w:pos="113"/>
              </w:tabs>
              <w:spacing w:line="160" w:lineRule="exact"/>
              <w:rPr>
                <w:sz w:val="14"/>
                <w:szCs w:val="14"/>
              </w:rPr>
            </w:pPr>
          </w:p>
        </w:tc>
        <w:tc>
          <w:tcPr>
            <w:tcW w:w="113" w:type="dxa"/>
            <w:vAlign w:val="bottom"/>
          </w:tcPr>
          <w:p w14:paraId="02FB1DC1"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6B11A33" w14:textId="77777777" w:rsidR="00595A79" w:rsidRPr="00E11086" w:rsidRDefault="00595A79" w:rsidP="00E470B3">
            <w:pPr>
              <w:tabs>
                <w:tab w:val="decimal" w:pos="113"/>
              </w:tabs>
              <w:spacing w:line="160" w:lineRule="exact"/>
              <w:rPr>
                <w:sz w:val="14"/>
                <w:szCs w:val="14"/>
              </w:rPr>
            </w:pPr>
          </w:p>
        </w:tc>
        <w:tc>
          <w:tcPr>
            <w:tcW w:w="113" w:type="dxa"/>
            <w:vAlign w:val="bottom"/>
          </w:tcPr>
          <w:p w14:paraId="0347135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8BE9280" w14:textId="77777777" w:rsidR="00595A79" w:rsidRPr="00E11086" w:rsidRDefault="00595A79" w:rsidP="00E470B3">
            <w:pPr>
              <w:tabs>
                <w:tab w:val="decimal" w:pos="113"/>
              </w:tabs>
              <w:spacing w:line="160" w:lineRule="exact"/>
              <w:rPr>
                <w:sz w:val="14"/>
                <w:szCs w:val="14"/>
              </w:rPr>
            </w:pPr>
          </w:p>
        </w:tc>
        <w:tc>
          <w:tcPr>
            <w:tcW w:w="113" w:type="dxa"/>
          </w:tcPr>
          <w:p w14:paraId="22072FCA"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08C12975" w14:textId="77777777" w:rsidR="00595A79" w:rsidRPr="00E11086" w:rsidRDefault="00595A79" w:rsidP="00E470B3">
            <w:pPr>
              <w:tabs>
                <w:tab w:val="decimal" w:pos="113"/>
              </w:tabs>
              <w:spacing w:line="160" w:lineRule="exact"/>
              <w:rPr>
                <w:sz w:val="14"/>
                <w:szCs w:val="14"/>
              </w:rPr>
            </w:pPr>
          </w:p>
        </w:tc>
        <w:tc>
          <w:tcPr>
            <w:tcW w:w="113" w:type="dxa"/>
          </w:tcPr>
          <w:p w14:paraId="75603582"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06F1AB6D" w14:textId="77777777" w:rsidR="00595A79" w:rsidRPr="00E11086" w:rsidRDefault="00595A79" w:rsidP="00E470B3">
            <w:pPr>
              <w:tabs>
                <w:tab w:val="decimal" w:pos="113"/>
              </w:tabs>
              <w:spacing w:line="160" w:lineRule="exact"/>
              <w:rPr>
                <w:sz w:val="14"/>
                <w:szCs w:val="14"/>
              </w:rPr>
            </w:pPr>
          </w:p>
        </w:tc>
        <w:tc>
          <w:tcPr>
            <w:tcW w:w="113" w:type="dxa"/>
            <w:vAlign w:val="bottom"/>
          </w:tcPr>
          <w:p w14:paraId="004A16F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560D010" w14:textId="77777777" w:rsidR="00595A79" w:rsidRPr="00E11086" w:rsidRDefault="00595A79" w:rsidP="00E470B3">
            <w:pPr>
              <w:tabs>
                <w:tab w:val="decimal" w:pos="113"/>
              </w:tabs>
              <w:spacing w:line="160" w:lineRule="exact"/>
              <w:rPr>
                <w:sz w:val="14"/>
                <w:szCs w:val="14"/>
              </w:rPr>
            </w:pPr>
          </w:p>
        </w:tc>
        <w:tc>
          <w:tcPr>
            <w:tcW w:w="113" w:type="dxa"/>
            <w:vAlign w:val="bottom"/>
          </w:tcPr>
          <w:p w14:paraId="5E1ABBB8"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42A07C20" w14:textId="77777777" w:rsidR="00595A79" w:rsidRPr="00E11086" w:rsidRDefault="00595A79" w:rsidP="00E470B3">
            <w:pPr>
              <w:tabs>
                <w:tab w:val="decimal" w:pos="113"/>
              </w:tabs>
              <w:spacing w:line="160" w:lineRule="exact"/>
              <w:rPr>
                <w:sz w:val="14"/>
                <w:szCs w:val="14"/>
              </w:rPr>
            </w:pPr>
          </w:p>
        </w:tc>
        <w:tc>
          <w:tcPr>
            <w:tcW w:w="113" w:type="dxa"/>
            <w:vAlign w:val="bottom"/>
          </w:tcPr>
          <w:p w14:paraId="21C6C24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6116D6EE" w14:textId="77777777" w:rsidR="00595A79" w:rsidRPr="00E11086" w:rsidRDefault="00595A79" w:rsidP="00E470B3">
            <w:pPr>
              <w:tabs>
                <w:tab w:val="decimal" w:pos="113"/>
              </w:tabs>
              <w:spacing w:line="160" w:lineRule="exact"/>
              <w:rPr>
                <w:sz w:val="14"/>
                <w:szCs w:val="14"/>
              </w:rPr>
            </w:pPr>
          </w:p>
        </w:tc>
        <w:tc>
          <w:tcPr>
            <w:tcW w:w="113" w:type="dxa"/>
            <w:vAlign w:val="bottom"/>
          </w:tcPr>
          <w:p w14:paraId="444065D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58ED857"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040E8482"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3BFE2F4A"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1690F5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67E2DD5"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1B12B2E"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44D265A4"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6922DE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40F8C5C6" w14:textId="77777777" w:rsidR="00595A79" w:rsidRPr="00E11086" w:rsidRDefault="00595A79" w:rsidP="00E470B3">
            <w:pPr>
              <w:tabs>
                <w:tab w:val="decimal" w:pos="113"/>
              </w:tabs>
              <w:spacing w:line="160" w:lineRule="exact"/>
              <w:rPr>
                <w:sz w:val="14"/>
                <w:szCs w:val="14"/>
              </w:rPr>
            </w:pPr>
          </w:p>
        </w:tc>
        <w:tc>
          <w:tcPr>
            <w:tcW w:w="113" w:type="dxa"/>
            <w:vAlign w:val="bottom"/>
          </w:tcPr>
          <w:p w14:paraId="22C80D41"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FB145A9" w14:textId="77777777" w:rsidR="00595A79" w:rsidRPr="00E11086" w:rsidRDefault="00595A79" w:rsidP="00E470B3">
            <w:pPr>
              <w:tabs>
                <w:tab w:val="decimal" w:pos="113"/>
              </w:tabs>
              <w:spacing w:line="160" w:lineRule="exact"/>
              <w:rPr>
                <w:sz w:val="14"/>
                <w:szCs w:val="14"/>
              </w:rPr>
            </w:pPr>
          </w:p>
        </w:tc>
        <w:tc>
          <w:tcPr>
            <w:tcW w:w="113" w:type="dxa"/>
            <w:vAlign w:val="bottom"/>
          </w:tcPr>
          <w:p w14:paraId="7ECA566F"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3362CBD9" w14:textId="77777777" w:rsidR="00595A79" w:rsidRPr="00E11086" w:rsidRDefault="00595A79" w:rsidP="00E470B3">
            <w:pPr>
              <w:tabs>
                <w:tab w:val="decimal" w:pos="113"/>
              </w:tabs>
              <w:spacing w:line="160" w:lineRule="exact"/>
              <w:rPr>
                <w:sz w:val="14"/>
                <w:szCs w:val="14"/>
              </w:rPr>
            </w:pPr>
          </w:p>
        </w:tc>
        <w:tc>
          <w:tcPr>
            <w:tcW w:w="113" w:type="dxa"/>
          </w:tcPr>
          <w:p w14:paraId="7033107B"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720C37EA" w14:textId="77777777" w:rsidR="00595A79" w:rsidRPr="00E11086" w:rsidRDefault="00595A79" w:rsidP="00E470B3">
            <w:pPr>
              <w:tabs>
                <w:tab w:val="decimal" w:pos="113"/>
              </w:tabs>
              <w:spacing w:line="160" w:lineRule="exact"/>
              <w:rPr>
                <w:sz w:val="14"/>
                <w:szCs w:val="14"/>
              </w:rPr>
            </w:pPr>
          </w:p>
        </w:tc>
      </w:tr>
      <w:tr w:rsidR="00595A79" w:rsidRPr="00E11086" w14:paraId="2EF01293" w14:textId="77777777" w:rsidTr="003675AA">
        <w:tc>
          <w:tcPr>
            <w:tcW w:w="3177" w:type="dxa"/>
            <w:vAlign w:val="bottom"/>
          </w:tcPr>
          <w:p w14:paraId="36ADCC17"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המרת</w:t>
            </w:r>
            <w:r w:rsidRPr="00E11086">
              <w:rPr>
                <w:sz w:val="14"/>
                <w:szCs w:val="14"/>
                <w:rtl/>
              </w:rPr>
              <w:t xml:space="preserve"> </w:t>
            </w:r>
            <w:r w:rsidRPr="00E11086">
              <w:rPr>
                <w:rFonts w:hint="eastAsia"/>
                <w:sz w:val="14"/>
                <w:szCs w:val="14"/>
                <w:rtl/>
              </w:rPr>
              <w:t>אגרות</w:t>
            </w:r>
            <w:r w:rsidRPr="00E11086">
              <w:rPr>
                <w:sz w:val="14"/>
                <w:szCs w:val="14"/>
                <w:rtl/>
              </w:rPr>
              <w:t xml:space="preserve"> </w:t>
            </w:r>
            <w:r w:rsidRPr="00E11086">
              <w:rPr>
                <w:rFonts w:hint="eastAsia"/>
                <w:sz w:val="14"/>
                <w:szCs w:val="14"/>
                <w:rtl/>
              </w:rPr>
              <w:t>חוב</w:t>
            </w:r>
            <w:r w:rsidRPr="00E11086">
              <w:rPr>
                <w:sz w:val="14"/>
                <w:szCs w:val="14"/>
                <w:rtl/>
              </w:rPr>
              <w:t xml:space="preserve"> </w:t>
            </w:r>
            <w:r w:rsidRPr="00E11086">
              <w:rPr>
                <w:rFonts w:hint="eastAsia"/>
                <w:sz w:val="14"/>
                <w:szCs w:val="14"/>
                <w:rtl/>
              </w:rPr>
              <w:t>להמרה</w:t>
            </w:r>
            <w:r w:rsidRPr="00E11086">
              <w:rPr>
                <w:sz w:val="14"/>
                <w:szCs w:val="14"/>
                <w:rtl/>
              </w:rPr>
              <w:t xml:space="preserve"> </w:t>
            </w:r>
            <w:r w:rsidRPr="00E11086">
              <w:rPr>
                <w:rFonts w:hint="eastAsia"/>
                <w:sz w:val="14"/>
                <w:szCs w:val="14"/>
                <w:rtl/>
              </w:rPr>
              <w:t>במניות</w:t>
            </w:r>
          </w:p>
        </w:tc>
        <w:tc>
          <w:tcPr>
            <w:tcW w:w="113" w:type="dxa"/>
            <w:vAlign w:val="bottom"/>
          </w:tcPr>
          <w:p w14:paraId="447B5ED4"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4BF1C800" w14:textId="77777777" w:rsidR="00595A79" w:rsidRPr="00E11086" w:rsidRDefault="00595A79" w:rsidP="00E470B3">
            <w:pPr>
              <w:tabs>
                <w:tab w:val="decimal" w:pos="113"/>
              </w:tabs>
              <w:spacing w:line="160" w:lineRule="exact"/>
              <w:rPr>
                <w:sz w:val="14"/>
                <w:szCs w:val="14"/>
              </w:rPr>
            </w:pPr>
          </w:p>
        </w:tc>
        <w:tc>
          <w:tcPr>
            <w:tcW w:w="113" w:type="dxa"/>
            <w:vAlign w:val="bottom"/>
          </w:tcPr>
          <w:p w14:paraId="159291C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2F02B3B" w14:textId="77777777" w:rsidR="00595A79" w:rsidRPr="00E11086" w:rsidRDefault="00595A79" w:rsidP="00E470B3">
            <w:pPr>
              <w:tabs>
                <w:tab w:val="decimal" w:pos="113"/>
              </w:tabs>
              <w:spacing w:line="160" w:lineRule="exact"/>
              <w:rPr>
                <w:sz w:val="14"/>
                <w:szCs w:val="14"/>
              </w:rPr>
            </w:pPr>
          </w:p>
        </w:tc>
        <w:tc>
          <w:tcPr>
            <w:tcW w:w="113" w:type="dxa"/>
            <w:vAlign w:val="bottom"/>
          </w:tcPr>
          <w:p w14:paraId="42B7546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0E2D77FE" w14:textId="77777777" w:rsidR="00595A79" w:rsidRPr="00E11086" w:rsidRDefault="00595A79" w:rsidP="00E470B3">
            <w:pPr>
              <w:tabs>
                <w:tab w:val="decimal" w:pos="113"/>
              </w:tabs>
              <w:spacing w:line="160" w:lineRule="exact"/>
              <w:rPr>
                <w:sz w:val="14"/>
                <w:szCs w:val="14"/>
              </w:rPr>
            </w:pPr>
          </w:p>
        </w:tc>
        <w:tc>
          <w:tcPr>
            <w:tcW w:w="113" w:type="dxa"/>
          </w:tcPr>
          <w:p w14:paraId="016101D3"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018FB820" w14:textId="77777777" w:rsidR="00595A79" w:rsidRPr="00E11086" w:rsidRDefault="00595A79" w:rsidP="00E470B3">
            <w:pPr>
              <w:tabs>
                <w:tab w:val="decimal" w:pos="113"/>
              </w:tabs>
              <w:spacing w:line="160" w:lineRule="exact"/>
              <w:rPr>
                <w:sz w:val="14"/>
                <w:szCs w:val="14"/>
              </w:rPr>
            </w:pPr>
          </w:p>
        </w:tc>
        <w:tc>
          <w:tcPr>
            <w:tcW w:w="113" w:type="dxa"/>
          </w:tcPr>
          <w:p w14:paraId="0197472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2391192A" w14:textId="77777777" w:rsidR="00595A79" w:rsidRPr="00E11086" w:rsidRDefault="00595A79" w:rsidP="00E470B3">
            <w:pPr>
              <w:tabs>
                <w:tab w:val="decimal" w:pos="113"/>
              </w:tabs>
              <w:spacing w:line="160" w:lineRule="exact"/>
              <w:rPr>
                <w:sz w:val="14"/>
                <w:szCs w:val="14"/>
              </w:rPr>
            </w:pPr>
          </w:p>
        </w:tc>
        <w:tc>
          <w:tcPr>
            <w:tcW w:w="113" w:type="dxa"/>
            <w:vAlign w:val="bottom"/>
          </w:tcPr>
          <w:p w14:paraId="107F2CB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9E3DA4F" w14:textId="77777777" w:rsidR="00595A79" w:rsidRPr="00E11086" w:rsidRDefault="00595A79" w:rsidP="00E470B3">
            <w:pPr>
              <w:tabs>
                <w:tab w:val="decimal" w:pos="113"/>
              </w:tabs>
              <w:spacing w:line="160" w:lineRule="exact"/>
              <w:rPr>
                <w:sz w:val="14"/>
                <w:szCs w:val="14"/>
              </w:rPr>
            </w:pPr>
          </w:p>
        </w:tc>
        <w:tc>
          <w:tcPr>
            <w:tcW w:w="113" w:type="dxa"/>
            <w:vAlign w:val="bottom"/>
          </w:tcPr>
          <w:p w14:paraId="353AFF2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335A3895" w14:textId="77777777" w:rsidR="00595A79" w:rsidRPr="00E11086" w:rsidRDefault="00595A79" w:rsidP="00E470B3">
            <w:pPr>
              <w:tabs>
                <w:tab w:val="decimal" w:pos="113"/>
              </w:tabs>
              <w:spacing w:line="160" w:lineRule="exact"/>
              <w:rPr>
                <w:sz w:val="14"/>
                <w:szCs w:val="14"/>
              </w:rPr>
            </w:pPr>
          </w:p>
        </w:tc>
        <w:tc>
          <w:tcPr>
            <w:tcW w:w="113" w:type="dxa"/>
            <w:vAlign w:val="bottom"/>
          </w:tcPr>
          <w:p w14:paraId="27396A52"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60B09C7C" w14:textId="77777777" w:rsidR="00595A79" w:rsidRPr="00E11086" w:rsidRDefault="00595A79" w:rsidP="00E470B3">
            <w:pPr>
              <w:tabs>
                <w:tab w:val="decimal" w:pos="113"/>
              </w:tabs>
              <w:spacing w:line="160" w:lineRule="exact"/>
              <w:rPr>
                <w:sz w:val="14"/>
                <w:szCs w:val="14"/>
              </w:rPr>
            </w:pPr>
          </w:p>
        </w:tc>
        <w:tc>
          <w:tcPr>
            <w:tcW w:w="113" w:type="dxa"/>
            <w:vAlign w:val="bottom"/>
          </w:tcPr>
          <w:p w14:paraId="727032EF"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55EFE9F"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385B0715"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172B8AFF"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C800E5B"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7B3C253"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632E15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8FC8641"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AB71A7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D7E4F0C" w14:textId="77777777" w:rsidR="00595A79" w:rsidRPr="00E11086" w:rsidRDefault="00595A79" w:rsidP="00E470B3">
            <w:pPr>
              <w:tabs>
                <w:tab w:val="decimal" w:pos="113"/>
              </w:tabs>
              <w:spacing w:line="160" w:lineRule="exact"/>
              <w:rPr>
                <w:sz w:val="14"/>
                <w:szCs w:val="14"/>
              </w:rPr>
            </w:pPr>
          </w:p>
        </w:tc>
        <w:tc>
          <w:tcPr>
            <w:tcW w:w="113" w:type="dxa"/>
            <w:vAlign w:val="bottom"/>
          </w:tcPr>
          <w:p w14:paraId="31AB4BB6"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1384627B" w14:textId="77777777" w:rsidR="00595A79" w:rsidRPr="00E11086" w:rsidRDefault="00595A79" w:rsidP="00E470B3">
            <w:pPr>
              <w:tabs>
                <w:tab w:val="decimal" w:pos="113"/>
              </w:tabs>
              <w:spacing w:line="160" w:lineRule="exact"/>
              <w:rPr>
                <w:sz w:val="14"/>
                <w:szCs w:val="14"/>
              </w:rPr>
            </w:pPr>
          </w:p>
        </w:tc>
        <w:tc>
          <w:tcPr>
            <w:tcW w:w="113" w:type="dxa"/>
            <w:vAlign w:val="bottom"/>
          </w:tcPr>
          <w:p w14:paraId="58C2C899"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3966D19" w14:textId="77777777" w:rsidR="00595A79" w:rsidRPr="00E11086" w:rsidRDefault="00595A79" w:rsidP="00E470B3">
            <w:pPr>
              <w:tabs>
                <w:tab w:val="decimal" w:pos="113"/>
              </w:tabs>
              <w:spacing w:line="160" w:lineRule="exact"/>
              <w:rPr>
                <w:sz w:val="14"/>
                <w:szCs w:val="14"/>
              </w:rPr>
            </w:pPr>
          </w:p>
        </w:tc>
        <w:tc>
          <w:tcPr>
            <w:tcW w:w="113" w:type="dxa"/>
          </w:tcPr>
          <w:p w14:paraId="7CE437E9"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5A41F20F" w14:textId="77777777" w:rsidR="00595A79" w:rsidRPr="00E11086" w:rsidRDefault="00595A79" w:rsidP="00E470B3">
            <w:pPr>
              <w:tabs>
                <w:tab w:val="decimal" w:pos="113"/>
              </w:tabs>
              <w:spacing w:line="160" w:lineRule="exact"/>
              <w:rPr>
                <w:sz w:val="14"/>
                <w:szCs w:val="14"/>
              </w:rPr>
            </w:pPr>
          </w:p>
        </w:tc>
      </w:tr>
      <w:tr w:rsidR="00595A79" w:rsidRPr="00E11086" w14:paraId="55C3EE28" w14:textId="77777777" w:rsidTr="003675AA">
        <w:tc>
          <w:tcPr>
            <w:tcW w:w="3177" w:type="dxa"/>
            <w:vAlign w:val="bottom"/>
          </w:tcPr>
          <w:p w14:paraId="4B05652C"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מימוש</w:t>
            </w:r>
            <w:r w:rsidRPr="00E11086">
              <w:rPr>
                <w:sz w:val="14"/>
                <w:szCs w:val="14"/>
                <w:rtl/>
              </w:rPr>
              <w:t xml:space="preserve"> </w:t>
            </w:r>
            <w:r w:rsidRPr="00E11086">
              <w:rPr>
                <w:rFonts w:hint="eastAsia"/>
                <w:sz w:val="14"/>
                <w:szCs w:val="14"/>
                <w:rtl/>
              </w:rPr>
              <w:t>כתבי</w:t>
            </w:r>
            <w:r w:rsidRPr="00E11086">
              <w:rPr>
                <w:sz w:val="14"/>
                <w:szCs w:val="14"/>
                <w:rtl/>
              </w:rPr>
              <w:t xml:space="preserve"> </w:t>
            </w:r>
            <w:r w:rsidRPr="00E11086">
              <w:rPr>
                <w:rFonts w:hint="eastAsia"/>
                <w:sz w:val="14"/>
                <w:szCs w:val="14"/>
                <w:rtl/>
              </w:rPr>
              <w:t>אופציה</w:t>
            </w:r>
            <w:r w:rsidRPr="00E11086">
              <w:rPr>
                <w:sz w:val="14"/>
                <w:szCs w:val="14"/>
                <w:rtl/>
              </w:rPr>
              <w:t xml:space="preserve"> </w:t>
            </w:r>
            <w:r w:rsidRPr="00E11086">
              <w:rPr>
                <w:rFonts w:hint="eastAsia"/>
                <w:sz w:val="14"/>
                <w:szCs w:val="14"/>
                <w:rtl/>
              </w:rPr>
              <w:t>והמרת</w:t>
            </w:r>
            <w:r w:rsidRPr="00E11086">
              <w:rPr>
                <w:sz w:val="14"/>
                <w:szCs w:val="14"/>
                <w:rtl/>
              </w:rPr>
              <w:t xml:space="preserve"> </w:t>
            </w:r>
            <w:r w:rsidRPr="00E11086">
              <w:rPr>
                <w:rFonts w:hint="eastAsia"/>
                <w:sz w:val="14"/>
                <w:szCs w:val="14"/>
                <w:rtl/>
              </w:rPr>
              <w:t>אגרות</w:t>
            </w:r>
            <w:r w:rsidRPr="00E11086">
              <w:rPr>
                <w:sz w:val="14"/>
                <w:szCs w:val="14"/>
                <w:rtl/>
              </w:rPr>
              <w:t xml:space="preserve"> </w:t>
            </w:r>
            <w:r w:rsidRPr="00E11086">
              <w:rPr>
                <w:rFonts w:hint="eastAsia"/>
                <w:sz w:val="14"/>
                <w:szCs w:val="14"/>
                <w:rtl/>
              </w:rPr>
              <w:t>חוב</w:t>
            </w:r>
            <w:r w:rsidRPr="00E11086">
              <w:rPr>
                <w:sz w:val="14"/>
                <w:szCs w:val="14"/>
                <w:rtl/>
              </w:rPr>
              <w:t xml:space="preserve"> </w:t>
            </w:r>
            <w:r w:rsidRPr="00E11086">
              <w:rPr>
                <w:rFonts w:hint="eastAsia"/>
                <w:sz w:val="14"/>
                <w:szCs w:val="14"/>
                <w:rtl/>
              </w:rPr>
              <w:t>להמרה</w:t>
            </w:r>
            <w:r w:rsidRPr="00E11086">
              <w:rPr>
                <w:sz w:val="14"/>
                <w:szCs w:val="14"/>
                <w:rtl/>
              </w:rPr>
              <w:t xml:space="preserve"> </w:t>
            </w:r>
            <w:r w:rsidRPr="00E11086">
              <w:rPr>
                <w:rFonts w:hint="eastAsia"/>
                <w:sz w:val="14"/>
                <w:szCs w:val="14"/>
                <w:rtl/>
              </w:rPr>
              <w:t>בחברה</w:t>
            </w:r>
            <w:r w:rsidRPr="00E11086">
              <w:rPr>
                <w:sz w:val="14"/>
                <w:szCs w:val="14"/>
                <w:rtl/>
              </w:rPr>
              <w:t xml:space="preserve"> </w:t>
            </w:r>
            <w:r w:rsidRPr="00E11086">
              <w:rPr>
                <w:rFonts w:hint="eastAsia"/>
                <w:sz w:val="14"/>
                <w:szCs w:val="14"/>
                <w:rtl/>
              </w:rPr>
              <w:t>מאוחדת</w:t>
            </w:r>
          </w:p>
        </w:tc>
        <w:tc>
          <w:tcPr>
            <w:tcW w:w="113" w:type="dxa"/>
            <w:vAlign w:val="bottom"/>
          </w:tcPr>
          <w:p w14:paraId="290725AC"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123D056A" w14:textId="77777777" w:rsidR="00595A79" w:rsidRPr="00E11086" w:rsidRDefault="00595A79" w:rsidP="00E470B3">
            <w:pPr>
              <w:tabs>
                <w:tab w:val="decimal" w:pos="113"/>
              </w:tabs>
              <w:spacing w:line="160" w:lineRule="exact"/>
              <w:rPr>
                <w:sz w:val="14"/>
                <w:szCs w:val="14"/>
              </w:rPr>
            </w:pPr>
          </w:p>
        </w:tc>
        <w:tc>
          <w:tcPr>
            <w:tcW w:w="113" w:type="dxa"/>
            <w:vAlign w:val="bottom"/>
          </w:tcPr>
          <w:p w14:paraId="4A056363"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BC2A96D" w14:textId="77777777" w:rsidR="00595A79" w:rsidRPr="00E11086" w:rsidRDefault="00595A79" w:rsidP="00E470B3">
            <w:pPr>
              <w:tabs>
                <w:tab w:val="decimal" w:pos="113"/>
              </w:tabs>
              <w:spacing w:line="160" w:lineRule="exact"/>
              <w:rPr>
                <w:sz w:val="14"/>
                <w:szCs w:val="14"/>
              </w:rPr>
            </w:pPr>
          </w:p>
        </w:tc>
        <w:tc>
          <w:tcPr>
            <w:tcW w:w="113" w:type="dxa"/>
            <w:vAlign w:val="bottom"/>
          </w:tcPr>
          <w:p w14:paraId="05EA99F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42214CB" w14:textId="77777777" w:rsidR="00595A79" w:rsidRPr="00E11086" w:rsidRDefault="00595A79" w:rsidP="00E470B3">
            <w:pPr>
              <w:tabs>
                <w:tab w:val="decimal" w:pos="113"/>
              </w:tabs>
              <w:spacing w:line="160" w:lineRule="exact"/>
              <w:rPr>
                <w:sz w:val="14"/>
                <w:szCs w:val="14"/>
              </w:rPr>
            </w:pPr>
          </w:p>
        </w:tc>
        <w:tc>
          <w:tcPr>
            <w:tcW w:w="113" w:type="dxa"/>
          </w:tcPr>
          <w:p w14:paraId="7A8464B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4418D0CB" w14:textId="77777777" w:rsidR="00595A79" w:rsidRPr="00E11086" w:rsidRDefault="00595A79" w:rsidP="00E470B3">
            <w:pPr>
              <w:tabs>
                <w:tab w:val="decimal" w:pos="113"/>
              </w:tabs>
              <w:spacing w:line="160" w:lineRule="exact"/>
              <w:rPr>
                <w:sz w:val="14"/>
                <w:szCs w:val="14"/>
              </w:rPr>
            </w:pPr>
          </w:p>
        </w:tc>
        <w:tc>
          <w:tcPr>
            <w:tcW w:w="113" w:type="dxa"/>
          </w:tcPr>
          <w:p w14:paraId="070ECF9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5E3EB782" w14:textId="77777777" w:rsidR="00595A79" w:rsidRPr="00E11086" w:rsidRDefault="00595A79" w:rsidP="00E470B3">
            <w:pPr>
              <w:tabs>
                <w:tab w:val="decimal" w:pos="113"/>
              </w:tabs>
              <w:spacing w:line="160" w:lineRule="exact"/>
              <w:rPr>
                <w:sz w:val="14"/>
                <w:szCs w:val="14"/>
              </w:rPr>
            </w:pPr>
          </w:p>
        </w:tc>
        <w:tc>
          <w:tcPr>
            <w:tcW w:w="113" w:type="dxa"/>
            <w:vAlign w:val="bottom"/>
          </w:tcPr>
          <w:p w14:paraId="2712E66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B1D8750" w14:textId="77777777" w:rsidR="00595A79" w:rsidRPr="00E11086" w:rsidRDefault="00595A79" w:rsidP="00E470B3">
            <w:pPr>
              <w:tabs>
                <w:tab w:val="decimal" w:pos="113"/>
              </w:tabs>
              <w:spacing w:line="160" w:lineRule="exact"/>
              <w:rPr>
                <w:sz w:val="14"/>
                <w:szCs w:val="14"/>
              </w:rPr>
            </w:pPr>
          </w:p>
        </w:tc>
        <w:tc>
          <w:tcPr>
            <w:tcW w:w="113" w:type="dxa"/>
            <w:vAlign w:val="bottom"/>
          </w:tcPr>
          <w:p w14:paraId="56DCBAA3"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6CF0F05B" w14:textId="77777777" w:rsidR="00595A79" w:rsidRPr="00E11086" w:rsidRDefault="00595A79" w:rsidP="00E470B3">
            <w:pPr>
              <w:tabs>
                <w:tab w:val="decimal" w:pos="113"/>
              </w:tabs>
              <w:spacing w:line="160" w:lineRule="exact"/>
              <w:rPr>
                <w:sz w:val="14"/>
                <w:szCs w:val="14"/>
              </w:rPr>
            </w:pPr>
          </w:p>
        </w:tc>
        <w:tc>
          <w:tcPr>
            <w:tcW w:w="113" w:type="dxa"/>
            <w:vAlign w:val="bottom"/>
          </w:tcPr>
          <w:p w14:paraId="7241B789"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E2AF2F0" w14:textId="77777777" w:rsidR="00595A79" w:rsidRPr="00E11086" w:rsidRDefault="00595A79" w:rsidP="00E470B3">
            <w:pPr>
              <w:tabs>
                <w:tab w:val="decimal" w:pos="113"/>
              </w:tabs>
              <w:spacing w:line="160" w:lineRule="exact"/>
              <w:rPr>
                <w:sz w:val="14"/>
                <w:szCs w:val="14"/>
              </w:rPr>
            </w:pPr>
          </w:p>
        </w:tc>
        <w:tc>
          <w:tcPr>
            <w:tcW w:w="113" w:type="dxa"/>
            <w:vAlign w:val="bottom"/>
          </w:tcPr>
          <w:p w14:paraId="30B6B7E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CB912A5"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130D30F7"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7C1C324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0C25AC9"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B21AE75"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62E8562"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1BFFA5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CF47BB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A3A91F6" w14:textId="77777777" w:rsidR="00595A79" w:rsidRPr="00E11086" w:rsidRDefault="00595A79" w:rsidP="00E470B3">
            <w:pPr>
              <w:tabs>
                <w:tab w:val="decimal" w:pos="113"/>
              </w:tabs>
              <w:spacing w:line="160" w:lineRule="exact"/>
              <w:rPr>
                <w:sz w:val="14"/>
                <w:szCs w:val="14"/>
              </w:rPr>
            </w:pPr>
          </w:p>
        </w:tc>
        <w:tc>
          <w:tcPr>
            <w:tcW w:w="113" w:type="dxa"/>
            <w:vAlign w:val="bottom"/>
          </w:tcPr>
          <w:p w14:paraId="33FE8806"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6B5192F" w14:textId="77777777" w:rsidR="00595A79" w:rsidRPr="00E11086" w:rsidRDefault="00595A79" w:rsidP="00E470B3">
            <w:pPr>
              <w:tabs>
                <w:tab w:val="decimal" w:pos="113"/>
              </w:tabs>
              <w:spacing w:line="160" w:lineRule="exact"/>
              <w:rPr>
                <w:sz w:val="14"/>
                <w:szCs w:val="14"/>
              </w:rPr>
            </w:pPr>
          </w:p>
        </w:tc>
        <w:tc>
          <w:tcPr>
            <w:tcW w:w="113" w:type="dxa"/>
            <w:vAlign w:val="bottom"/>
          </w:tcPr>
          <w:p w14:paraId="2C93F319"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2E1C373" w14:textId="77777777" w:rsidR="00595A79" w:rsidRPr="00E11086" w:rsidRDefault="00595A79" w:rsidP="00E470B3">
            <w:pPr>
              <w:tabs>
                <w:tab w:val="decimal" w:pos="113"/>
              </w:tabs>
              <w:spacing w:line="160" w:lineRule="exact"/>
              <w:rPr>
                <w:sz w:val="14"/>
                <w:szCs w:val="14"/>
              </w:rPr>
            </w:pPr>
          </w:p>
        </w:tc>
        <w:tc>
          <w:tcPr>
            <w:tcW w:w="113" w:type="dxa"/>
          </w:tcPr>
          <w:p w14:paraId="6A13E38C"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180D6AB9" w14:textId="77777777" w:rsidR="00595A79" w:rsidRPr="00E11086" w:rsidRDefault="00595A79" w:rsidP="00E470B3">
            <w:pPr>
              <w:tabs>
                <w:tab w:val="decimal" w:pos="113"/>
              </w:tabs>
              <w:spacing w:line="160" w:lineRule="exact"/>
              <w:rPr>
                <w:sz w:val="14"/>
                <w:szCs w:val="14"/>
              </w:rPr>
            </w:pPr>
          </w:p>
        </w:tc>
      </w:tr>
      <w:tr w:rsidR="00595A79" w:rsidRPr="00E11086" w14:paraId="7916C5F9" w14:textId="77777777" w:rsidTr="003675AA">
        <w:tc>
          <w:tcPr>
            <w:tcW w:w="3177" w:type="dxa"/>
            <w:vAlign w:val="bottom"/>
          </w:tcPr>
          <w:p w14:paraId="58946226"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עלות</w:t>
            </w:r>
            <w:r w:rsidRPr="00E11086">
              <w:rPr>
                <w:sz w:val="14"/>
                <w:szCs w:val="14"/>
                <w:rtl/>
              </w:rPr>
              <w:t xml:space="preserve"> </w:t>
            </w:r>
            <w:r w:rsidRPr="00E11086">
              <w:rPr>
                <w:rFonts w:hint="eastAsia"/>
                <w:sz w:val="14"/>
                <w:szCs w:val="14"/>
                <w:rtl/>
              </w:rPr>
              <w:t>תשלום</w:t>
            </w:r>
            <w:r w:rsidRPr="00E11086">
              <w:rPr>
                <w:sz w:val="14"/>
                <w:szCs w:val="14"/>
                <w:rtl/>
              </w:rPr>
              <w:t xml:space="preserve"> </w:t>
            </w:r>
            <w:r w:rsidRPr="00E11086">
              <w:rPr>
                <w:rFonts w:hint="eastAsia"/>
                <w:sz w:val="14"/>
                <w:szCs w:val="14"/>
                <w:rtl/>
              </w:rPr>
              <w:t>מבוסס</w:t>
            </w:r>
            <w:r w:rsidRPr="00E11086">
              <w:rPr>
                <w:sz w:val="14"/>
                <w:szCs w:val="14"/>
                <w:rtl/>
              </w:rPr>
              <w:t xml:space="preserve"> </w:t>
            </w:r>
            <w:r w:rsidRPr="00E11086">
              <w:rPr>
                <w:rFonts w:hint="eastAsia"/>
                <w:sz w:val="14"/>
                <w:szCs w:val="14"/>
                <w:rtl/>
              </w:rPr>
              <w:t>מניות</w:t>
            </w:r>
          </w:p>
        </w:tc>
        <w:tc>
          <w:tcPr>
            <w:tcW w:w="113" w:type="dxa"/>
            <w:vAlign w:val="bottom"/>
          </w:tcPr>
          <w:p w14:paraId="4F86420A"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6CA06B99" w14:textId="77777777" w:rsidR="00595A79" w:rsidRPr="00E11086" w:rsidRDefault="00595A79" w:rsidP="00E470B3">
            <w:pPr>
              <w:tabs>
                <w:tab w:val="decimal" w:pos="113"/>
              </w:tabs>
              <w:spacing w:line="160" w:lineRule="exact"/>
              <w:rPr>
                <w:sz w:val="14"/>
                <w:szCs w:val="14"/>
              </w:rPr>
            </w:pPr>
          </w:p>
        </w:tc>
        <w:tc>
          <w:tcPr>
            <w:tcW w:w="113" w:type="dxa"/>
            <w:vAlign w:val="bottom"/>
          </w:tcPr>
          <w:p w14:paraId="614CB0F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62E9CAC" w14:textId="77777777" w:rsidR="00595A79" w:rsidRPr="00E11086" w:rsidRDefault="00595A79" w:rsidP="00E470B3">
            <w:pPr>
              <w:tabs>
                <w:tab w:val="decimal" w:pos="113"/>
              </w:tabs>
              <w:spacing w:line="160" w:lineRule="exact"/>
              <w:rPr>
                <w:sz w:val="14"/>
                <w:szCs w:val="14"/>
              </w:rPr>
            </w:pPr>
          </w:p>
        </w:tc>
        <w:tc>
          <w:tcPr>
            <w:tcW w:w="113" w:type="dxa"/>
            <w:vAlign w:val="bottom"/>
          </w:tcPr>
          <w:p w14:paraId="553D4641"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ABD084D" w14:textId="77777777" w:rsidR="00595A79" w:rsidRPr="00E11086" w:rsidRDefault="00595A79" w:rsidP="00E470B3">
            <w:pPr>
              <w:tabs>
                <w:tab w:val="decimal" w:pos="113"/>
              </w:tabs>
              <w:spacing w:line="160" w:lineRule="exact"/>
              <w:rPr>
                <w:sz w:val="14"/>
                <w:szCs w:val="14"/>
              </w:rPr>
            </w:pPr>
          </w:p>
        </w:tc>
        <w:tc>
          <w:tcPr>
            <w:tcW w:w="113" w:type="dxa"/>
          </w:tcPr>
          <w:p w14:paraId="30F43FE6"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254430CD" w14:textId="77777777" w:rsidR="00595A79" w:rsidRPr="00E11086" w:rsidRDefault="00595A79" w:rsidP="00E470B3">
            <w:pPr>
              <w:tabs>
                <w:tab w:val="decimal" w:pos="113"/>
              </w:tabs>
              <w:spacing w:line="160" w:lineRule="exact"/>
              <w:rPr>
                <w:sz w:val="14"/>
                <w:szCs w:val="14"/>
              </w:rPr>
            </w:pPr>
          </w:p>
        </w:tc>
        <w:tc>
          <w:tcPr>
            <w:tcW w:w="113" w:type="dxa"/>
          </w:tcPr>
          <w:p w14:paraId="4410DE92"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5637666C" w14:textId="77777777" w:rsidR="00595A79" w:rsidRPr="00E11086" w:rsidRDefault="00595A79" w:rsidP="00E470B3">
            <w:pPr>
              <w:tabs>
                <w:tab w:val="decimal" w:pos="113"/>
              </w:tabs>
              <w:spacing w:line="160" w:lineRule="exact"/>
              <w:rPr>
                <w:sz w:val="14"/>
                <w:szCs w:val="14"/>
              </w:rPr>
            </w:pPr>
          </w:p>
        </w:tc>
        <w:tc>
          <w:tcPr>
            <w:tcW w:w="113" w:type="dxa"/>
            <w:vAlign w:val="bottom"/>
          </w:tcPr>
          <w:p w14:paraId="26611FD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70F5671" w14:textId="77777777" w:rsidR="00595A79" w:rsidRPr="00E11086" w:rsidRDefault="00595A79" w:rsidP="00E470B3">
            <w:pPr>
              <w:tabs>
                <w:tab w:val="decimal" w:pos="113"/>
              </w:tabs>
              <w:spacing w:line="160" w:lineRule="exact"/>
              <w:rPr>
                <w:sz w:val="14"/>
                <w:szCs w:val="14"/>
              </w:rPr>
            </w:pPr>
          </w:p>
        </w:tc>
        <w:tc>
          <w:tcPr>
            <w:tcW w:w="113" w:type="dxa"/>
            <w:vAlign w:val="bottom"/>
          </w:tcPr>
          <w:p w14:paraId="2274170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AA32ED8" w14:textId="77777777" w:rsidR="00595A79" w:rsidRPr="00E11086" w:rsidRDefault="00595A79" w:rsidP="00E470B3">
            <w:pPr>
              <w:tabs>
                <w:tab w:val="decimal" w:pos="113"/>
              </w:tabs>
              <w:spacing w:line="160" w:lineRule="exact"/>
              <w:rPr>
                <w:sz w:val="14"/>
                <w:szCs w:val="14"/>
              </w:rPr>
            </w:pPr>
          </w:p>
        </w:tc>
        <w:tc>
          <w:tcPr>
            <w:tcW w:w="113" w:type="dxa"/>
            <w:vAlign w:val="bottom"/>
          </w:tcPr>
          <w:p w14:paraId="4148F82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763AD6E" w14:textId="77777777" w:rsidR="00595A79" w:rsidRPr="00E11086" w:rsidRDefault="00595A79" w:rsidP="00E470B3">
            <w:pPr>
              <w:tabs>
                <w:tab w:val="decimal" w:pos="113"/>
              </w:tabs>
              <w:spacing w:line="160" w:lineRule="exact"/>
              <w:rPr>
                <w:sz w:val="14"/>
                <w:szCs w:val="14"/>
              </w:rPr>
            </w:pPr>
          </w:p>
        </w:tc>
        <w:tc>
          <w:tcPr>
            <w:tcW w:w="113" w:type="dxa"/>
            <w:vAlign w:val="bottom"/>
          </w:tcPr>
          <w:p w14:paraId="36012B9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5F1A5B4"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026EDB89"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71E8D4E2"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C3BD233"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DFBAEE3"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B713BCA"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20FA200"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CC6D04F"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2325FB5" w14:textId="77777777" w:rsidR="00595A79" w:rsidRPr="00E11086" w:rsidRDefault="00595A79" w:rsidP="00E470B3">
            <w:pPr>
              <w:tabs>
                <w:tab w:val="decimal" w:pos="113"/>
              </w:tabs>
              <w:spacing w:line="160" w:lineRule="exact"/>
              <w:rPr>
                <w:sz w:val="14"/>
                <w:szCs w:val="14"/>
              </w:rPr>
            </w:pPr>
          </w:p>
        </w:tc>
        <w:tc>
          <w:tcPr>
            <w:tcW w:w="113" w:type="dxa"/>
            <w:vAlign w:val="bottom"/>
          </w:tcPr>
          <w:p w14:paraId="718E8A01"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04512DBF" w14:textId="77777777" w:rsidR="00595A79" w:rsidRPr="00E11086" w:rsidRDefault="00595A79" w:rsidP="00E470B3">
            <w:pPr>
              <w:tabs>
                <w:tab w:val="decimal" w:pos="113"/>
              </w:tabs>
              <w:spacing w:line="160" w:lineRule="exact"/>
              <w:rPr>
                <w:sz w:val="14"/>
                <w:szCs w:val="14"/>
              </w:rPr>
            </w:pPr>
          </w:p>
        </w:tc>
        <w:tc>
          <w:tcPr>
            <w:tcW w:w="113" w:type="dxa"/>
            <w:vAlign w:val="bottom"/>
          </w:tcPr>
          <w:p w14:paraId="3954A2B9"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EF35EBB" w14:textId="77777777" w:rsidR="00595A79" w:rsidRPr="00E11086" w:rsidRDefault="00595A79" w:rsidP="00E470B3">
            <w:pPr>
              <w:tabs>
                <w:tab w:val="decimal" w:pos="113"/>
              </w:tabs>
              <w:spacing w:line="160" w:lineRule="exact"/>
              <w:rPr>
                <w:sz w:val="14"/>
                <w:szCs w:val="14"/>
              </w:rPr>
            </w:pPr>
          </w:p>
        </w:tc>
        <w:tc>
          <w:tcPr>
            <w:tcW w:w="113" w:type="dxa"/>
          </w:tcPr>
          <w:p w14:paraId="59862FBB"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0BE20642" w14:textId="77777777" w:rsidR="00595A79" w:rsidRPr="00E11086" w:rsidRDefault="00595A79" w:rsidP="00E470B3">
            <w:pPr>
              <w:tabs>
                <w:tab w:val="decimal" w:pos="113"/>
              </w:tabs>
              <w:spacing w:line="160" w:lineRule="exact"/>
              <w:rPr>
                <w:sz w:val="14"/>
                <w:szCs w:val="14"/>
              </w:rPr>
            </w:pPr>
          </w:p>
        </w:tc>
      </w:tr>
      <w:tr w:rsidR="00595A79" w:rsidRPr="00E11086" w14:paraId="73735390" w14:textId="77777777" w:rsidTr="003675AA">
        <w:tc>
          <w:tcPr>
            <w:tcW w:w="3177" w:type="dxa"/>
            <w:vAlign w:val="bottom"/>
          </w:tcPr>
          <w:p w14:paraId="79B5E3E7"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השפעת</w:t>
            </w:r>
            <w:r w:rsidRPr="00E11086">
              <w:rPr>
                <w:sz w:val="14"/>
                <w:szCs w:val="14"/>
                <w:rtl/>
              </w:rPr>
              <w:t xml:space="preserve"> </w:t>
            </w:r>
            <w:r w:rsidRPr="00E11086">
              <w:rPr>
                <w:rFonts w:hint="eastAsia"/>
                <w:sz w:val="14"/>
                <w:szCs w:val="14"/>
                <w:rtl/>
              </w:rPr>
              <w:t>המס</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עסקאות</w:t>
            </w:r>
            <w:r w:rsidRPr="00E11086">
              <w:rPr>
                <w:sz w:val="14"/>
                <w:szCs w:val="14"/>
                <w:rtl/>
              </w:rPr>
              <w:t xml:space="preserve"> </w:t>
            </w:r>
            <w:r w:rsidRPr="00E11086">
              <w:rPr>
                <w:rFonts w:hint="eastAsia"/>
                <w:sz w:val="14"/>
                <w:szCs w:val="14"/>
                <w:rtl/>
              </w:rPr>
              <w:t>תשלום</w:t>
            </w:r>
            <w:r w:rsidRPr="00E11086">
              <w:rPr>
                <w:sz w:val="14"/>
                <w:szCs w:val="14"/>
                <w:rtl/>
              </w:rPr>
              <w:t xml:space="preserve"> </w:t>
            </w:r>
            <w:r w:rsidRPr="00E11086">
              <w:rPr>
                <w:rFonts w:hint="eastAsia"/>
                <w:sz w:val="14"/>
                <w:szCs w:val="14"/>
                <w:rtl/>
              </w:rPr>
              <w:t>מבוסס</w:t>
            </w:r>
            <w:r w:rsidRPr="00E11086">
              <w:rPr>
                <w:sz w:val="14"/>
                <w:szCs w:val="14"/>
                <w:rtl/>
              </w:rPr>
              <w:t xml:space="preserve"> </w:t>
            </w:r>
            <w:r w:rsidRPr="00E11086">
              <w:rPr>
                <w:rFonts w:hint="eastAsia"/>
                <w:sz w:val="14"/>
                <w:szCs w:val="14"/>
                <w:rtl/>
              </w:rPr>
              <w:t>מניות</w:t>
            </w:r>
          </w:p>
        </w:tc>
        <w:tc>
          <w:tcPr>
            <w:tcW w:w="113" w:type="dxa"/>
            <w:vAlign w:val="bottom"/>
          </w:tcPr>
          <w:p w14:paraId="51F51E43"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4396C83B" w14:textId="77777777" w:rsidR="00595A79" w:rsidRPr="00E11086" w:rsidRDefault="00595A79" w:rsidP="00E470B3">
            <w:pPr>
              <w:tabs>
                <w:tab w:val="decimal" w:pos="113"/>
              </w:tabs>
              <w:spacing w:line="160" w:lineRule="exact"/>
              <w:rPr>
                <w:sz w:val="14"/>
                <w:szCs w:val="14"/>
              </w:rPr>
            </w:pPr>
          </w:p>
        </w:tc>
        <w:tc>
          <w:tcPr>
            <w:tcW w:w="113" w:type="dxa"/>
            <w:vAlign w:val="bottom"/>
          </w:tcPr>
          <w:p w14:paraId="0A8C5BC0"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5A87FD5" w14:textId="77777777" w:rsidR="00595A79" w:rsidRPr="00E11086" w:rsidRDefault="00595A79" w:rsidP="00E470B3">
            <w:pPr>
              <w:tabs>
                <w:tab w:val="decimal" w:pos="113"/>
              </w:tabs>
              <w:spacing w:line="160" w:lineRule="exact"/>
              <w:rPr>
                <w:sz w:val="14"/>
                <w:szCs w:val="14"/>
              </w:rPr>
            </w:pPr>
          </w:p>
        </w:tc>
        <w:tc>
          <w:tcPr>
            <w:tcW w:w="113" w:type="dxa"/>
            <w:vAlign w:val="bottom"/>
          </w:tcPr>
          <w:p w14:paraId="6C3CF939"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A3200A8" w14:textId="77777777" w:rsidR="00595A79" w:rsidRPr="00E11086" w:rsidRDefault="00595A79" w:rsidP="00E470B3">
            <w:pPr>
              <w:tabs>
                <w:tab w:val="decimal" w:pos="113"/>
              </w:tabs>
              <w:spacing w:line="160" w:lineRule="exact"/>
              <w:rPr>
                <w:sz w:val="14"/>
                <w:szCs w:val="14"/>
              </w:rPr>
            </w:pPr>
          </w:p>
        </w:tc>
        <w:tc>
          <w:tcPr>
            <w:tcW w:w="113" w:type="dxa"/>
          </w:tcPr>
          <w:p w14:paraId="6B501E19"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7B9F82AA" w14:textId="77777777" w:rsidR="00595A79" w:rsidRPr="00E11086" w:rsidRDefault="00595A79" w:rsidP="00E470B3">
            <w:pPr>
              <w:tabs>
                <w:tab w:val="decimal" w:pos="113"/>
              </w:tabs>
              <w:spacing w:line="160" w:lineRule="exact"/>
              <w:rPr>
                <w:sz w:val="14"/>
                <w:szCs w:val="14"/>
              </w:rPr>
            </w:pPr>
          </w:p>
        </w:tc>
        <w:tc>
          <w:tcPr>
            <w:tcW w:w="113" w:type="dxa"/>
          </w:tcPr>
          <w:p w14:paraId="3164AF0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7E9AFEA5" w14:textId="77777777" w:rsidR="00595A79" w:rsidRPr="00E11086" w:rsidRDefault="00595A79" w:rsidP="00E470B3">
            <w:pPr>
              <w:tabs>
                <w:tab w:val="decimal" w:pos="113"/>
              </w:tabs>
              <w:spacing w:line="160" w:lineRule="exact"/>
              <w:rPr>
                <w:sz w:val="14"/>
                <w:szCs w:val="14"/>
              </w:rPr>
            </w:pPr>
          </w:p>
        </w:tc>
        <w:tc>
          <w:tcPr>
            <w:tcW w:w="113" w:type="dxa"/>
            <w:vAlign w:val="bottom"/>
          </w:tcPr>
          <w:p w14:paraId="1B280A1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6A18ABE9" w14:textId="77777777" w:rsidR="00595A79" w:rsidRPr="00E11086" w:rsidRDefault="00595A79" w:rsidP="00E470B3">
            <w:pPr>
              <w:tabs>
                <w:tab w:val="decimal" w:pos="113"/>
              </w:tabs>
              <w:spacing w:line="160" w:lineRule="exact"/>
              <w:rPr>
                <w:sz w:val="14"/>
                <w:szCs w:val="14"/>
              </w:rPr>
            </w:pPr>
          </w:p>
        </w:tc>
        <w:tc>
          <w:tcPr>
            <w:tcW w:w="113" w:type="dxa"/>
            <w:vAlign w:val="bottom"/>
          </w:tcPr>
          <w:p w14:paraId="4F87FE62"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F36CF4B" w14:textId="77777777" w:rsidR="00595A79" w:rsidRPr="00E11086" w:rsidRDefault="00595A79" w:rsidP="00E470B3">
            <w:pPr>
              <w:tabs>
                <w:tab w:val="decimal" w:pos="113"/>
              </w:tabs>
              <w:spacing w:line="160" w:lineRule="exact"/>
              <w:rPr>
                <w:sz w:val="14"/>
                <w:szCs w:val="14"/>
              </w:rPr>
            </w:pPr>
          </w:p>
        </w:tc>
        <w:tc>
          <w:tcPr>
            <w:tcW w:w="113" w:type="dxa"/>
            <w:vAlign w:val="bottom"/>
          </w:tcPr>
          <w:p w14:paraId="64BB33FB"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7CC605D0" w14:textId="77777777" w:rsidR="00595A79" w:rsidRPr="00E11086" w:rsidRDefault="00595A79" w:rsidP="00E470B3">
            <w:pPr>
              <w:tabs>
                <w:tab w:val="decimal" w:pos="113"/>
              </w:tabs>
              <w:spacing w:line="160" w:lineRule="exact"/>
              <w:rPr>
                <w:sz w:val="14"/>
                <w:szCs w:val="14"/>
              </w:rPr>
            </w:pPr>
          </w:p>
        </w:tc>
        <w:tc>
          <w:tcPr>
            <w:tcW w:w="113" w:type="dxa"/>
            <w:vAlign w:val="bottom"/>
          </w:tcPr>
          <w:p w14:paraId="53D9F06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AE8725C"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7278368B"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08D16DE8"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572170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4EB2948"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C9BAE03"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B6F706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D38B61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3ADE4D2" w14:textId="77777777" w:rsidR="00595A79" w:rsidRPr="00E11086" w:rsidRDefault="00595A79" w:rsidP="00E470B3">
            <w:pPr>
              <w:tabs>
                <w:tab w:val="decimal" w:pos="113"/>
              </w:tabs>
              <w:spacing w:line="160" w:lineRule="exact"/>
              <w:rPr>
                <w:sz w:val="14"/>
                <w:szCs w:val="14"/>
              </w:rPr>
            </w:pPr>
          </w:p>
        </w:tc>
        <w:tc>
          <w:tcPr>
            <w:tcW w:w="113" w:type="dxa"/>
            <w:vAlign w:val="bottom"/>
          </w:tcPr>
          <w:p w14:paraId="71303809"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1E292E6" w14:textId="77777777" w:rsidR="00595A79" w:rsidRPr="00E11086" w:rsidRDefault="00595A79" w:rsidP="00E470B3">
            <w:pPr>
              <w:tabs>
                <w:tab w:val="decimal" w:pos="113"/>
              </w:tabs>
              <w:spacing w:line="160" w:lineRule="exact"/>
              <w:rPr>
                <w:sz w:val="14"/>
                <w:szCs w:val="14"/>
              </w:rPr>
            </w:pPr>
          </w:p>
        </w:tc>
        <w:tc>
          <w:tcPr>
            <w:tcW w:w="113" w:type="dxa"/>
            <w:vAlign w:val="bottom"/>
          </w:tcPr>
          <w:p w14:paraId="4C2A757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13E9565C" w14:textId="77777777" w:rsidR="00595A79" w:rsidRPr="00E11086" w:rsidRDefault="00595A79" w:rsidP="00E470B3">
            <w:pPr>
              <w:tabs>
                <w:tab w:val="decimal" w:pos="113"/>
              </w:tabs>
              <w:spacing w:line="160" w:lineRule="exact"/>
              <w:rPr>
                <w:sz w:val="14"/>
                <w:szCs w:val="14"/>
              </w:rPr>
            </w:pPr>
          </w:p>
        </w:tc>
        <w:tc>
          <w:tcPr>
            <w:tcW w:w="113" w:type="dxa"/>
          </w:tcPr>
          <w:p w14:paraId="79A2D21F"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7663F322" w14:textId="77777777" w:rsidR="00595A79" w:rsidRPr="00E11086" w:rsidRDefault="00595A79" w:rsidP="00E470B3">
            <w:pPr>
              <w:tabs>
                <w:tab w:val="decimal" w:pos="113"/>
              </w:tabs>
              <w:spacing w:line="160" w:lineRule="exact"/>
              <w:rPr>
                <w:sz w:val="14"/>
                <w:szCs w:val="14"/>
              </w:rPr>
            </w:pPr>
          </w:p>
        </w:tc>
      </w:tr>
      <w:tr w:rsidR="00595A79" w:rsidRPr="00E11086" w14:paraId="0A6CDF09" w14:textId="77777777" w:rsidTr="003675AA">
        <w:tc>
          <w:tcPr>
            <w:tcW w:w="3177" w:type="dxa"/>
            <w:vAlign w:val="bottom"/>
          </w:tcPr>
          <w:p w14:paraId="2A59B107"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דיבידנד</w:t>
            </w:r>
            <w:r w:rsidRPr="00E11086">
              <w:rPr>
                <w:sz w:val="14"/>
                <w:szCs w:val="14"/>
                <w:rtl/>
              </w:rPr>
              <w:t xml:space="preserve"> </w:t>
            </w:r>
            <w:r w:rsidRPr="00E11086">
              <w:rPr>
                <w:rFonts w:hint="eastAsia"/>
                <w:sz w:val="14"/>
                <w:szCs w:val="14"/>
                <w:rtl/>
              </w:rPr>
              <w:t>לבעלי</w:t>
            </w:r>
            <w:r w:rsidRPr="00E11086">
              <w:rPr>
                <w:sz w:val="14"/>
                <w:szCs w:val="14"/>
                <w:rtl/>
              </w:rPr>
              <w:t xml:space="preserve"> </w:t>
            </w:r>
            <w:r w:rsidRPr="00E11086">
              <w:rPr>
                <w:rFonts w:hint="eastAsia"/>
                <w:sz w:val="14"/>
                <w:szCs w:val="14"/>
                <w:rtl/>
              </w:rPr>
              <w:t>מניות</w:t>
            </w:r>
            <w:r w:rsidRPr="00E11086">
              <w:rPr>
                <w:sz w:val="14"/>
                <w:szCs w:val="14"/>
                <w:rtl/>
              </w:rPr>
              <w:t xml:space="preserve"> </w:t>
            </w:r>
            <w:r w:rsidRPr="00E11086">
              <w:rPr>
                <w:rFonts w:hint="eastAsia"/>
                <w:sz w:val="14"/>
                <w:szCs w:val="14"/>
                <w:rtl/>
              </w:rPr>
              <w:t>החברה</w:t>
            </w:r>
          </w:p>
        </w:tc>
        <w:tc>
          <w:tcPr>
            <w:tcW w:w="113" w:type="dxa"/>
            <w:vAlign w:val="bottom"/>
          </w:tcPr>
          <w:p w14:paraId="4DE91ACE"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02B632B2" w14:textId="77777777" w:rsidR="00595A79" w:rsidRPr="00E11086" w:rsidRDefault="00595A79" w:rsidP="00E470B3">
            <w:pPr>
              <w:tabs>
                <w:tab w:val="decimal" w:pos="113"/>
              </w:tabs>
              <w:spacing w:line="160" w:lineRule="exact"/>
              <w:rPr>
                <w:sz w:val="14"/>
                <w:szCs w:val="14"/>
              </w:rPr>
            </w:pPr>
          </w:p>
        </w:tc>
        <w:tc>
          <w:tcPr>
            <w:tcW w:w="113" w:type="dxa"/>
            <w:vAlign w:val="bottom"/>
          </w:tcPr>
          <w:p w14:paraId="22C392AF"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3DF0A02" w14:textId="77777777" w:rsidR="00595A79" w:rsidRPr="00E11086" w:rsidRDefault="00595A79" w:rsidP="00E470B3">
            <w:pPr>
              <w:tabs>
                <w:tab w:val="decimal" w:pos="113"/>
              </w:tabs>
              <w:spacing w:line="160" w:lineRule="exact"/>
              <w:rPr>
                <w:sz w:val="14"/>
                <w:szCs w:val="14"/>
              </w:rPr>
            </w:pPr>
          </w:p>
        </w:tc>
        <w:tc>
          <w:tcPr>
            <w:tcW w:w="113" w:type="dxa"/>
            <w:vAlign w:val="bottom"/>
          </w:tcPr>
          <w:p w14:paraId="5E8FD5A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F053DB7" w14:textId="77777777" w:rsidR="00595A79" w:rsidRPr="00E11086" w:rsidRDefault="00595A79" w:rsidP="00E470B3">
            <w:pPr>
              <w:tabs>
                <w:tab w:val="decimal" w:pos="113"/>
              </w:tabs>
              <w:spacing w:line="160" w:lineRule="exact"/>
              <w:rPr>
                <w:sz w:val="14"/>
                <w:szCs w:val="14"/>
              </w:rPr>
            </w:pPr>
          </w:p>
        </w:tc>
        <w:tc>
          <w:tcPr>
            <w:tcW w:w="113" w:type="dxa"/>
          </w:tcPr>
          <w:p w14:paraId="171D7697"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605B41EA" w14:textId="77777777" w:rsidR="00595A79" w:rsidRPr="00E11086" w:rsidRDefault="00595A79" w:rsidP="00E470B3">
            <w:pPr>
              <w:tabs>
                <w:tab w:val="decimal" w:pos="113"/>
              </w:tabs>
              <w:spacing w:line="160" w:lineRule="exact"/>
              <w:rPr>
                <w:sz w:val="14"/>
                <w:szCs w:val="14"/>
              </w:rPr>
            </w:pPr>
          </w:p>
        </w:tc>
        <w:tc>
          <w:tcPr>
            <w:tcW w:w="113" w:type="dxa"/>
          </w:tcPr>
          <w:p w14:paraId="27FC9DA7"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2138DBDF" w14:textId="77777777" w:rsidR="00595A79" w:rsidRPr="00E11086" w:rsidRDefault="00595A79" w:rsidP="00E470B3">
            <w:pPr>
              <w:tabs>
                <w:tab w:val="decimal" w:pos="113"/>
              </w:tabs>
              <w:spacing w:line="160" w:lineRule="exact"/>
              <w:rPr>
                <w:sz w:val="14"/>
                <w:szCs w:val="14"/>
              </w:rPr>
            </w:pPr>
          </w:p>
        </w:tc>
        <w:tc>
          <w:tcPr>
            <w:tcW w:w="113" w:type="dxa"/>
            <w:vAlign w:val="bottom"/>
          </w:tcPr>
          <w:p w14:paraId="1D57C970"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BD795D8" w14:textId="77777777" w:rsidR="00595A79" w:rsidRPr="00E11086" w:rsidRDefault="00595A79" w:rsidP="00E470B3">
            <w:pPr>
              <w:tabs>
                <w:tab w:val="decimal" w:pos="113"/>
              </w:tabs>
              <w:spacing w:line="160" w:lineRule="exact"/>
              <w:rPr>
                <w:sz w:val="14"/>
                <w:szCs w:val="14"/>
              </w:rPr>
            </w:pPr>
          </w:p>
        </w:tc>
        <w:tc>
          <w:tcPr>
            <w:tcW w:w="113" w:type="dxa"/>
            <w:vAlign w:val="bottom"/>
          </w:tcPr>
          <w:p w14:paraId="289C563D"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10A522AD" w14:textId="77777777" w:rsidR="00595A79" w:rsidRPr="00E11086" w:rsidRDefault="00595A79" w:rsidP="00E470B3">
            <w:pPr>
              <w:tabs>
                <w:tab w:val="decimal" w:pos="113"/>
              </w:tabs>
              <w:spacing w:line="160" w:lineRule="exact"/>
              <w:rPr>
                <w:sz w:val="14"/>
                <w:szCs w:val="14"/>
              </w:rPr>
            </w:pPr>
          </w:p>
        </w:tc>
        <w:tc>
          <w:tcPr>
            <w:tcW w:w="113" w:type="dxa"/>
            <w:vAlign w:val="bottom"/>
          </w:tcPr>
          <w:p w14:paraId="2A300963"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0FE4D9D5" w14:textId="77777777" w:rsidR="00595A79" w:rsidRPr="00E11086" w:rsidRDefault="00595A79" w:rsidP="00E470B3">
            <w:pPr>
              <w:tabs>
                <w:tab w:val="decimal" w:pos="113"/>
              </w:tabs>
              <w:spacing w:line="160" w:lineRule="exact"/>
              <w:rPr>
                <w:sz w:val="14"/>
                <w:szCs w:val="14"/>
              </w:rPr>
            </w:pPr>
          </w:p>
        </w:tc>
        <w:tc>
          <w:tcPr>
            <w:tcW w:w="113" w:type="dxa"/>
            <w:vAlign w:val="bottom"/>
          </w:tcPr>
          <w:p w14:paraId="59858310"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201EFF9"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4F602AA1"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3750300A"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A4FC966"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1EE18C3"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638A7F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69162C3"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286B91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5788B6A" w14:textId="77777777" w:rsidR="00595A79" w:rsidRPr="00E11086" w:rsidRDefault="00595A79" w:rsidP="00E470B3">
            <w:pPr>
              <w:tabs>
                <w:tab w:val="decimal" w:pos="113"/>
              </w:tabs>
              <w:spacing w:line="160" w:lineRule="exact"/>
              <w:rPr>
                <w:sz w:val="14"/>
                <w:szCs w:val="14"/>
              </w:rPr>
            </w:pPr>
          </w:p>
        </w:tc>
        <w:tc>
          <w:tcPr>
            <w:tcW w:w="113" w:type="dxa"/>
            <w:vAlign w:val="bottom"/>
          </w:tcPr>
          <w:p w14:paraId="6C894157"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89C8CA8" w14:textId="77777777" w:rsidR="00595A79" w:rsidRPr="00E11086" w:rsidRDefault="00595A79" w:rsidP="00E470B3">
            <w:pPr>
              <w:tabs>
                <w:tab w:val="decimal" w:pos="113"/>
              </w:tabs>
              <w:spacing w:line="160" w:lineRule="exact"/>
              <w:rPr>
                <w:sz w:val="14"/>
                <w:szCs w:val="14"/>
              </w:rPr>
            </w:pPr>
          </w:p>
        </w:tc>
        <w:tc>
          <w:tcPr>
            <w:tcW w:w="113" w:type="dxa"/>
            <w:vAlign w:val="bottom"/>
          </w:tcPr>
          <w:p w14:paraId="58CCF22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972BC4D" w14:textId="77777777" w:rsidR="00595A79" w:rsidRPr="00E11086" w:rsidRDefault="00595A79" w:rsidP="00E470B3">
            <w:pPr>
              <w:tabs>
                <w:tab w:val="decimal" w:pos="113"/>
              </w:tabs>
              <w:spacing w:line="160" w:lineRule="exact"/>
              <w:rPr>
                <w:sz w:val="14"/>
                <w:szCs w:val="14"/>
              </w:rPr>
            </w:pPr>
          </w:p>
        </w:tc>
        <w:tc>
          <w:tcPr>
            <w:tcW w:w="113" w:type="dxa"/>
          </w:tcPr>
          <w:p w14:paraId="51AEB2A8"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3608CB52" w14:textId="77777777" w:rsidR="00595A79" w:rsidRPr="00E11086" w:rsidRDefault="00595A79" w:rsidP="00E470B3">
            <w:pPr>
              <w:tabs>
                <w:tab w:val="decimal" w:pos="113"/>
              </w:tabs>
              <w:spacing w:line="160" w:lineRule="exact"/>
              <w:rPr>
                <w:sz w:val="14"/>
                <w:szCs w:val="14"/>
              </w:rPr>
            </w:pPr>
          </w:p>
        </w:tc>
      </w:tr>
      <w:tr w:rsidR="00595A79" w:rsidRPr="00E11086" w14:paraId="51C105C0" w14:textId="77777777" w:rsidTr="003675AA">
        <w:tc>
          <w:tcPr>
            <w:tcW w:w="3177" w:type="dxa"/>
            <w:vAlign w:val="bottom"/>
          </w:tcPr>
          <w:p w14:paraId="0DB5125F"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הטבה</w:t>
            </w:r>
            <w:r w:rsidRPr="00E11086">
              <w:rPr>
                <w:sz w:val="14"/>
                <w:szCs w:val="14"/>
                <w:rtl/>
              </w:rPr>
              <w:t xml:space="preserve"> </w:t>
            </w:r>
            <w:r w:rsidRPr="00E11086">
              <w:rPr>
                <w:rFonts w:hint="eastAsia"/>
                <w:sz w:val="14"/>
                <w:szCs w:val="14"/>
                <w:rtl/>
              </w:rPr>
              <w:t>הונית</w:t>
            </w:r>
            <w:r w:rsidRPr="00E11086">
              <w:rPr>
                <w:sz w:val="14"/>
                <w:szCs w:val="14"/>
                <w:rtl/>
              </w:rPr>
              <w:t xml:space="preserve"> </w:t>
            </w:r>
            <w:r w:rsidRPr="00E11086">
              <w:rPr>
                <w:rFonts w:hint="eastAsia"/>
                <w:sz w:val="14"/>
                <w:szCs w:val="14"/>
                <w:rtl/>
              </w:rPr>
              <w:t>מעסקה</w:t>
            </w:r>
            <w:r w:rsidRPr="00E11086">
              <w:rPr>
                <w:sz w:val="14"/>
                <w:szCs w:val="14"/>
                <w:rtl/>
              </w:rPr>
              <w:t xml:space="preserve"> </w:t>
            </w:r>
            <w:r w:rsidRPr="00E11086">
              <w:rPr>
                <w:rFonts w:hint="eastAsia"/>
                <w:sz w:val="14"/>
                <w:szCs w:val="14"/>
                <w:rtl/>
              </w:rPr>
              <w:t>עם</w:t>
            </w:r>
            <w:r w:rsidRPr="00E11086">
              <w:rPr>
                <w:sz w:val="14"/>
                <w:szCs w:val="14"/>
                <w:rtl/>
              </w:rPr>
              <w:t xml:space="preserve"> </w:t>
            </w:r>
            <w:r w:rsidRPr="00E11086">
              <w:rPr>
                <w:rFonts w:hint="eastAsia"/>
                <w:sz w:val="14"/>
                <w:szCs w:val="14"/>
                <w:rtl/>
              </w:rPr>
              <w:t>בעל</w:t>
            </w:r>
            <w:r w:rsidRPr="00E11086">
              <w:rPr>
                <w:sz w:val="14"/>
                <w:szCs w:val="14"/>
                <w:rtl/>
              </w:rPr>
              <w:t xml:space="preserve"> </w:t>
            </w:r>
            <w:r w:rsidRPr="00E11086">
              <w:rPr>
                <w:rFonts w:hint="eastAsia"/>
                <w:sz w:val="14"/>
                <w:szCs w:val="14"/>
                <w:rtl/>
              </w:rPr>
              <w:t>שליטה</w:t>
            </w:r>
          </w:p>
        </w:tc>
        <w:tc>
          <w:tcPr>
            <w:tcW w:w="113" w:type="dxa"/>
            <w:vAlign w:val="bottom"/>
          </w:tcPr>
          <w:p w14:paraId="768E7F87"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53BF6703" w14:textId="77777777" w:rsidR="00595A79" w:rsidRPr="00E11086" w:rsidRDefault="00595A79" w:rsidP="00E470B3">
            <w:pPr>
              <w:tabs>
                <w:tab w:val="decimal" w:pos="113"/>
              </w:tabs>
              <w:spacing w:line="160" w:lineRule="exact"/>
              <w:rPr>
                <w:sz w:val="14"/>
                <w:szCs w:val="14"/>
              </w:rPr>
            </w:pPr>
          </w:p>
        </w:tc>
        <w:tc>
          <w:tcPr>
            <w:tcW w:w="113" w:type="dxa"/>
            <w:vAlign w:val="bottom"/>
          </w:tcPr>
          <w:p w14:paraId="70DFB96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1D9748C" w14:textId="77777777" w:rsidR="00595A79" w:rsidRPr="00E11086" w:rsidRDefault="00595A79" w:rsidP="00E470B3">
            <w:pPr>
              <w:tabs>
                <w:tab w:val="decimal" w:pos="113"/>
              </w:tabs>
              <w:spacing w:line="160" w:lineRule="exact"/>
              <w:rPr>
                <w:sz w:val="14"/>
                <w:szCs w:val="14"/>
              </w:rPr>
            </w:pPr>
          </w:p>
        </w:tc>
        <w:tc>
          <w:tcPr>
            <w:tcW w:w="113" w:type="dxa"/>
            <w:vAlign w:val="bottom"/>
          </w:tcPr>
          <w:p w14:paraId="1E58F2B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563C70B" w14:textId="77777777" w:rsidR="00595A79" w:rsidRPr="00E11086" w:rsidRDefault="00595A79" w:rsidP="00E470B3">
            <w:pPr>
              <w:tabs>
                <w:tab w:val="decimal" w:pos="113"/>
              </w:tabs>
              <w:spacing w:line="160" w:lineRule="exact"/>
              <w:rPr>
                <w:sz w:val="14"/>
                <w:szCs w:val="14"/>
              </w:rPr>
            </w:pPr>
          </w:p>
        </w:tc>
        <w:tc>
          <w:tcPr>
            <w:tcW w:w="113" w:type="dxa"/>
          </w:tcPr>
          <w:p w14:paraId="6FD7E129"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47E5DEE0" w14:textId="77777777" w:rsidR="00595A79" w:rsidRPr="00E11086" w:rsidRDefault="00595A79" w:rsidP="00E470B3">
            <w:pPr>
              <w:tabs>
                <w:tab w:val="decimal" w:pos="113"/>
              </w:tabs>
              <w:spacing w:line="160" w:lineRule="exact"/>
              <w:rPr>
                <w:sz w:val="14"/>
                <w:szCs w:val="14"/>
              </w:rPr>
            </w:pPr>
          </w:p>
        </w:tc>
        <w:tc>
          <w:tcPr>
            <w:tcW w:w="113" w:type="dxa"/>
          </w:tcPr>
          <w:p w14:paraId="58A41050"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2912BE35" w14:textId="77777777" w:rsidR="00595A79" w:rsidRPr="00E11086" w:rsidRDefault="00595A79" w:rsidP="00E470B3">
            <w:pPr>
              <w:tabs>
                <w:tab w:val="decimal" w:pos="113"/>
              </w:tabs>
              <w:spacing w:line="160" w:lineRule="exact"/>
              <w:rPr>
                <w:sz w:val="14"/>
                <w:szCs w:val="14"/>
              </w:rPr>
            </w:pPr>
          </w:p>
        </w:tc>
        <w:tc>
          <w:tcPr>
            <w:tcW w:w="113" w:type="dxa"/>
            <w:vAlign w:val="bottom"/>
          </w:tcPr>
          <w:p w14:paraId="4F17B55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B95C73D" w14:textId="77777777" w:rsidR="00595A79" w:rsidRPr="00E11086" w:rsidRDefault="00595A79" w:rsidP="00E470B3">
            <w:pPr>
              <w:tabs>
                <w:tab w:val="decimal" w:pos="113"/>
              </w:tabs>
              <w:spacing w:line="160" w:lineRule="exact"/>
              <w:rPr>
                <w:sz w:val="14"/>
                <w:szCs w:val="14"/>
              </w:rPr>
            </w:pPr>
          </w:p>
        </w:tc>
        <w:tc>
          <w:tcPr>
            <w:tcW w:w="113" w:type="dxa"/>
            <w:vAlign w:val="bottom"/>
          </w:tcPr>
          <w:p w14:paraId="1C09652D"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F7B260C" w14:textId="77777777" w:rsidR="00595A79" w:rsidRPr="00E11086" w:rsidRDefault="00595A79" w:rsidP="00E470B3">
            <w:pPr>
              <w:tabs>
                <w:tab w:val="decimal" w:pos="113"/>
              </w:tabs>
              <w:spacing w:line="160" w:lineRule="exact"/>
              <w:rPr>
                <w:sz w:val="14"/>
                <w:szCs w:val="14"/>
              </w:rPr>
            </w:pPr>
          </w:p>
        </w:tc>
        <w:tc>
          <w:tcPr>
            <w:tcW w:w="113" w:type="dxa"/>
            <w:vAlign w:val="bottom"/>
          </w:tcPr>
          <w:p w14:paraId="226F64C4"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67974D8" w14:textId="77777777" w:rsidR="00595A79" w:rsidRPr="00E11086" w:rsidRDefault="00595A79" w:rsidP="00E470B3">
            <w:pPr>
              <w:tabs>
                <w:tab w:val="decimal" w:pos="113"/>
              </w:tabs>
              <w:spacing w:line="160" w:lineRule="exact"/>
              <w:rPr>
                <w:sz w:val="14"/>
                <w:szCs w:val="14"/>
              </w:rPr>
            </w:pPr>
          </w:p>
        </w:tc>
        <w:tc>
          <w:tcPr>
            <w:tcW w:w="113" w:type="dxa"/>
            <w:vAlign w:val="bottom"/>
          </w:tcPr>
          <w:p w14:paraId="1C843A7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7C2CED4"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27856353"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4340257E"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EEB3169"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FD34C6D"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827F626"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01ACFB8"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F9F9D5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964B242" w14:textId="77777777" w:rsidR="00595A79" w:rsidRPr="00E11086" w:rsidRDefault="00595A79" w:rsidP="00E470B3">
            <w:pPr>
              <w:tabs>
                <w:tab w:val="decimal" w:pos="113"/>
              </w:tabs>
              <w:spacing w:line="160" w:lineRule="exact"/>
              <w:rPr>
                <w:sz w:val="14"/>
                <w:szCs w:val="14"/>
              </w:rPr>
            </w:pPr>
          </w:p>
        </w:tc>
        <w:tc>
          <w:tcPr>
            <w:tcW w:w="113" w:type="dxa"/>
            <w:vAlign w:val="bottom"/>
          </w:tcPr>
          <w:p w14:paraId="47174DAA"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40B5BBB" w14:textId="77777777" w:rsidR="00595A79" w:rsidRPr="00E11086" w:rsidRDefault="00595A79" w:rsidP="00E470B3">
            <w:pPr>
              <w:tabs>
                <w:tab w:val="decimal" w:pos="113"/>
              </w:tabs>
              <w:spacing w:line="160" w:lineRule="exact"/>
              <w:rPr>
                <w:sz w:val="14"/>
                <w:szCs w:val="14"/>
              </w:rPr>
            </w:pPr>
          </w:p>
        </w:tc>
        <w:tc>
          <w:tcPr>
            <w:tcW w:w="113" w:type="dxa"/>
            <w:vAlign w:val="bottom"/>
          </w:tcPr>
          <w:p w14:paraId="22CB0122"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0F733EA" w14:textId="77777777" w:rsidR="00595A79" w:rsidRPr="00E11086" w:rsidRDefault="00595A79" w:rsidP="00E470B3">
            <w:pPr>
              <w:tabs>
                <w:tab w:val="decimal" w:pos="113"/>
              </w:tabs>
              <w:spacing w:line="160" w:lineRule="exact"/>
              <w:rPr>
                <w:sz w:val="14"/>
                <w:szCs w:val="14"/>
              </w:rPr>
            </w:pPr>
          </w:p>
        </w:tc>
        <w:tc>
          <w:tcPr>
            <w:tcW w:w="113" w:type="dxa"/>
          </w:tcPr>
          <w:p w14:paraId="068F8B8D"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4BE95725" w14:textId="77777777" w:rsidR="00595A79" w:rsidRPr="00E11086" w:rsidRDefault="00595A79" w:rsidP="00E470B3">
            <w:pPr>
              <w:tabs>
                <w:tab w:val="decimal" w:pos="113"/>
              </w:tabs>
              <w:spacing w:line="160" w:lineRule="exact"/>
              <w:rPr>
                <w:sz w:val="14"/>
                <w:szCs w:val="14"/>
              </w:rPr>
            </w:pPr>
          </w:p>
        </w:tc>
      </w:tr>
      <w:tr w:rsidR="00595A79" w:rsidRPr="00E11086" w14:paraId="52229C28" w14:textId="77777777" w:rsidTr="003675AA">
        <w:tc>
          <w:tcPr>
            <w:tcW w:w="3177" w:type="dxa"/>
            <w:vAlign w:val="bottom"/>
          </w:tcPr>
          <w:p w14:paraId="75067262"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רכישת</w:t>
            </w:r>
            <w:r w:rsidRPr="00E11086">
              <w:rPr>
                <w:sz w:val="14"/>
                <w:szCs w:val="14"/>
                <w:rtl/>
              </w:rPr>
              <w:t xml:space="preserve"> </w:t>
            </w:r>
            <w:r w:rsidRPr="00E11086">
              <w:rPr>
                <w:rFonts w:hint="eastAsia"/>
                <w:sz w:val="14"/>
                <w:szCs w:val="14"/>
                <w:rtl/>
              </w:rPr>
              <w:t>זכויות</w:t>
            </w:r>
            <w:r w:rsidRPr="00E11086">
              <w:rPr>
                <w:sz w:val="14"/>
                <w:szCs w:val="14"/>
                <w:rtl/>
              </w:rPr>
              <w:t xml:space="preserve"> </w:t>
            </w:r>
            <w:r w:rsidRPr="00E11086">
              <w:rPr>
                <w:rFonts w:hint="eastAsia"/>
                <w:sz w:val="14"/>
                <w:szCs w:val="14"/>
                <w:rtl/>
              </w:rPr>
              <w:t>שאינן</w:t>
            </w:r>
            <w:r w:rsidRPr="00E11086">
              <w:rPr>
                <w:sz w:val="14"/>
                <w:szCs w:val="14"/>
                <w:rtl/>
              </w:rPr>
              <w:t xml:space="preserve"> </w:t>
            </w:r>
            <w:r w:rsidRPr="00E11086">
              <w:rPr>
                <w:rFonts w:hint="eastAsia"/>
                <w:sz w:val="14"/>
                <w:szCs w:val="14"/>
                <w:rtl/>
              </w:rPr>
              <w:t>מקנות</w:t>
            </w:r>
            <w:r w:rsidRPr="00E11086">
              <w:rPr>
                <w:sz w:val="14"/>
                <w:szCs w:val="14"/>
                <w:rtl/>
              </w:rPr>
              <w:t xml:space="preserve"> </w:t>
            </w:r>
            <w:r w:rsidRPr="00E11086">
              <w:rPr>
                <w:rFonts w:hint="eastAsia"/>
                <w:sz w:val="14"/>
                <w:szCs w:val="14"/>
                <w:rtl/>
              </w:rPr>
              <w:t>שליטה</w:t>
            </w:r>
          </w:p>
        </w:tc>
        <w:tc>
          <w:tcPr>
            <w:tcW w:w="113" w:type="dxa"/>
            <w:vAlign w:val="bottom"/>
          </w:tcPr>
          <w:p w14:paraId="135F1F6D"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43455BF5" w14:textId="77777777" w:rsidR="00595A79" w:rsidRPr="00E11086" w:rsidRDefault="00595A79" w:rsidP="00E470B3">
            <w:pPr>
              <w:tabs>
                <w:tab w:val="decimal" w:pos="113"/>
              </w:tabs>
              <w:spacing w:line="160" w:lineRule="exact"/>
              <w:rPr>
                <w:sz w:val="14"/>
                <w:szCs w:val="14"/>
              </w:rPr>
            </w:pPr>
          </w:p>
        </w:tc>
        <w:tc>
          <w:tcPr>
            <w:tcW w:w="113" w:type="dxa"/>
            <w:vAlign w:val="bottom"/>
          </w:tcPr>
          <w:p w14:paraId="56E5AB2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3E3FF9D" w14:textId="77777777" w:rsidR="00595A79" w:rsidRPr="00E11086" w:rsidRDefault="00595A79" w:rsidP="00E470B3">
            <w:pPr>
              <w:tabs>
                <w:tab w:val="decimal" w:pos="113"/>
              </w:tabs>
              <w:spacing w:line="160" w:lineRule="exact"/>
              <w:rPr>
                <w:sz w:val="14"/>
                <w:szCs w:val="14"/>
              </w:rPr>
            </w:pPr>
          </w:p>
        </w:tc>
        <w:tc>
          <w:tcPr>
            <w:tcW w:w="113" w:type="dxa"/>
            <w:vAlign w:val="bottom"/>
          </w:tcPr>
          <w:p w14:paraId="1CD1FAF6"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E956970" w14:textId="77777777" w:rsidR="00595A79" w:rsidRPr="00E11086" w:rsidRDefault="00595A79" w:rsidP="00E470B3">
            <w:pPr>
              <w:tabs>
                <w:tab w:val="decimal" w:pos="113"/>
              </w:tabs>
              <w:spacing w:line="160" w:lineRule="exact"/>
              <w:rPr>
                <w:sz w:val="14"/>
                <w:szCs w:val="14"/>
              </w:rPr>
            </w:pPr>
          </w:p>
        </w:tc>
        <w:tc>
          <w:tcPr>
            <w:tcW w:w="113" w:type="dxa"/>
          </w:tcPr>
          <w:p w14:paraId="04FABEC4"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227506D9" w14:textId="77777777" w:rsidR="00595A79" w:rsidRPr="00E11086" w:rsidRDefault="00595A79" w:rsidP="00E470B3">
            <w:pPr>
              <w:tabs>
                <w:tab w:val="decimal" w:pos="113"/>
              </w:tabs>
              <w:spacing w:line="160" w:lineRule="exact"/>
              <w:rPr>
                <w:sz w:val="14"/>
                <w:szCs w:val="14"/>
              </w:rPr>
            </w:pPr>
          </w:p>
        </w:tc>
        <w:tc>
          <w:tcPr>
            <w:tcW w:w="113" w:type="dxa"/>
          </w:tcPr>
          <w:p w14:paraId="7E947BA9"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2158F184" w14:textId="77777777" w:rsidR="00595A79" w:rsidRPr="00E11086" w:rsidRDefault="00595A79" w:rsidP="00E470B3">
            <w:pPr>
              <w:tabs>
                <w:tab w:val="decimal" w:pos="113"/>
              </w:tabs>
              <w:spacing w:line="160" w:lineRule="exact"/>
              <w:rPr>
                <w:sz w:val="14"/>
                <w:szCs w:val="14"/>
              </w:rPr>
            </w:pPr>
          </w:p>
        </w:tc>
        <w:tc>
          <w:tcPr>
            <w:tcW w:w="113" w:type="dxa"/>
            <w:vAlign w:val="bottom"/>
          </w:tcPr>
          <w:p w14:paraId="6C3616D0"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2161CCD" w14:textId="77777777" w:rsidR="00595A79" w:rsidRPr="00E11086" w:rsidRDefault="00595A79" w:rsidP="00E470B3">
            <w:pPr>
              <w:tabs>
                <w:tab w:val="decimal" w:pos="113"/>
              </w:tabs>
              <w:spacing w:line="160" w:lineRule="exact"/>
              <w:rPr>
                <w:sz w:val="14"/>
                <w:szCs w:val="14"/>
              </w:rPr>
            </w:pPr>
          </w:p>
        </w:tc>
        <w:tc>
          <w:tcPr>
            <w:tcW w:w="113" w:type="dxa"/>
            <w:vAlign w:val="bottom"/>
          </w:tcPr>
          <w:p w14:paraId="555BCC6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3DBD3C7F" w14:textId="77777777" w:rsidR="00595A79" w:rsidRPr="00E11086" w:rsidRDefault="00595A79" w:rsidP="00E470B3">
            <w:pPr>
              <w:tabs>
                <w:tab w:val="decimal" w:pos="113"/>
              </w:tabs>
              <w:spacing w:line="160" w:lineRule="exact"/>
              <w:rPr>
                <w:sz w:val="14"/>
                <w:szCs w:val="14"/>
              </w:rPr>
            </w:pPr>
          </w:p>
        </w:tc>
        <w:tc>
          <w:tcPr>
            <w:tcW w:w="113" w:type="dxa"/>
            <w:vAlign w:val="bottom"/>
          </w:tcPr>
          <w:p w14:paraId="1FC6AD01"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3E7C32D" w14:textId="77777777" w:rsidR="00595A79" w:rsidRPr="00E11086" w:rsidRDefault="00595A79" w:rsidP="00E470B3">
            <w:pPr>
              <w:tabs>
                <w:tab w:val="decimal" w:pos="113"/>
              </w:tabs>
              <w:spacing w:line="160" w:lineRule="exact"/>
              <w:rPr>
                <w:sz w:val="14"/>
                <w:szCs w:val="14"/>
              </w:rPr>
            </w:pPr>
          </w:p>
        </w:tc>
        <w:tc>
          <w:tcPr>
            <w:tcW w:w="113" w:type="dxa"/>
            <w:vAlign w:val="bottom"/>
          </w:tcPr>
          <w:p w14:paraId="0D375796"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F27DED9"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579CFE00"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3CC937A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E6963A8"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C20D0E9"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1FB7348"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68255B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11F2F0B"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45C594B" w14:textId="77777777" w:rsidR="00595A79" w:rsidRPr="00E11086" w:rsidRDefault="00595A79" w:rsidP="00E470B3">
            <w:pPr>
              <w:tabs>
                <w:tab w:val="decimal" w:pos="113"/>
              </w:tabs>
              <w:spacing w:line="160" w:lineRule="exact"/>
              <w:rPr>
                <w:sz w:val="14"/>
                <w:szCs w:val="14"/>
              </w:rPr>
            </w:pPr>
          </w:p>
        </w:tc>
        <w:tc>
          <w:tcPr>
            <w:tcW w:w="113" w:type="dxa"/>
            <w:vAlign w:val="bottom"/>
          </w:tcPr>
          <w:p w14:paraId="05DA50BE"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2358345F" w14:textId="77777777" w:rsidR="00595A79" w:rsidRPr="00E11086" w:rsidRDefault="00595A79" w:rsidP="00E470B3">
            <w:pPr>
              <w:tabs>
                <w:tab w:val="decimal" w:pos="113"/>
              </w:tabs>
              <w:spacing w:line="160" w:lineRule="exact"/>
              <w:rPr>
                <w:sz w:val="14"/>
                <w:szCs w:val="14"/>
              </w:rPr>
            </w:pPr>
          </w:p>
        </w:tc>
        <w:tc>
          <w:tcPr>
            <w:tcW w:w="113" w:type="dxa"/>
            <w:vAlign w:val="bottom"/>
          </w:tcPr>
          <w:p w14:paraId="09DDEA35"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216EAC3D" w14:textId="77777777" w:rsidR="00595A79" w:rsidRPr="00E11086" w:rsidRDefault="00595A79" w:rsidP="00E470B3">
            <w:pPr>
              <w:tabs>
                <w:tab w:val="decimal" w:pos="113"/>
              </w:tabs>
              <w:spacing w:line="160" w:lineRule="exact"/>
              <w:rPr>
                <w:sz w:val="14"/>
                <w:szCs w:val="14"/>
              </w:rPr>
            </w:pPr>
          </w:p>
        </w:tc>
        <w:tc>
          <w:tcPr>
            <w:tcW w:w="113" w:type="dxa"/>
          </w:tcPr>
          <w:p w14:paraId="2DD26C1A"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7C89EBA9" w14:textId="77777777" w:rsidR="00595A79" w:rsidRPr="00E11086" w:rsidRDefault="00595A79" w:rsidP="00E470B3">
            <w:pPr>
              <w:tabs>
                <w:tab w:val="decimal" w:pos="113"/>
              </w:tabs>
              <w:spacing w:line="160" w:lineRule="exact"/>
              <w:rPr>
                <w:sz w:val="14"/>
                <w:szCs w:val="14"/>
              </w:rPr>
            </w:pPr>
          </w:p>
        </w:tc>
      </w:tr>
      <w:tr w:rsidR="00595A79" w:rsidRPr="00E11086" w14:paraId="0F49A243" w14:textId="77777777" w:rsidTr="003675AA">
        <w:tc>
          <w:tcPr>
            <w:tcW w:w="3177" w:type="dxa"/>
            <w:vAlign w:val="bottom"/>
          </w:tcPr>
          <w:p w14:paraId="14CD8007"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זכויות</w:t>
            </w:r>
            <w:r w:rsidRPr="00E11086">
              <w:rPr>
                <w:sz w:val="14"/>
                <w:szCs w:val="14"/>
                <w:rtl/>
              </w:rPr>
              <w:t xml:space="preserve"> </w:t>
            </w:r>
            <w:r w:rsidRPr="00E11086">
              <w:rPr>
                <w:rFonts w:hint="eastAsia"/>
                <w:sz w:val="14"/>
                <w:szCs w:val="14"/>
                <w:rtl/>
              </w:rPr>
              <w:t>שאינן</w:t>
            </w:r>
            <w:r w:rsidRPr="00E11086">
              <w:rPr>
                <w:sz w:val="14"/>
                <w:szCs w:val="14"/>
                <w:rtl/>
              </w:rPr>
              <w:t xml:space="preserve"> </w:t>
            </w:r>
            <w:r w:rsidRPr="00E11086">
              <w:rPr>
                <w:rFonts w:hint="eastAsia"/>
                <w:sz w:val="14"/>
                <w:szCs w:val="14"/>
                <w:rtl/>
              </w:rPr>
              <w:t>מקנות</w:t>
            </w:r>
            <w:r w:rsidRPr="00E11086">
              <w:rPr>
                <w:sz w:val="14"/>
                <w:szCs w:val="14"/>
                <w:rtl/>
              </w:rPr>
              <w:t xml:space="preserve"> </w:t>
            </w:r>
            <w:r w:rsidRPr="00E11086">
              <w:rPr>
                <w:rFonts w:hint="eastAsia"/>
                <w:sz w:val="14"/>
                <w:szCs w:val="14"/>
                <w:rtl/>
              </w:rPr>
              <w:t>שליטה</w:t>
            </w:r>
            <w:r w:rsidRPr="00E11086">
              <w:rPr>
                <w:sz w:val="14"/>
                <w:szCs w:val="14"/>
                <w:rtl/>
              </w:rPr>
              <w:t xml:space="preserve"> </w:t>
            </w:r>
            <w:r w:rsidRPr="00E11086">
              <w:rPr>
                <w:rFonts w:hint="eastAsia"/>
                <w:sz w:val="14"/>
                <w:szCs w:val="14"/>
                <w:rtl/>
              </w:rPr>
              <w:t>שנוצרו</w:t>
            </w:r>
            <w:r w:rsidRPr="00E11086">
              <w:rPr>
                <w:sz w:val="14"/>
                <w:szCs w:val="14"/>
                <w:rtl/>
              </w:rPr>
              <w:t xml:space="preserve"> </w:t>
            </w:r>
            <w:r w:rsidRPr="00E11086">
              <w:rPr>
                <w:rFonts w:hint="eastAsia"/>
                <w:sz w:val="14"/>
                <w:szCs w:val="14"/>
                <w:rtl/>
              </w:rPr>
              <w:t>בחברות</w:t>
            </w:r>
            <w:r w:rsidRPr="00E11086">
              <w:rPr>
                <w:sz w:val="14"/>
                <w:szCs w:val="14"/>
                <w:rtl/>
              </w:rPr>
              <w:t xml:space="preserve"> </w:t>
            </w:r>
            <w:r w:rsidRPr="00E11086">
              <w:rPr>
                <w:rFonts w:hint="eastAsia"/>
                <w:sz w:val="14"/>
                <w:szCs w:val="14"/>
                <w:rtl/>
              </w:rPr>
              <w:t>שאוחדו</w:t>
            </w:r>
            <w:r w:rsidRPr="00E11086">
              <w:rPr>
                <w:sz w:val="14"/>
                <w:szCs w:val="14"/>
                <w:rtl/>
              </w:rPr>
              <w:t xml:space="preserve"> </w:t>
            </w:r>
            <w:r w:rsidRPr="00E11086">
              <w:rPr>
                <w:rFonts w:hint="eastAsia"/>
                <w:sz w:val="14"/>
                <w:szCs w:val="14"/>
                <w:rtl/>
              </w:rPr>
              <w:t>לראשונה</w:t>
            </w:r>
          </w:p>
        </w:tc>
        <w:tc>
          <w:tcPr>
            <w:tcW w:w="113" w:type="dxa"/>
            <w:vAlign w:val="bottom"/>
          </w:tcPr>
          <w:p w14:paraId="2AB549B0"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07D8A0CF" w14:textId="77777777" w:rsidR="00595A79" w:rsidRPr="00E11086" w:rsidRDefault="00595A79" w:rsidP="00E470B3">
            <w:pPr>
              <w:tabs>
                <w:tab w:val="decimal" w:pos="113"/>
              </w:tabs>
              <w:spacing w:line="160" w:lineRule="exact"/>
              <w:rPr>
                <w:sz w:val="14"/>
                <w:szCs w:val="14"/>
              </w:rPr>
            </w:pPr>
          </w:p>
        </w:tc>
        <w:tc>
          <w:tcPr>
            <w:tcW w:w="113" w:type="dxa"/>
            <w:vAlign w:val="bottom"/>
          </w:tcPr>
          <w:p w14:paraId="1C9DDDB3"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6F4ECDDA" w14:textId="77777777" w:rsidR="00595A79" w:rsidRPr="00E11086" w:rsidRDefault="00595A79" w:rsidP="00E470B3">
            <w:pPr>
              <w:tabs>
                <w:tab w:val="decimal" w:pos="113"/>
              </w:tabs>
              <w:spacing w:line="160" w:lineRule="exact"/>
              <w:rPr>
                <w:sz w:val="14"/>
                <w:szCs w:val="14"/>
              </w:rPr>
            </w:pPr>
          </w:p>
        </w:tc>
        <w:tc>
          <w:tcPr>
            <w:tcW w:w="113" w:type="dxa"/>
            <w:vAlign w:val="bottom"/>
          </w:tcPr>
          <w:p w14:paraId="3D3C1C61"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6199C90" w14:textId="77777777" w:rsidR="00595A79" w:rsidRPr="00E11086" w:rsidRDefault="00595A79" w:rsidP="00E470B3">
            <w:pPr>
              <w:tabs>
                <w:tab w:val="decimal" w:pos="113"/>
              </w:tabs>
              <w:spacing w:line="160" w:lineRule="exact"/>
              <w:rPr>
                <w:sz w:val="14"/>
                <w:szCs w:val="14"/>
              </w:rPr>
            </w:pPr>
          </w:p>
        </w:tc>
        <w:tc>
          <w:tcPr>
            <w:tcW w:w="113" w:type="dxa"/>
          </w:tcPr>
          <w:p w14:paraId="5F982CA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6BF61BE5" w14:textId="77777777" w:rsidR="00595A79" w:rsidRPr="00E11086" w:rsidRDefault="00595A79" w:rsidP="00E470B3">
            <w:pPr>
              <w:tabs>
                <w:tab w:val="decimal" w:pos="113"/>
              </w:tabs>
              <w:spacing w:line="160" w:lineRule="exact"/>
              <w:rPr>
                <w:sz w:val="14"/>
                <w:szCs w:val="14"/>
              </w:rPr>
            </w:pPr>
          </w:p>
        </w:tc>
        <w:tc>
          <w:tcPr>
            <w:tcW w:w="113" w:type="dxa"/>
          </w:tcPr>
          <w:p w14:paraId="5B990B7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195A9873" w14:textId="77777777" w:rsidR="00595A79" w:rsidRPr="00E11086" w:rsidRDefault="00595A79" w:rsidP="00E470B3">
            <w:pPr>
              <w:tabs>
                <w:tab w:val="decimal" w:pos="113"/>
              </w:tabs>
              <w:spacing w:line="160" w:lineRule="exact"/>
              <w:rPr>
                <w:sz w:val="14"/>
                <w:szCs w:val="14"/>
              </w:rPr>
            </w:pPr>
          </w:p>
        </w:tc>
        <w:tc>
          <w:tcPr>
            <w:tcW w:w="113" w:type="dxa"/>
            <w:vAlign w:val="bottom"/>
          </w:tcPr>
          <w:p w14:paraId="439725A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88D5D01" w14:textId="77777777" w:rsidR="00595A79" w:rsidRPr="00E11086" w:rsidRDefault="00595A79" w:rsidP="00E470B3">
            <w:pPr>
              <w:tabs>
                <w:tab w:val="decimal" w:pos="113"/>
              </w:tabs>
              <w:spacing w:line="160" w:lineRule="exact"/>
              <w:rPr>
                <w:sz w:val="14"/>
                <w:szCs w:val="14"/>
              </w:rPr>
            </w:pPr>
          </w:p>
        </w:tc>
        <w:tc>
          <w:tcPr>
            <w:tcW w:w="113" w:type="dxa"/>
            <w:vAlign w:val="bottom"/>
          </w:tcPr>
          <w:p w14:paraId="0235AC3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601C339C" w14:textId="77777777" w:rsidR="00595A79" w:rsidRPr="00E11086" w:rsidRDefault="00595A79" w:rsidP="00E470B3">
            <w:pPr>
              <w:tabs>
                <w:tab w:val="decimal" w:pos="113"/>
              </w:tabs>
              <w:spacing w:line="160" w:lineRule="exact"/>
              <w:rPr>
                <w:sz w:val="14"/>
                <w:szCs w:val="14"/>
              </w:rPr>
            </w:pPr>
          </w:p>
        </w:tc>
        <w:tc>
          <w:tcPr>
            <w:tcW w:w="113" w:type="dxa"/>
            <w:vAlign w:val="bottom"/>
          </w:tcPr>
          <w:p w14:paraId="34F4D705"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FE9A226" w14:textId="77777777" w:rsidR="00595A79" w:rsidRPr="00E11086" w:rsidRDefault="00595A79" w:rsidP="00E470B3">
            <w:pPr>
              <w:tabs>
                <w:tab w:val="decimal" w:pos="113"/>
              </w:tabs>
              <w:spacing w:line="160" w:lineRule="exact"/>
              <w:rPr>
                <w:sz w:val="14"/>
                <w:szCs w:val="14"/>
              </w:rPr>
            </w:pPr>
          </w:p>
        </w:tc>
        <w:tc>
          <w:tcPr>
            <w:tcW w:w="113" w:type="dxa"/>
            <w:vAlign w:val="bottom"/>
          </w:tcPr>
          <w:p w14:paraId="30FE62A6"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A1B41CA"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72B7A0CC"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09A097B7"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0E906A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6B0C680"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6BBFF55"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53F29C2"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331D510"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9C79BA1" w14:textId="77777777" w:rsidR="00595A79" w:rsidRPr="00E11086" w:rsidRDefault="00595A79" w:rsidP="00E470B3">
            <w:pPr>
              <w:tabs>
                <w:tab w:val="decimal" w:pos="113"/>
              </w:tabs>
              <w:spacing w:line="160" w:lineRule="exact"/>
              <w:rPr>
                <w:sz w:val="14"/>
                <w:szCs w:val="14"/>
              </w:rPr>
            </w:pPr>
          </w:p>
        </w:tc>
        <w:tc>
          <w:tcPr>
            <w:tcW w:w="113" w:type="dxa"/>
            <w:vAlign w:val="bottom"/>
          </w:tcPr>
          <w:p w14:paraId="29AA6102"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08584453" w14:textId="77777777" w:rsidR="00595A79" w:rsidRPr="00E11086" w:rsidRDefault="00595A79" w:rsidP="00E470B3">
            <w:pPr>
              <w:tabs>
                <w:tab w:val="decimal" w:pos="113"/>
              </w:tabs>
              <w:spacing w:line="160" w:lineRule="exact"/>
              <w:rPr>
                <w:sz w:val="14"/>
                <w:szCs w:val="14"/>
              </w:rPr>
            </w:pPr>
          </w:p>
        </w:tc>
        <w:tc>
          <w:tcPr>
            <w:tcW w:w="113" w:type="dxa"/>
            <w:vAlign w:val="bottom"/>
          </w:tcPr>
          <w:p w14:paraId="3D41D947"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22394A51" w14:textId="77777777" w:rsidR="00595A79" w:rsidRPr="00E11086" w:rsidRDefault="00595A79" w:rsidP="00E470B3">
            <w:pPr>
              <w:tabs>
                <w:tab w:val="decimal" w:pos="113"/>
              </w:tabs>
              <w:spacing w:line="160" w:lineRule="exact"/>
              <w:rPr>
                <w:sz w:val="14"/>
                <w:szCs w:val="14"/>
              </w:rPr>
            </w:pPr>
          </w:p>
        </w:tc>
        <w:tc>
          <w:tcPr>
            <w:tcW w:w="113" w:type="dxa"/>
          </w:tcPr>
          <w:p w14:paraId="0AE4D0E2"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072E1E36" w14:textId="77777777" w:rsidR="00595A79" w:rsidRPr="00E11086" w:rsidRDefault="00595A79" w:rsidP="00E470B3">
            <w:pPr>
              <w:tabs>
                <w:tab w:val="decimal" w:pos="113"/>
              </w:tabs>
              <w:spacing w:line="160" w:lineRule="exact"/>
              <w:rPr>
                <w:sz w:val="14"/>
                <w:szCs w:val="14"/>
              </w:rPr>
            </w:pPr>
          </w:p>
        </w:tc>
      </w:tr>
      <w:tr w:rsidR="00595A79" w:rsidRPr="00E11086" w14:paraId="6C36FE3D" w14:textId="77777777" w:rsidTr="003675AA">
        <w:tc>
          <w:tcPr>
            <w:tcW w:w="3177" w:type="dxa"/>
            <w:vAlign w:val="bottom"/>
          </w:tcPr>
          <w:p w14:paraId="16E29100"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יציאה</w:t>
            </w:r>
            <w:r w:rsidRPr="00E11086">
              <w:rPr>
                <w:sz w:val="14"/>
                <w:szCs w:val="14"/>
                <w:rtl/>
              </w:rPr>
              <w:t xml:space="preserve"> </w:t>
            </w:r>
            <w:r w:rsidRPr="00E11086">
              <w:rPr>
                <w:rFonts w:hint="eastAsia"/>
                <w:sz w:val="14"/>
                <w:szCs w:val="14"/>
                <w:rtl/>
              </w:rPr>
              <w:t>מאיחוד</w:t>
            </w:r>
            <w:r w:rsidRPr="00E11086">
              <w:rPr>
                <w:sz w:val="14"/>
                <w:szCs w:val="14"/>
                <w:rtl/>
              </w:rPr>
              <w:t xml:space="preserve"> </w:t>
            </w:r>
            <w:r w:rsidRPr="00E11086">
              <w:rPr>
                <w:rFonts w:hint="eastAsia"/>
                <w:sz w:val="14"/>
                <w:szCs w:val="14"/>
                <w:rtl/>
              </w:rPr>
              <w:t>של</w:t>
            </w:r>
            <w:r w:rsidRPr="00E11086">
              <w:rPr>
                <w:sz w:val="14"/>
                <w:szCs w:val="14"/>
                <w:rtl/>
              </w:rPr>
              <w:t xml:space="preserve"> </w:t>
            </w:r>
            <w:r w:rsidRPr="00E11086">
              <w:rPr>
                <w:rFonts w:hint="eastAsia"/>
                <w:sz w:val="14"/>
                <w:szCs w:val="14"/>
                <w:rtl/>
              </w:rPr>
              <w:t>חברה</w:t>
            </w:r>
            <w:r w:rsidRPr="00E11086">
              <w:rPr>
                <w:sz w:val="14"/>
                <w:szCs w:val="14"/>
                <w:rtl/>
              </w:rPr>
              <w:t xml:space="preserve"> </w:t>
            </w:r>
            <w:r w:rsidRPr="00E11086">
              <w:rPr>
                <w:rFonts w:hint="eastAsia"/>
                <w:sz w:val="14"/>
                <w:szCs w:val="14"/>
                <w:rtl/>
              </w:rPr>
              <w:t>מאוחדת</w:t>
            </w:r>
          </w:p>
        </w:tc>
        <w:tc>
          <w:tcPr>
            <w:tcW w:w="113" w:type="dxa"/>
            <w:vAlign w:val="bottom"/>
          </w:tcPr>
          <w:p w14:paraId="0CE16A5F"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3EBA68EC" w14:textId="77777777" w:rsidR="00595A79" w:rsidRPr="00E11086" w:rsidRDefault="00595A79" w:rsidP="00E470B3">
            <w:pPr>
              <w:tabs>
                <w:tab w:val="decimal" w:pos="113"/>
              </w:tabs>
              <w:spacing w:line="160" w:lineRule="exact"/>
              <w:rPr>
                <w:sz w:val="14"/>
                <w:szCs w:val="14"/>
              </w:rPr>
            </w:pPr>
          </w:p>
        </w:tc>
        <w:tc>
          <w:tcPr>
            <w:tcW w:w="113" w:type="dxa"/>
            <w:vAlign w:val="bottom"/>
          </w:tcPr>
          <w:p w14:paraId="1057F83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9DAC8C0" w14:textId="77777777" w:rsidR="00595A79" w:rsidRPr="00E11086" w:rsidRDefault="00595A79" w:rsidP="00E470B3">
            <w:pPr>
              <w:tabs>
                <w:tab w:val="decimal" w:pos="113"/>
              </w:tabs>
              <w:spacing w:line="160" w:lineRule="exact"/>
              <w:rPr>
                <w:sz w:val="14"/>
                <w:szCs w:val="14"/>
              </w:rPr>
            </w:pPr>
          </w:p>
        </w:tc>
        <w:tc>
          <w:tcPr>
            <w:tcW w:w="113" w:type="dxa"/>
            <w:vAlign w:val="bottom"/>
          </w:tcPr>
          <w:p w14:paraId="79543501"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E825D9A" w14:textId="77777777" w:rsidR="00595A79" w:rsidRPr="00E11086" w:rsidRDefault="00595A79" w:rsidP="00E470B3">
            <w:pPr>
              <w:tabs>
                <w:tab w:val="decimal" w:pos="113"/>
              </w:tabs>
              <w:spacing w:line="160" w:lineRule="exact"/>
              <w:rPr>
                <w:sz w:val="14"/>
                <w:szCs w:val="14"/>
              </w:rPr>
            </w:pPr>
          </w:p>
        </w:tc>
        <w:tc>
          <w:tcPr>
            <w:tcW w:w="113" w:type="dxa"/>
          </w:tcPr>
          <w:p w14:paraId="5A4DA8B2"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704DA701" w14:textId="77777777" w:rsidR="00595A79" w:rsidRPr="00E11086" w:rsidRDefault="00595A79" w:rsidP="00E470B3">
            <w:pPr>
              <w:tabs>
                <w:tab w:val="decimal" w:pos="113"/>
              </w:tabs>
              <w:spacing w:line="160" w:lineRule="exact"/>
              <w:rPr>
                <w:sz w:val="14"/>
                <w:szCs w:val="14"/>
              </w:rPr>
            </w:pPr>
          </w:p>
        </w:tc>
        <w:tc>
          <w:tcPr>
            <w:tcW w:w="113" w:type="dxa"/>
          </w:tcPr>
          <w:p w14:paraId="6E0CB23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781EEF7A" w14:textId="77777777" w:rsidR="00595A79" w:rsidRPr="00E11086" w:rsidRDefault="00595A79" w:rsidP="00E470B3">
            <w:pPr>
              <w:tabs>
                <w:tab w:val="decimal" w:pos="113"/>
              </w:tabs>
              <w:spacing w:line="160" w:lineRule="exact"/>
              <w:rPr>
                <w:sz w:val="14"/>
                <w:szCs w:val="14"/>
              </w:rPr>
            </w:pPr>
          </w:p>
        </w:tc>
        <w:tc>
          <w:tcPr>
            <w:tcW w:w="113" w:type="dxa"/>
            <w:vAlign w:val="bottom"/>
          </w:tcPr>
          <w:p w14:paraId="55D61E5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257F084" w14:textId="77777777" w:rsidR="00595A79" w:rsidRPr="00E11086" w:rsidRDefault="00595A79" w:rsidP="00E470B3">
            <w:pPr>
              <w:tabs>
                <w:tab w:val="decimal" w:pos="113"/>
              </w:tabs>
              <w:spacing w:line="160" w:lineRule="exact"/>
              <w:rPr>
                <w:sz w:val="14"/>
                <w:szCs w:val="14"/>
              </w:rPr>
            </w:pPr>
          </w:p>
        </w:tc>
        <w:tc>
          <w:tcPr>
            <w:tcW w:w="113" w:type="dxa"/>
            <w:vAlign w:val="bottom"/>
          </w:tcPr>
          <w:p w14:paraId="52B2AECD"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BE8C6D1" w14:textId="77777777" w:rsidR="00595A79" w:rsidRPr="00E11086" w:rsidRDefault="00595A79" w:rsidP="00E470B3">
            <w:pPr>
              <w:tabs>
                <w:tab w:val="decimal" w:pos="113"/>
              </w:tabs>
              <w:spacing w:line="160" w:lineRule="exact"/>
              <w:rPr>
                <w:sz w:val="14"/>
                <w:szCs w:val="14"/>
              </w:rPr>
            </w:pPr>
          </w:p>
        </w:tc>
        <w:tc>
          <w:tcPr>
            <w:tcW w:w="113" w:type="dxa"/>
            <w:vAlign w:val="bottom"/>
          </w:tcPr>
          <w:p w14:paraId="1C1FF953"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11AC9DE0" w14:textId="77777777" w:rsidR="00595A79" w:rsidRPr="00E11086" w:rsidRDefault="00595A79" w:rsidP="00E470B3">
            <w:pPr>
              <w:tabs>
                <w:tab w:val="decimal" w:pos="113"/>
              </w:tabs>
              <w:spacing w:line="160" w:lineRule="exact"/>
              <w:rPr>
                <w:sz w:val="14"/>
                <w:szCs w:val="14"/>
              </w:rPr>
            </w:pPr>
          </w:p>
        </w:tc>
        <w:tc>
          <w:tcPr>
            <w:tcW w:w="113" w:type="dxa"/>
            <w:vAlign w:val="bottom"/>
          </w:tcPr>
          <w:p w14:paraId="2631611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4F6734A1"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455AECF0"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4C4094F8"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49FC98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1024AC7"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FFBAA3B"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4BE6F8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8C95C9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FF10E4D" w14:textId="77777777" w:rsidR="00595A79" w:rsidRPr="00E11086" w:rsidRDefault="00595A79" w:rsidP="00E470B3">
            <w:pPr>
              <w:tabs>
                <w:tab w:val="decimal" w:pos="113"/>
              </w:tabs>
              <w:spacing w:line="160" w:lineRule="exact"/>
              <w:rPr>
                <w:sz w:val="14"/>
                <w:szCs w:val="14"/>
              </w:rPr>
            </w:pPr>
          </w:p>
        </w:tc>
        <w:tc>
          <w:tcPr>
            <w:tcW w:w="113" w:type="dxa"/>
            <w:vAlign w:val="bottom"/>
          </w:tcPr>
          <w:p w14:paraId="3DBE81E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508A6444" w14:textId="77777777" w:rsidR="00595A79" w:rsidRPr="00E11086" w:rsidRDefault="00595A79" w:rsidP="00E470B3">
            <w:pPr>
              <w:tabs>
                <w:tab w:val="decimal" w:pos="113"/>
              </w:tabs>
              <w:spacing w:line="160" w:lineRule="exact"/>
              <w:rPr>
                <w:sz w:val="14"/>
                <w:szCs w:val="14"/>
              </w:rPr>
            </w:pPr>
          </w:p>
        </w:tc>
        <w:tc>
          <w:tcPr>
            <w:tcW w:w="113" w:type="dxa"/>
            <w:vAlign w:val="bottom"/>
          </w:tcPr>
          <w:p w14:paraId="68356D60"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4B1F28F" w14:textId="77777777" w:rsidR="00595A79" w:rsidRPr="00E11086" w:rsidRDefault="00595A79" w:rsidP="00E470B3">
            <w:pPr>
              <w:tabs>
                <w:tab w:val="decimal" w:pos="113"/>
              </w:tabs>
              <w:spacing w:line="160" w:lineRule="exact"/>
              <w:rPr>
                <w:sz w:val="14"/>
                <w:szCs w:val="14"/>
              </w:rPr>
            </w:pPr>
          </w:p>
        </w:tc>
        <w:tc>
          <w:tcPr>
            <w:tcW w:w="113" w:type="dxa"/>
          </w:tcPr>
          <w:p w14:paraId="19B34D5D"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0EABB477" w14:textId="77777777" w:rsidR="00595A79" w:rsidRPr="00E11086" w:rsidRDefault="00595A79" w:rsidP="00E470B3">
            <w:pPr>
              <w:tabs>
                <w:tab w:val="decimal" w:pos="113"/>
              </w:tabs>
              <w:spacing w:line="160" w:lineRule="exact"/>
              <w:rPr>
                <w:sz w:val="14"/>
                <w:szCs w:val="14"/>
              </w:rPr>
            </w:pPr>
          </w:p>
        </w:tc>
      </w:tr>
      <w:tr w:rsidR="00595A79" w:rsidRPr="00E11086" w14:paraId="03D0C28C" w14:textId="77777777" w:rsidTr="003675AA">
        <w:tc>
          <w:tcPr>
            <w:tcW w:w="3177" w:type="dxa"/>
            <w:vAlign w:val="bottom"/>
          </w:tcPr>
          <w:p w14:paraId="14C44F2B"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דיבידנד</w:t>
            </w:r>
            <w:r w:rsidRPr="00E11086">
              <w:rPr>
                <w:sz w:val="14"/>
                <w:szCs w:val="14"/>
                <w:rtl/>
              </w:rPr>
              <w:t xml:space="preserve"> </w:t>
            </w:r>
            <w:r w:rsidRPr="00E11086">
              <w:rPr>
                <w:rFonts w:hint="eastAsia"/>
                <w:sz w:val="14"/>
                <w:szCs w:val="14"/>
                <w:rtl/>
              </w:rPr>
              <w:t>לבעלי</w:t>
            </w:r>
            <w:r w:rsidRPr="00E11086">
              <w:rPr>
                <w:sz w:val="14"/>
                <w:szCs w:val="14"/>
                <w:rtl/>
              </w:rPr>
              <w:t xml:space="preserve"> </w:t>
            </w:r>
            <w:r w:rsidRPr="00E11086">
              <w:rPr>
                <w:rFonts w:hint="eastAsia"/>
                <w:sz w:val="14"/>
                <w:szCs w:val="14"/>
                <w:rtl/>
              </w:rPr>
              <w:t>זכויות</w:t>
            </w:r>
            <w:r w:rsidRPr="00E11086">
              <w:rPr>
                <w:sz w:val="14"/>
                <w:szCs w:val="14"/>
                <w:rtl/>
              </w:rPr>
              <w:t xml:space="preserve"> </w:t>
            </w:r>
            <w:r w:rsidRPr="00E11086">
              <w:rPr>
                <w:rFonts w:hint="eastAsia"/>
                <w:sz w:val="14"/>
                <w:szCs w:val="14"/>
                <w:rtl/>
              </w:rPr>
              <w:t>שאינן</w:t>
            </w:r>
            <w:r w:rsidRPr="00E11086">
              <w:rPr>
                <w:sz w:val="14"/>
                <w:szCs w:val="14"/>
                <w:rtl/>
              </w:rPr>
              <w:t xml:space="preserve"> </w:t>
            </w:r>
            <w:r w:rsidRPr="00E11086">
              <w:rPr>
                <w:rFonts w:hint="eastAsia"/>
                <w:sz w:val="14"/>
                <w:szCs w:val="14"/>
                <w:rtl/>
              </w:rPr>
              <w:t>מקנות</w:t>
            </w:r>
            <w:r w:rsidRPr="00E11086">
              <w:rPr>
                <w:sz w:val="14"/>
                <w:szCs w:val="14"/>
                <w:rtl/>
              </w:rPr>
              <w:t xml:space="preserve"> </w:t>
            </w:r>
            <w:r w:rsidRPr="00E11086">
              <w:rPr>
                <w:rFonts w:hint="eastAsia"/>
                <w:sz w:val="14"/>
                <w:szCs w:val="14"/>
                <w:rtl/>
              </w:rPr>
              <w:t>שליטה</w:t>
            </w:r>
          </w:p>
        </w:tc>
        <w:tc>
          <w:tcPr>
            <w:tcW w:w="113" w:type="dxa"/>
            <w:vAlign w:val="bottom"/>
          </w:tcPr>
          <w:p w14:paraId="4A1DD267" w14:textId="77777777" w:rsidR="00595A79" w:rsidRPr="00E11086" w:rsidRDefault="00595A79" w:rsidP="00E470B3">
            <w:pPr>
              <w:spacing w:line="160" w:lineRule="exact"/>
              <w:rPr>
                <w:sz w:val="14"/>
                <w:szCs w:val="14"/>
              </w:rPr>
            </w:pPr>
          </w:p>
        </w:tc>
        <w:tc>
          <w:tcPr>
            <w:tcW w:w="624" w:type="dxa"/>
            <w:tcBorders>
              <w:left w:val="nil"/>
              <w:bottom w:val="single" w:sz="6" w:space="0" w:color="auto"/>
              <w:right w:val="nil"/>
            </w:tcBorders>
            <w:shd w:val="clear" w:color="auto" w:fill="auto"/>
            <w:vAlign w:val="bottom"/>
          </w:tcPr>
          <w:p w14:paraId="751D9294" w14:textId="77777777" w:rsidR="00595A79" w:rsidRPr="00E11086" w:rsidRDefault="00595A79" w:rsidP="00E470B3">
            <w:pPr>
              <w:tabs>
                <w:tab w:val="decimal" w:pos="113"/>
              </w:tabs>
              <w:spacing w:line="160" w:lineRule="exact"/>
              <w:rPr>
                <w:sz w:val="14"/>
                <w:szCs w:val="14"/>
              </w:rPr>
            </w:pPr>
          </w:p>
        </w:tc>
        <w:tc>
          <w:tcPr>
            <w:tcW w:w="113" w:type="dxa"/>
            <w:vAlign w:val="bottom"/>
          </w:tcPr>
          <w:p w14:paraId="0A8D3DD1" w14:textId="77777777" w:rsidR="00595A79" w:rsidRPr="00E11086" w:rsidRDefault="00595A79" w:rsidP="00E470B3">
            <w:pPr>
              <w:tabs>
                <w:tab w:val="decimal" w:pos="113"/>
              </w:tabs>
              <w:spacing w:line="160" w:lineRule="exact"/>
              <w:rPr>
                <w:sz w:val="14"/>
                <w:szCs w:val="14"/>
              </w:rPr>
            </w:pPr>
          </w:p>
        </w:tc>
        <w:tc>
          <w:tcPr>
            <w:tcW w:w="624" w:type="dxa"/>
            <w:tcBorders>
              <w:left w:val="nil"/>
              <w:bottom w:val="single" w:sz="6" w:space="0" w:color="auto"/>
              <w:right w:val="nil"/>
            </w:tcBorders>
            <w:shd w:val="clear" w:color="auto" w:fill="auto"/>
            <w:vAlign w:val="bottom"/>
          </w:tcPr>
          <w:p w14:paraId="67892CC0" w14:textId="77777777" w:rsidR="00595A79" w:rsidRPr="00E11086" w:rsidRDefault="00595A79" w:rsidP="00E470B3">
            <w:pPr>
              <w:tabs>
                <w:tab w:val="decimal" w:pos="113"/>
              </w:tabs>
              <w:spacing w:line="160" w:lineRule="exact"/>
              <w:rPr>
                <w:sz w:val="14"/>
                <w:szCs w:val="14"/>
              </w:rPr>
            </w:pPr>
          </w:p>
        </w:tc>
        <w:tc>
          <w:tcPr>
            <w:tcW w:w="113" w:type="dxa"/>
            <w:vAlign w:val="bottom"/>
          </w:tcPr>
          <w:p w14:paraId="1486B9F0" w14:textId="77777777" w:rsidR="00595A79" w:rsidRPr="00E11086" w:rsidRDefault="00595A79" w:rsidP="00E470B3">
            <w:pPr>
              <w:tabs>
                <w:tab w:val="decimal" w:pos="113"/>
              </w:tabs>
              <w:spacing w:line="160" w:lineRule="exact"/>
              <w:rPr>
                <w:sz w:val="14"/>
                <w:szCs w:val="14"/>
              </w:rPr>
            </w:pPr>
          </w:p>
        </w:tc>
        <w:tc>
          <w:tcPr>
            <w:tcW w:w="624" w:type="dxa"/>
            <w:tcBorders>
              <w:left w:val="nil"/>
              <w:bottom w:val="single" w:sz="6" w:space="0" w:color="auto"/>
              <w:right w:val="nil"/>
            </w:tcBorders>
            <w:shd w:val="clear" w:color="auto" w:fill="auto"/>
            <w:vAlign w:val="bottom"/>
          </w:tcPr>
          <w:p w14:paraId="0F97ED27" w14:textId="77777777" w:rsidR="00595A79" w:rsidRPr="00E11086" w:rsidRDefault="00595A79" w:rsidP="00E470B3">
            <w:pPr>
              <w:tabs>
                <w:tab w:val="decimal" w:pos="113"/>
              </w:tabs>
              <w:spacing w:line="160" w:lineRule="exact"/>
              <w:rPr>
                <w:sz w:val="14"/>
                <w:szCs w:val="14"/>
              </w:rPr>
            </w:pPr>
          </w:p>
        </w:tc>
        <w:tc>
          <w:tcPr>
            <w:tcW w:w="113" w:type="dxa"/>
          </w:tcPr>
          <w:p w14:paraId="5271B726"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tcPr>
          <w:p w14:paraId="6F8C1FAB" w14:textId="77777777" w:rsidR="00595A79" w:rsidRPr="00E11086" w:rsidRDefault="00595A79" w:rsidP="00E470B3">
            <w:pPr>
              <w:tabs>
                <w:tab w:val="decimal" w:pos="113"/>
              </w:tabs>
              <w:spacing w:line="160" w:lineRule="exact"/>
              <w:rPr>
                <w:sz w:val="14"/>
                <w:szCs w:val="14"/>
              </w:rPr>
            </w:pPr>
          </w:p>
        </w:tc>
        <w:tc>
          <w:tcPr>
            <w:tcW w:w="113" w:type="dxa"/>
          </w:tcPr>
          <w:p w14:paraId="6DA7CE6A" w14:textId="77777777" w:rsidR="00595A79" w:rsidRPr="00E11086" w:rsidRDefault="00595A79" w:rsidP="00E470B3">
            <w:pPr>
              <w:tabs>
                <w:tab w:val="decimal" w:pos="113"/>
              </w:tabs>
              <w:spacing w:line="160" w:lineRule="exact"/>
              <w:rPr>
                <w:sz w:val="14"/>
                <w:szCs w:val="14"/>
              </w:rPr>
            </w:pPr>
          </w:p>
        </w:tc>
        <w:tc>
          <w:tcPr>
            <w:tcW w:w="624" w:type="dxa"/>
            <w:tcBorders>
              <w:left w:val="nil"/>
              <w:bottom w:val="single" w:sz="6" w:space="0" w:color="auto"/>
              <w:right w:val="nil"/>
            </w:tcBorders>
            <w:shd w:val="clear" w:color="auto" w:fill="auto"/>
          </w:tcPr>
          <w:p w14:paraId="59A6BCE8" w14:textId="77777777" w:rsidR="00595A79" w:rsidRPr="00E11086" w:rsidRDefault="00595A79" w:rsidP="00E470B3">
            <w:pPr>
              <w:tabs>
                <w:tab w:val="decimal" w:pos="113"/>
              </w:tabs>
              <w:spacing w:line="160" w:lineRule="exact"/>
              <w:rPr>
                <w:sz w:val="14"/>
                <w:szCs w:val="14"/>
              </w:rPr>
            </w:pPr>
          </w:p>
        </w:tc>
        <w:tc>
          <w:tcPr>
            <w:tcW w:w="113" w:type="dxa"/>
            <w:vAlign w:val="bottom"/>
          </w:tcPr>
          <w:p w14:paraId="6CA9E89F" w14:textId="77777777" w:rsidR="00595A79" w:rsidRPr="00E11086" w:rsidRDefault="00595A79" w:rsidP="00E470B3">
            <w:pPr>
              <w:tabs>
                <w:tab w:val="decimal" w:pos="113"/>
              </w:tabs>
              <w:spacing w:line="160" w:lineRule="exact"/>
              <w:rPr>
                <w:sz w:val="14"/>
                <w:szCs w:val="14"/>
              </w:rPr>
            </w:pPr>
          </w:p>
        </w:tc>
        <w:tc>
          <w:tcPr>
            <w:tcW w:w="624" w:type="dxa"/>
            <w:tcBorders>
              <w:left w:val="nil"/>
              <w:bottom w:val="single" w:sz="6" w:space="0" w:color="auto"/>
              <w:right w:val="nil"/>
            </w:tcBorders>
            <w:shd w:val="clear" w:color="auto" w:fill="auto"/>
            <w:vAlign w:val="bottom"/>
          </w:tcPr>
          <w:p w14:paraId="4D4DFB85" w14:textId="77777777" w:rsidR="00595A79" w:rsidRPr="00E11086" w:rsidRDefault="00595A79" w:rsidP="00E470B3">
            <w:pPr>
              <w:tabs>
                <w:tab w:val="decimal" w:pos="113"/>
              </w:tabs>
              <w:spacing w:line="160" w:lineRule="exact"/>
              <w:rPr>
                <w:sz w:val="14"/>
                <w:szCs w:val="14"/>
              </w:rPr>
            </w:pPr>
          </w:p>
        </w:tc>
        <w:tc>
          <w:tcPr>
            <w:tcW w:w="113" w:type="dxa"/>
            <w:vAlign w:val="bottom"/>
          </w:tcPr>
          <w:p w14:paraId="43B6FC8D" w14:textId="77777777" w:rsidR="00595A79" w:rsidRPr="00E11086" w:rsidRDefault="00595A79" w:rsidP="00E470B3">
            <w:pPr>
              <w:tabs>
                <w:tab w:val="decimal" w:pos="113"/>
              </w:tabs>
              <w:spacing w:line="160" w:lineRule="exact"/>
              <w:rPr>
                <w:sz w:val="14"/>
                <w:szCs w:val="14"/>
              </w:rPr>
            </w:pPr>
          </w:p>
        </w:tc>
        <w:tc>
          <w:tcPr>
            <w:tcW w:w="737" w:type="dxa"/>
            <w:tcBorders>
              <w:left w:val="nil"/>
              <w:bottom w:val="single" w:sz="6" w:space="0" w:color="auto"/>
              <w:right w:val="nil"/>
            </w:tcBorders>
            <w:shd w:val="clear" w:color="auto" w:fill="auto"/>
            <w:vAlign w:val="bottom"/>
          </w:tcPr>
          <w:p w14:paraId="5E0381E4" w14:textId="77777777" w:rsidR="00595A79" w:rsidRPr="00E11086" w:rsidRDefault="00595A79" w:rsidP="00E470B3">
            <w:pPr>
              <w:tabs>
                <w:tab w:val="decimal" w:pos="113"/>
              </w:tabs>
              <w:spacing w:line="160" w:lineRule="exact"/>
              <w:rPr>
                <w:sz w:val="14"/>
                <w:szCs w:val="14"/>
              </w:rPr>
            </w:pPr>
          </w:p>
        </w:tc>
        <w:tc>
          <w:tcPr>
            <w:tcW w:w="113" w:type="dxa"/>
            <w:vAlign w:val="bottom"/>
          </w:tcPr>
          <w:p w14:paraId="479AEB68" w14:textId="77777777" w:rsidR="00595A79" w:rsidRPr="00E11086" w:rsidRDefault="00595A79" w:rsidP="00E470B3">
            <w:pPr>
              <w:tabs>
                <w:tab w:val="decimal" w:pos="113"/>
              </w:tabs>
              <w:spacing w:line="160" w:lineRule="exact"/>
              <w:rPr>
                <w:sz w:val="14"/>
                <w:szCs w:val="14"/>
              </w:rPr>
            </w:pPr>
          </w:p>
        </w:tc>
        <w:tc>
          <w:tcPr>
            <w:tcW w:w="737" w:type="dxa"/>
            <w:tcBorders>
              <w:left w:val="nil"/>
              <w:bottom w:val="single" w:sz="6" w:space="0" w:color="auto"/>
              <w:right w:val="nil"/>
            </w:tcBorders>
            <w:shd w:val="clear" w:color="auto" w:fill="auto"/>
            <w:vAlign w:val="bottom"/>
          </w:tcPr>
          <w:p w14:paraId="1D45DDFC" w14:textId="77777777" w:rsidR="00595A79" w:rsidRPr="00E11086" w:rsidRDefault="00595A79" w:rsidP="00E470B3">
            <w:pPr>
              <w:tabs>
                <w:tab w:val="decimal" w:pos="113"/>
              </w:tabs>
              <w:spacing w:line="160" w:lineRule="exact"/>
              <w:rPr>
                <w:sz w:val="14"/>
                <w:szCs w:val="14"/>
              </w:rPr>
            </w:pPr>
          </w:p>
        </w:tc>
        <w:tc>
          <w:tcPr>
            <w:tcW w:w="113" w:type="dxa"/>
            <w:vAlign w:val="bottom"/>
          </w:tcPr>
          <w:p w14:paraId="1C61C0ED"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6D32F64C"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571FB646" w14:textId="77777777" w:rsidR="00595A79" w:rsidRPr="00E11086" w:rsidRDefault="00595A79" w:rsidP="00E470B3">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76A06E39"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3B175E6"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4A04AF54"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0C6FAE4"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C93BA58"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A60A0AE"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800FD77" w14:textId="77777777" w:rsidR="00595A79" w:rsidRPr="00E11086" w:rsidRDefault="00595A79" w:rsidP="00E470B3">
            <w:pPr>
              <w:tabs>
                <w:tab w:val="decimal" w:pos="113"/>
              </w:tabs>
              <w:spacing w:line="160" w:lineRule="exact"/>
              <w:rPr>
                <w:sz w:val="14"/>
                <w:szCs w:val="14"/>
              </w:rPr>
            </w:pPr>
          </w:p>
        </w:tc>
        <w:tc>
          <w:tcPr>
            <w:tcW w:w="113" w:type="dxa"/>
            <w:vAlign w:val="bottom"/>
          </w:tcPr>
          <w:p w14:paraId="3908984C"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19C75BD3" w14:textId="77777777" w:rsidR="00595A79" w:rsidRPr="00E11086" w:rsidRDefault="00595A79" w:rsidP="00E470B3">
            <w:pPr>
              <w:tabs>
                <w:tab w:val="decimal" w:pos="113"/>
              </w:tabs>
              <w:spacing w:line="160" w:lineRule="exact"/>
              <w:rPr>
                <w:sz w:val="14"/>
                <w:szCs w:val="14"/>
              </w:rPr>
            </w:pPr>
          </w:p>
        </w:tc>
        <w:tc>
          <w:tcPr>
            <w:tcW w:w="113" w:type="dxa"/>
            <w:vAlign w:val="bottom"/>
          </w:tcPr>
          <w:p w14:paraId="101A7AAF"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62E1348F" w14:textId="77777777" w:rsidR="00595A79" w:rsidRPr="00E11086" w:rsidRDefault="00595A79" w:rsidP="00E470B3">
            <w:pPr>
              <w:tabs>
                <w:tab w:val="decimal" w:pos="113"/>
              </w:tabs>
              <w:spacing w:line="160" w:lineRule="exact"/>
              <w:rPr>
                <w:sz w:val="14"/>
                <w:szCs w:val="14"/>
              </w:rPr>
            </w:pPr>
          </w:p>
        </w:tc>
        <w:tc>
          <w:tcPr>
            <w:tcW w:w="113" w:type="dxa"/>
          </w:tcPr>
          <w:p w14:paraId="74AA397F" w14:textId="77777777" w:rsidR="00595A79" w:rsidRPr="00E11086" w:rsidRDefault="00595A79" w:rsidP="00E470B3">
            <w:pPr>
              <w:tabs>
                <w:tab w:val="decimal" w:pos="113"/>
              </w:tabs>
              <w:spacing w:line="160" w:lineRule="exact"/>
              <w:rPr>
                <w:sz w:val="14"/>
                <w:szCs w:val="14"/>
              </w:rPr>
            </w:pPr>
          </w:p>
        </w:tc>
        <w:tc>
          <w:tcPr>
            <w:tcW w:w="737" w:type="dxa"/>
            <w:tcBorders>
              <w:left w:val="nil"/>
              <w:bottom w:val="single" w:sz="6" w:space="0" w:color="auto"/>
              <w:right w:val="nil"/>
            </w:tcBorders>
            <w:shd w:val="clear" w:color="auto" w:fill="auto"/>
          </w:tcPr>
          <w:p w14:paraId="416CBE63" w14:textId="77777777" w:rsidR="00595A79" w:rsidRPr="00E11086" w:rsidRDefault="00595A79" w:rsidP="00E470B3">
            <w:pPr>
              <w:tabs>
                <w:tab w:val="decimal" w:pos="113"/>
              </w:tabs>
              <w:spacing w:line="160" w:lineRule="exact"/>
              <w:rPr>
                <w:sz w:val="14"/>
                <w:szCs w:val="14"/>
              </w:rPr>
            </w:pPr>
          </w:p>
        </w:tc>
      </w:tr>
      <w:tr w:rsidR="003675AA" w:rsidRPr="00E470B3" w14:paraId="4822E2B0" w14:textId="77777777" w:rsidTr="003675AA">
        <w:tc>
          <w:tcPr>
            <w:tcW w:w="3177" w:type="dxa"/>
            <w:vAlign w:val="bottom"/>
          </w:tcPr>
          <w:p w14:paraId="5BE9F847" w14:textId="77777777" w:rsidR="003675AA" w:rsidRPr="00E11086" w:rsidRDefault="003675AA" w:rsidP="003675AA">
            <w:pPr>
              <w:pStyle w:val="a3"/>
              <w:spacing w:line="160" w:lineRule="exact"/>
              <w:ind w:left="198" w:hanging="170"/>
              <w:rPr>
                <w:sz w:val="14"/>
                <w:szCs w:val="14"/>
                <w:u w:val="single"/>
                <w:rtl/>
              </w:rPr>
            </w:pPr>
          </w:p>
        </w:tc>
        <w:tc>
          <w:tcPr>
            <w:tcW w:w="113" w:type="dxa"/>
            <w:vAlign w:val="bottom"/>
          </w:tcPr>
          <w:p w14:paraId="39E6A4C5" w14:textId="77777777" w:rsidR="003675AA" w:rsidRPr="00E11086" w:rsidRDefault="003675AA" w:rsidP="00E470B3">
            <w:pPr>
              <w:spacing w:line="160" w:lineRule="exact"/>
              <w:rPr>
                <w:sz w:val="14"/>
                <w:szCs w:val="14"/>
              </w:rPr>
            </w:pPr>
          </w:p>
        </w:tc>
        <w:tc>
          <w:tcPr>
            <w:tcW w:w="624" w:type="dxa"/>
            <w:tcBorders>
              <w:top w:val="nil"/>
              <w:left w:val="nil"/>
              <w:right w:val="nil"/>
            </w:tcBorders>
            <w:shd w:val="clear" w:color="auto" w:fill="auto"/>
            <w:vAlign w:val="bottom"/>
          </w:tcPr>
          <w:p w14:paraId="604BDF66" w14:textId="77777777" w:rsidR="003675AA" w:rsidRPr="00E11086" w:rsidRDefault="003675AA" w:rsidP="00E470B3">
            <w:pPr>
              <w:tabs>
                <w:tab w:val="decimal" w:pos="113"/>
              </w:tabs>
              <w:spacing w:line="160" w:lineRule="exact"/>
              <w:rPr>
                <w:sz w:val="14"/>
                <w:szCs w:val="14"/>
              </w:rPr>
            </w:pPr>
          </w:p>
        </w:tc>
        <w:tc>
          <w:tcPr>
            <w:tcW w:w="113" w:type="dxa"/>
            <w:vAlign w:val="bottom"/>
          </w:tcPr>
          <w:p w14:paraId="59C630FB" w14:textId="77777777" w:rsidR="003675AA" w:rsidRPr="00E11086" w:rsidRDefault="003675AA"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35200BA" w14:textId="77777777" w:rsidR="003675AA" w:rsidRPr="00E11086" w:rsidRDefault="003675AA" w:rsidP="00E470B3">
            <w:pPr>
              <w:tabs>
                <w:tab w:val="decimal" w:pos="113"/>
              </w:tabs>
              <w:spacing w:line="160" w:lineRule="exact"/>
              <w:rPr>
                <w:sz w:val="14"/>
                <w:szCs w:val="14"/>
              </w:rPr>
            </w:pPr>
          </w:p>
        </w:tc>
        <w:tc>
          <w:tcPr>
            <w:tcW w:w="113" w:type="dxa"/>
            <w:vAlign w:val="bottom"/>
          </w:tcPr>
          <w:p w14:paraId="1BF2967F" w14:textId="77777777" w:rsidR="003675AA" w:rsidRPr="00E11086" w:rsidRDefault="003675AA"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4843F15" w14:textId="77777777" w:rsidR="003675AA" w:rsidRPr="00E11086" w:rsidRDefault="003675AA" w:rsidP="00E470B3">
            <w:pPr>
              <w:tabs>
                <w:tab w:val="decimal" w:pos="113"/>
              </w:tabs>
              <w:spacing w:line="160" w:lineRule="exact"/>
              <w:rPr>
                <w:sz w:val="14"/>
                <w:szCs w:val="14"/>
              </w:rPr>
            </w:pPr>
          </w:p>
        </w:tc>
        <w:tc>
          <w:tcPr>
            <w:tcW w:w="113" w:type="dxa"/>
          </w:tcPr>
          <w:p w14:paraId="2074E445" w14:textId="77777777" w:rsidR="003675AA" w:rsidRPr="00E11086" w:rsidRDefault="003675AA"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3F65E42A" w14:textId="77777777" w:rsidR="003675AA" w:rsidRPr="00E11086" w:rsidRDefault="003675AA" w:rsidP="00E470B3">
            <w:pPr>
              <w:tabs>
                <w:tab w:val="decimal" w:pos="113"/>
              </w:tabs>
              <w:spacing w:line="160" w:lineRule="exact"/>
              <w:rPr>
                <w:sz w:val="14"/>
                <w:szCs w:val="14"/>
              </w:rPr>
            </w:pPr>
          </w:p>
        </w:tc>
        <w:tc>
          <w:tcPr>
            <w:tcW w:w="113" w:type="dxa"/>
          </w:tcPr>
          <w:p w14:paraId="42EEE278" w14:textId="77777777" w:rsidR="003675AA" w:rsidRPr="00E11086" w:rsidRDefault="003675AA"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6172ECCF" w14:textId="77777777" w:rsidR="003675AA" w:rsidRPr="00E11086" w:rsidRDefault="003675AA" w:rsidP="00E470B3">
            <w:pPr>
              <w:tabs>
                <w:tab w:val="decimal" w:pos="113"/>
              </w:tabs>
              <w:spacing w:line="160" w:lineRule="exact"/>
              <w:rPr>
                <w:sz w:val="14"/>
                <w:szCs w:val="14"/>
              </w:rPr>
            </w:pPr>
          </w:p>
        </w:tc>
        <w:tc>
          <w:tcPr>
            <w:tcW w:w="113" w:type="dxa"/>
            <w:vAlign w:val="bottom"/>
          </w:tcPr>
          <w:p w14:paraId="10F3AB87" w14:textId="77777777" w:rsidR="003675AA" w:rsidRPr="00E11086" w:rsidRDefault="003675AA"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6F0803DA" w14:textId="77777777" w:rsidR="003675AA" w:rsidRPr="00E11086" w:rsidRDefault="003675AA" w:rsidP="00E470B3">
            <w:pPr>
              <w:tabs>
                <w:tab w:val="decimal" w:pos="113"/>
              </w:tabs>
              <w:spacing w:line="160" w:lineRule="exact"/>
              <w:rPr>
                <w:sz w:val="14"/>
                <w:szCs w:val="14"/>
              </w:rPr>
            </w:pPr>
          </w:p>
        </w:tc>
        <w:tc>
          <w:tcPr>
            <w:tcW w:w="113" w:type="dxa"/>
            <w:vAlign w:val="bottom"/>
          </w:tcPr>
          <w:p w14:paraId="2188A9AC" w14:textId="77777777" w:rsidR="003675AA" w:rsidRPr="00E11086" w:rsidRDefault="003675AA"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12E1FF7B" w14:textId="77777777" w:rsidR="003675AA" w:rsidRPr="00E11086" w:rsidRDefault="003675AA" w:rsidP="00E470B3">
            <w:pPr>
              <w:tabs>
                <w:tab w:val="decimal" w:pos="113"/>
              </w:tabs>
              <w:spacing w:line="160" w:lineRule="exact"/>
              <w:rPr>
                <w:sz w:val="14"/>
                <w:szCs w:val="14"/>
              </w:rPr>
            </w:pPr>
          </w:p>
        </w:tc>
        <w:tc>
          <w:tcPr>
            <w:tcW w:w="113" w:type="dxa"/>
            <w:vAlign w:val="bottom"/>
          </w:tcPr>
          <w:p w14:paraId="0312DCEA" w14:textId="77777777" w:rsidR="003675AA" w:rsidRPr="00E11086" w:rsidRDefault="003675AA"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05B1BE93" w14:textId="77777777" w:rsidR="003675AA" w:rsidRPr="00E11086" w:rsidRDefault="003675AA" w:rsidP="00E470B3">
            <w:pPr>
              <w:tabs>
                <w:tab w:val="decimal" w:pos="113"/>
              </w:tabs>
              <w:spacing w:line="160" w:lineRule="exact"/>
              <w:rPr>
                <w:sz w:val="14"/>
                <w:szCs w:val="14"/>
              </w:rPr>
            </w:pPr>
          </w:p>
        </w:tc>
        <w:tc>
          <w:tcPr>
            <w:tcW w:w="113" w:type="dxa"/>
            <w:vAlign w:val="bottom"/>
          </w:tcPr>
          <w:p w14:paraId="0EE8BE69" w14:textId="77777777" w:rsidR="003675AA" w:rsidRPr="00E11086" w:rsidRDefault="003675AA"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1DD84AD" w14:textId="77777777" w:rsidR="003675AA" w:rsidRPr="00E11086" w:rsidRDefault="003675AA"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7A379076" w14:textId="77777777" w:rsidR="003675AA" w:rsidRPr="00E11086" w:rsidRDefault="003675AA"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40ADFC7C" w14:textId="77777777" w:rsidR="003675AA" w:rsidRPr="00E11086" w:rsidRDefault="003675AA"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DBBFBC8" w14:textId="77777777" w:rsidR="003675AA" w:rsidRPr="00E11086" w:rsidRDefault="003675AA"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FB72695" w14:textId="77777777" w:rsidR="003675AA" w:rsidRPr="00E11086" w:rsidRDefault="003675AA"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05016F2" w14:textId="77777777" w:rsidR="003675AA" w:rsidRPr="00E11086" w:rsidRDefault="003675AA"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B8CFC35" w14:textId="77777777" w:rsidR="003675AA" w:rsidRPr="00E11086" w:rsidRDefault="003675AA"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AB4633C" w14:textId="77777777" w:rsidR="003675AA" w:rsidRPr="00E11086" w:rsidRDefault="003675AA"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54FB085" w14:textId="77777777" w:rsidR="003675AA" w:rsidRPr="00E11086" w:rsidRDefault="003675AA" w:rsidP="00E470B3">
            <w:pPr>
              <w:tabs>
                <w:tab w:val="decimal" w:pos="113"/>
              </w:tabs>
              <w:spacing w:line="160" w:lineRule="exact"/>
              <w:rPr>
                <w:sz w:val="14"/>
                <w:szCs w:val="14"/>
              </w:rPr>
            </w:pPr>
          </w:p>
        </w:tc>
        <w:tc>
          <w:tcPr>
            <w:tcW w:w="113" w:type="dxa"/>
            <w:vAlign w:val="bottom"/>
          </w:tcPr>
          <w:p w14:paraId="2D3388E1" w14:textId="77777777" w:rsidR="003675AA" w:rsidRPr="00E11086" w:rsidRDefault="003675AA"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2D16D9CF" w14:textId="77777777" w:rsidR="003675AA" w:rsidRPr="00E11086" w:rsidRDefault="003675AA" w:rsidP="00E470B3">
            <w:pPr>
              <w:tabs>
                <w:tab w:val="decimal" w:pos="113"/>
              </w:tabs>
              <w:spacing w:line="160" w:lineRule="exact"/>
              <w:rPr>
                <w:sz w:val="14"/>
                <w:szCs w:val="14"/>
              </w:rPr>
            </w:pPr>
          </w:p>
        </w:tc>
        <w:tc>
          <w:tcPr>
            <w:tcW w:w="113" w:type="dxa"/>
            <w:vAlign w:val="bottom"/>
          </w:tcPr>
          <w:p w14:paraId="60AEAB45" w14:textId="77777777" w:rsidR="003675AA" w:rsidRPr="00E11086" w:rsidRDefault="003675AA"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27ED6470" w14:textId="77777777" w:rsidR="003675AA" w:rsidRPr="00E11086" w:rsidRDefault="003675AA" w:rsidP="00E470B3">
            <w:pPr>
              <w:tabs>
                <w:tab w:val="decimal" w:pos="113"/>
              </w:tabs>
              <w:spacing w:line="160" w:lineRule="exact"/>
              <w:rPr>
                <w:sz w:val="14"/>
                <w:szCs w:val="14"/>
              </w:rPr>
            </w:pPr>
          </w:p>
        </w:tc>
        <w:tc>
          <w:tcPr>
            <w:tcW w:w="113" w:type="dxa"/>
          </w:tcPr>
          <w:p w14:paraId="5932E584" w14:textId="77777777" w:rsidR="003675AA" w:rsidRPr="00E11086" w:rsidRDefault="003675AA"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109BE813" w14:textId="77777777" w:rsidR="003675AA" w:rsidRPr="00E11086" w:rsidRDefault="003675AA" w:rsidP="00E470B3">
            <w:pPr>
              <w:tabs>
                <w:tab w:val="decimal" w:pos="113"/>
              </w:tabs>
              <w:spacing w:line="160" w:lineRule="exact"/>
              <w:rPr>
                <w:sz w:val="14"/>
                <w:szCs w:val="14"/>
              </w:rPr>
            </w:pPr>
          </w:p>
        </w:tc>
      </w:tr>
      <w:tr w:rsidR="00595A79" w:rsidRPr="00E470B3" w14:paraId="7EFD289E" w14:textId="77777777" w:rsidTr="003675AA">
        <w:tc>
          <w:tcPr>
            <w:tcW w:w="3177" w:type="dxa"/>
            <w:vAlign w:val="bottom"/>
          </w:tcPr>
          <w:p w14:paraId="14D86C38" w14:textId="2ADF3994" w:rsidR="008D22FA" w:rsidRDefault="000C4C0E" w:rsidP="003675AA">
            <w:pPr>
              <w:pStyle w:val="a3"/>
              <w:spacing w:line="160" w:lineRule="exact"/>
              <w:ind w:left="198" w:hanging="170"/>
              <w:rPr>
                <w:sz w:val="14"/>
                <w:szCs w:val="14"/>
                <w:u w:val="single"/>
              </w:rPr>
            </w:pPr>
            <w:r w:rsidRPr="00E11086">
              <w:rPr>
                <w:rFonts w:hint="eastAsia"/>
                <w:sz w:val="14"/>
                <w:szCs w:val="14"/>
                <w:u w:val="single"/>
                <w:rtl/>
              </w:rPr>
              <w:t>יתרה</w:t>
            </w:r>
            <w:r w:rsidRPr="00E11086">
              <w:rPr>
                <w:sz w:val="14"/>
                <w:szCs w:val="14"/>
                <w:u w:val="single"/>
                <w:rtl/>
              </w:rPr>
              <w:t xml:space="preserve"> ליום 30 בספטמבר, </w:t>
            </w:r>
            <w:r w:rsidR="004A4A6B">
              <w:rPr>
                <w:rFonts w:hint="cs"/>
                <w:sz w:val="14"/>
                <w:szCs w:val="14"/>
                <w:u w:val="single"/>
                <w:rtl/>
              </w:rPr>
              <w:t>20</w:t>
            </w:r>
            <w:r w:rsidR="00F06854">
              <w:rPr>
                <w:rFonts w:hint="cs"/>
                <w:sz w:val="14"/>
                <w:szCs w:val="14"/>
                <w:u w:val="single"/>
                <w:rtl/>
              </w:rPr>
              <w:t>1</w:t>
            </w:r>
            <w:r w:rsidR="003675AA">
              <w:rPr>
                <w:rFonts w:hint="cs"/>
                <w:sz w:val="14"/>
                <w:szCs w:val="14"/>
                <w:u w:val="single"/>
                <w:rtl/>
              </w:rPr>
              <w:t>9</w:t>
            </w:r>
          </w:p>
        </w:tc>
        <w:tc>
          <w:tcPr>
            <w:tcW w:w="113" w:type="dxa"/>
            <w:vAlign w:val="bottom"/>
          </w:tcPr>
          <w:p w14:paraId="4DBC6341" w14:textId="77777777" w:rsidR="00595A79" w:rsidRPr="00E11086" w:rsidRDefault="00595A79" w:rsidP="00E470B3">
            <w:pPr>
              <w:spacing w:line="160" w:lineRule="exact"/>
              <w:rPr>
                <w:sz w:val="14"/>
                <w:szCs w:val="14"/>
              </w:rPr>
            </w:pPr>
          </w:p>
        </w:tc>
        <w:tc>
          <w:tcPr>
            <w:tcW w:w="624" w:type="dxa"/>
            <w:tcBorders>
              <w:left w:val="nil"/>
              <w:bottom w:val="double" w:sz="6" w:space="0" w:color="auto"/>
              <w:right w:val="nil"/>
            </w:tcBorders>
            <w:shd w:val="clear" w:color="auto" w:fill="auto"/>
            <w:vAlign w:val="bottom"/>
          </w:tcPr>
          <w:p w14:paraId="4F389652" w14:textId="77777777" w:rsidR="00595A79" w:rsidRPr="00E11086" w:rsidRDefault="00595A79" w:rsidP="00E470B3">
            <w:pPr>
              <w:tabs>
                <w:tab w:val="decimal" w:pos="113"/>
              </w:tabs>
              <w:spacing w:line="160" w:lineRule="exact"/>
              <w:rPr>
                <w:sz w:val="14"/>
                <w:szCs w:val="14"/>
              </w:rPr>
            </w:pPr>
          </w:p>
        </w:tc>
        <w:tc>
          <w:tcPr>
            <w:tcW w:w="113" w:type="dxa"/>
            <w:vAlign w:val="bottom"/>
          </w:tcPr>
          <w:p w14:paraId="48EB9C3C" w14:textId="77777777" w:rsidR="00595A79" w:rsidRPr="00E11086" w:rsidRDefault="00595A79" w:rsidP="00E470B3">
            <w:pPr>
              <w:tabs>
                <w:tab w:val="decimal" w:pos="113"/>
              </w:tabs>
              <w:spacing w:line="160" w:lineRule="exact"/>
              <w:rPr>
                <w:sz w:val="14"/>
                <w:szCs w:val="14"/>
              </w:rPr>
            </w:pPr>
          </w:p>
        </w:tc>
        <w:tc>
          <w:tcPr>
            <w:tcW w:w="624" w:type="dxa"/>
            <w:tcBorders>
              <w:left w:val="nil"/>
              <w:bottom w:val="double" w:sz="6" w:space="0" w:color="auto"/>
              <w:right w:val="nil"/>
            </w:tcBorders>
            <w:shd w:val="clear" w:color="auto" w:fill="auto"/>
            <w:vAlign w:val="bottom"/>
          </w:tcPr>
          <w:p w14:paraId="11D5787A" w14:textId="77777777" w:rsidR="00595A79" w:rsidRPr="00E11086" w:rsidRDefault="00595A79" w:rsidP="00E470B3">
            <w:pPr>
              <w:tabs>
                <w:tab w:val="decimal" w:pos="113"/>
              </w:tabs>
              <w:spacing w:line="160" w:lineRule="exact"/>
              <w:rPr>
                <w:sz w:val="14"/>
                <w:szCs w:val="14"/>
              </w:rPr>
            </w:pPr>
          </w:p>
        </w:tc>
        <w:tc>
          <w:tcPr>
            <w:tcW w:w="113" w:type="dxa"/>
            <w:vAlign w:val="bottom"/>
          </w:tcPr>
          <w:p w14:paraId="457B8928" w14:textId="77777777" w:rsidR="00595A79" w:rsidRPr="00E11086" w:rsidRDefault="00595A79" w:rsidP="00E470B3">
            <w:pPr>
              <w:tabs>
                <w:tab w:val="decimal" w:pos="113"/>
              </w:tabs>
              <w:spacing w:line="160" w:lineRule="exact"/>
              <w:rPr>
                <w:sz w:val="14"/>
                <w:szCs w:val="14"/>
              </w:rPr>
            </w:pPr>
          </w:p>
        </w:tc>
        <w:tc>
          <w:tcPr>
            <w:tcW w:w="624" w:type="dxa"/>
            <w:tcBorders>
              <w:left w:val="nil"/>
              <w:bottom w:val="double" w:sz="6" w:space="0" w:color="auto"/>
              <w:right w:val="nil"/>
            </w:tcBorders>
            <w:shd w:val="clear" w:color="auto" w:fill="auto"/>
            <w:vAlign w:val="bottom"/>
          </w:tcPr>
          <w:p w14:paraId="2F499D26" w14:textId="77777777" w:rsidR="00595A79" w:rsidRPr="00E11086" w:rsidRDefault="00595A79" w:rsidP="00E470B3">
            <w:pPr>
              <w:tabs>
                <w:tab w:val="decimal" w:pos="113"/>
              </w:tabs>
              <w:spacing w:line="160" w:lineRule="exact"/>
              <w:rPr>
                <w:sz w:val="14"/>
                <w:szCs w:val="14"/>
              </w:rPr>
            </w:pPr>
          </w:p>
        </w:tc>
        <w:tc>
          <w:tcPr>
            <w:tcW w:w="113" w:type="dxa"/>
          </w:tcPr>
          <w:p w14:paraId="361E7793"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tcPr>
          <w:p w14:paraId="49DE01CB" w14:textId="77777777" w:rsidR="00595A79" w:rsidRPr="00E11086" w:rsidRDefault="00595A79" w:rsidP="00E470B3">
            <w:pPr>
              <w:tabs>
                <w:tab w:val="decimal" w:pos="113"/>
              </w:tabs>
              <w:spacing w:line="160" w:lineRule="exact"/>
              <w:rPr>
                <w:sz w:val="14"/>
                <w:szCs w:val="14"/>
              </w:rPr>
            </w:pPr>
          </w:p>
        </w:tc>
        <w:tc>
          <w:tcPr>
            <w:tcW w:w="113" w:type="dxa"/>
          </w:tcPr>
          <w:p w14:paraId="64F795D8" w14:textId="77777777" w:rsidR="00595A79" w:rsidRPr="00E11086" w:rsidRDefault="00595A79" w:rsidP="00E470B3">
            <w:pPr>
              <w:tabs>
                <w:tab w:val="decimal" w:pos="113"/>
              </w:tabs>
              <w:spacing w:line="160" w:lineRule="exact"/>
              <w:rPr>
                <w:sz w:val="14"/>
                <w:szCs w:val="14"/>
              </w:rPr>
            </w:pPr>
          </w:p>
        </w:tc>
        <w:tc>
          <w:tcPr>
            <w:tcW w:w="624" w:type="dxa"/>
            <w:tcBorders>
              <w:left w:val="nil"/>
              <w:bottom w:val="double" w:sz="6" w:space="0" w:color="auto"/>
              <w:right w:val="nil"/>
            </w:tcBorders>
            <w:shd w:val="clear" w:color="auto" w:fill="auto"/>
          </w:tcPr>
          <w:p w14:paraId="093C7C27" w14:textId="77777777" w:rsidR="00595A79" w:rsidRPr="00E11086" w:rsidRDefault="00595A79" w:rsidP="00E470B3">
            <w:pPr>
              <w:tabs>
                <w:tab w:val="decimal" w:pos="113"/>
              </w:tabs>
              <w:spacing w:line="160" w:lineRule="exact"/>
              <w:rPr>
                <w:sz w:val="14"/>
                <w:szCs w:val="14"/>
              </w:rPr>
            </w:pPr>
          </w:p>
        </w:tc>
        <w:tc>
          <w:tcPr>
            <w:tcW w:w="113" w:type="dxa"/>
            <w:vAlign w:val="bottom"/>
          </w:tcPr>
          <w:p w14:paraId="7073A13B" w14:textId="77777777" w:rsidR="00595A79" w:rsidRPr="00E11086" w:rsidRDefault="00595A79" w:rsidP="00E470B3">
            <w:pPr>
              <w:tabs>
                <w:tab w:val="decimal" w:pos="113"/>
              </w:tabs>
              <w:spacing w:line="160" w:lineRule="exact"/>
              <w:rPr>
                <w:sz w:val="14"/>
                <w:szCs w:val="14"/>
              </w:rPr>
            </w:pPr>
          </w:p>
        </w:tc>
        <w:tc>
          <w:tcPr>
            <w:tcW w:w="624" w:type="dxa"/>
            <w:tcBorders>
              <w:left w:val="nil"/>
              <w:bottom w:val="double" w:sz="6" w:space="0" w:color="auto"/>
              <w:right w:val="nil"/>
            </w:tcBorders>
            <w:shd w:val="clear" w:color="auto" w:fill="auto"/>
            <w:vAlign w:val="bottom"/>
          </w:tcPr>
          <w:p w14:paraId="1EFD5610" w14:textId="77777777" w:rsidR="00595A79" w:rsidRPr="00E11086" w:rsidRDefault="00595A79" w:rsidP="00E470B3">
            <w:pPr>
              <w:tabs>
                <w:tab w:val="decimal" w:pos="113"/>
              </w:tabs>
              <w:spacing w:line="160" w:lineRule="exact"/>
              <w:rPr>
                <w:sz w:val="14"/>
                <w:szCs w:val="14"/>
              </w:rPr>
            </w:pPr>
          </w:p>
        </w:tc>
        <w:tc>
          <w:tcPr>
            <w:tcW w:w="113" w:type="dxa"/>
            <w:vAlign w:val="bottom"/>
          </w:tcPr>
          <w:p w14:paraId="77DB6094" w14:textId="77777777" w:rsidR="00595A79" w:rsidRPr="00E11086" w:rsidRDefault="00595A79" w:rsidP="00E470B3">
            <w:pPr>
              <w:tabs>
                <w:tab w:val="decimal" w:pos="113"/>
              </w:tabs>
              <w:spacing w:line="160" w:lineRule="exact"/>
              <w:rPr>
                <w:sz w:val="14"/>
                <w:szCs w:val="14"/>
              </w:rPr>
            </w:pPr>
          </w:p>
        </w:tc>
        <w:tc>
          <w:tcPr>
            <w:tcW w:w="737" w:type="dxa"/>
            <w:tcBorders>
              <w:left w:val="nil"/>
              <w:bottom w:val="double" w:sz="6" w:space="0" w:color="auto"/>
              <w:right w:val="nil"/>
            </w:tcBorders>
            <w:shd w:val="clear" w:color="auto" w:fill="auto"/>
            <w:vAlign w:val="bottom"/>
          </w:tcPr>
          <w:p w14:paraId="3614F385" w14:textId="77777777" w:rsidR="00595A79" w:rsidRPr="00E11086" w:rsidRDefault="00595A79" w:rsidP="00E470B3">
            <w:pPr>
              <w:tabs>
                <w:tab w:val="decimal" w:pos="113"/>
              </w:tabs>
              <w:spacing w:line="160" w:lineRule="exact"/>
              <w:rPr>
                <w:sz w:val="14"/>
                <w:szCs w:val="14"/>
              </w:rPr>
            </w:pPr>
          </w:p>
        </w:tc>
        <w:tc>
          <w:tcPr>
            <w:tcW w:w="113" w:type="dxa"/>
            <w:vAlign w:val="bottom"/>
          </w:tcPr>
          <w:p w14:paraId="5CCF0291" w14:textId="77777777" w:rsidR="00595A79" w:rsidRPr="00E11086" w:rsidRDefault="00595A79" w:rsidP="00E470B3">
            <w:pPr>
              <w:tabs>
                <w:tab w:val="decimal" w:pos="113"/>
              </w:tabs>
              <w:spacing w:line="160" w:lineRule="exact"/>
              <w:rPr>
                <w:sz w:val="14"/>
                <w:szCs w:val="14"/>
              </w:rPr>
            </w:pPr>
          </w:p>
        </w:tc>
        <w:tc>
          <w:tcPr>
            <w:tcW w:w="737" w:type="dxa"/>
            <w:tcBorders>
              <w:left w:val="nil"/>
              <w:bottom w:val="double" w:sz="6" w:space="0" w:color="auto"/>
              <w:right w:val="nil"/>
            </w:tcBorders>
            <w:shd w:val="clear" w:color="auto" w:fill="auto"/>
            <w:vAlign w:val="bottom"/>
          </w:tcPr>
          <w:p w14:paraId="0CA258EF" w14:textId="77777777" w:rsidR="00595A79" w:rsidRPr="00E11086" w:rsidRDefault="00595A79" w:rsidP="00E470B3">
            <w:pPr>
              <w:tabs>
                <w:tab w:val="decimal" w:pos="113"/>
              </w:tabs>
              <w:spacing w:line="160" w:lineRule="exact"/>
              <w:rPr>
                <w:sz w:val="14"/>
                <w:szCs w:val="14"/>
              </w:rPr>
            </w:pPr>
          </w:p>
        </w:tc>
        <w:tc>
          <w:tcPr>
            <w:tcW w:w="113" w:type="dxa"/>
            <w:vAlign w:val="bottom"/>
          </w:tcPr>
          <w:p w14:paraId="4B3A7DA6"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vAlign w:val="bottom"/>
          </w:tcPr>
          <w:p w14:paraId="1DF32552"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13EB705E" w14:textId="77777777" w:rsidR="00595A79" w:rsidRPr="00E11086" w:rsidRDefault="00595A79" w:rsidP="00E470B3">
            <w:pPr>
              <w:tabs>
                <w:tab w:val="decimal" w:pos="113"/>
              </w:tabs>
              <w:spacing w:line="160" w:lineRule="exact"/>
              <w:rPr>
                <w:sz w:val="14"/>
                <w:szCs w:val="14"/>
              </w:rPr>
            </w:pPr>
          </w:p>
        </w:tc>
        <w:tc>
          <w:tcPr>
            <w:tcW w:w="734" w:type="dxa"/>
            <w:tcBorders>
              <w:left w:val="nil"/>
              <w:bottom w:val="double" w:sz="6" w:space="0" w:color="auto"/>
              <w:right w:val="nil"/>
            </w:tcBorders>
            <w:shd w:val="clear" w:color="auto" w:fill="auto"/>
            <w:vAlign w:val="bottom"/>
          </w:tcPr>
          <w:p w14:paraId="4A4274C1"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285E933"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vAlign w:val="bottom"/>
          </w:tcPr>
          <w:p w14:paraId="1650489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0FE3E8C"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vAlign w:val="bottom"/>
          </w:tcPr>
          <w:p w14:paraId="54B24B5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7011136"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vAlign w:val="bottom"/>
          </w:tcPr>
          <w:p w14:paraId="5EFE1ED4" w14:textId="77777777" w:rsidR="00595A79" w:rsidRPr="00E11086" w:rsidRDefault="00595A79" w:rsidP="00E470B3">
            <w:pPr>
              <w:tabs>
                <w:tab w:val="decimal" w:pos="113"/>
              </w:tabs>
              <w:spacing w:line="160" w:lineRule="exact"/>
              <w:rPr>
                <w:sz w:val="14"/>
                <w:szCs w:val="14"/>
              </w:rPr>
            </w:pPr>
          </w:p>
        </w:tc>
        <w:tc>
          <w:tcPr>
            <w:tcW w:w="113" w:type="dxa"/>
            <w:vAlign w:val="bottom"/>
          </w:tcPr>
          <w:p w14:paraId="55F19F87"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vAlign w:val="bottom"/>
          </w:tcPr>
          <w:p w14:paraId="3181E931" w14:textId="77777777" w:rsidR="00595A79" w:rsidRPr="00E11086" w:rsidRDefault="00595A79" w:rsidP="00E470B3">
            <w:pPr>
              <w:tabs>
                <w:tab w:val="decimal" w:pos="113"/>
              </w:tabs>
              <w:spacing w:line="160" w:lineRule="exact"/>
              <w:rPr>
                <w:sz w:val="14"/>
                <w:szCs w:val="14"/>
              </w:rPr>
            </w:pPr>
          </w:p>
        </w:tc>
        <w:tc>
          <w:tcPr>
            <w:tcW w:w="113" w:type="dxa"/>
            <w:vAlign w:val="bottom"/>
          </w:tcPr>
          <w:p w14:paraId="5FDBCCE6"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vAlign w:val="bottom"/>
          </w:tcPr>
          <w:p w14:paraId="0E507411" w14:textId="77777777" w:rsidR="00595A79" w:rsidRPr="00E11086" w:rsidRDefault="00595A79" w:rsidP="00E470B3">
            <w:pPr>
              <w:tabs>
                <w:tab w:val="decimal" w:pos="113"/>
              </w:tabs>
              <w:spacing w:line="160" w:lineRule="exact"/>
              <w:rPr>
                <w:sz w:val="14"/>
                <w:szCs w:val="14"/>
              </w:rPr>
            </w:pPr>
          </w:p>
        </w:tc>
        <w:tc>
          <w:tcPr>
            <w:tcW w:w="113" w:type="dxa"/>
          </w:tcPr>
          <w:p w14:paraId="3F8161DB" w14:textId="77777777" w:rsidR="00595A79" w:rsidRPr="00E11086" w:rsidRDefault="00595A79" w:rsidP="00E470B3">
            <w:pPr>
              <w:tabs>
                <w:tab w:val="decimal" w:pos="113"/>
              </w:tabs>
              <w:spacing w:line="160" w:lineRule="exact"/>
              <w:rPr>
                <w:sz w:val="14"/>
                <w:szCs w:val="14"/>
              </w:rPr>
            </w:pPr>
          </w:p>
        </w:tc>
        <w:tc>
          <w:tcPr>
            <w:tcW w:w="737" w:type="dxa"/>
            <w:tcBorders>
              <w:left w:val="nil"/>
              <w:bottom w:val="double" w:sz="6" w:space="0" w:color="auto"/>
              <w:right w:val="nil"/>
            </w:tcBorders>
            <w:shd w:val="clear" w:color="auto" w:fill="auto"/>
          </w:tcPr>
          <w:p w14:paraId="6193D271" w14:textId="77777777" w:rsidR="00595A79" w:rsidRPr="00E11086" w:rsidRDefault="00595A79" w:rsidP="00E470B3">
            <w:pPr>
              <w:tabs>
                <w:tab w:val="decimal" w:pos="113"/>
              </w:tabs>
              <w:spacing w:line="160" w:lineRule="exact"/>
              <w:rPr>
                <w:sz w:val="14"/>
                <w:szCs w:val="14"/>
              </w:rPr>
            </w:pPr>
          </w:p>
        </w:tc>
      </w:tr>
    </w:tbl>
    <w:p w14:paraId="510C20FF" w14:textId="77777777" w:rsidR="00FA52CD" w:rsidRDefault="00FA52CD" w:rsidP="00A00C25">
      <w:pPr>
        <w:jc w:val="center"/>
        <w:rPr>
          <w:b/>
          <w:bCs/>
          <w:rtl/>
        </w:rPr>
        <w:sectPr w:rsidR="00FA52CD" w:rsidSect="00BA7D9A">
          <w:headerReference w:type="default" r:id="rId19"/>
          <w:footnotePr>
            <w:numRestart w:val="eachPage"/>
          </w:footnotePr>
          <w:pgSz w:w="16840" w:h="11907" w:orient="landscape" w:code="9"/>
          <w:pgMar w:top="567" w:right="567" w:bottom="567" w:left="567" w:header="567" w:footer="567" w:gutter="0"/>
          <w:cols w:space="720"/>
          <w:bidi/>
          <w:rtlGutter/>
          <w:docGrid w:linePitch="299"/>
        </w:sectPr>
      </w:pPr>
    </w:p>
    <w:p w14:paraId="740752CC" w14:textId="77777777" w:rsidR="000B65D4" w:rsidRDefault="000B65D4" w:rsidP="000B65D4">
      <w:pPr>
        <w:shd w:val="clear" w:color="auto" w:fill="BFBFBF" w:themeFill="background1" w:themeFillShade="BF"/>
        <w:rPr>
          <w:highlight w:val="yellow"/>
          <w:rtl/>
        </w:rPr>
      </w:pPr>
    </w:p>
    <w:p w14:paraId="5800580A" w14:textId="756A77AE" w:rsidR="000B65D4" w:rsidRPr="00E105B2" w:rsidRDefault="000B65D4" w:rsidP="00711B13">
      <w:pPr>
        <w:shd w:val="clear" w:color="auto" w:fill="BFBFBF" w:themeFill="background1" w:themeFillShade="BF"/>
        <w:rPr>
          <w:u w:val="single"/>
          <w:rtl/>
        </w:rPr>
      </w:pPr>
      <w:r w:rsidRPr="00E105B2">
        <w:rPr>
          <w:rFonts w:hint="cs"/>
          <w:u w:val="single"/>
          <w:rtl/>
        </w:rPr>
        <w:t xml:space="preserve">יישום לראשונה של </w:t>
      </w:r>
      <w:r w:rsidRPr="00E105B2">
        <w:rPr>
          <w:rFonts w:hint="cs"/>
          <w:u w:val="single"/>
        </w:rPr>
        <w:t xml:space="preserve">IFRS </w:t>
      </w:r>
      <w:r>
        <w:rPr>
          <w:u w:val="single"/>
        </w:rPr>
        <w:t>16</w:t>
      </w:r>
      <w:r w:rsidRPr="00E105B2">
        <w:rPr>
          <w:rFonts w:hint="cs"/>
          <w:u w:val="single"/>
          <w:rtl/>
        </w:rPr>
        <w:t xml:space="preserve"> </w:t>
      </w:r>
      <w:r>
        <w:rPr>
          <w:u w:val="single"/>
          <w:rtl/>
        </w:rPr>
        <w:t>-</w:t>
      </w:r>
      <w:r w:rsidRPr="00E105B2">
        <w:rPr>
          <w:rFonts w:hint="cs"/>
          <w:u w:val="single"/>
          <w:rtl/>
        </w:rPr>
        <w:t xml:space="preserve"> </w:t>
      </w:r>
      <w:r w:rsidR="00711B13">
        <w:rPr>
          <w:rFonts w:hint="cs"/>
          <w:i/>
          <w:iCs/>
          <w:u w:val="single"/>
          <w:rtl/>
        </w:rPr>
        <w:t>חכירות</w:t>
      </w:r>
    </w:p>
    <w:p w14:paraId="203E6242" w14:textId="77777777" w:rsidR="000B65D4" w:rsidRDefault="000B65D4" w:rsidP="000B65D4">
      <w:pPr>
        <w:shd w:val="clear" w:color="auto" w:fill="BFBFBF" w:themeFill="background1" w:themeFillShade="BF"/>
        <w:rPr>
          <w:rtl/>
        </w:rPr>
      </w:pPr>
    </w:p>
    <w:p w14:paraId="51E9CC61" w14:textId="56348577" w:rsidR="000B65D4" w:rsidRDefault="000B65D4" w:rsidP="00711B13">
      <w:pPr>
        <w:pStyle w:val="01"/>
        <w:shd w:val="clear" w:color="auto" w:fill="BFBFBF" w:themeFill="background1" w:themeFillShade="BF"/>
        <w:ind w:left="0" w:firstLine="0"/>
        <w:rPr>
          <w:rtl/>
        </w:rPr>
      </w:pPr>
      <w:r>
        <w:rPr>
          <w:rFonts w:hint="cs"/>
          <w:rtl/>
        </w:rPr>
        <w:t xml:space="preserve">חברה אשר בוחרת ליישם למפרע באופן מלא את הוראות </w:t>
      </w:r>
      <w:r>
        <w:rPr>
          <w:rFonts w:hint="cs"/>
        </w:rPr>
        <w:t xml:space="preserve">IFRS </w:t>
      </w:r>
      <w:r w:rsidR="00711B13">
        <w:t>16</w:t>
      </w:r>
      <w:r>
        <w:rPr>
          <w:rFonts w:hint="cs"/>
          <w:rtl/>
        </w:rPr>
        <w:t xml:space="preserve"> </w:t>
      </w:r>
      <w:r w:rsidR="00711B13">
        <w:rPr>
          <w:rFonts w:hint="cs"/>
          <w:rtl/>
        </w:rPr>
        <w:t>(</w:t>
      </w:r>
      <w:r w:rsidRPr="00711B13">
        <w:rPr>
          <w:rFonts w:hint="eastAsia"/>
          <w:rtl/>
        </w:rPr>
        <w:t>לרבות</w:t>
      </w:r>
      <w:r w:rsidRPr="00711B13">
        <w:rPr>
          <w:rtl/>
        </w:rPr>
        <w:t xml:space="preserve"> </w:t>
      </w:r>
      <w:r w:rsidRPr="00711B13">
        <w:rPr>
          <w:rFonts w:hint="eastAsia"/>
          <w:rtl/>
        </w:rPr>
        <w:t>הצגה</w:t>
      </w:r>
      <w:r w:rsidRPr="00711B13">
        <w:rPr>
          <w:rtl/>
        </w:rPr>
        <w:t xml:space="preserve"> </w:t>
      </w:r>
      <w:r w:rsidRPr="00711B13">
        <w:rPr>
          <w:rFonts w:hint="eastAsia"/>
          <w:rtl/>
        </w:rPr>
        <w:t>מחדש</w:t>
      </w:r>
      <w:r w:rsidRPr="00711B13">
        <w:rPr>
          <w:rtl/>
        </w:rPr>
        <w:t xml:space="preserve"> </w:t>
      </w:r>
      <w:r w:rsidRPr="00711B13">
        <w:rPr>
          <w:rFonts w:hint="eastAsia"/>
          <w:rtl/>
        </w:rPr>
        <w:t>של</w:t>
      </w:r>
      <w:r w:rsidRPr="00711B13">
        <w:rPr>
          <w:rtl/>
        </w:rPr>
        <w:t xml:space="preserve"> </w:t>
      </w:r>
      <w:r w:rsidRPr="00711B13">
        <w:rPr>
          <w:rFonts w:hint="eastAsia"/>
          <w:rtl/>
        </w:rPr>
        <w:t>מספרי</w:t>
      </w:r>
      <w:r w:rsidRPr="00711B13">
        <w:rPr>
          <w:rtl/>
        </w:rPr>
        <w:t xml:space="preserve"> </w:t>
      </w:r>
      <w:r w:rsidRPr="00711B13">
        <w:rPr>
          <w:rFonts w:hint="eastAsia"/>
          <w:rtl/>
        </w:rPr>
        <w:t>השוואה</w:t>
      </w:r>
      <w:r w:rsidR="00711B13">
        <w:rPr>
          <w:rFonts w:hint="cs"/>
          <w:rtl/>
        </w:rPr>
        <w:t>)</w:t>
      </w:r>
      <w:r>
        <w:rPr>
          <w:rFonts w:hint="cs"/>
          <w:rtl/>
        </w:rPr>
        <w:t>, תפעל בהתאם לאמור להלן:</w:t>
      </w:r>
    </w:p>
    <w:p w14:paraId="11528719" w14:textId="38F49C20" w:rsidR="000B65D4" w:rsidRDefault="000B65D4" w:rsidP="00711B13">
      <w:pPr>
        <w:pStyle w:val="01"/>
        <w:shd w:val="clear" w:color="auto" w:fill="BFBFBF" w:themeFill="background1" w:themeFillShade="BF"/>
        <w:ind w:left="567"/>
        <w:rPr>
          <w:rtl/>
        </w:rPr>
      </w:pPr>
      <w:r>
        <w:rPr>
          <w:rFonts w:hint="cs"/>
          <w:rtl/>
        </w:rPr>
        <w:t xml:space="preserve">א. </w:t>
      </w:r>
      <w:r>
        <w:rPr>
          <w:rtl/>
        </w:rPr>
        <w:tab/>
      </w:r>
      <w:r>
        <w:rPr>
          <w:rFonts w:hint="cs"/>
          <w:rtl/>
        </w:rPr>
        <w:t xml:space="preserve">מספרי ההשוואה בדוחות הכספיים ובמסגרת הבאורים יוצגו וימדדו בהתאם להוראות </w:t>
      </w:r>
      <w:r>
        <w:rPr>
          <w:rFonts w:hint="cs"/>
        </w:rPr>
        <w:t xml:space="preserve">IFRS </w:t>
      </w:r>
      <w:r w:rsidR="00711B13">
        <w:t>16</w:t>
      </w:r>
      <w:r>
        <w:rPr>
          <w:rFonts w:hint="cs"/>
          <w:rtl/>
        </w:rPr>
        <w:t xml:space="preserve"> לרבות סימון בדרך של כוכבית (*) לגבי הצגה מחדש בעקבות יישום </w:t>
      </w:r>
      <w:r>
        <w:t xml:space="preserve">IFRS </w:t>
      </w:r>
      <w:r w:rsidR="00711B13">
        <w:t>16</w:t>
      </w:r>
      <w:r>
        <w:rPr>
          <w:rFonts w:hint="cs"/>
          <w:rtl/>
        </w:rPr>
        <w:t>.</w:t>
      </w:r>
    </w:p>
    <w:p w14:paraId="2615861A" w14:textId="77777777" w:rsidR="000B65D4" w:rsidRDefault="000B65D4" w:rsidP="00711B13">
      <w:pPr>
        <w:pStyle w:val="01"/>
        <w:shd w:val="clear" w:color="auto" w:fill="BFBFBF" w:themeFill="background1" w:themeFillShade="BF"/>
        <w:ind w:left="567"/>
        <w:rPr>
          <w:rtl/>
        </w:rPr>
      </w:pPr>
      <w:r>
        <w:rPr>
          <w:rFonts w:hint="cs"/>
          <w:rtl/>
        </w:rPr>
        <w:t xml:space="preserve">ב. </w:t>
      </w:r>
      <w:r>
        <w:rPr>
          <w:rtl/>
        </w:rPr>
        <w:tab/>
      </w:r>
      <w:r>
        <w:rPr>
          <w:rFonts w:hint="cs"/>
          <w:rtl/>
        </w:rPr>
        <w:t xml:space="preserve">במסגרת באור 2ב' תציג החברה את הנוסח הבא </w:t>
      </w:r>
      <w:r>
        <w:rPr>
          <w:rtl/>
        </w:rPr>
        <w:t>-</w:t>
      </w:r>
      <w:r>
        <w:rPr>
          <w:rFonts w:hint="cs"/>
          <w:rtl/>
        </w:rPr>
        <w:t xml:space="preserve"> </w:t>
      </w:r>
    </w:p>
    <w:p w14:paraId="22C659E1" w14:textId="4C5ABB62" w:rsidR="000B65D4" w:rsidRDefault="00711B13" w:rsidP="00711B13">
      <w:pPr>
        <w:pStyle w:val="01"/>
        <w:shd w:val="clear" w:color="auto" w:fill="BFBFBF" w:themeFill="background1" w:themeFillShade="BF"/>
        <w:ind w:left="567"/>
      </w:pPr>
      <w:r>
        <w:rPr>
          <w:rtl/>
        </w:rPr>
        <w:tab/>
      </w:r>
      <w:r w:rsidR="000B65D4">
        <w:rPr>
          <w:rFonts w:hint="cs"/>
          <w:rtl/>
        </w:rPr>
        <w:t>"</w:t>
      </w:r>
      <w:r w:rsidR="000B65D4" w:rsidRPr="00ED7BA1">
        <w:rPr>
          <w:rFonts w:hint="eastAsia"/>
          <w:rtl/>
        </w:rPr>
        <w:t>כמפורט</w:t>
      </w:r>
      <w:r w:rsidR="000B65D4" w:rsidRPr="00ED7BA1">
        <w:rPr>
          <w:rtl/>
        </w:rPr>
        <w:t xml:space="preserve"> בבאור </w:t>
      </w:r>
      <w:r w:rsidR="000B65D4" w:rsidRPr="00831F9D">
        <w:rPr>
          <w:rtl/>
        </w:rPr>
        <w:t>2</w:t>
      </w:r>
      <w:r w:rsidR="006448AF">
        <w:rPr>
          <w:rFonts w:hint="cs"/>
          <w:rtl/>
        </w:rPr>
        <w:t>ג</w:t>
      </w:r>
      <w:r w:rsidR="000B65D4">
        <w:rPr>
          <w:rFonts w:hint="cs"/>
          <w:rtl/>
        </w:rPr>
        <w:t>'1</w:t>
      </w:r>
      <w:r w:rsidR="000B65D4" w:rsidRPr="00ED7BA1">
        <w:rPr>
          <w:rtl/>
        </w:rPr>
        <w:t xml:space="preserve"> </w:t>
      </w:r>
      <w:r w:rsidR="000B65D4" w:rsidRPr="00ED7BA1">
        <w:rPr>
          <w:rFonts w:hint="eastAsia"/>
          <w:rtl/>
        </w:rPr>
        <w:t>בדבר</w:t>
      </w:r>
      <w:r w:rsidR="000B65D4" w:rsidRPr="00ED7BA1">
        <w:rPr>
          <w:rtl/>
        </w:rPr>
        <w:t xml:space="preserve"> יישום לראשונה של תקן דיווח כספי בינלאומי מספר </w:t>
      </w:r>
      <w:r>
        <w:rPr>
          <w:rFonts w:hint="cs"/>
          <w:rtl/>
        </w:rPr>
        <w:t>16</w:t>
      </w:r>
      <w:r w:rsidR="000B65D4" w:rsidRPr="00ED7BA1">
        <w:rPr>
          <w:rtl/>
        </w:rPr>
        <w:t xml:space="preserve"> </w:t>
      </w:r>
      <w:r w:rsidR="000B65D4">
        <w:rPr>
          <w:rtl/>
        </w:rPr>
        <w:t>-</w:t>
      </w:r>
      <w:r w:rsidR="000B65D4" w:rsidRPr="00ED7BA1">
        <w:rPr>
          <w:rtl/>
        </w:rPr>
        <w:t xml:space="preserve"> </w:t>
      </w:r>
      <w:r w:rsidRPr="00711B13">
        <w:rPr>
          <w:rFonts w:hint="cs"/>
          <w:i/>
          <w:iCs/>
          <w:rtl/>
        </w:rPr>
        <w:t>חכירות</w:t>
      </w:r>
      <w:r w:rsidR="000B65D4" w:rsidRPr="00ED7BA1">
        <w:rPr>
          <w:rtl/>
        </w:rPr>
        <w:t xml:space="preserve"> (</w:t>
      </w:r>
      <w:r w:rsidR="000B65D4">
        <w:rPr>
          <w:rFonts w:hint="cs"/>
          <w:rtl/>
        </w:rPr>
        <w:t>להלן "</w:t>
      </w:r>
      <w:r w:rsidR="000B65D4" w:rsidRPr="00791DA7">
        <w:rPr>
          <w:rFonts w:hint="eastAsia"/>
          <w:rtl/>
        </w:rPr>
        <w:t>התקן</w:t>
      </w:r>
      <w:r w:rsidR="000B65D4">
        <w:rPr>
          <w:rFonts w:hint="cs"/>
          <w:rtl/>
        </w:rPr>
        <w:t>"</w:t>
      </w:r>
      <w:r w:rsidR="000B65D4" w:rsidRPr="00ED7BA1">
        <w:rPr>
          <w:rtl/>
        </w:rPr>
        <w:t xml:space="preserve">), </w:t>
      </w:r>
      <w:r w:rsidR="000B65D4" w:rsidRPr="00ED7BA1">
        <w:rPr>
          <w:rFonts w:hint="eastAsia"/>
          <w:rtl/>
        </w:rPr>
        <w:t>החברה</w:t>
      </w:r>
      <w:r w:rsidR="000B65D4" w:rsidRPr="00ED7BA1">
        <w:rPr>
          <w:rtl/>
        </w:rPr>
        <w:t xml:space="preserve"> </w:t>
      </w:r>
      <w:r w:rsidR="000B65D4" w:rsidRPr="00ED7BA1">
        <w:rPr>
          <w:rFonts w:hint="eastAsia"/>
          <w:rtl/>
        </w:rPr>
        <w:t>בחרה</w:t>
      </w:r>
      <w:r w:rsidR="000B65D4" w:rsidRPr="00ED7BA1">
        <w:rPr>
          <w:rtl/>
        </w:rPr>
        <w:t xml:space="preserve"> </w:t>
      </w:r>
      <w:r w:rsidR="000B65D4" w:rsidRPr="00ED7BA1">
        <w:rPr>
          <w:rFonts w:hint="eastAsia"/>
          <w:rtl/>
        </w:rPr>
        <w:t>ליישם</w:t>
      </w:r>
      <w:r w:rsidR="000B65D4" w:rsidRPr="00ED7BA1">
        <w:rPr>
          <w:rtl/>
        </w:rPr>
        <w:t xml:space="preserve"> </w:t>
      </w:r>
      <w:r w:rsidR="000B65D4" w:rsidRPr="00ED7BA1">
        <w:rPr>
          <w:rFonts w:hint="eastAsia"/>
          <w:rtl/>
        </w:rPr>
        <w:t>את</w:t>
      </w:r>
      <w:r w:rsidR="000B65D4" w:rsidRPr="00ED7BA1">
        <w:rPr>
          <w:rtl/>
        </w:rPr>
        <w:t xml:space="preserve"> </w:t>
      </w:r>
      <w:r w:rsidR="000B65D4" w:rsidRPr="00ED7BA1">
        <w:rPr>
          <w:rFonts w:hint="eastAsia"/>
          <w:rtl/>
        </w:rPr>
        <w:t>הוראות</w:t>
      </w:r>
      <w:r w:rsidR="000B65D4" w:rsidRPr="00ED7BA1">
        <w:rPr>
          <w:rtl/>
        </w:rPr>
        <w:t xml:space="preserve"> </w:t>
      </w:r>
      <w:r w:rsidR="000B65D4" w:rsidRPr="00ED7BA1">
        <w:rPr>
          <w:rFonts w:hint="eastAsia"/>
          <w:rtl/>
        </w:rPr>
        <w:t>התקן</w:t>
      </w:r>
      <w:r w:rsidR="000B65D4" w:rsidRPr="00ED7BA1">
        <w:rPr>
          <w:rtl/>
        </w:rPr>
        <w:t xml:space="preserve"> </w:t>
      </w:r>
      <w:r w:rsidR="000B65D4">
        <w:rPr>
          <w:rFonts w:hint="cs"/>
          <w:rtl/>
        </w:rPr>
        <w:t>בגישת יישום למפרע מלא</w:t>
      </w:r>
      <w:r w:rsidR="000B65D4" w:rsidRPr="00ED7BA1">
        <w:rPr>
          <w:rtl/>
        </w:rPr>
        <w:t xml:space="preserve"> </w:t>
      </w:r>
      <w:r w:rsidR="000B65D4">
        <w:rPr>
          <w:rFonts w:hint="cs"/>
          <w:rtl/>
        </w:rPr>
        <w:t>לרבות</w:t>
      </w:r>
      <w:r w:rsidR="000B65D4" w:rsidRPr="00ED7BA1">
        <w:rPr>
          <w:rtl/>
        </w:rPr>
        <w:t xml:space="preserve"> הצגה מחדש של מספרי השוואה</w:t>
      </w:r>
      <w:r w:rsidR="000B65D4">
        <w:rPr>
          <w:rFonts w:hint="cs"/>
          <w:rtl/>
        </w:rPr>
        <w:t>"</w:t>
      </w:r>
      <w:r w:rsidR="000B65D4" w:rsidRPr="00ED7BA1">
        <w:rPr>
          <w:rtl/>
        </w:rPr>
        <w:t xml:space="preserve">. </w:t>
      </w:r>
    </w:p>
    <w:p w14:paraId="2E72DCB0" w14:textId="7F44A9C6" w:rsidR="000B65D4" w:rsidRDefault="000B65D4" w:rsidP="006448AF">
      <w:pPr>
        <w:pStyle w:val="01"/>
        <w:shd w:val="clear" w:color="auto" w:fill="BFBFBF" w:themeFill="background1" w:themeFillShade="BF"/>
        <w:ind w:left="567"/>
        <w:rPr>
          <w:rtl/>
        </w:rPr>
      </w:pPr>
      <w:r>
        <w:rPr>
          <w:rFonts w:hint="cs"/>
          <w:rtl/>
        </w:rPr>
        <w:t xml:space="preserve">ג.  </w:t>
      </w:r>
      <w:r>
        <w:rPr>
          <w:rtl/>
        </w:rPr>
        <w:tab/>
      </w:r>
      <w:r>
        <w:rPr>
          <w:rFonts w:hint="cs"/>
          <w:rtl/>
        </w:rPr>
        <w:t>במסגרת באור 2</w:t>
      </w:r>
      <w:r w:rsidR="006448AF">
        <w:rPr>
          <w:rFonts w:hint="cs"/>
          <w:rtl/>
        </w:rPr>
        <w:t>ג</w:t>
      </w:r>
      <w:r>
        <w:rPr>
          <w:rFonts w:hint="cs"/>
          <w:rtl/>
        </w:rPr>
        <w:t xml:space="preserve">'1 תציג החברה את הנוסח הבא -  </w:t>
      </w:r>
    </w:p>
    <w:p w14:paraId="07891E83" w14:textId="77777777" w:rsidR="000B65D4" w:rsidRDefault="000B65D4" w:rsidP="00711B13">
      <w:pPr>
        <w:pStyle w:val="01"/>
        <w:shd w:val="clear" w:color="auto" w:fill="BFBFBF" w:themeFill="background1" w:themeFillShade="BF"/>
        <w:ind w:left="567"/>
        <w:rPr>
          <w:rtl/>
        </w:rPr>
      </w:pPr>
      <w:r>
        <w:rPr>
          <w:rtl/>
        </w:rPr>
        <w:tab/>
      </w:r>
      <w:r>
        <w:rPr>
          <w:rtl/>
        </w:rPr>
        <w:tab/>
      </w:r>
      <w:r>
        <w:rPr>
          <w:rFonts w:hint="cs"/>
          <w:rtl/>
        </w:rPr>
        <w:t xml:space="preserve">"התקן מיושם לראשונה בדוחות כספיים אלה. החברה בחרה ליישם את הוראות </w:t>
      </w:r>
      <w:r w:rsidRPr="006318B0">
        <w:rPr>
          <w:rFonts w:hint="cs"/>
          <w:rtl/>
        </w:rPr>
        <w:t xml:space="preserve">התקן </w:t>
      </w:r>
      <w:r>
        <w:rPr>
          <w:rFonts w:hint="cs"/>
          <w:rtl/>
        </w:rPr>
        <w:t>בגישת יישום למפרע מלא לרבות הצגה מחדש של מספרי השוואה".</w:t>
      </w:r>
    </w:p>
    <w:p w14:paraId="32644183" w14:textId="77777777" w:rsidR="000B65D4" w:rsidRDefault="000B65D4" w:rsidP="00711B13">
      <w:pPr>
        <w:shd w:val="clear" w:color="auto" w:fill="BFBFBF" w:themeFill="background1" w:themeFillShade="BF"/>
        <w:ind w:left="239" w:hanging="239"/>
        <w:rPr>
          <w:rtl/>
        </w:rPr>
      </w:pPr>
    </w:p>
    <w:p w14:paraId="4B3201BA" w14:textId="02B143B9" w:rsidR="000B65D4" w:rsidRDefault="00711B13" w:rsidP="006448AF">
      <w:pPr>
        <w:pStyle w:val="01"/>
        <w:shd w:val="clear" w:color="auto" w:fill="BFBFBF" w:themeFill="background1" w:themeFillShade="BF"/>
        <w:ind w:left="0" w:firstLine="0"/>
        <w:rPr>
          <w:rtl/>
        </w:rPr>
      </w:pPr>
      <w:r>
        <w:rPr>
          <w:rFonts w:hint="cs"/>
          <w:rtl/>
        </w:rPr>
        <w:t>בנוסף</w:t>
      </w:r>
      <w:r w:rsidR="000B65D4">
        <w:rPr>
          <w:rFonts w:hint="cs"/>
          <w:rtl/>
        </w:rPr>
        <w:t xml:space="preserve"> תציג</w:t>
      </w:r>
      <w:r>
        <w:rPr>
          <w:rFonts w:hint="cs"/>
          <w:rtl/>
        </w:rPr>
        <w:t xml:space="preserve"> החברה במסגרת באור 2</w:t>
      </w:r>
      <w:r w:rsidR="006448AF">
        <w:rPr>
          <w:rFonts w:hint="cs"/>
          <w:rtl/>
        </w:rPr>
        <w:t>ג</w:t>
      </w:r>
      <w:r>
        <w:rPr>
          <w:rFonts w:hint="cs"/>
          <w:rtl/>
        </w:rPr>
        <w:t xml:space="preserve">'1א </w:t>
      </w:r>
      <w:r w:rsidR="000B65D4">
        <w:rPr>
          <w:rFonts w:hint="cs"/>
          <w:rtl/>
        </w:rPr>
        <w:t xml:space="preserve"> </w:t>
      </w:r>
      <w:r w:rsidR="000B65D4" w:rsidRPr="00124A33">
        <w:rPr>
          <w:rFonts w:hint="eastAsia"/>
          <w:u w:val="single"/>
          <w:rtl/>
        </w:rPr>
        <w:t>בנוסף</w:t>
      </w:r>
      <w:r w:rsidR="000B65D4" w:rsidRPr="00124A33">
        <w:rPr>
          <w:u w:val="single"/>
          <w:rtl/>
        </w:rPr>
        <w:t xml:space="preserve"> לטבלאות שניתנו במסגרת </w:t>
      </w:r>
      <w:r w:rsidR="000B65D4" w:rsidRPr="00124A33">
        <w:rPr>
          <w:rFonts w:hint="eastAsia"/>
          <w:u w:val="single"/>
          <w:rtl/>
        </w:rPr>
        <w:t>הבאור</w:t>
      </w:r>
      <w:r w:rsidR="000B65D4" w:rsidRPr="00124A33">
        <w:rPr>
          <w:u w:val="single"/>
          <w:rtl/>
        </w:rPr>
        <w:t xml:space="preserve"> </w:t>
      </w:r>
      <w:r w:rsidR="000B65D4">
        <w:rPr>
          <w:rFonts w:hint="cs"/>
          <w:rtl/>
        </w:rPr>
        <w:t xml:space="preserve">גם את ההשפעה של יישום </w:t>
      </w:r>
      <w:r w:rsidR="000B65D4">
        <w:rPr>
          <w:rFonts w:hint="cs"/>
        </w:rPr>
        <w:t xml:space="preserve">IFRS </w:t>
      </w:r>
      <w:r>
        <w:t>16</w:t>
      </w:r>
      <w:r w:rsidR="000B65D4">
        <w:rPr>
          <w:rFonts w:hint="cs"/>
          <w:rtl/>
        </w:rPr>
        <w:t xml:space="preserve"> לראשונה על הדוחות הבאים כדלקמן:</w:t>
      </w:r>
    </w:p>
    <w:p w14:paraId="58790CD1" w14:textId="77777777" w:rsidR="000B65D4" w:rsidRDefault="000B65D4" w:rsidP="00711B13">
      <w:pPr>
        <w:pStyle w:val="01"/>
        <w:shd w:val="clear" w:color="auto" w:fill="BFBFBF" w:themeFill="background1" w:themeFillShade="BF"/>
        <w:ind w:left="567"/>
        <w:rPr>
          <w:rtl/>
        </w:rPr>
      </w:pPr>
      <w:r>
        <w:rPr>
          <w:rFonts w:hint="cs"/>
          <w:rtl/>
        </w:rPr>
        <w:t xml:space="preserve">1. </w:t>
      </w:r>
      <w:r>
        <w:rPr>
          <w:rtl/>
        </w:rPr>
        <w:tab/>
      </w:r>
      <w:r>
        <w:rPr>
          <w:rFonts w:hint="cs"/>
          <w:rtl/>
        </w:rPr>
        <w:t>השפעה על הדוח על המצב הכספי לימים 31 בדצמבר 2018 ו- 30 בספטמבר 2018.</w:t>
      </w:r>
    </w:p>
    <w:p w14:paraId="36ED9C5F" w14:textId="77777777" w:rsidR="000B65D4" w:rsidRDefault="000B65D4" w:rsidP="00711B13">
      <w:pPr>
        <w:pStyle w:val="01"/>
        <w:shd w:val="clear" w:color="auto" w:fill="BFBFBF" w:themeFill="background1" w:themeFillShade="BF"/>
        <w:ind w:left="567"/>
        <w:rPr>
          <w:rtl/>
        </w:rPr>
      </w:pPr>
      <w:r>
        <w:rPr>
          <w:rFonts w:hint="cs"/>
          <w:rtl/>
        </w:rPr>
        <w:t xml:space="preserve">2. </w:t>
      </w:r>
      <w:r>
        <w:rPr>
          <w:rtl/>
        </w:rPr>
        <w:tab/>
      </w:r>
      <w:r>
        <w:rPr>
          <w:rFonts w:hint="cs"/>
          <w:rtl/>
        </w:rPr>
        <w:t>השפעה על הדוח על הרווח הכולל לשנה שהסתיימה ביום 31 בדצמבר 2018, לתקופה של 9 ו- 3 חודשים שהסתיימו ביום 30 בספטמבר 2018.</w:t>
      </w:r>
    </w:p>
    <w:p w14:paraId="5494B84F" w14:textId="77777777" w:rsidR="000B65D4" w:rsidRDefault="000B65D4" w:rsidP="00711B13">
      <w:pPr>
        <w:pStyle w:val="01"/>
        <w:shd w:val="clear" w:color="auto" w:fill="BFBFBF" w:themeFill="background1" w:themeFillShade="BF"/>
        <w:ind w:left="567"/>
        <w:rPr>
          <w:rtl/>
        </w:rPr>
      </w:pPr>
      <w:r>
        <w:rPr>
          <w:rFonts w:hint="cs"/>
          <w:rtl/>
        </w:rPr>
        <w:t xml:space="preserve">3. </w:t>
      </w:r>
      <w:r>
        <w:rPr>
          <w:rtl/>
        </w:rPr>
        <w:tab/>
      </w:r>
      <w:r>
        <w:rPr>
          <w:rFonts w:hint="cs"/>
          <w:rtl/>
        </w:rPr>
        <w:t>השפעה על הדוח על השינויים בהון ליום 1 בינואר 2018 וליום 1 ביולי 2018.</w:t>
      </w:r>
    </w:p>
    <w:p w14:paraId="5D7E15AF" w14:textId="410D222C" w:rsidR="00711B13" w:rsidRDefault="00711B13" w:rsidP="00711B13">
      <w:pPr>
        <w:pStyle w:val="01"/>
        <w:shd w:val="clear" w:color="auto" w:fill="BFBFBF" w:themeFill="background1" w:themeFillShade="BF"/>
        <w:ind w:left="567"/>
        <w:rPr>
          <w:rtl/>
        </w:rPr>
      </w:pPr>
      <w:r>
        <w:rPr>
          <w:rFonts w:hint="cs"/>
          <w:rtl/>
        </w:rPr>
        <w:t xml:space="preserve">4. </w:t>
      </w:r>
      <w:r>
        <w:rPr>
          <w:rtl/>
        </w:rPr>
        <w:tab/>
      </w:r>
      <w:r>
        <w:rPr>
          <w:rFonts w:hint="cs"/>
          <w:rtl/>
        </w:rPr>
        <w:t>השפעה על הדוח על תזרימי המזומנים לשנה שהסתיימה ביום 31 בדצמבר 2018, לתקופה של 9 ו- 3 חודשים שהסתיימו ביום 30 בספטמבר 2018.</w:t>
      </w:r>
    </w:p>
    <w:p w14:paraId="08D3D8B5" w14:textId="77777777" w:rsidR="00711B13" w:rsidRDefault="00711B13" w:rsidP="00711B13">
      <w:pPr>
        <w:pStyle w:val="01"/>
        <w:shd w:val="clear" w:color="auto" w:fill="BFBFBF" w:themeFill="background1" w:themeFillShade="BF"/>
        <w:ind w:left="567"/>
        <w:rPr>
          <w:rtl/>
        </w:rPr>
      </w:pPr>
    </w:p>
    <w:p w14:paraId="686F99B2" w14:textId="77777777" w:rsidR="000B65D4" w:rsidRDefault="000B65D4" w:rsidP="00711B13">
      <w:pPr>
        <w:shd w:val="clear" w:color="auto" w:fill="BFBFBF" w:themeFill="background1" w:themeFillShade="BF"/>
        <w:ind w:left="567"/>
        <w:rPr>
          <w:rtl/>
        </w:rPr>
      </w:pPr>
    </w:p>
    <w:p w14:paraId="1C682A31" w14:textId="70329160" w:rsidR="000B65D4" w:rsidRPr="000E0935" w:rsidRDefault="000B65D4" w:rsidP="006448AF">
      <w:pPr>
        <w:pStyle w:val="01"/>
        <w:shd w:val="clear" w:color="auto" w:fill="BFBFBF" w:themeFill="background1" w:themeFillShade="BF"/>
        <w:ind w:left="567"/>
        <w:rPr>
          <w:rtl/>
        </w:rPr>
      </w:pPr>
      <w:r>
        <w:rPr>
          <w:rFonts w:hint="cs"/>
          <w:rtl/>
        </w:rPr>
        <w:t xml:space="preserve">ד.  </w:t>
      </w:r>
      <w:r>
        <w:rPr>
          <w:rtl/>
        </w:rPr>
        <w:tab/>
      </w:r>
      <w:r>
        <w:rPr>
          <w:rFonts w:hint="cs"/>
          <w:rtl/>
        </w:rPr>
        <w:t xml:space="preserve">חברה אשר מיישמת לראשונה את </w:t>
      </w:r>
      <w:r>
        <w:rPr>
          <w:rFonts w:hint="cs"/>
        </w:rPr>
        <w:t xml:space="preserve">IFRS </w:t>
      </w:r>
      <w:r w:rsidR="00711B13">
        <w:t>16</w:t>
      </w:r>
      <w:r>
        <w:rPr>
          <w:rFonts w:hint="cs"/>
          <w:rtl/>
        </w:rPr>
        <w:t xml:space="preserve"> בגישת יישום למפרע מלא, </w:t>
      </w:r>
      <w:r w:rsidR="00711B13">
        <w:rPr>
          <w:rFonts w:hint="cs"/>
          <w:rtl/>
        </w:rPr>
        <w:t>אינה נדרשת לתת את הגילויים המפורטים בבאור 2</w:t>
      </w:r>
      <w:r w:rsidR="006448AF">
        <w:rPr>
          <w:rFonts w:hint="cs"/>
          <w:rtl/>
        </w:rPr>
        <w:t>ג</w:t>
      </w:r>
      <w:r w:rsidR="00711B13">
        <w:rPr>
          <w:rFonts w:hint="cs"/>
          <w:rtl/>
        </w:rPr>
        <w:t>'1(ב-ד).</w:t>
      </w:r>
    </w:p>
    <w:p w14:paraId="63275C2F" w14:textId="77777777" w:rsidR="000B65D4" w:rsidRDefault="000B65D4" w:rsidP="000B65D4"/>
    <w:p w14:paraId="4941ACEB" w14:textId="77777777" w:rsidR="00622B86" w:rsidRDefault="00622B86" w:rsidP="00D23629">
      <w:pPr>
        <w:rPr>
          <w:sz w:val="24"/>
          <w:highlight w:val="yellow"/>
          <w:rtl/>
        </w:rPr>
      </w:pPr>
    </w:p>
    <w:p w14:paraId="50020C91" w14:textId="77777777" w:rsidR="008A6CFD" w:rsidRDefault="008A6CFD" w:rsidP="00D23629">
      <w:pPr>
        <w:rPr>
          <w:sz w:val="24"/>
          <w:highlight w:val="yellow"/>
          <w:rtl/>
        </w:rPr>
      </w:pPr>
    </w:p>
    <w:p w14:paraId="79A8E9B1" w14:textId="5CCB9355" w:rsidR="008047E4" w:rsidRDefault="008047E4" w:rsidP="00D23629">
      <w:pPr>
        <w:rPr>
          <w:sz w:val="24"/>
          <w:szCs w:val="20"/>
          <w:rtl/>
        </w:rPr>
      </w:pPr>
    </w:p>
    <w:p w14:paraId="2419CC5C" w14:textId="77777777" w:rsidR="007A36BE" w:rsidRDefault="007A36BE" w:rsidP="007A36BE">
      <w:pPr>
        <w:jc w:val="center"/>
        <w:rPr>
          <w:sz w:val="24"/>
          <w:highlight w:val="yellow"/>
          <w:rtl/>
        </w:rPr>
      </w:pPr>
      <w:r>
        <w:rPr>
          <w:rFonts w:hint="cs"/>
          <w:b/>
          <w:bCs/>
          <w:rtl/>
        </w:rPr>
        <w:t>- - - - - - - - - - - - - - - - - - -</w:t>
      </w:r>
      <w:r w:rsidRPr="00201A50">
        <w:rPr>
          <w:sz w:val="18"/>
          <w:szCs w:val="18"/>
        </w:rPr>
        <w:t>:</w:t>
      </w:r>
    </w:p>
    <w:p w14:paraId="08E01AB8" w14:textId="5FAA0B8A" w:rsidR="00622B86" w:rsidRDefault="00622B86" w:rsidP="00D76376">
      <w:pPr>
        <w:rPr>
          <w:rtl/>
        </w:rPr>
      </w:pPr>
    </w:p>
    <w:p w14:paraId="75F75A8E" w14:textId="77777777" w:rsidR="00D76376" w:rsidRDefault="00D76376" w:rsidP="00D76376">
      <w:pPr>
        <w:rPr>
          <w:rtl/>
        </w:rPr>
      </w:pPr>
    </w:p>
    <w:p w14:paraId="2D59E483" w14:textId="760A1759" w:rsidR="00E33734" w:rsidRDefault="00E33734" w:rsidP="00D76376">
      <w:pPr>
        <w:rPr>
          <w:rtl/>
        </w:rPr>
      </w:pPr>
    </w:p>
    <w:p w14:paraId="3707A4F9" w14:textId="77777777" w:rsidR="00E33734" w:rsidRPr="00E33734" w:rsidRDefault="00E33734" w:rsidP="00E33734">
      <w:pPr>
        <w:rPr>
          <w:rtl/>
        </w:rPr>
      </w:pPr>
    </w:p>
    <w:p w14:paraId="244513E9" w14:textId="77777777" w:rsidR="00E33734" w:rsidRPr="00E33734" w:rsidRDefault="00E33734" w:rsidP="00E33734">
      <w:pPr>
        <w:rPr>
          <w:rtl/>
        </w:rPr>
      </w:pPr>
    </w:p>
    <w:p w14:paraId="380E2EA5" w14:textId="77777777" w:rsidR="00E33734" w:rsidRPr="00E33734" w:rsidRDefault="00E33734" w:rsidP="00E33734">
      <w:pPr>
        <w:rPr>
          <w:rtl/>
        </w:rPr>
      </w:pPr>
    </w:p>
    <w:p w14:paraId="5548D708" w14:textId="77777777" w:rsidR="00E33734" w:rsidRPr="00E33734" w:rsidRDefault="00E33734" w:rsidP="00E33734">
      <w:pPr>
        <w:rPr>
          <w:rtl/>
        </w:rPr>
      </w:pPr>
    </w:p>
    <w:p w14:paraId="2AC6BE42" w14:textId="77777777" w:rsidR="00E33734" w:rsidRPr="00E33734" w:rsidRDefault="00E33734" w:rsidP="00E33734">
      <w:pPr>
        <w:rPr>
          <w:rtl/>
        </w:rPr>
      </w:pPr>
    </w:p>
    <w:p w14:paraId="7C2EA4CB" w14:textId="257DBCB3" w:rsidR="00E33734" w:rsidRDefault="00E33734" w:rsidP="00E33734">
      <w:pPr>
        <w:rPr>
          <w:rtl/>
        </w:rPr>
      </w:pPr>
    </w:p>
    <w:p w14:paraId="63BCE6E2" w14:textId="77777777" w:rsidR="00D76376" w:rsidRPr="00E33734" w:rsidRDefault="00D76376" w:rsidP="00E33734">
      <w:pPr>
        <w:jc w:val="center"/>
        <w:rPr>
          <w:rtl/>
        </w:rPr>
      </w:pPr>
    </w:p>
    <w:sectPr w:rsidR="00D76376" w:rsidRPr="00E33734" w:rsidSect="00BA7D9A">
      <w:headerReference w:type="default" r:id="rId20"/>
      <w:footnotePr>
        <w:numRestart w:val="eachPage"/>
      </w:footnotePr>
      <w:pgSz w:w="11907" w:h="16840" w:code="9"/>
      <w:pgMar w:top="1134" w:right="1134" w:bottom="1134" w:left="1134" w:header="567" w:footer="567" w:gutter="0"/>
      <w:cols w:space="720"/>
      <w:bidi/>
      <w:docGrid w:linePitch="299"/>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51">
      <wne:acd wne:acdName="acd1"/>
    </wne:keymap>
  </wne:keymaps>
  <wne:toolbars>
    <wne:acdManifest>
      <wne:acdEntry wne:acdName="acd0"/>
      <wne:acdEntry wne:acdName="acd1"/>
    </wne:acdManifest>
  </wne:toolbars>
  <wne:acds>
    <wne:acd wne:argValue="AgDiBdEFMAA=" wne:acdName="acd0" wne:fciIndexBasedOn="0065"/>
    <wne:acd wne:argValue="AgDYBecF4QXYBSAA1AXiBegF6gUgAOkF1QXcBdkF2QXdBSwAZgBu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D78DA" w14:textId="77777777" w:rsidR="00537AE6" w:rsidRDefault="00537AE6">
      <w:r>
        <w:separator/>
      </w:r>
    </w:p>
  </w:endnote>
  <w:endnote w:type="continuationSeparator" w:id="0">
    <w:p w14:paraId="2444D419" w14:textId="77777777" w:rsidR="00537AE6" w:rsidRDefault="0053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rotocolLightMF">
    <w:altName w:val="Narkisim"/>
    <w:charset w:val="B1"/>
    <w:family w:val="auto"/>
    <w:pitch w:val="variable"/>
    <w:sig w:usb0="00001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ProtocolBlackMF">
    <w:altName w:val="Narkisim"/>
    <w:charset w:val="B1"/>
    <w:family w:val="auto"/>
    <w:pitch w:val="variable"/>
    <w:sig w:usb0="00001801" w:usb1="00000000" w:usb2="00000000" w:usb3="00000000" w:csb0="00000020" w:csb1="00000000"/>
  </w:font>
  <w:font w:name="ProtocolMF">
    <w:altName w:val="Narkisim"/>
    <w:charset w:val="B1"/>
    <w:family w:val="auto"/>
    <w:pitch w:val="variable"/>
    <w:sig w:usb0="00001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Guttman Haim-Condensed">
    <w:panose1 w:val="02010401010101010101"/>
    <w:charset w:val="B1"/>
    <w:family w:val="auto"/>
    <w:pitch w:val="variable"/>
    <w:sig w:usb0="00000801" w:usb1="4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Guttman Yad">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Univers 45 Light">
    <w:altName w:val="Times New Roman"/>
    <w:charset w:val="00"/>
    <w:family w:val="auto"/>
    <w:pitch w:val="variable"/>
    <w:sig w:usb0="8000002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0B4C" w14:textId="77777777" w:rsidR="001521F8" w:rsidRDefault="001521F8">
    <w:pPr>
      <w:pStyle w:val="a7"/>
      <w:framePr w:wrap="around" w:vAnchor="text" w:hAnchor="text" w:xAlign="center" w:y="1"/>
      <w:rPr>
        <w:rtl/>
      </w:rPr>
    </w:pPr>
    <w:r>
      <w:rPr>
        <w:rFonts w:hint="cs"/>
        <w:rtl/>
      </w:rPr>
      <w:fldChar w:fldCharType="begin"/>
    </w:r>
    <w:r>
      <w:instrText xml:space="preserve">PAGE  </w:instrText>
    </w:r>
    <w:r>
      <w:rPr>
        <w:rFonts w:hint="cs"/>
        <w:rtl/>
      </w:rPr>
      <w:fldChar w:fldCharType="end"/>
    </w:r>
  </w:p>
  <w:p w14:paraId="3B9134A8" w14:textId="77777777" w:rsidR="001521F8" w:rsidRDefault="001521F8">
    <w:pPr>
      <w:pStyle w:val="a7"/>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E589" w14:textId="77777777" w:rsidR="001521F8" w:rsidRDefault="001521F8">
    <w:pPr>
      <w:jc w:val="center"/>
      <w:rPr>
        <w:rtl/>
      </w:rPr>
    </w:pPr>
    <w:r>
      <w:fldChar w:fldCharType="begin"/>
    </w:r>
    <w:r>
      <w:instrText xml:space="preserve"> PAGE </w:instrText>
    </w:r>
    <w:r>
      <w:fldChar w:fldCharType="separate"/>
    </w:r>
    <w:r>
      <w:rPr>
        <w:noProof/>
        <w:rtl/>
      </w:rPr>
      <w:t>2</w:t>
    </w:r>
    <w:r>
      <w:rPr>
        <w:noProof/>
      </w:rPr>
      <w:fldChar w:fldCharType="end"/>
    </w:r>
  </w:p>
  <w:p w14:paraId="5705ACC2" w14:textId="77777777" w:rsidR="001521F8" w:rsidRDefault="001521F8">
    <w:pPr>
      <w:bidi w:val="0"/>
      <w:ind w:firstLine="360"/>
      <w:jc w:val="center"/>
      <w:rPr>
        <w:sz w:val="24"/>
        <w:rtl/>
      </w:rPr>
    </w:pPr>
    <w:r>
      <w:rPr>
        <w:b/>
        <w:bCs/>
        <w:noProof/>
        <w:sz w:val="24"/>
      </w:rPr>
      <w:fldChar w:fldCharType="begin"/>
    </w:r>
    <w:r>
      <w:rPr>
        <w:b/>
        <w:bCs/>
        <w:noProof/>
        <w:sz w:val="24"/>
      </w:rPr>
      <w:instrText xml:space="preserve"> FILENAME \p \* MERGEFORMAT </w:instrText>
    </w:r>
    <w:r>
      <w:rPr>
        <w:b/>
        <w:bCs/>
        <w:noProof/>
        <w:sz w:val="24"/>
      </w:rPr>
      <w:fldChar w:fldCharType="separate"/>
    </w:r>
    <w:r w:rsidRPr="00BA0DC0">
      <w:rPr>
        <w:b/>
        <w:bCs/>
        <w:noProof/>
        <w:sz w:val="24"/>
      </w:rPr>
      <w:t>F:\W2000\w2000\FORMATS\EXAMPLE</w:t>
    </w:r>
    <w:r>
      <w:rPr>
        <w:noProof/>
      </w:rPr>
      <w:t xml:space="preserve"> COMPANY\H\IFRS\2019\INTERIM-9-2019-IAS.docx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79480954"/>
      <w:docPartObj>
        <w:docPartGallery w:val="Page Numbers (Bottom of Page)"/>
        <w:docPartUnique/>
      </w:docPartObj>
    </w:sdtPr>
    <w:sdtEndPr>
      <w:rPr>
        <w:cs/>
      </w:rPr>
    </w:sdtEndPr>
    <w:sdtContent>
      <w:p w14:paraId="0AD43134" w14:textId="77777777" w:rsidR="001521F8" w:rsidRDefault="001521F8">
        <w:pPr>
          <w:pStyle w:val="a7"/>
          <w:jc w:val="center"/>
          <w:rPr>
            <w:rtl/>
          </w:rPr>
        </w:pPr>
        <w:r>
          <w:fldChar w:fldCharType="begin"/>
        </w:r>
        <w:r>
          <w:rPr>
            <w:rtl/>
            <w:cs/>
          </w:rPr>
          <w:instrText>PAGE   \* MERGEFORMAT</w:instrText>
        </w:r>
        <w:r>
          <w:fldChar w:fldCharType="separate"/>
        </w:r>
        <w:r w:rsidR="000A2650" w:rsidRPr="000A2650">
          <w:rPr>
            <w:noProof/>
            <w:rtl/>
            <w:lang w:val="he-IL"/>
          </w:rPr>
          <w:t>23</w:t>
        </w:r>
        <w:r>
          <w:fldChar w:fldCharType="end"/>
        </w:r>
      </w:p>
      <w:p w14:paraId="09704F6B" w14:textId="72824D44" w:rsidR="001521F8" w:rsidRDefault="001521F8" w:rsidP="00E33734">
        <w:pPr>
          <w:pStyle w:val="a7"/>
          <w:jc w:val="center"/>
          <w:rPr>
            <w:rtl/>
            <w:cs/>
          </w:rPr>
        </w:pPr>
        <w:r w:rsidRPr="00CE15A7">
          <w:rPr>
            <w:b/>
            <w:bCs/>
            <w:sz w:val="16"/>
            <w:szCs w:val="20"/>
          </w:rPr>
          <w:t>F:\W2000\W2000\FORMATS\EXAMPLE COMPANY\H\IFRS\201</w:t>
        </w:r>
        <w:r>
          <w:rPr>
            <w:b/>
            <w:bCs/>
            <w:sz w:val="16"/>
            <w:szCs w:val="20"/>
          </w:rPr>
          <w:t>9</w:t>
        </w:r>
        <w:r w:rsidRPr="00CE15A7">
          <w:rPr>
            <w:b/>
            <w:bCs/>
            <w:sz w:val="16"/>
            <w:szCs w:val="20"/>
          </w:rPr>
          <w:t>\INTERIM-9-201</w:t>
        </w:r>
        <w:r>
          <w:rPr>
            <w:b/>
            <w:bCs/>
            <w:sz w:val="16"/>
            <w:szCs w:val="20"/>
          </w:rPr>
          <w:t>9</w:t>
        </w:r>
        <w:r w:rsidRPr="00CE15A7">
          <w:rPr>
            <w:b/>
            <w:bCs/>
            <w:sz w:val="16"/>
            <w:szCs w:val="20"/>
          </w:rPr>
          <w:t>-IAS.docx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911EE" w14:textId="77777777" w:rsidR="00537AE6" w:rsidRDefault="00537AE6">
      <w:r>
        <w:separator/>
      </w:r>
    </w:p>
  </w:footnote>
  <w:footnote w:type="continuationSeparator" w:id="0">
    <w:p w14:paraId="42743DDB" w14:textId="77777777" w:rsidR="00537AE6" w:rsidRDefault="00537AE6">
      <w:r>
        <w:continuationSeparator/>
      </w:r>
    </w:p>
  </w:footnote>
  <w:footnote w:id="1">
    <w:p w14:paraId="0588844E" w14:textId="77777777" w:rsidR="001521F8" w:rsidRDefault="001521F8" w:rsidP="00E21527">
      <w:pPr>
        <w:pStyle w:val="ac"/>
        <w:rPr>
          <w:sz w:val="16"/>
          <w:szCs w:val="18"/>
          <w:rtl/>
        </w:rPr>
      </w:pPr>
      <w:r w:rsidRPr="00892691">
        <w:rPr>
          <w:rStyle w:val="ab"/>
          <w:sz w:val="16"/>
          <w:szCs w:val="18"/>
        </w:rPr>
        <w:footnoteRef/>
      </w:r>
      <w:r w:rsidRPr="00892691">
        <w:rPr>
          <w:sz w:val="16"/>
          <w:szCs w:val="18"/>
          <w:rtl/>
        </w:rPr>
        <w:t xml:space="preserve"> </w:t>
      </w:r>
      <w:r w:rsidRPr="00892691">
        <w:rPr>
          <w:sz w:val="16"/>
          <w:szCs w:val="18"/>
          <w:rtl/>
        </w:rPr>
        <w:tab/>
      </w:r>
      <w:r>
        <w:rPr>
          <w:rFonts w:hint="cs"/>
          <w:rtl/>
        </w:rPr>
        <w:t>ביתרה זו אין לכלול מזומנים בחשבונות ליווי, יש להציגם בנפרד מסעיף המזומנים ושווי המזומנים.</w:t>
      </w:r>
    </w:p>
  </w:footnote>
  <w:footnote w:id="2">
    <w:p w14:paraId="09D8901B" w14:textId="23D1FE55" w:rsidR="001521F8" w:rsidRDefault="001521F8">
      <w:pPr>
        <w:pStyle w:val="ac"/>
      </w:pPr>
      <w:r>
        <w:rPr>
          <w:rStyle w:val="ab"/>
        </w:rPr>
        <w:footnoteRef/>
      </w:r>
      <w:r>
        <w:rPr>
          <w:rtl/>
        </w:rPr>
        <w:t xml:space="preserve"> </w:t>
      </w:r>
      <w:r>
        <w:rPr>
          <w:rtl/>
        </w:rPr>
        <w:tab/>
      </w:r>
      <w:r>
        <w:rPr>
          <w:rFonts w:hint="cs"/>
          <w:rtl/>
        </w:rPr>
        <w:t xml:space="preserve">חברה רשאית להשתמש במונח אחר כגון "הכנסות לקבל" ובלבד שתספק מידע למשתמשי הדוחות הכספיים על מנת להבדיל בין נכסי חוזה לנכסים שהוכרו תחת הוראות </w:t>
      </w:r>
      <w:r>
        <w:rPr>
          <w:rFonts w:hint="cs"/>
        </w:rPr>
        <w:t>IFRS 15</w:t>
      </w:r>
      <w:r>
        <w:rPr>
          <w:rFonts w:hint="cs"/>
          <w:rtl/>
        </w:rPr>
        <w:t xml:space="preserve"> במונח שונה.</w:t>
      </w:r>
    </w:p>
  </w:footnote>
  <w:footnote w:id="3">
    <w:p w14:paraId="744F4AD5" w14:textId="2486DD96" w:rsidR="001521F8" w:rsidRDefault="001521F8" w:rsidP="00E21527">
      <w:pPr>
        <w:pStyle w:val="ac"/>
        <w:rPr>
          <w:rtl/>
        </w:rPr>
      </w:pPr>
      <w:r w:rsidRPr="00FA1BC5">
        <w:rPr>
          <w:rStyle w:val="ab"/>
          <w:sz w:val="13"/>
          <w:szCs w:val="16"/>
        </w:rPr>
        <w:footnoteRef/>
      </w:r>
      <w:r w:rsidRPr="00FA1BC5">
        <w:rPr>
          <w:sz w:val="13"/>
          <w:szCs w:val="16"/>
          <w:rtl/>
        </w:rPr>
        <w:t xml:space="preserve"> </w:t>
      </w:r>
      <w:r>
        <w:rPr>
          <w:rtl/>
        </w:rPr>
        <w:tab/>
      </w:r>
      <w:r>
        <w:rPr>
          <w:rFonts w:hint="cs"/>
          <w:rtl/>
        </w:rPr>
        <w:t xml:space="preserve">יש לבחון האם מדובר בנכס חוזה בתחולת </w:t>
      </w:r>
      <w:r>
        <w:t>IFRS 15</w:t>
      </w:r>
      <w:r>
        <w:rPr>
          <w:rFonts w:hint="cs"/>
          <w:rtl/>
        </w:rPr>
        <w:t xml:space="preserve"> או בנכס פיננסי בתחולת </w:t>
      </w:r>
      <w:r>
        <w:t>IFRS 9</w:t>
      </w:r>
      <w:r>
        <w:rPr>
          <w:rFonts w:hint="cs"/>
        </w:rPr>
        <w:t xml:space="preserve"> </w:t>
      </w:r>
      <w:r>
        <w:rPr>
          <w:rFonts w:hint="cs"/>
          <w:rtl/>
        </w:rPr>
        <w:t xml:space="preserve"> שלעתים ימדד בשווי הוגן.</w:t>
      </w:r>
    </w:p>
  </w:footnote>
  <w:footnote w:id="4">
    <w:p w14:paraId="5F4C2BB0" w14:textId="2D7B3EDE" w:rsidR="001521F8" w:rsidRDefault="001521F8" w:rsidP="000477F5">
      <w:pPr>
        <w:pStyle w:val="ac"/>
        <w:rPr>
          <w:rtl/>
        </w:rPr>
      </w:pPr>
      <w:r>
        <w:rPr>
          <w:rStyle w:val="ab"/>
        </w:rPr>
        <w:footnoteRef/>
      </w:r>
      <w:r>
        <w:rPr>
          <w:rtl/>
        </w:rPr>
        <w:t xml:space="preserve"> </w:t>
      </w:r>
      <w:r>
        <w:rPr>
          <w:rFonts w:hint="cs"/>
          <w:rtl/>
        </w:rPr>
        <w:tab/>
        <w:t xml:space="preserve">חברה יכולה לבחור להציג את יתרת נכסי זכות שימוש באותו סעיף שבו היו מוצגים הנכסים אילו היו בבעלות החברה (כגון </w:t>
      </w:r>
      <w:r>
        <w:rPr>
          <w:rtl/>
        </w:rPr>
        <w:t>–</w:t>
      </w:r>
      <w:r>
        <w:rPr>
          <w:rFonts w:hint="cs"/>
          <w:rtl/>
        </w:rPr>
        <w:t xml:space="preserve"> רכוש קבוע), חלף הצגת יתרת נכסי זכות שימוש בשורה נפרדת בדוח על המצב הכספי מנכסים אחרים. עבור נכסי זכות שימוש המקיימים הגדרת נדל"ן להשקעה, חובה על החברה להציגם כחלק מסעיף הנדל"ן להשקעה.</w:t>
      </w:r>
    </w:p>
  </w:footnote>
  <w:footnote w:id="5">
    <w:p w14:paraId="2AAF2C37" w14:textId="26897037" w:rsidR="001521F8" w:rsidRDefault="001521F8">
      <w:pPr>
        <w:pStyle w:val="ac"/>
        <w:rPr>
          <w:rtl/>
        </w:rPr>
      </w:pPr>
      <w:r>
        <w:rPr>
          <w:rStyle w:val="ab"/>
        </w:rPr>
        <w:footnoteRef/>
      </w:r>
      <w:r>
        <w:rPr>
          <w:rtl/>
        </w:rPr>
        <w:t xml:space="preserve"> </w:t>
      </w:r>
      <w:r>
        <w:rPr>
          <w:rtl/>
        </w:rPr>
        <w:tab/>
      </w:r>
      <w:r>
        <w:rPr>
          <w:rFonts w:hint="cs"/>
          <w:rtl/>
        </w:rPr>
        <w:t>ניתן לכלול את סעיף התחייבות בגין חכירה גם כחלק מסעיף מתאים אחר, חלף הצגה באופן נפרד בדוח על המצב הכספי.</w:t>
      </w:r>
    </w:p>
  </w:footnote>
  <w:footnote w:id="6">
    <w:p w14:paraId="62B53FB1" w14:textId="77288678" w:rsidR="001521F8" w:rsidRPr="00E8550C" w:rsidRDefault="001521F8">
      <w:pPr>
        <w:pStyle w:val="ac"/>
        <w:rPr>
          <w:sz w:val="10"/>
          <w:szCs w:val="12"/>
          <w:rtl/>
        </w:rPr>
      </w:pPr>
      <w:r w:rsidRPr="00E8550C">
        <w:rPr>
          <w:rStyle w:val="ab"/>
          <w:sz w:val="10"/>
          <w:szCs w:val="12"/>
        </w:rPr>
        <w:footnoteRef/>
      </w:r>
      <w:r w:rsidRPr="00E8550C">
        <w:rPr>
          <w:sz w:val="10"/>
          <w:szCs w:val="12"/>
          <w:rtl/>
        </w:rPr>
        <w:t xml:space="preserve"> </w:t>
      </w:r>
      <w:r w:rsidRPr="00E8550C">
        <w:rPr>
          <w:sz w:val="10"/>
          <w:szCs w:val="12"/>
          <w:rtl/>
        </w:rPr>
        <w:tab/>
      </w:r>
      <w:r w:rsidRPr="00E8550C">
        <w:rPr>
          <w:rFonts w:hint="cs"/>
          <w:sz w:val="10"/>
          <w:szCs w:val="12"/>
          <w:rtl/>
        </w:rPr>
        <w:t xml:space="preserve">חברה רשאית להשתמש במונח אחר כגון "הכנסות מראש" ובלבד שתספק מידע למשתמשי הדוחות הכספיים על מנת להבדיל בין התחייבויות חוזה להתחייבויות שהוכרו תחת הוראות </w:t>
      </w:r>
      <w:r w:rsidRPr="00E8550C">
        <w:rPr>
          <w:rFonts w:hint="cs"/>
          <w:sz w:val="10"/>
          <w:szCs w:val="12"/>
        </w:rPr>
        <w:t>IFRS 15</w:t>
      </w:r>
      <w:r w:rsidRPr="00E8550C">
        <w:rPr>
          <w:rFonts w:hint="cs"/>
          <w:sz w:val="10"/>
          <w:szCs w:val="12"/>
          <w:rtl/>
        </w:rPr>
        <w:t xml:space="preserve"> במונח שונה.</w:t>
      </w:r>
    </w:p>
  </w:footnote>
  <w:footnote w:id="7">
    <w:p w14:paraId="614855A3" w14:textId="77777777" w:rsidR="001521F8" w:rsidRPr="00E8550C" w:rsidRDefault="001521F8" w:rsidP="00E21527">
      <w:pPr>
        <w:pStyle w:val="ac"/>
        <w:rPr>
          <w:sz w:val="10"/>
          <w:szCs w:val="12"/>
          <w:rtl/>
        </w:rPr>
      </w:pPr>
      <w:r w:rsidRPr="00E8550C">
        <w:rPr>
          <w:rStyle w:val="ab"/>
          <w:sz w:val="13"/>
          <w:szCs w:val="12"/>
        </w:rPr>
        <w:footnoteRef/>
      </w:r>
      <w:r w:rsidRPr="00E8550C">
        <w:rPr>
          <w:sz w:val="10"/>
          <w:szCs w:val="12"/>
          <w:rtl/>
        </w:rPr>
        <w:t xml:space="preserve"> </w:t>
      </w:r>
      <w:r w:rsidRPr="00E8550C">
        <w:rPr>
          <w:rFonts w:hint="cs"/>
          <w:sz w:val="10"/>
          <w:szCs w:val="12"/>
          <w:rtl/>
        </w:rPr>
        <w:tab/>
      </w:r>
      <w:r w:rsidRPr="00E8550C">
        <w:rPr>
          <w:rFonts w:hint="eastAsia"/>
          <w:sz w:val="10"/>
          <w:szCs w:val="12"/>
          <w:rtl/>
        </w:rPr>
        <w:t>ניתן</w:t>
      </w:r>
      <w:r w:rsidRPr="00E8550C">
        <w:rPr>
          <w:sz w:val="10"/>
          <w:szCs w:val="12"/>
          <w:rtl/>
        </w:rPr>
        <w:t xml:space="preserve"> </w:t>
      </w:r>
      <w:r w:rsidRPr="00E8550C">
        <w:rPr>
          <w:rFonts w:hint="eastAsia"/>
          <w:sz w:val="10"/>
          <w:szCs w:val="12"/>
          <w:rtl/>
        </w:rPr>
        <w:t>להציג</w:t>
      </w:r>
      <w:r w:rsidRPr="00E8550C">
        <w:rPr>
          <w:sz w:val="10"/>
          <w:szCs w:val="12"/>
          <w:rtl/>
        </w:rPr>
        <w:t xml:space="preserve"> </w:t>
      </w:r>
      <w:r w:rsidRPr="00E8550C">
        <w:rPr>
          <w:rFonts w:hint="eastAsia"/>
          <w:sz w:val="10"/>
          <w:szCs w:val="12"/>
          <w:rtl/>
        </w:rPr>
        <w:t>בסעיף</w:t>
      </w:r>
      <w:r w:rsidRPr="00E8550C">
        <w:rPr>
          <w:sz w:val="10"/>
          <w:szCs w:val="12"/>
          <w:rtl/>
        </w:rPr>
        <w:t xml:space="preserve"> </w:t>
      </w:r>
      <w:r w:rsidRPr="00E8550C">
        <w:rPr>
          <w:rFonts w:hint="eastAsia"/>
          <w:sz w:val="10"/>
          <w:szCs w:val="12"/>
          <w:rtl/>
        </w:rPr>
        <w:t>הפרמיה</w:t>
      </w:r>
      <w:r w:rsidRPr="00E8550C">
        <w:rPr>
          <w:sz w:val="10"/>
          <w:szCs w:val="12"/>
          <w:rtl/>
        </w:rPr>
        <w:t xml:space="preserve"> </w:t>
      </w:r>
      <w:r w:rsidRPr="00E8550C">
        <w:rPr>
          <w:rFonts w:hint="eastAsia"/>
          <w:sz w:val="10"/>
          <w:szCs w:val="12"/>
          <w:rtl/>
        </w:rPr>
        <w:t>על</w:t>
      </w:r>
      <w:r w:rsidRPr="00E8550C">
        <w:rPr>
          <w:sz w:val="10"/>
          <w:szCs w:val="12"/>
          <w:rtl/>
        </w:rPr>
        <w:t xml:space="preserve"> </w:t>
      </w:r>
      <w:r w:rsidRPr="00E8550C">
        <w:rPr>
          <w:rFonts w:hint="eastAsia"/>
          <w:sz w:val="10"/>
          <w:szCs w:val="12"/>
          <w:rtl/>
        </w:rPr>
        <w:t>מניות</w:t>
      </w:r>
      <w:r w:rsidRPr="00E8550C">
        <w:rPr>
          <w:sz w:val="10"/>
          <w:szCs w:val="12"/>
          <w:rtl/>
        </w:rPr>
        <w:t>.</w:t>
      </w:r>
    </w:p>
  </w:footnote>
  <w:footnote w:id="8">
    <w:p w14:paraId="2F0A3BFC" w14:textId="77777777" w:rsidR="001521F8" w:rsidRPr="00E8550C" w:rsidRDefault="001521F8" w:rsidP="00E21527">
      <w:pPr>
        <w:pStyle w:val="ac"/>
        <w:rPr>
          <w:rStyle w:val="ab"/>
          <w:b/>
          <w:sz w:val="13"/>
          <w:szCs w:val="12"/>
        </w:rPr>
      </w:pPr>
      <w:r w:rsidRPr="00E8550C">
        <w:rPr>
          <w:rStyle w:val="ab"/>
          <w:bCs w:val="0"/>
          <w:sz w:val="13"/>
          <w:szCs w:val="12"/>
        </w:rPr>
        <w:footnoteRef/>
      </w:r>
      <w:r w:rsidRPr="00E8550C">
        <w:rPr>
          <w:rStyle w:val="ab"/>
          <w:sz w:val="13"/>
          <w:szCs w:val="12"/>
          <w:rtl/>
        </w:rPr>
        <w:t xml:space="preserve"> </w:t>
      </w:r>
      <w:r w:rsidRPr="00E8550C">
        <w:rPr>
          <w:rFonts w:hint="cs"/>
          <w:bCs/>
          <w:sz w:val="10"/>
          <w:szCs w:val="12"/>
          <w:rtl/>
        </w:rPr>
        <w:tab/>
      </w:r>
      <w:r w:rsidRPr="00E8550C">
        <w:rPr>
          <w:rFonts w:hint="cs"/>
          <w:sz w:val="10"/>
          <w:szCs w:val="12"/>
          <w:rtl/>
        </w:rPr>
        <w:t>ניתן להציג סכום זה במסגרת סעיף העודפים.</w:t>
      </w:r>
      <w:r w:rsidRPr="00E8550C">
        <w:rPr>
          <w:rStyle w:val="ab"/>
          <w:rFonts w:hint="cs"/>
          <w:b/>
          <w:sz w:val="13"/>
          <w:szCs w:val="12"/>
          <w:rtl/>
        </w:rPr>
        <w:t xml:space="preserve"> </w:t>
      </w:r>
    </w:p>
  </w:footnote>
  <w:footnote w:id="9">
    <w:p w14:paraId="36AC105C" w14:textId="77777777" w:rsidR="001521F8" w:rsidRPr="00E8550C" w:rsidRDefault="001521F8" w:rsidP="00E21527">
      <w:pPr>
        <w:pStyle w:val="ac"/>
        <w:rPr>
          <w:sz w:val="10"/>
          <w:szCs w:val="12"/>
          <w:rtl/>
        </w:rPr>
      </w:pPr>
      <w:r w:rsidRPr="00E8550C">
        <w:rPr>
          <w:rStyle w:val="ab"/>
          <w:sz w:val="13"/>
          <w:szCs w:val="12"/>
        </w:rPr>
        <w:footnoteRef/>
      </w:r>
      <w:r w:rsidRPr="00E8550C">
        <w:rPr>
          <w:sz w:val="10"/>
          <w:szCs w:val="12"/>
          <w:rtl/>
        </w:rPr>
        <w:t xml:space="preserve"> </w:t>
      </w:r>
      <w:r w:rsidRPr="00E8550C">
        <w:rPr>
          <w:rFonts w:hint="cs"/>
          <w:sz w:val="10"/>
          <w:szCs w:val="12"/>
          <w:rtl/>
        </w:rPr>
        <w:tab/>
        <w:t>לאור פרסום בנושא של המוסד הישראלי לתקינה בחשבונאות ממאי 2010, ניתן לבחור כמדיניות חשבונאית להציג ביתרת הרווח.</w:t>
      </w:r>
    </w:p>
  </w:footnote>
  <w:footnote w:id="10">
    <w:p w14:paraId="01FC5CC9" w14:textId="77777777" w:rsidR="001521F8" w:rsidRPr="003A67CC" w:rsidRDefault="001521F8" w:rsidP="00E21527">
      <w:pPr>
        <w:pStyle w:val="ac"/>
        <w:rPr>
          <w:rtl/>
        </w:rPr>
      </w:pPr>
      <w:r w:rsidRPr="00E8550C">
        <w:rPr>
          <w:rStyle w:val="ab"/>
          <w:rFonts w:cs="Narkisim"/>
          <w:sz w:val="13"/>
          <w:szCs w:val="12"/>
        </w:rPr>
        <w:footnoteRef/>
      </w:r>
      <w:r w:rsidRPr="00E8550C">
        <w:rPr>
          <w:rFonts w:hint="cs"/>
          <w:sz w:val="10"/>
          <w:szCs w:val="12"/>
          <w:rtl/>
        </w:rPr>
        <w:t xml:space="preserve"> </w:t>
      </w:r>
      <w:r w:rsidRPr="00E8550C">
        <w:rPr>
          <w:rFonts w:hint="cs"/>
          <w:sz w:val="10"/>
          <w:szCs w:val="12"/>
          <w:rtl/>
        </w:rPr>
        <w:tab/>
        <w:t>אם לא חלים על החברה חוק ניירות ערך ותקנותיו, נדרשת חתימת דירקטור אחד. בהתאם לתקנות ניירות ערך, אם הדירקטוריון הסמיך אדם אחר כממלא מקום, לחתום על הדוחות הכספיים</w:t>
      </w:r>
      <w:r w:rsidRPr="00E8550C">
        <w:rPr>
          <w:rFonts w:hint="cs"/>
          <w:sz w:val="8"/>
          <w:szCs w:val="10"/>
          <w:rtl/>
        </w:rPr>
        <w:t xml:space="preserve">, </w:t>
      </w:r>
      <w:r w:rsidRPr="00E8550C">
        <w:rPr>
          <w:rFonts w:hint="cs"/>
          <w:sz w:val="10"/>
          <w:szCs w:val="12"/>
          <w:rtl/>
        </w:rPr>
        <w:t>יש לציין __ - מוסמך חתימה על ידי הדירקטוריון (ראה באור 20).</w:t>
      </w:r>
    </w:p>
  </w:footnote>
  <w:footnote w:id="11">
    <w:p w14:paraId="498049CF" w14:textId="77777777" w:rsidR="001521F8" w:rsidRPr="00A64CB8" w:rsidRDefault="001521F8" w:rsidP="00E21527">
      <w:pPr>
        <w:pStyle w:val="ac"/>
        <w:rPr>
          <w:rtl/>
        </w:rPr>
      </w:pPr>
      <w:r w:rsidRPr="00A64CB8">
        <w:rPr>
          <w:rStyle w:val="ab"/>
          <w:szCs w:val="12"/>
        </w:rPr>
        <w:footnoteRef/>
      </w:r>
      <w:r w:rsidRPr="00A64CB8">
        <w:rPr>
          <w:rtl/>
        </w:rPr>
        <w:t xml:space="preserve"> </w:t>
      </w:r>
      <w:r w:rsidRPr="00A64CB8">
        <w:rPr>
          <w:rtl/>
        </w:rPr>
        <w:tab/>
      </w:r>
      <w:r w:rsidRPr="00A64CB8">
        <w:rPr>
          <w:rFonts w:hint="eastAsia"/>
          <w:rtl/>
        </w:rPr>
        <w:t>כולל</w:t>
      </w:r>
      <w:r w:rsidRPr="00A64CB8">
        <w:rPr>
          <w:rtl/>
        </w:rPr>
        <w:t xml:space="preserve"> </w:t>
      </w:r>
      <w:r w:rsidRPr="00A64CB8">
        <w:rPr>
          <w:rFonts w:hint="eastAsia"/>
          <w:rtl/>
        </w:rPr>
        <w:t>רווח</w:t>
      </w:r>
      <w:r w:rsidRPr="00A64CB8">
        <w:rPr>
          <w:rtl/>
        </w:rPr>
        <w:t xml:space="preserve"> </w:t>
      </w:r>
      <w:r w:rsidRPr="00A64CB8">
        <w:rPr>
          <w:rFonts w:hint="eastAsia"/>
          <w:rtl/>
        </w:rPr>
        <w:t>מ</w:t>
      </w:r>
      <w:r w:rsidRPr="00A64CB8">
        <w:rPr>
          <w:rtl/>
        </w:rPr>
        <w:t xml:space="preserve">"מימוש </w:t>
      </w:r>
      <w:r w:rsidRPr="00A64CB8">
        <w:rPr>
          <w:rFonts w:hint="eastAsia"/>
          <w:rtl/>
        </w:rPr>
        <w:t>רעיוני</w:t>
      </w:r>
      <w:r w:rsidRPr="00A64CB8">
        <w:rPr>
          <w:rtl/>
        </w:rPr>
        <w:t>" (</w:t>
      </w:r>
      <w:r w:rsidRPr="00A64CB8">
        <w:rPr>
          <w:rFonts w:hint="eastAsia"/>
          <w:rtl/>
        </w:rPr>
        <w:t>מדידה</w:t>
      </w:r>
      <w:r w:rsidRPr="00A64CB8">
        <w:rPr>
          <w:rtl/>
        </w:rPr>
        <w:t xml:space="preserve"> מחדש) של השקעה בחברה מוחזקת </w:t>
      </w:r>
      <w:r w:rsidRPr="00A64CB8">
        <w:rPr>
          <w:rFonts w:hint="eastAsia"/>
          <w:rtl/>
        </w:rPr>
        <w:t>ששיעור</w:t>
      </w:r>
      <w:r w:rsidRPr="00A64CB8">
        <w:rPr>
          <w:rtl/>
        </w:rPr>
        <w:t xml:space="preserve"> </w:t>
      </w:r>
      <w:r w:rsidRPr="00A64CB8">
        <w:rPr>
          <w:rFonts w:hint="eastAsia"/>
          <w:rtl/>
        </w:rPr>
        <w:t>ההחזקה</w:t>
      </w:r>
      <w:r w:rsidRPr="00A64CB8">
        <w:rPr>
          <w:rtl/>
        </w:rPr>
        <w:t xml:space="preserve"> </w:t>
      </w:r>
      <w:r w:rsidRPr="00A64CB8">
        <w:rPr>
          <w:rFonts w:hint="eastAsia"/>
          <w:rtl/>
        </w:rPr>
        <w:t>בה</w:t>
      </w:r>
      <w:r w:rsidRPr="00A64CB8">
        <w:rPr>
          <w:rtl/>
        </w:rPr>
        <w:t xml:space="preserve"> </w:t>
      </w:r>
      <w:r w:rsidRPr="00A64CB8">
        <w:rPr>
          <w:rFonts w:hint="eastAsia"/>
          <w:rtl/>
        </w:rPr>
        <w:t>השתנה</w:t>
      </w:r>
      <w:r w:rsidRPr="00A64CB8">
        <w:rPr>
          <w:rtl/>
        </w:rPr>
        <w:t xml:space="preserve"> </w:t>
      </w:r>
      <w:r w:rsidRPr="00A64CB8">
        <w:rPr>
          <w:rFonts w:hint="eastAsia"/>
          <w:rtl/>
        </w:rPr>
        <w:t>עם</w:t>
      </w:r>
      <w:r w:rsidRPr="00A64CB8">
        <w:rPr>
          <w:rtl/>
        </w:rPr>
        <w:t xml:space="preserve"> </w:t>
      </w:r>
      <w:r w:rsidRPr="00A64CB8">
        <w:rPr>
          <w:rFonts w:hint="eastAsia"/>
          <w:rtl/>
        </w:rPr>
        <w:t>שינוי</w:t>
      </w:r>
      <w:r w:rsidRPr="00A64CB8">
        <w:rPr>
          <w:rtl/>
        </w:rPr>
        <w:t xml:space="preserve"> </w:t>
      </w:r>
      <w:r w:rsidRPr="00A64CB8">
        <w:rPr>
          <w:rFonts w:hint="eastAsia"/>
          <w:rtl/>
        </w:rPr>
        <w:t>סטטוס</w:t>
      </w:r>
      <w:r w:rsidRPr="00A64CB8">
        <w:rPr>
          <w:rtl/>
        </w:rPr>
        <w:t xml:space="preserve"> ורווח </w:t>
      </w:r>
      <w:r w:rsidRPr="00A64CB8">
        <w:rPr>
          <w:rFonts w:hint="eastAsia"/>
          <w:rtl/>
        </w:rPr>
        <w:t>הון</w:t>
      </w:r>
      <w:r w:rsidRPr="00A64CB8">
        <w:rPr>
          <w:rtl/>
        </w:rPr>
        <w:t xml:space="preserve"> </w:t>
      </w:r>
      <w:r w:rsidRPr="00A64CB8">
        <w:rPr>
          <w:rFonts w:hint="eastAsia"/>
          <w:rtl/>
        </w:rPr>
        <w:t>ממימוש</w:t>
      </w:r>
      <w:r w:rsidRPr="00A64CB8">
        <w:rPr>
          <w:rtl/>
        </w:rPr>
        <w:t xml:space="preserve"> </w:t>
      </w:r>
      <w:r w:rsidRPr="00A64CB8">
        <w:rPr>
          <w:rFonts w:hint="eastAsia"/>
          <w:rtl/>
        </w:rPr>
        <w:t>השקעה</w:t>
      </w:r>
      <w:r w:rsidRPr="00A64CB8">
        <w:rPr>
          <w:rtl/>
        </w:rPr>
        <w:t xml:space="preserve"> </w:t>
      </w:r>
      <w:r w:rsidRPr="00A64CB8">
        <w:rPr>
          <w:rFonts w:hint="eastAsia"/>
          <w:rtl/>
        </w:rPr>
        <w:t>בחברה</w:t>
      </w:r>
      <w:r w:rsidRPr="00A64CB8">
        <w:rPr>
          <w:rtl/>
        </w:rPr>
        <w:t xml:space="preserve"> </w:t>
      </w:r>
      <w:r w:rsidRPr="00A64CB8">
        <w:rPr>
          <w:rFonts w:hint="eastAsia"/>
          <w:rtl/>
        </w:rPr>
        <w:t>מוחזקת</w:t>
      </w:r>
      <w:r w:rsidRPr="00A64CB8">
        <w:rPr>
          <w:rtl/>
        </w:rPr>
        <w:t xml:space="preserve">, </w:t>
      </w:r>
      <w:r w:rsidRPr="00A64CB8">
        <w:rPr>
          <w:rFonts w:hint="eastAsia"/>
          <w:rtl/>
        </w:rPr>
        <w:t>למעט</w:t>
      </w:r>
      <w:r w:rsidRPr="00A64CB8">
        <w:rPr>
          <w:rtl/>
        </w:rPr>
        <w:t xml:space="preserve"> </w:t>
      </w:r>
      <w:r w:rsidRPr="00A64CB8">
        <w:rPr>
          <w:rFonts w:hint="eastAsia"/>
          <w:rtl/>
        </w:rPr>
        <w:t>רווח</w:t>
      </w:r>
      <w:r w:rsidRPr="00A64CB8">
        <w:rPr>
          <w:rtl/>
        </w:rPr>
        <w:t xml:space="preserve"> </w:t>
      </w:r>
      <w:r w:rsidRPr="00A64CB8">
        <w:rPr>
          <w:rFonts w:hint="eastAsia"/>
          <w:rtl/>
        </w:rPr>
        <w:t>הון</w:t>
      </w:r>
      <w:r w:rsidRPr="00A64CB8">
        <w:rPr>
          <w:rtl/>
        </w:rPr>
        <w:t xml:space="preserve"> </w:t>
      </w:r>
      <w:r w:rsidRPr="00A64CB8">
        <w:rPr>
          <w:rFonts w:hint="eastAsia"/>
          <w:rtl/>
        </w:rPr>
        <w:t>במקרה</w:t>
      </w:r>
      <w:r w:rsidRPr="00A64CB8">
        <w:rPr>
          <w:rtl/>
        </w:rPr>
        <w:t xml:space="preserve"> </w:t>
      </w:r>
      <w:r w:rsidRPr="00A64CB8">
        <w:rPr>
          <w:rFonts w:hint="eastAsia"/>
          <w:rtl/>
        </w:rPr>
        <w:t>בו</w:t>
      </w:r>
      <w:r w:rsidRPr="00A64CB8">
        <w:rPr>
          <w:rtl/>
        </w:rPr>
        <w:t xml:space="preserve"> </w:t>
      </w:r>
      <w:r w:rsidRPr="00A64CB8">
        <w:rPr>
          <w:rFonts w:hint="eastAsia"/>
          <w:rtl/>
        </w:rPr>
        <w:t>מדובר</w:t>
      </w:r>
      <w:r w:rsidRPr="00A64CB8">
        <w:rPr>
          <w:rtl/>
        </w:rPr>
        <w:t xml:space="preserve"> </w:t>
      </w:r>
      <w:r w:rsidRPr="00A64CB8">
        <w:rPr>
          <w:rFonts w:hint="eastAsia"/>
          <w:rtl/>
        </w:rPr>
        <w:t>בפעילות</w:t>
      </w:r>
      <w:r w:rsidRPr="00A64CB8">
        <w:rPr>
          <w:rtl/>
        </w:rPr>
        <w:t xml:space="preserve"> </w:t>
      </w:r>
      <w:r w:rsidRPr="00A64CB8">
        <w:rPr>
          <w:rFonts w:hint="eastAsia"/>
          <w:rtl/>
        </w:rPr>
        <w:t>מופסקת</w:t>
      </w:r>
      <w:r w:rsidRPr="00A64CB8">
        <w:rPr>
          <w:rtl/>
        </w:rPr>
        <w:t xml:space="preserve">, </w:t>
      </w:r>
      <w:r w:rsidRPr="00A64CB8">
        <w:rPr>
          <w:rFonts w:hint="eastAsia"/>
          <w:rtl/>
        </w:rPr>
        <w:t>שאז</w:t>
      </w:r>
      <w:r w:rsidRPr="00A64CB8">
        <w:rPr>
          <w:rtl/>
        </w:rPr>
        <w:t xml:space="preserve"> </w:t>
      </w:r>
      <w:r w:rsidRPr="00A64CB8">
        <w:rPr>
          <w:rFonts w:hint="eastAsia"/>
          <w:rtl/>
        </w:rPr>
        <w:t>הוא</w:t>
      </w:r>
      <w:r w:rsidRPr="00A64CB8">
        <w:rPr>
          <w:rtl/>
        </w:rPr>
        <w:t xml:space="preserve"> </w:t>
      </w:r>
      <w:r w:rsidRPr="00A64CB8">
        <w:rPr>
          <w:rFonts w:hint="eastAsia"/>
          <w:rtl/>
        </w:rPr>
        <w:t>ייכלל</w:t>
      </w:r>
      <w:r w:rsidRPr="00A64CB8">
        <w:rPr>
          <w:rtl/>
        </w:rPr>
        <w:t xml:space="preserve"> </w:t>
      </w:r>
      <w:r w:rsidRPr="00A64CB8">
        <w:rPr>
          <w:rFonts w:hint="eastAsia"/>
          <w:rtl/>
        </w:rPr>
        <w:t>בשורת</w:t>
      </w:r>
      <w:r w:rsidRPr="00A64CB8">
        <w:rPr>
          <w:rtl/>
        </w:rPr>
        <w:t xml:space="preserve"> "רווח (הפסד) מפעילויות שהופסקו, נטו".</w:t>
      </w:r>
      <w:r w:rsidRPr="00A64CB8">
        <w:rPr>
          <w:rFonts w:hint="cs"/>
          <w:rtl/>
        </w:rPr>
        <w:t xml:space="preserve"> במקרים מסויימים ייתכן שיסווג מחוץ לתפעולי.</w:t>
      </w:r>
    </w:p>
  </w:footnote>
  <w:footnote w:id="12">
    <w:p w14:paraId="599C6C48" w14:textId="77777777" w:rsidR="001521F8" w:rsidRPr="00A64CB8" w:rsidRDefault="001521F8" w:rsidP="00E21527">
      <w:pPr>
        <w:pStyle w:val="ac"/>
        <w:rPr>
          <w:rtl/>
        </w:rPr>
      </w:pPr>
      <w:r w:rsidRPr="00A64CB8">
        <w:rPr>
          <w:rStyle w:val="ab"/>
          <w:szCs w:val="12"/>
        </w:rPr>
        <w:footnoteRef/>
      </w:r>
      <w:r w:rsidRPr="00A64CB8">
        <w:rPr>
          <w:rtl/>
        </w:rPr>
        <w:t xml:space="preserve"> </w:t>
      </w:r>
      <w:r w:rsidRPr="00A64CB8">
        <w:rPr>
          <w:rtl/>
        </w:rPr>
        <w:tab/>
      </w:r>
      <w:r w:rsidRPr="00A64CB8">
        <w:rPr>
          <w:rFonts w:hint="eastAsia"/>
          <w:rtl/>
        </w:rPr>
        <w:t>כולל</w:t>
      </w:r>
      <w:r w:rsidRPr="00A64CB8">
        <w:rPr>
          <w:rtl/>
        </w:rPr>
        <w:t xml:space="preserve"> </w:t>
      </w:r>
      <w:r w:rsidRPr="00A64CB8">
        <w:rPr>
          <w:rFonts w:hint="eastAsia"/>
          <w:rtl/>
        </w:rPr>
        <w:t>הפסד</w:t>
      </w:r>
      <w:r w:rsidRPr="00A64CB8">
        <w:rPr>
          <w:rtl/>
        </w:rPr>
        <w:t xml:space="preserve"> </w:t>
      </w:r>
      <w:r w:rsidRPr="00A64CB8">
        <w:rPr>
          <w:rFonts w:hint="eastAsia"/>
          <w:rtl/>
        </w:rPr>
        <w:t>מ</w:t>
      </w:r>
      <w:r w:rsidRPr="00A64CB8">
        <w:rPr>
          <w:rtl/>
        </w:rPr>
        <w:t xml:space="preserve">"מימוש </w:t>
      </w:r>
      <w:r w:rsidRPr="00A64CB8">
        <w:rPr>
          <w:rFonts w:hint="eastAsia"/>
          <w:rtl/>
        </w:rPr>
        <w:t>רעיוני</w:t>
      </w:r>
      <w:r w:rsidRPr="00A64CB8">
        <w:rPr>
          <w:rtl/>
        </w:rPr>
        <w:t>" (</w:t>
      </w:r>
      <w:r w:rsidRPr="00A64CB8">
        <w:rPr>
          <w:rFonts w:hint="eastAsia"/>
          <w:rtl/>
        </w:rPr>
        <w:t>מדידה</w:t>
      </w:r>
      <w:r w:rsidRPr="00A64CB8">
        <w:rPr>
          <w:rtl/>
        </w:rPr>
        <w:t xml:space="preserve"> </w:t>
      </w:r>
      <w:r w:rsidRPr="00A64CB8">
        <w:rPr>
          <w:rFonts w:hint="eastAsia"/>
          <w:rtl/>
        </w:rPr>
        <w:t>מחדש</w:t>
      </w:r>
      <w:r w:rsidRPr="00A64CB8">
        <w:rPr>
          <w:rtl/>
        </w:rPr>
        <w:t xml:space="preserve">) של השקעה בחברה מוחזקת ששיעור ההחזקה בה השתנה עם שינוי </w:t>
      </w:r>
      <w:r w:rsidRPr="00A64CB8">
        <w:rPr>
          <w:rFonts w:hint="eastAsia"/>
          <w:rtl/>
        </w:rPr>
        <w:t>סטטוס</w:t>
      </w:r>
      <w:r w:rsidRPr="00A64CB8">
        <w:rPr>
          <w:rtl/>
        </w:rPr>
        <w:t xml:space="preserve"> ו</w:t>
      </w:r>
      <w:r w:rsidRPr="00A64CB8">
        <w:rPr>
          <w:rFonts w:hint="eastAsia"/>
          <w:rtl/>
        </w:rPr>
        <w:t>הפסד</w:t>
      </w:r>
      <w:r w:rsidRPr="00A64CB8">
        <w:rPr>
          <w:rtl/>
        </w:rPr>
        <w:t xml:space="preserve"> </w:t>
      </w:r>
      <w:r w:rsidRPr="00A64CB8">
        <w:rPr>
          <w:rFonts w:hint="eastAsia"/>
          <w:rtl/>
        </w:rPr>
        <w:t>הון</w:t>
      </w:r>
      <w:r w:rsidRPr="00A64CB8">
        <w:rPr>
          <w:rtl/>
        </w:rPr>
        <w:t xml:space="preserve"> </w:t>
      </w:r>
      <w:r w:rsidRPr="00A64CB8">
        <w:rPr>
          <w:rFonts w:hint="eastAsia"/>
          <w:rtl/>
        </w:rPr>
        <w:t>ממימוש</w:t>
      </w:r>
      <w:r w:rsidRPr="00A64CB8">
        <w:rPr>
          <w:rtl/>
        </w:rPr>
        <w:t xml:space="preserve"> </w:t>
      </w:r>
      <w:r w:rsidRPr="00A64CB8">
        <w:rPr>
          <w:rFonts w:hint="eastAsia"/>
          <w:rtl/>
        </w:rPr>
        <w:t>השקעה</w:t>
      </w:r>
      <w:r w:rsidRPr="00A64CB8">
        <w:rPr>
          <w:rtl/>
        </w:rPr>
        <w:t xml:space="preserve"> </w:t>
      </w:r>
      <w:r w:rsidRPr="00A64CB8">
        <w:rPr>
          <w:rFonts w:hint="eastAsia"/>
          <w:rtl/>
        </w:rPr>
        <w:t>בחברה</w:t>
      </w:r>
      <w:r w:rsidRPr="00A64CB8">
        <w:rPr>
          <w:rtl/>
        </w:rPr>
        <w:t xml:space="preserve"> </w:t>
      </w:r>
      <w:r w:rsidRPr="00A64CB8">
        <w:rPr>
          <w:rFonts w:hint="eastAsia"/>
          <w:rtl/>
        </w:rPr>
        <w:t>מוחזקת</w:t>
      </w:r>
      <w:r w:rsidRPr="00A64CB8">
        <w:rPr>
          <w:rtl/>
        </w:rPr>
        <w:t xml:space="preserve">, </w:t>
      </w:r>
      <w:r w:rsidRPr="00A64CB8">
        <w:rPr>
          <w:rFonts w:hint="eastAsia"/>
          <w:rtl/>
        </w:rPr>
        <w:t>למעט</w:t>
      </w:r>
      <w:r w:rsidRPr="00A64CB8">
        <w:rPr>
          <w:rtl/>
        </w:rPr>
        <w:t xml:space="preserve"> </w:t>
      </w:r>
      <w:r w:rsidRPr="00A64CB8">
        <w:rPr>
          <w:rFonts w:hint="eastAsia"/>
          <w:rtl/>
        </w:rPr>
        <w:t>הפסד</w:t>
      </w:r>
      <w:r w:rsidRPr="00A64CB8">
        <w:rPr>
          <w:rtl/>
        </w:rPr>
        <w:t xml:space="preserve"> הון במקרה בו מדובר בפעילות מופסקת, שאז הוא ייכלל בשורת "רווח (הפסד) מפעילויות שהופסקו, נטו".</w:t>
      </w:r>
      <w:r w:rsidRPr="00A64CB8">
        <w:rPr>
          <w:rFonts w:hint="cs"/>
          <w:rtl/>
        </w:rPr>
        <w:t xml:space="preserve"> במקרים מסויימים ייתכן שיסווג מחוץ לתפעולי.</w:t>
      </w:r>
    </w:p>
  </w:footnote>
  <w:footnote w:id="13">
    <w:p w14:paraId="5189E323" w14:textId="46AA700B" w:rsidR="001521F8" w:rsidRPr="00A64CB8" w:rsidRDefault="001521F8" w:rsidP="00E21527">
      <w:pPr>
        <w:pStyle w:val="ac"/>
        <w:rPr>
          <w:rtl/>
        </w:rPr>
      </w:pPr>
      <w:r w:rsidRPr="00A64CB8">
        <w:rPr>
          <w:bCs/>
        </w:rPr>
        <w:footnoteRef/>
      </w:r>
      <w:r w:rsidRPr="00A64CB8">
        <w:rPr>
          <w:rtl/>
        </w:rPr>
        <w:t xml:space="preserve"> </w:t>
      </w:r>
      <w:r w:rsidRPr="00A64CB8">
        <w:rPr>
          <w:rtl/>
        </w:rPr>
        <w:tab/>
      </w:r>
      <w:r w:rsidRPr="00A64CB8">
        <w:rPr>
          <w:rFonts w:hint="cs"/>
          <w:rtl/>
        </w:rPr>
        <w:t>ניתן להציג סעיף זה גם במסגרת הרווח התפעולי וזאת בין היתר כאשר מאפייני פעילות החברה המוחזקת עולים בקנה אחד עם מאפייני הפעילות של החברה המחזיקה. במקרה הצורך יש להיוועץ עם המחלקה המקצועית.</w:t>
      </w:r>
    </w:p>
  </w:footnote>
  <w:footnote w:id="14">
    <w:p w14:paraId="60F2EE15" w14:textId="77777777" w:rsidR="001521F8" w:rsidRPr="00037153" w:rsidRDefault="001521F8" w:rsidP="00E21527">
      <w:pPr>
        <w:pStyle w:val="ac"/>
        <w:rPr>
          <w:sz w:val="16"/>
          <w:rtl/>
        </w:rPr>
      </w:pPr>
      <w:r w:rsidRPr="00A64CB8">
        <w:rPr>
          <w:rStyle w:val="ab"/>
          <w:szCs w:val="12"/>
        </w:rPr>
        <w:footnoteRef/>
      </w:r>
      <w:r w:rsidRPr="00A64CB8">
        <w:rPr>
          <w:rtl/>
        </w:rPr>
        <w:t xml:space="preserve"> </w:t>
      </w:r>
      <w:r w:rsidRPr="00A64CB8">
        <w:rPr>
          <w:rFonts w:hint="cs"/>
          <w:rtl/>
        </w:rPr>
        <w:tab/>
      </w:r>
      <w:r w:rsidRPr="00A64CB8">
        <w:rPr>
          <w:rFonts w:hint="eastAsia"/>
          <w:rtl/>
        </w:rPr>
        <w:t>במקרה</w:t>
      </w:r>
      <w:r w:rsidRPr="00A64CB8">
        <w:rPr>
          <w:rtl/>
        </w:rPr>
        <w:t xml:space="preserve"> </w:t>
      </w:r>
      <w:r w:rsidRPr="00A64CB8">
        <w:rPr>
          <w:rFonts w:hint="eastAsia"/>
          <w:rtl/>
        </w:rPr>
        <w:t>של</w:t>
      </w:r>
      <w:r w:rsidRPr="00A64CB8">
        <w:rPr>
          <w:rtl/>
        </w:rPr>
        <w:t xml:space="preserve"> </w:t>
      </w:r>
      <w:r w:rsidRPr="00A64CB8">
        <w:rPr>
          <w:rFonts w:hint="eastAsia"/>
          <w:rtl/>
        </w:rPr>
        <w:t>הנפקת</w:t>
      </w:r>
      <w:r w:rsidRPr="00A64CB8">
        <w:rPr>
          <w:rFonts w:hint="cs"/>
          <w:rtl/>
        </w:rPr>
        <w:t xml:space="preserve"> מניות הטבה, פיצול מניות, איחוד מניות או הנפקת זכויות, יש להתאים למפרע את נתוני הרווח למניה (גם במקרה בו הדבר ארע לאחר תקופת הדיווח ולפני פרסום הדוחות). </w:t>
      </w:r>
    </w:p>
  </w:footnote>
  <w:footnote w:id="15">
    <w:p w14:paraId="62A472FE" w14:textId="77777777" w:rsidR="001521F8" w:rsidRPr="00037153" w:rsidRDefault="001521F8" w:rsidP="00E21527">
      <w:pPr>
        <w:pStyle w:val="ac"/>
      </w:pPr>
      <w:r w:rsidRPr="00037153">
        <w:rPr>
          <w:rStyle w:val="ab"/>
          <w:sz w:val="16"/>
        </w:rPr>
        <w:footnoteRef/>
      </w:r>
      <w:r w:rsidRPr="00037153">
        <w:rPr>
          <w:rtl/>
        </w:rPr>
        <w:t xml:space="preserve"> </w:t>
      </w:r>
      <w:r w:rsidRPr="00037153">
        <w:rPr>
          <w:rtl/>
        </w:rPr>
        <w:tab/>
      </w:r>
      <w:r w:rsidRPr="00037153">
        <w:rPr>
          <w:rFonts w:hint="eastAsia"/>
          <w:rtl/>
        </w:rPr>
        <w:t>כולל</w:t>
      </w:r>
      <w:r w:rsidRPr="00037153">
        <w:rPr>
          <w:rtl/>
        </w:rPr>
        <w:t xml:space="preserve"> </w:t>
      </w:r>
      <w:r w:rsidRPr="00037153">
        <w:rPr>
          <w:rFonts w:hint="eastAsia"/>
          <w:rtl/>
        </w:rPr>
        <w:t>רווח</w:t>
      </w:r>
      <w:r w:rsidRPr="00037153">
        <w:rPr>
          <w:rtl/>
        </w:rPr>
        <w:t xml:space="preserve"> </w:t>
      </w:r>
      <w:r w:rsidRPr="00037153">
        <w:rPr>
          <w:rFonts w:hint="eastAsia"/>
          <w:rtl/>
        </w:rPr>
        <w:t>מ</w:t>
      </w:r>
      <w:r w:rsidRPr="00037153">
        <w:rPr>
          <w:rtl/>
        </w:rPr>
        <w:t xml:space="preserve">"מימוש </w:t>
      </w:r>
      <w:r w:rsidRPr="00037153">
        <w:rPr>
          <w:rFonts w:hint="eastAsia"/>
          <w:rtl/>
        </w:rPr>
        <w:t>רעיוני</w:t>
      </w:r>
      <w:r w:rsidRPr="00037153">
        <w:rPr>
          <w:rtl/>
        </w:rPr>
        <w:t>" (</w:t>
      </w:r>
      <w:r w:rsidRPr="00037153">
        <w:rPr>
          <w:rFonts w:hint="eastAsia"/>
          <w:rtl/>
        </w:rPr>
        <w:t>מדידה</w:t>
      </w:r>
      <w:r w:rsidRPr="00037153">
        <w:rPr>
          <w:rtl/>
        </w:rPr>
        <w:t xml:space="preserve"> מחדש) של השקעה בחברה מוחזקת </w:t>
      </w:r>
      <w:r w:rsidRPr="00037153">
        <w:rPr>
          <w:rFonts w:hint="eastAsia"/>
          <w:rtl/>
        </w:rPr>
        <w:t>ששיעור</w:t>
      </w:r>
      <w:r w:rsidRPr="00037153">
        <w:rPr>
          <w:rtl/>
        </w:rPr>
        <w:t xml:space="preserve"> </w:t>
      </w:r>
      <w:r w:rsidRPr="00037153">
        <w:rPr>
          <w:rFonts w:hint="eastAsia"/>
          <w:rtl/>
        </w:rPr>
        <w:t>ההחזקה</w:t>
      </w:r>
      <w:r w:rsidRPr="00037153">
        <w:rPr>
          <w:rtl/>
        </w:rPr>
        <w:t xml:space="preserve"> </w:t>
      </w:r>
      <w:r w:rsidRPr="00037153">
        <w:rPr>
          <w:rFonts w:hint="eastAsia"/>
          <w:rtl/>
        </w:rPr>
        <w:t>בה</w:t>
      </w:r>
      <w:r w:rsidRPr="00037153">
        <w:rPr>
          <w:rtl/>
        </w:rPr>
        <w:t xml:space="preserve"> </w:t>
      </w:r>
      <w:r w:rsidRPr="00037153">
        <w:rPr>
          <w:rFonts w:hint="eastAsia"/>
          <w:rtl/>
        </w:rPr>
        <w:t>השתנה</w:t>
      </w:r>
      <w:r w:rsidRPr="00037153">
        <w:rPr>
          <w:rtl/>
        </w:rPr>
        <w:t xml:space="preserve"> </w:t>
      </w:r>
      <w:r w:rsidRPr="00037153">
        <w:rPr>
          <w:rFonts w:hint="eastAsia"/>
          <w:rtl/>
        </w:rPr>
        <w:t>עם</w:t>
      </w:r>
      <w:r w:rsidRPr="00037153">
        <w:rPr>
          <w:rtl/>
        </w:rPr>
        <w:t xml:space="preserve"> </w:t>
      </w:r>
      <w:r w:rsidRPr="00037153">
        <w:rPr>
          <w:rFonts w:hint="eastAsia"/>
          <w:rtl/>
        </w:rPr>
        <w:t>שינוי</w:t>
      </w:r>
      <w:r w:rsidRPr="00037153">
        <w:rPr>
          <w:rtl/>
        </w:rPr>
        <w:t xml:space="preserve"> </w:t>
      </w:r>
      <w:r w:rsidRPr="00037153">
        <w:rPr>
          <w:rFonts w:hint="eastAsia"/>
          <w:rtl/>
        </w:rPr>
        <w:t>סטטוס</w:t>
      </w:r>
      <w:r w:rsidRPr="00037153">
        <w:rPr>
          <w:rtl/>
        </w:rPr>
        <w:t xml:space="preserve"> ורווח </w:t>
      </w:r>
      <w:r w:rsidRPr="00037153">
        <w:rPr>
          <w:rFonts w:hint="eastAsia"/>
          <w:rtl/>
        </w:rPr>
        <w:t>הון</w:t>
      </w:r>
      <w:r w:rsidRPr="00037153">
        <w:rPr>
          <w:rtl/>
        </w:rPr>
        <w:t xml:space="preserve"> </w:t>
      </w:r>
      <w:r w:rsidRPr="00037153">
        <w:rPr>
          <w:rFonts w:hint="eastAsia"/>
          <w:rtl/>
        </w:rPr>
        <w:t>ממימוש</w:t>
      </w:r>
      <w:r w:rsidRPr="00037153">
        <w:rPr>
          <w:rtl/>
        </w:rPr>
        <w:t xml:space="preserve"> </w:t>
      </w:r>
      <w:r w:rsidRPr="00037153">
        <w:rPr>
          <w:rFonts w:hint="eastAsia"/>
          <w:rtl/>
        </w:rPr>
        <w:t>השקעה</w:t>
      </w:r>
      <w:r w:rsidRPr="00037153">
        <w:rPr>
          <w:rtl/>
        </w:rPr>
        <w:t xml:space="preserve"> </w:t>
      </w:r>
      <w:r w:rsidRPr="00037153">
        <w:rPr>
          <w:rFonts w:hint="eastAsia"/>
          <w:rtl/>
        </w:rPr>
        <w:t>בחברה</w:t>
      </w:r>
      <w:r w:rsidRPr="00037153">
        <w:rPr>
          <w:rtl/>
        </w:rPr>
        <w:t xml:space="preserve"> </w:t>
      </w:r>
      <w:r w:rsidRPr="00037153">
        <w:rPr>
          <w:rFonts w:hint="eastAsia"/>
          <w:rtl/>
        </w:rPr>
        <w:t>מוחזקת</w:t>
      </w:r>
      <w:r w:rsidRPr="00037153">
        <w:rPr>
          <w:rtl/>
        </w:rPr>
        <w:t xml:space="preserve">, </w:t>
      </w:r>
      <w:r w:rsidRPr="00037153">
        <w:rPr>
          <w:rFonts w:hint="eastAsia"/>
          <w:rtl/>
        </w:rPr>
        <w:t>למעט</w:t>
      </w:r>
      <w:r w:rsidRPr="00037153">
        <w:rPr>
          <w:rtl/>
        </w:rPr>
        <w:t xml:space="preserve"> </w:t>
      </w:r>
      <w:r w:rsidRPr="00037153">
        <w:rPr>
          <w:rFonts w:hint="eastAsia"/>
          <w:rtl/>
        </w:rPr>
        <w:t>רווח</w:t>
      </w:r>
      <w:r w:rsidRPr="00037153">
        <w:rPr>
          <w:rtl/>
        </w:rPr>
        <w:t xml:space="preserve"> </w:t>
      </w:r>
      <w:r w:rsidRPr="00037153">
        <w:rPr>
          <w:rFonts w:hint="eastAsia"/>
          <w:rtl/>
        </w:rPr>
        <w:t>הון</w:t>
      </w:r>
      <w:r w:rsidRPr="00037153">
        <w:rPr>
          <w:rtl/>
        </w:rPr>
        <w:t xml:space="preserve"> </w:t>
      </w:r>
      <w:r w:rsidRPr="00037153">
        <w:rPr>
          <w:rFonts w:hint="eastAsia"/>
          <w:rtl/>
        </w:rPr>
        <w:t>במקרה</w:t>
      </w:r>
      <w:r w:rsidRPr="00037153">
        <w:rPr>
          <w:rtl/>
        </w:rPr>
        <w:t xml:space="preserve"> </w:t>
      </w:r>
      <w:r w:rsidRPr="00037153">
        <w:rPr>
          <w:rFonts w:hint="eastAsia"/>
          <w:rtl/>
        </w:rPr>
        <w:t>בו</w:t>
      </w:r>
      <w:r w:rsidRPr="00037153">
        <w:rPr>
          <w:rtl/>
        </w:rPr>
        <w:t xml:space="preserve"> </w:t>
      </w:r>
      <w:r w:rsidRPr="00037153">
        <w:rPr>
          <w:rFonts w:hint="eastAsia"/>
          <w:rtl/>
        </w:rPr>
        <w:t>מדובר</w:t>
      </w:r>
      <w:r w:rsidRPr="00037153">
        <w:rPr>
          <w:rtl/>
        </w:rPr>
        <w:t xml:space="preserve"> </w:t>
      </w:r>
      <w:r w:rsidRPr="00037153">
        <w:rPr>
          <w:rFonts w:hint="eastAsia"/>
          <w:rtl/>
        </w:rPr>
        <w:t>בפעילות</w:t>
      </w:r>
      <w:r w:rsidRPr="00037153">
        <w:rPr>
          <w:rtl/>
        </w:rPr>
        <w:t xml:space="preserve"> </w:t>
      </w:r>
      <w:r w:rsidRPr="00037153">
        <w:rPr>
          <w:rFonts w:hint="eastAsia"/>
          <w:rtl/>
        </w:rPr>
        <w:t>מופסקת</w:t>
      </w:r>
      <w:r w:rsidRPr="00037153">
        <w:rPr>
          <w:rtl/>
        </w:rPr>
        <w:t xml:space="preserve">, </w:t>
      </w:r>
      <w:r w:rsidRPr="00037153">
        <w:rPr>
          <w:rFonts w:hint="eastAsia"/>
          <w:rtl/>
        </w:rPr>
        <w:t>שאז</w:t>
      </w:r>
      <w:r w:rsidRPr="00037153">
        <w:rPr>
          <w:rtl/>
        </w:rPr>
        <w:t xml:space="preserve"> </w:t>
      </w:r>
      <w:r w:rsidRPr="00037153">
        <w:rPr>
          <w:rFonts w:hint="eastAsia"/>
          <w:rtl/>
        </w:rPr>
        <w:t>הוא</w:t>
      </w:r>
      <w:r w:rsidRPr="00037153">
        <w:rPr>
          <w:rtl/>
        </w:rPr>
        <w:t xml:space="preserve"> </w:t>
      </w:r>
      <w:r w:rsidRPr="00037153">
        <w:rPr>
          <w:rFonts w:hint="eastAsia"/>
          <w:rtl/>
        </w:rPr>
        <w:t>ייכלל</w:t>
      </w:r>
      <w:r w:rsidRPr="00037153">
        <w:rPr>
          <w:rtl/>
        </w:rPr>
        <w:t xml:space="preserve"> </w:t>
      </w:r>
      <w:r w:rsidRPr="00037153">
        <w:rPr>
          <w:rFonts w:hint="eastAsia"/>
          <w:rtl/>
        </w:rPr>
        <w:t>בשורת</w:t>
      </w:r>
      <w:r w:rsidRPr="00037153">
        <w:rPr>
          <w:rtl/>
        </w:rPr>
        <w:t xml:space="preserve"> "רווח (הפסד) </w:t>
      </w:r>
      <w:r w:rsidRPr="00037153">
        <w:rPr>
          <w:rFonts w:hint="eastAsia"/>
          <w:rtl/>
        </w:rPr>
        <w:t>מפעילויות</w:t>
      </w:r>
      <w:r w:rsidRPr="00037153">
        <w:rPr>
          <w:rtl/>
        </w:rPr>
        <w:t xml:space="preserve"> </w:t>
      </w:r>
      <w:r w:rsidRPr="00037153">
        <w:rPr>
          <w:rFonts w:hint="eastAsia"/>
          <w:rtl/>
        </w:rPr>
        <w:t>שהופסקו</w:t>
      </w:r>
      <w:r w:rsidRPr="00037153">
        <w:rPr>
          <w:rtl/>
        </w:rPr>
        <w:t xml:space="preserve">, </w:t>
      </w:r>
      <w:r w:rsidRPr="00037153">
        <w:rPr>
          <w:rFonts w:hint="eastAsia"/>
          <w:rtl/>
        </w:rPr>
        <w:t>נטו</w:t>
      </w:r>
      <w:r w:rsidRPr="00037153">
        <w:rPr>
          <w:rtl/>
        </w:rPr>
        <w:t>".</w:t>
      </w:r>
      <w:r w:rsidRPr="00037153">
        <w:rPr>
          <w:rFonts w:hint="cs"/>
          <w:rtl/>
        </w:rPr>
        <w:t xml:space="preserve"> במקרים מסויימים ייתכן שיסווג מחוץ לתפעולי.</w:t>
      </w:r>
    </w:p>
  </w:footnote>
  <w:footnote w:id="16">
    <w:p w14:paraId="59DC7288" w14:textId="77777777" w:rsidR="001521F8" w:rsidRPr="00037153" w:rsidRDefault="001521F8" w:rsidP="00E21527">
      <w:pPr>
        <w:pStyle w:val="ac"/>
        <w:rPr>
          <w:rtl/>
        </w:rPr>
      </w:pPr>
      <w:r w:rsidRPr="00037153">
        <w:rPr>
          <w:rStyle w:val="ab"/>
          <w:sz w:val="16"/>
        </w:rPr>
        <w:footnoteRef/>
      </w:r>
      <w:r w:rsidRPr="00037153">
        <w:rPr>
          <w:rtl/>
        </w:rPr>
        <w:t xml:space="preserve"> </w:t>
      </w:r>
      <w:r w:rsidRPr="00037153">
        <w:rPr>
          <w:rtl/>
        </w:rPr>
        <w:tab/>
      </w:r>
      <w:r w:rsidRPr="00037153">
        <w:rPr>
          <w:rFonts w:hint="eastAsia"/>
          <w:rtl/>
        </w:rPr>
        <w:t>כולל</w:t>
      </w:r>
      <w:r w:rsidRPr="00037153">
        <w:rPr>
          <w:rtl/>
        </w:rPr>
        <w:t xml:space="preserve"> הפסד מ"מימוש רעיוני" (מדידה מחדש) של השקעה בחברה מוחזקת ששיעור ההחזקה בה השתנה עם שינוי </w:t>
      </w:r>
      <w:r w:rsidRPr="00037153">
        <w:rPr>
          <w:rFonts w:hint="eastAsia"/>
          <w:rtl/>
        </w:rPr>
        <w:t>סטטוס</w:t>
      </w:r>
      <w:r w:rsidRPr="00037153">
        <w:rPr>
          <w:rtl/>
        </w:rPr>
        <w:t xml:space="preserve"> והפסד הון ממימוש השקעה בחברה מוחזקת, למעט הפסד הון במקרה בו מדובר בפעילות מופסקת, שאז הוא ייכלל בשורת "רווח (הפסד) מפעילויות שהופסקו, נטו".</w:t>
      </w:r>
      <w:r w:rsidRPr="00037153">
        <w:rPr>
          <w:rFonts w:hint="cs"/>
          <w:rtl/>
        </w:rPr>
        <w:t xml:space="preserve"> במקרים מסויימים ייתכן שיסווג מחוץ לתפעולי.</w:t>
      </w:r>
    </w:p>
  </w:footnote>
  <w:footnote w:id="17">
    <w:p w14:paraId="7922B9B3" w14:textId="77777777" w:rsidR="001521F8" w:rsidRPr="00037153" w:rsidRDefault="001521F8" w:rsidP="00E21527">
      <w:pPr>
        <w:pStyle w:val="ac"/>
        <w:rPr>
          <w:rtl/>
        </w:rPr>
      </w:pPr>
      <w:r w:rsidRPr="00037153">
        <w:rPr>
          <w:rStyle w:val="ab"/>
          <w:sz w:val="16"/>
        </w:rPr>
        <w:footnoteRef/>
      </w:r>
      <w:r w:rsidRPr="00037153">
        <w:rPr>
          <w:rtl/>
        </w:rPr>
        <w:t xml:space="preserve"> </w:t>
      </w:r>
      <w:r w:rsidRPr="00037153">
        <w:rPr>
          <w:rFonts w:hint="cs"/>
          <w:rtl/>
        </w:rPr>
        <w:tab/>
        <w:t>במקרה של הנפקת מניות הטבה, פיצול מניות, איחוד מניות או הנפקת זכויות, יש להתאים למפרע את נתוני הרווח למניה (גם במקרה בו הדבר ארע לאחר תקופת הדיווח ולפני פרסום הדוחות).</w:t>
      </w:r>
    </w:p>
  </w:footnote>
  <w:footnote w:id="18">
    <w:p w14:paraId="443AF041" w14:textId="77777777" w:rsidR="001521F8" w:rsidRDefault="001521F8" w:rsidP="00E21527">
      <w:pPr>
        <w:pStyle w:val="ac"/>
        <w:rPr>
          <w:rtl/>
        </w:rPr>
      </w:pPr>
      <w:r>
        <w:rPr>
          <w:rStyle w:val="ab"/>
        </w:rPr>
        <w:footnoteRef/>
      </w:r>
      <w:r>
        <w:rPr>
          <w:rtl/>
        </w:rPr>
        <w:t xml:space="preserve"> </w:t>
      </w:r>
      <w:r>
        <w:rPr>
          <w:rFonts w:hint="cs"/>
          <w:rtl/>
        </w:rPr>
        <w:tab/>
        <w:t xml:space="preserve">לפי </w:t>
      </w:r>
      <w:r>
        <w:rPr>
          <w:rFonts w:hint="cs"/>
        </w:rPr>
        <w:t>A</w:t>
      </w:r>
      <w:r>
        <w:rPr>
          <w:rFonts w:hint="cs"/>
          <w:rtl/>
        </w:rPr>
        <w:t xml:space="preserve">1.82 </w:t>
      </w:r>
      <w:r>
        <w:rPr>
          <w:rFonts w:hint="cs"/>
        </w:rPr>
        <w:t>IAS</w:t>
      </w:r>
      <w:r>
        <w:rPr>
          <w:rFonts w:hint="cs"/>
          <w:rtl/>
        </w:rPr>
        <w:t xml:space="preserve"> בוצעה הפרדה של סכומי הרווח הכולל האחר לסכומים שלא יסווגו מחדש לאחר מכן לרווח או הפסד ולסכומים שיסווגו מחדש לרווח או הפסד בהתקיים תנאים ספציפיים.</w:t>
      </w:r>
    </w:p>
  </w:footnote>
  <w:footnote w:id="19">
    <w:p w14:paraId="241FBA91" w14:textId="77777777" w:rsidR="001521F8" w:rsidRDefault="001521F8" w:rsidP="004514AA">
      <w:pPr>
        <w:pStyle w:val="ac"/>
        <w:rPr>
          <w:rtl/>
        </w:rPr>
      </w:pPr>
      <w:r>
        <w:rPr>
          <w:rStyle w:val="ab"/>
        </w:rPr>
        <w:footnoteRef/>
      </w:r>
      <w:r>
        <w:rPr>
          <w:rtl/>
        </w:rPr>
        <w:t xml:space="preserve"> </w:t>
      </w:r>
      <w:r>
        <w:rPr>
          <w:rFonts w:hint="cs"/>
          <w:rtl/>
        </w:rPr>
        <w:tab/>
        <w:t xml:space="preserve">רלוונטי לחברות שמיישמות את מודל ההערכה מחדש או למקרים שבוצע שערוך במסגרת העברה לפי </w:t>
      </w:r>
      <w:r w:rsidRPr="00260DA1">
        <w:rPr>
          <w:szCs w:val="8"/>
        </w:rPr>
        <w:t>IAS 40.57</w:t>
      </w:r>
      <w:r w:rsidRPr="00260DA1">
        <w:rPr>
          <w:szCs w:val="8"/>
          <w:rtl/>
        </w:rPr>
        <w:t xml:space="preserve">  </w:t>
      </w:r>
      <w:r>
        <w:rPr>
          <w:rFonts w:hint="cs"/>
          <w:rtl/>
        </w:rPr>
        <w:t>מרכוש קבוע שנמדד לפי מודל העלות לנדל"ן להשקעה שנמדד לפי שווי הוגן.</w:t>
      </w:r>
    </w:p>
  </w:footnote>
  <w:footnote w:id="20">
    <w:p w14:paraId="7045150E" w14:textId="77777777" w:rsidR="001521F8" w:rsidRDefault="001521F8" w:rsidP="00E21527">
      <w:pPr>
        <w:pStyle w:val="ac"/>
        <w:rPr>
          <w:rtl/>
        </w:rPr>
      </w:pPr>
      <w:r>
        <w:rPr>
          <w:rStyle w:val="ab"/>
        </w:rPr>
        <w:footnoteRef/>
      </w:r>
      <w:r>
        <w:rPr>
          <w:rtl/>
        </w:rPr>
        <w:t xml:space="preserve"> </w:t>
      </w:r>
      <w:r>
        <w:rPr>
          <w:rFonts w:hint="cs"/>
          <w:rtl/>
        </w:rPr>
        <w:tab/>
        <w:t>ניתן לקבץ את הסעיפים המתייחסים לאותו פריט ולפרט בביאור את הסכום שיסווג לרווח או הפסד בעתיד ואת הסכום שמסווג לרווח או הפסד בתקופה השוטפת.</w:t>
      </w:r>
    </w:p>
  </w:footnote>
  <w:footnote w:id="21">
    <w:p w14:paraId="2545A5C3" w14:textId="300590C3" w:rsidR="001521F8" w:rsidRDefault="001521F8" w:rsidP="00E21527">
      <w:pPr>
        <w:pStyle w:val="ac"/>
        <w:rPr>
          <w:rtl/>
        </w:rPr>
      </w:pPr>
      <w:r>
        <w:rPr>
          <w:rStyle w:val="ab"/>
        </w:rPr>
        <w:footnoteRef/>
      </w:r>
      <w:r>
        <w:rPr>
          <w:rtl/>
        </w:rPr>
        <w:t xml:space="preserve"> </w:t>
      </w:r>
      <w:r>
        <w:rPr>
          <w:rFonts w:hint="cs"/>
          <w:rtl/>
        </w:rPr>
        <w:tab/>
        <w:t xml:space="preserve">תחת </w:t>
      </w:r>
      <w:r>
        <w:t>IFRS 9</w:t>
      </w:r>
      <w:r>
        <w:rPr>
          <w:rFonts w:hint="cs"/>
          <w:rtl/>
        </w:rPr>
        <w:t xml:space="preserve">, אם מדובר בגידור רכישה עתידית של נכסים לא פיננסיים (למשל מלאי), תוצאות הגידור יזקפו ליתרת המלאי ולכן שורה זו תוצג תחת 'סכומים שלא יסווגו מחדש לאחר מכן לרווח או הפסד'. </w:t>
      </w:r>
    </w:p>
  </w:footnote>
  <w:footnote w:id="22">
    <w:p w14:paraId="7BF4DE10" w14:textId="77777777" w:rsidR="001521F8" w:rsidRPr="00DC7C2F" w:rsidRDefault="001521F8" w:rsidP="00E21527">
      <w:pPr>
        <w:pStyle w:val="ac"/>
        <w:rPr>
          <w:rtl/>
        </w:rPr>
      </w:pPr>
      <w:r>
        <w:rPr>
          <w:rStyle w:val="ab"/>
        </w:rPr>
        <w:footnoteRef/>
      </w:r>
      <w:r>
        <w:rPr>
          <w:rtl/>
        </w:rPr>
        <w:t xml:space="preserve"> </w:t>
      </w:r>
      <w:r>
        <w:rPr>
          <w:rFonts w:hint="cs"/>
          <w:rtl/>
        </w:rPr>
        <w:tab/>
      </w:r>
      <w:r w:rsidRPr="000C4C0E">
        <w:rPr>
          <w:rFonts w:hint="eastAsia"/>
          <w:rtl/>
        </w:rPr>
        <w:t>כולל</w:t>
      </w:r>
      <w:r w:rsidRPr="000C4C0E">
        <w:rPr>
          <w:rtl/>
        </w:rPr>
        <w:t xml:space="preserve"> </w:t>
      </w:r>
      <w:r w:rsidRPr="000C4C0E">
        <w:rPr>
          <w:rFonts w:hint="eastAsia"/>
          <w:rtl/>
        </w:rPr>
        <w:t>רווח</w:t>
      </w:r>
      <w:r w:rsidRPr="000C4C0E">
        <w:rPr>
          <w:rtl/>
        </w:rPr>
        <w:t xml:space="preserve"> </w:t>
      </w:r>
      <w:r w:rsidRPr="000C4C0E">
        <w:rPr>
          <w:rFonts w:hint="eastAsia"/>
          <w:rtl/>
        </w:rPr>
        <w:t>מ</w:t>
      </w:r>
      <w:r w:rsidRPr="000C4C0E">
        <w:rPr>
          <w:rtl/>
        </w:rPr>
        <w:t xml:space="preserve">"מימוש </w:t>
      </w:r>
      <w:r w:rsidRPr="000C4C0E">
        <w:rPr>
          <w:rFonts w:hint="eastAsia"/>
          <w:rtl/>
        </w:rPr>
        <w:t>רעיוני</w:t>
      </w:r>
      <w:r w:rsidRPr="000C4C0E">
        <w:rPr>
          <w:rtl/>
        </w:rPr>
        <w:t>" (</w:t>
      </w:r>
      <w:r w:rsidRPr="000C4C0E">
        <w:rPr>
          <w:rFonts w:hint="eastAsia"/>
          <w:rtl/>
        </w:rPr>
        <w:t>מדידה</w:t>
      </w:r>
      <w:r w:rsidRPr="000C4C0E">
        <w:rPr>
          <w:rtl/>
        </w:rPr>
        <w:t xml:space="preserve"> מחדש) של השקעה בחברה מוחזקת </w:t>
      </w:r>
      <w:r w:rsidRPr="000C4C0E">
        <w:rPr>
          <w:rFonts w:hint="eastAsia"/>
          <w:rtl/>
        </w:rPr>
        <w:t>ששיעור</w:t>
      </w:r>
      <w:r w:rsidRPr="000C4C0E">
        <w:rPr>
          <w:rtl/>
        </w:rPr>
        <w:t xml:space="preserve"> </w:t>
      </w:r>
      <w:r w:rsidRPr="000C4C0E">
        <w:rPr>
          <w:rFonts w:hint="eastAsia"/>
          <w:rtl/>
        </w:rPr>
        <w:t>ההחזקה</w:t>
      </w:r>
      <w:r w:rsidRPr="000C4C0E">
        <w:rPr>
          <w:rtl/>
        </w:rPr>
        <w:t xml:space="preserve"> </w:t>
      </w:r>
      <w:r w:rsidRPr="000C4C0E">
        <w:rPr>
          <w:rFonts w:hint="eastAsia"/>
          <w:rtl/>
        </w:rPr>
        <w:t>בה</w:t>
      </w:r>
      <w:r w:rsidRPr="000C4C0E">
        <w:rPr>
          <w:rtl/>
        </w:rPr>
        <w:t xml:space="preserve"> </w:t>
      </w:r>
      <w:r w:rsidRPr="000C4C0E">
        <w:rPr>
          <w:rFonts w:hint="eastAsia"/>
          <w:rtl/>
        </w:rPr>
        <w:t>השתנה</w:t>
      </w:r>
      <w:r w:rsidRPr="000C4C0E">
        <w:rPr>
          <w:rtl/>
        </w:rPr>
        <w:t xml:space="preserve"> </w:t>
      </w:r>
      <w:r w:rsidRPr="000C4C0E">
        <w:rPr>
          <w:rFonts w:hint="eastAsia"/>
          <w:rtl/>
        </w:rPr>
        <w:t>עם</w:t>
      </w:r>
      <w:r w:rsidRPr="000C4C0E">
        <w:rPr>
          <w:rtl/>
        </w:rPr>
        <w:t xml:space="preserve"> </w:t>
      </w:r>
      <w:r w:rsidRPr="000C4C0E">
        <w:rPr>
          <w:rFonts w:hint="eastAsia"/>
          <w:rtl/>
        </w:rPr>
        <w:t>שינוי</w:t>
      </w:r>
      <w:r w:rsidRPr="000C4C0E">
        <w:rPr>
          <w:rtl/>
        </w:rPr>
        <w:t xml:space="preserve"> </w:t>
      </w:r>
      <w:r w:rsidRPr="000C4C0E">
        <w:rPr>
          <w:rFonts w:hint="eastAsia"/>
          <w:rtl/>
        </w:rPr>
        <w:t>סטטוס</w:t>
      </w:r>
      <w:r w:rsidRPr="000C4C0E">
        <w:rPr>
          <w:rtl/>
        </w:rPr>
        <w:t xml:space="preserve"> ורווח </w:t>
      </w:r>
      <w:r w:rsidRPr="000C4C0E">
        <w:rPr>
          <w:rFonts w:hint="eastAsia"/>
          <w:rtl/>
        </w:rPr>
        <w:t>הון</w:t>
      </w:r>
      <w:r w:rsidRPr="000C4C0E">
        <w:rPr>
          <w:rtl/>
        </w:rPr>
        <w:t xml:space="preserve"> </w:t>
      </w:r>
      <w:r w:rsidRPr="000C4C0E">
        <w:rPr>
          <w:rFonts w:hint="eastAsia"/>
          <w:rtl/>
        </w:rPr>
        <w:t>ממימוש</w:t>
      </w:r>
      <w:r w:rsidRPr="000C4C0E">
        <w:rPr>
          <w:rtl/>
        </w:rPr>
        <w:t xml:space="preserve"> </w:t>
      </w:r>
      <w:r w:rsidRPr="000C4C0E">
        <w:rPr>
          <w:rFonts w:hint="eastAsia"/>
          <w:rtl/>
        </w:rPr>
        <w:t>השקעה</w:t>
      </w:r>
      <w:r w:rsidRPr="000C4C0E">
        <w:rPr>
          <w:rtl/>
        </w:rPr>
        <w:t xml:space="preserve"> </w:t>
      </w:r>
      <w:r w:rsidRPr="000C4C0E">
        <w:rPr>
          <w:rFonts w:hint="eastAsia"/>
          <w:rtl/>
        </w:rPr>
        <w:t>בחברה</w:t>
      </w:r>
      <w:r w:rsidRPr="000C4C0E">
        <w:rPr>
          <w:rtl/>
        </w:rPr>
        <w:t xml:space="preserve"> </w:t>
      </w:r>
      <w:r w:rsidRPr="000C4C0E">
        <w:rPr>
          <w:rFonts w:hint="eastAsia"/>
          <w:rtl/>
        </w:rPr>
        <w:t>מוחזקת</w:t>
      </w:r>
      <w:r w:rsidRPr="000C4C0E">
        <w:rPr>
          <w:rtl/>
        </w:rPr>
        <w:t xml:space="preserve">, </w:t>
      </w:r>
      <w:r w:rsidRPr="000C4C0E">
        <w:rPr>
          <w:rFonts w:hint="eastAsia"/>
          <w:rtl/>
        </w:rPr>
        <w:t>למעט</w:t>
      </w:r>
      <w:r w:rsidRPr="000C4C0E">
        <w:rPr>
          <w:rtl/>
        </w:rPr>
        <w:t xml:space="preserve"> </w:t>
      </w:r>
      <w:r w:rsidRPr="000C4C0E">
        <w:rPr>
          <w:rFonts w:hint="eastAsia"/>
          <w:rtl/>
        </w:rPr>
        <w:t>רווח</w:t>
      </w:r>
      <w:r w:rsidRPr="000C4C0E">
        <w:rPr>
          <w:rtl/>
        </w:rPr>
        <w:t xml:space="preserve"> </w:t>
      </w:r>
      <w:r w:rsidRPr="000C4C0E">
        <w:rPr>
          <w:rFonts w:hint="eastAsia"/>
          <w:rtl/>
        </w:rPr>
        <w:t>הון</w:t>
      </w:r>
      <w:r w:rsidRPr="000C4C0E">
        <w:rPr>
          <w:rtl/>
        </w:rPr>
        <w:t xml:space="preserve"> </w:t>
      </w:r>
      <w:r w:rsidRPr="000C4C0E">
        <w:rPr>
          <w:rFonts w:hint="eastAsia"/>
          <w:rtl/>
        </w:rPr>
        <w:t>במקרה</w:t>
      </w:r>
      <w:r w:rsidRPr="000C4C0E">
        <w:rPr>
          <w:rtl/>
        </w:rPr>
        <w:t xml:space="preserve"> </w:t>
      </w:r>
      <w:r w:rsidRPr="000C4C0E">
        <w:rPr>
          <w:rFonts w:hint="eastAsia"/>
          <w:rtl/>
        </w:rPr>
        <w:t>בו</w:t>
      </w:r>
      <w:r w:rsidRPr="000C4C0E">
        <w:rPr>
          <w:rtl/>
        </w:rPr>
        <w:t xml:space="preserve"> </w:t>
      </w:r>
      <w:r w:rsidRPr="000C4C0E">
        <w:rPr>
          <w:rFonts w:hint="eastAsia"/>
          <w:rtl/>
        </w:rPr>
        <w:t>מדובר</w:t>
      </w:r>
      <w:r w:rsidRPr="000C4C0E">
        <w:rPr>
          <w:rtl/>
        </w:rPr>
        <w:t xml:space="preserve"> </w:t>
      </w:r>
      <w:r w:rsidRPr="000C4C0E">
        <w:rPr>
          <w:rFonts w:hint="eastAsia"/>
          <w:rtl/>
        </w:rPr>
        <w:t>בפעילות</w:t>
      </w:r>
      <w:r w:rsidRPr="000C4C0E">
        <w:rPr>
          <w:rtl/>
        </w:rPr>
        <w:t xml:space="preserve"> </w:t>
      </w:r>
      <w:r w:rsidRPr="000C4C0E">
        <w:rPr>
          <w:rFonts w:hint="eastAsia"/>
          <w:rtl/>
        </w:rPr>
        <w:t>מופסקת</w:t>
      </w:r>
      <w:r w:rsidRPr="000C4C0E">
        <w:rPr>
          <w:rtl/>
        </w:rPr>
        <w:t xml:space="preserve">, </w:t>
      </w:r>
      <w:r w:rsidRPr="000C4C0E">
        <w:rPr>
          <w:rFonts w:hint="eastAsia"/>
          <w:rtl/>
        </w:rPr>
        <w:t>שאז</w:t>
      </w:r>
      <w:r w:rsidRPr="000C4C0E">
        <w:rPr>
          <w:rtl/>
        </w:rPr>
        <w:t xml:space="preserve"> </w:t>
      </w:r>
      <w:r w:rsidRPr="000C4C0E">
        <w:rPr>
          <w:rFonts w:hint="eastAsia"/>
          <w:rtl/>
        </w:rPr>
        <w:t>הוא</w:t>
      </w:r>
      <w:r w:rsidRPr="000C4C0E">
        <w:rPr>
          <w:rtl/>
        </w:rPr>
        <w:t xml:space="preserve"> </w:t>
      </w:r>
      <w:r w:rsidRPr="000C4C0E">
        <w:rPr>
          <w:rFonts w:hint="eastAsia"/>
          <w:rtl/>
        </w:rPr>
        <w:t>ייכלל</w:t>
      </w:r>
      <w:r w:rsidRPr="000C4C0E">
        <w:rPr>
          <w:rtl/>
        </w:rPr>
        <w:t xml:space="preserve"> </w:t>
      </w:r>
      <w:r w:rsidRPr="000C4C0E">
        <w:rPr>
          <w:rFonts w:hint="eastAsia"/>
          <w:rtl/>
        </w:rPr>
        <w:t>בשורת</w:t>
      </w:r>
      <w:r w:rsidRPr="000C4C0E">
        <w:rPr>
          <w:rtl/>
        </w:rPr>
        <w:t xml:space="preserve"> "רווח (הפסד) </w:t>
      </w:r>
      <w:r w:rsidRPr="000C4C0E">
        <w:rPr>
          <w:rFonts w:hint="eastAsia"/>
          <w:rtl/>
        </w:rPr>
        <w:t>מפעילויות</w:t>
      </w:r>
      <w:r w:rsidRPr="000C4C0E">
        <w:rPr>
          <w:rtl/>
        </w:rPr>
        <w:t xml:space="preserve"> </w:t>
      </w:r>
      <w:r w:rsidRPr="000C4C0E">
        <w:rPr>
          <w:rFonts w:hint="eastAsia"/>
          <w:rtl/>
        </w:rPr>
        <w:t>שהופסקו</w:t>
      </w:r>
      <w:r w:rsidRPr="000C4C0E">
        <w:rPr>
          <w:rtl/>
        </w:rPr>
        <w:t xml:space="preserve">, </w:t>
      </w:r>
      <w:r w:rsidRPr="000C4C0E">
        <w:rPr>
          <w:rFonts w:hint="eastAsia"/>
          <w:rtl/>
        </w:rPr>
        <w:t>נטו</w:t>
      </w:r>
      <w:r w:rsidRPr="000C4C0E">
        <w:rPr>
          <w:rtl/>
        </w:rPr>
        <w:t>".</w:t>
      </w:r>
      <w:r w:rsidRPr="00DC7C2F">
        <w:rPr>
          <w:rFonts w:hint="cs"/>
          <w:rtl/>
        </w:rPr>
        <w:t xml:space="preserve"> במקרים מסויימים ייתכן שיסווג מחוץ לתפעולי.</w:t>
      </w:r>
    </w:p>
  </w:footnote>
  <w:footnote w:id="23">
    <w:p w14:paraId="7BF7FCCD" w14:textId="77777777" w:rsidR="001521F8" w:rsidRPr="00DC7C2F" w:rsidRDefault="001521F8" w:rsidP="00E21527">
      <w:pPr>
        <w:pStyle w:val="ac"/>
        <w:rPr>
          <w:rtl/>
        </w:rPr>
      </w:pPr>
      <w:r>
        <w:rPr>
          <w:rStyle w:val="ab"/>
        </w:rPr>
        <w:footnoteRef/>
      </w:r>
      <w:r w:rsidRPr="000C4C0E">
        <w:rPr>
          <w:rtl/>
        </w:rPr>
        <w:t xml:space="preserve"> </w:t>
      </w:r>
      <w:r w:rsidRPr="000C4C0E">
        <w:rPr>
          <w:rtl/>
        </w:rPr>
        <w:tab/>
      </w:r>
      <w:r w:rsidRPr="000C4C0E">
        <w:rPr>
          <w:rFonts w:hint="eastAsia"/>
          <w:rtl/>
        </w:rPr>
        <w:t>כולל</w:t>
      </w:r>
      <w:r w:rsidRPr="000C4C0E">
        <w:rPr>
          <w:rtl/>
        </w:rPr>
        <w:t xml:space="preserve"> הפסד מ"מימוש רעיוני" (מדידה מחדש) של השקעה בחברה מוחזקת ששיעור ההחזקה בה השתנה עם שינוי </w:t>
      </w:r>
      <w:r w:rsidRPr="000C4C0E">
        <w:rPr>
          <w:rFonts w:hint="eastAsia"/>
          <w:rtl/>
        </w:rPr>
        <w:t>סטטוס</w:t>
      </w:r>
      <w:r w:rsidRPr="000C4C0E">
        <w:rPr>
          <w:rtl/>
        </w:rPr>
        <w:t xml:space="preserve"> והפסד הון ממימוש השקעה בחברה מוחזקת, למעט הפסד הון במקרה בו מדובר בפעילות מופסקת, שאז הוא ייכלל בשורת "רווח (הפסד) מפעילויות שהופסקו, נטו".</w:t>
      </w:r>
      <w:r w:rsidRPr="00DC7C2F">
        <w:rPr>
          <w:rFonts w:hint="cs"/>
          <w:rtl/>
        </w:rPr>
        <w:t xml:space="preserve"> במקרים מסויימים ייתכן שיסווג מחוץ לתפעולי.</w:t>
      </w:r>
    </w:p>
  </w:footnote>
  <w:footnote w:id="24">
    <w:p w14:paraId="2B2F61F1" w14:textId="0047A876" w:rsidR="001521F8" w:rsidRDefault="001521F8" w:rsidP="00E21527">
      <w:pPr>
        <w:pStyle w:val="ac"/>
        <w:rPr>
          <w:rtl/>
        </w:rPr>
      </w:pPr>
      <w:r>
        <w:rPr>
          <w:rStyle w:val="ab"/>
        </w:rPr>
        <w:footnoteRef/>
      </w:r>
      <w:r>
        <w:rPr>
          <w:rtl/>
        </w:rPr>
        <w:t xml:space="preserve"> </w:t>
      </w:r>
      <w:r>
        <w:rPr>
          <w:rtl/>
        </w:rPr>
        <w:tab/>
      </w:r>
      <w:r>
        <w:rPr>
          <w:rFonts w:hint="cs"/>
          <w:rtl/>
        </w:rPr>
        <w:t>ניתן להציג סעיף זה גם במסגרת הרווח (הפסד) התפעולי וזאת בין היתר כאשר מאפייני פעילות החברה המוחזקת עולים בקנה אחד עם מאפייני הפעילות של החברה המחזיקה. במקרה הצורך יש להיוועץ עם המחלקה המקצועית.</w:t>
      </w:r>
    </w:p>
  </w:footnote>
  <w:footnote w:id="25">
    <w:p w14:paraId="6484E83B" w14:textId="77777777" w:rsidR="001521F8" w:rsidRDefault="001521F8" w:rsidP="001B1350">
      <w:pPr>
        <w:pStyle w:val="ac"/>
        <w:rPr>
          <w:rtl/>
        </w:rPr>
      </w:pPr>
      <w:r>
        <w:rPr>
          <w:rStyle w:val="ab"/>
        </w:rPr>
        <w:footnoteRef/>
      </w:r>
      <w:r>
        <w:rPr>
          <w:rtl/>
        </w:rPr>
        <w:t xml:space="preserve"> </w:t>
      </w:r>
      <w:r>
        <w:rPr>
          <w:rFonts w:hint="cs"/>
          <w:rtl/>
        </w:rPr>
        <w:tab/>
        <w:t xml:space="preserve">לפי </w:t>
      </w:r>
      <w:r>
        <w:rPr>
          <w:rFonts w:hint="cs"/>
        </w:rPr>
        <w:t>A</w:t>
      </w:r>
      <w:r>
        <w:rPr>
          <w:rFonts w:hint="cs"/>
          <w:rtl/>
        </w:rPr>
        <w:t xml:space="preserve">1.82 </w:t>
      </w:r>
      <w:r>
        <w:rPr>
          <w:rFonts w:hint="cs"/>
        </w:rPr>
        <w:t>IAS</w:t>
      </w:r>
      <w:r>
        <w:rPr>
          <w:rFonts w:hint="cs"/>
          <w:rtl/>
        </w:rPr>
        <w:t xml:space="preserve"> בוצעה הפרדה של סכומי הרווח הכולל האחר לסכומים שלא יסווגו מחדש לאחר מכן לרווח או הפסד ולסכומים שיסווגו מחדש לרווח או הפסד בהתקיים תנאים ספציפיים.</w:t>
      </w:r>
    </w:p>
  </w:footnote>
  <w:footnote w:id="26">
    <w:p w14:paraId="59CE19CA" w14:textId="77777777" w:rsidR="001521F8" w:rsidRDefault="001521F8" w:rsidP="001B1350">
      <w:pPr>
        <w:pStyle w:val="ac"/>
        <w:rPr>
          <w:rtl/>
        </w:rPr>
      </w:pPr>
      <w:r>
        <w:rPr>
          <w:rStyle w:val="ab"/>
        </w:rPr>
        <w:footnoteRef/>
      </w:r>
      <w:r>
        <w:rPr>
          <w:rtl/>
        </w:rPr>
        <w:t xml:space="preserve"> </w:t>
      </w:r>
      <w:r>
        <w:rPr>
          <w:rFonts w:hint="cs"/>
          <w:rtl/>
        </w:rPr>
        <w:tab/>
        <w:t xml:space="preserve">רלוונטי לחברות שמיישמות את מודל ההערכה מחדש או למקרים שבוצע שערוך במסגרת העברה לפי </w:t>
      </w:r>
      <w:r w:rsidRPr="00260DA1">
        <w:rPr>
          <w:szCs w:val="8"/>
        </w:rPr>
        <w:t>IAS 40.57</w:t>
      </w:r>
      <w:r w:rsidRPr="00260DA1">
        <w:rPr>
          <w:szCs w:val="8"/>
          <w:rtl/>
        </w:rPr>
        <w:t xml:space="preserve">  </w:t>
      </w:r>
      <w:r>
        <w:rPr>
          <w:rFonts w:hint="cs"/>
          <w:rtl/>
        </w:rPr>
        <w:t>מרכוש קבוע שנמדד לפי מודל העלות לנדל"ן להשקעה שנמדד לפי שווי הוגן.</w:t>
      </w:r>
    </w:p>
  </w:footnote>
  <w:footnote w:id="27">
    <w:p w14:paraId="52C04BF9" w14:textId="77777777" w:rsidR="001521F8" w:rsidRDefault="001521F8" w:rsidP="001B1350">
      <w:pPr>
        <w:pStyle w:val="ac"/>
        <w:rPr>
          <w:rtl/>
        </w:rPr>
      </w:pPr>
      <w:r>
        <w:rPr>
          <w:rStyle w:val="ab"/>
        </w:rPr>
        <w:footnoteRef/>
      </w:r>
      <w:r>
        <w:rPr>
          <w:rtl/>
        </w:rPr>
        <w:t xml:space="preserve"> </w:t>
      </w:r>
      <w:r>
        <w:rPr>
          <w:rFonts w:hint="cs"/>
          <w:rtl/>
        </w:rPr>
        <w:tab/>
        <w:t>ניתן לקבץ את הסעיפים המתייחסים לאותו פריט ולפרט בביאור את הסכום שיסווג לרווח או הפסד בעתיד ואת הסכום שמסווג לרווח או הפסד בתקופה השוטפת.</w:t>
      </w:r>
    </w:p>
  </w:footnote>
  <w:footnote w:id="28">
    <w:p w14:paraId="362F7762" w14:textId="77777777" w:rsidR="001521F8" w:rsidRDefault="001521F8" w:rsidP="001B1350">
      <w:pPr>
        <w:pStyle w:val="ac"/>
        <w:rPr>
          <w:rtl/>
        </w:rPr>
      </w:pPr>
      <w:r>
        <w:rPr>
          <w:rStyle w:val="ab"/>
        </w:rPr>
        <w:footnoteRef/>
      </w:r>
      <w:r>
        <w:rPr>
          <w:rtl/>
        </w:rPr>
        <w:t xml:space="preserve"> </w:t>
      </w:r>
      <w:r>
        <w:rPr>
          <w:rFonts w:hint="cs"/>
          <w:rtl/>
        </w:rPr>
        <w:tab/>
        <w:t xml:space="preserve">תחת </w:t>
      </w:r>
      <w:r>
        <w:t>IFRS 9</w:t>
      </w:r>
      <w:r>
        <w:rPr>
          <w:rFonts w:hint="cs"/>
          <w:rtl/>
        </w:rPr>
        <w:t xml:space="preserve">, אם מדובר בגידור רכישה עתידית של נכסים לא פיננסיים (למשל מלאי), תוצאות הגידור יזקפו ליתרת המלאי ולכן שורה זו תוצג תחת 'סכומים שלא יסווגו מחדש לאחר מכן לרווח או הפסד'. </w:t>
      </w:r>
    </w:p>
  </w:footnote>
  <w:footnote w:id="29">
    <w:p w14:paraId="0205B0CC" w14:textId="77777777" w:rsidR="001521F8" w:rsidRDefault="001521F8" w:rsidP="00E21527">
      <w:pPr>
        <w:pStyle w:val="ac"/>
        <w:rPr>
          <w:rtl/>
        </w:rPr>
      </w:pPr>
      <w:r>
        <w:rPr>
          <w:rStyle w:val="ab"/>
        </w:rPr>
        <w:footnoteRef/>
      </w:r>
      <w:r>
        <w:rPr>
          <w:rtl/>
        </w:rPr>
        <w:t xml:space="preserve"> </w:t>
      </w:r>
      <w:r>
        <w:rPr>
          <w:rFonts w:hint="cs"/>
          <w:rtl/>
        </w:rPr>
        <w:tab/>
      </w:r>
      <w:r w:rsidRPr="00F35F10">
        <w:rPr>
          <w:rFonts w:hint="cs"/>
          <w:rtl/>
        </w:rPr>
        <w:t>במקרה של הנפקת</w:t>
      </w:r>
      <w:r>
        <w:rPr>
          <w:rFonts w:hint="cs"/>
          <w:rtl/>
        </w:rPr>
        <w:t xml:space="preserve"> מניות הטבה, פיצול מניות, איחוד מניות או הנפקת זכויות, יש להתאים למפרע את נתוני הרווח למניה (גם במקרה בו הדבר ארע לאחר תקופת הדיווח ולפני פרסום הדוחות).</w:t>
      </w:r>
    </w:p>
  </w:footnote>
  <w:footnote w:id="30">
    <w:p w14:paraId="2F5C3CDB" w14:textId="77777777" w:rsidR="001521F8" w:rsidRDefault="001521F8" w:rsidP="00E21527">
      <w:pPr>
        <w:pStyle w:val="ac"/>
      </w:pPr>
      <w:r w:rsidRPr="002E462C">
        <w:rPr>
          <w:rStyle w:val="ab"/>
        </w:rPr>
        <w:footnoteRef/>
      </w:r>
      <w:r w:rsidRPr="002E462C">
        <w:rPr>
          <w:rtl/>
        </w:rPr>
        <w:t xml:space="preserve"> </w:t>
      </w:r>
      <w:r w:rsidRPr="002E462C">
        <w:rPr>
          <w:rFonts w:hint="cs"/>
          <w:rtl/>
        </w:rPr>
        <w:tab/>
      </w:r>
      <w:r>
        <w:rPr>
          <w:rFonts w:hint="cs"/>
          <w:rtl/>
        </w:rPr>
        <w:t xml:space="preserve">ההנחה בדוחות לדוגמא אלה הינה כי החברה בחרה בעבר להציג את התנועה </w:t>
      </w:r>
      <w:r w:rsidRPr="002E462C">
        <w:rPr>
          <w:rtl/>
        </w:rPr>
        <w:t xml:space="preserve">בגין כל רכיב של רווח כולל אחר במסגרת </w:t>
      </w:r>
      <w:r w:rsidRPr="002E462C">
        <w:rPr>
          <w:rFonts w:hint="eastAsia"/>
          <w:rtl/>
        </w:rPr>
        <w:t>הבאורים</w:t>
      </w:r>
      <w:r w:rsidRPr="002E462C">
        <w:rPr>
          <w:rtl/>
        </w:rPr>
        <w:t xml:space="preserve"> לדוחות הכספיים השנתיים. עם זאת, </w:t>
      </w:r>
      <w:r>
        <w:rPr>
          <w:rFonts w:hint="cs"/>
          <w:rtl/>
        </w:rPr>
        <w:t>עבור</w:t>
      </w:r>
      <w:r w:rsidRPr="002E462C">
        <w:rPr>
          <w:rtl/>
        </w:rPr>
        <w:t xml:space="preserve"> חברות</w:t>
      </w:r>
      <w:r>
        <w:rPr>
          <w:rFonts w:hint="cs"/>
          <w:rtl/>
        </w:rPr>
        <w:t xml:space="preserve"> שבחרו</w:t>
      </w:r>
      <w:r w:rsidRPr="002E462C">
        <w:rPr>
          <w:rtl/>
        </w:rPr>
        <w:t xml:space="preserve"> להציג את התנועה כאמור במסגרת הדוח על השינויים בהון, מובא </w:t>
      </w:r>
      <w:r>
        <w:rPr>
          <w:rtl/>
        </w:rPr>
        <w:t>בנספח א' לדוחות</w:t>
      </w:r>
      <w:r w:rsidRPr="002E462C">
        <w:rPr>
          <w:rtl/>
        </w:rPr>
        <w:t xml:space="preserve"> לדוגמא אלה מבנה של הדוח על השינויים בהון בהתאם להוראות </w:t>
      </w:r>
      <w:r w:rsidRPr="002E462C">
        <w:t xml:space="preserve"> </w:t>
      </w:r>
      <w:r w:rsidRPr="00280C26">
        <w:rPr>
          <w:sz w:val="13"/>
          <w:szCs w:val="12"/>
        </w:rPr>
        <w:t xml:space="preserve">IAS </w:t>
      </w:r>
      <w:r w:rsidRPr="002E462C">
        <w:t>1</w:t>
      </w:r>
      <w:r w:rsidRPr="002E462C">
        <w:rPr>
          <w:rFonts w:hint="eastAsia"/>
          <w:rtl/>
        </w:rPr>
        <w:t>המתוקן</w:t>
      </w:r>
      <w:r>
        <w:rPr>
          <w:rFonts w:hint="cs"/>
          <w:rtl/>
        </w:rPr>
        <w:t>, שיש להשתמש בו במקום במוצג בדוחות על השינויים בהון שבגוף דוחות לדוגמא אלה.</w:t>
      </w:r>
    </w:p>
  </w:footnote>
  <w:footnote w:id="31">
    <w:p w14:paraId="133CDEDF" w14:textId="77777777" w:rsidR="001521F8" w:rsidRPr="00E342AA" w:rsidRDefault="001521F8" w:rsidP="00E21527">
      <w:pPr>
        <w:pStyle w:val="ac"/>
        <w:rPr>
          <w:rtl/>
        </w:rPr>
      </w:pPr>
      <w:r w:rsidRPr="00E342AA">
        <w:rPr>
          <w:rStyle w:val="ab"/>
          <w:szCs w:val="17"/>
        </w:rPr>
        <w:footnoteRef/>
      </w:r>
      <w:r w:rsidRPr="00E342AA">
        <w:rPr>
          <w:rtl/>
        </w:rPr>
        <w:t xml:space="preserve"> </w:t>
      </w:r>
      <w:r w:rsidRPr="00E342AA">
        <w:rPr>
          <w:rFonts w:hint="cs"/>
          <w:rtl/>
        </w:rPr>
        <w:tab/>
        <w:t>לאור פרסום בנושא של המוסד הישראלי לתקינה בחשבונאות ממאי 2010, ניתן לבחור כמדיניות חשבונאית להציג ביתרת הרווח.</w:t>
      </w:r>
    </w:p>
  </w:footnote>
  <w:footnote w:id="32">
    <w:p w14:paraId="009760A0" w14:textId="77777777" w:rsidR="001521F8" w:rsidRPr="00E342AA" w:rsidRDefault="001521F8" w:rsidP="00E21527">
      <w:pPr>
        <w:pStyle w:val="ac"/>
        <w:rPr>
          <w:rtl/>
        </w:rPr>
      </w:pPr>
      <w:r w:rsidRPr="002E462C">
        <w:rPr>
          <w:rStyle w:val="ab"/>
          <w:szCs w:val="17"/>
        </w:rPr>
        <w:footnoteRef/>
      </w:r>
      <w:r w:rsidRPr="002E462C">
        <w:rPr>
          <w:rtl/>
        </w:rPr>
        <w:t xml:space="preserve"> </w:t>
      </w:r>
      <w:r w:rsidRPr="002E462C">
        <w:rPr>
          <w:rFonts w:hint="cs"/>
          <w:rtl/>
        </w:rPr>
        <w:tab/>
      </w:r>
      <w:r w:rsidRPr="002E462C">
        <w:rPr>
          <w:rFonts w:hint="eastAsia"/>
          <w:rtl/>
        </w:rPr>
        <w:t>לרבות</w:t>
      </w:r>
      <w:r w:rsidRPr="002E462C">
        <w:rPr>
          <w:rtl/>
        </w:rPr>
        <w:t xml:space="preserve"> </w:t>
      </w:r>
      <w:r w:rsidRPr="002E462C">
        <w:rPr>
          <w:rFonts w:hint="eastAsia"/>
          <w:rtl/>
        </w:rPr>
        <w:t>התאמות</w:t>
      </w:r>
      <w:r w:rsidRPr="002E462C">
        <w:rPr>
          <w:rtl/>
        </w:rPr>
        <w:t xml:space="preserve"> </w:t>
      </w:r>
      <w:r w:rsidRPr="002E462C">
        <w:rPr>
          <w:rFonts w:hint="eastAsia"/>
          <w:rtl/>
        </w:rPr>
        <w:t>הנובעות</w:t>
      </w:r>
      <w:r w:rsidRPr="002E462C">
        <w:rPr>
          <w:rtl/>
        </w:rPr>
        <w:t xml:space="preserve"> </w:t>
      </w:r>
      <w:r w:rsidRPr="002E462C">
        <w:rPr>
          <w:rFonts w:hint="eastAsia"/>
          <w:rtl/>
        </w:rPr>
        <w:t>מתרגום</w:t>
      </w:r>
      <w:r w:rsidRPr="002E462C">
        <w:rPr>
          <w:rtl/>
        </w:rPr>
        <w:t xml:space="preserve"> </w:t>
      </w:r>
      <w:r w:rsidRPr="002E462C">
        <w:rPr>
          <w:rFonts w:hint="eastAsia"/>
          <w:rtl/>
        </w:rPr>
        <w:t>דוחות</w:t>
      </w:r>
      <w:r w:rsidRPr="002E462C">
        <w:rPr>
          <w:rtl/>
        </w:rPr>
        <w:t xml:space="preserve"> </w:t>
      </w:r>
      <w:r w:rsidRPr="002E462C">
        <w:rPr>
          <w:rFonts w:hint="eastAsia"/>
          <w:rtl/>
        </w:rPr>
        <w:t>כספיים</w:t>
      </w:r>
      <w:r w:rsidRPr="002E462C">
        <w:rPr>
          <w:rtl/>
        </w:rPr>
        <w:t xml:space="preserve"> </w:t>
      </w:r>
      <w:r w:rsidRPr="002E462C">
        <w:rPr>
          <w:rFonts w:hint="eastAsia"/>
          <w:rtl/>
        </w:rPr>
        <w:t>ממטבע</w:t>
      </w:r>
      <w:r w:rsidRPr="002E462C">
        <w:rPr>
          <w:rtl/>
        </w:rPr>
        <w:t xml:space="preserve"> </w:t>
      </w:r>
      <w:r w:rsidRPr="002E462C">
        <w:rPr>
          <w:rFonts w:hint="eastAsia"/>
          <w:rtl/>
        </w:rPr>
        <w:t>הפעילות</w:t>
      </w:r>
      <w:r w:rsidRPr="002E462C">
        <w:rPr>
          <w:rtl/>
        </w:rPr>
        <w:t xml:space="preserve"> </w:t>
      </w:r>
      <w:r w:rsidRPr="002E462C">
        <w:rPr>
          <w:rFonts w:hint="eastAsia"/>
          <w:rtl/>
        </w:rPr>
        <w:t>למטבע</w:t>
      </w:r>
      <w:r w:rsidRPr="002E462C">
        <w:rPr>
          <w:rtl/>
        </w:rPr>
        <w:t xml:space="preserve"> </w:t>
      </w:r>
      <w:r w:rsidRPr="002E462C">
        <w:rPr>
          <w:rFonts w:hint="eastAsia"/>
          <w:rtl/>
        </w:rPr>
        <w:t>ההצגה</w:t>
      </w:r>
      <w:r w:rsidRPr="002E462C">
        <w:rPr>
          <w:rtl/>
        </w:rPr>
        <w:t>.</w:t>
      </w:r>
    </w:p>
  </w:footnote>
  <w:footnote w:id="33">
    <w:p w14:paraId="04A3C9CC" w14:textId="6E675D12" w:rsidR="001521F8" w:rsidRDefault="001521F8">
      <w:pPr>
        <w:pStyle w:val="ac"/>
        <w:rPr>
          <w:rtl/>
        </w:rPr>
      </w:pPr>
      <w:r>
        <w:rPr>
          <w:rStyle w:val="ab"/>
        </w:rPr>
        <w:footnoteRef/>
      </w:r>
      <w:r>
        <w:rPr>
          <w:rtl/>
        </w:rPr>
        <w:t xml:space="preserve"> </w:t>
      </w:r>
      <w:r>
        <w:rPr>
          <w:rtl/>
        </w:rPr>
        <w:tab/>
      </w:r>
      <w:r>
        <w:rPr>
          <w:rFonts w:hint="cs"/>
          <w:rtl/>
        </w:rPr>
        <w:t>כאשר קיימת השפעה על ההון הנובעת מיישום תיקונים ופרשנויות נוספים, יש להוסיף שורה נפרדת עבור כל תיקון/פרשנות מתאימה.</w:t>
      </w:r>
    </w:p>
  </w:footnote>
  <w:footnote w:id="34">
    <w:p w14:paraId="42D6537F" w14:textId="77777777" w:rsidR="001521F8" w:rsidRDefault="001521F8" w:rsidP="00E21527">
      <w:pPr>
        <w:pStyle w:val="ac"/>
      </w:pPr>
      <w:r w:rsidRPr="002E462C">
        <w:rPr>
          <w:rStyle w:val="ab"/>
        </w:rPr>
        <w:footnoteRef/>
      </w:r>
      <w:r w:rsidRPr="002E462C">
        <w:rPr>
          <w:rtl/>
        </w:rPr>
        <w:t xml:space="preserve"> </w:t>
      </w:r>
      <w:r w:rsidRPr="002E462C">
        <w:rPr>
          <w:rFonts w:hint="cs"/>
          <w:rtl/>
        </w:rPr>
        <w:tab/>
      </w:r>
      <w:r>
        <w:rPr>
          <w:rFonts w:hint="cs"/>
          <w:rtl/>
        </w:rPr>
        <w:t xml:space="preserve">ההנחה בדוחות לדוגמא אלה הינה כי החברה בחרה בעבר להציג את התנועה </w:t>
      </w:r>
      <w:r w:rsidRPr="002E462C">
        <w:rPr>
          <w:rtl/>
        </w:rPr>
        <w:t xml:space="preserve">בגין כל רכיב של רווח כולל אחר במסגרת </w:t>
      </w:r>
      <w:r w:rsidRPr="002E462C">
        <w:rPr>
          <w:rFonts w:hint="eastAsia"/>
          <w:rtl/>
        </w:rPr>
        <w:t>הבאורים</w:t>
      </w:r>
      <w:r w:rsidRPr="002E462C">
        <w:rPr>
          <w:rtl/>
        </w:rPr>
        <w:t xml:space="preserve"> לדוחות הכספיים השנתיים. עם זאת, </w:t>
      </w:r>
      <w:r>
        <w:rPr>
          <w:rFonts w:hint="cs"/>
          <w:rtl/>
        </w:rPr>
        <w:t>עבור</w:t>
      </w:r>
      <w:r w:rsidRPr="002E462C">
        <w:rPr>
          <w:rtl/>
        </w:rPr>
        <w:t xml:space="preserve"> חברות</w:t>
      </w:r>
      <w:r>
        <w:rPr>
          <w:rFonts w:hint="cs"/>
          <w:rtl/>
        </w:rPr>
        <w:t xml:space="preserve"> שבחרו</w:t>
      </w:r>
      <w:r w:rsidRPr="002E462C">
        <w:rPr>
          <w:rtl/>
        </w:rPr>
        <w:t xml:space="preserve"> להציג את התנועה כאמור במסגרת הדוח על השינויים בהון, מובא </w:t>
      </w:r>
      <w:r>
        <w:rPr>
          <w:rtl/>
        </w:rPr>
        <w:t>בנספח א' לדוחות</w:t>
      </w:r>
      <w:r w:rsidRPr="002E462C">
        <w:rPr>
          <w:rtl/>
        </w:rPr>
        <w:t xml:space="preserve"> לדוגמא אלה מבנה של הדוח על השינויים בהון בהתאם להוראות </w:t>
      </w:r>
      <w:r w:rsidRPr="002E462C">
        <w:t xml:space="preserve"> </w:t>
      </w:r>
      <w:r w:rsidRPr="007911F0">
        <w:rPr>
          <w:sz w:val="15"/>
        </w:rPr>
        <w:t xml:space="preserve">IAS </w:t>
      </w:r>
      <w:r w:rsidRPr="002E462C">
        <w:t>1</w:t>
      </w:r>
      <w:r w:rsidRPr="002E462C">
        <w:rPr>
          <w:rFonts w:hint="eastAsia"/>
          <w:rtl/>
        </w:rPr>
        <w:t>המתוקן</w:t>
      </w:r>
      <w:r>
        <w:rPr>
          <w:rFonts w:hint="cs"/>
          <w:rtl/>
        </w:rPr>
        <w:t>, שיש להשתמש בו במקום במוצג בדוחות על השינויים בהון שבגוף דוחות לדוגמא אלה.</w:t>
      </w:r>
    </w:p>
  </w:footnote>
  <w:footnote w:id="35">
    <w:p w14:paraId="32278055" w14:textId="77777777" w:rsidR="001521F8" w:rsidRPr="00E342AA" w:rsidRDefault="001521F8" w:rsidP="00E21527">
      <w:pPr>
        <w:pStyle w:val="ac"/>
        <w:rPr>
          <w:rtl/>
        </w:rPr>
      </w:pPr>
      <w:r w:rsidRPr="00E342AA">
        <w:rPr>
          <w:rStyle w:val="ab"/>
          <w:szCs w:val="17"/>
        </w:rPr>
        <w:footnoteRef/>
      </w:r>
      <w:r w:rsidRPr="00E342AA">
        <w:rPr>
          <w:rtl/>
        </w:rPr>
        <w:t xml:space="preserve"> </w:t>
      </w:r>
      <w:r w:rsidRPr="00E342AA">
        <w:rPr>
          <w:rFonts w:hint="cs"/>
          <w:rtl/>
        </w:rPr>
        <w:tab/>
        <w:t>לאור פרסום בנושא של המוסד הישראלי לתקינה בחשבונאות ממאי 2010, ניתן לבחור כמדיניות חשבונאית להציג ביתרת הרווח.</w:t>
      </w:r>
    </w:p>
  </w:footnote>
  <w:footnote w:id="36">
    <w:p w14:paraId="334E0ADA" w14:textId="77777777" w:rsidR="001521F8" w:rsidRPr="00E342AA" w:rsidRDefault="001521F8" w:rsidP="00E21527">
      <w:pPr>
        <w:pStyle w:val="ac"/>
        <w:rPr>
          <w:rtl/>
        </w:rPr>
      </w:pPr>
      <w:r w:rsidRPr="002E462C">
        <w:rPr>
          <w:rStyle w:val="ab"/>
          <w:szCs w:val="17"/>
        </w:rPr>
        <w:footnoteRef/>
      </w:r>
      <w:r w:rsidRPr="002E462C">
        <w:rPr>
          <w:rtl/>
        </w:rPr>
        <w:t xml:space="preserve"> </w:t>
      </w:r>
      <w:r w:rsidRPr="002E462C">
        <w:rPr>
          <w:rFonts w:hint="cs"/>
          <w:rtl/>
        </w:rPr>
        <w:tab/>
      </w:r>
      <w:r w:rsidRPr="002E462C">
        <w:rPr>
          <w:rFonts w:hint="eastAsia"/>
          <w:rtl/>
        </w:rPr>
        <w:t>לרבות</w:t>
      </w:r>
      <w:r w:rsidRPr="002E462C">
        <w:rPr>
          <w:rtl/>
        </w:rPr>
        <w:t xml:space="preserve"> </w:t>
      </w:r>
      <w:r w:rsidRPr="002E462C">
        <w:rPr>
          <w:rFonts w:hint="eastAsia"/>
          <w:rtl/>
        </w:rPr>
        <w:t>התאמות</w:t>
      </w:r>
      <w:r w:rsidRPr="002E462C">
        <w:rPr>
          <w:rtl/>
        </w:rPr>
        <w:t xml:space="preserve"> </w:t>
      </w:r>
      <w:r w:rsidRPr="002E462C">
        <w:rPr>
          <w:rFonts w:hint="eastAsia"/>
          <w:rtl/>
        </w:rPr>
        <w:t>הנובעות</w:t>
      </w:r>
      <w:r w:rsidRPr="002E462C">
        <w:rPr>
          <w:rtl/>
        </w:rPr>
        <w:t xml:space="preserve"> </w:t>
      </w:r>
      <w:r w:rsidRPr="002E462C">
        <w:rPr>
          <w:rFonts w:hint="eastAsia"/>
          <w:rtl/>
        </w:rPr>
        <w:t>מתרגום</w:t>
      </w:r>
      <w:r w:rsidRPr="002E462C">
        <w:rPr>
          <w:rtl/>
        </w:rPr>
        <w:t xml:space="preserve"> </w:t>
      </w:r>
      <w:r w:rsidRPr="002E462C">
        <w:rPr>
          <w:rFonts w:hint="eastAsia"/>
          <w:rtl/>
        </w:rPr>
        <w:t>דוחות</w:t>
      </w:r>
      <w:r w:rsidRPr="002E462C">
        <w:rPr>
          <w:rtl/>
        </w:rPr>
        <w:t xml:space="preserve"> </w:t>
      </w:r>
      <w:r w:rsidRPr="002E462C">
        <w:rPr>
          <w:rFonts w:hint="eastAsia"/>
          <w:rtl/>
        </w:rPr>
        <w:t>כספיים</w:t>
      </w:r>
      <w:r w:rsidRPr="002E462C">
        <w:rPr>
          <w:rtl/>
        </w:rPr>
        <w:t xml:space="preserve"> </w:t>
      </w:r>
      <w:r w:rsidRPr="002E462C">
        <w:rPr>
          <w:rFonts w:hint="eastAsia"/>
          <w:rtl/>
        </w:rPr>
        <w:t>ממטבע</w:t>
      </w:r>
      <w:r w:rsidRPr="002E462C">
        <w:rPr>
          <w:rtl/>
        </w:rPr>
        <w:t xml:space="preserve"> </w:t>
      </w:r>
      <w:r w:rsidRPr="002E462C">
        <w:rPr>
          <w:rFonts w:hint="eastAsia"/>
          <w:rtl/>
        </w:rPr>
        <w:t>הפעילות</w:t>
      </w:r>
      <w:r w:rsidRPr="002E462C">
        <w:rPr>
          <w:rtl/>
        </w:rPr>
        <w:t xml:space="preserve"> </w:t>
      </w:r>
      <w:r w:rsidRPr="002E462C">
        <w:rPr>
          <w:rFonts w:hint="eastAsia"/>
          <w:rtl/>
        </w:rPr>
        <w:t>למטבע</w:t>
      </w:r>
      <w:r w:rsidRPr="002E462C">
        <w:rPr>
          <w:rtl/>
        </w:rPr>
        <w:t xml:space="preserve"> </w:t>
      </w:r>
      <w:r w:rsidRPr="002E462C">
        <w:rPr>
          <w:rFonts w:hint="eastAsia"/>
          <w:rtl/>
        </w:rPr>
        <w:t>ההצגה</w:t>
      </w:r>
      <w:r w:rsidRPr="002E462C">
        <w:rPr>
          <w:rtl/>
        </w:rPr>
        <w:t>.</w:t>
      </w:r>
    </w:p>
  </w:footnote>
  <w:footnote w:id="37">
    <w:p w14:paraId="1420826F" w14:textId="77777777" w:rsidR="001521F8" w:rsidRDefault="001521F8" w:rsidP="00C561BD">
      <w:pPr>
        <w:pStyle w:val="ac"/>
      </w:pPr>
      <w:r w:rsidRPr="002E462C">
        <w:rPr>
          <w:rStyle w:val="ab"/>
        </w:rPr>
        <w:footnoteRef/>
      </w:r>
      <w:r w:rsidRPr="002E462C">
        <w:rPr>
          <w:rtl/>
        </w:rPr>
        <w:t xml:space="preserve"> </w:t>
      </w:r>
      <w:r w:rsidRPr="002E462C">
        <w:rPr>
          <w:rFonts w:hint="cs"/>
          <w:rtl/>
        </w:rPr>
        <w:tab/>
      </w:r>
      <w:r>
        <w:rPr>
          <w:rFonts w:hint="cs"/>
          <w:rtl/>
        </w:rPr>
        <w:t xml:space="preserve">ההנחה בדוחות לדוגמא אלה הינה כי החברה בחרה בעבר להציג את התנועה </w:t>
      </w:r>
      <w:r w:rsidRPr="002E462C">
        <w:rPr>
          <w:rtl/>
        </w:rPr>
        <w:t xml:space="preserve">בגין כל רכיב של רווח כולל אחר במסגרת </w:t>
      </w:r>
      <w:r w:rsidRPr="002E462C">
        <w:rPr>
          <w:rFonts w:hint="eastAsia"/>
          <w:rtl/>
        </w:rPr>
        <w:t>הבאורים</w:t>
      </w:r>
      <w:r w:rsidRPr="002E462C">
        <w:rPr>
          <w:rtl/>
        </w:rPr>
        <w:t xml:space="preserve"> לדוחות הכספיים השנתיים. עם זאת, </w:t>
      </w:r>
      <w:r>
        <w:rPr>
          <w:rFonts w:hint="cs"/>
          <w:rtl/>
        </w:rPr>
        <w:t>עבור</w:t>
      </w:r>
      <w:r w:rsidRPr="002E462C">
        <w:rPr>
          <w:rtl/>
        </w:rPr>
        <w:t xml:space="preserve"> חברות</w:t>
      </w:r>
      <w:r>
        <w:rPr>
          <w:rFonts w:hint="cs"/>
          <w:rtl/>
        </w:rPr>
        <w:t xml:space="preserve"> שבחרו</w:t>
      </w:r>
      <w:r w:rsidRPr="002E462C">
        <w:rPr>
          <w:rtl/>
        </w:rPr>
        <w:t xml:space="preserve"> להציג את התנועה כאמור במסגרת הדוח על השינויים בהון, </w:t>
      </w:r>
      <w:r>
        <w:rPr>
          <w:rtl/>
        </w:rPr>
        <w:t>מובא בנספח א'</w:t>
      </w:r>
      <w:r w:rsidRPr="002E462C">
        <w:rPr>
          <w:rtl/>
        </w:rPr>
        <w:t xml:space="preserve"> לדוחות לדוגמא אלה מבנה של הדוח על השינויים בהון בהתאם להוראות </w:t>
      </w:r>
      <w:r w:rsidRPr="002E462C">
        <w:t xml:space="preserve"> </w:t>
      </w:r>
      <w:r w:rsidRPr="00F2585A">
        <w:rPr>
          <w:szCs w:val="13"/>
        </w:rPr>
        <w:t>IAS</w:t>
      </w:r>
      <w:r w:rsidRPr="007911F0">
        <w:rPr>
          <w:sz w:val="15"/>
        </w:rPr>
        <w:t xml:space="preserve"> </w:t>
      </w:r>
      <w:r w:rsidRPr="00F2585A">
        <w:rPr>
          <w:szCs w:val="13"/>
        </w:rPr>
        <w:t>1</w:t>
      </w:r>
      <w:r w:rsidRPr="002E462C">
        <w:rPr>
          <w:rFonts w:hint="eastAsia"/>
          <w:rtl/>
        </w:rPr>
        <w:t>המתוקן</w:t>
      </w:r>
      <w:r>
        <w:rPr>
          <w:rFonts w:hint="cs"/>
          <w:rtl/>
        </w:rPr>
        <w:t>, שיש להשתמש בו במקום במוצג בדוחות על השינויים בהון שבגוף דוחות לדוגמא אלה..</w:t>
      </w:r>
    </w:p>
  </w:footnote>
  <w:footnote w:id="38">
    <w:p w14:paraId="704FC231" w14:textId="77777777" w:rsidR="001521F8" w:rsidRPr="00682E64" w:rsidRDefault="001521F8" w:rsidP="00516850">
      <w:pPr>
        <w:pStyle w:val="ac"/>
        <w:rPr>
          <w:rtl/>
        </w:rPr>
      </w:pPr>
      <w:r>
        <w:rPr>
          <w:rStyle w:val="ab"/>
        </w:rPr>
        <w:footnoteRef/>
      </w:r>
      <w:r>
        <w:rPr>
          <w:rtl/>
        </w:rPr>
        <w:t xml:space="preserve"> </w:t>
      </w:r>
      <w:r>
        <w:rPr>
          <w:rFonts w:hint="cs"/>
          <w:rtl/>
        </w:rPr>
        <w:tab/>
      </w:r>
      <w:r w:rsidRPr="00682E64">
        <w:rPr>
          <w:rFonts w:hint="cs"/>
          <w:rtl/>
        </w:rPr>
        <w:t>לאור פרסום בנושא של המוסד הישראלי לתקינה בחשבונאות ממאי 2010, ניתן לבחור כמדיניות חשבונאית להציג ביתרת הרווח.</w:t>
      </w:r>
    </w:p>
  </w:footnote>
  <w:footnote w:id="39">
    <w:p w14:paraId="3E388D8D" w14:textId="77777777" w:rsidR="001521F8" w:rsidRPr="00682E64" w:rsidRDefault="001521F8" w:rsidP="00C561BD">
      <w:pPr>
        <w:pStyle w:val="ac"/>
      </w:pPr>
      <w:r>
        <w:rPr>
          <w:rStyle w:val="ab"/>
        </w:rPr>
        <w:footnoteRef/>
      </w:r>
      <w:r>
        <w:rPr>
          <w:rtl/>
        </w:rPr>
        <w:t xml:space="preserve"> </w:t>
      </w:r>
      <w:r>
        <w:rPr>
          <w:rFonts w:hint="cs"/>
          <w:rtl/>
        </w:rPr>
        <w:tab/>
      </w:r>
      <w:r w:rsidRPr="00682E64">
        <w:rPr>
          <w:rFonts w:hint="cs"/>
          <w:rtl/>
        </w:rPr>
        <w:t>לרבות התאמות הנובעות מתרגום דוחות כספיים ממטבע הפעילות למטבע ההצגה.</w:t>
      </w:r>
    </w:p>
  </w:footnote>
  <w:footnote w:id="40">
    <w:p w14:paraId="511A651C" w14:textId="77777777" w:rsidR="001521F8" w:rsidRDefault="001521F8" w:rsidP="00C561BD">
      <w:pPr>
        <w:pStyle w:val="ac"/>
        <w:rPr>
          <w:rtl/>
        </w:rPr>
      </w:pPr>
      <w:r>
        <w:rPr>
          <w:rStyle w:val="ab"/>
        </w:rPr>
        <w:footnoteRef/>
      </w:r>
      <w:r>
        <w:rPr>
          <w:rtl/>
        </w:rPr>
        <w:t xml:space="preserve"> </w:t>
      </w:r>
      <w:r>
        <w:rPr>
          <w:rtl/>
        </w:rPr>
        <w:tab/>
      </w:r>
      <w:r w:rsidRPr="00A42E7A">
        <w:rPr>
          <w:rFonts w:hint="cs"/>
          <w:rtl/>
        </w:rPr>
        <w:t>נדרש בהתאם לתקנה 41(ב) לתקנות ניירות ערך (דוחות תקופתיים ומיידיים).</w:t>
      </w:r>
    </w:p>
  </w:footnote>
  <w:footnote w:id="41">
    <w:p w14:paraId="7CA5CC85" w14:textId="77777777" w:rsidR="001521F8" w:rsidRDefault="001521F8" w:rsidP="00C561BD">
      <w:pPr>
        <w:pStyle w:val="ac"/>
      </w:pPr>
      <w:r w:rsidRPr="002E462C">
        <w:rPr>
          <w:rStyle w:val="ab"/>
        </w:rPr>
        <w:footnoteRef/>
      </w:r>
      <w:r w:rsidRPr="002E462C">
        <w:rPr>
          <w:rtl/>
        </w:rPr>
        <w:t xml:space="preserve"> </w:t>
      </w:r>
      <w:r w:rsidRPr="002E462C">
        <w:rPr>
          <w:rFonts w:hint="cs"/>
          <w:rtl/>
        </w:rPr>
        <w:tab/>
      </w:r>
      <w:r>
        <w:rPr>
          <w:rFonts w:hint="cs"/>
          <w:rtl/>
        </w:rPr>
        <w:t xml:space="preserve">ההנחה בדוחות לדוגמא אלה הינה כי החברה בחרה בעבר להציג את התנועה </w:t>
      </w:r>
      <w:r w:rsidRPr="002E462C">
        <w:rPr>
          <w:rtl/>
        </w:rPr>
        <w:t xml:space="preserve">בגין כל רכיב של רווח כולל אחר במסגרת </w:t>
      </w:r>
      <w:r w:rsidRPr="002E462C">
        <w:rPr>
          <w:rFonts w:hint="eastAsia"/>
          <w:rtl/>
        </w:rPr>
        <w:t>הבאורים</w:t>
      </w:r>
      <w:r w:rsidRPr="002E462C">
        <w:rPr>
          <w:rtl/>
        </w:rPr>
        <w:t xml:space="preserve"> לדוחות הכספיים השנתיים. עם זאת, </w:t>
      </w:r>
      <w:r>
        <w:rPr>
          <w:rFonts w:hint="cs"/>
          <w:rtl/>
        </w:rPr>
        <w:t>עבור</w:t>
      </w:r>
      <w:r w:rsidRPr="002E462C">
        <w:rPr>
          <w:rtl/>
        </w:rPr>
        <w:t xml:space="preserve"> חברות</w:t>
      </w:r>
      <w:r>
        <w:rPr>
          <w:rFonts w:hint="cs"/>
          <w:rtl/>
        </w:rPr>
        <w:t xml:space="preserve"> שבחרו</w:t>
      </w:r>
      <w:r w:rsidRPr="002E462C">
        <w:rPr>
          <w:rtl/>
        </w:rPr>
        <w:t xml:space="preserve"> להציג את התנועה כאמור במסגרת הדוח על השינויים בהון, </w:t>
      </w:r>
      <w:r>
        <w:rPr>
          <w:rtl/>
        </w:rPr>
        <w:t>מובא בנספח א'</w:t>
      </w:r>
      <w:r w:rsidRPr="002E462C">
        <w:rPr>
          <w:rtl/>
        </w:rPr>
        <w:t xml:space="preserve"> לדוחות לדוגמא אלה מבנה של הדוח על השינויים בהון בהתאם להוראות </w:t>
      </w:r>
      <w:r w:rsidRPr="002E462C">
        <w:t xml:space="preserve"> </w:t>
      </w:r>
      <w:r w:rsidRPr="00F2585A">
        <w:rPr>
          <w:szCs w:val="13"/>
        </w:rPr>
        <w:t>IAS</w:t>
      </w:r>
      <w:r w:rsidRPr="007911F0">
        <w:rPr>
          <w:sz w:val="15"/>
        </w:rPr>
        <w:t xml:space="preserve"> </w:t>
      </w:r>
      <w:r w:rsidRPr="00F2585A">
        <w:rPr>
          <w:szCs w:val="13"/>
        </w:rPr>
        <w:t>1</w:t>
      </w:r>
      <w:r w:rsidRPr="002E462C">
        <w:rPr>
          <w:rFonts w:hint="eastAsia"/>
          <w:rtl/>
        </w:rPr>
        <w:t>המתוקן</w:t>
      </w:r>
      <w:r>
        <w:rPr>
          <w:rFonts w:hint="cs"/>
          <w:rtl/>
        </w:rPr>
        <w:t>, שיש להשתמש בו במקום במוצג בדוחות על השינויים בהון שבגוף דוחות לדוגמא אלה..</w:t>
      </w:r>
    </w:p>
  </w:footnote>
  <w:footnote w:id="42">
    <w:p w14:paraId="26BDF881" w14:textId="77777777" w:rsidR="001521F8" w:rsidRPr="00682E64" w:rsidRDefault="001521F8" w:rsidP="00516850">
      <w:pPr>
        <w:pStyle w:val="ac"/>
        <w:rPr>
          <w:rtl/>
        </w:rPr>
      </w:pPr>
      <w:r>
        <w:rPr>
          <w:rStyle w:val="ab"/>
        </w:rPr>
        <w:footnoteRef/>
      </w:r>
      <w:r>
        <w:rPr>
          <w:rtl/>
        </w:rPr>
        <w:t xml:space="preserve"> </w:t>
      </w:r>
      <w:r>
        <w:rPr>
          <w:rFonts w:hint="cs"/>
          <w:rtl/>
        </w:rPr>
        <w:tab/>
      </w:r>
      <w:r w:rsidRPr="00682E64">
        <w:rPr>
          <w:rFonts w:hint="cs"/>
          <w:rtl/>
        </w:rPr>
        <w:t>לאור פרסום בנושא של המוסד הישראלי לתקינה בחשבונאות ממאי 2010, ניתן לבחור כמדיניות חשבונאית להציג ביתרת הרווח.</w:t>
      </w:r>
    </w:p>
  </w:footnote>
  <w:footnote w:id="43">
    <w:p w14:paraId="7FA3F2FD" w14:textId="77777777" w:rsidR="001521F8" w:rsidRPr="00682E64" w:rsidRDefault="001521F8" w:rsidP="00E21527">
      <w:pPr>
        <w:pStyle w:val="ac"/>
      </w:pPr>
      <w:r>
        <w:rPr>
          <w:rStyle w:val="ab"/>
        </w:rPr>
        <w:footnoteRef/>
      </w:r>
      <w:r>
        <w:rPr>
          <w:rtl/>
        </w:rPr>
        <w:t xml:space="preserve"> </w:t>
      </w:r>
      <w:r>
        <w:rPr>
          <w:rFonts w:hint="cs"/>
          <w:rtl/>
        </w:rPr>
        <w:tab/>
      </w:r>
      <w:r w:rsidRPr="00682E64">
        <w:rPr>
          <w:rFonts w:hint="cs"/>
          <w:rtl/>
        </w:rPr>
        <w:t>לרבות התאמות הנובעות מתרגום דוחות כספיים ממטבע הפעילות למטבע ההצגה.</w:t>
      </w:r>
    </w:p>
  </w:footnote>
  <w:footnote w:id="44">
    <w:p w14:paraId="5944FE93" w14:textId="77777777" w:rsidR="001521F8" w:rsidRDefault="001521F8" w:rsidP="00E21527">
      <w:pPr>
        <w:pStyle w:val="ac"/>
        <w:rPr>
          <w:rtl/>
        </w:rPr>
      </w:pPr>
      <w:r>
        <w:rPr>
          <w:rStyle w:val="ab"/>
        </w:rPr>
        <w:footnoteRef/>
      </w:r>
      <w:r>
        <w:rPr>
          <w:rtl/>
        </w:rPr>
        <w:t xml:space="preserve"> </w:t>
      </w:r>
      <w:r>
        <w:rPr>
          <w:rtl/>
        </w:rPr>
        <w:tab/>
      </w:r>
      <w:r w:rsidRPr="00A42E7A">
        <w:rPr>
          <w:rFonts w:hint="cs"/>
          <w:rtl/>
        </w:rPr>
        <w:t>נדרש בהתאם לתקנה 41(ב) לתקנות ניירות ערך (דוחות תקופתיים ומיידיים).</w:t>
      </w:r>
    </w:p>
  </w:footnote>
  <w:footnote w:id="45">
    <w:p w14:paraId="46E7424A" w14:textId="77777777" w:rsidR="001521F8" w:rsidRPr="001D0471" w:rsidRDefault="001521F8" w:rsidP="00E21527">
      <w:pPr>
        <w:pStyle w:val="ac"/>
      </w:pPr>
      <w:r w:rsidRPr="002E462C">
        <w:rPr>
          <w:rStyle w:val="ab"/>
        </w:rPr>
        <w:footnoteRef/>
      </w:r>
      <w:r w:rsidRPr="002E462C">
        <w:rPr>
          <w:rtl/>
        </w:rPr>
        <w:t xml:space="preserve"> </w:t>
      </w:r>
      <w:r w:rsidRPr="002E462C">
        <w:rPr>
          <w:rFonts w:hint="cs"/>
          <w:rtl/>
        </w:rPr>
        <w:tab/>
      </w:r>
      <w:r w:rsidRPr="001D0471">
        <w:rPr>
          <w:rFonts w:hint="cs"/>
          <w:rtl/>
        </w:rPr>
        <w:t xml:space="preserve">ההנחה בדוחות לדוגמא אלה הינה כי החברה בחרה בעבר להציג את התנועה </w:t>
      </w:r>
      <w:r w:rsidRPr="001D0471">
        <w:rPr>
          <w:rtl/>
        </w:rPr>
        <w:t xml:space="preserve">בגין כל רכיב של רווח כולל אחר במסגרת </w:t>
      </w:r>
      <w:r w:rsidRPr="001D0471">
        <w:rPr>
          <w:rFonts w:hint="eastAsia"/>
          <w:rtl/>
        </w:rPr>
        <w:t>הבאורים</w:t>
      </w:r>
      <w:r w:rsidRPr="001D0471">
        <w:rPr>
          <w:rtl/>
        </w:rPr>
        <w:t xml:space="preserve"> לדוחות הכספיים השנתיים. עם זאת, </w:t>
      </w:r>
      <w:r w:rsidRPr="001D0471">
        <w:rPr>
          <w:rFonts w:hint="cs"/>
          <w:rtl/>
        </w:rPr>
        <w:t>עבור</w:t>
      </w:r>
      <w:r w:rsidRPr="001D0471">
        <w:rPr>
          <w:rtl/>
        </w:rPr>
        <w:t xml:space="preserve"> חברות</w:t>
      </w:r>
      <w:r w:rsidRPr="001D0471">
        <w:rPr>
          <w:rFonts w:hint="cs"/>
          <w:rtl/>
        </w:rPr>
        <w:t xml:space="preserve"> שבחרו</w:t>
      </w:r>
      <w:r w:rsidRPr="001D0471">
        <w:rPr>
          <w:rtl/>
        </w:rPr>
        <w:t xml:space="preserve"> להציג את התנועה כאמור במסגרת הדוח על השינויים בהון, מובא בנספח א' לדוחות לדוגמא אלה מבנה של הדוח על השינויים בהון בהתאם להוראות </w:t>
      </w:r>
      <w:r w:rsidRPr="001D0471">
        <w:t xml:space="preserve"> IAS 1</w:t>
      </w:r>
      <w:r w:rsidRPr="001D0471">
        <w:rPr>
          <w:rFonts w:hint="eastAsia"/>
          <w:rtl/>
        </w:rPr>
        <w:t>המתוקן</w:t>
      </w:r>
      <w:r w:rsidRPr="001D0471">
        <w:rPr>
          <w:rFonts w:hint="cs"/>
          <w:rtl/>
        </w:rPr>
        <w:t>, שיש להשתמש בו במקום במוצג בדוחות על השינויים בהון שבגוף דוחות לדוגמא אלה.</w:t>
      </w:r>
      <w:r w:rsidRPr="001D0471">
        <w:rPr>
          <w:rtl/>
        </w:rPr>
        <w:t xml:space="preserve"> </w:t>
      </w:r>
    </w:p>
  </w:footnote>
  <w:footnote w:id="46">
    <w:p w14:paraId="699F8333" w14:textId="77777777" w:rsidR="001521F8" w:rsidRPr="006A44FC" w:rsidRDefault="001521F8" w:rsidP="00E21527">
      <w:pPr>
        <w:pStyle w:val="ac"/>
        <w:rPr>
          <w:rtl/>
        </w:rPr>
      </w:pPr>
      <w:r>
        <w:rPr>
          <w:rStyle w:val="ab"/>
        </w:rPr>
        <w:footnoteRef/>
      </w:r>
      <w:r>
        <w:rPr>
          <w:rtl/>
        </w:rPr>
        <w:t xml:space="preserve"> </w:t>
      </w:r>
      <w:r>
        <w:rPr>
          <w:rFonts w:hint="cs"/>
          <w:rtl/>
        </w:rPr>
        <w:tab/>
      </w:r>
      <w:r w:rsidRPr="006A44FC">
        <w:rPr>
          <w:rFonts w:hint="cs"/>
          <w:rtl/>
        </w:rPr>
        <w:t>לאור פרסום בנושא של המוסד הישראלי לתקינה בחשבונאות ממאי 2010, ניתן לבחור כמדיניות חשבונאית להציג ביתרת הרווח</w:t>
      </w:r>
      <w:r>
        <w:rPr>
          <w:rFonts w:hint="cs"/>
          <w:rtl/>
        </w:rPr>
        <w:t>.</w:t>
      </w:r>
    </w:p>
  </w:footnote>
  <w:footnote w:id="47">
    <w:p w14:paraId="30E6F883" w14:textId="77777777" w:rsidR="001521F8" w:rsidRDefault="001521F8" w:rsidP="00E21527">
      <w:pPr>
        <w:pStyle w:val="ac"/>
        <w:rPr>
          <w:rtl/>
        </w:rPr>
      </w:pPr>
      <w:r>
        <w:rPr>
          <w:rStyle w:val="ab"/>
        </w:rPr>
        <w:footnoteRef/>
      </w:r>
      <w:r>
        <w:rPr>
          <w:rtl/>
        </w:rPr>
        <w:t xml:space="preserve"> </w:t>
      </w:r>
      <w:r>
        <w:rPr>
          <w:rFonts w:hint="cs"/>
          <w:rtl/>
        </w:rPr>
        <w:tab/>
      </w:r>
      <w:r w:rsidRPr="006A44FC">
        <w:rPr>
          <w:rFonts w:hint="cs"/>
          <w:rtl/>
        </w:rPr>
        <w:t>לרבות התאמות הנובעות מתרגום דוחות כספיים ממטבע הפעילות למטבע ההצגה</w:t>
      </w:r>
      <w:r w:rsidRPr="00260764">
        <w:rPr>
          <w:rFonts w:hint="cs"/>
          <w:sz w:val="19"/>
          <w:rtl/>
        </w:rPr>
        <w:t>.</w:t>
      </w:r>
    </w:p>
  </w:footnote>
  <w:footnote w:id="48">
    <w:p w14:paraId="43C1350F" w14:textId="77777777" w:rsidR="001521F8" w:rsidRPr="00163B9E" w:rsidRDefault="001521F8" w:rsidP="00C613CF">
      <w:pPr>
        <w:pStyle w:val="ac"/>
      </w:pPr>
      <w:r>
        <w:rPr>
          <w:rStyle w:val="ab"/>
        </w:rPr>
        <w:footnoteRef/>
      </w:r>
      <w:r>
        <w:rPr>
          <w:rtl/>
        </w:rPr>
        <w:t xml:space="preserve"> </w:t>
      </w:r>
      <w:r>
        <w:rPr>
          <w:rFonts w:hint="cs"/>
          <w:rtl/>
        </w:rPr>
        <w:tab/>
      </w:r>
      <w:r w:rsidRPr="00F2585A">
        <w:rPr>
          <w:rFonts w:hint="eastAsia"/>
          <w:rtl/>
        </w:rPr>
        <w:t>הדוח</w:t>
      </w:r>
      <w:r w:rsidRPr="00F2585A">
        <w:rPr>
          <w:rtl/>
        </w:rPr>
        <w:t xml:space="preserve"> על תזרימי המזומנים המוצג להלן אינו מציג בנפרד את תזרימי המזומנים, נטו המיוחסים לפעילויות שוטפות, פעילויות השקעה ופעילויות מימון של הפעילות שהופסקה. ניתן גילוי לנתונים אלה </w:t>
      </w:r>
      <w:r w:rsidRPr="00F2585A">
        <w:rPr>
          <w:rFonts w:hint="eastAsia"/>
          <w:rtl/>
        </w:rPr>
        <w:t>בבאור</w:t>
      </w:r>
      <w:r w:rsidRPr="00F2585A">
        <w:rPr>
          <w:rtl/>
        </w:rPr>
        <w:t xml:space="preserve"> 9 בדבר קבוצת מימוש המוחזקת למכירה ופעילויות שהופסקו. חברה יכולה לבחור להציג נתונים אלה בגוף הדוח על תזרימי המזומנים, בנפרד מתזרימי המזומנים מפעילויות נמשכות</w:t>
      </w:r>
      <w:r w:rsidRPr="00163B9E">
        <w:rPr>
          <w:rFonts w:hint="cs"/>
          <w:rtl/>
        </w:rPr>
        <w:t>.</w:t>
      </w:r>
    </w:p>
  </w:footnote>
  <w:footnote w:id="49">
    <w:p w14:paraId="661D60BB" w14:textId="77777777" w:rsidR="001521F8" w:rsidRDefault="001521F8" w:rsidP="00C613CF">
      <w:pPr>
        <w:pStyle w:val="ac"/>
        <w:rPr>
          <w:rtl/>
        </w:rPr>
      </w:pPr>
      <w:r>
        <w:rPr>
          <w:rStyle w:val="ab"/>
        </w:rPr>
        <w:footnoteRef/>
      </w:r>
      <w:r>
        <w:rPr>
          <w:rtl/>
        </w:rPr>
        <w:t xml:space="preserve"> </w:t>
      </w:r>
      <w:r>
        <w:rPr>
          <w:rtl/>
        </w:rPr>
        <w:tab/>
      </w:r>
      <w:r w:rsidRPr="00F2585A">
        <w:rPr>
          <w:rFonts w:hint="eastAsia"/>
          <w:rtl/>
        </w:rPr>
        <w:t>נדרש</w:t>
      </w:r>
      <w:r w:rsidRPr="00F2585A">
        <w:rPr>
          <w:rtl/>
        </w:rPr>
        <w:t xml:space="preserve"> </w:t>
      </w:r>
      <w:r w:rsidRPr="00F2585A">
        <w:rPr>
          <w:rFonts w:hint="eastAsia"/>
          <w:rtl/>
        </w:rPr>
        <w:t>בהתאם</w:t>
      </w:r>
      <w:r w:rsidRPr="00F2585A">
        <w:rPr>
          <w:rtl/>
        </w:rPr>
        <w:t xml:space="preserve"> </w:t>
      </w:r>
      <w:r w:rsidRPr="00F2585A">
        <w:rPr>
          <w:rFonts w:hint="eastAsia"/>
          <w:rtl/>
        </w:rPr>
        <w:t>לתקנה</w:t>
      </w:r>
      <w:r w:rsidRPr="00F2585A">
        <w:rPr>
          <w:rtl/>
        </w:rPr>
        <w:t xml:space="preserve"> 41(ב) </w:t>
      </w:r>
      <w:r w:rsidRPr="00F2585A">
        <w:rPr>
          <w:rFonts w:hint="eastAsia"/>
          <w:rtl/>
        </w:rPr>
        <w:t>לתקנות</w:t>
      </w:r>
      <w:r w:rsidRPr="00F2585A">
        <w:rPr>
          <w:rtl/>
        </w:rPr>
        <w:t xml:space="preserve"> </w:t>
      </w:r>
      <w:r w:rsidRPr="00F2585A">
        <w:rPr>
          <w:rFonts w:hint="eastAsia"/>
          <w:rtl/>
        </w:rPr>
        <w:t>ניירות</w:t>
      </w:r>
      <w:r w:rsidRPr="00F2585A">
        <w:rPr>
          <w:rtl/>
        </w:rPr>
        <w:t xml:space="preserve"> </w:t>
      </w:r>
      <w:r w:rsidRPr="00F2585A">
        <w:rPr>
          <w:rFonts w:hint="eastAsia"/>
          <w:rtl/>
        </w:rPr>
        <w:t>ערך</w:t>
      </w:r>
      <w:r w:rsidRPr="00F2585A">
        <w:rPr>
          <w:rtl/>
        </w:rPr>
        <w:t xml:space="preserve"> (דוחות </w:t>
      </w:r>
      <w:r w:rsidRPr="00F2585A">
        <w:rPr>
          <w:rFonts w:hint="eastAsia"/>
          <w:rtl/>
        </w:rPr>
        <w:t>תקופתיים</w:t>
      </w:r>
      <w:r w:rsidRPr="00F2585A">
        <w:rPr>
          <w:rtl/>
        </w:rPr>
        <w:t xml:space="preserve"> </w:t>
      </w:r>
      <w:r w:rsidRPr="00F2585A">
        <w:rPr>
          <w:rFonts w:hint="eastAsia"/>
          <w:rtl/>
        </w:rPr>
        <w:t>ומיידיים</w:t>
      </w:r>
      <w:r w:rsidRPr="00F2585A">
        <w:rPr>
          <w:rtl/>
        </w:rPr>
        <w:t>).</w:t>
      </w:r>
    </w:p>
  </w:footnote>
  <w:footnote w:id="50">
    <w:p w14:paraId="1014CF70" w14:textId="77777777" w:rsidR="001521F8" w:rsidRDefault="001521F8" w:rsidP="00C613CF">
      <w:pPr>
        <w:pStyle w:val="ac"/>
      </w:pPr>
      <w:r>
        <w:rPr>
          <w:rStyle w:val="ab"/>
        </w:rPr>
        <w:footnoteRef/>
      </w:r>
      <w:r>
        <w:rPr>
          <w:rtl/>
        </w:rPr>
        <w:t xml:space="preserve"> </w:t>
      </w:r>
      <w:r>
        <w:rPr>
          <w:rFonts w:hint="cs"/>
          <w:rtl/>
        </w:rPr>
        <w:tab/>
      </w:r>
      <w:r w:rsidRPr="00BE6DE4">
        <w:rPr>
          <w:rFonts w:hint="eastAsia"/>
          <w:rtl/>
        </w:rPr>
        <w:t>בשורה</w:t>
      </w:r>
      <w:r w:rsidRPr="00BE6DE4">
        <w:rPr>
          <w:rtl/>
        </w:rPr>
        <w:t xml:space="preserve"> זו יש לכלול כל הפסד (רווח) </w:t>
      </w:r>
      <w:r>
        <w:rPr>
          <w:rFonts w:hint="cs"/>
          <w:rtl/>
        </w:rPr>
        <w:t>"</w:t>
      </w:r>
      <w:r w:rsidRPr="00BE6DE4">
        <w:rPr>
          <w:rFonts w:hint="eastAsia"/>
          <w:rtl/>
        </w:rPr>
        <w:t>ממ</w:t>
      </w:r>
      <w:r>
        <w:rPr>
          <w:rFonts w:hint="cs"/>
          <w:rtl/>
        </w:rPr>
        <w:t>ימוש רעיוני" (מ</w:t>
      </w:r>
      <w:r w:rsidRPr="00BE6DE4">
        <w:rPr>
          <w:rFonts w:hint="eastAsia"/>
          <w:rtl/>
        </w:rPr>
        <w:t>דידה</w:t>
      </w:r>
      <w:r w:rsidRPr="00BE6DE4">
        <w:rPr>
          <w:rtl/>
        </w:rPr>
        <w:t xml:space="preserve"> </w:t>
      </w:r>
      <w:r w:rsidRPr="00BE6DE4">
        <w:rPr>
          <w:rFonts w:hint="eastAsia"/>
          <w:rtl/>
        </w:rPr>
        <w:t>מחדש</w:t>
      </w:r>
      <w:r>
        <w:rPr>
          <w:rFonts w:hint="cs"/>
          <w:rtl/>
        </w:rPr>
        <w:t>)</w:t>
      </w:r>
      <w:r w:rsidRPr="00BE6DE4">
        <w:rPr>
          <w:rtl/>
        </w:rPr>
        <w:t xml:space="preserve"> </w:t>
      </w:r>
      <w:r w:rsidRPr="00BE6DE4">
        <w:rPr>
          <w:rFonts w:hint="eastAsia"/>
          <w:rtl/>
        </w:rPr>
        <w:t>של</w:t>
      </w:r>
      <w:r w:rsidRPr="00BE6DE4">
        <w:rPr>
          <w:rtl/>
        </w:rPr>
        <w:t xml:space="preserve"> </w:t>
      </w:r>
      <w:r w:rsidRPr="00BE6DE4">
        <w:rPr>
          <w:rFonts w:hint="eastAsia"/>
          <w:rtl/>
        </w:rPr>
        <w:t>השקעה</w:t>
      </w:r>
      <w:r w:rsidRPr="00BE6DE4">
        <w:rPr>
          <w:rtl/>
        </w:rPr>
        <w:t xml:space="preserve"> </w:t>
      </w:r>
      <w:r w:rsidRPr="00BE6DE4">
        <w:rPr>
          <w:rFonts w:hint="eastAsia"/>
          <w:rtl/>
        </w:rPr>
        <w:t>בחברה</w:t>
      </w:r>
      <w:r w:rsidRPr="00BE6DE4">
        <w:rPr>
          <w:rtl/>
        </w:rPr>
        <w:t xml:space="preserve"> </w:t>
      </w:r>
      <w:r w:rsidRPr="00BE6DE4">
        <w:rPr>
          <w:rFonts w:hint="eastAsia"/>
          <w:rtl/>
        </w:rPr>
        <w:t>מוחזקת</w:t>
      </w:r>
      <w:r w:rsidRPr="00BE6DE4">
        <w:rPr>
          <w:rtl/>
        </w:rPr>
        <w:t xml:space="preserve"> </w:t>
      </w:r>
      <w:r>
        <w:rPr>
          <w:rFonts w:hint="cs"/>
          <w:rtl/>
        </w:rPr>
        <w:t>ש</w:t>
      </w:r>
      <w:r w:rsidRPr="00BE6DE4">
        <w:rPr>
          <w:rFonts w:hint="eastAsia"/>
          <w:rtl/>
        </w:rPr>
        <w:t>שיעור</w:t>
      </w:r>
      <w:r w:rsidRPr="00BE6DE4">
        <w:rPr>
          <w:rtl/>
        </w:rPr>
        <w:t xml:space="preserve"> </w:t>
      </w:r>
      <w:r w:rsidRPr="00BE6DE4">
        <w:rPr>
          <w:rFonts w:hint="eastAsia"/>
          <w:rtl/>
        </w:rPr>
        <w:t>ההחזקה</w:t>
      </w:r>
      <w:r w:rsidRPr="00BE6DE4">
        <w:rPr>
          <w:rtl/>
        </w:rPr>
        <w:t xml:space="preserve"> </w:t>
      </w:r>
      <w:r w:rsidRPr="00BE6DE4">
        <w:rPr>
          <w:rFonts w:hint="eastAsia"/>
          <w:rtl/>
        </w:rPr>
        <w:t>בה</w:t>
      </w:r>
      <w:r w:rsidRPr="00BE6DE4">
        <w:rPr>
          <w:rtl/>
        </w:rPr>
        <w:t xml:space="preserve"> </w:t>
      </w:r>
      <w:r>
        <w:rPr>
          <w:rFonts w:hint="cs"/>
          <w:rtl/>
        </w:rPr>
        <w:t xml:space="preserve">השתנה </w:t>
      </w:r>
      <w:r w:rsidRPr="00BE6DE4">
        <w:rPr>
          <w:rFonts w:hint="eastAsia"/>
          <w:rtl/>
        </w:rPr>
        <w:t>עם</w:t>
      </w:r>
      <w:r w:rsidRPr="00BE6DE4">
        <w:rPr>
          <w:rtl/>
        </w:rPr>
        <w:t xml:space="preserve"> </w:t>
      </w:r>
      <w:r w:rsidRPr="00BE6DE4">
        <w:rPr>
          <w:rFonts w:hint="eastAsia"/>
          <w:rtl/>
        </w:rPr>
        <w:t>שינוי</w:t>
      </w:r>
      <w:r w:rsidRPr="00BE6DE4">
        <w:rPr>
          <w:rtl/>
        </w:rPr>
        <w:t xml:space="preserve"> </w:t>
      </w:r>
      <w:r w:rsidRPr="00BE6DE4">
        <w:rPr>
          <w:rFonts w:hint="eastAsia"/>
          <w:rtl/>
        </w:rPr>
        <w:t>סטטוס</w:t>
      </w:r>
      <w:r w:rsidRPr="00BE6DE4">
        <w:rPr>
          <w:rtl/>
        </w:rPr>
        <w:t>.</w:t>
      </w:r>
    </w:p>
  </w:footnote>
  <w:footnote w:id="51">
    <w:p w14:paraId="0966A593" w14:textId="77777777" w:rsidR="001521F8" w:rsidRPr="00163B9E" w:rsidRDefault="001521F8" w:rsidP="00C613CF">
      <w:pPr>
        <w:pStyle w:val="ac"/>
        <w:rPr>
          <w:rtl/>
        </w:rPr>
      </w:pPr>
      <w:r w:rsidRPr="00C54C0C">
        <w:rPr>
          <w:rStyle w:val="ab"/>
          <w:szCs w:val="17"/>
        </w:rPr>
        <w:footnoteRef/>
      </w:r>
      <w:r w:rsidRPr="00C54C0C">
        <w:rPr>
          <w:szCs w:val="17"/>
          <w:rtl/>
        </w:rPr>
        <w:t xml:space="preserve"> </w:t>
      </w:r>
      <w:r w:rsidRPr="00C54C0C">
        <w:rPr>
          <w:rFonts w:hint="cs"/>
          <w:szCs w:val="17"/>
          <w:rtl/>
        </w:rPr>
        <w:tab/>
      </w:r>
      <w:r w:rsidRPr="00163B9E">
        <w:rPr>
          <w:rFonts w:hint="eastAsia"/>
          <w:rtl/>
        </w:rPr>
        <w:t>החברה</w:t>
      </w:r>
      <w:r w:rsidRPr="00163B9E">
        <w:rPr>
          <w:rtl/>
        </w:rPr>
        <w:t xml:space="preserve"> </w:t>
      </w:r>
      <w:r w:rsidRPr="00163B9E">
        <w:rPr>
          <w:rFonts w:hint="eastAsia"/>
          <w:rtl/>
        </w:rPr>
        <w:t>רשאית</w:t>
      </w:r>
      <w:r w:rsidRPr="00163B9E">
        <w:rPr>
          <w:rtl/>
        </w:rPr>
        <w:t xml:space="preserve"> </w:t>
      </w:r>
      <w:r w:rsidRPr="00163B9E">
        <w:rPr>
          <w:rFonts w:hint="eastAsia"/>
          <w:rtl/>
        </w:rPr>
        <w:t>לבחור</w:t>
      </w:r>
      <w:r w:rsidRPr="00163B9E">
        <w:rPr>
          <w:rtl/>
        </w:rPr>
        <w:t xml:space="preserve">, </w:t>
      </w:r>
      <w:r w:rsidRPr="00163B9E">
        <w:rPr>
          <w:rFonts w:hint="eastAsia"/>
          <w:rtl/>
        </w:rPr>
        <w:t>כמדיניות</w:t>
      </w:r>
      <w:r w:rsidRPr="00163B9E">
        <w:rPr>
          <w:rtl/>
        </w:rPr>
        <w:t xml:space="preserve"> </w:t>
      </w:r>
      <w:r w:rsidRPr="00163B9E">
        <w:rPr>
          <w:rFonts w:hint="eastAsia"/>
          <w:rtl/>
        </w:rPr>
        <w:t>חשבונאית</w:t>
      </w:r>
      <w:r w:rsidRPr="00163B9E">
        <w:rPr>
          <w:rtl/>
        </w:rPr>
        <w:t xml:space="preserve">, </w:t>
      </w:r>
      <w:r w:rsidRPr="00163B9E">
        <w:rPr>
          <w:rFonts w:hint="eastAsia"/>
          <w:rtl/>
        </w:rPr>
        <w:t>להציג</w:t>
      </w:r>
      <w:r w:rsidRPr="00163B9E">
        <w:rPr>
          <w:rtl/>
        </w:rPr>
        <w:t xml:space="preserve"> </w:t>
      </w:r>
      <w:r w:rsidRPr="00163B9E">
        <w:rPr>
          <w:rFonts w:hint="eastAsia"/>
          <w:rtl/>
        </w:rPr>
        <w:t>תזרימי</w:t>
      </w:r>
      <w:r w:rsidRPr="00163B9E">
        <w:rPr>
          <w:rtl/>
        </w:rPr>
        <w:t xml:space="preserve"> </w:t>
      </w:r>
      <w:r w:rsidRPr="00163B9E">
        <w:rPr>
          <w:rFonts w:hint="eastAsia"/>
          <w:rtl/>
        </w:rPr>
        <w:t>מזומנים</w:t>
      </w:r>
      <w:r w:rsidRPr="00163B9E">
        <w:rPr>
          <w:rtl/>
        </w:rPr>
        <w:t xml:space="preserve"> </w:t>
      </w:r>
      <w:r w:rsidRPr="00163B9E">
        <w:rPr>
          <w:rFonts w:hint="eastAsia"/>
          <w:rtl/>
        </w:rPr>
        <w:t>אלה</w:t>
      </w:r>
      <w:r w:rsidRPr="00163B9E">
        <w:rPr>
          <w:rtl/>
        </w:rPr>
        <w:t xml:space="preserve"> </w:t>
      </w:r>
      <w:r w:rsidRPr="00163B9E">
        <w:rPr>
          <w:rFonts w:hint="eastAsia"/>
          <w:rtl/>
        </w:rPr>
        <w:t>במסגרת</w:t>
      </w:r>
      <w:r w:rsidRPr="00163B9E">
        <w:rPr>
          <w:rtl/>
        </w:rPr>
        <w:t xml:space="preserve"> </w:t>
      </w:r>
      <w:r w:rsidRPr="00163B9E">
        <w:rPr>
          <w:rFonts w:hint="eastAsia"/>
          <w:rtl/>
        </w:rPr>
        <w:t>תזרימי</w:t>
      </w:r>
      <w:r w:rsidRPr="00163B9E">
        <w:rPr>
          <w:rtl/>
        </w:rPr>
        <w:t xml:space="preserve"> </w:t>
      </w:r>
      <w:r w:rsidRPr="00163B9E">
        <w:rPr>
          <w:rFonts w:hint="eastAsia"/>
          <w:rtl/>
        </w:rPr>
        <w:t>מזומנים</w:t>
      </w:r>
      <w:r w:rsidRPr="00163B9E">
        <w:rPr>
          <w:rtl/>
        </w:rPr>
        <w:t xml:space="preserve"> </w:t>
      </w:r>
      <w:r w:rsidRPr="00163B9E">
        <w:rPr>
          <w:rFonts w:hint="eastAsia"/>
          <w:rtl/>
        </w:rPr>
        <w:t>מפעילות</w:t>
      </w:r>
      <w:r w:rsidRPr="00163B9E">
        <w:rPr>
          <w:rtl/>
        </w:rPr>
        <w:t xml:space="preserve"> </w:t>
      </w:r>
      <w:r w:rsidRPr="00163B9E">
        <w:rPr>
          <w:rFonts w:hint="eastAsia"/>
          <w:rtl/>
        </w:rPr>
        <w:t>מימון</w:t>
      </w:r>
      <w:r w:rsidRPr="00163B9E">
        <w:rPr>
          <w:rtl/>
        </w:rPr>
        <w:t>.</w:t>
      </w:r>
    </w:p>
  </w:footnote>
  <w:footnote w:id="52">
    <w:p w14:paraId="41EAC07C" w14:textId="77777777" w:rsidR="001521F8" w:rsidRPr="00163B9E" w:rsidRDefault="001521F8" w:rsidP="00C613CF">
      <w:pPr>
        <w:pStyle w:val="ac"/>
        <w:rPr>
          <w:rtl/>
        </w:rPr>
      </w:pPr>
      <w:r>
        <w:rPr>
          <w:rStyle w:val="ab"/>
        </w:rPr>
        <w:footnoteRef/>
      </w:r>
      <w:r>
        <w:rPr>
          <w:rtl/>
        </w:rPr>
        <w:t xml:space="preserve"> </w:t>
      </w:r>
      <w:r>
        <w:rPr>
          <w:rFonts w:hint="cs"/>
          <w:rtl/>
        </w:rPr>
        <w:tab/>
      </w:r>
      <w:r w:rsidRPr="00BE6DE4">
        <w:rPr>
          <w:rFonts w:hint="eastAsia"/>
          <w:rtl/>
        </w:rPr>
        <w:t>החברה</w:t>
      </w:r>
      <w:r w:rsidRPr="00BE6DE4">
        <w:rPr>
          <w:rtl/>
        </w:rPr>
        <w:t xml:space="preserve"> </w:t>
      </w:r>
      <w:r w:rsidRPr="00BE6DE4">
        <w:rPr>
          <w:rFonts w:hint="eastAsia"/>
          <w:rtl/>
        </w:rPr>
        <w:t>רשאית</w:t>
      </w:r>
      <w:r w:rsidRPr="00BE6DE4">
        <w:rPr>
          <w:rtl/>
        </w:rPr>
        <w:t xml:space="preserve"> </w:t>
      </w:r>
      <w:r w:rsidRPr="00BE6DE4">
        <w:rPr>
          <w:rFonts w:hint="eastAsia"/>
          <w:rtl/>
        </w:rPr>
        <w:t>לבחור</w:t>
      </w:r>
      <w:r w:rsidRPr="00BE6DE4">
        <w:rPr>
          <w:rtl/>
        </w:rPr>
        <w:t xml:space="preserve">, </w:t>
      </w:r>
      <w:r w:rsidRPr="00BE6DE4">
        <w:rPr>
          <w:rFonts w:hint="eastAsia"/>
          <w:rtl/>
        </w:rPr>
        <w:t>כמדיניות</w:t>
      </w:r>
      <w:r w:rsidRPr="00BE6DE4">
        <w:rPr>
          <w:rtl/>
        </w:rPr>
        <w:t xml:space="preserve"> </w:t>
      </w:r>
      <w:r w:rsidRPr="00BE6DE4">
        <w:rPr>
          <w:rFonts w:hint="eastAsia"/>
          <w:rtl/>
        </w:rPr>
        <w:t>חשבונאית</w:t>
      </w:r>
      <w:r w:rsidRPr="00BE6DE4">
        <w:rPr>
          <w:rtl/>
        </w:rPr>
        <w:t xml:space="preserve">, </w:t>
      </w:r>
      <w:r w:rsidRPr="00BE6DE4">
        <w:rPr>
          <w:rFonts w:hint="eastAsia"/>
          <w:rtl/>
        </w:rPr>
        <w:t>להציג</w:t>
      </w:r>
      <w:r w:rsidRPr="00BE6DE4">
        <w:rPr>
          <w:rtl/>
        </w:rPr>
        <w:t xml:space="preserve"> </w:t>
      </w:r>
      <w:r w:rsidRPr="00BE6DE4">
        <w:rPr>
          <w:rFonts w:hint="eastAsia"/>
          <w:rtl/>
        </w:rPr>
        <w:t>תזרימי</w:t>
      </w:r>
      <w:r w:rsidRPr="00BE6DE4">
        <w:rPr>
          <w:rtl/>
        </w:rPr>
        <w:t xml:space="preserve"> </w:t>
      </w:r>
      <w:r w:rsidRPr="00BE6DE4">
        <w:rPr>
          <w:rFonts w:hint="eastAsia"/>
          <w:rtl/>
        </w:rPr>
        <w:t>מזומנים</w:t>
      </w:r>
      <w:r w:rsidRPr="00BE6DE4">
        <w:rPr>
          <w:rtl/>
        </w:rPr>
        <w:t xml:space="preserve"> </w:t>
      </w:r>
      <w:r w:rsidRPr="00BE6DE4">
        <w:rPr>
          <w:rFonts w:hint="eastAsia"/>
          <w:rtl/>
        </w:rPr>
        <w:t>אלה</w:t>
      </w:r>
      <w:r w:rsidRPr="00BE6DE4">
        <w:rPr>
          <w:rtl/>
        </w:rPr>
        <w:t xml:space="preserve"> </w:t>
      </w:r>
      <w:r w:rsidRPr="00BE6DE4">
        <w:rPr>
          <w:rFonts w:hint="eastAsia"/>
          <w:rtl/>
        </w:rPr>
        <w:t>במסגרת</w:t>
      </w:r>
      <w:r w:rsidRPr="00BE6DE4">
        <w:rPr>
          <w:rtl/>
        </w:rPr>
        <w:t xml:space="preserve"> </w:t>
      </w:r>
      <w:r w:rsidRPr="00BE6DE4">
        <w:rPr>
          <w:rFonts w:hint="eastAsia"/>
          <w:rtl/>
        </w:rPr>
        <w:t>תזרימי</w:t>
      </w:r>
      <w:r w:rsidRPr="00BE6DE4">
        <w:rPr>
          <w:rtl/>
        </w:rPr>
        <w:t xml:space="preserve"> </w:t>
      </w:r>
      <w:r w:rsidRPr="00BE6DE4">
        <w:rPr>
          <w:rFonts w:hint="eastAsia"/>
          <w:rtl/>
        </w:rPr>
        <w:t>מזומנים</w:t>
      </w:r>
      <w:r w:rsidRPr="00BE6DE4">
        <w:rPr>
          <w:rtl/>
        </w:rPr>
        <w:t xml:space="preserve"> </w:t>
      </w:r>
      <w:r w:rsidRPr="00BE6DE4">
        <w:rPr>
          <w:rFonts w:hint="eastAsia"/>
          <w:rtl/>
        </w:rPr>
        <w:t>מפעילות</w:t>
      </w:r>
      <w:r w:rsidRPr="00BE6DE4">
        <w:rPr>
          <w:rtl/>
        </w:rPr>
        <w:t xml:space="preserve"> </w:t>
      </w:r>
      <w:r>
        <w:rPr>
          <w:rFonts w:hint="cs"/>
          <w:rtl/>
        </w:rPr>
        <w:t>השקעה</w:t>
      </w:r>
      <w:r w:rsidRPr="00BE6DE4">
        <w:rPr>
          <w:rtl/>
        </w:rPr>
        <w:t>.</w:t>
      </w:r>
    </w:p>
  </w:footnote>
  <w:footnote w:id="53">
    <w:p w14:paraId="65E724D8" w14:textId="77777777" w:rsidR="001521F8" w:rsidRPr="00163B9E" w:rsidRDefault="001521F8" w:rsidP="00C613CF">
      <w:pPr>
        <w:pStyle w:val="ac"/>
        <w:rPr>
          <w:rtl/>
        </w:rPr>
      </w:pPr>
      <w:r w:rsidRPr="00C54C0C">
        <w:rPr>
          <w:rStyle w:val="ab"/>
          <w:szCs w:val="17"/>
        </w:rPr>
        <w:footnoteRef/>
      </w:r>
      <w:r w:rsidRPr="00C54C0C">
        <w:rPr>
          <w:szCs w:val="17"/>
          <w:rtl/>
        </w:rPr>
        <w:t xml:space="preserve"> </w:t>
      </w:r>
      <w:r w:rsidRPr="00C54C0C">
        <w:rPr>
          <w:rFonts w:hint="cs"/>
          <w:szCs w:val="17"/>
          <w:rtl/>
        </w:rPr>
        <w:tab/>
      </w:r>
      <w:r w:rsidRPr="00163B9E">
        <w:rPr>
          <w:rFonts w:hint="eastAsia"/>
          <w:rtl/>
        </w:rPr>
        <w:t>אם</w:t>
      </w:r>
      <w:r w:rsidRPr="00163B9E">
        <w:rPr>
          <w:rtl/>
        </w:rPr>
        <w:t xml:space="preserve"> </w:t>
      </w:r>
      <w:r w:rsidRPr="00163B9E">
        <w:rPr>
          <w:rFonts w:hint="eastAsia"/>
          <w:rtl/>
        </w:rPr>
        <w:t>ניתן</w:t>
      </w:r>
      <w:r w:rsidRPr="00163B9E">
        <w:rPr>
          <w:rtl/>
        </w:rPr>
        <w:t xml:space="preserve"> </w:t>
      </w:r>
      <w:r w:rsidRPr="00163B9E">
        <w:rPr>
          <w:rFonts w:hint="eastAsia"/>
          <w:rtl/>
        </w:rPr>
        <w:t>לזהותם</w:t>
      </w:r>
      <w:r w:rsidRPr="00163B9E">
        <w:rPr>
          <w:rtl/>
        </w:rPr>
        <w:t xml:space="preserve"> </w:t>
      </w:r>
      <w:r w:rsidRPr="00163B9E">
        <w:rPr>
          <w:rFonts w:hint="eastAsia"/>
          <w:rtl/>
        </w:rPr>
        <w:t>ספציפית</w:t>
      </w:r>
      <w:r w:rsidRPr="00163B9E">
        <w:rPr>
          <w:rtl/>
        </w:rPr>
        <w:t xml:space="preserve"> </w:t>
      </w:r>
      <w:r w:rsidRPr="00163B9E">
        <w:rPr>
          <w:rFonts w:hint="eastAsia"/>
          <w:rtl/>
        </w:rPr>
        <w:t>עם</w:t>
      </w:r>
      <w:r w:rsidRPr="00163B9E">
        <w:rPr>
          <w:rtl/>
        </w:rPr>
        <w:t xml:space="preserve"> </w:t>
      </w:r>
      <w:r w:rsidRPr="00163B9E">
        <w:rPr>
          <w:rFonts w:hint="eastAsia"/>
          <w:rtl/>
        </w:rPr>
        <w:t>פעילויות</w:t>
      </w:r>
      <w:r w:rsidRPr="00163B9E">
        <w:rPr>
          <w:rtl/>
        </w:rPr>
        <w:t xml:space="preserve"> </w:t>
      </w:r>
      <w:r w:rsidRPr="00163B9E">
        <w:rPr>
          <w:rFonts w:hint="eastAsia"/>
          <w:rtl/>
        </w:rPr>
        <w:t>מימון</w:t>
      </w:r>
      <w:r w:rsidRPr="00163B9E">
        <w:rPr>
          <w:rtl/>
        </w:rPr>
        <w:t xml:space="preserve"> </w:t>
      </w:r>
      <w:r w:rsidRPr="00163B9E">
        <w:rPr>
          <w:rFonts w:hint="eastAsia"/>
          <w:rtl/>
        </w:rPr>
        <w:t>או</w:t>
      </w:r>
      <w:r w:rsidRPr="00163B9E">
        <w:rPr>
          <w:rtl/>
        </w:rPr>
        <w:t xml:space="preserve"> </w:t>
      </w:r>
      <w:r w:rsidRPr="00163B9E">
        <w:rPr>
          <w:rFonts w:hint="eastAsia"/>
          <w:rtl/>
        </w:rPr>
        <w:t>פעילויות</w:t>
      </w:r>
      <w:r w:rsidRPr="00163B9E">
        <w:rPr>
          <w:rtl/>
        </w:rPr>
        <w:t xml:space="preserve"> </w:t>
      </w:r>
      <w:r w:rsidRPr="00163B9E">
        <w:rPr>
          <w:rFonts w:hint="eastAsia"/>
          <w:rtl/>
        </w:rPr>
        <w:t>השקעה</w:t>
      </w:r>
      <w:r w:rsidRPr="00163B9E">
        <w:rPr>
          <w:rtl/>
        </w:rPr>
        <w:t xml:space="preserve">, </w:t>
      </w:r>
      <w:r w:rsidRPr="00163B9E">
        <w:rPr>
          <w:rFonts w:hint="eastAsia"/>
          <w:rtl/>
        </w:rPr>
        <w:t>יש</w:t>
      </w:r>
      <w:r w:rsidRPr="00163B9E">
        <w:rPr>
          <w:rtl/>
        </w:rPr>
        <w:t xml:space="preserve"> </w:t>
      </w:r>
      <w:r w:rsidRPr="00163B9E">
        <w:rPr>
          <w:rFonts w:hint="eastAsia"/>
          <w:rtl/>
        </w:rPr>
        <w:t>להציגם</w:t>
      </w:r>
      <w:r w:rsidRPr="00163B9E">
        <w:rPr>
          <w:rtl/>
        </w:rPr>
        <w:t xml:space="preserve"> </w:t>
      </w:r>
      <w:r w:rsidRPr="00163B9E">
        <w:rPr>
          <w:rFonts w:hint="eastAsia"/>
          <w:rtl/>
        </w:rPr>
        <w:t>במסגרת</w:t>
      </w:r>
      <w:r w:rsidRPr="00163B9E">
        <w:rPr>
          <w:rtl/>
        </w:rPr>
        <w:t xml:space="preserve"> </w:t>
      </w:r>
      <w:r w:rsidRPr="00163B9E">
        <w:rPr>
          <w:rFonts w:hint="eastAsia"/>
          <w:rtl/>
        </w:rPr>
        <w:t>תזרימי</w:t>
      </w:r>
      <w:r w:rsidRPr="00163B9E">
        <w:rPr>
          <w:rtl/>
        </w:rPr>
        <w:t xml:space="preserve"> </w:t>
      </w:r>
      <w:r w:rsidRPr="00163B9E">
        <w:rPr>
          <w:rFonts w:hint="eastAsia"/>
          <w:rtl/>
        </w:rPr>
        <w:t>מזומנים</w:t>
      </w:r>
      <w:r w:rsidRPr="00163B9E">
        <w:rPr>
          <w:rtl/>
        </w:rPr>
        <w:t xml:space="preserve"> </w:t>
      </w:r>
      <w:r w:rsidRPr="00163B9E">
        <w:rPr>
          <w:rFonts w:hint="eastAsia"/>
          <w:rtl/>
        </w:rPr>
        <w:t>מפעילות</w:t>
      </w:r>
      <w:r w:rsidRPr="00163B9E">
        <w:rPr>
          <w:rtl/>
        </w:rPr>
        <w:t xml:space="preserve"> </w:t>
      </w:r>
      <w:r w:rsidRPr="00163B9E">
        <w:rPr>
          <w:rFonts w:hint="eastAsia"/>
          <w:rtl/>
        </w:rPr>
        <w:t>מימון</w:t>
      </w:r>
      <w:r w:rsidRPr="00163B9E">
        <w:rPr>
          <w:rtl/>
        </w:rPr>
        <w:t xml:space="preserve"> </w:t>
      </w:r>
      <w:r w:rsidRPr="00163B9E">
        <w:rPr>
          <w:rFonts w:hint="eastAsia"/>
          <w:rtl/>
        </w:rPr>
        <w:t>או</w:t>
      </w:r>
      <w:r w:rsidRPr="00163B9E">
        <w:rPr>
          <w:rtl/>
        </w:rPr>
        <w:t xml:space="preserve"> </w:t>
      </w:r>
      <w:r w:rsidRPr="00163B9E">
        <w:rPr>
          <w:rFonts w:hint="eastAsia"/>
          <w:rtl/>
        </w:rPr>
        <w:t>מפעילות</w:t>
      </w:r>
      <w:r w:rsidRPr="00163B9E">
        <w:rPr>
          <w:rtl/>
        </w:rPr>
        <w:t xml:space="preserve"> </w:t>
      </w:r>
      <w:r w:rsidRPr="00163B9E">
        <w:rPr>
          <w:rFonts w:hint="eastAsia"/>
          <w:rtl/>
        </w:rPr>
        <w:t>השקעה</w:t>
      </w:r>
      <w:r w:rsidRPr="00163B9E">
        <w:rPr>
          <w:rFonts w:hint="cs"/>
          <w:rtl/>
        </w:rPr>
        <w:t>, ולתת גילוי לסכום הכולל של המסים ששולמו (</w:t>
      </w:r>
      <w:r w:rsidRPr="00AA084A">
        <w:rPr>
          <w:rFonts w:hint="cs"/>
        </w:rPr>
        <w:t>IAS 7.36</w:t>
      </w:r>
      <w:r w:rsidRPr="00163B9E">
        <w:rPr>
          <w:rFonts w:hint="cs"/>
          <w:rtl/>
        </w:rPr>
        <w:t>)</w:t>
      </w:r>
      <w:r w:rsidRPr="00163B9E">
        <w:rPr>
          <w:rtl/>
        </w:rPr>
        <w:t>.</w:t>
      </w:r>
    </w:p>
  </w:footnote>
  <w:footnote w:id="54">
    <w:p w14:paraId="6F7D5D77" w14:textId="77777777" w:rsidR="001521F8" w:rsidRPr="0098556D" w:rsidRDefault="001521F8" w:rsidP="00C613CF">
      <w:pPr>
        <w:pStyle w:val="ac"/>
        <w:rPr>
          <w:rtl/>
        </w:rPr>
      </w:pPr>
      <w:r>
        <w:rPr>
          <w:rStyle w:val="ab"/>
        </w:rPr>
        <w:footnoteRef/>
      </w:r>
      <w:r>
        <w:rPr>
          <w:rtl/>
        </w:rPr>
        <w:t xml:space="preserve"> </w:t>
      </w:r>
      <w:r>
        <w:rPr>
          <w:rtl/>
        </w:rPr>
        <w:tab/>
      </w:r>
      <w:r w:rsidRPr="0098556D">
        <w:rPr>
          <w:rFonts w:hint="cs"/>
          <w:rtl/>
        </w:rPr>
        <w:t>נדרש בהתאם לתקנה 41(ב) לתקנות ניירות ערך (דוחות תקופתיים ומיידיים).</w:t>
      </w:r>
    </w:p>
  </w:footnote>
  <w:footnote w:id="55">
    <w:p w14:paraId="377786C2" w14:textId="77777777" w:rsidR="001521F8" w:rsidRDefault="001521F8" w:rsidP="002110EA">
      <w:pPr>
        <w:pStyle w:val="ac"/>
        <w:rPr>
          <w:rtl/>
        </w:rPr>
      </w:pPr>
      <w:r>
        <w:rPr>
          <w:rStyle w:val="ab"/>
        </w:rPr>
        <w:footnoteRef/>
      </w:r>
      <w:r>
        <w:rPr>
          <w:rtl/>
        </w:rPr>
        <w:t xml:space="preserve"> </w:t>
      </w:r>
      <w:r>
        <w:rPr>
          <w:rFonts w:hint="cs"/>
          <w:rtl/>
        </w:rPr>
        <w:tab/>
        <w:t>מתייחס למענקי השקעה בגין רכוש קבוע. מענקי מדען והחזרים בגינם, שאינם מתייחסים לרכוש קבוע, יוצגו כפעילות שוטפת או כפעילות מימון - יש להיוועץ במחלקה המקצועית בנושא.</w:t>
      </w:r>
    </w:p>
  </w:footnote>
  <w:footnote w:id="56">
    <w:p w14:paraId="7F7982EF" w14:textId="77777777" w:rsidR="001521F8" w:rsidRDefault="001521F8" w:rsidP="002110EA">
      <w:pPr>
        <w:pStyle w:val="ac"/>
      </w:pPr>
      <w:r>
        <w:rPr>
          <w:rStyle w:val="ab"/>
        </w:rPr>
        <w:footnoteRef/>
      </w:r>
      <w:r>
        <w:rPr>
          <w:rtl/>
        </w:rPr>
        <w:t xml:space="preserve"> </w:t>
      </w:r>
      <w:r>
        <w:rPr>
          <w:rFonts w:hint="cs"/>
          <w:rtl/>
        </w:rPr>
        <w:tab/>
      </w:r>
      <w:r w:rsidRPr="00937613">
        <w:rPr>
          <w:rFonts w:hint="eastAsia"/>
          <w:rtl/>
        </w:rPr>
        <w:t>לפי</w:t>
      </w:r>
      <w:r w:rsidRPr="00937613">
        <w:rPr>
          <w:rtl/>
        </w:rPr>
        <w:t xml:space="preserve"> </w:t>
      </w:r>
      <w:r w:rsidRPr="00260DA1">
        <w:rPr>
          <w:rFonts w:asciiTheme="majorBidi" w:hAnsiTheme="majorBidi" w:cstheme="majorBidi"/>
          <w:szCs w:val="13"/>
          <w:rtl/>
        </w:rPr>
        <w:t>22</w:t>
      </w:r>
      <w:r>
        <w:rPr>
          <w:rFonts w:hint="cs"/>
          <w:rtl/>
        </w:rPr>
        <w:t>.</w:t>
      </w:r>
      <w:r w:rsidRPr="006A44FC">
        <w:rPr>
          <w:rFonts w:hint="cs"/>
          <w:szCs w:val="13"/>
        </w:rPr>
        <w:t>IAS 7</w:t>
      </w:r>
      <w:r w:rsidRPr="00937613">
        <w:rPr>
          <w:rFonts w:hint="cs"/>
          <w:rtl/>
        </w:rPr>
        <w:t xml:space="preserve">, "ניתן לדווח על בסיס נטו על תזרימי מזומנים הנובעים מהפעילויות השוטפות, מפעילויות ההשקעה ומפעילויות המימון הבאות: (א) תקבולים ותשלומים של מזומנים בעבור לקוחות כאשר תזרימי המזומנים משקפים את הפעילויות של הלקוח ולא את אלה של הישות, וכן (ב) תקבולים ותשלומים של מזומנים בגין פריטים שבהם המחזור מהיר, הסכומים גבוהים והתקופות לפרעון קצרות".  </w:t>
      </w:r>
    </w:p>
  </w:footnote>
  <w:footnote w:id="57">
    <w:p w14:paraId="5CF728DE" w14:textId="77777777" w:rsidR="001521F8" w:rsidRDefault="001521F8" w:rsidP="00EA66F8">
      <w:pPr>
        <w:pStyle w:val="ac"/>
        <w:rPr>
          <w:rtl/>
        </w:rPr>
      </w:pPr>
      <w:r>
        <w:rPr>
          <w:rStyle w:val="ab"/>
        </w:rPr>
        <w:footnoteRef/>
      </w:r>
      <w:r>
        <w:rPr>
          <w:rtl/>
        </w:rPr>
        <w:t xml:space="preserve"> </w:t>
      </w:r>
      <w:r>
        <w:rPr>
          <w:rtl/>
        </w:rPr>
        <w:tab/>
      </w:r>
      <w:r>
        <w:rPr>
          <w:rFonts w:hint="cs"/>
          <w:rtl/>
        </w:rPr>
        <w:t xml:space="preserve">מענקי רשות החדשנות והחזרים בגינם יוצגו כפעילות שוטפת או כפעילות מימון </w:t>
      </w:r>
      <w:r>
        <w:rPr>
          <w:rtl/>
        </w:rPr>
        <w:t>–</w:t>
      </w:r>
      <w:r>
        <w:rPr>
          <w:rFonts w:hint="cs"/>
          <w:rtl/>
        </w:rPr>
        <w:t xml:space="preserve"> יש להיוועץ במחלקה המקצועית בנושא.</w:t>
      </w:r>
    </w:p>
  </w:footnote>
  <w:footnote w:id="58">
    <w:p w14:paraId="73A10F72" w14:textId="77777777" w:rsidR="001521F8" w:rsidRPr="00937613" w:rsidRDefault="001521F8" w:rsidP="002110EA">
      <w:pPr>
        <w:pStyle w:val="ac"/>
        <w:rPr>
          <w:rtl/>
        </w:rPr>
      </w:pPr>
      <w:r w:rsidRPr="00937613">
        <w:rPr>
          <w:rStyle w:val="ab"/>
          <w:szCs w:val="17"/>
        </w:rPr>
        <w:footnoteRef/>
      </w:r>
      <w:r w:rsidRPr="00937613">
        <w:rPr>
          <w:rtl/>
        </w:rPr>
        <w:t xml:space="preserve"> </w:t>
      </w:r>
      <w:r w:rsidRPr="00937613">
        <w:rPr>
          <w:rFonts w:hint="cs"/>
          <w:rtl/>
        </w:rPr>
        <w:tab/>
      </w:r>
      <w:r w:rsidRPr="00937613">
        <w:rPr>
          <w:rFonts w:hint="eastAsia"/>
          <w:rtl/>
        </w:rPr>
        <w:t>בשורה</w:t>
      </w:r>
      <w:r w:rsidRPr="00937613">
        <w:rPr>
          <w:rtl/>
        </w:rPr>
        <w:t xml:space="preserve"> זו מוצגים הפרשי השער </w:t>
      </w:r>
      <w:r w:rsidRPr="00937613">
        <w:rPr>
          <w:rFonts w:hint="eastAsia"/>
          <w:rtl/>
        </w:rPr>
        <w:t>שנצמחו</w:t>
      </w:r>
      <w:r w:rsidRPr="00937613">
        <w:rPr>
          <w:rtl/>
        </w:rPr>
        <w:t xml:space="preserve"> לחברה בגין יתרות המזומנים ושווי המזומנים שלה במט"ח וכן הפרשי השער </w:t>
      </w:r>
      <w:r w:rsidRPr="00937613">
        <w:rPr>
          <w:rFonts w:hint="eastAsia"/>
          <w:rtl/>
        </w:rPr>
        <w:t>שנצמחו</w:t>
      </w:r>
      <w:r w:rsidRPr="00937613">
        <w:rPr>
          <w:rtl/>
        </w:rPr>
        <w:t xml:space="preserve"> בגין יתרות המזומני</w:t>
      </w:r>
      <w:r w:rsidRPr="00937613">
        <w:rPr>
          <w:rFonts w:hint="cs"/>
          <w:rtl/>
        </w:rPr>
        <w:t>ם</w:t>
      </w:r>
      <w:r w:rsidRPr="00937613">
        <w:rPr>
          <w:rtl/>
        </w:rPr>
        <w:t xml:space="preserve"> ושווי המזומנים במט"ח של פעילויות חוץ של החברה.</w:t>
      </w:r>
    </w:p>
  </w:footnote>
  <w:footnote w:id="59">
    <w:p w14:paraId="04DA75BD" w14:textId="77777777" w:rsidR="001521F8" w:rsidRDefault="001521F8" w:rsidP="002110EA">
      <w:pPr>
        <w:pStyle w:val="ac"/>
        <w:rPr>
          <w:rtl/>
        </w:rPr>
      </w:pPr>
      <w:r>
        <w:rPr>
          <w:rStyle w:val="ab"/>
        </w:rPr>
        <w:footnoteRef/>
      </w:r>
      <w:r>
        <w:rPr>
          <w:rtl/>
        </w:rPr>
        <w:t xml:space="preserve"> </w:t>
      </w:r>
      <w:r>
        <w:rPr>
          <w:rtl/>
        </w:rPr>
        <w:tab/>
      </w:r>
      <w:r w:rsidRPr="0098556D">
        <w:rPr>
          <w:rFonts w:hint="cs"/>
          <w:rtl/>
        </w:rPr>
        <w:t>נדרש בהתאם לתקנה 41(ב) לתקנות ניירות ערך (דוחות תקופתיים ומיידיים).</w:t>
      </w:r>
    </w:p>
  </w:footnote>
  <w:footnote w:id="60">
    <w:p w14:paraId="4BE387BC" w14:textId="77777777" w:rsidR="001521F8" w:rsidRPr="006A44FC" w:rsidRDefault="001521F8" w:rsidP="008929F7">
      <w:pPr>
        <w:pStyle w:val="ac"/>
        <w:rPr>
          <w:rtl/>
        </w:rPr>
      </w:pPr>
      <w:r>
        <w:rPr>
          <w:rStyle w:val="ab"/>
        </w:rPr>
        <w:footnoteRef/>
      </w:r>
      <w:r>
        <w:rPr>
          <w:rtl/>
        </w:rPr>
        <w:t xml:space="preserve"> </w:t>
      </w:r>
      <w:r>
        <w:rPr>
          <w:rFonts w:hint="cs"/>
          <w:rtl/>
        </w:rPr>
        <w:tab/>
      </w:r>
      <w:r w:rsidRPr="006A44FC">
        <w:rPr>
          <w:rFonts w:hint="eastAsia"/>
          <w:rtl/>
        </w:rPr>
        <w:t>אם</w:t>
      </w:r>
      <w:r w:rsidRPr="006A44FC">
        <w:rPr>
          <w:rtl/>
        </w:rPr>
        <w:t xml:space="preserve"> פורסם תשקיף מדף לאחר פרסום הדוחות השנתיים </w:t>
      </w:r>
      <w:r w:rsidRPr="006A44FC">
        <w:rPr>
          <w:rFonts w:hint="eastAsia"/>
          <w:rtl/>
        </w:rPr>
        <w:t>האחרונים</w:t>
      </w:r>
      <w:r w:rsidRPr="006A44FC">
        <w:rPr>
          <w:rtl/>
        </w:rPr>
        <w:t xml:space="preserve"> </w:t>
      </w:r>
      <w:r w:rsidRPr="006A44FC">
        <w:rPr>
          <w:rFonts w:hint="cs"/>
          <w:rtl/>
        </w:rPr>
        <w:t>ו</w:t>
      </w:r>
      <w:r w:rsidRPr="006A44FC">
        <w:rPr>
          <w:rFonts w:hint="eastAsia"/>
          <w:rtl/>
        </w:rPr>
        <w:t>לפני</w:t>
      </w:r>
      <w:r w:rsidRPr="006A44FC">
        <w:rPr>
          <w:rtl/>
        </w:rPr>
        <w:t xml:space="preserve"> </w:t>
      </w:r>
      <w:r w:rsidRPr="006A44FC">
        <w:rPr>
          <w:rFonts w:hint="eastAsia"/>
          <w:rtl/>
        </w:rPr>
        <w:t>פרסום</w:t>
      </w:r>
      <w:r w:rsidRPr="006A44FC">
        <w:rPr>
          <w:rtl/>
        </w:rPr>
        <w:t xml:space="preserve"> </w:t>
      </w:r>
      <w:r w:rsidRPr="006A44FC">
        <w:rPr>
          <w:rFonts w:hint="eastAsia"/>
          <w:rtl/>
        </w:rPr>
        <w:t>דוחות</w:t>
      </w:r>
      <w:r w:rsidRPr="006A44FC">
        <w:rPr>
          <w:rtl/>
        </w:rPr>
        <w:t xml:space="preserve"> </w:t>
      </w:r>
      <w:r w:rsidRPr="006A44FC">
        <w:rPr>
          <w:rFonts w:hint="eastAsia"/>
          <w:rtl/>
        </w:rPr>
        <w:t>הביניים</w:t>
      </w:r>
      <w:r w:rsidRPr="006A44FC">
        <w:rPr>
          <w:rtl/>
        </w:rPr>
        <w:t xml:space="preserve">, </w:t>
      </w:r>
      <w:r w:rsidRPr="006A44FC">
        <w:rPr>
          <w:rFonts w:hint="eastAsia"/>
          <w:rtl/>
        </w:rPr>
        <w:t>יש</w:t>
      </w:r>
      <w:r w:rsidRPr="006A44FC">
        <w:rPr>
          <w:rtl/>
        </w:rPr>
        <w:t xml:space="preserve"> </w:t>
      </w:r>
      <w:r w:rsidRPr="006A44FC">
        <w:rPr>
          <w:rFonts w:hint="eastAsia"/>
          <w:rtl/>
        </w:rPr>
        <w:t>להפנות</w:t>
      </w:r>
      <w:r w:rsidRPr="006A44FC">
        <w:rPr>
          <w:rtl/>
        </w:rPr>
        <w:t xml:space="preserve"> </w:t>
      </w:r>
      <w:r w:rsidRPr="006A44FC">
        <w:rPr>
          <w:rFonts w:hint="cs"/>
          <w:rtl/>
        </w:rPr>
        <w:t>"</w:t>
      </w:r>
      <w:r w:rsidRPr="006A44FC">
        <w:rPr>
          <w:rFonts w:hint="eastAsia"/>
          <w:rtl/>
        </w:rPr>
        <w:t>לדוחות</w:t>
      </w:r>
      <w:r w:rsidRPr="006A44FC">
        <w:rPr>
          <w:rtl/>
        </w:rPr>
        <w:t xml:space="preserve"> </w:t>
      </w:r>
      <w:r w:rsidRPr="006A44FC">
        <w:rPr>
          <w:rFonts w:hint="eastAsia"/>
          <w:rtl/>
        </w:rPr>
        <w:t>הכספיים</w:t>
      </w:r>
      <w:r w:rsidRPr="006A44FC">
        <w:rPr>
          <w:rtl/>
        </w:rPr>
        <w:t xml:space="preserve"> </w:t>
      </w:r>
      <w:r w:rsidRPr="006A44FC">
        <w:rPr>
          <w:rFonts w:hint="eastAsia"/>
          <w:rtl/>
        </w:rPr>
        <w:t>שנכללו</w:t>
      </w:r>
      <w:r w:rsidRPr="006A44FC">
        <w:rPr>
          <w:rtl/>
        </w:rPr>
        <w:t xml:space="preserve"> </w:t>
      </w:r>
      <w:r w:rsidRPr="006A44FC">
        <w:rPr>
          <w:rFonts w:hint="eastAsia"/>
          <w:rtl/>
        </w:rPr>
        <w:t>בתשקיף</w:t>
      </w:r>
      <w:r w:rsidRPr="006A44FC">
        <w:rPr>
          <w:rtl/>
        </w:rPr>
        <w:t xml:space="preserve"> </w:t>
      </w:r>
      <w:r w:rsidRPr="006A44FC">
        <w:rPr>
          <w:rFonts w:hint="eastAsia"/>
          <w:rtl/>
        </w:rPr>
        <w:t>המדף</w:t>
      </w:r>
      <w:r w:rsidRPr="006A44FC">
        <w:rPr>
          <w:rtl/>
        </w:rPr>
        <w:t xml:space="preserve"> </w:t>
      </w:r>
      <w:r w:rsidRPr="006A44FC">
        <w:rPr>
          <w:rFonts w:hint="eastAsia"/>
          <w:rtl/>
        </w:rPr>
        <w:t>שפורסם</w:t>
      </w:r>
      <w:r w:rsidRPr="006A44FC">
        <w:rPr>
          <w:rtl/>
        </w:rPr>
        <w:t xml:space="preserve"> </w:t>
      </w:r>
      <w:r w:rsidRPr="006A44FC">
        <w:rPr>
          <w:rFonts w:hint="eastAsia"/>
          <w:rtl/>
        </w:rPr>
        <w:t>ביום</w:t>
      </w:r>
      <w:r w:rsidRPr="006A44FC">
        <w:rPr>
          <w:rtl/>
        </w:rPr>
        <w:t xml:space="preserve"> ____</w:t>
      </w:r>
      <w:r w:rsidRPr="006A44FC">
        <w:rPr>
          <w:rFonts w:hint="cs"/>
          <w:rtl/>
        </w:rPr>
        <w:t>"</w:t>
      </w:r>
      <w:r w:rsidRPr="006A44FC">
        <w:rPr>
          <w:rtl/>
        </w:rPr>
        <w:t>.</w:t>
      </w:r>
      <w:r w:rsidRPr="006A44FC">
        <w:rPr>
          <w:rFonts w:hint="cs"/>
          <w:rtl/>
        </w:rPr>
        <w:t xml:space="preserve"> </w:t>
      </w:r>
    </w:p>
  </w:footnote>
  <w:footnote w:id="61">
    <w:p w14:paraId="72DB1A59" w14:textId="77777777" w:rsidR="001521F8" w:rsidRDefault="001521F8" w:rsidP="008929F7">
      <w:pPr>
        <w:pStyle w:val="ac"/>
        <w:rPr>
          <w:rtl/>
        </w:rPr>
      </w:pPr>
      <w:r>
        <w:rPr>
          <w:rStyle w:val="ab"/>
        </w:rPr>
        <w:footnoteRef/>
      </w:r>
      <w:r>
        <w:rPr>
          <w:rtl/>
        </w:rPr>
        <w:t xml:space="preserve"> </w:t>
      </w:r>
      <w:r>
        <w:rPr>
          <w:rtl/>
        </w:rPr>
        <w:tab/>
      </w:r>
      <w:r w:rsidRPr="00BA425D">
        <w:rPr>
          <w:rFonts w:hint="cs"/>
          <w:rtl/>
        </w:rPr>
        <w:t>נדרש בהתאם לתקנה 4</w:t>
      </w:r>
      <w:r>
        <w:rPr>
          <w:rFonts w:hint="cs"/>
          <w:rtl/>
        </w:rPr>
        <w:t>0</w:t>
      </w:r>
      <w:r w:rsidRPr="00BA425D">
        <w:rPr>
          <w:rFonts w:hint="cs"/>
          <w:rtl/>
        </w:rPr>
        <w:t>(ב) לתקנות ניירות ערך (דוחות תקופתיים ומיידיים).</w:t>
      </w:r>
    </w:p>
  </w:footnote>
  <w:footnote w:id="62">
    <w:p w14:paraId="63BED902" w14:textId="77777777" w:rsidR="001521F8" w:rsidRPr="006A44FC" w:rsidRDefault="001521F8" w:rsidP="007202CB">
      <w:pPr>
        <w:pStyle w:val="ac"/>
      </w:pPr>
      <w:r w:rsidRPr="006A44FC">
        <w:rPr>
          <w:rStyle w:val="ab"/>
        </w:rPr>
        <w:footnoteRef/>
      </w:r>
      <w:r w:rsidRPr="006A44FC">
        <w:rPr>
          <w:rtl/>
        </w:rPr>
        <w:t xml:space="preserve"> </w:t>
      </w:r>
      <w:r w:rsidRPr="006A44FC">
        <w:rPr>
          <w:rFonts w:hint="cs"/>
          <w:rtl/>
        </w:rPr>
        <w:tab/>
        <w:t xml:space="preserve">המילים "למעט האמור להלן" יבואו בכל מקרה שבו </w:t>
      </w:r>
      <w:r>
        <w:rPr>
          <w:rFonts w:hint="cs"/>
          <w:rtl/>
        </w:rPr>
        <w:t>רלוונטיים סעיפים ב', ג' ו/או ד' בבאור</w:t>
      </w:r>
      <w:r w:rsidRPr="006A44FC">
        <w:rPr>
          <w:rFonts w:hint="cs"/>
          <w:rtl/>
        </w:rPr>
        <w:t>.</w:t>
      </w:r>
    </w:p>
  </w:footnote>
  <w:footnote w:id="63">
    <w:p w14:paraId="45941D93" w14:textId="77777777" w:rsidR="001521F8" w:rsidRDefault="001521F8" w:rsidP="00D45A14">
      <w:pPr>
        <w:pStyle w:val="ac"/>
      </w:pPr>
      <w:r>
        <w:rPr>
          <w:rStyle w:val="ab"/>
        </w:rPr>
        <w:footnoteRef/>
      </w:r>
      <w:r>
        <w:rPr>
          <w:rtl/>
        </w:rPr>
        <w:t xml:space="preserve"> </w:t>
      </w:r>
      <w:r>
        <w:rPr>
          <w:rFonts w:hint="cs"/>
          <w:rtl/>
        </w:rPr>
        <w:tab/>
        <w:t xml:space="preserve">לגבי נכסי נדל"ן להשקעה הנמדדים בשווי הוגן, עלויות ראשוניות מתווספות לעלות הנדל"ן להשקעה במועד ההכרה בו לראשונה. </w:t>
      </w:r>
    </w:p>
  </w:footnote>
  <w:footnote w:id="64">
    <w:p w14:paraId="1371D7B4" w14:textId="77777777" w:rsidR="001521F8" w:rsidRDefault="001521F8" w:rsidP="00D45A14">
      <w:pPr>
        <w:pStyle w:val="ac"/>
      </w:pPr>
      <w:r>
        <w:rPr>
          <w:rStyle w:val="ab"/>
        </w:rPr>
        <w:footnoteRef/>
      </w:r>
      <w:r>
        <w:rPr>
          <w:rtl/>
        </w:rPr>
        <w:t xml:space="preserve"> </w:t>
      </w:r>
      <w:r>
        <w:rPr>
          <w:rtl/>
        </w:rPr>
        <w:tab/>
      </w:r>
      <w:r>
        <w:rPr>
          <w:rFonts w:hint="cs"/>
          <w:rtl/>
        </w:rPr>
        <w:t xml:space="preserve">נכס בסיס בעל ערך נמוך </w:t>
      </w:r>
      <w:r>
        <w:rPr>
          <w:rtl/>
        </w:rPr>
        <w:t>–</w:t>
      </w:r>
      <w:r>
        <w:rPr>
          <w:rFonts w:hint="cs"/>
          <w:rtl/>
        </w:rPr>
        <w:t xml:space="preserve"> עד סך של 5,000 דולר עבור נכס הבסיס כאשר הוא במצב חדש.</w:t>
      </w:r>
    </w:p>
  </w:footnote>
  <w:footnote w:id="65">
    <w:p w14:paraId="116CDD86" w14:textId="77777777" w:rsidR="001521F8" w:rsidRDefault="001521F8" w:rsidP="00D45A14">
      <w:pPr>
        <w:pStyle w:val="ac"/>
      </w:pPr>
      <w:r>
        <w:rPr>
          <w:rStyle w:val="ab"/>
        </w:rPr>
        <w:footnoteRef/>
      </w:r>
      <w:r>
        <w:rPr>
          <w:rtl/>
        </w:rPr>
        <w:t xml:space="preserve"> </w:t>
      </w:r>
      <w:r>
        <w:rPr>
          <w:rtl/>
        </w:rPr>
        <w:tab/>
      </w:r>
      <w:r>
        <w:rPr>
          <w:rFonts w:hint="cs"/>
          <w:rtl/>
        </w:rPr>
        <w:t>חברה רשאית להכיר בנכס זכות שימוש כנגד התחייבות בגין חכירה גם בעסקאות חכירה לטווח קצר או עסקאות חכירה הכוללות נכס בסיס בעל ערך נמוך. חברות אשר יבחרו שלא ליישם את ההקלה הניתנת בתקן יתאימו את נוסח הפסקה בהתאם.</w:t>
      </w:r>
    </w:p>
  </w:footnote>
  <w:footnote w:id="66">
    <w:p w14:paraId="187B1BF3" w14:textId="77777777" w:rsidR="001521F8" w:rsidRDefault="001521F8" w:rsidP="00D45A14">
      <w:pPr>
        <w:pStyle w:val="ac"/>
      </w:pPr>
      <w:r>
        <w:rPr>
          <w:rStyle w:val="ab"/>
        </w:rPr>
        <w:footnoteRef/>
      </w:r>
      <w:r>
        <w:rPr>
          <w:rtl/>
        </w:rPr>
        <w:t xml:space="preserve"> </w:t>
      </w:r>
      <w:r>
        <w:rPr>
          <w:rtl/>
        </w:rPr>
        <w:tab/>
      </w:r>
      <w:r>
        <w:rPr>
          <w:rFonts w:hint="cs"/>
          <w:rtl/>
        </w:rPr>
        <w:t>חברה אשר בחרה שלא ליישם את ההקלה או ליישם את ההקלה רק עבור קבוצות נכסי בסיס ספציפיי</w:t>
      </w:r>
      <w:r>
        <w:rPr>
          <w:rFonts w:hint="eastAsia"/>
          <w:rtl/>
        </w:rPr>
        <w:t>ם</w:t>
      </w:r>
      <w:r>
        <w:rPr>
          <w:rFonts w:hint="cs"/>
          <w:rtl/>
        </w:rPr>
        <w:t>, תעדכן את נוסח הפסקה בהתאם.</w:t>
      </w:r>
    </w:p>
  </w:footnote>
  <w:footnote w:id="67">
    <w:p w14:paraId="45EBEA95" w14:textId="2BFDB7C2" w:rsidR="001521F8" w:rsidRDefault="001521F8" w:rsidP="00D45A14">
      <w:pPr>
        <w:pStyle w:val="ac"/>
      </w:pPr>
      <w:r>
        <w:rPr>
          <w:rStyle w:val="ab"/>
        </w:rPr>
        <w:footnoteRef/>
      </w:r>
      <w:r>
        <w:rPr>
          <w:rtl/>
        </w:rPr>
        <w:t xml:space="preserve"> </w:t>
      </w:r>
      <w:r>
        <w:rPr>
          <w:rtl/>
        </w:rPr>
        <w:tab/>
      </w:r>
      <w:r>
        <w:rPr>
          <w:rFonts w:hint="cs"/>
          <w:rtl/>
        </w:rPr>
        <w:t>חברה אשר מודדת את יתרת נכס זכות שימוש במודל הערכה מחדש או במודל השווי ההוגן (כאשר רלוונטי) תעדכן את נוסח הפסקה בהתאם.</w:t>
      </w:r>
    </w:p>
  </w:footnote>
  <w:footnote w:id="68">
    <w:p w14:paraId="06931D8A" w14:textId="77777777" w:rsidR="001521F8" w:rsidRDefault="001521F8" w:rsidP="00D45A14">
      <w:pPr>
        <w:pStyle w:val="ac"/>
        <w:rPr>
          <w:rtl/>
        </w:rPr>
      </w:pPr>
      <w:r>
        <w:rPr>
          <w:rStyle w:val="ab"/>
        </w:rPr>
        <w:footnoteRef/>
      </w:r>
      <w:r>
        <w:rPr>
          <w:rtl/>
        </w:rPr>
        <w:t xml:space="preserve"> </w:t>
      </w:r>
      <w:r>
        <w:rPr>
          <w:rtl/>
        </w:rPr>
        <w:tab/>
      </w:r>
      <w:r>
        <w:rPr>
          <w:rFonts w:hint="cs"/>
          <w:rtl/>
        </w:rPr>
        <w:t>הגילוי בדבר המדיניות החשבונאית לעיל אינה כוללת התייחסות להשפעות של ערך שייר. במקרה בו לחברה עסקאות חכירה מימונית הכוללות ערך שייר בסכום מהותי יש להתאים את הנוסח בהתאם.</w:t>
      </w:r>
    </w:p>
  </w:footnote>
  <w:footnote w:id="69">
    <w:p w14:paraId="54E0EE94" w14:textId="77777777" w:rsidR="001521F8" w:rsidRDefault="001521F8" w:rsidP="00D45A14">
      <w:pPr>
        <w:pStyle w:val="ac"/>
        <w:rPr>
          <w:rtl/>
        </w:rPr>
      </w:pPr>
      <w:r>
        <w:rPr>
          <w:rStyle w:val="ab"/>
        </w:rPr>
        <w:footnoteRef/>
      </w:r>
      <w:r>
        <w:rPr>
          <w:rtl/>
        </w:rPr>
        <w:t xml:space="preserve"> </w:t>
      </w:r>
      <w:r>
        <w:rPr>
          <w:rtl/>
        </w:rPr>
        <w:tab/>
      </w:r>
      <w:r>
        <w:rPr>
          <w:rFonts w:hint="cs"/>
          <w:rtl/>
        </w:rPr>
        <w:t>כאשר תשלומים משתנים תלויים בשיעור ריבית או שינויים בשווי הוגן יש להתאים את הנוסח בהתאם.</w:t>
      </w:r>
    </w:p>
  </w:footnote>
  <w:footnote w:id="70">
    <w:p w14:paraId="542D8D7D" w14:textId="77777777" w:rsidR="001521F8" w:rsidRDefault="001521F8" w:rsidP="00D45A14">
      <w:pPr>
        <w:pStyle w:val="ac"/>
      </w:pPr>
      <w:r>
        <w:rPr>
          <w:rStyle w:val="ab"/>
        </w:rPr>
        <w:footnoteRef/>
      </w:r>
      <w:r>
        <w:rPr>
          <w:rtl/>
        </w:rPr>
        <w:t xml:space="preserve"> </w:t>
      </w:r>
      <w:r>
        <w:rPr>
          <w:rtl/>
        </w:rPr>
        <w:tab/>
      </w:r>
      <w:r>
        <w:rPr>
          <w:rFonts w:hint="cs"/>
          <w:rtl/>
        </w:rPr>
        <w:t>רלוונטי עבור עסקאות חכירה בהן החברה מהווה חוכר בלבד.</w:t>
      </w:r>
    </w:p>
  </w:footnote>
  <w:footnote w:id="71">
    <w:p w14:paraId="4034E9C5" w14:textId="0BD9699E" w:rsidR="001521F8" w:rsidRDefault="001521F8">
      <w:pPr>
        <w:pStyle w:val="ac"/>
        <w:rPr>
          <w:rtl/>
        </w:rPr>
      </w:pPr>
      <w:r>
        <w:rPr>
          <w:rStyle w:val="ab"/>
        </w:rPr>
        <w:footnoteRef/>
      </w:r>
      <w:r>
        <w:rPr>
          <w:rtl/>
        </w:rPr>
        <w:t xml:space="preserve"> </w:t>
      </w:r>
      <w:r>
        <w:rPr>
          <w:rtl/>
        </w:rPr>
        <w:tab/>
      </w:r>
      <w:r>
        <w:rPr>
          <w:rFonts w:hint="cs"/>
          <w:rtl/>
        </w:rPr>
        <w:t>יש לבחור באופציה הרלוונטית לחברה בהתאם לשלושת האפשרויות הקיימות באפור.</w:t>
      </w:r>
    </w:p>
  </w:footnote>
  <w:footnote w:id="72">
    <w:p w14:paraId="0A3A0C31" w14:textId="77777777" w:rsidR="001521F8" w:rsidRDefault="001521F8" w:rsidP="00AC60B5">
      <w:pPr>
        <w:pStyle w:val="ac"/>
        <w:rPr>
          <w:rtl/>
        </w:rPr>
      </w:pPr>
      <w:r>
        <w:rPr>
          <w:rStyle w:val="ab"/>
        </w:rPr>
        <w:footnoteRef/>
      </w:r>
      <w:r>
        <w:rPr>
          <w:rtl/>
        </w:rPr>
        <w:t xml:space="preserve"> </w:t>
      </w:r>
      <w:r>
        <w:rPr>
          <w:rFonts w:hint="cs"/>
          <w:rtl/>
        </w:rPr>
        <w:tab/>
        <w:t>עבור חוזי חכירה אשר למועד היישום לראשונה של התקן נותרה תקופה הקצרה מ- 12 חודשים לסיומם, רשאית החברה שלא ליישם את הוראות התקן אלא להמשיך להכיר בתשלומי החכירה כהוצאה בקו ישר ברווח או הפסד.</w:t>
      </w:r>
    </w:p>
  </w:footnote>
  <w:footnote w:id="73">
    <w:p w14:paraId="6FF275BC" w14:textId="77777777" w:rsidR="001521F8" w:rsidRDefault="001521F8" w:rsidP="00AC60B5">
      <w:pPr>
        <w:pStyle w:val="ac"/>
      </w:pPr>
      <w:r>
        <w:rPr>
          <w:rStyle w:val="ab"/>
        </w:rPr>
        <w:footnoteRef/>
      </w:r>
      <w:r>
        <w:rPr>
          <w:rtl/>
        </w:rPr>
        <w:t xml:space="preserve"> </w:t>
      </w:r>
      <w:r>
        <w:rPr>
          <w:rFonts w:hint="cs"/>
          <w:rtl/>
        </w:rPr>
        <w:tab/>
        <w:t>יש להתייחס בטבלה לכל הסעיפים שהושפעו.</w:t>
      </w:r>
    </w:p>
  </w:footnote>
  <w:footnote w:id="74">
    <w:p w14:paraId="7673C651" w14:textId="15681571" w:rsidR="001521F8" w:rsidRDefault="001521F8" w:rsidP="00C914E9">
      <w:pPr>
        <w:pStyle w:val="ac"/>
        <w:rPr>
          <w:rtl/>
        </w:rPr>
      </w:pPr>
      <w:r>
        <w:rPr>
          <w:rStyle w:val="ab"/>
        </w:rPr>
        <w:footnoteRef/>
      </w:r>
      <w:r>
        <w:rPr>
          <w:rtl/>
        </w:rPr>
        <w:t xml:space="preserve"> </w:t>
      </w:r>
      <w:r>
        <w:rPr>
          <w:rtl/>
        </w:rPr>
        <w:tab/>
      </w:r>
      <w:r>
        <w:rPr>
          <w:rFonts w:hint="cs"/>
          <w:rtl/>
        </w:rPr>
        <w:t>ניתן לפרט את ההשפעה על נכסי זכות השימוש לפי קבוצות - רכבים, מקרקעין, מכונות וציוד ועוד.</w:t>
      </w:r>
    </w:p>
  </w:footnote>
  <w:footnote w:id="75">
    <w:p w14:paraId="07ACF34E" w14:textId="021FEA8C" w:rsidR="001521F8" w:rsidRDefault="001521F8" w:rsidP="00C914E9">
      <w:pPr>
        <w:pStyle w:val="ac"/>
      </w:pPr>
      <w:r w:rsidRPr="00C914E9">
        <w:rPr>
          <w:bCs/>
        </w:rPr>
        <w:footnoteRef/>
      </w:r>
      <w:r>
        <w:rPr>
          <w:rtl/>
        </w:rPr>
        <w:t xml:space="preserve"> </w:t>
      </w:r>
      <w:r>
        <w:rPr>
          <w:rtl/>
        </w:rPr>
        <w:tab/>
      </w:r>
      <w:r>
        <w:rPr>
          <w:rFonts w:hint="cs"/>
          <w:rtl/>
        </w:rPr>
        <w:t>ניתן</w:t>
      </w:r>
      <w:r w:rsidRPr="00C914E9">
        <w:rPr>
          <w:rFonts w:hint="cs"/>
          <w:rtl/>
        </w:rPr>
        <w:t xml:space="preserve"> לתת גילוי זה גם על ידי הצגה של שיעורי היוון לפי קבוצות של נכסי זכות שימוש (</w:t>
      </w:r>
      <w:r>
        <w:rPr>
          <w:rFonts w:hint="cs"/>
          <w:rtl/>
        </w:rPr>
        <w:t>רכבים, מקרקעין ועוד</w:t>
      </w:r>
      <w:r w:rsidRPr="00C914E9">
        <w:rPr>
          <w:rFonts w:hint="cs"/>
          <w:rtl/>
        </w:rPr>
        <w:t>) וכן באמצעות טווח של שיעורי היוון ששימשו ביישום התקן לראשונה.</w:t>
      </w:r>
    </w:p>
  </w:footnote>
  <w:footnote w:id="76">
    <w:p w14:paraId="439BB302" w14:textId="3C3BDCA4" w:rsidR="001521F8" w:rsidRDefault="001521F8" w:rsidP="00AC60B5">
      <w:pPr>
        <w:pStyle w:val="ac"/>
        <w:rPr>
          <w:rtl/>
        </w:rPr>
      </w:pPr>
      <w:r>
        <w:rPr>
          <w:rStyle w:val="ab"/>
        </w:rPr>
        <w:footnoteRef/>
      </w:r>
      <w:r>
        <w:rPr>
          <w:rtl/>
        </w:rPr>
        <w:t xml:space="preserve"> </w:t>
      </w:r>
      <w:r>
        <w:rPr>
          <w:rtl/>
        </w:rPr>
        <w:tab/>
      </w:r>
      <w:r>
        <w:rPr>
          <w:rFonts w:hint="cs"/>
          <w:rtl/>
        </w:rPr>
        <w:t xml:space="preserve">בהתאם לסעיף ג11 לתקן, בעסקאות חכירה בהן החברה מהווה חוכר וסווגו כחכירה מימונית לפי הוראות </w:t>
      </w:r>
      <w:r>
        <w:rPr>
          <w:rFonts w:hint="cs"/>
        </w:rPr>
        <w:t>IAS 17</w:t>
      </w:r>
      <w:r>
        <w:rPr>
          <w:rFonts w:hint="cs"/>
          <w:rtl/>
        </w:rPr>
        <w:t xml:space="preserve">, יתרות הפתיחה של התחייבות בגין חכירה ונכס זכות שימוש במועד היישום לראשונה של התקן תהיה בגובה היתרות לאותו יום לפי הוראות </w:t>
      </w:r>
      <w:r>
        <w:rPr>
          <w:rFonts w:hint="cs"/>
        </w:rPr>
        <w:t>IAS 17</w:t>
      </w:r>
      <w:r>
        <w:rPr>
          <w:rFonts w:hint="cs"/>
          <w:rtl/>
        </w:rPr>
        <w:t>.</w:t>
      </w:r>
    </w:p>
  </w:footnote>
  <w:footnote w:id="77">
    <w:p w14:paraId="472F1FC7" w14:textId="77777777" w:rsidR="001521F8" w:rsidRDefault="001521F8" w:rsidP="00AC60B5">
      <w:pPr>
        <w:pStyle w:val="ac"/>
      </w:pPr>
      <w:r>
        <w:rPr>
          <w:rStyle w:val="ab"/>
        </w:rPr>
        <w:footnoteRef/>
      </w:r>
      <w:r>
        <w:rPr>
          <w:rtl/>
        </w:rPr>
        <w:t xml:space="preserve"> </w:t>
      </w:r>
      <w:r>
        <w:rPr>
          <w:rFonts w:hint="cs"/>
          <w:rtl/>
        </w:rPr>
        <w:tab/>
        <w:t>חברה רשאית לבחור ליישם הקלות כלשהן על בסיס כל חכירה בנפרד.</w:t>
      </w:r>
    </w:p>
  </w:footnote>
  <w:footnote w:id="78">
    <w:p w14:paraId="75E2FD24" w14:textId="77777777" w:rsidR="001521F8" w:rsidRDefault="001521F8" w:rsidP="00AC60B5">
      <w:pPr>
        <w:pStyle w:val="ac"/>
      </w:pPr>
      <w:r>
        <w:rPr>
          <w:rStyle w:val="ab"/>
        </w:rPr>
        <w:footnoteRef/>
      </w:r>
      <w:r>
        <w:rPr>
          <w:rtl/>
        </w:rPr>
        <w:t xml:space="preserve"> </w:t>
      </w:r>
      <w:r>
        <w:rPr>
          <w:rtl/>
        </w:rPr>
        <w:tab/>
      </w:r>
      <w:r>
        <w:rPr>
          <w:rFonts w:hint="cs"/>
          <w:rtl/>
        </w:rPr>
        <w:t xml:space="preserve">ההקלה רלוונטית לחוזי חכירה אשר יתרת נכס זכות שימוש במועד היישום לראשונה נמדדת לפי הוראות </w:t>
      </w:r>
      <w:r>
        <w:rPr>
          <w:rFonts w:hint="cs"/>
        </w:rPr>
        <w:t>IFRS 16</w:t>
      </w:r>
      <w:r>
        <w:rPr>
          <w:rFonts w:hint="cs"/>
          <w:rtl/>
        </w:rPr>
        <w:t xml:space="preserve"> מאז ומעולם.</w:t>
      </w:r>
    </w:p>
  </w:footnote>
  <w:footnote w:id="79">
    <w:p w14:paraId="56AEE872" w14:textId="2AC445F9" w:rsidR="001521F8" w:rsidRDefault="001521F8">
      <w:pPr>
        <w:pStyle w:val="ac"/>
        <w:rPr>
          <w:rtl/>
        </w:rPr>
      </w:pPr>
      <w:r>
        <w:rPr>
          <w:rStyle w:val="ab"/>
        </w:rPr>
        <w:footnoteRef/>
      </w:r>
      <w:r>
        <w:rPr>
          <w:rtl/>
        </w:rPr>
        <w:t xml:space="preserve"> </w:t>
      </w:r>
      <w:r>
        <w:rPr>
          <w:rtl/>
        </w:rPr>
        <w:tab/>
      </w:r>
      <w:r>
        <w:rPr>
          <w:rFonts w:hint="cs"/>
          <w:rtl/>
        </w:rPr>
        <w:t>יש לתת גילוי רק לתיקונים שלאור יישומם לראשונה נוצרה השפעה על הדוחות הכספיים.</w:t>
      </w:r>
    </w:p>
  </w:footnote>
  <w:footnote w:id="80">
    <w:p w14:paraId="34810909" w14:textId="77777777" w:rsidR="001521F8" w:rsidRDefault="001521F8" w:rsidP="009F5A73">
      <w:pPr>
        <w:pStyle w:val="ac"/>
      </w:pPr>
      <w:r>
        <w:rPr>
          <w:rStyle w:val="ab"/>
        </w:rPr>
        <w:footnoteRef/>
      </w:r>
      <w:r>
        <w:rPr>
          <w:rtl/>
        </w:rPr>
        <w:t xml:space="preserve"> </w:t>
      </w:r>
      <w:r>
        <w:rPr>
          <w:rtl/>
        </w:rPr>
        <w:tab/>
      </w:r>
      <w:r>
        <w:rPr>
          <w:rFonts w:hint="cs"/>
          <w:rtl/>
        </w:rPr>
        <w:t xml:space="preserve">יישום התיקון יתבצע למפרע עם הצגה מחדש של מספרי השוואה או ללא הצגה מחדש של מספרי השוואה, בהתאם לאופן היישום לראשונה של החברה את הוראות </w:t>
      </w:r>
      <w:r>
        <w:rPr>
          <w:rFonts w:hint="cs"/>
        </w:rPr>
        <w:t>IFRS 9</w:t>
      </w:r>
      <w:r>
        <w:rPr>
          <w:rFonts w:hint="cs"/>
          <w:rtl/>
        </w:rPr>
        <w:t xml:space="preserve">. חברה אשר יישמה את הוראות </w:t>
      </w:r>
      <w:r>
        <w:rPr>
          <w:rFonts w:hint="cs"/>
        </w:rPr>
        <w:t>IFRS 9</w:t>
      </w:r>
      <w:r>
        <w:rPr>
          <w:rFonts w:hint="cs"/>
          <w:rtl/>
        </w:rPr>
        <w:t xml:space="preserve"> למפרע עם הצגה מחדש של מספרי השוואה, תתאים את הנוסח המובא לעיל בבאור.</w:t>
      </w:r>
    </w:p>
  </w:footnote>
  <w:footnote w:id="81">
    <w:p w14:paraId="0B310F54" w14:textId="77777777" w:rsidR="001521F8" w:rsidRDefault="001521F8" w:rsidP="00D84FCF">
      <w:pPr>
        <w:pStyle w:val="ac"/>
        <w:rPr>
          <w:rtl/>
        </w:rPr>
      </w:pPr>
      <w:r w:rsidRPr="006F437F">
        <w:rPr>
          <w:rStyle w:val="footnotemark"/>
          <w:rFonts w:eastAsia="Narkisim"/>
          <w:szCs w:val="22"/>
        </w:rPr>
        <w:footnoteRef/>
      </w:r>
      <w:r w:rsidRPr="006F437F">
        <w:rPr>
          <w:rStyle w:val="footnotemark"/>
          <w:rFonts w:eastAsia="Narkisim"/>
          <w:szCs w:val="22"/>
          <w:rtl/>
        </w:rPr>
        <w:t xml:space="preserve"> </w:t>
      </w:r>
      <w:r>
        <w:rPr>
          <w:rtl/>
        </w:rPr>
        <w:tab/>
      </w:r>
      <w:r w:rsidRPr="006F437F">
        <w:rPr>
          <w:rFonts w:hint="cs"/>
          <w:rtl/>
        </w:rPr>
        <w:t>ייתכנו סעיפים נוספים בדוחות על המצב הכספי אשר יושפעו מהשינוי כאמור</w:t>
      </w:r>
    </w:p>
  </w:footnote>
  <w:footnote w:id="82">
    <w:p w14:paraId="3B283BD6" w14:textId="77777777" w:rsidR="001521F8" w:rsidRPr="00E11AE2" w:rsidRDefault="001521F8" w:rsidP="00CE4C07">
      <w:pPr>
        <w:pStyle w:val="ac"/>
        <w:rPr>
          <w:u w:val="single"/>
          <w:rtl/>
        </w:rPr>
      </w:pPr>
      <w:r>
        <w:rPr>
          <w:rStyle w:val="ab"/>
        </w:rPr>
        <w:footnoteRef/>
      </w:r>
      <w:r>
        <w:rPr>
          <w:rtl/>
        </w:rPr>
        <w:t xml:space="preserve"> </w:t>
      </w:r>
      <w:r>
        <w:rPr>
          <w:rtl/>
        </w:rPr>
        <w:tab/>
      </w:r>
      <w:r w:rsidRPr="00E11AE2">
        <w:rPr>
          <w:rtl/>
        </w:rPr>
        <w:t xml:space="preserve">יצוין </w:t>
      </w:r>
      <w:r w:rsidRPr="00E11AE2">
        <w:rPr>
          <w:rFonts w:hint="cs"/>
          <w:rtl/>
        </w:rPr>
        <w:t xml:space="preserve">כי </w:t>
      </w:r>
      <w:r w:rsidRPr="00E11AE2">
        <w:rPr>
          <w:rtl/>
        </w:rPr>
        <w:t>הפרשנות המתגבשת בכל הנוגע לפרויקטים בישראל</w:t>
      </w:r>
      <w:r w:rsidRPr="00E11AE2">
        <w:rPr>
          <w:rFonts w:hint="cs"/>
          <w:rtl/>
        </w:rPr>
        <w:t>,</w:t>
      </w:r>
      <w:r w:rsidRPr="00E11AE2">
        <w:rPr>
          <w:rtl/>
        </w:rPr>
        <w:t xml:space="preserve"> הינה שהיוון עלויות אשראי למלאי</w:t>
      </w:r>
      <w:r w:rsidRPr="00E11AE2">
        <w:rPr>
          <w:rFonts w:hint="cs"/>
          <w:rtl/>
        </w:rPr>
        <w:t xml:space="preserve">, בכפוף להוראות </w:t>
      </w:r>
      <w:r w:rsidRPr="00E11AE2">
        <w:t>IAS 23</w:t>
      </w:r>
      <w:r w:rsidRPr="00E11AE2">
        <w:rPr>
          <w:rFonts w:hint="cs"/>
          <w:rtl/>
        </w:rPr>
        <w:t xml:space="preserve"> </w:t>
      </w:r>
      <w:r w:rsidRPr="00E11AE2">
        <w:rPr>
          <w:rtl/>
        </w:rPr>
        <w:t>–</w:t>
      </w:r>
      <w:r w:rsidRPr="00E11AE2">
        <w:rPr>
          <w:rFonts w:hint="cs"/>
          <w:rtl/>
        </w:rPr>
        <w:t xml:space="preserve"> </w:t>
      </w:r>
      <w:r w:rsidRPr="00E11AE2">
        <w:rPr>
          <w:rFonts w:hint="cs"/>
          <w:i/>
          <w:iCs/>
          <w:rtl/>
        </w:rPr>
        <w:t>עלויות אשראי</w:t>
      </w:r>
      <w:r w:rsidRPr="00E11AE2">
        <w:rPr>
          <w:rFonts w:hint="cs"/>
          <w:rtl/>
        </w:rPr>
        <w:t>,</w:t>
      </w:r>
      <w:r w:rsidRPr="00E11AE2">
        <w:rPr>
          <w:rtl/>
        </w:rPr>
        <w:t xml:space="preserve"> אפשרי עד למועד קבלת היתר בניה על הקרקע</w:t>
      </w:r>
      <w:r w:rsidRPr="00E11AE2">
        <w:rPr>
          <w:rFonts w:hint="cs"/>
          <w:rtl/>
        </w:rPr>
        <w:t xml:space="preserve"> שהוא המועד בו הנכס "מוכן למכירה"</w:t>
      </w:r>
      <w:r w:rsidRPr="00E11AE2">
        <w:rPr>
          <w:rtl/>
        </w:rPr>
        <w:t>.</w:t>
      </w:r>
      <w:r>
        <w:rPr>
          <w:rFonts w:hint="cs"/>
          <w:u w:val="single"/>
          <w:rtl/>
        </w:rPr>
        <w:t xml:space="preserve"> עבור חברות אשר תיתכן השפעה של יישום הפרשנות על דוחותיהן הכספיים, יש להיוועץ עם הרפרנט במחלקה המקצועית.</w:t>
      </w:r>
    </w:p>
    <w:p w14:paraId="118C51E5" w14:textId="77777777" w:rsidR="001521F8" w:rsidRDefault="001521F8" w:rsidP="00CE4C07">
      <w:pPr>
        <w:pStyle w:val="ac"/>
        <w:rPr>
          <w:rtl/>
        </w:rPr>
      </w:pPr>
    </w:p>
  </w:footnote>
  <w:footnote w:id="83">
    <w:p w14:paraId="0A01E2AC" w14:textId="77777777" w:rsidR="001521F8" w:rsidRDefault="001521F8" w:rsidP="009676FA">
      <w:pPr>
        <w:pStyle w:val="ac"/>
      </w:pPr>
      <w:r>
        <w:rPr>
          <w:rStyle w:val="ab"/>
        </w:rPr>
        <w:footnoteRef/>
      </w:r>
      <w:r>
        <w:rPr>
          <w:rtl/>
        </w:rPr>
        <w:t xml:space="preserve"> </w:t>
      </w:r>
      <w:r>
        <w:rPr>
          <w:rtl/>
        </w:rPr>
        <w:tab/>
      </w:r>
      <w:r>
        <w:rPr>
          <w:rFonts w:hint="cs"/>
          <w:rtl/>
        </w:rPr>
        <w:t>כאשר ההשפעה של יישום הפרשנות מביא להפרה של אמות מידה פיננסיות, יש להתייעץ עם הרפרנט במחלקה המקצועית.</w:t>
      </w:r>
    </w:p>
  </w:footnote>
  <w:footnote w:id="84">
    <w:p w14:paraId="4F2E66CD" w14:textId="77777777" w:rsidR="001521F8" w:rsidRDefault="001521F8" w:rsidP="00CE4C07">
      <w:pPr>
        <w:pStyle w:val="ac"/>
      </w:pPr>
      <w:r>
        <w:rPr>
          <w:rStyle w:val="ab"/>
        </w:rPr>
        <w:footnoteRef/>
      </w:r>
      <w:r>
        <w:rPr>
          <w:rtl/>
        </w:rPr>
        <w:t xml:space="preserve"> </w:t>
      </w:r>
      <w:r>
        <w:rPr>
          <w:rFonts w:hint="cs"/>
          <w:rtl/>
        </w:rPr>
        <w:tab/>
        <w:t>החברה תציג את כל היתרות בדוח על המצב הכספי אשר הושפעו מיישום הפרשנות.</w:t>
      </w:r>
    </w:p>
  </w:footnote>
  <w:footnote w:id="85">
    <w:p w14:paraId="422AB18C" w14:textId="77777777" w:rsidR="001521F8" w:rsidRDefault="001521F8" w:rsidP="00CE4C07"/>
  </w:footnote>
  <w:footnote w:id="86">
    <w:p w14:paraId="0CA35D82" w14:textId="77777777" w:rsidR="001521F8" w:rsidRDefault="001521F8" w:rsidP="0056132D">
      <w:pPr>
        <w:pStyle w:val="ac"/>
      </w:pPr>
      <w:r>
        <w:rPr>
          <w:rStyle w:val="ab"/>
        </w:rPr>
        <w:footnoteRef/>
      </w:r>
      <w:r>
        <w:rPr>
          <w:rtl/>
        </w:rPr>
        <w:t xml:space="preserve"> </w:t>
      </w:r>
      <w:r>
        <w:rPr>
          <w:rFonts w:hint="cs"/>
          <w:rtl/>
        </w:rPr>
        <w:tab/>
        <w:t>החברה תציג את כל היתרות בדוח על המצב הכספי אשר הושפעו מיישום הפרשנות.</w:t>
      </w:r>
    </w:p>
  </w:footnote>
  <w:footnote w:id="87">
    <w:p w14:paraId="6224A34F" w14:textId="77777777" w:rsidR="001521F8" w:rsidRDefault="001521F8" w:rsidP="009676FA"/>
  </w:footnote>
  <w:footnote w:id="88">
    <w:p w14:paraId="48FE54E9" w14:textId="77777777" w:rsidR="001521F8" w:rsidRDefault="001521F8" w:rsidP="005B3CD0">
      <w:pPr>
        <w:pStyle w:val="ac"/>
        <w:rPr>
          <w:rtl/>
        </w:rPr>
      </w:pPr>
      <w:r>
        <w:rPr>
          <w:rStyle w:val="ab"/>
        </w:rPr>
        <w:footnoteRef/>
      </w:r>
      <w:r>
        <w:rPr>
          <w:rtl/>
        </w:rPr>
        <w:t xml:space="preserve"> </w:t>
      </w:r>
      <w:r>
        <w:rPr>
          <w:rFonts w:hint="cs"/>
          <w:rtl/>
        </w:rPr>
        <w:tab/>
        <w:t xml:space="preserve">כאשר דוחות רווח או הפסד אינם מוצגים בנפרד מהדוחות על הרווח הכולל, יש להתאים את הכותרת לשם הדוח </w:t>
      </w:r>
      <w:r>
        <w:rPr>
          <w:rtl/>
        </w:rPr>
        <w:t>–</w:t>
      </w:r>
      <w:r>
        <w:rPr>
          <w:rFonts w:hint="cs"/>
          <w:rtl/>
        </w:rPr>
        <w:t xml:space="preserve"> דוח רווח או הפסד ורווח כולל אחר.</w:t>
      </w:r>
    </w:p>
  </w:footnote>
  <w:footnote w:id="89">
    <w:p w14:paraId="40CB556C" w14:textId="77777777" w:rsidR="001521F8" w:rsidRDefault="001521F8" w:rsidP="00D0555E">
      <w:pPr>
        <w:pStyle w:val="ac"/>
        <w:rPr>
          <w:rtl/>
        </w:rPr>
      </w:pPr>
      <w:r>
        <w:rPr>
          <w:rStyle w:val="ab"/>
        </w:rPr>
        <w:footnoteRef/>
      </w:r>
      <w:r>
        <w:rPr>
          <w:rtl/>
        </w:rPr>
        <w:t xml:space="preserve"> </w:t>
      </w:r>
      <w:r>
        <w:rPr>
          <w:rFonts w:hint="cs"/>
          <w:rtl/>
        </w:rPr>
        <w:tab/>
        <w:t xml:space="preserve">כאשר דוחות רווח או הפסד אינם מוצגים בנפרד מהדוחות על הרווח הכולל, יש להתאים את הכותרת לשם הדוח </w:t>
      </w:r>
      <w:r>
        <w:rPr>
          <w:rtl/>
        </w:rPr>
        <w:t>–</w:t>
      </w:r>
      <w:r>
        <w:rPr>
          <w:rFonts w:hint="cs"/>
          <w:rtl/>
        </w:rPr>
        <w:t xml:space="preserve"> דוח רווח או הפסד ורווח כולל אחר.</w:t>
      </w:r>
    </w:p>
  </w:footnote>
  <w:footnote w:id="90">
    <w:p w14:paraId="618FEC82" w14:textId="77777777" w:rsidR="001521F8" w:rsidRPr="00E92A5D" w:rsidRDefault="001521F8" w:rsidP="00E21527">
      <w:pPr>
        <w:pStyle w:val="ac"/>
        <w:rPr>
          <w:rtl/>
        </w:rPr>
      </w:pPr>
      <w:r>
        <w:rPr>
          <w:rStyle w:val="ab"/>
        </w:rPr>
        <w:footnoteRef/>
      </w:r>
      <w:r>
        <w:rPr>
          <w:rtl/>
        </w:rPr>
        <w:t xml:space="preserve"> </w:t>
      </w:r>
      <w:r>
        <w:rPr>
          <w:rtl/>
        </w:rPr>
        <w:tab/>
      </w:r>
      <w:r w:rsidRPr="00E92A5D">
        <w:rPr>
          <w:rFonts w:hint="cs"/>
          <w:rtl/>
        </w:rPr>
        <w:t>על פי</w:t>
      </w:r>
      <w:r>
        <w:rPr>
          <w:rFonts w:hint="cs"/>
          <w:rtl/>
        </w:rPr>
        <w:t xml:space="preserve"> עדכון החלטה 99-4 של רשות ניירות ערך, אם התגלתה טעות בדוחות הכספיים השנתיים של השנה הקודמת או בדוחות הכספיים ביניים של השנה הקודמת, אשר אינה מהותית לפי הקווים המנחים ביחס לתוצאות שנת הדיווח הקודמת או תקופת הביניים הקודמת, אולם הינה מהותית ביחס לתוצאות תקופת הדיווח השוטפת או המצטברת, רשאית החברה לתקן את הטעות בדרך של תיקון מספרי ההשוואה שייכללו בדוחות הכספיים לתקופה השוטפת. זאת, חלף פרסום מחדש של הדוחות הכוללים את הטעות, ותוך סימון סעיפי הדוח המתוקנים כ"התאמה לא מהותית של מספרי השוואה", ומתן גילוי בבאורים בדבר התיקון.</w:t>
      </w:r>
    </w:p>
  </w:footnote>
  <w:footnote w:id="91">
    <w:p w14:paraId="1CB1973A" w14:textId="77777777" w:rsidR="001521F8" w:rsidRPr="004F048E" w:rsidRDefault="001521F8" w:rsidP="000847CE">
      <w:pPr>
        <w:pStyle w:val="ac"/>
      </w:pPr>
      <w:r>
        <w:rPr>
          <w:rStyle w:val="ab"/>
        </w:rPr>
        <w:footnoteRef/>
      </w:r>
      <w:r>
        <w:rPr>
          <w:rtl/>
        </w:rPr>
        <w:t xml:space="preserve"> </w:t>
      </w:r>
      <w:r>
        <w:rPr>
          <w:rFonts w:hint="cs"/>
          <w:rtl/>
        </w:rPr>
        <w:tab/>
        <w:t xml:space="preserve">ראה ביאור מכשירים פיננסיים בדוחות לדוגמא אלה.  </w:t>
      </w:r>
    </w:p>
  </w:footnote>
  <w:footnote w:id="92">
    <w:p w14:paraId="64035F17" w14:textId="77777777" w:rsidR="001521F8" w:rsidRDefault="001521F8" w:rsidP="006F2EAD">
      <w:pPr>
        <w:pStyle w:val="ac"/>
        <w:rPr>
          <w:rtl/>
        </w:rPr>
      </w:pPr>
      <w:r>
        <w:rPr>
          <w:rStyle w:val="ab"/>
        </w:rPr>
        <w:footnoteRef/>
      </w:r>
      <w:r>
        <w:rPr>
          <w:rtl/>
        </w:rPr>
        <w:t xml:space="preserve"> </w:t>
      </w:r>
      <w:r>
        <w:rPr>
          <w:rFonts w:hint="cs"/>
          <w:rtl/>
        </w:rPr>
        <w:tab/>
        <w:t xml:space="preserve">נדרש רק בתשקיף הנפקה לראשונה </w:t>
      </w:r>
      <w:r>
        <w:t>(IPO)</w:t>
      </w:r>
      <w:r>
        <w:rPr>
          <w:rFonts w:hint="cs"/>
          <w:rtl/>
        </w:rPr>
        <w:t>.</w:t>
      </w:r>
    </w:p>
  </w:footnote>
  <w:footnote w:id="93">
    <w:p w14:paraId="7063D915" w14:textId="77777777" w:rsidR="001521F8" w:rsidRDefault="001521F8" w:rsidP="006C26D6">
      <w:pPr>
        <w:pStyle w:val="ac"/>
      </w:pPr>
      <w:r>
        <w:rPr>
          <w:rStyle w:val="ab"/>
        </w:rPr>
        <w:footnoteRef/>
      </w:r>
      <w:r>
        <w:rPr>
          <w:rtl/>
        </w:rPr>
        <w:t xml:space="preserve"> </w:t>
      </w:r>
      <w:r>
        <w:rPr>
          <w:rFonts w:hint="cs"/>
          <w:rtl/>
        </w:rPr>
        <w:tab/>
      </w:r>
      <w:r w:rsidRPr="00DB102C">
        <w:rPr>
          <w:rFonts w:hint="eastAsia"/>
          <w:rtl/>
        </w:rPr>
        <w:t>אם</w:t>
      </w:r>
      <w:r w:rsidRPr="00DB102C">
        <w:rPr>
          <w:rtl/>
        </w:rPr>
        <w:t xml:space="preserve"> ההשקעה טופלה באופן שונה, יש </w:t>
      </w:r>
      <w:r w:rsidRPr="00DB102C">
        <w:rPr>
          <w:rFonts w:hint="cs"/>
          <w:rtl/>
        </w:rPr>
        <w:t>ל</w:t>
      </w:r>
      <w:r w:rsidRPr="00DB102C">
        <w:rPr>
          <w:rFonts w:hint="eastAsia"/>
          <w:rtl/>
        </w:rPr>
        <w:t>התאים</w:t>
      </w:r>
      <w:r w:rsidRPr="00DB102C">
        <w:rPr>
          <w:rtl/>
        </w:rPr>
        <w:t xml:space="preserve"> </w:t>
      </w:r>
      <w:r w:rsidRPr="00DB102C">
        <w:rPr>
          <w:rFonts w:hint="cs"/>
          <w:rtl/>
        </w:rPr>
        <w:t>לפי ה</w:t>
      </w:r>
      <w:r w:rsidRPr="00DB102C">
        <w:rPr>
          <w:rFonts w:hint="eastAsia"/>
          <w:rtl/>
        </w:rPr>
        <w:t>מקרה</w:t>
      </w:r>
      <w:r w:rsidRPr="00DB102C">
        <w:rPr>
          <w:rtl/>
        </w:rPr>
        <w:t>.</w:t>
      </w:r>
    </w:p>
  </w:footnote>
  <w:footnote w:id="94">
    <w:p w14:paraId="418BF1C4" w14:textId="77777777" w:rsidR="001521F8" w:rsidRDefault="001521F8" w:rsidP="006C26D6">
      <w:pPr>
        <w:pStyle w:val="ac"/>
      </w:pPr>
      <w:r w:rsidRPr="00367787">
        <w:rPr>
          <w:rStyle w:val="ab"/>
          <w:rFonts w:cs="Narkisim"/>
        </w:rPr>
        <w:footnoteRef/>
      </w:r>
      <w:r w:rsidRPr="00367787">
        <w:rPr>
          <w:rtl/>
        </w:rPr>
        <w:t xml:space="preserve"> </w:t>
      </w:r>
      <w:r w:rsidRPr="00367787">
        <w:rPr>
          <w:rtl/>
        </w:rPr>
        <w:tab/>
      </w:r>
      <w:r w:rsidRPr="00367787">
        <w:rPr>
          <w:rFonts w:hint="cs"/>
          <w:rtl/>
        </w:rPr>
        <w:t xml:space="preserve">יש לבחור את הטיפול המתאים. ניתן לבחור טיפול שונה עבור כל עסקת צירוף עסקים בנפרד (אין מדובר </w:t>
      </w:r>
      <w:r>
        <w:rPr>
          <w:rFonts w:hint="cs"/>
          <w:rtl/>
        </w:rPr>
        <w:t xml:space="preserve">בבחירת </w:t>
      </w:r>
      <w:r w:rsidRPr="00367787">
        <w:rPr>
          <w:rFonts w:hint="cs"/>
          <w:rtl/>
        </w:rPr>
        <w:t>מדיניות חשבונאית).</w:t>
      </w:r>
    </w:p>
  </w:footnote>
  <w:footnote w:id="95">
    <w:p w14:paraId="30C6BEDA" w14:textId="77777777" w:rsidR="001521F8" w:rsidRDefault="001521F8">
      <w:pPr>
        <w:pStyle w:val="ac"/>
        <w:rPr>
          <w:rtl/>
        </w:rPr>
      </w:pPr>
      <w:r>
        <w:rPr>
          <w:rStyle w:val="ab"/>
        </w:rPr>
        <w:footnoteRef/>
      </w:r>
      <w:r>
        <w:rPr>
          <w:rtl/>
        </w:rPr>
        <w:t xml:space="preserve"> </w:t>
      </w:r>
      <w:r>
        <w:rPr>
          <w:rFonts w:hint="cs"/>
          <w:rtl/>
        </w:rPr>
        <w:tab/>
        <w:t>אם נוצר ברכישה רווח מרכישה הזדמנותית (מוניטין שלילי), נדרש לתת הסבר לסיבות בגינן נוצר רווח זה.</w:t>
      </w:r>
    </w:p>
  </w:footnote>
  <w:footnote w:id="96">
    <w:p w14:paraId="53947215" w14:textId="77777777" w:rsidR="001521F8" w:rsidRDefault="001521F8" w:rsidP="006C26D6">
      <w:pPr>
        <w:pStyle w:val="ac"/>
        <w:rPr>
          <w:rtl/>
        </w:rPr>
      </w:pPr>
      <w:r w:rsidRPr="00DB102C">
        <w:rPr>
          <w:rStyle w:val="ab"/>
        </w:rPr>
        <w:footnoteRef/>
      </w:r>
      <w:r w:rsidRPr="00DB102C">
        <w:rPr>
          <w:rtl/>
        </w:rPr>
        <w:t xml:space="preserve"> </w:t>
      </w:r>
      <w:r w:rsidRPr="00DB102C">
        <w:rPr>
          <w:rFonts w:hint="cs"/>
          <w:rtl/>
        </w:rPr>
        <w:tab/>
      </w:r>
      <w:r w:rsidRPr="00DB102C">
        <w:rPr>
          <w:rFonts w:hint="eastAsia"/>
          <w:rtl/>
        </w:rPr>
        <w:t>יש</w:t>
      </w:r>
      <w:r w:rsidRPr="00DB102C">
        <w:rPr>
          <w:rtl/>
        </w:rPr>
        <w:t xml:space="preserve"> לציין את הסעיף ברווח </w:t>
      </w:r>
      <w:r w:rsidRPr="00DB102C">
        <w:rPr>
          <w:rFonts w:hint="eastAsia"/>
          <w:rtl/>
        </w:rPr>
        <w:t>התפעולי</w:t>
      </w:r>
      <w:r w:rsidRPr="00DB102C">
        <w:rPr>
          <w:rtl/>
        </w:rPr>
        <w:t xml:space="preserve"> </w:t>
      </w:r>
      <w:r w:rsidRPr="00DB102C">
        <w:rPr>
          <w:rFonts w:hint="eastAsia"/>
          <w:rtl/>
        </w:rPr>
        <w:t>שבו</w:t>
      </w:r>
      <w:r w:rsidRPr="00DB102C">
        <w:rPr>
          <w:rtl/>
        </w:rPr>
        <w:t xml:space="preserve"> </w:t>
      </w:r>
      <w:r w:rsidRPr="00DB102C">
        <w:rPr>
          <w:rFonts w:hint="eastAsia"/>
          <w:rtl/>
        </w:rPr>
        <w:t>נכללו</w:t>
      </w:r>
      <w:r w:rsidRPr="00DB102C">
        <w:rPr>
          <w:rtl/>
        </w:rPr>
        <w:t xml:space="preserve"> </w:t>
      </w:r>
      <w:r w:rsidRPr="00DB102C">
        <w:rPr>
          <w:rFonts w:hint="eastAsia"/>
          <w:rtl/>
        </w:rPr>
        <w:t>עלויות</w:t>
      </w:r>
      <w:r w:rsidRPr="00DB102C">
        <w:rPr>
          <w:rtl/>
        </w:rPr>
        <w:t xml:space="preserve"> </w:t>
      </w:r>
      <w:r w:rsidRPr="00DB102C">
        <w:rPr>
          <w:rFonts w:hint="eastAsia"/>
          <w:rtl/>
        </w:rPr>
        <w:t>הרכישה</w:t>
      </w:r>
      <w:r w:rsidRPr="00DB102C">
        <w:rPr>
          <w:rtl/>
        </w:rPr>
        <w:t xml:space="preserve"> - הוצאות אחרות או </w:t>
      </w:r>
      <w:r w:rsidRPr="00DB102C">
        <w:rPr>
          <w:rFonts w:hint="cs"/>
          <w:rtl/>
        </w:rPr>
        <w:t xml:space="preserve">הוצאות </w:t>
      </w:r>
      <w:r w:rsidRPr="00DB102C">
        <w:rPr>
          <w:rFonts w:hint="eastAsia"/>
          <w:rtl/>
        </w:rPr>
        <w:t>הנהלה</w:t>
      </w:r>
      <w:r w:rsidRPr="00DB102C">
        <w:rPr>
          <w:rtl/>
        </w:rPr>
        <w:t xml:space="preserve"> </w:t>
      </w:r>
      <w:r w:rsidRPr="00DB102C">
        <w:rPr>
          <w:rFonts w:hint="eastAsia"/>
          <w:rtl/>
        </w:rPr>
        <w:t>וכלליות</w:t>
      </w:r>
      <w:r w:rsidRPr="00DB102C">
        <w:rPr>
          <w:rtl/>
        </w:rPr>
        <w:t>.</w:t>
      </w:r>
      <w:r w:rsidRPr="000C4C0E">
        <w:rPr>
          <w:rtl/>
        </w:rPr>
        <w:t xml:space="preserve">  </w:t>
      </w:r>
    </w:p>
  </w:footnote>
  <w:footnote w:id="97">
    <w:p w14:paraId="00E97503" w14:textId="77777777" w:rsidR="001521F8" w:rsidRDefault="001521F8" w:rsidP="006C26D6">
      <w:pPr>
        <w:pStyle w:val="ac"/>
        <w:rPr>
          <w:rtl/>
        </w:rPr>
      </w:pPr>
      <w:r>
        <w:rPr>
          <w:rStyle w:val="ab"/>
        </w:rPr>
        <w:footnoteRef/>
      </w:r>
      <w:r>
        <w:rPr>
          <w:rtl/>
        </w:rPr>
        <w:t xml:space="preserve"> </w:t>
      </w:r>
      <w:r>
        <w:rPr>
          <w:rFonts w:hint="cs"/>
          <w:rtl/>
        </w:rPr>
        <w:tab/>
      </w:r>
      <w:r w:rsidRPr="000C4C0E">
        <w:rPr>
          <w:rFonts w:hint="eastAsia"/>
          <w:rtl/>
        </w:rPr>
        <w:t>מחק</w:t>
      </w:r>
      <w:r w:rsidRPr="000C4C0E">
        <w:rPr>
          <w:rtl/>
        </w:rPr>
        <w:t xml:space="preserve"> </w:t>
      </w:r>
      <w:r w:rsidRPr="000C4C0E">
        <w:rPr>
          <w:rFonts w:hint="eastAsia"/>
          <w:rtl/>
        </w:rPr>
        <w:t>את</w:t>
      </w:r>
      <w:r w:rsidRPr="000C4C0E">
        <w:rPr>
          <w:rtl/>
        </w:rPr>
        <w:t xml:space="preserve"> </w:t>
      </w:r>
      <w:r w:rsidRPr="000C4C0E">
        <w:rPr>
          <w:rFonts w:hint="eastAsia"/>
          <w:rtl/>
        </w:rPr>
        <w:t>המיותר</w:t>
      </w:r>
      <w:r w:rsidRPr="000C4C0E">
        <w:rPr>
          <w:rtl/>
        </w:rPr>
        <w:t>.</w:t>
      </w:r>
    </w:p>
  </w:footnote>
  <w:footnote w:id="98">
    <w:p w14:paraId="173A9E5A" w14:textId="77777777" w:rsidR="001521F8" w:rsidRDefault="001521F8" w:rsidP="006C26D6">
      <w:pPr>
        <w:pStyle w:val="ac"/>
      </w:pPr>
      <w:r w:rsidRPr="008E2AAD">
        <w:rPr>
          <w:rStyle w:val="ab"/>
          <w:b/>
          <w:bCs w:val="0"/>
        </w:rPr>
        <w:footnoteRef/>
      </w:r>
      <w:r w:rsidRPr="009F1011">
        <w:rPr>
          <w:rFonts w:hint="cs"/>
          <w:rtl/>
        </w:rPr>
        <w:tab/>
      </w:r>
      <w:r w:rsidRPr="00133560">
        <w:rPr>
          <w:rFonts w:hint="cs"/>
          <w:rtl/>
        </w:rPr>
        <w:t xml:space="preserve">אם יש הנחות פרופורמה </w:t>
      </w:r>
      <w:r>
        <w:rPr>
          <w:rFonts w:hint="cs"/>
          <w:rtl/>
        </w:rPr>
        <w:t>ה</w:t>
      </w:r>
      <w:r w:rsidRPr="00133560">
        <w:rPr>
          <w:rFonts w:hint="cs"/>
          <w:rtl/>
        </w:rPr>
        <w:t>משפיעות על נתונים אלה, יש לציינן.</w:t>
      </w:r>
    </w:p>
  </w:footnote>
  <w:footnote w:id="99">
    <w:p w14:paraId="3ED9A742" w14:textId="77777777" w:rsidR="001521F8" w:rsidRDefault="001521F8" w:rsidP="006C26D6">
      <w:pPr>
        <w:pStyle w:val="ac"/>
      </w:pPr>
      <w:r>
        <w:rPr>
          <w:rStyle w:val="ab"/>
        </w:rPr>
        <w:footnoteRef/>
      </w:r>
      <w:r>
        <w:rPr>
          <w:rtl/>
        </w:rPr>
        <w:t xml:space="preserve"> </w:t>
      </w:r>
      <w:r>
        <w:rPr>
          <w:rFonts w:hint="cs"/>
          <w:rtl/>
        </w:rPr>
        <w:tab/>
      </w:r>
      <w:r w:rsidRPr="000C4C0E">
        <w:rPr>
          <w:rFonts w:hint="eastAsia"/>
          <w:rtl/>
        </w:rPr>
        <w:t>מחק</w:t>
      </w:r>
      <w:r w:rsidRPr="000C4C0E">
        <w:rPr>
          <w:rtl/>
        </w:rPr>
        <w:t xml:space="preserve"> </w:t>
      </w:r>
      <w:r w:rsidRPr="000C4C0E">
        <w:rPr>
          <w:rFonts w:hint="eastAsia"/>
          <w:rtl/>
        </w:rPr>
        <w:t>את</w:t>
      </w:r>
      <w:r w:rsidRPr="000C4C0E">
        <w:rPr>
          <w:rtl/>
        </w:rPr>
        <w:t xml:space="preserve"> </w:t>
      </w:r>
      <w:r w:rsidRPr="000C4C0E">
        <w:rPr>
          <w:rFonts w:hint="eastAsia"/>
          <w:rtl/>
        </w:rPr>
        <w:t>המיותר</w:t>
      </w:r>
      <w:r w:rsidRPr="000C4C0E">
        <w:rPr>
          <w:rtl/>
        </w:rPr>
        <w:t>.</w:t>
      </w:r>
    </w:p>
  </w:footnote>
  <w:footnote w:id="100">
    <w:p w14:paraId="3EF255AC" w14:textId="77777777" w:rsidR="001521F8" w:rsidRDefault="001521F8" w:rsidP="006C26D6">
      <w:pPr>
        <w:pStyle w:val="ac"/>
      </w:pPr>
      <w:r>
        <w:rPr>
          <w:rStyle w:val="ab"/>
        </w:rPr>
        <w:footnoteRef/>
      </w:r>
      <w:r>
        <w:rPr>
          <w:rtl/>
        </w:rPr>
        <w:t xml:space="preserve"> </w:t>
      </w:r>
      <w:r>
        <w:rPr>
          <w:rFonts w:hint="cs"/>
          <w:rtl/>
        </w:rPr>
        <w:tab/>
      </w:r>
      <w:r w:rsidRPr="00436D69">
        <w:rPr>
          <w:rFonts w:hint="cs"/>
          <w:rtl/>
        </w:rPr>
        <w:t>יש ל</w:t>
      </w:r>
      <w:r>
        <w:rPr>
          <w:rFonts w:hint="cs"/>
          <w:rtl/>
        </w:rPr>
        <w:t>מחוק את המיותר. לאור פרסום בנושא של המוסד הישראלי לתקינה בחשבונאות ממאי 2010, ניתן לבחור כ</w:t>
      </w:r>
      <w:r w:rsidRPr="00436D69">
        <w:rPr>
          <w:rFonts w:hint="cs"/>
          <w:rtl/>
        </w:rPr>
        <w:t>מדיניות</w:t>
      </w:r>
      <w:r>
        <w:rPr>
          <w:rFonts w:hint="cs"/>
          <w:rtl/>
        </w:rPr>
        <w:t xml:space="preserve"> חשבונאית להציג בקרן בגין עסקאות עם בעלי זכויות שאינן מקנות שליטה או ביתרת הרווח</w:t>
      </w:r>
      <w:r w:rsidRPr="00436D69">
        <w:rPr>
          <w:rFonts w:hint="cs"/>
          <w:rtl/>
        </w:rPr>
        <w:t>.</w:t>
      </w:r>
    </w:p>
  </w:footnote>
  <w:footnote w:id="101">
    <w:p w14:paraId="71CD7C9A" w14:textId="77777777" w:rsidR="001521F8" w:rsidRDefault="001521F8" w:rsidP="006C26D6">
      <w:pPr>
        <w:pStyle w:val="ac"/>
      </w:pPr>
      <w:r>
        <w:rPr>
          <w:rStyle w:val="ab"/>
        </w:rPr>
        <w:footnoteRef/>
      </w:r>
      <w:r>
        <w:rPr>
          <w:rtl/>
        </w:rPr>
        <w:t xml:space="preserve"> </w:t>
      </w:r>
      <w:r>
        <w:rPr>
          <w:rFonts w:hint="cs"/>
          <w:rtl/>
        </w:rPr>
        <w:tab/>
      </w:r>
      <w:r w:rsidRPr="000C4C0E">
        <w:rPr>
          <w:rFonts w:hint="eastAsia"/>
          <w:rtl/>
        </w:rPr>
        <w:t>מחק</w:t>
      </w:r>
      <w:r w:rsidRPr="000C4C0E">
        <w:rPr>
          <w:rtl/>
        </w:rPr>
        <w:t xml:space="preserve"> </w:t>
      </w:r>
      <w:r w:rsidRPr="000C4C0E">
        <w:rPr>
          <w:rFonts w:hint="eastAsia"/>
          <w:rtl/>
        </w:rPr>
        <w:t>את</w:t>
      </w:r>
      <w:r w:rsidRPr="000C4C0E">
        <w:rPr>
          <w:rtl/>
        </w:rPr>
        <w:t xml:space="preserve"> </w:t>
      </w:r>
      <w:r w:rsidRPr="000C4C0E">
        <w:rPr>
          <w:rFonts w:hint="eastAsia"/>
          <w:rtl/>
        </w:rPr>
        <w:t>המיותר</w:t>
      </w:r>
      <w:r w:rsidRPr="000C4C0E">
        <w:rPr>
          <w:rtl/>
        </w:rPr>
        <w:t>.</w:t>
      </w:r>
    </w:p>
  </w:footnote>
  <w:footnote w:id="102">
    <w:p w14:paraId="733206F8" w14:textId="77777777" w:rsidR="001521F8" w:rsidRDefault="001521F8" w:rsidP="005B5384">
      <w:pPr>
        <w:pStyle w:val="ac"/>
        <w:rPr>
          <w:rtl/>
        </w:rPr>
      </w:pPr>
      <w:r>
        <w:rPr>
          <w:rStyle w:val="ab"/>
        </w:rPr>
        <w:footnoteRef/>
      </w:r>
      <w:r>
        <w:rPr>
          <w:rtl/>
        </w:rPr>
        <w:t xml:space="preserve"> </w:t>
      </w:r>
      <w:r>
        <w:rPr>
          <w:rFonts w:hint="cs"/>
          <w:rtl/>
        </w:rPr>
        <w:tab/>
      </w:r>
      <w:r w:rsidRPr="000C4C0E">
        <w:rPr>
          <w:rFonts w:hint="eastAsia"/>
          <w:rtl/>
        </w:rPr>
        <w:t>בגין</w:t>
      </w:r>
      <w:r w:rsidRPr="000C4C0E">
        <w:rPr>
          <w:rtl/>
        </w:rPr>
        <w:t xml:space="preserve"> הצגה מחדש זו אין צורך לתת בדוח המבקר הפניית תשומת לב להצגה מחדש (</w:t>
      </w:r>
      <w:r w:rsidRPr="000C4C0E">
        <w:t>Restatement</w:t>
      </w:r>
      <w:r w:rsidRPr="000C4C0E">
        <w:rPr>
          <w:rtl/>
        </w:rPr>
        <w:t xml:space="preserve">) </w:t>
      </w:r>
      <w:r w:rsidRPr="000C4C0E">
        <w:rPr>
          <w:rFonts w:hint="eastAsia"/>
          <w:rtl/>
        </w:rPr>
        <w:t>של</w:t>
      </w:r>
      <w:r w:rsidRPr="000C4C0E">
        <w:rPr>
          <w:rtl/>
        </w:rPr>
        <w:t xml:space="preserve"> </w:t>
      </w:r>
      <w:r w:rsidRPr="000C4C0E">
        <w:rPr>
          <w:rFonts w:hint="eastAsia"/>
          <w:rtl/>
        </w:rPr>
        <w:t>מספרי</w:t>
      </w:r>
      <w:r w:rsidRPr="000C4C0E">
        <w:rPr>
          <w:rtl/>
        </w:rPr>
        <w:t xml:space="preserve"> </w:t>
      </w:r>
      <w:r w:rsidRPr="000C4C0E">
        <w:rPr>
          <w:rFonts w:hint="eastAsia"/>
          <w:rtl/>
        </w:rPr>
        <w:t>ההשוואה</w:t>
      </w:r>
      <w:r w:rsidRPr="000C4C0E">
        <w:rPr>
          <w:rtl/>
        </w:rPr>
        <w:t>.</w:t>
      </w:r>
    </w:p>
  </w:footnote>
  <w:footnote w:id="103">
    <w:p w14:paraId="61424F01" w14:textId="77777777" w:rsidR="001521F8" w:rsidRDefault="001521F8" w:rsidP="00EA5B30">
      <w:pPr>
        <w:pStyle w:val="ac"/>
      </w:pPr>
      <w:r>
        <w:rPr>
          <w:rStyle w:val="ab"/>
        </w:rPr>
        <w:footnoteRef/>
      </w:r>
      <w:r>
        <w:rPr>
          <w:rtl/>
        </w:rPr>
        <w:t xml:space="preserve"> </w:t>
      </w:r>
      <w:r>
        <w:rPr>
          <w:rFonts w:hint="cs"/>
          <w:rtl/>
        </w:rPr>
        <w:tab/>
        <w:t>במידה ופעילות הנכסים וההתחייבויות המוחזקים למכירה עונים להגדרת פעילות מופסקת, שינויים בשווי ההוגן של קבוצת המימוש ייזקפו לרווח (הפסד) מפעילות מופסקת בדוח רווח או הפסד.</w:t>
      </w:r>
    </w:p>
  </w:footnote>
  <w:footnote w:id="104">
    <w:p w14:paraId="47DDBD64" w14:textId="77777777" w:rsidR="001521F8" w:rsidRDefault="001521F8" w:rsidP="00EA5B30">
      <w:pPr>
        <w:pStyle w:val="ac"/>
        <w:rPr>
          <w:rtl/>
        </w:rPr>
      </w:pPr>
      <w:r>
        <w:rPr>
          <w:rStyle w:val="ab"/>
        </w:rPr>
        <w:footnoteRef/>
      </w:r>
      <w:r>
        <w:rPr>
          <w:rtl/>
        </w:rPr>
        <w:t xml:space="preserve"> </w:t>
      </w:r>
      <w:r>
        <w:rPr>
          <w:rtl/>
        </w:rPr>
        <w:tab/>
      </w:r>
      <w:r w:rsidRPr="009F1011">
        <w:rPr>
          <w:rFonts w:hint="cs"/>
          <w:rtl/>
        </w:rPr>
        <w:t>בהתאם</w:t>
      </w:r>
      <w:r>
        <w:rPr>
          <w:rFonts w:hint="cs"/>
          <w:rtl/>
        </w:rPr>
        <w:t xml:space="preserve"> לתקנה 8ב לתקנות ניירות ערך (דוחות תקופתיים ומיידיים)</w:t>
      </w:r>
      <w:r w:rsidRPr="009F1011">
        <w:rPr>
          <w:rFonts w:hint="cs"/>
          <w:rtl/>
        </w:rPr>
        <w:t xml:space="preserve">, יש לבחון </w:t>
      </w:r>
      <w:r>
        <w:rPr>
          <w:rFonts w:hint="cs"/>
          <w:rtl/>
        </w:rPr>
        <w:t xml:space="preserve">את </w:t>
      </w:r>
      <w:r w:rsidRPr="009F1011">
        <w:rPr>
          <w:rFonts w:hint="cs"/>
          <w:rtl/>
        </w:rPr>
        <w:t>הצורך בצ</w:t>
      </w:r>
      <w:r>
        <w:rPr>
          <w:rFonts w:hint="cs"/>
          <w:rtl/>
        </w:rPr>
        <w:t>י</w:t>
      </w:r>
      <w:r w:rsidRPr="009F1011">
        <w:rPr>
          <w:rFonts w:hint="cs"/>
          <w:rtl/>
        </w:rPr>
        <w:t>רוף הערכת שווי לדיווח התקופתי של החברה</w:t>
      </w:r>
      <w:r w:rsidRPr="00476B56">
        <w:rPr>
          <w:rtl/>
        </w:rPr>
        <w:t>.</w:t>
      </w:r>
      <w:r>
        <w:rPr>
          <w:rFonts w:hint="cs"/>
          <w:rtl/>
        </w:rPr>
        <w:t xml:space="preserve"> </w:t>
      </w:r>
      <w:r>
        <w:rPr>
          <w:rFonts w:hint="cs"/>
          <w:color w:val="000000" w:themeColor="text1"/>
          <w:rtl/>
        </w:rPr>
        <w:t>לאמות המידה לעניין צירוף הערכת שווי מהותית מאוד או מתן גילוי אודות הערכת שווי מהותית, ראה עמדה משפטית מספר 105-23 של רשות ניירות ערך מדצמבר 2010 ועדכון העמדה הנ"ל מיולי 2014.</w:t>
      </w:r>
    </w:p>
  </w:footnote>
  <w:footnote w:id="105">
    <w:p w14:paraId="20B791FA" w14:textId="77777777" w:rsidR="001521F8" w:rsidRDefault="001521F8">
      <w:pPr>
        <w:pStyle w:val="ac"/>
      </w:pPr>
      <w:r>
        <w:rPr>
          <w:rStyle w:val="ab"/>
        </w:rPr>
        <w:footnoteRef/>
      </w:r>
      <w:r>
        <w:rPr>
          <w:rtl/>
        </w:rPr>
        <w:t xml:space="preserve"> </w:t>
      </w:r>
      <w:r>
        <w:rPr>
          <w:rFonts w:hint="cs"/>
          <w:rtl/>
        </w:rPr>
        <w:tab/>
        <w:t>אם מדובר בקבוצת מימוש שאינה מהווה פעילות שהופסקה, לא נדרש לתת נתונים אלה.</w:t>
      </w:r>
    </w:p>
  </w:footnote>
  <w:footnote w:id="106">
    <w:p w14:paraId="3D67E5D5" w14:textId="77777777" w:rsidR="001521F8" w:rsidRDefault="001521F8" w:rsidP="00EB2512">
      <w:pPr>
        <w:pStyle w:val="ac"/>
        <w:rPr>
          <w:rtl/>
        </w:rPr>
      </w:pPr>
      <w:r>
        <w:rPr>
          <w:rStyle w:val="ab"/>
        </w:rPr>
        <w:footnoteRef/>
      </w:r>
      <w:r>
        <w:rPr>
          <w:rtl/>
        </w:rPr>
        <w:t xml:space="preserve"> </w:t>
      </w:r>
      <w:r>
        <w:rPr>
          <w:rFonts w:hint="cs"/>
          <w:rtl/>
        </w:rPr>
        <w:tab/>
        <w:t>אם מדובר בקבוצת מימוש שאינה מהווה פעילות שהופסקה, לא נדרש לתת נתונים אלה.</w:t>
      </w:r>
    </w:p>
  </w:footnote>
  <w:footnote w:id="107">
    <w:p w14:paraId="55E8F731" w14:textId="77777777" w:rsidR="001521F8" w:rsidRDefault="001521F8" w:rsidP="00EB2512">
      <w:pPr>
        <w:pStyle w:val="ac"/>
        <w:rPr>
          <w:rtl/>
        </w:rPr>
      </w:pPr>
      <w:r>
        <w:rPr>
          <w:rStyle w:val="ab"/>
        </w:rPr>
        <w:footnoteRef/>
      </w:r>
      <w:r>
        <w:rPr>
          <w:rtl/>
        </w:rPr>
        <w:t xml:space="preserve"> </w:t>
      </w:r>
      <w:r>
        <w:rPr>
          <w:rFonts w:hint="cs"/>
          <w:rtl/>
        </w:rPr>
        <w:tab/>
        <w:t>אם מדובר בקבוצת מימוש שאינה מהווה פעילות שהופסקה, לא נדרש לתת נתונים אלה.</w:t>
      </w:r>
    </w:p>
  </w:footnote>
  <w:footnote w:id="108">
    <w:p w14:paraId="655FF255" w14:textId="77777777" w:rsidR="001521F8" w:rsidRDefault="001521F8">
      <w:pPr>
        <w:pStyle w:val="ac"/>
        <w:rPr>
          <w:rtl/>
        </w:rPr>
      </w:pPr>
      <w:r>
        <w:rPr>
          <w:rStyle w:val="ab"/>
        </w:rPr>
        <w:footnoteRef/>
      </w:r>
      <w:r>
        <w:rPr>
          <w:rtl/>
        </w:rPr>
        <w:t xml:space="preserve"> </w:t>
      </w:r>
      <w:r>
        <w:rPr>
          <w:rFonts w:hint="cs"/>
          <w:rtl/>
        </w:rPr>
        <w:tab/>
        <w:t xml:space="preserve">בביאור זה יש להציג רק יתרות בגין מכשירים פיננסיים שהשווי ההוגן והיתרה בספרים שלהם אינם זהים בסכומם. </w:t>
      </w:r>
    </w:p>
  </w:footnote>
  <w:footnote w:id="109">
    <w:p w14:paraId="2CE0976C" w14:textId="77777777" w:rsidR="001521F8" w:rsidRDefault="001521F8">
      <w:pPr>
        <w:pStyle w:val="ac"/>
        <w:rPr>
          <w:rtl/>
        </w:rPr>
      </w:pPr>
      <w:r>
        <w:rPr>
          <w:rStyle w:val="ab"/>
        </w:rPr>
        <w:footnoteRef/>
      </w:r>
      <w:r>
        <w:rPr>
          <w:rtl/>
        </w:rPr>
        <w:t xml:space="preserve"> </w:t>
      </w:r>
      <w:r>
        <w:rPr>
          <w:rFonts w:hint="cs"/>
          <w:rtl/>
        </w:rPr>
        <w:tab/>
        <w:t>אם לא חלו שינויים מהותיים ביחס לדוח השנתי, או לחלופין אם היתרות אינן משמעותיות, ניתן לקצר משמעותית את הגילויים בבאור זה.</w:t>
      </w:r>
    </w:p>
  </w:footnote>
  <w:footnote w:id="110">
    <w:p w14:paraId="3F1DDD55" w14:textId="77777777" w:rsidR="001521F8" w:rsidRDefault="001521F8">
      <w:pPr>
        <w:pStyle w:val="ac"/>
      </w:pPr>
      <w:r>
        <w:rPr>
          <w:rStyle w:val="ab"/>
        </w:rPr>
        <w:footnoteRef/>
      </w:r>
      <w:r>
        <w:rPr>
          <w:rtl/>
        </w:rPr>
        <w:t xml:space="preserve"> </w:t>
      </w:r>
      <w:r>
        <w:rPr>
          <w:rFonts w:hint="cs"/>
          <w:rtl/>
        </w:rPr>
        <w:tab/>
        <w:t xml:space="preserve">הטורים בגילוי זה נדרשים להיות תואמים לפריטים שניתנו בביאור 15 ב' (סיווג מכשירים לפי מדרג שווי הוגן), כגון: מכשירים הוניים, מכשירי חוב, חוזים עתידיים על סחורות וכדומה. </w:t>
      </w:r>
    </w:p>
  </w:footnote>
  <w:footnote w:id="111">
    <w:p w14:paraId="77C0CA36" w14:textId="77777777" w:rsidR="001521F8" w:rsidRDefault="001521F8" w:rsidP="003351ED">
      <w:pPr>
        <w:pStyle w:val="ac"/>
      </w:pPr>
      <w:r>
        <w:rPr>
          <w:rStyle w:val="ab"/>
        </w:rPr>
        <w:footnoteRef/>
      </w:r>
      <w:r>
        <w:rPr>
          <w:rtl/>
        </w:rPr>
        <w:t xml:space="preserve"> </w:t>
      </w:r>
      <w:r>
        <w:rPr>
          <w:rFonts w:hint="cs"/>
          <w:rtl/>
        </w:rPr>
        <w:tab/>
        <w:t xml:space="preserve">הטורים בגילוי זה נדרשים להיות תואמים לפריטים שניתנו בביאור 15 ב' (סיווג מכשירים לפי מדרג שווי הוגן), כגון: מכשירים הוניים, מכשירי חוב, חוזים עתידיים על סחורות וכדומה. </w:t>
      </w:r>
    </w:p>
  </w:footnote>
  <w:footnote w:id="112">
    <w:p w14:paraId="3A1A6CA2" w14:textId="29B99ED6" w:rsidR="001521F8" w:rsidRDefault="001521F8" w:rsidP="0047433B">
      <w:pPr>
        <w:pStyle w:val="ac"/>
        <w:rPr>
          <w:rtl/>
        </w:rPr>
      </w:pPr>
      <w:r>
        <w:rPr>
          <w:rStyle w:val="ab"/>
        </w:rPr>
        <w:footnoteRef/>
      </w:r>
      <w:r>
        <w:rPr>
          <w:rtl/>
        </w:rPr>
        <w:t xml:space="preserve"> </w:t>
      </w:r>
      <w:r>
        <w:rPr>
          <w:rFonts w:hint="cs"/>
          <w:rtl/>
        </w:rPr>
        <w:tab/>
      </w:r>
      <w:r w:rsidRPr="000C4C0E">
        <w:rPr>
          <w:rFonts w:hint="eastAsia"/>
          <w:rtl/>
        </w:rPr>
        <w:t>אם</w:t>
      </w:r>
      <w:r w:rsidRPr="000C4C0E">
        <w:rPr>
          <w:rtl/>
        </w:rPr>
        <w:t xml:space="preserve"> </w:t>
      </w:r>
      <w:r w:rsidRPr="000C4C0E">
        <w:rPr>
          <w:rFonts w:hint="eastAsia"/>
          <w:rtl/>
        </w:rPr>
        <w:t>רלוונטי</w:t>
      </w:r>
      <w:r w:rsidRPr="000C4C0E">
        <w:rPr>
          <w:rtl/>
        </w:rPr>
        <w:t xml:space="preserve">, </w:t>
      </w:r>
      <w:r w:rsidRPr="000C4C0E">
        <w:rPr>
          <w:rFonts w:hint="eastAsia"/>
          <w:rtl/>
        </w:rPr>
        <w:t>יש</w:t>
      </w:r>
      <w:r w:rsidRPr="000C4C0E">
        <w:rPr>
          <w:rtl/>
        </w:rPr>
        <w:t xml:space="preserve"> </w:t>
      </w:r>
      <w:r w:rsidRPr="000C4C0E">
        <w:rPr>
          <w:rFonts w:hint="eastAsia"/>
          <w:rtl/>
        </w:rPr>
        <w:t>לבצע</w:t>
      </w:r>
      <w:r w:rsidRPr="000C4C0E">
        <w:rPr>
          <w:rtl/>
        </w:rPr>
        <w:t xml:space="preserve"> </w:t>
      </w:r>
      <w:r w:rsidRPr="000C4C0E">
        <w:rPr>
          <w:rFonts w:hint="eastAsia"/>
          <w:rtl/>
        </w:rPr>
        <w:t>הבחנה</w:t>
      </w:r>
      <w:r w:rsidRPr="000C4C0E">
        <w:rPr>
          <w:rtl/>
        </w:rPr>
        <w:t xml:space="preserve"> </w:t>
      </w:r>
      <w:r w:rsidRPr="000C4C0E">
        <w:rPr>
          <w:rFonts w:hint="eastAsia"/>
          <w:rtl/>
        </w:rPr>
        <w:t>של</w:t>
      </w:r>
      <w:r w:rsidRPr="000C4C0E">
        <w:rPr>
          <w:rtl/>
        </w:rPr>
        <w:t xml:space="preserve"> </w:t>
      </w:r>
      <w:r w:rsidRPr="000C4C0E">
        <w:rPr>
          <w:rFonts w:hint="eastAsia"/>
          <w:rtl/>
        </w:rPr>
        <w:t>ההתאמות</w:t>
      </w:r>
      <w:r w:rsidRPr="000C4C0E">
        <w:rPr>
          <w:rtl/>
        </w:rPr>
        <w:t xml:space="preserve"> </w:t>
      </w:r>
      <w:r w:rsidRPr="000C4C0E">
        <w:rPr>
          <w:rFonts w:hint="eastAsia"/>
          <w:rtl/>
        </w:rPr>
        <w:t>המתייחסות</w:t>
      </w:r>
      <w:r w:rsidRPr="000C4C0E">
        <w:rPr>
          <w:rtl/>
        </w:rPr>
        <w:t xml:space="preserve"> </w:t>
      </w:r>
      <w:r w:rsidRPr="000C4C0E">
        <w:rPr>
          <w:rFonts w:hint="eastAsia"/>
          <w:rtl/>
        </w:rPr>
        <w:t>להבדל</w:t>
      </w:r>
      <w:r w:rsidRPr="000C4C0E">
        <w:rPr>
          <w:rtl/>
        </w:rPr>
        <w:t xml:space="preserve"> </w:t>
      </w:r>
      <w:r w:rsidRPr="000C4C0E">
        <w:rPr>
          <w:rFonts w:hint="eastAsia"/>
          <w:rtl/>
        </w:rPr>
        <w:t>במדיניות</w:t>
      </w:r>
      <w:r w:rsidRPr="000C4C0E">
        <w:rPr>
          <w:rtl/>
        </w:rPr>
        <w:t xml:space="preserve"> </w:t>
      </w:r>
      <w:r w:rsidRPr="000C4C0E">
        <w:rPr>
          <w:rFonts w:hint="eastAsia"/>
          <w:rtl/>
        </w:rPr>
        <w:t>חשבונאית</w:t>
      </w:r>
      <w:r w:rsidRPr="000C4C0E">
        <w:rPr>
          <w:rtl/>
        </w:rPr>
        <w:t xml:space="preserve"> </w:t>
      </w:r>
      <w:r w:rsidRPr="000C4C0E">
        <w:rPr>
          <w:rFonts w:hint="eastAsia"/>
          <w:rtl/>
        </w:rPr>
        <w:t>שנדרשות</w:t>
      </w:r>
      <w:r w:rsidRPr="000C4C0E">
        <w:rPr>
          <w:rtl/>
        </w:rPr>
        <w:t xml:space="preserve"> </w:t>
      </w:r>
      <w:r w:rsidRPr="000C4C0E">
        <w:rPr>
          <w:rFonts w:hint="eastAsia"/>
          <w:rtl/>
        </w:rPr>
        <w:t>כדי</w:t>
      </w:r>
      <w:r w:rsidRPr="000C4C0E">
        <w:rPr>
          <w:rtl/>
        </w:rPr>
        <w:t xml:space="preserve"> </w:t>
      </w:r>
      <w:r w:rsidRPr="000C4C0E">
        <w:rPr>
          <w:rFonts w:hint="eastAsia"/>
          <w:rtl/>
        </w:rPr>
        <w:t>להתאים</w:t>
      </w:r>
      <w:r w:rsidRPr="000C4C0E">
        <w:rPr>
          <w:rtl/>
        </w:rPr>
        <w:t xml:space="preserve"> </w:t>
      </w:r>
      <w:r w:rsidRPr="000C4C0E">
        <w:rPr>
          <w:rFonts w:hint="eastAsia"/>
          <w:rtl/>
        </w:rPr>
        <w:t>בין</w:t>
      </w:r>
      <w:r w:rsidRPr="000C4C0E">
        <w:rPr>
          <w:rtl/>
        </w:rPr>
        <w:t xml:space="preserve"> </w:t>
      </w:r>
      <w:r w:rsidRPr="000C4C0E">
        <w:rPr>
          <w:rFonts w:hint="eastAsia"/>
          <w:rtl/>
        </w:rPr>
        <w:t>רווח</w:t>
      </w:r>
      <w:r w:rsidRPr="000C4C0E">
        <w:rPr>
          <w:rtl/>
        </w:rPr>
        <w:t xml:space="preserve"> (הפסד) </w:t>
      </w:r>
      <w:r w:rsidRPr="000C4C0E">
        <w:rPr>
          <w:rFonts w:hint="eastAsia"/>
          <w:rtl/>
        </w:rPr>
        <w:t>מגזרי</w:t>
      </w:r>
      <w:r w:rsidRPr="000C4C0E">
        <w:rPr>
          <w:rtl/>
        </w:rPr>
        <w:t xml:space="preserve"> </w:t>
      </w:r>
      <w:r w:rsidRPr="000C4C0E">
        <w:rPr>
          <w:rFonts w:hint="eastAsia"/>
          <w:rtl/>
        </w:rPr>
        <w:t>לבין</w:t>
      </w:r>
      <w:r w:rsidRPr="000C4C0E">
        <w:rPr>
          <w:rtl/>
        </w:rPr>
        <w:t xml:space="preserve"> </w:t>
      </w:r>
      <w:r w:rsidRPr="000C4C0E">
        <w:rPr>
          <w:rFonts w:hint="eastAsia"/>
          <w:rtl/>
        </w:rPr>
        <w:t>רווח</w:t>
      </w:r>
      <w:r w:rsidRPr="000C4C0E">
        <w:rPr>
          <w:rtl/>
        </w:rPr>
        <w:t xml:space="preserve"> (הפסד) </w:t>
      </w:r>
      <w:r w:rsidRPr="000C4C0E">
        <w:rPr>
          <w:rFonts w:hint="eastAsia"/>
          <w:rtl/>
        </w:rPr>
        <w:t>המוצג</w:t>
      </w:r>
      <w:r w:rsidRPr="000C4C0E">
        <w:rPr>
          <w:rtl/>
        </w:rPr>
        <w:t xml:space="preserve"> </w:t>
      </w:r>
      <w:r w:rsidRPr="000C4C0E">
        <w:rPr>
          <w:rFonts w:hint="eastAsia"/>
          <w:rtl/>
        </w:rPr>
        <w:t>בדוחות</w:t>
      </w:r>
      <w:r w:rsidRPr="000C4C0E">
        <w:rPr>
          <w:rtl/>
        </w:rPr>
        <w:t xml:space="preserve"> </w:t>
      </w:r>
      <w:r w:rsidRPr="000C4C0E">
        <w:rPr>
          <w:rFonts w:hint="eastAsia"/>
          <w:rtl/>
        </w:rPr>
        <w:t>הכספיים</w:t>
      </w:r>
      <w:r w:rsidRPr="000C4C0E">
        <w:rPr>
          <w:rtl/>
        </w:rPr>
        <w:t>.</w:t>
      </w:r>
    </w:p>
  </w:footnote>
  <w:footnote w:id="113">
    <w:p w14:paraId="272630F7" w14:textId="77777777" w:rsidR="001521F8" w:rsidRPr="006B38FB" w:rsidRDefault="001521F8" w:rsidP="00473B27">
      <w:pPr>
        <w:pStyle w:val="ac"/>
      </w:pPr>
      <w:r>
        <w:rPr>
          <w:rStyle w:val="ab"/>
        </w:rPr>
        <w:footnoteRef/>
      </w:r>
      <w:r>
        <w:rPr>
          <w:rtl/>
        </w:rPr>
        <w:t xml:space="preserve"> </w:t>
      </w:r>
      <w:r>
        <w:rPr>
          <w:rFonts w:hint="cs"/>
          <w:rtl/>
        </w:rPr>
        <w:tab/>
      </w:r>
      <w:r w:rsidRPr="00892691">
        <w:rPr>
          <w:rFonts w:hint="eastAsia"/>
          <w:rtl/>
        </w:rPr>
        <w:t>אם</w:t>
      </w:r>
      <w:r w:rsidRPr="00892691">
        <w:rPr>
          <w:rtl/>
        </w:rPr>
        <w:t xml:space="preserve"> </w:t>
      </w:r>
      <w:r w:rsidRPr="00892691">
        <w:rPr>
          <w:rFonts w:hint="eastAsia"/>
          <w:rtl/>
        </w:rPr>
        <w:t>רלוונטי</w:t>
      </w:r>
      <w:r w:rsidRPr="00892691">
        <w:rPr>
          <w:rtl/>
        </w:rPr>
        <w:t xml:space="preserve">, </w:t>
      </w:r>
      <w:r w:rsidRPr="00892691">
        <w:rPr>
          <w:rFonts w:hint="eastAsia"/>
          <w:rtl/>
        </w:rPr>
        <w:t>יש</w:t>
      </w:r>
      <w:r w:rsidRPr="00892691">
        <w:rPr>
          <w:rtl/>
        </w:rPr>
        <w:t xml:space="preserve"> </w:t>
      </w:r>
      <w:r w:rsidRPr="00892691">
        <w:rPr>
          <w:rFonts w:hint="eastAsia"/>
          <w:rtl/>
        </w:rPr>
        <w:t>לבצע</w:t>
      </w:r>
      <w:r w:rsidRPr="00892691">
        <w:rPr>
          <w:rtl/>
        </w:rPr>
        <w:t xml:space="preserve"> </w:t>
      </w:r>
      <w:r w:rsidRPr="00892691">
        <w:rPr>
          <w:rFonts w:hint="eastAsia"/>
          <w:rtl/>
        </w:rPr>
        <w:t>הבחנה</w:t>
      </w:r>
      <w:r w:rsidRPr="00892691">
        <w:rPr>
          <w:rtl/>
        </w:rPr>
        <w:t xml:space="preserve"> </w:t>
      </w:r>
      <w:r w:rsidRPr="00892691">
        <w:rPr>
          <w:rFonts w:hint="eastAsia"/>
          <w:rtl/>
        </w:rPr>
        <w:t>של</w:t>
      </w:r>
      <w:r w:rsidRPr="00892691">
        <w:rPr>
          <w:rtl/>
        </w:rPr>
        <w:t xml:space="preserve"> </w:t>
      </w:r>
      <w:r w:rsidRPr="00892691">
        <w:rPr>
          <w:rFonts w:hint="eastAsia"/>
          <w:rtl/>
        </w:rPr>
        <w:t>ההתאמות</w:t>
      </w:r>
      <w:r w:rsidRPr="00892691">
        <w:rPr>
          <w:rtl/>
        </w:rPr>
        <w:t xml:space="preserve"> </w:t>
      </w:r>
      <w:r w:rsidRPr="00892691">
        <w:rPr>
          <w:rFonts w:hint="eastAsia"/>
          <w:rtl/>
        </w:rPr>
        <w:t>המתייחסות</w:t>
      </w:r>
      <w:r w:rsidRPr="00892691">
        <w:rPr>
          <w:rtl/>
        </w:rPr>
        <w:t xml:space="preserve"> </w:t>
      </w:r>
      <w:r w:rsidRPr="00892691">
        <w:rPr>
          <w:rFonts w:hint="eastAsia"/>
          <w:rtl/>
        </w:rPr>
        <w:t>להבדל</w:t>
      </w:r>
      <w:r w:rsidRPr="00892691">
        <w:rPr>
          <w:rtl/>
        </w:rPr>
        <w:t xml:space="preserve"> </w:t>
      </w:r>
      <w:r w:rsidRPr="00892691">
        <w:rPr>
          <w:rFonts w:hint="eastAsia"/>
          <w:rtl/>
        </w:rPr>
        <w:t>במדיניות</w:t>
      </w:r>
      <w:r w:rsidRPr="00892691">
        <w:rPr>
          <w:rtl/>
        </w:rPr>
        <w:t xml:space="preserve"> </w:t>
      </w:r>
      <w:r w:rsidRPr="00892691">
        <w:rPr>
          <w:rFonts w:hint="eastAsia"/>
          <w:rtl/>
        </w:rPr>
        <w:t>חשבונאית</w:t>
      </w:r>
      <w:r w:rsidRPr="00892691">
        <w:rPr>
          <w:rtl/>
        </w:rPr>
        <w:t xml:space="preserve"> </w:t>
      </w:r>
      <w:r w:rsidRPr="00892691">
        <w:rPr>
          <w:rFonts w:hint="eastAsia"/>
          <w:rtl/>
        </w:rPr>
        <w:t>שנדרשות</w:t>
      </w:r>
      <w:r w:rsidRPr="00892691">
        <w:rPr>
          <w:rtl/>
        </w:rPr>
        <w:t xml:space="preserve"> </w:t>
      </w:r>
      <w:r w:rsidRPr="00892691">
        <w:rPr>
          <w:rFonts w:hint="eastAsia"/>
          <w:rtl/>
        </w:rPr>
        <w:t>כדי</w:t>
      </w:r>
      <w:r w:rsidRPr="00892691">
        <w:rPr>
          <w:rtl/>
        </w:rPr>
        <w:t xml:space="preserve"> </w:t>
      </w:r>
      <w:r w:rsidRPr="00892691">
        <w:rPr>
          <w:rFonts w:hint="eastAsia"/>
          <w:rtl/>
        </w:rPr>
        <w:t>להתאים</w:t>
      </w:r>
      <w:r w:rsidRPr="00892691">
        <w:rPr>
          <w:rtl/>
        </w:rPr>
        <w:t xml:space="preserve"> </w:t>
      </w:r>
      <w:r w:rsidRPr="00892691">
        <w:rPr>
          <w:rFonts w:hint="eastAsia"/>
          <w:rtl/>
        </w:rPr>
        <w:t>בין</w:t>
      </w:r>
      <w:r w:rsidRPr="00892691">
        <w:rPr>
          <w:rtl/>
        </w:rPr>
        <w:t xml:space="preserve"> </w:t>
      </w:r>
      <w:r w:rsidRPr="00892691">
        <w:rPr>
          <w:rFonts w:hint="eastAsia"/>
          <w:rtl/>
        </w:rPr>
        <w:t>רווח</w:t>
      </w:r>
      <w:r w:rsidRPr="00892691">
        <w:rPr>
          <w:rtl/>
        </w:rPr>
        <w:t xml:space="preserve"> (הפסד) </w:t>
      </w:r>
      <w:r w:rsidRPr="00892691">
        <w:rPr>
          <w:rFonts w:hint="eastAsia"/>
          <w:rtl/>
        </w:rPr>
        <w:t>מגזרי</w:t>
      </w:r>
      <w:r w:rsidRPr="00892691">
        <w:rPr>
          <w:rtl/>
        </w:rPr>
        <w:t xml:space="preserve"> </w:t>
      </w:r>
      <w:r w:rsidRPr="00892691">
        <w:rPr>
          <w:rFonts w:hint="eastAsia"/>
          <w:rtl/>
        </w:rPr>
        <w:t>לבין</w:t>
      </w:r>
      <w:r w:rsidRPr="00892691">
        <w:rPr>
          <w:rtl/>
        </w:rPr>
        <w:t xml:space="preserve"> </w:t>
      </w:r>
      <w:r w:rsidRPr="00892691">
        <w:rPr>
          <w:rFonts w:hint="eastAsia"/>
          <w:rtl/>
        </w:rPr>
        <w:t>רווח</w:t>
      </w:r>
      <w:r w:rsidRPr="00892691">
        <w:rPr>
          <w:rtl/>
        </w:rPr>
        <w:t xml:space="preserve"> (הפסד) </w:t>
      </w:r>
      <w:r w:rsidRPr="00892691">
        <w:rPr>
          <w:rFonts w:hint="eastAsia"/>
          <w:rtl/>
        </w:rPr>
        <w:t>המוצג</w:t>
      </w:r>
      <w:r w:rsidRPr="00892691">
        <w:rPr>
          <w:rtl/>
        </w:rPr>
        <w:t xml:space="preserve"> </w:t>
      </w:r>
      <w:r w:rsidRPr="00892691">
        <w:rPr>
          <w:rFonts w:hint="eastAsia"/>
          <w:rtl/>
        </w:rPr>
        <w:t>בדוחות</w:t>
      </w:r>
      <w:r w:rsidRPr="00892691">
        <w:rPr>
          <w:rtl/>
        </w:rPr>
        <w:t xml:space="preserve"> </w:t>
      </w:r>
      <w:r w:rsidRPr="00892691">
        <w:rPr>
          <w:rFonts w:hint="eastAsia"/>
          <w:rtl/>
        </w:rPr>
        <w:t>הכספיים</w:t>
      </w:r>
      <w:r w:rsidRPr="00892691">
        <w:rPr>
          <w:rtl/>
        </w:rPr>
        <w:t>.</w:t>
      </w:r>
    </w:p>
  </w:footnote>
  <w:footnote w:id="114">
    <w:p w14:paraId="7FA39CB1" w14:textId="77777777" w:rsidR="001521F8" w:rsidRDefault="001521F8" w:rsidP="00BB6998">
      <w:pPr>
        <w:pStyle w:val="ac"/>
        <w:rPr>
          <w:rtl/>
        </w:rPr>
      </w:pPr>
      <w:r>
        <w:rPr>
          <w:rStyle w:val="ab"/>
        </w:rPr>
        <w:footnoteRef/>
      </w:r>
      <w:r>
        <w:rPr>
          <w:rtl/>
        </w:rPr>
        <w:t xml:space="preserve"> </w:t>
      </w:r>
      <w:r>
        <w:rPr>
          <w:rFonts w:hint="cs"/>
          <w:rtl/>
        </w:rPr>
        <w:tab/>
      </w:r>
      <w:r w:rsidRPr="000C4C0E">
        <w:rPr>
          <w:rFonts w:hint="eastAsia"/>
          <w:rtl/>
        </w:rPr>
        <w:t>אם</w:t>
      </w:r>
      <w:r w:rsidRPr="000C4C0E">
        <w:rPr>
          <w:rtl/>
        </w:rPr>
        <w:t xml:space="preserve"> </w:t>
      </w:r>
      <w:r w:rsidRPr="000C4C0E">
        <w:rPr>
          <w:rFonts w:hint="eastAsia"/>
          <w:rtl/>
        </w:rPr>
        <w:t>רלוונטי</w:t>
      </w:r>
      <w:r w:rsidRPr="000C4C0E">
        <w:rPr>
          <w:rtl/>
        </w:rPr>
        <w:t xml:space="preserve">, </w:t>
      </w:r>
      <w:r w:rsidRPr="000C4C0E">
        <w:rPr>
          <w:rFonts w:hint="eastAsia"/>
          <w:rtl/>
        </w:rPr>
        <w:t>יש</w:t>
      </w:r>
      <w:r w:rsidRPr="000C4C0E">
        <w:rPr>
          <w:rtl/>
        </w:rPr>
        <w:t xml:space="preserve"> </w:t>
      </w:r>
      <w:r w:rsidRPr="000C4C0E">
        <w:rPr>
          <w:rFonts w:hint="eastAsia"/>
          <w:rtl/>
        </w:rPr>
        <w:t>לבצע</w:t>
      </w:r>
      <w:r w:rsidRPr="000C4C0E">
        <w:rPr>
          <w:rtl/>
        </w:rPr>
        <w:t xml:space="preserve"> </w:t>
      </w:r>
      <w:r w:rsidRPr="000C4C0E">
        <w:rPr>
          <w:rFonts w:hint="eastAsia"/>
          <w:rtl/>
        </w:rPr>
        <w:t>הבחנה</w:t>
      </w:r>
      <w:r w:rsidRPr="000C4C0E">
        <w:rPr>
          <w:rtl/>
        </w:rPr>
        <w:t xml:space="preserve"> </w:t>
      </w:r>
      <w:r w:rsidRPr="000C4C0E">
        <w:rPr>
          <w:rFonts w:hint="eastAsia"/>
          <w:rtl/>
        </w:rPr>
        <w:t>של</w:t>
      </w:r>
      <w:r w:rsidRPr="000C4C0E">
        <w:rPr>
          <w:rtl/>
        </w:rPr>
        <w:t xml:space="preserve"> </w:t>
      </w:r>
      <w:r w:rsidRPr="000C4C0E">
        <w:rPr>
          <w:rFonts w:hint="eastAsia"/>
          <w:rtl/>
        </w:rPr>
        <w:t>ההתאמות</w:t>
      </w:r>
      <w:r w:rsidRPr="000C4C0E">
        <w:rPr>
          <w:rtl/>
        </w:rPr>
        <w:t xml:space="preserve"> </w:t>
      </w:r>
      <w:r w:rsidRPr="000C4C0E">
        <w:rPr>
          <w:rFonts w:hint="eastAsia"/>
          <w:rtl/>
        </w:rPr>
        <w:t>המתייחסות</w:t>
      </w:r>
      <w:r w:rsidRPr="000C4C0E">
        <w:rPr>
          <w:rtl/>
        </w:rPr>
        <w:t xml:space="preserve"> </w:t>
      </w:r>
      <w:r w:rsidRPr="000C4C0E">
        <w:rPr>
          <w:rFonts w:hint="eastAsia"/>
          <w:rtl/>
        </w:rPr>
        <w:t>להבדל</w:t>
      </w:r>
      <w:r w:rsidRPr="000C4C0E">
        <w:rPr>
          <w:rtl/>
        </w:rPr>
        <w:t xml:space="preserve"> </w:t>
      </w:r>
      <w:r w:rsidRPr="000C4C0E">
        <w:rPr>
          <w:rFonts w:hint="eastAsia"/>
          <w:rtl/>
        </w:rPr>
        <w:t>במדיניות</w:t>
      </w:r>
      <w:r w:rsidRPr="000C4C0E">
        <w:rPr>
          <w:rtl/>
        </w:rPr>
        <w:t xml:space="preserve"> </w:t>
      </w:r>
      <w:r w:rsidRPr="000C4C0E">
        <w:rPr>
          <w:rFonts w:hint="eastAsia"/>
          <w:rtl/>
        </w:rPr>
        <w:t>חשבונאית</w:t>
      </w:r>
      <w:r w:rsidRPr="000C4C0E">
        <w:rPr>
          <w:rtl/>
        </w:rPr>
        <w:t xml:space="preserve"> </w:t>
      </w:r>
      <w:r w:rsidRPr="000C4C0E">
        <w:rPr>
          <w:rFonts w:hint="eastAsia"/>
          <w:rtl/>
        </w:rPr>
        <w:t>שנדרשות</w:t>
      </w:r>
      <w:r w:rsidRPr="000C4C0E">
        <w:rPr>
          <w:rtl/>
        </w:rPr>
        <w:t xml:space="preserve"> </w:t>
      </w:r>
      <w:r w:rsidRPr="000C4C0E">
        <w:rPr>
          <w:rFonts w:hint="eastAsia"/>
          <w:rtl/>
        </w:rPr>
        <w:t>כדי</w:t>
      </w:r>
      <w:r w:rsidRPr="000C4C0E">
        <w:rPr>
          <w:rtl/>
        </w:rPr>
        <w:t xml:space="preserve"> </w:t>
      </w:r>
      <w:r w:rsidRPr="000C4C0E">
        <w:rPr>
          <w:rFonts w:hint="eastAsia"/>
          <w:rtl/>
        </w:rPr>
        <w:t>להתאים</w:t>
      </w:r>
      <w:r w:rsidRPr="000C4C0E">
        <w:rPr>
          <w:rtl/>
        </w:rPr>
        <w:t xml:space="preserve"> </w:t>
      </w:r>
      <w:r w:rsidRPr="000C4C0E">
        <w:rPr>
          <w:rFonts w:hint="eastAsia"/>
          <w:rtl/>
        </w:rPr>
        <w:t>בין</w:t>
      </w:r>
      <w:r w:rsidRPr="000C4C0E">
        <w:rPr>
          <w:rtl/>
        </w:rPr>
        <w:t xml:space="preserve"> </w:t>
      </w:r>
      <w:r w:rsidRPr="000C4C0E">
        <w:rPr>
          <w:rFonts w:hint="eastAsia"/>
          <w:rtl/>
        </w:rPr>
        <w:t>רווח</w:t>
      </w:r>
      <w:r w:rsidRPr="000C4C0E">
        <w:rPr>
          <w:rtl/>
        </w:rPr>
        <w:t xml:space="preserve"> (הפסד) </w:t>
      </w:r>
      <w:r w:rsidRPr="000C4C0E">
        <w:rPr>
          <w:rFonts w:hint="eastAsia"/>
          <w:rtl/>
        </w:rPr>
        <w:t>מגזרי</w:t>
      </w:r>
      <w:r w:rsidRPr="000C4C0E">
        <w:rPr>
          <w:rtl/>
        </w:rPr>
        <w:t xml:space="preserve"> </w:t>
      </w:r>
      <w:r w:rsidRPr="000C4C0E">
        <w:rPr>
          <w:rFonts w:hint="eastAsia"/>
          <w:rtl/>
        </w:rPr>
        <w:t>לבין</w:t>
      </w:r>
      <w:r w:rsidRPr="000C4C0E">
        <w:rPr>
          <w:rtl/>
        </w:rPr>
        <w:t xml:space="preserve"> </w:t>
      </w:r>
      <w:r w:rsidRPr="000C4C0E">
        <w:rPr>
          <w:rFonts w:hint="eastAsia"/>
          <w:rtl/>
        </w:rPr>
        <w:t>רווח</w:t>
      </w:r>
      <w:r w:rsidRPr="000C4C0E">
        <w:rPr>
          <w:rtl/>
        </w:rPr>
        <w:t xml:space="preserve"> (הפסד) </w:t>
      </w:r>
      <w:r w:rsidRPr="000C4C0E">
        <w:rPr>
          <w:rFonts w:hint="eastAsia"/>
          <w:rtl/>
        </w:rPr>
        <w:t>המוצג</w:t>
      </w:r>
      <w:r w:rsidRPr="000C4C0E">
        <w:rPr>
          <w:rtl/>
        </w:rPr>
        <w:t xml:space="preserve"> </w:t>
      </w:r>
      <w:r w:rsidRPr="000C4C0E">
        <w:rPr>
          <w:rFonts w:hint="eastAsia"/>
          <w:rtl/>
        </w:rPr>
        <w:t>בדוחות</w:t>
      </w:r>
      <w:r w:rsidRPr="000C4C0E">
        <w:rPr>
          <w:rtl/>
        </w:rPr>
        <w:t xml:space="preserve"> </w:t>
      </w:r>
      <w:r w:rsidRPr="000C4C0E">
        <w:rPr>
          <w:rFonts w:hint="eastAsia"/>
          <w:rtl/>
        </w:rPr>
        <w:t>הכספיים</w:t>
      </w:r>
      <w:r w:rsidRPr="000C4C0E">
        <w:rPr>
          <w:rtl/>
        </w:rPr>
        <w:t>.</w:t>
      </w:r>
    </w:p>
  </w:footnote>
  <w:footnote w:id="115">
    <w:p w14:paraId="0E94BDFC" w14:textId="77777777" w:rsidR="001521F8" w:rsidRPr="006B38FB" w:rsidRDefault="001521F8" w:rsidP="00473B27">
      <w:pPr>
        <w:pStyle w:val="ac"/>
      </w:pPr>
      <w:r>
        <w:rPr>
          <w:rStyle w:val="ab"/>
        </w:rPr>
        <w:footnoteRef/>
      </w:r>
      <w:r>
        <w:rPr>
          <w:rtl/>
        </w:rPr>
        <w:t xml:space="preserve"> </w:t>
      </w:r>
      <w:r>
        <w:rPr>
          <w:rFonts w:hint="cs"/>
          <w:rtl/>
        </w:rPr>
        <w:tab/>
      </w:r>
      <w:r w:rsidRPr="00892691">
        <w:rPr>
          <w:rFonts w:hint="eastAsia"/>
          <w:rtl/>
        </w:rPr>
        <w:t>אם</w:t>
      </w:r>
      <w:r w:rsidRPr="00892691">
        <w:rPr>
          <w:rtl/>
        </w:rPr>
        <w:t xml:space="preserve"> </w:t>
      </w:r>
      <w:r w:rsidRPr="00892691">
        <w:rPr>
          <w:rFonts w:hint="eastAsia"/>
          <w:rtl/>
        </w:rPr>
        <w:t>רלוונטי</w:t>
      </w:r>
      <w:r w:rsidRPr="00892691">
        <w:rPr>
          <w:rtl/>
        </w:rPr>
        <w:t xml:space="preserve">, </w:t>
      </w:r>
      <w:r w:rsidRPr="00892691">
        <w:rPr>
          <w:rFonts w:hint="eastAsia"/>
          <w:rtl/>
        </w:rPr>
        <w:t>יש</w:t>
      </w:r>
      <w:r w:rsidRPr="00892691">
        <w:rPr>
          <w:rtl/>
        </w:rPr>
        <w:t xml:space="preserve"> </w:t>
      </w:r>
      <w:r w:rsidRPr="00892691">
        <w:rPr>
          <w:rFonts w:hint="eastAsia"/>
          <w:rtl/>
        </w:rPr>
        <w:t>לבצע</w:t>
      </w:r>
      <w:r w:rsidRPr="00892691">
        <w:rPr>
          <w:rtl/>
        </w:rPr>
        <w:t xml:space="preserve"> </w:t>
      </w:r>
      <w:r w:rsidRPr="00892691">
        <w:rPr>
          <w:rFonts w:hint="eastAsia"/>
          <w:rtl/>
        </w:rPr>
        <w:t>הבחנה</w:t>
      </w:r>
      <w:r w:rsidRPr="00892691">
        <w:rPr>
          <w:rtl/>
        </w:rPr>
        <w:t xml:space="preserve"> </w:t>
      </w:r>
      <w:r w:rsidRPr="00892691">
        <w:rPr>
          <w:rFonts w:hint="eastAsia"/>
          <w:rtl/>
        </w:rPr>
        <w:t>של</w:t>
      </w:r>
      <w:r w:rsidRPr="00892691">
        <w:rPr>
          <w:rtl/>
        </w:rPr>
        <w:t xml:space="preserve"> </w:t>
      </w:r>
      <w:r w:rsidRPr="00892691">
        <w:rPr>
          <w:rFonts w:hint="eastAsia"/>
          <w:rtl/>
        </w:rPr>
        <w:t>ההתאמות</w:t>
      </w:r>
      <w:r w:rsidRPr="00892691">
        <w:rPr>
          <w:rtl/>
        </w:rPr>
        <w:t xml:space="preserve"> </w:t>
      </w:r>
      <w:r w:rsidRPr="00892691">
        <w:rPr>
          <w:rFonts w:hint="eastAsia"/>
          <w:rtl/>
        </w:rPr>
        <w:t>המתייחסות</w:t>
      </w:r>
      <w:r w:rsidRPr="00892691">
        <w:rPr>
          <w:rtl/>
        </w:rPr>
        <w:t xml:space="preserve"> </w:t>
      </w:r>
      <w:r w:rsidRPr="00892691">
        <w:rPr>
          <w:rFonts w:hint="eastAsia"/>
          <w:rtl/>
        </w:rPr>
        <w:t>להבדל</w:t>
      </w:r>
      <w:r w:rsidRPr="00892691">
        <w:rPr>
          <w:rtl/>
        </w:rPr>
        <w:t xml:space="preserve"> </w:t>
      </w:r>
      <w:r w:rsidRPr="00892691">
        <w:rPr>
          <w:rFonts w:hint="eastAsia"/>
          <w:rtl/>
        </w:rPr>
        <w:t>במדיניות</w:t>
      </w:r>
      <w:r w:rsidRPr="00892691">
        <w:rPr>
          <w:rtl/>
        </w:rPr>
        <w:t xml:space="preserve"> </w:t>
      </w:r>
      <w:r w:rsidRPr="00892691">
        <w:rPr>
          <w:rFonts w:hint="eastAsia"/>
          <w:rtl/>
        </w:rPr>
        <w:t>חשבונאית</w:t>
      </w:r>
      <w:r w:rsidRPr="00892691">
        <w:rPr>
          <w:rtl/>
        </w:rPr>
        <w:t xml:space="preserve"> </w:t>
      </w:r>
      <w:r w:rsidRPr="00892691">
        <w:rPr>
          <w:rFonts w:hint="eastAsia"/>
          <w:rtl/>
        </w:rPr>
        <w:t>שנדרשות</w:t>
      </w:r>
      <w:r w:rsidRPr="00892691">
        <w:rPr>
          <w:rtl/>
        </w:rPr>
        <w:t xml:space="preserve"> </w:t>
      </w:r>
      <w:r w:rsidRPr="00892691">
        <w:rPr>
          <w:rFonts w:hint="eastAsia"/>
          <w:rtl/>
        </w:rPr>
        <w:t>כדי</w:t>
      </w:r>
      <w:r w:rsidRPr="00892691">
        <w:rPr>
          <w:rtl/>
        </w:rPr>
        <w:t xml:space="preserve"> </w:t>
      </w:r>
      <w:r w:rsidRPr="00892691">
        <w:rPr>
          <w:rFonts w:hint="eastAsia"/>
          <w:rtl/>
        </w:rPr>
        <w:t>להתאים</w:t>
      </w:r>
      <w:r w:rsidRPr="00892691">
        <w:rPr>
          <w:rtl/>
        </w:rPr>
        <w:t xml:space="preserve"> </w:t>
      </w:r>
      <w:r w:rsidRPr="00892691">
        <w:rPr>
          <w:rFonts w:hint="eastAsia"/>
          <w:rtl/>
        </w:rPr>
        <w:t>בין</w:t>
      </w:r>
      <w:r w:rsidRPr="00892691">
        <w:rPr>
          <w:rtl/>
        </w:rPr>
        <w:t xml:space="preserve"> </w:t>
      </w:r>
      <w:r w:rsidRPr="00892691">
        <w:rPr>
          <w:rFonts w:hint="eastAsia"/>
          <w:rtl/>
        </w:rPr>
        <w:t>רווח</w:t>
      </w:r>
      <w:r w:rsidRPr="00892691">
        <w:rPr>
          <w:rtl/>
        </w:rPr>
        <w:t xml:space="preserve"> (הפסד) </w:t>
      </w:r>
      <w:r w:rsidRPr="00892691">
        <w:rPr>
          <w:rFonts w:hint="eastAsia"/>
          <w:rtl/>
        </w:rPr>
        <w:t>מגזרי</w:t>
      </w:r>
      <w:r w:rsidRPr="00892691">
        <w:rPr>
          <w:rtl/>
        </w:rPr>
        <w:t xml:space="preserve"> </w:t>
      </w:r>
      <w:r w:rsidRPr="00892691">
        <w:rPr>
          <w:rFonts w:hint="eastAsia"/>
          <w:rtl/>
        </w:rPr>
        <w:t>לבין</w:t>
      </w:r>
      <w:r w:rsidRPr="00892691">
        <w:rPr>
          <w:rtl/>
        </w:rPr>
        <w:t xml:space="preserve"> </w:t>
      </w:r>
      <w:r w:rsidRPr="00892691">
        <w:rPr>
          <w:rFonts w:hint="eastAsia"/>
          <w:rtl/>
        </w:rPr>
        <w:t>רווח</w:t>
      </w:r>
      <w:r w:rsidRPr="00892691">
        <w:rPr>
          <w:rtl/>
        </w:rPr>
        <w:t xml:space="preserve"> (הפסד) </w:t>
      </w:r>
      <w:r w:rsidRPr="00892691">
        <w:rPr>
          <w:rFonts w:hint="eastAsia"/>
          <w:rtl/>
        </w:rPr>
        <w:t>המוצג</w:t>
      </w:r>
      <w:r w:rsidRPr="00892691">
        <w:rPr>
          <w:rtl/>
        </w:rPr>
        <w:t xml:space="preserve"> </w:t>
      </w:r>
      <w:r w:rsidRPr="00892691">
        <w:rPr>
          <w:rFonts w:hint="eastAsia"/>
          <w:rtl/>
        </w:rPr>
        <w:t>בדוחות</w:t>
      </w:r>
      <w:r w:rsidRPr="00892691">
        <w:rPr>
          <w:rtl/>
        </w:rPr>
        <w:t xml:space="preserve"> </w:t>
      </w:r>
      <w:r w:rsidRPr="00892691">
        <w:rPr>
          <w:rFonts w:hint="eastAsia"/>
          <w:rtl/>
        </w:rPr>
        <w:t>הכספיים</w:t>
      </w:r>
      <w:r w:rsidRPr="00892691">
        <w:rPr>
          <w:rtl/>
        </w:rPr>
        <w:t>.</w:t>
      </w:r>
    </w:p>
  </w:footnote>
  <w:footnote w:id="116">
    <w:p w14:paraId="2DD64FDF" w14:textId="77777777" w:rsidR="001521F8" w:rsidRPr="006B38FB" w:rsidRDefault="001521F8" w:rsidP="00151B8D">
      <w:pPr>
        <w:pStyle w:val="ac"/>
      </w:pPr>
      <w:r>
        <w:rPr>
          <w:rStyle w:val="ab"/>
        </w:rPr>
        <w:footnoteRef/>
      </w:r>
      <w:r>
        <w:rPr>
          <w:rtl/>
        </w:rPr>
        <w:t xml:space="preserve"> </w:t>
      </w:r>
      <w:r>
        <w:rPr>
          <w:rFonts w:hint="cs"/>
          <w:rtl/>
        </w:rPr>
        <w:tab/>
      </w:r>
      <w:r w:rsidRPr="00892691">
        <w:rPr>
          <w:rFonts w:hint="eastAsia"/>
          <w:rtl/>
        </w:rPr>
        <w:t>אם</w:t>
      </w:r>
      <w:r w:rsidRPr="00892691">
        <w:rPr>
          <w:rtl/>
        </w:rPr>
        <w:t xml:space="preserve"> </w:t>
      </w:r>
      <w:r w:rsidRPr="00892691">
        <w:rPr>
          <w:rFonts w:hint="eastAsia"/>
          <w:rtl/>
        </w:rPr>
        <w:t>רלוונטי</w:t>
      </w:r>
      <w:r w:rsidRPr="00892691">
        <w:rPr>
          <w:rtl/>
        </w:rPr>
        <w:t xml:space="preserve">, </w:t>
      </w:r>
      <w:r w:rsidRPr="00892691">
        <w:rPr>
          <w:rFonts w:hint="eastAsia"/>
          <w:rtl/>
        </w:rPr>
        <w:t>יש</w:t>
      </w:r>
      <w:r w:rsidRPr="00892691">
        <w:rPr>
          <w:rtl/>
        </w:rPr>
        <w:t xml:space="preserve"> </w:t>
      </w:r>
      <w:r w:rsidRPr="00892691">
        <w:rPr>
          <w:rFonts w:hint="eastAsia"/>
          <w:rtl/>
        </w:rPr>
        <w:t>לבצע</w:t>
      </w:r>
      <w:r w:rsidRPr="00892691">
        <w:rPr>
          <w:rtl/>
        </w:rPr>
        <w:t xml:space="preserve"> </w:t>
      </w:r>
      <w:r w:rsidRPr="00892691">
        <w:rPr>
          <w:rFonts w:hint="eastAsia"/>
          <w:rtl/>
        </w:rPr>
        <w:t>הבחנה</w:t>
      </w:r>
      <w:r w:rsidRPr="00892691">
        <w:rPr>
          <w:rtl/>
        </w:rPr>
        <w:t xml:space="preserve"> </w:t>
      </w:r>
      <w:r w:rsidRPr="00892691">
        <w:rPr>
          <w:rFonts w:hint="eastAsia"/>
          <w:rtl/>
        </w:rPr>
        <w:t>של</w:t>
      </w:r>
      <w:r w:rsidRPr="00892691">
        <w:rPr>
          <w:rtl/>
        </w:rPr>
        <w:t xml:space="preserve"> </w:t>
      </w:r>
      <w:r w:rsidRPr="00892691">
        <w:rPr>
          <w:rFonts w:hint="eastAsia"/>
          <w:rtl/>
        </w:rPr>
        <w:t>ההתאמות</w:t>
      </w:r>
      <w:r w:rsidRPr="00892691">
        <w:rPr>
          <w:rtl/>
        </w:rPr>
        <w:t xml:space="preserve"> </w:t>
      </w:r>
      <w:r w:rsidRPr="00892691">
        <w:rPr>
          <w:rFonts w:hint="eastAsia"/>
          <w:rtl/>
        </w:rPr>
        <w:t>המתייחסות</w:t>
      </w:r>
      <w:r w:rsidRPr="00892691">
        <w:rPr>
          <w:rtl/>
        </w:rPr>
        <w:t xml:space="preserve"> </w:t>
      </w:r>
      <w:r w:rsidRPr="00892691">
        <w:rPr>
          <w:rFonts w:hint="eastAsia"/>
          <w:rtl/>
        </w:rPr>
        <w:t>להבדל</w:t>
      </w:r>
      <w:r w:rsidRPr="00892691">
        <w:rPr>
          <w:rtl/>
        </w:rPr>
        <w:t xml:space="preserve"> </w:t>
      </w:r>
      <w:r w:rsidRPr="00892691">
        <w:rPr>
          <w:rFonts w:hint="eastAsia"/>
          <w:rtl/>
        </w:rPr>
        <w:t>במדיניות</w:t>
      </w:r>
      <w:r w:rsidRPr="00892691">
        <w:rPr>
          <w:rtl/>
        </w:rPr>
        <w:t xml:space="preserve"> </w:t>
      </w:r>
      <w:r w:rsidRPr="00892691">
        <w:rPr>
          <w:rFonts w:hint="eastAsia"/>
          <w:rtl/>
        </w:rPr>
        <w:t>חשבונאית</w:t>
      </w:r>
      <w:r w:rsidRPr="00892691">
        <w:rPr>
          <w:rtl/>
        </w:rPr>
        <w:t xml:space="preserve"> </w:t>
      </w:r>
      <w:r w:rsidRPr="00892691">
        <w:rPr>
          <w:rFonts w:hint="eastAsia"/>
          <w:rtl/>
        </w:rPr>
        <w:t>שנדרשות</w:t>
      </w:r>
      <w:r w:rsidRPr="00892691">
        <w:rPr>
          <w:rtl/>
        </w:rPr>
        <w:t xml:space="preserve"> </w:t>
      </w:r>
      <w:r w:rsidRPr="00892691">
        <w:rPr>
          <w:rFonts w:hint="eastAsia"/>
          <w:rtl/>
        </w:rPr>
        <w:t>כדי</w:t>
      </w:r>
      <w:r w:rsidRPr="00892691">
        <w:rPr>
          <w:rtl/>
        </w:rPr>
        <w:t xml:space="preserve"> </w:t>
      </w:r>
      <w:r w:rsidRPr="00892691">
        <w:rPr>
          <w:rFonts w:hint="eastAsia"/>
          <w:rtl/>
        </w:rPr>
        <w:t>להתאים</w:t>
      </w:r>
      <w:r w:rsidRPr="00892691">
        <w:rPr>
          <w:rtl/>
        </w:rPr>
        <w:t xml:space="preserve"> </w:t>
      </w:r>
      <w:r w:rsidRPr="00892691">
        <w:rPr>
          <w:rFonts w:hint="eastAsia"/>
          <w:rtl/>
        </w:rPr>
        <w:t>בין</w:t>
      </w:r>
      <w:r w:rsidRPr="00892691">
        <w:rPr>
          <w:rtl/>
        </w:rPr>
        <w:t xml:space="preserve"> </w:t>
      </w:r>
      <w:r w:rsidRPr="00892691">
        <w:rPr>
          <w:rFonts w:hint="eastAsia"/>
          <w:rtl/>
        </w:rPr>
        <w:t>רווח</w:t>
      </w:r>
      <w:r w:rsidRPr="00892691">
        <w:rPr>
          <w:rtl/>
        </w:rPr>
        <w:t xml:space="preserve"> (הפסד) </w:t>
      </w:r>
      <w:r w:rsidRPr="00892691">
        <w:rPr>
          <w:rFonts w:hint="eastAsia"/>
          <w:rtl/>
        </w:rPr>
        <w:t>מגזרי</w:t>
      </w:r>
      <w:r w:rsidRPr="00892691">
        <w:rPr>
          <w:rtl/>
        </w:rPr>
        <w:t xml:space="preserve"> </w:t>
      </w:r>
      <w:r w:rsidRPr="00892691">
        <w:rPr>
          <w:rFonts w:hint="eastAsia"/>
          <w:rtl/>
        </w:rPr>
        <w:t>לבין</w:t>
      </w:r>
      <w:r w:rsidRPr="00892691">
        <w:rPr>
          <w:rtl/>
        </w:rPr>
        <w:t xml:space="preserve"> </w:t>
      </w:r>
      <w:r w:rsidRPr="00892691">
        <w:rPr>
          <w:rFonts w:hint="eastAsia"/>
          <w:rtl/>
        </w:rPr>
        <w:t>רווח</w:t>
      </w:r>
      <w:r w:rsidRPr="00892691">
        <w:rPr>
          <w:rtl/>
        </w:rPr>
        <w:t xml:space="preserve"> (הפסד) </w:t>
      </w:r>
      <w:r w:rsidRPr="00892691">
        <w:rPr>
          <w:rFonts w:hint="eastAsia"/>
          <w:rtl/>
        </w:rPr>
        <w:t>המוצג</w:t>
      </w:r>
      <w:r w:rsidRPr="00892691">
        <w:rPr>
          <w:rtl/>
        </w:rPr>
        <w:t xml:space="preserve"> </w:t>
      </w:r>
      <w:r w:rsidRPr="00892691">
        <w:rPr>
          <w:rFonts w:hint="eastAsia"/>
          <w:rtl/>
        </w:rPr>
        <w:t>בדוחות</w:t>
      </w:r>
      <w:r w:rsidRPr="00892691">
        <w:rPr>
          <w:rtl/>
        </w:rPr>
        <w:t xml:space="preserve"> </w:t>
      </w:r>
      <w:r w:rsidRPr="00892691">
        <w:rPr>
          <w:rFonts w:hint="eastAsia"/>
          <w:rtl/>
        </w:rPr>
        <w:t>הכספיים</w:t>
      </w:r>
      <w:r w:rsidRPr="00892691">
        <w:rPr>
          <w:rtl/>
        </w:rPr>
        <w:t>.</w:t>
      </w:r>
    </w:p>
  </w:footnote>
  <w:footnote w:id="117">
    <w:p w14:paraId="11C2F2E9" w14:textId="77777777" w:rsidR="001521F8" w:rsidRDefault="001521F8" w:rsidP="00151B8D">
      <w:pPr>
        <w:pStyle w:val="ac"/>
        <w:rPr>
          <w:rtl/>
        </w:rPr>
      </w:pPr>
      <w:r>
        <w:rPr>
          <w:rStyle w:val="ab"/>
        </w:rPr>
        <w:footnoteRef/>
      </w:r>
      <w:r>
        <w:rPr>
          <w:rtl/>
        </w:rPr>
        <w:t xml:space="preserve"> </w:t>
      </w:r>
      <w:r>
        <w:rPr>
          <w:rFonts w:hint="cs"/>
          <w:rtl/>
        </w:rPr>
        <w:tab/>
      </w:r>
      <w:r w:rsidRPr="006B38FB">
        <w:rPr>
          <w:rFonts w:hint="cs"/>
          <w:rtl/>
        </w:rPr>
        <w:t xml:space="preserve">במסגרת השיפורים ל- 34 </w:t>
      </w:r>
      <w:r w:rsidRPr="006B38FB">
        <w:rPr>
          <w:rFonts w:hint="cs"/>
        </w:rPr>
        <w:t>IAS</w:t>
      </w:r>
      <w:r w:rsidRPr="006B38FB">
        <w:rPr>
          <w:rFonts w:hint="cs"/>
          <w:rtl/>
        </w:rPr>
        <w:t xml:space="preserve"> הובהרו הדרישות לדיווח בדבר סך הנכסים והתחייבויות </w:t>
      </w:r>
      <w:r>
        <w:rPr>
          <w:rFonts w:hint="cs"/>
          <w:rtl/>
        </w:rPr>
        <w:t>ה</w:t>
      </w:r>
      <w:r w:rsidRPr="006B38FB">
        <w:rPr>
          <w:rFonts w:hint="cs"/>
          <w:rtl/>
        </w:rPr>
        <w:t xml:space="preserve">מגזריים, וכן נקבע כי נדרש לתת בדוחות הרבעוניים מידע בדבר נכסים והתחייבויות של המגזר, אם סכומים אלה מדווחים באופן סדיר ל- </w:t>
      </w:r>
      <w:r w:rsidRPr="006B38FB">
        <w:rPr>
          <w:rFonts w:hint="cs"/>
        </w:rPr>
        <w:t>CODM</w:t>
      </w:r>
      <w:r w:rsidRPr="006B38FB">
        <w:rPr>
          <w:rFonts w:hint="cs"/>
          <w:rtl/>
        </w:rPr>
        <w:t xml:space="preserve"> וכן חל שינוי מהותי מהסכום שנכלל בדוח השנתי האחרון בגין אותו מגזר (</w:t>
      </w:r>
      <w:r w:rsidRPr="006B38FB">
        <w:t>IAS 34.16A(g)(iv)</w:t>
      </w:r>
      <w:r w:rsidRPr="006B38FB">
        <w:rPr>
          <w:rFonts w:hint="cs"/>
          <w:i/>
          <w:iCs/>
          <w:rtl/>
        </w:rPr>
        <w:t>).</w:t>
      </w:r>
    </w:p>
  </w:footnote>
  <w:footnote w:id="118">
    <w:p w14:paraId="7EED8066" w14:textId="77777777" w:rsidR="001521F8" w:rsidRDefault="001521F8" w:rsidP="001A12F8">
      <w:pPr>
        <w:pStyle w:val="ac"/>
        <w:rPr>
          <w:rtl/>
        </w:rPr>
      </w:pPr>
      <w:r w:rsidRPr="00F02394">
        <w:rPr>
          <w:rStyle w:val="ab"/>
          <w:rFonts w:cs="Narkisim"/>
        </w:rPr>
        <w:footnoteRef/>
      </w:r>
      <w:r>
        <w:rPr>
          <w:rFonts w:hint="cs"/>
          <w:rtl/>
        </w:rPr>
        <w:t xml:space="preserve"> </w:t>
      </w:r>
      <w:r>
        <w:rPr>
          <w:rFonts w:hint="cs"/>
          <w:rtl/>
        </w:rPr>
        <w:tab/>
      </w:r>
      <w:r w:rsidRPr="00276F4A">
        <w:rPr>
          <w:rFonts w:hint="cs"/>
          <w:rtl/>
        </w:rPr>
        <w:t>נדרש בהתאם</w:t>
      </w:r>
      <w:r>
        <w:rPr>
          <w:rFonts w:hint="cs"/>
          <w:rtl/>
        </w:rPr>
        <w:t xml:space="preserve"> לתקנה 44</w:t>
      </w:r>
      <w:r w:rsidRPr="00276F4A">
        <w:rPr>
          <w:rFonts w:hint="cs"/>
          <w:rtl/>
        </w:rPr>
        <w:t xml:space="preserve"> לתקנות ניירות ערך</w:t>
      </w:r>
      <w:r>
        <w:rPr>
          <w:rFonts w:hint="cs"/>
          <w:rtl/>
        </w:rPr>
        <w:t xml:space="preserve"> (דוחות תקופתיים ומיידיים)</w:t>
      </w:r>
      <w:r w:rsidRPr="00276F4A">
        <w:rPr>
          <w:rFonts w:hint="cs"/>
          <w:rtl/>
        </w:rPr>
        <w:t>.</w:t>
      </w:r>
    </w:p>
  </w:footnote>
  <w:footnote w:id="119">
    <w:p w14:paraId="7863CC40" w14:textId="77777777" w:rsidR="001521F8" w:rsidRPr="00255AB1" w:rsidRDefault="001521F8" w:rsidP="001A12F8">
      <w:pPr>
        <w:pStyle w:val="ac"/>
      </w:pPr>
      <w:r>
        <w:rPr>
          <w:rStyle w:val="ab"/>
        </w:rPr>
        <w:footnoteRef/>
      </w:r>
      <w:r>
        <w:rPr>
          <w:rtl/>
        </w:rPr>
        <w:t xml:space="preserve"> </w:t>
      </w:r>
      <w:r>
        <w:rPr>
          <w:rFonts w:hint="cs"/>
          <w:rtl/>
        </w:rPr>
        <w:tab/>
      </w:r>
      <w:r w:rsidRPr="00EF29A4">
        <w:rPr>
          <w:rFonts w:hint="cs"/>
          <w:rtl/>
        </w:rPr>
        <w:t xml:space="preserve">בהתאם </w:t>
      </w:r>
      <w:r>
        <w:rPr>
          <w:rFonts w:hint="cs"/>
          <w:rtl/>
        </w:rPr>
        <w:t xml:space="preserve">לתקנה 44 (א) </w:t>
      </w:r>
      <w:r w:rsidRPr="00EF29A4">
        <w:rPr>
          <w:rFonts w:hint="cs"/>
          <w:rtl/>
        </w:rPr>
        <w:t>לתקנות ניירות ערך</w:t>
      </w:r>
      <w:r>
        <w:rPr>
          <w:rFonts w:hint="cs"/>
          <w:rtl/>
        </w:rPr>
        <w:t xml:space="preserve"> (דוחות תקופתיים ומיידיים)</w:t>
      </w:r>
      <w:r w:rsidRPr="00EF29A4">
        <w:rPr>
          <w:rFonts w:hint="cs"/>
          <w:rtl/>
        </w:rPr>
        <w:t>, אם החברה הכלולה או בשליטה משותפת שמטופלת לפי שיטת השווי המאזני עומדת במבחנים של תקנה 2</w:t>
      </w:r>
      <w:r>
        <w:rPr>
          <w:rFonts w:hint="cs"/>
          <w:rtl/>
        </w:rPr>
        <w:t>3</w:t>
      </w:r>
      <w:r w:rsidRPr="00EF29A4">
        <w:rPr>
          <w:rFonts w:hint="cs"/>
          <w:rtl/>
        </w:rPr>
        <w:t xml:space="preserve"> לתקנות ניירות ערך (דוחות כספיים שנתיים), התש"ע-2010</w:t>
      </w:r>
      <w:r>
        <w:rPr>
          <w:rFonts w:hint="cs"/>
          <w:rtl/>
        </w:rPr>
        <w:t>, בשינויים המחוייבים</w:t>
      </w:r>
      <w:r w:rsidRPr="00EF29A4">
        <w:rPr>
          <w:rFonts w:hint="cs"/>
          <w:rtl/>
        </w:rPr>
        <w:t>, נדרש ל</w:t>
      </w:r>
      <w:r>
        <w:rPr>
          <w:rFonts w:hint="cs"/>
          <w:rtl/>
        </w:rPr>
        <w:t xml:space="preserve">צרף את דוחותיה. </w:t>
      </w:r>
      <w:r w:rsidRPr="00EF29A4">
        <w:rPr>
          <w:rFonts w:hint="cs"/>
          <w:rtl/>
        </w:rPr>
        <w:t xml:space="preserve">עמידה במבחנים </w:t>
      </w:r>
      <w:r>
        <w:rPr>
          <w:rFonts w:hint="cs"/>
          <w:rtl/>
        </w:rPr>
        <w:t>הנ"ל</w:t>
      </w:r>
      <w:r w:rsidRPr="00EF29A4">
        <w:rPr>
          <w:rFonts w:hint="cs"/>
          <w:rtl/>
        </w:rPr>
        <w:t xml:space="preserve"> מושגת אם ההשקעה בערכה המוחלט מהווה </w:t>
      </w:r>
      <w:r>
        <w:rPr>
          <w:rFonts w:hint="cs"/>
          <w:rtl/>
        </w:rPr>
        <w:t>20%</w:t>
      </w:r>
      <w:r w:rsidRPr="00EF29A4">
        <w:rPr>
          <w:rFonts w:hint="cs"/>
          <w:rtl/>
        </w:rPr>
        <w:t xml:space="preserve"> </w:t>
      </w:r>
      <w:r>
        <w:rPr>
          <w:rFonts w:hint="cs"/>
          <w:rtl/>
        </w:rPr>
        <w:t>או יותר</w:t>
      </w:r>
      <w:r w:rsidRPr="00EF29A4">
        <w:rPr>
          <w:rFonts w:hint="cs"/>
          <w:rtl/>
        </w:rPr>
        <w:t xml:space="preserve"> מנכסי התאגיד או שרווחי האקו</w:t>
      </w:r>
      <w:r>
        <w:rPr>
          <w:rFonts w:hint="cs"/>
          <w:rtl/>
        </w:rPr>
        <w:t>ו</w:t>
      </w:r>
      <w:r w:rsidRPr="00EF29A4">
        <w:rPr>
          <w:rFonts w:hint="cs"/>
          <w:rtl/>
        </w:rPr>
        <w:t xml:space="preserve">יטי בגינה מהווים בערכם המוחלט </w:t>
      </w:r>
      <w:r>
        <w:rPr>
          <w:rFonts w:hint="cs"/>
          <w:rtl/>
        </w:rPr>
        <w:t>20%</w:t>
      </w:r>
      <w:r w:rsidRPr="00EF29A4">
        <w:rPr>
          <w:rFonts w:hint="cs"/>
          <w:rtl/>
        </w:rPr>
        <w:t xml:space="preserve"> </w:t>
      </w:r>
      <w:r>
        <w:rPr>
          <w:rFonts w:hint="cs"/>
          <w:rtl/>
        </w:rPr>
        <w:t>או יותר מהרווח או ההפסד</w:t>
      </w:r>
      <w:r w:rsidRPr="00EF29A4">
        <w:rPr>
          <w:rFonts w:hint="cs"/>
          <w:rtl/>
        </w:rPr>
        <w:t xml:space="preserve"> </w:t>
      </w:r>
      <w:r>
        <w:rPr>
          <w:rFonts w:hint="cs"/>
          <w:rtl/>
        </w:rPr>
        <w:t xml:space="preserve">של </w:t>
      </w:r>
      <w:r w:rsidRPr="00EF29A4">
        <w:rPr>
          <w:rFonts w:hint="cs"/>
          <w:rtl/>
        </w:rPr>
        <w:t>התאגיד בערכו המוחלט</w:t>
      </w:r>
      <w:r>
        <w:rPr>
          <w:rFonts w:hint="cs"/>
          <w:rtl/>
        </w:rPr>
        <w:t xml:space="preserve">, </w:t>
      </w:r>
      <w:r w:rsidRPr="00D33F7C">
        <w:rPr>
          <w:rFonts w:hint="eastAsia"/>
          <w:rtl/>
        </w:rPr>
        <w:t>כהגדרתו</w:t>
      </w:r>
      <w:r w:rsidRPr="00D33F7C">
        <w:rPr>
          <w:rtl/>
        </w:rPr>
        <w:t xml:space="preserve"> </w:t>
      </w:r>
      <w:r w:rsidRPr="00D33F7C">
        <w:rPr>
          <w:rFonts w:hint="eastAsia"/>
          <w:rtl/>
        </w:rPr>
        <w:t>בתקנות</w:t>
      </w:r>
      <w:r>
        <w:rPr>
          <w:rFonts w:hint="cs"/>
          <w:b/>
          <w:bCs/>
          <w:rtl/>
        </w:rPr>
        <w:t xml:space="preserve">. </w:t>
      </w:r>
      <w:r w:rsidRPr="004C5CFF">
        <w:rPr>
          <w:rFonts w:hint="cs"/>
          <w:b/>
          <w:bCs/>
          <w:rtl/>
        </w:rPr>
        <w:t>לתאגיד קטן ישנן הקלות</w:t>
      </w:r>
      <w:r>
        <w:rPr>
          <w:rFonts w:hint="cs"/>
          <w:rtl/>
        </w:rPr>
        <w:t xml:space="preserve"> הקובעות כי </w:t>
      </w:r>
      <w:r w:rsidRPr="00D80628">
        <w:rPr>
          <w:rFonts w:hint="cs"/>
          <w:b/>
          <w:bCs/>
          <w:rtl/>
        </w:rPr>
        <w:t>צירוף דוחות כלולה ברבעונים</w:t>
      </w:r>
      <w:r>
        <w:rPr>
          <w:rFonts w:hint="cs"/>
          <w:rtl/>
        </w:rPr>
        <w:t xml:space="preserve"> יהיה על פי מבחן של 40% ולא 20%.</w:t>
      </w:r>
    </w:p>
  </w:footnote>
  <w:footnote w:id="120">
    <w:p w14:paraId="279FB58D" w14:textId="77777777" w:rsidR="001521F8" w:rsidRDefault="001521F8" w:rsidP="001A12F8">
      <w:pPr>
        <w:pStyle w:val="ac"/>
        <w:rPr>
          <w:rtl/>
        </w:rPr>
      </w:pPr>
      <w:r>
        <w:rPr>
          <w:rStyle w:val="ab"/>
        </w:rPr>
        <w:footnoteRef/>
      </w:r>
      <w:r>
        <w:rPr>
          <w:rtl/>
        </w:rPr>
        <w:t xml:space="preserve"> </w:t>
      </w:r>
      <w:r>
        <w:rPr>
          <w:rFonts w:hint="cs"/>
          <w:rtl/>
        </w:rPr>
        <w:tab/>
      </w:r>
      <w:r w:rsidRPr="000C4C0E">
        <w:rPr>
          <w:rFonts w:hint="eastAsia"/>
          <w:rtl/>
        </w:rPr>
        <w:t>יש</w:t>
      </w:r>
      <w:r w:rsidRPr="000C4C0E">
        <w:rPr>
          <w:rtl/>
        </w:rPr>
        <w:t xml:space="preserve"> </w:t>
      </w:r>
      <w:r w:rsidRPr="000C4C0E">
        <w:rPr>
          <w:rFonts w:hint="eastAsia"/>
          <w:rtl/>
        </w:rPr>
        <w:t>להתאים</w:t>
      </w:r>
      <w:r w:rsidRPr="000C4C0E">
        <w:rPr>
          <w:rtl/>
        </w:rPr>
        <w:t xml:space="preserve"> </w:t>
      </w:r>
      <w:r w:rsidRPr="000C4C0E">
        <w:rPr>
          <w:rFonts w:hint="eastAsia"/>
          <w:rtl/>
        </w:rPr>
        <w:t>את</w:t>
      </w:r>
      <w:r w:rsidRPr="000C4C0E">
        <w:rPr>
          <w:rtl/>
        </w:rPr>
        <w:t xml:space="preserve"> </w:t>
      </w:r>
      <w:r w:rsidRPr="000C4C0E">
        <w:rPr>
          <w:rFonts w:hint="eastAsia"/>
          <w:rtl/>
        </w:rPr>
        <w:t>המלל</w:t>
      </w:r>
      <w:r w:rsidRPr="000C4C0E">
        <w:rPr>
          <w:rtl/>
        </w:rPr>
        <w:t xml:space="preserve"> </w:t>
      </w:r>
      <w:r w:rsidRPr="000C4C0E">
        <w:rPr>
          <w:rFonts w:hint="eastAsia"/>
          <w:rtl/>
        </w:rPr>
        <w:t>למצב</w:t>
      </w:r>
      <w:r w:rsidRPr="000C4C0E">
        <w:rPr>
          <w:rtl/>
        </w:rPr>
        <w:t xml:space="preserve"> </w:t>
      </w:r>
      <w:r w:rsidRPr="000C4C0E">
        <w:rPr>
          <w:rFonts w:hint="eastAsia"/>
          <w:rtl/>
        </w:rPr>
        <w:t>בקבוצה</w:t>
      </w:r>
      <w:r w:rsidRPr="000C4C0E">
        <w:rPr>
          <w:rtl/>
        </w:rPr>
        <w:t>.</w:t>
      </w:r>
    </w:p>
  </w:footnote>
  <w:footnote w:id="121">
    <w:p w14:paraId="3504B744" w14:textId="77777777" w:rsidR="001521F8" w:rsidRPr="00EF29A4" w:rsidRDefault="001521F8" w:rsidP="001A12F8">
      <w:pPr>
        <w:pStyle w:val="ac"/>
        <w:rPr>
          <w:rtl/>
        </w:rPr>
      </w:pPr>
      <w:r w:rsidRPr="00EF29A4">
        <w:rPr>
          <w:rStyle w:val="ab"/>
          <w:rFonts w:cs="Narkisim"/>
          <w:b/>
          <w:bCs w:val="0"/>
        </w:rPr>
        <w:footnoteRef/>
      </w:r>
      <w:r w:rsidRPr="00EF29A4">
        <w:rPr>
          <w:rtl/>
        </w:rPr>
        <w:t xml:space="preserve"> </w:t>
      </w:r>
      <w:r w:rsidRPr="00EF29A4">
        <w:rPr>
          <w:rtl/>
        </w:rPr>
        <w:tab/>
      </w:r>
      <w:r w:rsidRPr="00EF29A4">
        <w:rPr>
          <w:rFonts w:hint="cs"/>
          <w:rtl/>
        </w:rPr>
        <w:t xml:space="preserve">בהתאם </w:t>
      </w:r>
      <w:r>
        <w:rPr>
          <w:rFonts w:hint="cs"/>
          <w:rtl/>
        </w:rPr>
        <w:t xml:space="preserve">לתקנה 44א </w:t>
      </w:r>
      <w:r w:rsidRPr="00EF29A4">
        <w:rPr>
          <w:rFonts w:hint="cs"/>
          <w:rtl/>
        </w:rPr>
        <w:t>לתקנות ניירות ערך</w:t>
      </w:r>
      <w:r>
        <w:rPr>
          <w:rFonts w:hint="cs"/>
          <w:rtl/>
        </w:rPr>
        <w:t xml:space="preserve"> (דוחות תקופתיים ומיידיים)</w:t>
      </w:r>
      <w:r w:rsidRPr="00EF29A4">
        <w:rPr>
          <w:rFonts w:hint="cs"/>
          <w:rtl/>
        </w:rPr>
        <w:t xml:space="preserve">, </w:t>
      </w:r>
      <w:r>
        <w:rPr>
          <w:rFonts w:hint="cs"/>
          <w:rtl/>
        </w:rPr>
        <w:t xml:space="preserve">יש לתת מידע פיננסי מתומצת לגבי כלולה לכל אחת מהתקופות הנכללות בדוחות הכספיים, וכן גילוי בדבר שינויים מהותיים שחלו במהות היחסים של התאגיד עם החברה הכלולה במהלך תקופת הדיווח, לפי עקרונות 12 </w:t>
      </w:r>
      <w:r>
        <w:t>IFRS</w:t>
      </w:r>
      <w:r>
        <w:rPr>
          <w:rFonts w:hint="cs"/>
          <w:rtl/>
        </w:rPr>
        <w:t>.</w:t>
      </w:r>
      <w:r w:rsidRPr="005B7B66">
        <w:rPr>
          <w:rFonts w:hint="cs"/>
          <w:rtl/>
        </w:rPr>
        <w:t xml:space="preserve"> בנוסף יש לתת גילוי בדבר שינויים מהותיים שחלו במהות היחסים של התאגיד עם החברה הכלולה במהלך תקופת הדיווח, וגילויים נוספים בדבר החברה הכלולה הנדרשים על פי 12 </w:t>
      </w:r>
      <w:r w:rsidRPr="005B7B66">
        <w:t>IFRS</w:t>
      </w:r>
      <w:r w:rsidRPr="005B7B66">
        <w:rPr>
          <w:rFonts w:hint="cs"/>
          <w:rtl/>
        </w:rPr>
        <w:t xml:space="preserve"> רק אם הם מהותיים על פי עקרונות 34 </w:t>
      </w:r>
      <w:r w:rsidRPr="005B7B66">
        <w:t>IAS</w:t>
      </w:r>
      <w:r w:rsidRPr="005B7B66">
        <w:rPr>
          <w:rFonts w:hint="cs"/>
          <w:rtl/>
        </w:rPr>
        <w:t>, לרבות</w:t>
      </w:r>
      <w:r w:rsidRPr="005B7B66">
        <w:t xml:space="preserve"> </w:t>
      </w:r>
      <w:r w:rsidRPr="005B7B66">
        <w:rPr>
          <w:rFonts w:hint="cs"/>
          <w:rtl/>
        </w:rPr>
        <w:t>בהיקף</w:t>
      </w:r>
      <w:r w:rsidRPr="005B7B66">
        <w:t xml:space="preserve"> </w:t>
      </w:r>
      <w:r w:rsidRPr="005B7B66">
        <w:rPr>
          <w:rFonts w:hint="cs"/>
          <w:rtl/>
        </w:rPr>
        <w:t>הלוואות</w:t>
      </w:r>
      <w:r w:rsidRPr="005B7B66">
        <w:t>/</w:t>
      </w:r>
      <w:r w:rsidRPr="005B7B66">
        <w:rPr>
          <w:rFonts w:hint="cs"/>
          <w:rtl/>
        </w:rPr>
        <w:t>ערבויות</w:t>
      </w:r>
      <w:r w:rsidRPr="005B7B66">
        <w:t xml:space="preserve"> </w:t>
      </w:r>
      <w:r w:rsidRPr="005B7B66">
        <w:rPr>
          <w:rFonts w:hint="cs"/>
          <w:rtl/>
        </w:rPr>
        <w:t>שניתנו</w:t>
      </w:r>
      <w:r w:rsidRPr="005B7B66">
        <w:t xml:space="preserve"> </w:t>
      </w:r>
      <w:r w:rsidRPr="005B7B66">
        <w:rPr>
          <w:rFonts w:hint="cs"/>
          <w:rtl/>
        </w:rPr>
        <w:t>לכלולה, בהרכב</w:t>
      </w:r>
      <w:r w:rsidRPr="005B7B66">
        <w:t xml:space="preserve"> </w:t>
      </w:r>
      <w:r w:rsidRPr="005B7B66">
        <w:rPr>
          <w:rFonts w:hint="cs"/>
          <w:rtl/>
        </w:rPr>
        <w:t>ההשקעה</w:t>
      </w:r>
      <w:r w:rsidRPr="005B7B66">
        <w:t xml:space="preserve"> </w:t>
      </w:r>
      <w:r w:rsidRPr="005B7B66">
        <w:rPr>
          <w:rFonts w:hint="cs"/>
          <w:rtl/>
        </w:rPr>
        <w:t>בכלולה (למשל</w:t>
      </w:r>
      <w:r w:rsidRPr="005B7B66">
        <w:t xml:space="preserve"> </w:t>
      </w:r>
      <w:r w:rsidRPr="005B7B66">
        <w:rPr>
          <w:rFonts w:hint="cs"/>
          <w:rtl/>
        </w:rPr>
        <w:t>מבחינת</w:t>
      </w:r>
      <w:r w:rsidRPr="005B7B66">
        <w:t xml:space="preserve"> </w:t>
      </w:r>
      <w:r w:rsidRPr="005B7B66">
        <w:rPr>
          <w:rFonts w:hint="cs"/>
          <w:rtl/>
        </w:rPr>
        <w:t>השקעה</w:t>
      </w:r>
      <w:r w:rsidRPr="005B7B66">
        <w:t xml:space="preserve"> </w:t>
      </w:r>
      <w:r w:rsidRPr="005B7B66">
        <w:rPr>
          <w:rFonts w:hint="cs"/>
          <w:rtl/>
        </w:rPr>
        <w:t>במכשירים</w:t>
      </w:r>
      <w:r w:rsidRPr="005B7B66">
        <w:t xml:space="preserve"> </w:t>
      </w:r>
      <w:r w:rsidRPr="005B7B66">
        <w:rPr>
          <w:rFonts w:hint="cs"/>
          <w:rtl/>
        </w:rPr>
        <w:t>שונים</w:t>
      </w:r>
      <w:r w:rsidRPr="005B7B66">
        <w:t xml:space="preserve"> </w:t>
      </w:r>
      <w:r w:rsidRPr="005B7B66">
        <w:rPr>
          <w:rFonts w:hint="cs"/>
          <w:rtl/>
        </w:rPr>
        <w:t>של</w:t>
      </w:r>
      <w:r w:rsidRPr="005B7B66">
        <w:t xml:space="preserve"> </w:t>
      </w:r>
      <w:r w:rsidRPr="005B7B66">
        <w:rPr>
          <w:rFonts w:hint="cs"/>
          <w:rtl/>
        </w:rPr>
        <w:t>הכלולה), לדיבידנדים</w:t>
      </w:r>
      <w:r w:rsidRPr="005B7B66">
        <w:t xml:space="preserve"> </w:t>
      </w:r>
      <w:r w:rsidRPr="005B7B66">
        <w:rPr>
          <w:rFonts w:hint="cs"/>
          <w:rtl/>
        </w:rPr>
        <w:t>מהותיים</w:t>
      </w:r>
      <w:r w:rsidRPr="005B7B66">
        <w:t xml:space="preserve"> </w:t>
      </w:r>
      <w:r w:rsidRPr="005B7B66">
        <w:rPr>
          <w:rFonts w:hint="cs"/>
          <w:rtl/>
        </w:rPr>
        <w:t>שהתקבלו</w:t>
      </w:r>
      <w:r w:rsidRPr="005B7B66">
        <w:t xml:space="preserve"> </w:t>
      </w:r>
      <w:r w:rsidRPr="005B7B66">
        <w:rPr>
          <w:rFonts w:hint="cs"/>
          <w:rtl/>
        </w:rPr>
        <w:t xml:space="preserve">מהכלולה וכו'. </w:t>
      </w:r>
      <w:r w:rsidRPr="005B7B66">
        <w:rPr>
          <w:rFonts w:hint="cs"/>
          <w:b/>
          <w:bCs/>
          <w:rtl/>
        </w:rPr>
        <w:t>יש</w:t>
      </w:r>
      <w:r w:rsidRPr="005B7B66">
        <w:rPr>
          <w:b/>
          <w:bCs/>
        </w:rPr>
        <w:t xml:space="preserve"> </w:t>
      </w:r>
      <w:r w:rsidRPr="005B7B66">
        <w:rPr>
          <w:rFonts w:hint="cs"/>
          <w:b/>
          <w:bCs/>
          <w:rtl/>
        </w:rPr>
        <w:t>לשים</w:t>
      </w:r>
      <w:r w:rsidRPr="005B7B66">
        <w:rPr>
          <w:b/>
          <w:bCs/>
        </w:rPr>
        <w:t xml:space="preserve"> </w:t>
      </w:r>
      <w:r w:rsidRPr="005B7B66">
        <w:rPr>
          <w:rFonts w:hint="cs"/>
          <w:b/>
          <w:bCs/>
          <w:rtl/>
        </w:rPr>
        <w:t>לב</w:t>
      </w:r>
      <w:r w:rsidRPr="005B7B66">
        <w:rPr>
          <w:b/>
          <w:bCs/>
        </w:rPr>
        <w:t xml:space="preserve"> </w:t>
      </w:r>
      <w:r w:rsidRPr="005B7B66">
        <w:rPr>
          <w:rFonts w:hint="cs"/>
          <w:b/>
          <w:bCs/>
          <w:rtl/>
        </w:rPr>
        <w:t>כי</w:t>
      </w:r>
      <w:r w:rsidRPr="005B7B66">
        <w:rPr>
          <w:b/>
          <w:bCs/>
        </w:rPr>
        <w:t xml:space="preserve"> </w:t>
      </w:r>
      <w:r w:rsidRPr="005B7B66">
        <w:rPr>
          <w:rFonts w:hint="cs"/>
          <w:b/>
          <w:bCs/>
          <w:rtl/>
        </w:rPr>
        <w:t>גם</w:t>
      </w:r>
      <w:r w:rsidRPr="005B7B66">
        <w:rPr>
          <w:b/>
          <w:bCs/>
        </w:rPr>
        <w:t xml:space="preserve"> </w:t>
      </w:r>
      <w:r w:rsidRPr="005B7B66">
        <w:rPr>
          <w:rFonts w:hint="cs"/>
          <w:b/>
          <w:bCs/>
          <w:rtl/>
        </w:rPr>
        <w:t>כשמדובר</w:t>
      </w:r>
      <w:r w:rsidRPr="005B7B66">
        <w:rPr>
          <w:b/>
          <w:bCs/>
        </w:rPr>
        <w:t xml:space="preserve"> </w:t>
      </w:r>
      <w:r w:rsidRPr="005B7B66">
        <w:rPr>
          <w:rFonts w:hint="cs"/>
          <w:b/>
          <w:bCs/>
          <w:rtl/>
        </w:rPr>
        <w:t>בכלולה</w:t>
      </w:r>
      <w:r w:rsidRPr="005B7B66">
        <w:rPr>
          <w:b/>
          <w:bCs/>
        </w:rPr>
        <w:t xml:space="preserve"> </w:t>
      </w:r>
      <w:r w:rsidRPr="005B7B66">
        <w:rPr>
          <w:rFonts w:hint="cs"/>
          <w:b/>
          <w:bCs/>
          <w:rtl/>
        </w:rPr>
        <w:t>מצורפת</w:t>
      </w:r>
      <w:r w:rsidRPr="005B7B66">
        <w:rPr>
          <w:b/>
          <w:bCs/>
        </w:rPr>
        <w:t xml:space="preserve"> </w:t>
      </w:r>
      <w:r w:rsidRPr="005B7B66">
        <w:rPr>
          <w:rFonts w:hint="cs"/>
          <w:b/>
          <w:bCs/>
          <w:rtl/>
        </w:rPr>
        <w:t>או</w:t>
      </w:r>
      <w:r w:rsidRPr="005B7B66">
        <w:rPr>
          <w:b/>
          <w:bCs/>
        </w:rPr>
        <w:t xml:space="preserve"> </w:t>
      </w:r>
      <w:r w:rsidRPr="005B7B66">
        <w:rPr>
          <w:rFonts w:hint="cs"/>
          <w:b/>
          <w:bCs/>
          <w:rtl/>
        </w:rPr>
        <w:t>בכלולה</w:t>
      </w:r>
      <w:r w:rsidRPr="005B7B66">
        <w:rPr>
          <w:b/>
          <w:bCs/>
        </w:rPr>
        <w:t xml:space="preserve"> </w:t>
      </w:r>
      <w:r w:rsidRPr="005B7B66">
        <w:rPr>
          <w:rFonts w:hint="cs"/>
          <w:b/>
          <w:bCs/>
          <w:rtl/>
        </w:rPr>
        <w:t>נסחרת</w:t>
      </w:r>
      <w:r w:rsidRPr="005B7B66">
        <w:rPr>
          <w:b/>
          <w:bCs/>
        </w:rPr>
        <w:t xml:space="preserve"> </w:t>
      </w:r>
      <w:r w:rsidRPr="005B7B66">
        <w:rPr>
          <w:rFonts w:hint="cs"/>
          <w:b/>
          <w:bCs/>
          <w:rtl/>
        </w:rPr>
        <w:t>שנתוניה</w:t>
      </w:r>
      <w:r w:rsidRPr="005B7B66">
        <w:rPr>
          <w:b/>
          <w:bCs/>
        </w:rPr>
        <w:t xml:space="preserve"> </w:t>
      </w:r>
      <w:r w:rsidRPr="005B7B66">
        <w:rPr>
          <w:rFonts w:hint="cs"/>
          <w:b/>
          <w:bCs/>
          <w:rtl/>
        </w:rPr>
        <w:t>מתפרסמים</w:t>
      </w:r>
      <w:r w:rsidRPr="005B7B66">
        <w:rPr>
          <w:b/>
          <w:bCs/>
        </w:rPr>
        <w:t xml:space="preserve"> </w:t>
      </w:r>
      <w:r w:rsidRPr="005B7B66">
        <w:rPr>
          <w:rFonts w:hint="cs"/>
          <w:b/>
          <w:bCs/>
          <w:rtl/>
        </w:rPr>
        <w:t>בציבור</w:t>
      </w:r>
      <w:r w:rsidRPr="005B7B66">
        <w:rPr>
          <w:b/>
          <w:bCs/>
        </w:rPr>
        <w:t xml:space="preserve"> - </w:t>
      </w:r>
      <w:r w:rsidRPr="005B7B66">
        <w:rPr>
          <w:rFonts w:hint="cs"/>
          <w:b/>
          <w:bCs/>
          <w:rtl/>
        </w:rPr>
        <w:t>אין</w:t>
      </w:r>
      <w:r w:rsidRPr="005B7B66">
        <w:rPr>
          <w:b/>
          <w:bCs/>
        </w:rPr>
        <w:t xml:space="preserve"> </w:t>
      </w:r>
      <w:r w:rsidRPr="005B7B66">
        <w:rPr>
          <w:rFonts w:hint="cs"/>
          <w:b/>
          <w:bCs/>
          <w:rtl/>
        </w:rPr>
        <w:t>פטור</w:t>
      </w:r>
      <w:r w:rsidRPr="005B7B66">
        <w:rPr>
          <w:b/>
          <w:bCs/>
        </w:rPr>
        <w:t xml:space="preserve"> </w:t>
      </w:r>
      <w:r w:rsidRPr="005B7B66">
        <w:rPr>
          <w:rFonts w:hint="cs"/>
          <w:b/>
          <w:bCs/>
          <w:rtl/>
        </w:rPr>
        <w:t>ממתן</w:t>
      </w:r>
      <w:r w:rsidRPr="005B7B66">
        <w:rPr>
          <w:b/>
          <w:bCs/>
        </w:rPr>
        <w:t xml:space="preserve"> </w:t>
      </w:r>
      <w:r w:rsidRPr="005B7B66">
        <w:rPr>
          <w:rFonts w:hint="cs"/>
          <w:b/>
          <w:bCs/>
          <w:rtl/>
        </w:rPr>
        <w:t>מידע</w:t>
      </w:r>
      <w:r w:rsidRPr="005B7B66">
        <w:rPr>
          <w:b/>
          <w:bCs/>
        </w:rPr>
        <w:t xml:space="preserve"> </w:t>
      </w:r>
      <w:r w:rsidRPr="005B7B66">
        <w:rPr>
          <w:rFonts w:hint="cs"/>
          <w:b/>
          <w:bCs/>
          <w:rtl/>
        </w:rPr>
        <w:t>תמציתי</w:t>
      </w:r>
      <w:r w:rsidRPr="005B7B66">
        <w:rPr>
          <w:b/>
          <w:bCs/>
        </w:rPr>
        <w:t xml:space="preserve"> </w:t>
      </w:r>
      <w:r w:rsidRPr="005B7B66">
        <w:rPr>
          <w:rFonts w:hint="cs"/>
          <w:b/>
          <w:bCs/>
          <w:rtl/>
        </w:rPr>
        <w:t>כאמור</w:t>
      </w:r>
      <w:r w:rsidRPr="005B7B66">
        <w:rPr>
          <w:b/>
          <w:bCs/>
        </w:rPr>
        <w:t>.</w:t>
      </w:r>
    </w:p>
  </w:footnote>
  <w:footnote w:id="122">
    <w:p w14:paraId="10F78BC4" w14:textId="77777777" w:rsidR="001521F8" w:rsidRDefault="001521F8" w:rsidP="001A12F8">
      <w:pPr>
        <w:pStyle w:val="ac"/>
      </w:pPr>
      <w:r>
        <w:rPr>
          <w:rStyle w:val="ab"/>
        </w:rPr>
        <w:footnoteRef/>
      </w:r>
      <w:r>
        <w:rPr>
          <w:rtl/>
        </w:rPr>
        <w:t xml:space="preserve"> </w:t>
      </w:r>
      <w:r>
        <w:rPr>
          <w:rFonts w:hint="cs"/>
          <w:rtl/>
        </w:rPr>
        <w:tab/>
      </w:r>
      <w:r w:rsidRPr="00A930B1">
        <w:rPr>
          <w:rFonts w:hint="cs"/>
          <w:rtl/>
        </w:rPr>
        <w:t>יש להתאים את המלל למצב בקבוצה.</w:t>
      </w:r>
    </w:p>
  </w:footnote>
  <w:footnote w:id="123">
    <w:p w14:paraId="03B98C70" w14:textId="77777777" w:rsidR="001521F8" w:rsidRDefault="001521F8" w:rsidP="00F06854">
      <w:pPr>
        <w:pStyle w:val="ac"/>
        <w:rPr>
          <w:rtl/>
        </w:rPr>
      </w:pPr>
      <w:r w:rsidRPr="00F02394">
        <w:rPr>
          <w:rStyle w:val="ab"/>
          <w:rFonts w:cs="Narkisim"/>
        </w:rPr>
        <w:footnoteRef/>
      </w:r>
      <w:r>
        <w:rPr>
          <w:rFonts w:hint="cs"/>
          <w:rtl/>
        </w:rPr>
        <w:t xml:space="preserve"> </w:t>
      </w:r>
      <w:r>
        <w:rPr>
          <w:rFonts w:hint="cs"/>
          <w:rtl/>
        </w:rPr>
        <w:tab/>
      </w:r>
      <w:r w:rsidRPr="00276F4A">
        <w:rPr>
          <w:rFonts w:hint="cs"/>
          <w:rtl/>
        </w:rPr>
        <w:t>נדרש בהתאם</w:t>
      </w:r>
      <w:r>
        <w:rPr>
          <w:rFonts w:hint="cs"/>
          <w:rtl/>
        </w:rPr>
        <w:t xml:space="preserve"> לתקנה 44</w:t>
      </w:r>
      <w:r w:rsidRPr="00276F4A">
        <w:rPr>
          <w:rFonts w:hint="cs"/>
          <w:rtl/>
        </w:rPr>
        <w:t xml:space="preserve"> לתקנות ניירות ערך</w:t>
      </w:r>
      <w:r>
        <w:rPr>
          <w:rFonts w:hint="cs"/>
          <w:rtl/>
        </w:rPr>
        <w:t xml:space="preserve"> (דוחות תקופתיים ומיידיים)</w:t>
      </w:r>
      <w:r w:rsidRPr="00276F4A">
        <w:rPr>
          <w:rFonts w:hint="cs"/>
          <w:rtl/>
        </w:rPr>
        <w:t>.</w:t>
      </w:r>
    </w:p>
  </w:footnote>
  <w:footnote w:id="124">
    <w:p w14:paraId="004D5AF1" w14:textId="77777777" w:rsidR="001521F8" w:rsidRPr="00AA1373" w:rsidRDefault="001521F8" w:rsidP="00F06854">
      <w:pPr>
        <w:pStyle w:val="ac"/>
      </w:pPr>
      <w:r w:rsidRPr="00EF29A4">
        <w:rPr>
          <w:rStyle w:val="ab"/>
          <w:rFonts w:cs="Narkisim"/>
          <w:b/>
          <w:bCs w:val="0"/>
        </w:rPr>
        <w:footnoteRef/>
      </w:r>
      <w:r w:rsidRPr="00EF29A4">
        <w:rPr>
          <w:rtl/>
        </w:rPr>
        <w:t xml:space="preserve"> </w:t>
      </w:r>
      <w:r w:rsidRPr="00EF29A4">
        <w:rPr>
          <w:rtl/>
        </w:rPr>
        <w:tab/>
      </w:r>
      <w:r w:rsidRPr="00EF29A4">
        <w:rPr>
          <w:rFonts w:hint="cs"/>
          <w:rtl/>
        </w:rPr>
        <w:t xml:space="preserve">בהתאם </w:t>
      </w:r>
      <w:r>
        <w:rPr>
          <w:rFonts w:hint="cs"/>
          <w:rtl/>
        </w:rPr>
        <w:t xml:space="preserve">לתקנה 44א </w:t>
      </w:r>
      <w:r w:rsidRPr="00EF29A4">
        <w:rPr>
          <w:rFonts w:hint="cs"/>
          <w:rtl/>
        </w:rPr>
        <w:t>לתקנות ניירות ערך</w:t>
      </w:r>
      <w:r>
        <w:rPr>
          <w:rFonts w:hint="cs"/>
          <w:rtl/>
        </w:rPr>
        <w:t xml:space="preserve"> (דוחות תקופתיים ומיידיים)</w:t>
      </w:r>
      <w:r w:rsidRPr="00EF29A4">
        <w:rPr>
          <w:rFonts w:hint="cs"/>
          <w:rtl/>
        </w:rPr>
        <w:t xml:space="preserve">, </w:t>
      </w:r>
      <w:r>
        <w:rPr>
          <w:rFonts w:hint="cs"/>
          <w:rtl/>
        </w:rPr>
        <w:t xml:space="preserve">יש לתת מידע פיננסי מתומצת לגבי כלולה לכל אחת מהתקופות הנכללות בדוחות הכספיים, וכן גילוי בדבר שינויים מהותיים שחלו במהות היחסים של התאגיד עם החברה הכלולה במהלך תקופת הדיווח, לפי עקרונות 12 </w:t>
      </w:r>
      <w:r>
        <w:t>IFRS</w:t>
      </w:r>
      <w:r>
        <w:rPr>
          <w:rFonts w:hint="cs"/>
          <w:rtl/>
        </w:rPr>
        <w:t>.</w:t>
      </w:r>
      <w:r w:rsidRPr="005B7B66">
        <w:rPr>
          <w:rFonts w:hint="cs"/>
          <w:rtl/>
        </w:rPr>
        <w:t xml:space="preserve"> בנוסף יש לתת גילוי בדבר שינויים מהותיים שחלו במהות היחסים של התאגיד עם החברה הכלולה במהלך תקופת הדיווח, וגילויים נוספים בדבר החברה הכלולה הנדרשים על פי 12 </w:t>
      </w:r>
      <w:r w:rsidRPr="005B7B66">
        <w:t>IFRS</w:t>
      </w:r>
      <w:r w:rsidRPr="005B7B66">
        <w:rPr>
          <w:rFonts w:hint="cs"/>
          <w:rtl/>
        </w:rPr>
        <w:t xml:space="preserve"> רק אם הם מהותיים על פי עקרונות 34 </w:t>
      </w:r>
      <w:r w:rsidRPr="005B7B66">
        <w:t>IAS</w:t>
      </w:r>
      <w:r w:rsidRPr="005B7B66">
        <w:rPr>
          <w:rFonts w:hint="cs"/>
          <w:rtl/>
        </w:rPr>
        <w:t>, לרבות</w:t>
      </w:r>
      <w:r w:rsidRPr="005B7B66">
        <w:t xml:space="preserve"> </w:t>
      </w:r>
      <w:r w:rsidRPr="005B7B66">
        <w:rPr>
          <w:rFonts w:hint="cs"/>
          <w:rtl/>
        </w:rPr>
        <w:t>בהיקף</w:t>
      </w:r>
      <w:r w:rsidRPr="005B7B66">
        <w:t xml:space="preserve"> </w:t>
      </w:r>
      <w:r w:rsidRPr="005B7B66">
        <w:rPr>
          <w:rFonts w:hint="cs"/>
          <w:rtl/>
        </w:rPr>
        <w:t>הלוואות</w:t>
      </w:r>
      <w:r w:rsidRPr="005B7B66">
        <w:t>/</w:t>
      </w:r>
      <w:r w:rsidRPr="005B7B66">
        <w:rPr>
          <w:rFonts w:hint="cs"/>
          <w:rtl/>
        </w:rPr>
        <w:t>ערבויות</w:t>
      </w:r>
      <w:r w:rsidRPr="005B7B66">
        <w:t xml:space="preserve"> </w:t>
      </w:r>
      <w:r w:rsidRPr="005B7B66">
        <w:rPr>
          <w:rFonts w:hint="cs"/>
          <w:rtl/>
        </w:rPr>
        <w:t>שניתנו</w:t>
      </w:r>
      <w:r w:rsidRPr="005B7B66">
        <w:t xml:space="preserve"> </w:t>
      </w:r>
      <w:r w:rsidRPr="005B7B66">
        <w:rPr>
          <w:rFonts w:hint="cs"/>
          <w:rtl/>
        </w:rPr>
        <w:t>לכלולה, בהרכב</w:t>
      </w:r>
      <w:r w:rsidRPr="005B7B66">
        <w:t xml:space="preserve"> </w:t>
      </w:r>
      <w:r w:rsidRPr="005B7B66">
        <w:rPr>
          <w:rFonts w:hint="cs"/>
          <w:rtl/>
        </w:rPr>
        <w:t>ההשקעה</w:t>
      </w:r>
      <w:r w:rsidRPr="005B7B66">
        <w:t xml:space="preserve"> </w:t>
      </w:r>
      <w:r w:rsidRPr="005B7B66">
        <w:rPr>
          <w:rFonts w:hint="cs"/>
          <w:rtl/>
        </w:rPr>
        <w:t>בכלולה (למשל</w:t>
      </w:r>
      <w:r w:rsidRPr="005B7B66">
        <w:t xml:space="preserve"> </w:t>
      </w:r>
      <w:r w:rsidRPr="005B7B66">
        <w:rPr>
          <w:rFonts w:hint="cs"/>
          <w:rtl/>
        </w:rPr>
        <w:t>מבחינת</w:t>
      </w:r>
      <w:r w:rsidRPr="005B7B66">
        <w:t xml:space="preserve"> </w:t>
      </w:r>
      <w:r w:rsidRPr="005B7B66">
        <w:rPr>
          <w:rFonts w:hint="cs"/>
          <w:rtl/>
        </w:rPr>
        <w:t>השקעה</w:t>
      </w:r>
      <w:r w:rsidRPr="005B7B66">
        <w:t xml:space="preserve"> </w:t>
      </w:r>
      <w:r w:rsidRPr="005B7B66">
        <w:rPr>
          <w:rFonts w:hint="cs"/>
          <w:rtl/>
        </w:rPr>
        <w:t>במכשירים</w:t>
      </w:r>
      <w:r w:rsidRPr="005B7B66">
        <w:t xml:space="preserve"> </w:t>
      </w:r>
      <w:r w:rsidRPr="005B7B66">
        <w:rPr>
          <w:rFonts w:hint="cs"/>
          <w:rtl/>
        </w:rPr>
        <w:t>שונים</w:t>
      </w:r>
      <w:r w:rsidRPr="005B7B66">
        <w:t xml:space="preserve"> </w:t>
      </w:r>
      <w:r w:rsidRPr="005B7B66">
        <w:rPr>
          <w:rFonts w:hint="cs"/>
          <w:rtl/>
        </w:rPr>
        <w:t>של</w:t>
      </w:r>
      <w:r w:rsidRPr="005B7B66">
        <w:t xml:space="preserve"> </w:t>
      </w:r>
      <w:r w:rsidRPr="005B7B66">
        <w:rPr>
          <w:rFonts w:hint="cs"/>
          <w:rtl/>
        </w:rPr>
        <w:t>הכלולה), לדיבידנדים</w:t>
      </w:r>
      <w:r w:rsidRPr="005B7B66">
        <w:t xml:space="preserve"> </w:t>
      </w:r>
      <w:r w:rsidRPr="005B7B66">
        <w:rPr>
          <w:rFonts w:hint="cs"/>
          <w:rtl/>
        </w:rPr>
        <w:t>מהותיים</w:t>
      </w:r>
      <w:r w:rsidRPr="005B7B66">
        <w:t xml:space="preserve"> </w:t>
      </w:r>
      <w:r w:rsidRPr="005B7B66">
        <w:rPr>
          <w:rFonts w:hint="cs"/>
          <w:rtl/>
        </w:rPr>
        <w:t>שהתקבלו</w:t>
      </w:r>
      <w:r w:rsidRPr="005B7B66">
        <w:t xml:space="preserve"> </w:t>
      </w:r>
      <w:r w:rsidRPr="005B7B66">
        <w:rPr>
          <w:rFonts w:hint="cs"/>
          <w:rtl/>
        </w:rPr>
        <w:t xml:space="preserve">מהכלולה וכו'. </w:t>
      </w:r>
      <w:r w:rsidRPr="005B7B66">
        <w:rPr>
          <w:rFonts w:hint="cs"/>
          <w:b/>
          <w:bCs/>
          <w:rtl/>
        </w:rPr>
        <w:t>יש</w:t>
      </w:r>
      <w:r w:rsidRPr="005B7B66">
        <w:rPr>
          <w:b/>
          <w:bCs/>
        </w:rPr>
        <w:t xml:space="preserve"> </w:t>
      </w:r>
      <w:r w:rsidRPr="005B7B66">
        <w:rPr>
          <w:rFonts w:hint="cs"/>
          <w:b/>
          <w:bCs/>
          <w:rtl/>
        </w:rPr>
        <w:t>לשים</w:t>
      </w:r>
      <w:r w:rsidRPr="005B7B66">
        <w:rPr>
          <w:b/>
          <w:bCs/>
        </w:rPr>
        <w:t xml:space="preserve"> </w:t>
      </w:r>
      <w:r w:rsidRPr="005B7B66">
        <w:rPr>
          <w:rFonts w:hint="cs"/>
          <w:b/>
          <w:bCs/>
          <w:rtl/>
        </w:rPr>
        <w:t>לב</w:t>
      </w:r>
      <w:r w:rsidRPr="005B7B66">
        <w:rPr>
          <w:b/>
          <w:bCs/>
        </w:rPr>
        <w:t xml:space="preserve"> </w:t>
      </w:r>
      <w:r w:rsidRPr="005B7B66">
        <w:rPr>
          <w:rFonts w:hint="cs"/>
          <w:b/>
          <w:bCs/>
          <w:rtl/>
        </w:rPr>
        <w:t>כי</w:t>
      </w:r>
      <w:r w:rsidRPr="005B7B66">
        <w:rPr>
          <w:b/>
          <w:bCs/>
        </w:rPr>
        <w:t xml:space="preserve"> </w:t>
      </w:r>
      <w:r w:rsidRPr="005B7B66">
        <w:rPr>
          <w:rFonts w:hint="cs"/>
          <w:b/>
          <w:bCs/>
          <w:rtl/>
        </w:rPr>
        <w:t>גם</w:t>
      </w:r>
      <w:r w:rsidRPr="005B7B66">
        <w:rPr>
          <w:b/>
          <w:bCs/>
        </w:rPr>
        <w:t xml:space="preserve"> </w:t>
      </w:r>
      <w:r w:rsidRPr="005B7B66">
        <w:rPr>
          <w:rFonts w:hint="cs"/>
          <w:b/>
          <w:bCs/>
          <w:rtl/>
        </w:rPr>
        <w:t>כשמדובר</w:t>
      </w:r>
      <w:r w:rsidRPr="005B7B66">
        <w:rPr>
          <w:b/>
          <w:bCs/>
        </w:rPr>
        <w:t xml:space="preserve"> </w:t>
      </w:r>
      <w:r w:rsidRPr="005B7B66">
        <w:rPr>
          <w:rFonts w:hint="cs"/>
          <w:b/>
          <w:bCs/>
          <w:rtl/>
        </w:rPr>
        <w:t>בכלולה</w:t>
      </w:r>
      <w:r w:rsidRPr="005B7B66">
        <w:rPr>
          <w:b/>
          <w:bCs/>
        </w:rPr>
        <w:t xml:space="preserve"> </w:t>
      </w:r>
      <w:r w:rsidRPr="005B7B66">
        <w:rPr>
          <w:rFonts w:hint="cs"/>
          <w:b/>
          <w:bCs/>
          <w:rtl/>
        </w:rPr>
        <w:t>מצורפת</w:t>
      </w:r>
      <w:r w:rsidRPr="005B7B66">
        <w:rPr>
          <w:b/>
          <w:bCs/>
        </w:rPr>
        <w:t xml:space="preserve"> </w:t>
      </w:r>
      <w:r w:rsidRPr="005B7B66">
        <w:rPr>
          <w:rFonts w:hint="cs"/>
          <w:b/>
          <w:bCs/>
          <w:rtl/>
        </w:rPr>
        <w:t>או</w:t>
      </w:r>
      <w:r w:rsidRPr="005B7B66">
        <w:rPr>
          <w:b/>
          <w:bCs/>
        </w:rPr>
        <w:t xml:space="preserve"> </w:t>
      </w:r>
      <w:r w:rsidRPr="005B7B66">
        <w:rPr>
          <w:rFonts w:hint="cs"/>
          <w:b/>
          <w:bCs/>
          <w:rtl/>
        </w:rPr>
        <w:t>בכלולה</w:t>
      </w:r>
      <w:r w:rsidRPr="005B7B66">
        <w:rPr>
          <w:b/>
          <w:bCs/>
        </w:rPr>
        <w:t xml:space="preserve"> </w:t>
      </w:r>
      <w:r w:rsidRPr="005B7B66">
        <w:rPr>
          <w:rFonts w:hint="cs"/>
          <w:b/>
          <w:bCs/>
          <w:rtl/>
        </w:rPr>
        <w:t>נסחרת</w:t>
      </w:r>
      <w:r w:rsidRPr="005B7B66">
        <w:rPr>
          <w:b/>
          <w:bCs/>
        </w:rPr>
        <w:t xml:space="preserve"> </w:t>
      </w:r>
      <w:r w:rsidRPr="005B7B66">
        <w:rPr>
          <w:rFonts w:hint="cs"/>
          <w:b/>
          <w:bCs/>
          <w:rtl/>
        </w:rPr>
        <w:t>שנתוניה</w:t>
      </w:r>
      <w:r w:rsidRPr="005B7B66">
        <w:rPr>
          <w:b/>
          <w:bCs/>
        </w:rPr>
        <w:t xml:space="preserve"> </w:t>
      </w:r>
      <w:r w:rsidRPr="005B7B66">
        <w:rPr>
          <w:rFonts w:hint="cs"/>
          <w:b/>
          <w:bCs/>
          <w:rtl/>
        </w:rPr>
        <w:t>מתפרסמים</w:t>
      </w:r>
      <w:r w:rsidRPr="005B7B66">
        <w:rPr>
          <w:b/>
          <w:bCs/>
        </w:rPr>
        <w:t xml:space="preserve"> </w:t>
      </w:r>
      <w:r w:rsidRPr="005B7B66">
        <w:rPr>
          <w:rFonts w:hint="cs"/>
          <w:b/>
          <w:bCs/>
          <w:rtl/>
        </w:rPr>
        <w:t>בציבור</w:t>
      </w:r>
      <w:r w:rsidRPr="005B7B66">
        <w:rPr>
          <w:b/>
          <w:bCs/>
        </w:rPr>
        <w:t xml:space="preserve"> - </w:t>
      </w:r>
      <w:r w:rsidRPr="005B7B66">
        <w:rPr>
          <w:rFonts w:hint="cs"/>
          <w:b/>
          <w:bCs/>
          <w:rtl/>
        </w:rPr>
        <w:t>אין</w:t>
      </w:r>
      <w:r w:rsidRPr="005B7B66">
        <w:rPr>
          <w:b/>
          <w:bCs/>
        </w:rPr>
        <w:t xml:space="preserve"> </w:t>
      </w:r>
      <w:r w:rsidRPr="005B7B66">
        <w:rPr>
          <w:rFonts w:hint="cs"/>
          <w:b/>
          <w:bCs/>
          <w:rtl/>
        </w:rPr>
        <w:t>פטור</w:t>
      </w:r>
      <w:r w:rsidRPr="005B7B66">
        <w:rPr>
          <w:b/>
          <w:bCs/>
        </w:rPr>
        <w:t xml:space="preserve"> </w:t>
      </w:r>
      <w:r w:rsidRPr="005B7B66">
        <w:rPr>
          <w:rFonts w:hint="cs"/>
          <w:b/>
          <w:bCs/>
          <w:rtl/>
        </w:rPr>
        <w:t>ממתן</w:t>
      </w:r>
      <w:r w:rsidRPr="005B7B66">
        <w:rPr>
          <w:b/>
          <w:bCs/>
        </w:rPr>
        <w:t xml:space="preserve"> </w:t>
      </w:r>
      <w:r w:rsidRPr="005B7B66">
        <w:rPr>
          <w:rFonts w:hint="cs"/>
          <w:b/>
          <w:bCs/>
          <w:rtl/>
        </w:rPr>
        <w:t>מידע</w:t>
      </w:r>
      <w:r w:rsidRPr="005B7B66">
        <w:rPr>
          <w:b/>
          <w:bCs/>
        </w:rPr>
        <w:t xml:space="preserve"> </w:t>
      </w:r>
      <w:r w:rsidRPr="005B7B66">
        <w:rPr>
          <w:rFonts w:hint="cs"/>
          <w:b/>
          <w:bCs/>
          <w:rtl/>
        </w:rPr>
        <w:t>תמציתי</w:t>
      </w:r>
      <w:r w:rsidRPr="005B7B66">
        <w:rPr>
          <w:b/>
          <w:bCs/>
        </w:rPr>
        <w:t xml:space="preserve"> </w:t>
      </w:r>
      <w:r w:rsidRPr="005B7B66">
        <w:rPr>
          <w:rFonts w:hint="cs"/>
          <w:b/>
          <w:bCs/>
          <w:rtl/>
        </w:rPr>
        <w:t>כאמור</w:t>
      </w:r>
      <w:r w:rsidRPr="005B7B66">
        <w:rPr>
          <w:b/>
          <w:bCs/>
        </w:rPr>
        <w:t>.</w:t>
      </w:r>
    </w:p>
  </w:footnote>
  <w:footnote w:id="125">
    <w:p w14:paraId="32A67025" w14:textId="77777777" w:rsidR="001521F8" w:rsidRPr="00D33F7C" w:rsidRDefault="001521F8" w:rsidP="00F06854">
      <w:pPr>
        <w:pStyle w:val="ac"/>
        <w:rPr>
          <w:rtl/>
        </w:rPr>
      </w:pPr>
      <w:r>
        <w:rPr>
          <w:rStyle w:val="ab"/>
        </w:rPr>
        <w:footnoteRef/>
      </w:r>
      <w:r>
        <w:rPr>
          <w:rtl/>
        </w:rPr>
        <w:t xml:space="preserve"> </w:t>
      </w:r>
      <w:r>
        <w:rPr>
          <w:rFonts w:hint="cs"/>
          <w:rtl/>
        </w:rPr>
        <w:tab/>
      </w:r>
      <w:r w:rsidRPr="00D33F7C">
        <w:rPr>
          <w:rtl/>
        </w:rPr>
        <w:t xml:space="preserve">יש לפרט </w:t>
      </w:r>
      <w:r w:rsidRPr="00D33F7C">
        <w:rPr>
          <w:rFonts w:hint="eastAsia"/>
          <w:rtl/>
        </w:rPr>
        <w:t>בבאור</w:t>
      </w:r>
      <w:r w:rsidRPr="00D33F7C">
        <w:rPr>
          <w:rtl/>
        </w:rPr>
        <w:t xml:space="preserve"> זה שינויים מהותיים שחלו, רק אם החברה ביצעה </w:t>
      </w:r>
      <w:r>
        <w:rPr>
          <w:rFonts w:hint="cs"/>
          <w:rtl/>
        </w:rPr>
        <w:t>בתקופה המדווחת</w:t>
      </w:r>
      <w:r w:rsidRPr="00D33F7C">
        <w:rPr>
          <w:rtl/>
        </w:rPr>
        <w:t xml:space="preserve"> שינוי משמעותי של יתרות המסים הנדחים, כתוצאה משינוי </w:t>
      </w:r>
      <w:r>
        <w:rPr>
          <w:rFonts w:hint="cs"/>
          <w:rtl/>
        </w:rPr>
        <w:t>בחוק/בתקנות/בפקודת מס הכנסה.</w:t>
      </w:r>
      <w:r w:rsidRPr="00D33F7C">
        <w:rPr>
          <w:rtl/>
        </w:rPr>
        <w:t xml:space="preserve"> </w:t>
      </w:r>
    </w:p>
  </w:footnote>
  <w:footnote w:id="126">
    <w:p w14:paraId="362915CF" w14:textId="77777777" w:rsidR="001521F8" w:rsidRDefault="001521F8" w:rsidP="00F06854">
      <w:pPr>
        <w:pStyle w:val="ac"/>
        <w:rPr>
          <w:rtl/>
        </w:rPr>
      </w:pPr>
      <w:r w:rsidRPr="00D33F7C">
        <w:rPr>
          <w:rStyle w:val="ab"/>
        </w:rPr>
        <w:footnoteRef/>
      </w:r>
      <w:r w:rsidRPr="00D33F7C">
        <w:rPr>
          <w:rFonts w:hint="cs"/>
          <w:rtl/>
        </w:rPr>
        <w:t xml:space="preserve"> </w:t>
      </w:r>
      <w:r w:rsidRPr="00D33F7C">
        <w:rPr>
          <w:rFonts w:hint="cs"/>
          <w:rtl/>
        </w:rPr>
        <w:tab/>
        <w:t>נדרש בהתאם</w:t>
      </w:r>
      <w:r>
        <w:rPr>
          <w:rFonts w:hint="cs"/>
          <w:rtl/>
        </w:rPr>
        <w:t xml:space="preserve"> לתקנה 46</w:t>
      </w:r>
      <w:r w:rsidRPr="00D33F7C">
        <w:rPr>
          <w:rFonts w:hint="cs"/>
          <w:rtl/>
        </w:rPr>
        <w:t xml:space="preserve"> לתקנות ניירות ערך</w:t>
      </w:r>
      <w:r>
        <w:rPr>
          <w:rFonts w:hint="cs"/>
          <w:rtl/>
        </w:rPr>
        <w:t xml:space="preserve"> (דוחות תקופתיים ומיידיים)</w:t>
      </w:r>
      <w:r w:rsidRPr="00D33F7C">
        <w:rPr>
          <w:rFonts w:hint="cs"/>
          <w:rtl/>
        </w:rPr>
        <w:t>.</w:t>
      </w:r>
    </w:p>
  </w:footnote>
  <w:footnote w:id="127">
    <w:p w14:paraId="5B94AACE" w14:textId="77777777" w:rsidR="001521F8" w:rsidRPr="003C2D5F" w:rsidRDefault="001521F8" w:rsidP="00516850">
      <w:pPr>
        <w:pStyle w:val="ac"/>
        <w:rPr>
          <w:rtl/>
        </w:rPr>
      </w:pPr>
      <w:r w:rsidRPr="000A726A">
        <w:rPr>
          <w:rStyle w:val="ab"/>
        </w:rPr>
        <w:footnoteRef/>
      </w:r>
      <w:r w:rsidRPr="000A726A">
        <w:rPr>
          <w:rtl/>
        </w:rPr>
        <w:t xml:space="preserve"> </w:t>
      </w:r>
      <w:r w:rsidRPr="000A726A">
        <w:rPr>
          <w:rFonts w:hint="cs"/>
          <w:rtl/>
        </w:rPr>
        <w:tab/>
      </w:r>
      <w:r w:rsidRPr="003C2D5F">
        <w:rPr>
          <w:rFonts w:hint="cs"/>
          <w:rtl/>
        </w:rPr>
        <w:t>לאור פרסום בנושא של המוסד הישראלי לתקינה בחשבונאות ממאי 2010, ניתן לבחור כמדיניות חשבונאית להציג ביתרת הרווח.</w:t>
      </w:r>
    </w:p>
  </w:footnote>
  <w:footnote w:id="128">
    <w:p w14:paraId="61366A4F" w14:textId="77777777" w:rsidR="001521F8" w:rsidRPr="003C2D5F" w:rsidRDefault="001521F8" w:rsidP="00F06854">
      <w:pPr>
        <w:pStyle w:val="ac"/>
        <w:rPr>
          <w:rtl/>
        </w:rPr>
      </w:pPr>
      <w:r>
        <w:rPr>
          <w:rStyle w:val="ab"/>
        </w:rPr>
        <w:footnoteRef/>
      </w:r>
      <w:r>
        <w:rPr>
          <w:rtl/>
        </w:rPr>
        <w:t xml:space="preserve"> </w:t>
      </w:r>
      <w:r>
        <w:rPr>
          <w:rFonts w:hint="cs"/>
          <w:rtl/>
        </w:rPr>
        <w:tab/>
      </w:r>
      <w:r w:rsidRPr="003C2D5F">
        <w:rPr>
          <w:rFonts w:hint="eastAsia"/>
          <w:rtl/>
        </w:rPr>
        <w:t>לרבות</w:t>
      </w:r>
      <w:r w:rsidRPr="003C2D5F">
        <w:rPr>
          <w:rtl/>
        </w:rPr>
        <w:t xml:space="preserve"> </w:t>
      </w:r>
      <w:r w:rsidRPr="003C2D5F">
        <w:rPr>
          <w:rFonts w:hint="eastAsia"/>
          <w:rtl/>
        </w:rPr>
        <w:t>התאמות</w:t>
      </w:r>
      <w:r w:rsidRPr="003C2D5F">
        <w:rPr>
          <w:rtl/>
        </w:rPr>
        <w:t xml:space="preserve"> </w:t>
      </w:r>
      <w:r w:rsidRPr="003C2D5F">
        <w:rPr>
          <w:rFonts w:hint="eastAsia"/>
          <w:rtl/>
        </w:rPr>
        <w:t>הנובעות</w:t>
      </w:r>
      <w:r w:rsidRPr="003C2D5F">
        <w:rPr>
          <w:rtl/>
        </w:rPr>
        <w:t xml:space="preserve"> </w:t>
      </w:r>
      <w:r w:rsidRPr="003C2D5F">
        <w:rPr>
          <w:rFonts w:hint="eastAsia"/>
          <w:rtl/>
        </w:rPr>
        <w:t>מתרגום</w:t>
      </w:r>
      <w:r w:rsidRPr="003C2D5F">
        <w:rPr>
          <w:rtl/>
        </w:rPr>
        <w:t xml:space="preserve"> </w:t>
      </w:r>
      <w:r w:rsidRPr="003C2D5F">
        <w:rPr>
          <w:rFonts w:hint="eastAsia"/>
          <w:rtl/>
        </w:rPr>
        <w:t>דוחות</w:t>
      </w:r>
      <w:r w:rsidRPr="003C2D5F">
        <w:rPr>
          <w:rtl/>
        </w:rPr>
        <w:t xml:space="preserve"> </w:t>
      </w:r>
      <w:r w:rsidRPr="003C2D5F">
        <w:rPr>
          <w:rFonts w:hint="eastAsia"/>
          <w:rtl/>
        </w:rPr>
        <w:t>כספיים</w:t>
      </w:r>
      <w:r w:rsidRPr="003C2D5F">
        <w:rPr>
          <w:rtl/>
        </w:rPr>
        <w:t xml:space="preserve"> </w:t>
      </w:r>
      <w:r w:rsidRPr="003C2D5F">
        <w:rPr>
          <w:rFonts w:hint="eastAsia"/>
          <w:rtl/>
        </w:rPr>
        <w:t>ממטבע</w:t>
      </w:r>
      <w:r w:rsidRPr="003C2D5F">
        <w:rPr>
          <w:rtl/>
        </w:rPr>
        <w:t xml:space="preserve"> </w:t>
      </w:r>
      <w:r w:rsidRPr="003C2D5F">
        <w:rPr>
          <w:rFonts w:hint="eastAsia"/>
          <w:rtl/>
        </w:rPr>
        <w:t>הפעילות</w:t>
      </w:r>
      <w:r w:rsidRPr="003C2D5F">
        <w:rPr>
          <w:rtl/>
        </w:rPr>
        <w:t xml:space="preserve"> </w:t>
      </w:r>
      <w:r w:rsidRPr="003C2D5F">
        <w:rPr>
          <w:rFonts w:hint="eastAsia"/>
          <w:rtl/>
        </w:rPr>
        <w:t>למטבע</w:t>
      </w:r>
      <w:r w:rsidRPr="003C2D5F">
        <w:rPr>
          <w:rtl/>
        </w:rPr>
        <w:t xml:space="preserve"> </w:t>
      </w:r>
      <w:r w:rsidRPr="003C2D5F">
        <w:rPr>
          <w:rFonts w:hint="eastAsia"/>
          <w:rtl/>
        </w:rPr>
        <w:t>ההצגה</w:t>
      </w:r>
      <w:r w:rsidRPr="003C2D5F">
        <w:rPr>
          <w:rtl/>
        </w:rPr>
        <w:t>.</w:t>
      </w:r>
    </w:p>
  </w:footnote>
  <w:footnote w:id="129">
    <w:p w14:paraId="33D8826F" w14:textId="77777777" w:rsidR="001521F8" w:rsidRDefault="001521F8" w:rsidP="00F06854">
      <w:pPr>
        <w:pStyle w:val="ac"/>
      </w:pPr>
      <w:r>
        <w:rPr>
          <w:rStyle w:val="ab"/>
        </w:rPr>
        <w:footnoteRef/>
      </w:r>
      <w:r>
        <w:rPr>
          <w:rtl/>
        </w:rPr>
        <w:t xml:space="preserve"> </w:t>
      </w:r>
      <w:r>
        <w:rPr>
          <w:rFonts w:hint="cs"/>
          <w:rtl/>
        </w:rPr>
        <w:tab/>
        <w:t xml:space="preserve">רלוונטי לחברות שמיישמות את מודל ההערכה מחדש או למקרים שבוצע שערוך במסגרת העברה לפי </w:t>
      </w:r>
      <w:r w:rsidRPr="00743E46">
        <w:rPr>
          <w:rFonts w:hint="cs"/>
          <w:szCs w:val="10"/>
        </w:rPr>
        <w:t>IAS 40.57</w:t>
      </w:r>
      <w:r w:rsidRPr="00743E46">
        <w:rPr>
          <w:rFonts w:hint="cs"/>
          <w:szCs w:val="10"/>
          <w:rtl/>
        </w:rPr>
        <w:t xml:space="preserve">  </w:t>
      </w:r>
      <w:r>
        <w:rPr>
          <w:rFonts w:hint="cs"/>
          <w:rtl/>
        </w:rPr>
        <w:t>מרכוש קבוע שנמדד לפי מודל העלות לנדל"ן להשקעה שנמדד לפי שווי הוגן.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1684" w14:textId="77777777" w:rsidR="001521F8" w:rsidRDefault="001521F8">
    <w:pPr>
      <w:jc w:val="right"/>
      <w:rPr>
        <w:b/>
        <w:bCs/>
        <w:rtl/>
      </w:rPr>
    </w:pPr>
    <w:r>
      <w:rPr>
        <w:b/>
        <w:bCs/>
        <w:rtl/>
      </w:rPr>
      <w:t>חברה לדוגמא בע"מ</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D006B" w14:textId="77777777" w:rsidR="001521F8" w:rsidRDefault="001521F8" w:rsidP="00201967">
    <w:pPr>
      <w:jc w:val="right"/>
      <w:rPr>
        <w:b/>
        <w:bCs/>
        <w:rtl/>
      </w:rPr>
    </w:pPr>
    <w:r>
      <w:rPr>
        <w:rFonts w:hint="cs"/>
        <w:b/>
        <w:bCs/>
        <w:rtl/>
      </w:rPr>
      <w:t xml:space="preserve">חברה לדוגמא בע"מ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B24E" w14:textId="77777777" w:rsidR="001521F8" w:rsidRDefault="001521F8">
    <w:pPr>
      <w:jc w:val="right"/>
      <w:rPr>
        <w:b/>
        <w:bCs/>
        <w:rtl/>
      </w:rPr>
    </w:pPr>
    <w:r>
      <w:rPr>
        <w:rFonts w:hint="cs"/>
        <w:b/>
        <w:bCs/>
        <w:rtl/>
      </w:rPr>
      <w:t xml:space="preserve">חברה לדוגמא בע"מ </w:t>
    </w:r>
  </w:p>
  <w:p w14:paraId="2C944436" w14:textId="77777777" w:rsidR="001521F8" w:rsidRDefault="001521F8" w:rsidP="00E127B2">
    <w:pPr>
      <w:pBdr>
        <w:bottom w:val="single" w:sz="12" w:space="0" w:color="auto"/>
      </w:pBdr>
      <w:rPr>
        <w:b/>
        <w:bCs/>
        <w:rtl/>
      </w:rPr>
    </w:pPr>
    <w:r>
      <w:rPr>
        <w:rFonts w:hint="cs"/>
        <w:b/>
        <w:bCs/>
        <w:rtl/>
      </w:rPr>
      <w:t>באורים לדוחות הכספיים ביניים מאוחדים</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641CF" w14:textId="77777777" w:rsidR="001521F8" w:rsidRDefault="001521F8">
    <w:pPr>
      <w:jc w:val="right"/>
      <w:rPr>
        <w:b/>
        <w:bCs/>
        <w:rtl/>
      </w:rPr>
    </w:pPr>
    <w:r>
      <w:rPr>
        <w:rFonts w:hint="cs"/>
        <w:b/>
        <w:bCs/>
        <w:rtl/>
      </w:rPr>
      <w:t xml:space="preserve">חברה לדוגמא בע"מ </w:t>
    </w:r>
  </w:p>
  <w:p w14:paraId="5CB773DF" w14:textId="77777777" w:rsidR="001521F8" w:rsidRDefault="001521F8" w:rsidP="00E127B2">
    <w:pPr>
      <w:pBdr>
        <w:bottom w:val="single" w:sz="12" w:space="0" w:color="auto"/>
      </w:pBdr>
      <w:rPr>
        <w:b/>
        <w:bCs/>
        <w:rtl/>
      </w:rPr>
    </w:pPr>
    <w:r>
      <w:rPr>
        <w:rFonts w:hint="cs"/>
        <w:b/>
        <w:bCs/>
        <w:rtl/>
      </w:rPr>
      <w:t>נספח א' לדוחות הכספיים ביניים מאוחדים</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33CA4" w14:textId="77777777" w:rsidR="001521F8" w:rsidRDefault="001521F8">
    <w:pPr>
      <w:jc w:val="right"/>
      <w:rPr>
        <w:b/>
        <w:bCs/>
        <w:rtl/>
      </w:rPr>
    </w:pPr>
    <w:r>
      <w:rPr>
        <w:rFonts w:hint="cs"/>
        <w:b/>
        <w:bCs/>
        <w:rtl/>
      </w:rPr>
      <w:t xml:space="preserve">חברה לדוגמא בע"מ </w:t>
    </w:r>
  </w:p>
  <w:p w14:paraId="4B6A51B2" w14:textId="77777777" w:rsidR="001521F8" w:rsidRDefault="001521F8">
    <w:pPr>
      <w:pBdr>
        <w:bottom w:val="single" w:sz="12" w:space="0" w:color="auto"/>
      </w:pBdr>
      <w:rPr>
        <w:b/>
        <w:bCs/>
        <w:rtl/>
      </w:rPr>
    </w:pPr>
    <w:r w:rsidRPr="00D33F7C">
      <w:rPr>
        <w:rFonts w:hint="eastAsia"/>
        <w:b/>
        <w:bCs/>
        <w:rtl/>
      </w:rPr>
      <w:t>נספח</w:t>
    </w:r>
    <w:r w:rsidRPr="00D33F7C">
      <w:rPr>
        <w:b/>
        <w:bCs/>
        <w:rtl/>
      </w:rPr>
      <w:t xml:space="preserve"> </w:t>
    </w:r>
    <w:r w:rsidRPr="00D33F7C">
      <w:rPr>
        <w:rFonts w:hint="eastAsia"/>
        <w:b/>
        <w:bCs/>
        <w:rtl/>
      </w:rPr>
      <w:t>א</w:t>
    </w:r>
    <w:r w:rsidRPr="00D33F7C">
      <w:rPr>
        <w:b/>
        <w:bCs/>
        <w:rtl/>
      </w:rPr>
      <w:t>' לדוחות הכספיים ביניים מאוחדים</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F998" w14:textId="77777777" w:rsidR="001521F8" w:rsidRDefault="001521F8" w:rsidP="00BA7D9A">
    <w:pPr>
      <w:spacing w:after="240"/>
      <w:jc w:val="right"/>
      <w:rPr>
        <w:b/>
        <w:bCs/>
        <w:rtl/>
      </w:rPr>
    </w:pPr>
    <w:r>
      <w:rPr>
        <w:rFonts w:hint="cs"/>
        <w:b/>
        <w:bCs/>
        <w:rtl/>
      </w:rPr>
      <w:t xml:space="preserve">חברה לדוגמא בע"מ </w:t>
    </w:r>
  </w:p>
  <w:p w14:paraId="4424429D" w14:textId="3E1C691C" w:rsidR="001521F8" w:rsidRPr="00711B13" w:rsidRDefault="001521F8" w:rsidP="00711B13">
    <w:pPr>
      <w:pStyle w:val="1"/>
      <w:rPr>
        <w:rtl/>
      </w:rPr>
    </w:pPr>
    <w:r w:rsidRPr="00076310">
      <w:rPr>
        <w:rFonts w:hint="cs"/>
        <w:rtl/>
      </w:rPr>
      <w:t xml:space="preserve">נספח </w:t>
    </w:r>
    <w:r>
      <w:rPr>
        <w:rFonts w:hint="cs"/>
        <w:rtl/>
      </w:rPr>
      <w:t>ב</w:t>
    </w:r>
    <w:r w:rsidRPr="00076310">
      <w:rPr>
        <w:rFonts w:hint="cs"/>
        <w:rtl/>
      </w:rPr>
      <w:t xml:space="preserve">' לדוחות הכספיים ביניים מאוחדים </w:t>
    </w:r>
    <w:r w:rsidRPr="00076310">
      <w:rPr>
        <w:rtl/>
      </w:rPr>
      <w:t>–</w:t>
    </w:r>
    <w:r w:rsidRPr="00076310">
      <w:rPr>
        <w:rFonts w:hint="cs"/>
        <w:rtl/>
      </w:rPr>
      <w:t xml:space="preserve"> </w:t>
    </w:r>
    <w:r>
      <w:rPr>
        <w:rFonts w:hint="cs"/>
        <w:rtl/>
      </w:rPr>
      <w:t xml:space="preserve">אפשרויות יישום לראשונה נוספות של </w:t>
    </w:r>
    <w:r>
      <w:rPr>
        <w:rFonts w:hint="cs"/>
      </w:rPr>
      <w:t>IFRS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0A7"/>
    <w:multiLevelType w:val="hybridMultilevel"/>
    <w:tmpl w:val="F43C4F40"/>
    <w:lvl w:ilvl="0" w:tplc="574C9810">
      <w:start w:val="2"/>
      <w:numFmt w:val="decimal"/>
      <w:lvlText w:val="%1."/>
      <w:lvlJc w:val="left"/>
      <w:pPr>
        <w:ind w:left="927"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 w15:restartNumberingAfterBreak="0">
    <w:nsid w:val="03D24F83"/>
    <w:multiLevelType w:val="hybridMultilevel"/>
    <w:tmpl w:val="F43C4F40"/>
    <w:lvl w:ilvl="0" w:tplc="574C9810">
      <w:start w:val="2"/>
      <w:numFmt w:val="decimal"/>
      <w:lvlText w:val="%1."/>
      <w:lvlJc w:val="left"/>
      <w:pPr>
        <w:ind w:left="927"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04B305BB"/>
    <w:multiLevelType w:val="hybridMultilevel"/>
    <w:tmpl w:val="749AD71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AF2AEE"/>
    <w:multiLevelType w:val="hybridMultilevel"/>
    <w:tmpl w:val="F43C4F40"/>
    <w:lvl w:ilvl="0" w:tplc="574C9810">
      <w:start w:val="2"/>
      <w:numFmt w:val="decimal"/>
      <w:lvlText w:val="%1."/>
      <w:lvlJc w:val="left"/>
      <w:pPr>
        <w:ind w:left="927"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0C037C4A"/>
    <w:multiLevelType w:val="hybridMultilevel"/>
    <w:tmpl w:val="F43C4F40"/>
    <w:lvl w:ilvl="0" w:tplc="574C9810">
      <w:start w:val="2"/>
      <w:numFmt w:val="decimal"/>
      <w:lvlText w:val="%1."/>
      <w:lvlJc w:val="left"/>
      <w:pPr>
        <w:ind w:left="927"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0E796108"/>
    <w:multiLevelType w:val="hybridMultilevel"/>
    <w:tmpl w:val="5FD86466"/>
    <w:lvl w:ilvl="0" w:tplc="0E669F2E">
      <w:start w:val="4"/>
      <w:numFmt w:val="hebrew1"/>
      <w:lvlText w:val="%1."/>
      <w:lvlJc w:val="left"/>
      <w:pPr>
        <w:ind w:left="1122" w:hanging="555"/>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208" w:hanging="180"/>
      </w:pPr>
    </w:lvl>
    <w:lvl w:ilvl="3" w:tplc="0409000F" w:tentative="1">
      <w:start w:val="1"/>
      <w:numFmt w:val="decimal"/>
      <w:lvlText w:val="%4."/>
      <w:lvlJc w:val="left"/>
      <w:pPr>
        <w:ind w:left="928" w:hanging="360"/>
      </w:pPr>
    </w:lvl>
    <w:lvl w:ilvl="4" w:tplc="04090019" w:tentative="1">
      <w:start w:val="1"/>
      <w:numFmt w:val="lowerLetter"/>
      <w:lvlText w:val="%5."/>
      <w:lvlJc w:val="left"/>
      <w:pPr>
        <w:ind w:left="1648" w:hanging="360"/>
      </w:pPr>
    </w:lvl>
    <w:lvl w:ilvl="5" w:tplc="0409001B" w:tentative="1">
      <w:start w:val="1"/>
      <w:numFmt w:val="lowerRoman"/>
      <w:lvlText w:val="%6."/>
      <w:lvlJc w:val="right"/>
      <w:pPr>
        <w:ind w:left="2368" w:hanging="180"/>
      </w:pPr>
    </w:lvl>
    <w:lvl w:ilvl="6" w:tplc="0409000F" w:tentative="1">
      <w:start w:val="1"/>
      <w:numFmt w:val="decimal"/>
      <w:lvlText w:val="%7."/>
      <w:lvlJc w:val="left"/>
      <w:pPr>
        <w:ind w:left="3088" w:hanging="360"/>
      </w:pPr>
    </w:lvl>
    <w:lvl w:ilvl="7" w:tplc="04090019" w:tentative="1">
      <w:start w:val="1"/>
      <w:numFmt w:val="lowerLetter"/>
      <w:lvlText w:val="%8."/>
      <w:lvlJc w:val="left"/>
      <w:pPr>
        <w:ind w:left="3808" w:hanging="360"/>
      </w:pPr>
    </w:lvl>
    <w:lvl w:ilvl="8" w:tplc="0409001B" w:tentative="1">
      <w:start w:val="1"/>
      <w:numFmt w:val="lowerRoman"/>
      <w:lvlText w:val="%9."/>
      <w:lvlJc w:val="right"/>
      <w:pPr>
        <w:ind w:left="4528" w:hanging="180"/>
      </w:pPr>
    </w:lvl>
  </w:abstractNum>
  <w:abstractNum w:abstractNumId="6" w15:restartNumberingAfterBreak="0">
    <w:nsid w:val="11EB0F0A"/>
    <w:multiLevelType w:val="hybridMultilevel"/>
    <w:tmpl w:val="073CF9B6"/>
    <w:lvl w:ilvl="0" w:tplc="04090013">
      <w:start w:val="1"/>
      <w:numFmt w:val="hebrew1"/>
      <w:lvlText w:val="%1."/>
      <w:lvlJc w:val="center"/>
      <w:pPr>
        <w:ind w:left="3366" w:hanging="360"/>
      </w:pPr>
    </w:lvl>
    <w:lvl w:ilvl="1" w:tplc="04090019">
      <w:start w:val="1"/>
      <w:numFmt w:val="lowerLetter"/>
      <w:lvlText w:val="%2."/>
      <w:lvlJc w:val="left"/>
      <w:pPr>
        <w:ind w:left="4086" w:hanging="360"/>
      </w:pPr>
    </w:lvl>
    <w:lvl w:ilvl="2" w:tplc="0409001B" w:tentative="1">
      <w:start w:val="1"/>
      <w:numFmt w:val="lowerRoman"/>
      <w:lvlText w:val="%3."/>
      <w:lvlJc w:val="right"/>
      <w:pPr>
        <w:ind w:left="4806" w:hanging="180"/>
      </w:pPr>
    </w:lvl>
    <w:lvl w:ilvl="3" w:tplc="0409000F" w:tentative="1">
      <w:start w:val="1"/>
      <w:numFmt w:val="decimal"/>
      <w:lvlText w:val="%4."/>
      <w:lvlJc w:val="left"/>
      <w:pPr>
        <w:ind w:left="5526" w:hanging="360"/>
      </w:pPr>
    </w:lvl>
    <w:lvl w:ilvl="4" w:tplc="04090019" w:tentative="1">
      <w:start w:val="1"/>
      <w:numFmt w:val="lowerLetter"/>
      <w:lvlText w:val="%5."/>
      <w:lvlJc w:val="left"/>
      <w:pPr>
        <w:ind w:left="6246" w:hanging="360"/>
      </w:pPr>
    </w:lvl>
    <w:lvl w:ilvl="5" w:tplc="0409001B" w:tentative="1">
      <w:start w:val="1"/>
      <w:numFmt w:val="lowerRoman"/>
      <w:lvlText w:val="%6."/>
      <w:lvlJc w:val="right"/>
      <w:pPr>
        <w:ind w:left="6966" w:hanging="180"/>
      </w:pPr>
    </w:lvl>
    <w:lvl w:ilvl="6" w:tplc="0409000F" w:tentative="1">
      <w:start w:val="1"/>
      <w:numFmt w:val="decimal"/>
      <w:lvlText w:val="%7."/>
      <w:lvlJc w:val="left"/>
      <w:pPr>
        <w:ind w:left="7686" w:hanging="360"/>
      </w:pPr>
    </w:lvl>
    <w:lvl w:ilvl="7" w:tplc="04090019" w:tentative="1">
      <w:start w:val="1"/>
      <w:numFmt w:val="lowerLetter"/>
      <w:lvlText w:val="%8."/>
      <w:lvlJc w:val="left"/>
      <w:pPr>
        <w:ind w:left="8406" w:hanging="360"/>
      </w:pPr>
    </w:lvl>
    <w:lvl w:ilvl="8" w:tplc="0409001B" w:tentative="1">
      <w:start w:val="1"/>
      <w:numFmt w:val="lowerRoman"/>
      <w:lvlText w:val="%9."/>
      <w:lvlJc w:val="right"/>
      <w:pPr>
        <w:ind w:left="9126" w:hanging="180"/>
      </w:pPr>
    </w:lvl>
  </w:abstractNum>
  <w:abstractNum w:abstractNumId="7" w15:restartNumberingAfterBreak="0">
    <w:nsid w:val="15410778"/>
    <w:multiLevelType w:val="hybridMultilevel"/>
    <w:tmpl w:val="2CE819E2"/>
    <w:lvl w:ilvl="0" w:tplc="401E3BEE">
      <w:start w:val="1"/>
      <w:numFmt w:val="decimal"/>
      <w:lvlText w:val="%1."/>
      <w:lvlJc w:val="left"/>
      <w:pPr>
        <w:ind w:left="933" w:hanging="360"/>
      </w:pPr>
      <w:rPr>
        <w:rFonts w:ascii="Times New Roman" w:eastAsia="Times New Roman" w:hAnsi="Times New Roman" w:cs="Narkisim" w:hint="default"/>
        <w:sz w:val="22"/>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8" w15:restartNumberingAfterBreak="0">
    <w:nsid w:val="15C274B6"/>
    <w:multiLevelType w:val="hybridMultilevel"/>
    <w:tmpl w:val="749AD71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EFA059C"/>
    <w:multiLevelType w:val="hybridMultilevel"/>
    <w:tmpl w:val="DE78665A"/>
    <w:lvl w:ilvl="0" w:tplc="0409000F">
      <w:start w:val="1"/>
      <w:numFmt w:val="decimal"/>
      <w:pStyle w:val="Numberedlist"/>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275366AD"/>
    <w:multiLevelType w:val="hybridMultilevel"/>
    <w:tmpl w:val="F43C4F40"/>
    <w:lvl w:ilvl="0" w:tplc="574C9810">
      <w:start w:val="2"/>
      <w:numFmt w:val="decimal"/>
      <w:lvlText w:val="%1."/>
      <w:lvlJc w:val="left"/>
      <w:pPr>
        <w:ind w:left="927"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1" w15:restartNumberingAfterBreak="0">
    <w:nsid w:val="2D47361D"/>
    <w:multiLevelType w:val="hybridMultilevel"/>
    <w:tmpl w:val="180E1448"/>
    <w:lvl w:ilvl="0" w:tplc="0409000F">
      <w:start w:val="1"/>
      <w:numFmt w:val="decimal"/>
      <w:lvlText w:val="%1."/>
      <w:lvlJc w:val="left"/>
      <w:pPr>
        <w:ind w:left="5435" w:hanging="360"/>
      </w:pPr>
    </w:lvl>
    <w:lvl w:ilvl="1" w:tplc="04090019" w:tentative="1">
      <w:start w:val="1"/>
      <w:numFmt w:val="lowerLetter"/>
      <w:lvlText w:val="%2."/>
      <w:lvlJc w:val="left"/>
      <w:pPr>
        <w:ind w:left="6155" w:hanging="360"/>
      </w:pPr>
    </w:lvl>
    <w:lvl w:ilvl="2" w:tplc="0409001B" w:tentative="1">
      <w:start w:val="1"/>
      <w:numFmt w:val="lowerRoman"/>
      <w:lvlText w:val="%3."/>
      <w:lvlJc w:val="right"/>
      <w:pPr>
        <w:ind w:left="6875" w:hanging="180"/>
      </w:pPr>
    </w:lvl>
    <w:lvl w:ilvl="3" w:tplc="0409000F" w:tentative="1">
      <w:start w:val="1"/>
      <w:numFmt w:val="decimal"/>
      <w:lvlText w:val="%4."/>
      <w:lvlJc w:val="left"/>
      <w:pPr>
        <w:ind w:left="7595" w:hanging="360"/>
      </w:pPr>
    </w:lvl>
    <w:lvl w:ilvl="4" w:tplc="04090019" w:tentative="1">
      <w:start w:val="1"/>
      <w:numFmt w:val="lowerLetter"/>
      <w:lvlText w:val="%5."/>
      <w:lvlJc w:val="left"/>
      <w:pPr>
        <w:ind w:left="8315" w:hanging="360"/>
      </w:pPr>
    </w:lvl>
    <w:lvl w:ilvl="5" w:tplc="0409001B" w:tentative="1">
      <w:start w:val="1"/>
      <w:numFmt w:val="lowerRoman"/>
      <w:lvlText w:val="%6."/>
      <w:lvlJc w:val="right"/>
      <w:pPr>
        <w:ind w:left="9035" w:hanging="180"/>
      </w:pPr>
    </w:lvl>
    <w:lvl w:ilvl="6" w:tplc="0409000F" w:tentative="1">
      <w:start w:val="1"/>
      <w:numFmt w:val="decimal"/>
      <w:lvlText w:val="%7."/>
      <w:lvlJc w:val="left"/>
      <w:pPr>
        <w:ind w:left="9755" w:hanging="360"/>
      </w:pPr>
    </w:lvl>
    <w:lvl w:ilvl="7" w:tplc="04090019" w:tentative="1">
      <w:start w:val="1"/>
      <w:numFmt w:val="lowerLetter"/>
      <w:lvlText w:val="%8."/>
      <w:lvlJc w:val="left"/>
      <w:pPr>
        <w:ind w:left="10475" w:hanging="360"/>
      </w:pPr>
    </w:lvl>
    <w:lvl w:ilvl="8" w:tplc="0409001B" w:tentative="1">
      <w:start w:val="1"/>
      <w:numFmt w:val="lowerRoman"/>
      <w:lvlText w:val="%9."/>
      <w:lvlJc w:val="right"/>
      <w:pPr>
        <w:ind w:left="11195" w:hanging="180"/>
      </w:pPr>
    </w:lvl>
  </w:abstractNum>
  <w:abstractNum w:abstractNumId="12" w15:restartNumberingAfterBreak="0">
    <w:nsid w:val="2E63388F"/>
    <w:multiLevelType w:val="hybridMultilevel"/>
    <w:tmpl w:val="749AD71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3783FC2"/>
    <w:multiLevelType w:val="hybridMultilevel"/>
    <w:tmpl w:val="8408BE5E"/>
    <w:lvl w:ilvl="0" w:tplc="683E6EB4">
      <w:start w:val="1"/>
      <w:numFmt w:val="bullet"/>
      <w:pStyle w:val="Index2"/>
      <w:lvlText w:val=""/>
      <w:lvlJc w:val="left"/>
      <w:pPr>
        <w:ind w:left="1004" w:hanging="360"/>
      </w:pPr>
      <w:rPr>
        <w:rFonts w:ascii="Times New Roman" w:hAnsi="Times New Roman" w:cs="Times New Roman" w:hint="default"/>
        <w:b/>
        <w:bCs/>
        <w:i w:val="0"/>
        <w:iCs w:val="0"/>
        <w:color w:val="8D42C6"/>
        <w:sz w:val="16"/>
        <w:szCs w:val="16"/>
        <w:u w:val="no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51E0008"/>
    <w:multiLevelType w:val="hybridMultilevel"/>
    <w:tmpl w:val="8EA85F12"/>
    <w:lvl w:ilvl="0" w:tplc="B8E8189C">
      <w:start w:val="4"/>
      <w:numFmt w:val="bullet"/>
      <w:lvlText w:val=""/>
      <w:lvlJc w:val="left"/>
      <w:pPr>
        <w:ind w:left="2061" w:hanging="360"/>
      </w:pPr>
      <w:rPr>
        <w:rFonts w:ascii="Symbol" w:eastAsia="Times New Roman" w:hAnsi="Symbol" w:cs="Narkisim"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5" w15:restartNumberingAfterBreak="0">
    <w:nsid w:val="3AB15C13"/>
    <w:multiLevelType w:val="hybridMultilevel"/>
    <w:tmpl w:val="007E2B04"/>
    <w:lvl w:ilvl="0" w:tplc="9E6C1F08">
      <w:start w:val="1"/>
      <w:numFmt w:val="hebrew1"/>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6" w15:restartNumberingAfterBreak="0">
    <w:nsid w:val="41216220"/>
    <w:multiLevelType w:val="hybridMultilevel"/>
    <w:tmpl w:val="CD68AD32"/>
    <w:lvl w:ilvl="0" w:tplc="D7240FA6">
      <w:start w:val="1"/>
      <w:numFmt w:val="hebrew1"/>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17" w15:restartNumberingAfterBreak="0">
    <w:nsid w:val="46185515"/>
    <w:multiLevelType w:val="hybridMultilevel"/>
    <w:tmpl w:val="E4485A26"/>
    <w:lvl w:ilvl="0" w:tplc="0409000F">
      <w:start w:val="1"/>
      <w:numFmt w:val="decimal"/>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4C5D611C"/>
    <w:multiLevelType w:val="hybridMultilevel"/>
    <w:tmpl w:val="67409F4C"/>
    <w:lvl w:ilvl="0" w:tplc="04090013">
      <w:start w:val="1"/>
      <w:numFmt w:val="hebrew1"/>
      <w:lvlText w:val="%1."/>
      <w:lvlJc w:val="center"/>
      <w:pPr>
        <w:ind w:left="2519"/>
      </w:pPr>
      <w:rPr>
        <w:b w:val="0"/>
        <w:i w:val="0"/>
        <w:strike w:val="0"/>
        <w:dstrike w:val="0"/>
        <w:color w:val="000000"/>
        <w:sz w:val="24"/>
        <w:szCs w:val="24"/>
        <w:u w:val="none" w:color="000000"/>
        <w:bdr w:val="none" w:sz="0" w:space="0" w:color="auto"/>
        <w:shd w:val="clear" w:color="auto" w:fill="auto"/>
        <w:vertAlign w:val="baseline"/>
      </w:rPr>
    </w:lvl>
    <w:lvl w:ilvl="1" w:tplc="AA760128">
      <w:start w:val="1"/>
      <w:numFmt w:val="lowerLetter"/>
      <w:lvlText w:val="%2"/>
      <w:lvlJc w:val="left"/>
      <w:pPr>
        <w:ind w:left="323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DB781228">
      <w:start w:val="1"/>
      <w:numFmt w:val="lowerRoman"/>
      <w:lvlText w:val="%3"/>
      <w:lvlJc w:val="left"/>
      <w:pPr>
        <w:ind w:left="395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0D282276">
      <w:start w:val="1"/>
      <w:numFmt w:val="decimal"/>
      <w:lvlText w:val="%4"/>
      <w:lvlJc w:val="left"/>
      <w:pPr>
        <w:ind w:left="467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61243B0C">
      <w:start w:val="1"/>
      <w:numFmt w:val="lowerLetter"/>
      <w:lvlText w:val="%5"/>
      <w:lvlJc w:val="left"/>
      <w:pPr>
        <w:ind w:left="539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A230AE8A">
      <w:start w:val="1"/>
      <w:numFmt w:val="lowerRoman"/>
      <w:lvlText w:val="%6"/>
      <w:lvlJc w:val="left"/>
      <w:pPr>
        <w:ind w:left="611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97201D4C">
      <w:start w:val="1"/>
      <w:numFmt w:val="decimal"/>
      <w:lvlText w:val="%7"/>
      <w:lvlJc w:val="left"/>
      <w:pPr>
        <w:ind w:left="683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5482834A">
      <w:start w:val="1"/>
      <w:numFmt w:val="lowerLetter"/>
      <w:lvlText w:val="%8"/>
      <w:lvlJc w:val="left"/>
      <w:pPr>
        <w:ind w:left="755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4CB08C30">
      <w:start w:val="1"/>
      <w:numFmt w:val="lowerRoman"/>
      <w:lvlText w:val="%9"/>
      <w:lvlJc w:val="left"/>
      <w:pPr>
        <w:ind w:left="827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9C3EED"/>
    <w:multiLevelType w:val="hybridMultilevel"/>
    <w:tmpl w:val="84F89160"/>
    <w:lvl w:ilvl="0" w:tplc="2A7C3564">
      <w:numFmt w:val="bullet"/>
      <w:lvlText w:val=""/>
      <w:lvlJc w:val="left"/>
      <w:pPr>
        <w:ind w:left="2061" w:hanging="360"/>
      </w:pPr>
      <w:rPr>
        <w:rFonts w:ascii="Symbol" w:eastAsia="Times New Roman" w:hAnsi="Symbol" w:cs="Narkisim"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15:restartNumberingAfterBreak="0">
    <w:nsid w:val="554B7111"/>
    <w:multiLevelType w:val="hybridMultilevel"/>
    <w:tmpl w:val="ED2E7FD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87B35C8"/>
    <w:multiLevelType w:val="hybridMultilevel"/>
    <w:tmpl w:val="C9463D3C"/>
    <w:lvl w:ilvl="0" w:tplc="7F10EDB4">
      <w:start w:val="1"/>
      <w:numFmt w:val="hebrew1"/>
      <w:lvlText w:val="(%1)"/>
      <w:lvlJc w:val="left"/>
      <w:pPr>
        <w:ind w:left="1216" w:hanging="360"/>
      </w:pPr>
      <w:rPr>
        <w:rFonts w:hint="default"/>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22" w15:restartNumberingAfterBreak="0">
    <w:nsid w:val="591D0575"/>
    <w:multiLevelType w:val="hybridMultilevel"/>
    <w:tmpl w:val="45C04DF0"/>
    <w:lvl w:ilvl="0" w:tplc="04090013">
      <w:start w:val="1"/>
      <w:numFmt w:val="hebrew1"/>
      <w:lvlText w:val="%1."/>
      <w:lvlJc w:val="center"/>
      <w:pPr>
        <w:ind w:left="2195" w:hanging="360"/>
      </w:p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3" w15:restartNumberingAfterBreak="0">
    <w:nsid w:val="5F145CF7"/>
    <w:multiLevelType w:val="hybridMultilevel"/>
    <w:tmpl w:val="B3A41C30"/>
    <w:lvl w:ilvl="0" w:tplc="0409000F">
      <w:start w:val="1"/>
      <w:numFmt w:val="decimal"/>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660D4DC8"/>
    <w:multiLevelType w:val="hybridMultilevel"/>
    <w:tmpl w:val="749AD71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77545B8"/>
    <w:multiLevelType w:val="hybridMultilevel"/>
    <w:tmpl w:val="E4485A26"/>
    <w:lvl w:ilvl="0" w:tplc="0409000F">
      <w:start w:val="1"/>
      <w:numFmt w:val="decimal"/>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15:restartNumberingAfterBreak="0">
    <w:nsid w:val="69E952B9"/>
    <w:multiLevelType w:val="hybridMultilevel"/>
    <w:tmpl w:val="2D1ABF44"/>
    <w:lvl w:ilvl="0" w:tplc="0B88A80A">
      <w:start w:val="1"/>
      <w:numFmt w:val="hebrew1"/>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7" w15:restartNumberingAfterBreak="0">
    <w:nsid w:val="6B224CAF"/>
    <w:multiLevelType w:val="hybridMultilevel"/>
    <w:tmpl w:val="404AECE6"/>
    <w:lvl w:ilvl="0" w:tplc="F88CB7B2">
      <w:start w:val="1"/>
      <w:numFmt w:val="lowerRoman"/>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64B"/>
    <w:multiLevelType w:val="hybridMultilevel"/>
    <w:tmpl w:val="749AD71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15C3269"/>
    <w:multiLevelType w:val="hybridMultilevel"/>
    <w:tmpl w:val="45A8B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933E4"/>
    <w:multiLevelType w:val="hybridMultilevel"/>
    <w:tmpl w:val="40C0618A"/>
    <w:name w:val="נספח"/>
    <w:lvl w:ilvl="0" w:tplc="FFFFFFFF">
      <w:start w:val="1"/>
      <w:numFmt w:val="bullet"/>
      <w:lvlText w:val=""/>
      <w:lvlJc w:val="left"/>
      <w:pPr>
        <w:tabs>
          <w:tab w:val="num" w:pos="3175"/>
        </w:tabs>
        <w:ind w:left="3175" w:hanging="227"/>
      </w:pPr>
      <w:rPr>
        <w:rFonts w:ascii="Symbol" w:hAnsi="Symbol" w:hint="default"/>
      </w:rPr>
    </w:lvl>
    <w:lvl w:ilvl="1" w:tplc="FFFFFFFF" w:tentative="1">
      <w:start w:val="1"/>
      <w:numFmt w:val="bullet"/>
      <w:lvlText w:val="o"/>
      <w:lvlJc w:val="left"/>
      <w:pPr>
        <w:tabs>
          <w:tab w:val="num" w:pos="3708"/>
        </w:tabs>
        <w:ind w:left="3708" w:hanging="360"/>
      </w:pPr>
      <w:rPr>
        <w:rFonts w:ascii="Courier New" w:hAnsi="Courier New" w:cs="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cs="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cs="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num w:numId="1">
    <w:abstractNumId w:val="27"/>
  </w:num>
  <w:num w:numId="2">
    <w:abstractNumId w:val="9"/>
  </w:num>
  <w:num w:numId="3">
    <w:abstractNumId w:val="13"/>
  </w:num>
  <w:num w:numId="4">
    <w:abstractNumId w:val="14"/>
  </w:num>
  <w:num w:numId="5">
    <w:abstractNumId w:val="19"/>
  </w:num>
  <w:num w:numId="6">
    <w:abstractNumId w:val="24"/>
  </w:num>
  <w:num w:numId="7">
    <w:abstractNumId w:val="15"/>
  </w:num>
  <w:num w:numId="8">
    <w:abstractNumId w:val="7"/>
  </w:num>
  <w:num w:numId="9">
    <w:abstractNumId w:val="16"/>
  </w:num>
  <w:num w:numId="10">
    <w:abstractNumId w:val="21"/>
  </w:num>
  <w:num w:numId="11">
    <w:abstractNumId w:val="26"/>
  </w:num>
  <w:num w:numId="12">
    <w:abstractNumId w:val="22"/>
  </w:num>
  <w:num w:numId="13">
    <w:abstractNumId w:val="18"/>
  </w:num>
  <w:num w:numId="14">
    <w:abstractNumId w:val="29"/>
  </w:num>
  <w:num w:numId="15">
    <w:abstractNumId w:val="2"/>
  </w:num>
  <w:num w:numId="16">
    <w:abstractNumId w:val="12"/>
  </w:num>
  <w:num w:numId="17">
    <w:abstractNumId w:val="28"/>
  </w:num>
  <w:num w:numId="18">
    <w:abstractNumId w:val="8"/>
  </w:num>
  <w:num w:numId="19">
    <w:abstractNumId w:val="20"/>
  </w:num>
  <w:num w:numId="20">
    <w:abstractNumId w:val="4"/>
  </w:num>
  <w:num w:numId="21">
    <w:abstractNumId w:val="3"/>
  </w:num>
  <w:num w:numId="22">
    <w:abstractNumId w:val="1"/>
  </w:num>
  <w:num w:numId="23">
    <w:abstractNumId w:val="0"/>
  </w:num>
  <w:num w:numId="24">
    <w:abstractNumId w:val="10"/>
  </w:num>
  <w:num w:numId="25">
    <w:abstractNumId w:val="5"/>
  </w:num>
  <w:num w:numId="26">
    <w:abstractNumId w:val="11"/>
  </w:num>
  <w:num w:numId="27">
    <w:abstractNumId w:val="6"/>
  </w:num>
  <w:num w:numId="28">
    <w:abstractNumId w:val="17"/>
  </w:num>
  <w:num w:numId="29">
    <w:abstractNumId w:val="23"/>
  </w:num>
  <w:num w:numId="3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00"/>
  <w:drawingGridVerticalSpacing w:val="299"/>
  <w:displayHorizontalDrawingGridEvery w:val="2"/>
  <w:noPunctuationKerning/>
  <w:characterSpacingControl w:val="doNotCompress"/>
  <w:hdrShapeDefaults>
    <o:shapedefaults v:ext="edit" spidmax="2049">
      <o:colormru v:ext="edit" colors="#eaeaea"/>
    </o:shapedefaults>
  </w:hdrShapeDefaults>
  <w:footnotePr>
    <w:numRestart w:val="eachPage"/>
    <w:footnote w:id="-1"/>
    <w:footnote w:id="0"/>
  </w:footnotePr>
  <w:endnotePr>
    <w:numFmt w:val="lowerLette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C6"/>
    <w:rsid w:val="00000795"/>
    <w:rsid w:val="000008E4"/>
    <w:rsid w:val="00000E81"/>
    <w:rsid w:val="00000EF9"/>
    <w:rsid w:val="00002CDB"/>
    <w:rsid w:val="000045EE"/>
    <w:rsid w:val="00005660"/>
    <w:rsid w:val="0000603D"/>
    <w:rsid w:val="00006253"/>
    <w:rsid w:val="00006847"/>
    <w:rsid w:val="00006B67"/>
    <w:rsid w:val="00007AC1"/>
    <w:rsid w:val="00010475"/>
    <w:rsid w:val="00010DC2"/>
    <w:rsid w:val="00010F61"/>
    <w:rsid w:val="000127B2"/>
    <w:rsid w:val="000137F3"/>
    <w:rsid w:val="000140CE"/>
    <w:rsid w:val="000149A6"/>
    <w:rsid w:val="00015A3C"/>
    <w:rsid w:val="00015B0B"/>
    <w:rsid w:val="00015F94"/>
    <w:rsid w:val="00016289"/>
    <w:rsid w:val="0001667D"/>
    <w:rsid w:val="00017898"/>
    <w:rsid w:val="00017FF4"/>
    <w:rsid w:val="00020518"/>
    <w:rsid w:val="0002270D"/>
    <w:rsid w:val="000231B0"/>
    <w:rsid w:val="00023717"/>
    <w:rsid w:val="00023E1B"/>
    <w:rsid w:val="00024037"/>
    <w:rsid w:val="00024109"/>
    <w:rsid w:val="0002446C"/>
    <w:rsid w:val="00025230"/>
    <w:rsid w:val="00025BEE"/>
    <w:rsid w:val="000264B8"/>
    <w:rsid w:val="000273E0"/>
    <w:rsid w:val="00030A77"/>
    <w:rsid w:val="00031869"/>
    <w:rsid w:val="000323FC"/>
    <w:rsid w:val="000326B3"/>
    <w:rsid w:val="00032CDF"/>
    <w:rsid w:val="00032FA0"/>
    <w:rsid w:val="00034083"/>
    <w:rsid w:val="000353F5"/>
    <w:rsid w:val="00036817"/>
    <w:rsid w:val="00036E69"/>
    <w:rsid w:val="00037153"/>
    <w:rsid w:val="00040210"/>
    <w:rsid w:val="00040ECB"/>
    <w:rsid w:val="00042B1F"/>
    <w:rsid w:val="00043C5A"/>
    <w:rsid w:val="00044025"/>
    <w:rsid w:val="00045C35"/>
    <w:rsid w:val="00045E23"/>
    <w:rsid w:val="000477F5"/>
    <w:rsid w:val="00047D3A"/>
    <w:rsid w:val="00050AE6"/>
    <w:rsid w:val="000510B1"/>
    <w:rsid w:val="00052170"/>
    <w:rsid w:val="000528F0"/>
    <w:rsid w:val="00052BC7"/>
    <w:rsid w:val="00053B3D"/>
    <w:rsid w:val="00053CFC"/>
    <w:rsid w:val="0005407B"/>
    <w:rsid w:val="00054702"/>
    <w:rsid w:val="00055A5D"/>
    <w:rsid w:val="00055D1A"/>
    <w:rsid w:val="00055E22"/>
    <w:rsid w:val="00055EEB"/>
    <w:rsid w:val="00056D81"/>
    <w:rsid w:val="00056E91"/>
    <w:rsid w:val="00056F40"/>
    <w:rsid w:val="0005732D"/>
    <w:rsid w:val="00057AAC"/>
    <w:rsid w:val="00060688"/>
    <w:rsid w:val="00060CEC"/>
    <w:rsid w:val="00062467"/>
    <w:rsid w:val="000632CC"/>
    <w:rsid w:val="0006335B"/>
    <w:rsid w:val="00063883"/>
    <w:rsid w:val="00063A9A"/>
    <w:rsid w:val="00063E1F"/>
    <w:rsid w:val="00065AA5"/>
    <w:rsid w:val="00065CD6"/>
    <w:rsid w:val="0006672F"/>
    <w:rsid w:val="00066EE6"/>
    <w:rsid w:val="00071351"/>
    <w:rsid w:val="00071EE8"/>
    <w:rsid w:val="0007217F"/>
    <w:rsid w:val="0007242C"/>
    <w:rsid w:val="000726C8"/>
    <w:rsid w:val="00072B56"/>
    <w:rsid w:val="00073169"/>
    <w:rsid w:val="00073713"/>
    <w:rsid w:val="000742AE"/>
    <w:rsid w:val="000742C8"/>
    <w:rsid w:val="000746AA"/>
    <w:rsid w:val="000748C7"/>
    <w:rsid w:val="00075C72"/>
    <w:rsid w:val="00076310"/>
    <w:rsid w:val="000763D9"/>
    <w:rsid w:val="000769CE"/>
    <w:rsid w:val="00076ED5"/>
    <w:rsid w:val="00081123"/>
    <w:rsid w:val="00082619"/>
    <w:rsid w:val="00082A86"/>
    <w:rsid w:val="0008387F"/>
    <w:rsid w:val="0008422A"/>
    <w:rsid w:val="000847CE"/>
    <w:rsid w:val="00084C64"/>
    <w:rsid w:val="00084CF0"/>
    <w:rsid w:val="00085D36"/>
    <w:rsid w:val="00086F23"/>
    <w:rsid w:val="00087A7F"/>
    <w:rsid w:val="00087D5E"/>
    <w:rsid w:val="00090DE3"/>
    <w:rsid w:val="00093920"/>
    <w:rsid w:val="000944A8"/>
    <w:rsid w:val="000966CA"/>
    <w:rsid w:val="000972E2"/>
    <w:rsid w:val="00097390"/>
    <w:rsid w:val="00097515"/>
    <w:rsid w:val="00097543"/>
    <w:rsid w:val="00097EE3"/>
    <w:rsid w:val="000A03B2"/>
    <w:rsid w:val="000A0B2D"/>
    <w:rsid w:val="000A0CD6"/>
    <w:rsid w:val="000A1918"/>
    <w:rsid w:val="000A2650"/>
    <w:rsid w:val="000A2DF9"/>
    <w:rsid w:val="000A306B"/>
    <w:rsid w:val="000A3226"/>
    <w:rsid w:val="000A3EB1"/>
    <w:rsid w:val="000A473B"/>
    <w:rsid w:val="000A4A28"/>
    <w:rsid w:val="000A61CE"/>
    <w:rsid w:val="000A726A"/>
    <w:rsid w:val="000A7979"/>
    <w:rsid w:val="000A7FE7"/>
    <w:rsid w:val="000B1730"/>
    <w:rsid w:val="000B4D14"/>
    <w:rsid w:val="000B4D44"/>
    <w:rsid w:val="000B5249"/>
    <w:rsid w:val="000B5294"/>
    <w:rsid w:val="000B6150"/>
    <w:rsid w:val="000B65D4"/>
    <w:rsid w:val="000B67EC"/>
    <w:rsid w:val="000B79E1"/>
    <w:rsid w:val="000C0F1C"/>
    <w:rsid w:val="000C2405"/>
    <w:rsid w:val="000C2E5A"/>
    <w:rsid w:val="000C3700"/>
    <w:rsid w:val="000C4626"/>
    <w:rsid w:val="000C4C0E"/>
    <w:rsid w:val="000C59F3"/>
    <w:rsid w:val="000C63C2"/>
    <w:rsid w:val="000C68E2"/>
    <w:rsid w:val="000D0F9A"/>
    <w:rsid w:val="000D148B"/>
    <w:rsid w:val="000D2C87"/>
    <w:rsid w:val="000D4AFE"/>
    <w:rsid w:val="000D6A1E"/>
    <w:rsid w:val="000D7171"/>
    <w:rsid w:val="000D72EB"/>
    <w:rsid w:val="000D7C70"/>
    <w:rsid w:val="000E0935"/>
    <w:rsid w:val="000E0A11"/>
    <w:rsid w:val="000E0B8B"/>
    <w:rsid w:val="000E0DCB"/>
    <w:rsid w:val="000E4740"/>
    <w:rsid w:val="000E49F8"/>
    <w:rsid w:val="000E4D5E"/>
    <w:rsid w:val="000E53E9"/>
    <w:rsid w:val="000E5D74"/>
    <w:rsid w:val="000E624E"/>
    <w:rsid w:val="000E6F74"/>
    <w:rsid w:val="000F0351"/>
    <w:rsid w:val="000F0D06"/>
    <w:rsid w:val="000F1A5A"/>
    <w:rsid w:val="000F2299"/>
    <w:rsid w:val="000F2800"/>
    <w:rsid w:val="000F342D"/>
    <w:rsid w:val="000F41D9"/>
    <w:rsid w:val="000F4A9B"/>
    <w:rsid w:val="000F5011"/>
    <w:rsid w:val="000F6109"/>
    <w:rsid w:val="000F7BA2"/>
    <w:rsid w:val="000F7F55"/>
    <w:rsid w:val="00100040"/>
    <w:rsid w:val="001018AD"/>
    <w:rsid w:val="00101909"/>
    <w:rsid w:val="0010341B"/>
    <w:rsid w:val="00105B4D"/>
    <w:rsid w:val="00107063"/>
    <w:rsid w:val="001077A8"/>
    <w:rsid w:val="00107E21"/>
    <w:rsid w:val="001119AC"/>
    <w:rsid w:val="00111AFB"/>
    <w:rsid w:val="001127E0"/>
    <w:rsid w:val="00112C2C"/>
    <w:rsid w:val="00114013"/>
    <w:rsid w:val="00116647"/>
    <w:rsid w:val="00117B8C"/>
    <w:rsid w:val="00120384"/>
    <w:rsid w:val="00121EC2"/>
    <w:rsid w:val="00123116"/>
    <w:rsid w:val="00123536"/>
    <w:rsid w:val="00124A33"/>
    <w:rsid w:val="00124DA9"/>
    <w:rsid w:val="00125076"/>
    <w:rsid w:val="00126355"/>
    <w:rsid w:val="00126594"/>
    <w:rsid w:val="00126FAB"/>
    <w:rsid w:val="0012764A"/>
    <w:rsid w:val="001316E4"/>
    <w:rsid w:val="00131E55"/>
    <w:rsid w:val="001321B3"/>
    <w:rsid w:val="00132A02"/>
    <w:rsid w:val="001330ED"/>
    <w:rsid w:val="001333E6"/>
    <w:rsid w:val="00133466"/>
    <w:rsid w:val="00133560"/>
    <w:rsid w:val="00134714"/>
    <w:rsid w:val="00136595"/>
    <w:rsid w:val="00137E56"/>
    <w:rsid w:val="00141C2F"/>
    <w:rsid w:val="00142187"/>
    <w:rsid w:val="001427F5"/>
    <w:rsid w:val="001439CD"/>
    <w:rsid w:val="00144E36"/>
    <w:rsid w:val="00146FDE"/>
    <w:rsid w:val="00147727"/>
    <w:rsid w:val="00147E76"/>
    <w:rsid w:val="001503AB"/>
    <w:rsid w:val="001509BA"/>
    <w:rsid w:val="00151867"/>
    <w:rsid w:val="00151B8D"/>
    <w:rsid w:val="001521F8"/>
    <w:rsid w:val="00152F1A"/>
    <w:rsid w:val="001533EC"/>
    <w:rsid w:val="00153702"/>
    <w:rsid w:val="001538FD"/>
    <w:rsid w:val="00153D2B"/>
    <w:rsid w:val="0015513C"/>
    <w:rsid w:val="001551F3"/>
    <w:rsid w:val="00155897"/>
    <w:rsid w:val="0015642F"/>
    <w:rsid w:val="001565D5"/>
    <w:rsid w:val="00156C6A"/>
    <w:rsid w:val="0015708F"/>
    <w:rsid w:val="0015770E"/>
    <w:rsid w:val="0015797B"/>
    <w:rsid w:val="00157FA0"/>
    <w:rsid w:val="0016038F"/>
    <w:rsid w:val="0016297E"/>
    <w:rsid w:val="001632AE"/>
    <w:rsid w:val="00163B9E"/>
    <w:rsid w:val="00163CF0"/>
    <w:rsid w:val="001640AF"/>
    <w:rsid w:val="00165A2E"/>
    <w:rsid w:val="00165A56"/>
    <w:rsid w:val="00167CC8"/>
    <w:rsid w:val="00170452"/>
    <w:rsid w:val="001707A9"/>
    <w:rsid w:val="00170AD3"/>
    <w:rsid w:val="00171854"/>
    <w:rsid w:val="00171DC6"/>
    <w:rsid w:val="00172EAC"/>
    <w:rsid w:val="0017410B"/>
    <w:rsid w:val="001747F8"/>
    <w:rsid w:val="00177675"/>
    <w:rsid w:val="001803C7"/>
    <w:rsid w:val="00180522"/>
    <w:rsid w:val="00180956"/>
    <w:rsid w:val="00181441"/>
    <w:rsid w:val="00181AE2"/>
    <w:rsid w:val="00181D1A"/>
    <w:rsid w:val="00182296"/>
    <w:rsid w:val="0018330E"/>
    <w:rsid w:val="0018381E"/>
    <w:rsid w:val="00183FE7"/>
    <w:rsid w:val="00184301"/>
    <w:rsid w:val="00184965"/>
    <w:rsid w:val="00184D39"/>
    <w:rsid w:val="00185597"/>
    <w:rsid w:val="00185ABB"/>
    <w:rsid w:val="00186D85"/>
    <w:rsid w:val="00186DF4"/>
    <w:rsid w:val="00186FDC"/>
    <w:rsid w:val="0018786C"/>
    <w:rsid w:val="001879B5"/>
    <w:rsid w:val="00191343"/>
    <w:rsid w:val="00191420"/>
    <w:rsid w:val="00191FFF"/>
    <w:rsid w:val="00194D09"/>
    <w:rsid w:val="001951C5"/>
    <w:rsid w:val="001952A2"/>
    <w:rsid w:val="0019531E"/>
    <w:rsid w:val="00195365"/>
    <w:rsid w:val="0019588B"/>
    <w:rsid w:val="001958C9"/>
    <w:rsid w:val="00196DEA"/>
    <w:rsid w:val="001A02E8"/>
    <w:rsid w:val="001A0DE4"/>
    <w:rsid w:val="001A12F8"/>
    <w:rsid w:val="001A1462"/>
    <w:rsid w:val="001A1C9B"/>
    <w:rsid w:val="001A3F92"/>
    <w:rsid w:val="001A4186"/>
    <w:rsid w:val="001A48CC"/>
    <w:rsid w:val="001A4FAB"/>
    <w:rsid w:val="001A51EA"/>
    <w:rsid w:val="001A7364"/>
    <w:rsid w:val="001B1350"/>
    <w:rsid w:val="001B336D"/>
    <w:rsid w:val="001B3B0B"/>
    <w:rsid w:val="001B62E9"/>
    <w:rsid w:val="001B6597"/>
    <w:rsid w:val="001B6951"/>
    <w:rsid w:val="001B7086"/>
    <w:rsid w:val="001B791B"/>
    <w:rsid w:val="001B7EA2"/>
    <w:rsid w:val="001C00CA"/>
    <w:rsid w:val="001C02D1"/>
    <w:rsid w:val="001C14C5"/>
    <w:rsid w:val="001C1FD9"/>
    <w:rsid w:val="001C3638"/>
    <w:rsid w:val="001C377F"/>
    <w:rsid w:val="001C413B"/>
    <w:rsid w:val="001C4410"/>
    <w:rsid w:val="001C5019"/>
    <w:rsid w:val="001C512C"/>
    <w:rsid w:val="001C5322"/>
    <w:rsid w:val="001C5592"/>
    <w:rsid w:val="001C559A"/>
    <w:rsid w:val="001C64F5"/>
    <w:rsid w:val="001C6AE0"/>
    <w:rsid w:val="001C7305"/>
    <w:rsid w:val="001C77D9"/>
    <w:rsid w:val="001D0471"/>
    <w:rsid w:val="001D0645"/>
    <w:rsid w:val="001D13FC"/>
    <w:rsid w:val="001D1DDE"/>
    <w:rsid w:val="001D281B"/>
    <w:rsid w:val="001D307E"/>
    <w:rsid w:val="001D40EC"/>
    <w:rsid w:val="001D4581"/>
    <w:rsid w:val="001D481C"/>
    <w:rsid w:val="001D5291"/>
    <w:rsid w:val="001D55A0"/>
    <w:rsid w:val="001D5FC3"/>
    <w:rsid w:val="001D7202"/>
    <w:rsid w:val="001D7536"/>
    <w:rsid w:val="001D7798"/>
    <w:rsid w:val="001E0861"/>
    <w:rsid w:val="001E0A82"/>
    <w:rsid w:val="001E198B"/>
    <w:rsid w:val="001E2F72"/>
    <w:rsid w:val="001E3568"/>
    <w:rsid w:val="001E3DBF"/>
    <w:rsid w:val="001E5A47"/>
    <w:rsid w:val="001E5F6D"/>
    <w:rsid w:val="001E60C4"/>
    <w:rsid w:val="001E6201"/>
    <w:rsid w:val="001E65A0"/>
    <w:rsid w:val="001E7792"/>
    <w:rsid w:val="001F02C1"/>
    <w:rsid w:val="001F0F4F"/>
    <w:rsid w:val="001F2C90"/>
    <w:rsid w:val="001F33F2"/>
    <w:rsid w:val="001F390B"/>
    <w:rsid w:val="001F3BB6"/>
    <w:rsid w:val="001F49C2"/>
    <w:rsid w:val="001F6DF8"/>
    <w:rsid w:val="001F7224"/>
    <w:rsid w:val="001F738A"/>
    <w:rsid w:val="001F762B"/>
    <w:rsid w:val="001F764C"/>
    <w:rsid w:val="00201967"/>
    <w:rsid w:val="00201A50"/>
    <w:rsid w:val="00202449"/>
    <w:rsid w:val="0020388B"/>
    <w:rsid w:val="00204179"/>
    <w:rsid w:val="00204A98"/>
    <w:rsid w:val="00204CED"/>
    <w:rsid w:val="002055B9"/>
    <w:rsid w:val="00207BE2"/>
    <w:rsid w:val="0021051E"/>
    <w:rsid w:val="002108C3"/>
    <w:rsid w:val="002110E1"/>
    <w:rsid w:val="002110EA"/>
    <w:rsid w:val="00211120"/>
    <w:rsid w:val="00211BB7"/>
    <w:rsid w:val="00212E98"/>
    <w:rsid w:val="00213386"/>
    <w:rsid w:val="00215860"/>
    <w:rsid w:val="00215B94"/>
    <w:rsid w:val="0021651F"/>
    <w:rsid w:val="002167E7"/>
    <w:rsid w:val="0022149A"/>
    <w:rsid w:val="002214B0"/>
    <w:rsid w:val="00221676"/>
    <w:rsid w:val="002219D5"/>
    <w:rsid w:val="00221AD3"/>
    <w:rsid w:val="00221D10"/>
    <w:rsid w:val="00221EE2"/>
    <w:rsid w:val="00222814"/>
    <w:rsid w:val="00222B3B"/>
    <w:rsid w:val="0022375F"/>
    <w:rsid w:val="0022439F"/>
    <w:rsid w:val="00224C22"/>
    <w:rsid w:val="00225232"/>
    <w:rsid w:val="00225368"/>
    <w:rsid w:val="00226442"/>
    <w:rsid w:val="00230163"/>
    <w:rsid w:val="00230E73"/>
    <w:rsid w:val="00230E91"/>
    <w:rsid w:val="0023372E"/>
    <w:rsid w:val="00233BD5"/>
    <w:rsid w:val="00233CCA"/>
    <w:rsid w:val="00234213"/>
    <w:rsid w:val="002368B7"/>
    <w:rsid w:val="00237734"/>
    <w:rsid w:val="00240474"/>
    <w:rsid w:val="00240B97"/>
    <w:rsid w:val="00240BFB"/>
    <w:rsid w:val="00240D4F"/>
    <w:rsid w:val="002415D4"/>
    <w:rsid w:val="0024278B"/>
    <w:rsid w:val="00242E69"/>
    <w:rsid w:val="002432A3"/>
    <w:rsid w:val="00243A99"/>
    <w:rsid w:val="00244419"/>
    <w:rsid w:val="0024476A"/>
    <w:rsid w:val="00244C45"/>
    <w:rsid w:val="00244D85"/>
    <w:rsid w:val="002452B5"/>
    <w:rsid w:val="00245D54"/>
    <w:rsid w:val="002465FE"/>
    <w:rsid w:val="002469ED"/>
    <w:rsid w:val="002479E7"/>
    <w:rsid w:val="00247D02"/>
    <w:rsid w:val="00247E75"/>
    <w:rsid w:val="0025028B"/>
    <w:rsid w:val="00250399"/>
    <w:rsid w:val="00251181"/>
    <w:rsid w:val="00251EA7"/>
    <w:rsid w:val="002538B8"/>
    <w:rsid w:val="00254B5D"/>
    <w:rsid w:val="00254D41"/>
    <w:rsid w:val="00255307"/>
    <w:rsid w:val="00255822"/>
    <w:rsid w:val="00255AB1"/>
    <w:rsid w:val="002560E0"/>
    <w:rsid w:val="0025665C"/>
    <w:rsid w:val="00256FB0"/>
    <w:rsid w:val="00260764"/>
    <w:rsid w:val="00260DA1"/>
    <w:rsid w:val="002621DC"/>
    <w:rsid w:val="002624B9"/>
    <w:rsid w:val="00262BBD"/>
    <w:rsid w:val="0026336D"/>
    <w:rsid w:val="00264F64"/>
    <w:rsid w:val="00265363"/>
    <w:rsid w:val="002667B6"/>
    <w:rsid w:val="00266BC8"/>
    <w:rsid w:val="00272547"/>
    <w:rsid w:val="00272795"/>
    <w:rsid w:val="00272F95"/>
    <w:rsid w:val="00274D37"/>
    <w:rsid w:val="00275068"/>
    <w:rsid w:val="002767D1"/>
    <w:rsid w:val="00276B13"/>
    <w:rsid w:val="00276F4A"/>
    <w:rsid w:val="00277C4C"/>
    <w:rsid w:val="00280C26"/>
    <w:rsid w:val="0028184F"/>
    <w:rsid w:val="002818AB"/>
    <w:rsid w:val="002833DF"/>
    <w:rsid w:val="0028423E"/>
    <w:rsid w:val="00284D98"/>
    <w:rsid w:val="00285250"/>
    <w:rsid w:val="00285AFB"/>
    <w:rsid w:val="00287783"/>
    <w:rsid w:val="00287DD4"/>
    <w:rsid w:val="002902DB"/>
    <w:rsid w:val="0029125F"/>
    <w:rsid w:val="002913CE"/>
    <w:rsid w:val="002929F6"/>
    <w:rsid w:val="00293719"/>
    <w:rsid w:val="00293773"/>
    <w:rsid w:val="00293B2A"/>
    <w:rsid w:val="0029414E"/>
    <w:rsid w:val="002944AA"/>
    <w:rsid w:val="00294D14"/>
    <w:rsid w:val="00294F1D"/>
    <w:rsid w:val="00294FA7"/>
    <w:rsid w:val="002953EE"/>
    <w:rsid w:val="00295909"/>
    <w:rsid w:val="00296B2B"/>
    <w:rsid w:val="00297019"/>
    <w:rsid w:val="00297E82"/>
    <w:rsid w:val="002A1C6D"/>
    <w:rsid w:val="002A22C5"/>
    <w:rsid w:val="002A3021"/>
    <w:rsid w:val="002A33AF"/>
    <w:rsid w:val="002A3AD7"/>
    <w:rsid w:val="002A3F93"/>
    <w:rsid w:val="002A53E3"/>
    <w:rsid w:val="002A57ED"/>
    <w:rsid w:val="002A5C00"/>
    <w:rsid w:val="002A5E24"/>
    <w:rsid w:val="002A5F25"/>
    <w:rsid w:val="002A6FC1"/>
    <w:rsid w:val="002A7299"/>
    <w:rsid w:val="002A7EE7"/>
    <w:rsid w:val="002B09A8"/>
    <w:rsid w:val="002B0BE7"/>
    <w:rsid w:val="002B0DEA"/>
    <w:rsid w:val="002B119E"/>
    <w:rsid w:val="002B17F0"/>
    <w:rsid w:val="002B1D8A"/>
    <w:rsid w:val="002B1DF2"/>
    <w:rsid w:val="002B1E97"/>
    <w:rsid w:val="002B2004"/>
    <w:rsid w:val="002B259C"/>
    <w:rsid w:val="002B289C"/>
    <w:rsid w:val="002B2EF8"/>
    <w:rsid w:val="002B302F"/>
    <w:rsid w:val="002B4237"/>
    <w:rsid w:val="002B4652"/>
    <w:rsid w:val="002B48D2"/>
    <w:rsid w:val="002B4B84"/>
    <w:rsid w:val="002B4CA5"/>
    <w:rsid w:val="002B5D0B"/>
    <w:rsid w:val="002C0DE2"/>
    <w:rsid w:val="002C13FE"/>
    <w:rsid w:val="002C162E"/>
    <w:rsid w:val="002C217A"/>
    <w:rsid w:val="002C2B83"/>
    <w:rsid w:val="002C2EBE"/>
    <w:rsid w:val="002C3325"/>
    <w:rsid w:val="002C44CE"/>
    <w:rsid w:val="002C576F"/>
    <w:rsid w:val="002C79E5"/>
    <w:rsid w:val="002C7EBB"/>
    <w:rsid w:val="002D0264"/>
    <w:rsid w:val="002D1594"/>
    <w:rsid w:val="002D2866"/>
    <w:rsid w:val="002D2FBD"/>
    <w:rsid w:val="002D3264"/>
    <w:rsid w:val="002D3351"/>
    <w:rsid w:val="002D37D9"/>
    <w:rsid w:val="002D382C"/>
    <w:rsid w:val="002D3E02"/>
    <w:rsid w:val="002D41BB"/>
    <w:rsid w:val="002D5E0D"/>
    <w:rsid w:val="002D6E38"/>
    <w:rsid w:val="002D73B5"/>
    <w:rsid w:val="002D78EC"/>
    <w:rsid w:val="002D7B1D"/>
    <w:rsid w:val="002E0839"/>
    <w:rsid w:val="002E09C8"/>
    <w:rsid w:val="002E1BA8"/>
    <w:rsid w:val="002E4403"/>
    <w:rsid w:val="002E462C"/>
    <w:rsid w:val="002E4D91"/>
    <w:rsid w:val="002E5D60"/>
    <w:rsid w:val="002E7AF8"/>
    <w:rsid w:val="002E7D41"/>
    <w:rsid w:val="002F0A8F"/>
    <w:rsid w:val="002F0BD1"/>
    <w:rsid w:val="002F12E1"/>
    <w:rsid w:val="002F5AC1"/>
    <w:rsid w:val="002F5BAF"/>
    <w:rsid w:val="002F7ED3"/>
    <w:rsid w:val="0030215E"/>
    <w:rsid w:val="00302AA4"/>
    <w:rsid w:val="00302ABA"/>
    <w:rsid w:val="00303ACA"/>
    <w:rsid w:val="00304458"/>
    <w:rsid w:val="003054D9"/>
    <w:rsid w:val="00305B9B"/>
    <w:rsid w:val="00305CF6"/>
    <w:rsid w:val="00305D99"/>
    <w:rsid w:val="0030620B"/>
    <w:rsid w:val="003102BB"/>
    <w:rsid w:val="00310EFA"/>
    <w:rsid w:val="00311034"/>
    <w:rsid w:val="003124B3"/>
    <w:rsid w:val="003127C5"/>
    <w:rsid w:val="003127FA"/>
    <w:rsid w:val="003139A7"/>
    <w:rsid w:val="003141F6"/>
    <w:rsid w:val="0031447D"/>
    <w:rsid w:val="00315436"/>
    <w:rsid w:val="003155F1"/>
    <w:rsid w:val="003156BA"/>
    <w:rsid w:val="003158D9"/>
    <w:rsid w:val="0031657A"/>
    <w:rsid w:val="00316C00"/>
    <w:rsid w:val="00320261"/>
    <w:rsid w:val="00320C68"/>
    <w:rsid w:val="0032185B"/>
    <w:rsid w:val="0032304A"/>
    <w:rsid w:val="00325ACE"/>
    <w:rsid w:val="003267F7"/>
    <w:rsid w:val="0032709E"/>
    <w:rsid w:val="00327697"/>
    <w:rsid w:val="003317F7"/>
    <w:rsid w:val="00331B81"/>
    <w:rsid w:val="00331B95"/>
    <w:rsid w:val="00332B96"/>
    <w:rsid w:val="00334536"/>
    <w:rsid w:val="00334AD4"/>
    <w:rsid w:val="00334C47"/>
    <w:rsid w:val="003351ED"/>
    <w:rsid w:val="00335920"/>
    <w:rsid w:val="00335DB5"/>
    <w:rsid w:val="00337977"/>
    <w:rsid w:val="0034010B"/>
    <w:rsid w:val="003405E7"/>
    <w:rsid w:val="00340704"/>
    <w:rsid w:val="003414E3"/>
    <w:rsid w:val="00341A02"/>
    <w:rsid w:val="00341E5A"/>
    <w:rsid w:val="0034548F"/>
    <w:rsid w:val="00347799"/>
    <w:rsid w:val="003477B2"/>
    <w:rsid w:val="00350457"/>
    <w:rsid w:val="00350C2F"/>
    <w:rsid w:val="00350DDD"/>
    <w:rsid w:val="00351162"/>
    <w:rsid w:val="003513B3"/>
    <w:rsid w:val="003517FC"/>
    <w:rsid w:val="00351C46"/>
    <w:rsid w:val="00351F2F"/>
    <w:rsid w:val="003520DD"/>
    <w:rsid w:val="00352FDA"/>
    <w:rsid w:val="00353C77"/>
    <w:rsid w:val="00354E58"/>
    <w:rsid w:val="00354ECB"/>
    <w:rsid w:val="00355574"/>
    <w:rsid w:val="00355C77"/>
    <w:rsid w:val="00355E24"/>
    <w:rsid w:val="00357FF7"/>
    <w:rsid w:val="003601A3"/>
    <w:rsid w:val="0036039B"/>
    <w:rsid w:val="003613A0"/>
    <w:rsid w:val="00362C7E"/>
    <w:rsid w:val="00364535"/>
    <w:rsid w:val="00365185"/>
    <w:rsid w:val="00365367"/>
    <w:rsid w:val="003656F7"/>
    <w:rsid w:val="00365B73"/>
    <w:rsid w:val="003674C5"/>
    <w:rsid w:val="003675AA"/>
    <w:rsid w:val="00367787"/>
    <w:rsid w:val="003700B8"/>
    <w:rsid w:val="003715E0"/>
    <w:rsid w:val="0037304B"/>
    <w:rsid w:val="00375C42"/>
    <w:rsid w:val="00375F02"/>
    <w:rsid w:val="00376906"/>
    <w:rsid w:val="003776A6"/>
    <w:rsid w:val="00380ADE"/>
    <w:rsid w:val="00380E49"/>
    <w:rsid w:val="003813DC"/>
    <w:rsid w:val="00381ED8"/>
    <w:rsid w:val="003828C9"/>
    <w:rsid w:val="00382A77"/>
    <w:rsid w:val="003834F6"/>
    <w:rsid w:val="003841D8"/>
    <w:rsid w:val="00384985"/>
    <w:rsid w:val="003850A5"/>
    <w:rsid w:val="003867AC"/>
    <w:rsid w:val="0038754C"/>
    <w:rsid w:val="003900B2"/>
    <w:rsid w:val="00391723"/>
    <w:rsid w:val="00391C9D"/>
    <w:rsid w:val="00392980"/>
    <w:rsid w:val="0039385F"/>
    <w:rsid w:val="00394337"/>
    <w:rsid w:val="003951EB"/>
    <w:rsid w:val="003956D0"/>
    <w:rsid w:val="00396313"/>
    <w:rsid w:val="003963F8"/>
    <w:rsid w:val="00397777"/>
    <w:rsid w:val="003A1958"/>
    <w:rsid w:val="003A2EBE"/>
    <w:rsid w:val="003A66AF"/>
    <w:rsid w:val="003A67CC"/>
    <w:rsid w:val="003A70A5"/>
    <w:rsid w:val="003A73B4"/>
    <w:rsid w:val="003B0A3F"/>
    <w:rsid w:val="003B31D8"/>
    <w:rsid w:val="003B3A0E"/>
    <w:rsid w:val="003B54DF"/>
    <w:rsid w:val="003B5756"/>
    <w:rsid w:val="003B5CB7"/>
    <w:rsid w:val="003B5DDC"/>
    <w:rsid w:val="003B6079"/>
    <w:rsid w:val="003B60B6"/>
    <w:rsid w:val="003B630A"/>
    <w:rsid w:val="003B644F"/>
    <w:rsid w:val="003B7504"/>
    <w:rsid w:val="003B7782"/>
    <w:rsid w:val="003C20D8"/>
    <w:rsid w:val="003C2801"/>
    <w:rsid w:val="003C2C72"/>
    <w:rsid w:val="003C2D5F"/>
    <w:rsid w:val="003C4011"/>
    <w:rsid w:val="003C4695"/>
    <w:rsid w:val="003C4F74"/>
    <w:rsid w:val="003C5176"/>
    <w:rsid w:val="003C592D"/>
    <w:rsid w:val="003C5AE4"/>
    <w:rsid w:val="003C6B15"/>
    <w:rsid w:val="003D042C"/>
    <w:rsid w:val="003D177F"/>
    <w:rsid w:val="003D2462"/>
    <w:rsid w:val="003D31F9"/>
    <w:rsid w:val="003D330C"/>
    <w:rsid w:val="003D3D88"/>
    <w:rsid w:val="003D44AB"/>
    <w:rsid w:val="003D46A8"/>
    <w:rsid w:val="003D4A75"/>
    <w:rsid w:val="003D4FC6"/>
    <w:rsid w:val="003D5801"/>
    <w:rsid w:val="003D678D"/>
    <w:rsid w:val="003D68E5"/>
    <w:rsid w:val="003D69B8"/>
    <w:rsid w:val="003D6D7E"/>
    <w:rsid w:val="003D7169"/>
    <w:rsid w:val="003D722E"/>
    <w:rsid w:val="003E0EBE"/>
    <w:rsid w:val="003E1BE2"/>
    <w:rsid w:val="003E225C"/>
    <w:rsid w:val="003E3057"/>
    <w:rsid w:val="003E3375"/>
    <w:rsid w:val="003E3417"/>
    <w:rsid w:val="003E439F"/>
    <w:rsid w:val="003E45BE"/>
    <w:rsid w:val="003E68B3"/>
    <w:rsid w:val="003E6AC8"/>
    <w:rsid w:val="003E6EB4"/>
    <w:rsid w:val="003F03DA"/>
    <w:rsid w:val="003F0699"/>
    <w:rsid w:val="003F192C"/>
    <w:rsid w:val="003F232D"/>
    <w:rsid w:val="003F2BEB"/>
    <w:rsid w:val="003F32C2"/>
    <w:rsid w:val="003F3E38"/>
    <w:rsid w:val="003F415F"/>
    <w:rsid w:val="003F48F3"/>
    <w:rsid w:val="003F4CF0"/>
    <w:rsid w:val="003F6B85"/>
    <w:rsid w:val="003F6F7C"/>
    <w:rsid w:val="0040004A"/>
    <w:rsid w:val="004003B5"/>
    <w:rsid w:val="00400B5C"/>
    <w:rsid w:val="00403378"/>
    <w:rsid w:val="00403603"/>
    <w:rsid w:val="00404F67"/>
    <w:rsid w:val="004054C6"/>
    <w:rsid w:val="0040582F"/>
    <w:rsid w:val="004063B4"/>
    <w:rsid w:val="00406440"/>
    <w:rsid w:val="0040692C"/>
    <w:rsid w:val="00407F64"/>
    <w:rsid w:val="00410CCD"/>
    <w:rsid w:val="00410ECB"/>
    <w:rsid w:val="00411160"/>
    <w:rsid w:val="00411DF4"/>
    <w:rsid w:val="00412156"/>
    <w:rsid w:val="00412880"/>
    <w:rsid w:val="00412BE9"/>
    <w:rsid w:val="00414876"/>
    <w:rsid w:val="004155AC"/>
    <w:rsid w:val="00415E11"/>
    <w:rsid w:val="00417C39"/>
    <w:rsid w:val="004209BB"/>
    <w:rsid w:val="00421015"/>
    <w:rsid w:val="00422168"/>
    <w:rsid w:val="00422D4D"/>
    <w:rsid w:val="00423B98"/>
    <w:rsid w:val="00423C6C"/>
    <w:rsid w:val="00423C75"/>
    <w:rsid w:val="00424CC7"/>
    <w:rsid w:val="00424FD8"/>
    <w:rsid w:val="00425FA0"/>
    <w:rsid w:val="00426555"/>
    <w:rsid w:val="00426656"/>
    <w:rsid w:val="00426EEC"/>
    <w:rsid w:val="00426FA7"/>
    <w:rsid w:val="004318C8"/>
    <w:rsid w:val="00431E60"/>
    <w:rsid w:val="00432FF4"/>
    <w:rsid w:val="004333B2"/>
    <w:rsid w:val="004356FF"/>
    <w:rsid w:val="00435710"/>
    <w:rsid w:val="00435B3C"/>
    <w:rsid w:val="00435D9E"/>
    <w:rsid w:val="00436D69"/>
    <w:rsid w:val="004374FB"/>
    <w:rsid w:val="00437E45"/>
    <w:rsid w:val="004410F8"/>
    <w:rsid w:val="004412C6"/>
    <w:rsid w:val="00444791"/>
    <w:rsid w:val="00444AAD"/>
    <w:rsid w:val="00444CE8"/>
    <w:rsid w:val="00445E20"/>
    <w:rsid w:val="00447952"/>
    <w:rsid w:val="0045087F"/>
    <w:rsid w:val="004514AA"/>
    <w:rsid w:val="00452B01"/>
    <w:rsid w:val="00453909"/>
    <w:rsid w:val="00455C45"/>
    <w:rsid w:val="00455CCE"/>
    <w:rsid w:val="00455D16"/>
    <w:rsid w:val="00456091"/>
    <w:rsid w:val="00456597"/>
    <w:rsid w:val="00456BC8"/>
    <w:rsid w:val="004577DD"/>
    <w:rsid w:val="0046096F"/>
    <w:rsid w:val="004611EC"/>
    <w:rsid w:val="00462A90"/>
    <w:rsid w:val="00463922"/>
    <w:rsid w:val="00463BFA"/>
    <w:rsid w:val="00464C33"/>
    <w:rsid w:val="00465309"/>
    <w:rsid w:val="00465D44"/>
    <w:rsid w:val="00466186"/>
    <w:rsid w:val="004665A0"/>
    <w:rsid w:val="00467125"/>
    <w:rsid w:val="004679B4"/>
    <w:rsid w:val="00470202"/>
    <w:rsid w:val="0047041C"/>
    <w:rsid w:val="004704DA"/>
    <w:rsid w:val="00472EAF"/>
    <w:rsid w:val="00473027"/>
    <w:rsid w:val="0047314C"/>
    <w:rsid w:val="00473A4A"/>
    <w:rsid w:val="00473B27"/>
    <w:rsid w:val="0047433B"/>
    <w:rsid w:val="004756D8"/>
    <w:rsid w:val="00477499"/>
    <w:rsid w:val="00477C41"/>
    <w:rsid w:val="00481ECB"/>
    <w:rsid w:val="004820F0"/>
    <w:rsid w:val="004828CC"/>
    <w:rsid w:val="0048358A"/>
    <w:rsid w:val="00486636"/>
    <w:rsid w:val="004868DD"/>
    <w:rsid w:val="00486D07"/>
    <w:rsid w:val="00486F14"/>
    <w:rsid w:val="004872BC"/>
    <w:rsid w:val="00490241"/>
    <w:rsid w:val="00490C5E"/>
    <w:rsid w:val="004913BB"/>
    <w:rsid w:val="00491760"/>
    <w:rsid w:val="00492A98"/>
    <w:rsid w:val="00492C69"/>
    <w:rsid w:val="0049355A"/>
    <w:rsid w:val="00493D0D"/>
    <w:rsid w:val="00494289"/>
    <w:rsid w:val="00494966"/>
    <w:rsid w:val="00496642"/>
    <w:rsid w:val="00496778"/>
    <w:rsid w:val="00496C24"/>
    <w:rsid w:val="004975A1"/>
    <w:rsid w:val="004A188D"/>
    <w:rsid w:val="004A211D"/>
    <w:rsid w:val="004A235C"/>
    <w:rsid w:val="004A380C"/>
    <w:rsid w:val="004A4A6B"/>
    <w:rsid w:val="004A59CB"/>
    <w:rsid w:val="004A6458"/>
    <w:rsid w:val="004A72F3"/>
    <w:rsid w:val="004A7360"/>
    <w:rsid w:val="004A79D6"/>
    <w:rsid w:val="004B0429"/>
    <w:rsid w:val="004B0520"/>
    <w:rsid w:val="004B08FC"/>
    <w:rsid w:val="004B16CB"/>
    <w:rsid w:val="004B229E"/>
    <w:rsid w:val="004B246E"/>
    <w:rsid w:val="004B2EE2"/>
    <w:rsid w:val="004B383E"/>
    <w:rsid w:val="004B4020"/>
    <w:rsid w:val="004B48CE"/>
    <w:rsid w:val="004B60E0"/>
    <w:rsid w:val="004B6E29"/>
    <w:rsid w:val="004B72C8"/>
    <w:rsid w:val="004B7B10"/>
    <w:rsid w:val="004C0FB2"/>
    <w:rsid w:val="004C13A9"/>
    <w:rsid w:val="004C22FC"/>
    <w:rsid w:val="004C2705"/>
    <w:rsid w:val="004C3B79"/>
    <w:rsid w:val="004C3C3A"/>
    <w:rsid w:val="004C3DF2"/>
    <w:rsid w:val="004C424D"/>
    <w:rsid w:val="004C4E01"/>
    <w:rsid w:val="004C5745"/>
    <w:rsid w:val="004C5A0E"/>
    <w:rsid w:val="004C5CFF"/>
    <w:rsid w:val="004C6839"/>
    <w:rsid w:val="004C7AF1"/>
    <w:rsid w:val="004D11B7"/>
    <w:rsid w:val="004D1C55"/>
    <w:rsid w:val="004D1CAB"/>
    <w:rsid w:val="004D1F1B"/>
    <w:rsid w:val="004D22D4"/>
    <w:rsid w:val="004D4533"/>
    <w:rsid w:val="004D4888"/>
    <w:rsid w:val="004D4D73"/>
    <w:rsid w:val="004D50C7"/>
    <w:rsid w:val="004D523E"/>
    <w:rsid w:val="004D64F3"/>
    <w:rsid w:val="004D6E5B"/>
    <w:rsid w:val="004D76B1"/>
    <w:rsid w:val="004D76F9"/>
    <w:rsid w:val="004D79AB"/>
    <w:rsid w:val="004E062A"/>
    <w:rsid w:val="004E2858"/>
    <w:rsid w:val="004E3004"/>
    <w:rsid w:val="004E3217"/>
    <w:rsid w:val="004E37FE"/>
    <w:rsid w:val="004E3A03"/>
    <w:rsid w:val="004E599C"/>
    <w:rsid w:val="004E6805"/>
    <w:rsid w:val="004E6B9D"/>
    <w:rsid w:val="004E7C2B"/>
    <w:rsid w:val="004E7E9C"/>
    <w:rsid w:val="004F048E"/>
    <w:rsid w:val="004F07A3"/>
    <w:rsid w:val="004F089A"/>
    <w:rsid w:val="004F1526"/>
    <w:rsid w:val="004F2D51"/>
    <w:rsid w:val="004F4E53"/>
    <w:rsid w:val="004F52E5"/>
    <w:rsid w:val="004F68F7"/>
    <w:rsid w:val="004F6FEF"/>
    <w:rsid w:val="004F712D"/>
    <w:rsid w:val="004F7D3D"/>
    <w:rsid w:val="00500170"/>
    <w:rsid w:val="00500773"/>
    <w:rsid w:val="00501877"/>
    <w:rsid w:val="00501B4F"/>
    <w:rsid w:val="00501F38"/>
    <w:rsid w:val="00502158"/>
    <w:rsid w:val="00502EC9"/>
    <w:rsid w:val="005034BD"/>
    <w:rsid w:val="00505EF4"/>
    <w:rsid w:val="00506022"/>
    <w:rsid w:val="0050610C"/>
    <w:rsid w:val="005063E4"/>
    <w:rsid w:val="0050707F"/>
    <w:rsid w:val="00507968"/>
    <w:rsid w:val="00507D49"/>
    <w:rsid w:val="00507F40"/>
    <w:rsid w:val="00510BC7"/>
    <w:rsid w:val="00511402"/>
    <w:rsid w:val="00511732"/>
    <w:rsid w:val="00513AA7"/>
    <w:rsid w:val="005148A6"/>
    <w:rsid w:val="00514AB7"/>
    <w:rsid w:val="00514CC5"/>
    <w:rsid w:val="00516850"/>
    <w:rsid w:val="00516CBD"/>
    <w:rsid w:val="0051753E"/>
    <w:rsid w:val="00517C4D"/>
    <w:rsid w:val="00521B6D"/>
    <w:rsid w:val="00522488"/>
    <w:rsid w:val="0052385D"/>
    <w:rsid w:val="00524BDA"/>
    <w:rsid w:val="0052577C"/>
    <w:rsid w:val="00526146"/>
    <w:rsid w:val="00526253"/>
    <w:rsid w:val="0052664C"/>
    <w:rsid w:val="005303DF"/>
    <w:rsid w:val="00530876"/>
    <w:rsid w:val="00530E0E"/>
    <w:rsid w:val="00533249"/>
    <w:rsid w:val="005339A7"/>
    <w:rsid w:val="0053418A"/>
    <w:rsid w:val="005353ED"/>
    <w:rsid w:val="00535FA4"/>
    <w:rsid w:val="00535FB8"/>
    <w:rsid w:val="005377E7"/>
    <w:rsid w:val="00537AE6"/>
    <w:rsid w:val="005404E8"/>
    <w:rsid w:val="005413B2"/>
    <w:rsid w:val="00541971"/>
    <w:rsid w:val="005420A6"/>
    <w:rsid w:val="005424A1"/>
    <w:rsid w:val="00543188"/>
    <w:rsid w:val="0054377C"/>
    <w:rsid w:val="0054392B"/>
    <w:rsid w:val="0054462D"/>
    <w:rsid w:val="00544C26"/>
    <w:rsid w:val="00545839"/>
    <w:rsid w:val="005501AE"/>
    <w:rsid w:val="00550460"/>
    <w:rsid w:val="00550BF4"/>
    <w:rsid w:val="00551028"/>
    <w:rsid w:val="005520A9"/>
    <w:rsid w:val="00552923"/>
    <w:rsid w:val="00552DFE"/>
    <w:rsid w:val="00555C1F"/>
    <w:rsid w:val="00556436"/>
    <w:rsid w:val="00556979"/>
    <w:rsid w:val="00557585"/>
    <w:rsid w:val="00560424"/>
    <w:rsid w:val="0056132D"/>
    <w:rsid w:val="00561E23"/>
    <w:rsid w:val="00561FD8"/>
    <w:rsid w:val="005623AD"/>
    <w:rsid w:val="00562477"/>
    <w:rsid w:val="00562698"/>
    <w:rsid w:val="0056298B"/>
    <w:rsid w:val="00562CA2"/>
    <w:rsid w:val="00563059"/>
    <w:rsid w:val="00563412"/>
    <w:rsid w:val="00563729"/>
    <w:rsid w:val="00565471"/>
    <w:rsid w:val="00565838"/>
    <w:rsid w:val="00565FB0"/>
    <w:rsid w:val="005673A2"/>
    <w:rsid w:val="00570CD4"/>
    <w:rsid w:val="005719A3"/>
    <w:rsid w:val="00571BF2"/>
    <w:rsid w:val="00571F12"/>
    <w:rsid w:val="00573AE6"/>
    <w:rsid w:val="005750D8"/>
    <w:rsid w:val="00575E3C"/>
    <w:rsid w:val="005767A3"/>
    <w:rsid w:val="005777E4"/>
    <w:rsid w:val="00577999"/>
    <w:rsid w:val="00577DDE"/>
    <w:rsid w:val="00580A09"/>
    <w:rsid w:val="005828F5"/>
    <w:rsid w:val="00582B70"/>
    <w:rsid w:val="0058491E"/>
    <w:rsid w:val="00584BF3"/>
    <w:rsid w:val="005866AC"/>
    <w:rsid w:val="00586C64"/>
    <w:rsid w:val="00587297"/>
    <w:rsid w:val="005874AB"/>
    <w:rsid w:val="00587EFE"/>
    <w:rsid w:val="00593917"/>
    <w:rsid w:val="0059400E"/>
    <w:rsid w:val="005941CF"/>
    <w:rsid w:val="00594F8E"/>
    <w:rsid w:val="0059511D"/>
    <w:rsid w:val="00595A79"/>
    <w:rsid w:val="0059639B"/>
    <w:rsid w:val="00597F96"/>
    <w:rsid w:val="005A14C7"/>
    <w:rsid w:val="005A4D94"/>
    <w:rsid w:val="005A4E79"/>
    <w:rsid w:val="005A5238"/>
    <w:rsid w:val="005A606E"/>
    <w:rsid w:val="005A7CCD"/>
    <w:rsid w:val="005B0BAA"/>
    <w:rsid w:val="005B0E85"/>
    <w:rsid w:val="005B334B"/>
    <w:rsid w:val="005B3CD0"/>
    <w:rsid w:val="005B3DEF"/>
    <w:rsid w:val="005B51AB"/>
    <w:rsid w:val="005B5384"/>
    <w:rsid w:val="005B5AC6"/>
    <w:rsid w:val="005B614F"/>
    <w:rsid w:val="005B6A36"/>
    <w:rsid w:val="005B6A6B"/>
    <w:rsid w:val="005B6F8E"/>
    <w:rsid w:val="005B7B66"/>
    <w:rsid w:val="005C16CA"/>
    <w:rsid w:val="005C17D2"/>
    <w:rsid w:val="005C3D2A"/>
    <w:rsid w:val="005C5DEA"/>
    <w:rsid w:val="005C6243"/>
    <w:rsid w:val="005C7519"/>
    <w:rsid w:val="005C7A74"/>
    <w:rsid w:val="005D0421"/>
    <w:rsid w:val="005D1BD1"/>
    <w:rsid w:val="005D4775"/>
    <w:rsid w:val="005D49C2"/>
    <w:rsid w:val="005D4DF3"/>
    <w:rsid w:val="005D69B8"/>
    <w:rsid w:val="005D73BA"/>
    <w:rsid w:val="005E132B"/>
    <w:rsid w:val="005E2C36"/>
    <w:rsid w:val="005E3AF7"/>
    <w:rsid w:val="005E3FC0"/>
    <w:rsid w:val="005E4D8B"/>
    <w:rsid w:val="005E5271"/>
    <w:rsid w:val="005E6A87"/>
    <w:rsid w:val="005F085E"/>
    <w:rsid w:val="005F0AD7"/>
    <w:rsid w:val="005F1961"/>
    <w:rsid w:val="005F1A1A"/>
    <w:rsid w:val="005F1D1B"/>
    <w:rsid w:val="005F2710"/>
    <w:rsid w:val="005F368F"/>
    <w:rsid w:val="005F5262"/>
    <w:rsid w:val="005F6B58"/>
    <w:rsid w:val="005F6E7E"/>
    <w:rsid w:val="005F772A"/>
    <w:rsid w:val="005F7EDC"/>
    <w:rsid w:val="005F7F8E"/>
    <w:rsid w:val="00601746"/>
    <w:rsid w:val="006017C8"/>
    <w:rsid w:val="006018D1"/>
    <w:rsid w:val="00601C3B"/>
    <w:rsid w:val="00602114"/>
    <w:rsid w:val="0060231F"/>
    <w:rsid w:val="0060250E"/>
    <w:rsid w:val="0060368D"/>
    <w:rsid w:val="00603732"/>
    <w:rsid w:val="006039CD"/>
    <w:rsid w:val="0060459A"/>
    <w:rsid w:val="00604838"/>
    <w:rsid w:val="00604971"/>
    <w:rsid w:val="00604D6F"/>
    <w:rsid w:val="00605CF4"/>
    <w:rsid w:val="00605DC8"/>
    <w:rsid w:val="00605E89"/>
    <w:rsid w:val="0060678C"/>
    <w:rsid w:val="0060680D"/>
    <w:rsid w:val="00607ED9"/>
    <w:rsid w:val="006114FC"/>
    <w:rsid w:val="0061358A"/>
    <w:rsid w:val="00615D9B"/>
    <w:rsid w:val="00615F4B"/>
    <w:rsid w:val="006163DB"/>
    <w:rsid w:val="00616723"/>
    <w:rsid w:val="006208D2"/>
    <w:rsid w:val="0062276C"/>
    <w:rsid w:val="006229A4"/>
    <w:rsid w:val="00622B86"/>
    <w:rsid w:val="00622BBA"/>
    <w:rsid w:val="006231DA"/>
    <w:rsid w:val="00624930"/>
    <w:rsid w:val="006260A3"/>
    <w:rsid w:val="00626492"/>
    <w:rsid w:val="00626C86"/>
    <w:rsid w:val="0063052F"/>
    <w:rsid w:val="00630682"/>
    <w:rsid w:val="00631E8D"/>
    <w:rsid w:val="00632033"/>
    <w:rsid w:val="0063242C"/>
    <w:rsid w:val="00632B76"/>
    <w:rsid w:val="00634CB1"/>
    <w:rsid w:val="00635E27"/>
    <w:rsid w:val="0063633A"/>
    <w:rsid w:val="00636FF3"/>
    <w:rsid w:val="0064117D"/>
    <w:rsid w:val="0064134A"/>
    <w:rsid w:val="006422DB"/>
    <w:rsid w:val="0064250F"/>
    <w:rsid w:val="00642B92"/>
    <w:rsid w:val="00642F1B"/>
    <w:rsid w:val="006432AF"/>
    <w:rsid w:val="006440B8"/>
    <w:rsid w:val="006448AF"/>
    <w:rsid w:val="006460CB"/>
    <w:rsid w:val="00646A34"/>
    <w:rsid w:val="00646B60"/>
    <w:rsid w:val="006477A9"/>
    <w:rsid w:val="00647EE8"/>
    <w:rsid w:val="00650166"/>
    <w:rsid w:val="006509F7"/>
    <w:rsid w:val="00650F96"/>
    <w:rsid w:val="006514D3"/>
    <w:rsid w:val="00651B10"/>
    <w:rsid w:val="00654A77"/>
    <w:rsid w:val="00654B31"/>
    <w:rsid w:val="00654F45"/>
    <w:rsid w:val="006556EF"/>
    <w:rsid w:val="00655AA2"/>
    <w:rsid w:val="00656A87"/>
    <w:rsid w:val="00657029"/>
    <w:rsid w:val="00662022"/>
    <w:rsid w:val="00662129"/>
    <w:rsid w:val="00662D80"/>
    <w:rsid w:val="00663CE0"/>
    <w:rsid w:val="006646FF"/>
    <w:rsid w:val="00665530"/>
    <w:rsid w:val="00665659"/>
    <w:rsid w:val="00665BAD"/>
    <w:rsid w:val="006661F7"/>
    <w:rsid w:val="00666595"/>
    <w:rsid w:val="00666686"/>
    <w:rsid w:val="00666C81"/>
    <w:rsid w:val="00666EAE"/>
    <w:rsid w:val="00667080"/>
    <w:rsid w:val="00670F73"/>
    <w:rsid w:val="006716BA"/>
    <w:rsid w:val="0067212D"/>
    <w:rsid w:val="00672F76"/>
    <w:rsid w:val="0067333D"/>
    <w:rsid w:val="00673514"/>
    <w:rsid w:val="00673737"/>
    <w:rsid w:val="0067541E"/>
    <w:rsid w:val="006767EB"/>
    <w:rsid w:val="006774AB"/>
    <w:rsid w:val="0067794A"/>
    <w:rsid w:val="006804BF"/>
    <w:rsid w:val="0068174A"/>
    <w:rsid w:val="00681B17"/>
    <w:rsid w:val="00681D63"/>
    <w:rsid w:val="00682E64"/>
    <w:rsid w:val="00683F89"/>
    <w:rsid w:val="006846AF"/>
    <w:rsid w:val="0068496C"/>
    <w:rsid w:val="00684BA2"/>
    <w:rsid w:val="0068559C"/>
    <w:rsid w:val="0068648C"/>
    <w:rsid w:val="0069025B"/>
    <w:rsid w:val="00690F56"/>
    <w:rsid w:val="00691D6B"/>
    <w:rsid w:val="00691EC0"/>
    <w:rsid w:val="00692377"/>
    <w:rsid w:val="00692537"/>
    <w:rsid w:val="00692831"/>
    <w:rsid w:val="00693410"/>
    <w:rsid w:val="006974C7"/>
    <w:rsid w:val="006A00FB"/>
    <w:rsid w:val="006A0872"/>
    <w:rsid w:val="006A197F"/>
    <w:rsid w:val="006A1B55"/>
    <w:rsid w:val="006A34B8"/>
    <w:rsid w:val="006A44FC"/>
    <w:rsid w:val="006A5001"/>
    <w:rsid w:val="006A567D"/>
    <w:rsid w:val="006A575B"/>
    <w:rsid w:val="006A5AFE"/>
    <w:rsid w:val="006A62C9"/>
    <w:rsid w:val="006A6964"/>
    <w:rsid w:val="006A6C24"/>
    <w:rsid w:val="006A7604"/>
    <w:rsid w:val="006A7740"/>
    <w:rsid w:val="006B0C4E"/>
    <w:rsid w:val="006B21E1"/>
    <w:rsid w:val="006B3458"/>
    <w:rsid w:val="006B38FB"/>
    <w:rsid w:val="006B3BE1"/>
    <w:rsid w:val="006B3EB4"/>
    <w:rsid w:val="006B688A"/>
    <w:rsid w:val="006B7410"/>
    <w:rsid w:val="006B7457"/>
    <w:rsid w:val="006B7771"/>
    <w:rsid w:val="006B7985"/>
    <w:rsid w:val="006C11F5"/>
    <w:rsid w:val="006C26D6"/>
    <w:rsid w:val="006C3028"/>
    <w:rsid w:val="006C3151"/>
    <w:rsid w:val="006C3828"/>
    <w:rsid w:val="006C3C5F"/>
    <w:rsid w:val="006C55C2"/>
    <w:rsid w:val="006C56B8"/>
    <w:rsid w:val="006C5EAF"/>
    <w:rsid w:val="006C6679"/>
    <w:rsid w:val="006C702F"/>
    <w:rsid w:val="006C7126"/>
    <w:rsid w:val="006D0425"/>
    <w:rsid w:val="006D0744"/>
    <w:rsid w:val="006D1DF1"/>
    <w:rsid w:val="006D1E38"/>
    <w:rsid w:val="006D2E1A"/>
    <w:rsid w:val="006D2FA3"/>
    <w:rsid w:val="006D38B2"/>
    <w:rsid w:val="006D44D0"/>
    <w:rsid w:val="006D5F3C"/>
    <w:rsid w:val="006D65AC"/>
    <w:rsid w:val="006D6B5D"/>
    <w:rsid w:val="006D7A75"/>
    <w:rsid w:val="006E0880"/>
    <w:rsid w:val="006E2111"/>
    <w:rsid w:val="006E2D35"/>
    <w:rsid w:val="006E2EA0"/>
    <w:rsid w:val="006E2F24"/>
    <w:rsid w:val="006E396B"/>
    <w:rsid w:val="006E449E"/>
    <w:rsid w:val="006E533A"/>
    <w:rsid w:val="006E6BFC"/>
    <w:rsid w:val="006F1B97"/>
    <w:rsid w:val="006F213F"/>
    <w:rsid w:val="006F2965"/>
    <w:rsid w:val="006F2C8B"/>
    <w:rsid w:val="006F2D26"/>
    <w:rsid w:val="006F2EAD"/>
    <w:rsid w:val="006F3021"/>
    <w:rsid w:val="006F40F8"/>
    <w:rsid w:val="006F4747"/>
    <w:rsid w:val="006F47E4"/>
    <w:rsid w:val="006F4C78"/>
    <w:rsid w:val="006F569B"/>
    <w:rsid w:val="006F5973"/>
    <w:rsid w:val="006F73E1"/>
    <w:rsid w:val="006F7C5E"/>
    <w:rsid w:val="00700A13"/>
    <w:rsid w:val="00702EBC"/>
    <w:rsid w:val="00704C49"/>
    <w:rsid w:val="00705325"/>
    <w:rsid w:val="00705560"/>
    <w:rsid w:val="007056B3"/>
    <w:rsid w:val="007058D8"/>
    <w:rsid w:val="00705B66"/>
    <w:rsid w:val="00706313"/>
    <w:rsid w:val="0070796C"/>
    <w:rsid w:val="00707BD0"/>
    <w:rsid w:val="00710211"/>
    <w:rsid w:val="00710559"/>
    <w:rsid w:val="007110C4"/>
    <w:rsid w:val="00711B13"/>
    <w:rsid w:val="007131A1"/>
    <w:rsid w:val="00714806"/>
    <w:rsid w:val="007148DB"/>
    <w:rsid w:val="00715D06"/>
    <w:rsid w:val="00715DDF"/>
    <w:rsid w:val="00715DE4"/>
    <w:rsid w:val="0071674D"/>
    <w:rsid w:val="007202CB"/>
    <w:rsid w:val="00720990"/>
    <w:rsid w:val="00720E3D"/>
    <w:rsid w:val="00721A36"/>
    <w:rsid w:val="00721C11"/>
    <w:rsid w:val="0072253B"/>
    <w:rsid w:val="0072322A"/>
    <w:rsid w:val="007233B8"/>
    <w:rsid w:val="00725D44"/>
    <w:rsid w:val="00727F3D"/>
    <w:rsid w:val="00730242"/>
    <w:rsid w:val="007303F1"/>
    <w:rsid w:val="00730859"/>
    <w:rsid w:val="00730F89"/>
    <w:rsid w:val="00731091"/>
    <w:rsid w:val="0073131A"/>
    <w:rsid w:val="007329C6"/>
    <w:rsid w:val="0073435C"/>
    <w:rsid w:val="00735E09"/>
    <w:rsid w:val="00736431"/>
    <w:rsid w:val="0073661F"/>
    <w:rsid w:val="00736ADF"/>
    <w:rsid w:val="00736AF1"/>
    <w:rsid w:val="0073744E"/>
    <w:rsid w:val="007374DB"/>
    <w:rsid w:val="00740957"/>
    <w:rsid w:val="00741AD0"/>
    <w:rsid w:val="00742340"/>
    <w:rsid w:val="007433EB"/>
    <w:rsid w:val="00743E46"/>
    <w:rsid w:val="0074431E"/>
    <w:rsid w:val="00744C06"/>
    <w:rsid w:val="00745764"/>
    <w:rsid w:val="00745C3E"/>
    <w:rsid w:val="007461FB"/>
    <w:rsid w:val="00746DF4"/>
    <w:rsid w:val="007476BC"/>
    <w:rsid w:val="0075004F"/>
    <w:rsid w:val="00750DA0"/>
    <w:rsid w:val="00752D5A"/>
    <w:rsid w:val="00753044"/>
    <w:rsid w:val="007555E0"/>
    <w:rsid w:val="00755EB0"/>
    <w:rsid w:val="007563BE"/>
    <w:rsid w:val="00756596"/>
    <w:rsid w:val="00756758"/>
    <w:rsid w:val="00756C2C"/>
    <w:rsid w:val="00757500"/>
    <w:rsid w:val="00757837"/>
    <w:rsid w:val="0076088E"/>
    <w:rsid w:val="0076297A"/>
    <w:rsid w:val="00763780"/>
    <w:rsid w:val="00763B2F"/>
    <w:rsid w:val="00764993"/>
    <w:rsid w:val="00764D2C"/>
    <w:rsid w:val="00766F29"/>
    <w:rsid w:val="00767A69"/>
    <w:rsid w:val="00767D26"/>
    <w:rsid w:val="0077143B"/>
    <w:rsid w:val="00771485"/>
    <w:rsid w:val="00771D0D"/>
    <w:rsid w:val="007731DC"/>
    <w:rsid w:val="00773D54"/>
    <w:rsid w:val="007742AE"/>
    <w:rsid w:val="00775599"/>
    <w:rsid w:val="00775F74"/>
    <w:rsid w:val="00777521"/>
    <w:rsid w:val="00777B7A"/>
    <w:rsid w:val="00777CF5"/>
    <w:rsid w:val="007807F4"/>
    <w:rsid w:val="007811CD"/>
    <w:rsid w:val="00781BF8"/>
    <w:rsid w:val="00781DD8"/>
    <w:rsid w:val="007835AF"/>
    <w:rsid w:val="00783D71"/>
    <w:rsid w:val="007845BB"/>
    <w:rsid w:val="00785F4C"/>
    <w:rsid w:val="0078608A"/>
    <w:rsid w:val="00786EB5"/>
    <w:rsid w:val="007875A1"/>
    <w:rsid w:val="00787EA1"/>
    <w:rsid w:val="00790BA9"/>
    <w:rsid w:val="007911F0"/>
    <w:rsid w:val="00791658"/>
    <w:rsid w:val="00791DA7"/>
    <w:rsid w:val="0079386F"/>
    <w:rsid w:val="00794BB9"/>
    <w:rsid w:val="00795D66"/>
    <w:rsid w:val="00797F2A"/>
    <w:rsid w:val="007A0ADB"/>
    <w:rsid w:val="007A11FB"/>
    <w:rsid w:val="007A3460"/>
    <w:rsid w:val="007A36BE"/>
    <w:rsid w:val="007A4C4E"/>
    <w:rsid w:val="007A5060"/>
    <w:rsid w:val="007A5C28"/>
    <w:rsid w:val="007A5F11"/>
    <w:rsid w:val="007A627A"/>
    <w:rsid w:val="007A6CD7"/>
    <w:rsid w:val="007A7F64"/>
    <w:rsid w:val="007B06AA"/>
    <w:rsid w:val="007B0A6D"/>
    <w:rsid w:val="007B31B6"/>
    <w:rsid w:val="007B3EC1"/>
    <w:rsid w:val="007B623E"/>
    <w:rsid w:val="007B6C54"/>
    <w:rsid w:val="007B70BE"/>
    <w:rsid w:val="007B75CB"/>
    <w:rsid w:val="007C194D"/>
    <w:rsid w:val="007C2171"/>
    <w:rsid w:val="007C28C6"/>
    <w:rsid w:val="007C3B1B"/>
    <w:rsid w:val="007C546F"/>
    <w:rsid w:val="007C5C59"/>
    <w:rsid w:val="007C6060"/>
    <w:rsid w:val="007C6322"/>
    <w:rsid w:val="007C683A"/>
    <w:rsid w:val="007C6976"/>
    <w:rsid w:val="007C744C"/>
    <w:rsid w:val="007C75D0"/>
    <w:rsid w:val="007D091F"/>
    <w:rsid w:val="007D092D"/>
    <w:rsid w:val="007D13A8"/>
    <w:rsid w:val="007D2B5F"/>
    <w:rsid w:val="007D4D51"/>
    <w:rsid w:val="007D51A4"/>
    <w:rsid w:val="007D56F4"/>
    <w:rsid w:val="007D653C"/>
    <w:rsid w:val="007D657C"/>
    <w:rsid w:val="007D6BDC"/>
    <w:rsid w:val="007D7F65"/>
    <w:rsid w:val="007E069A"/>
    <w:rsid w:val="007E08EB"/>
    <w:rsid w:val="007E0DC2"/>
    <w:rsid w:val="007E170C"/>
    <w:rsid w:val="007E3D43"/>
    <w:rsid w:val="007E4001"/>
    <w:rsid w:val="007E5966"/>
    <w:rsid w:val="007E5A36"/>
    <w:rsid w:val="007E6F3A"/>
    <w:rsid w:val="007E7562"/>
    <w:rsid w:val="007E78A7"/>
    <w:rsid w:val="007E7CE2"/>
    <w:rsid w:val="007F0169"/>
    <w:rsid w:val="007F1532"/>
    <w:rsid w:val="007F21AC"/>
    <w:rsid w:val="007F2484"/>
    <w:rsid w:val="007F255D"/>
    <w:rsid w:val="007F4EC4"/>
    <w:rsid w:val="007F6790"/>
    <w:rsid w:val="007F6865"/>
    <w:rsid w:val="007F6F41"/>
    <w:rsid w:val="007F7313"/>
    <w:rsid w:val="007F7772"/>
    <w:rsid w:val="007F778C"/>
    <w:rsid w:val="0080115D"/>
    <w:rsid w:val="00801AB1"/>
    <w:rsid w:val="00803042"/>
    <w:rsid w:val="00803898"/>
    <w:rsid w:val="008041BF"/>
    <w:rsid w:val="008047E4"/>
    <w:rsid w:val="00806760"/>
    <w:rsid w:val="00806EC7"/>
    <w:rsid w:val="008073D6"/>
    <w:rsid w:val="00810226"/>
    <w:rsid w:val="00810821"/>
    <w:rsid w:val="0081252B"/>
    <w:rsid w:val="0081361C"/>
    <w:rsid w:val="00813D38"/>
    <w:rsid w:val="008142C3"/>
    <w:rsid w:val="00814A86"/>
    <w:rsid w:val="00815A6D"/>
    <w:rsid w:val="00815BD5"/>
    <w:rsid w:val="00816290"/>
    <w:rsid w:val="008165BA"/>
    <w:rsid w:val="008174DA"/>
    <w:rsid w:val="00817B6A"/>
    <w:rsid w:val="00817C5E"/>
    <w:rsid w:val="008202D7"/>
    <w:rsid w:val="00820718"/>
    <w:rsid w:val="00820EF7"/>
    <w:rsid w:val="0082131E"/>
    <w:rsid w:val="0082162D"/>
    <w:rsid w:val="008239CD"/>
    <w:rsid w:val="008248CB"/>
    <w:rsid w:val="00824DE8"/>
    <w:rsid w:val="00824E0F"/>
    <w:rsid w:val="008257D7"/>
    <w:rsid w:val="008259F5"/>
    <w:rsid w:val="00825BB7"/>
    <w:rsid w:val="00827093"/>
    <w:rsid w:val="00827F02"/>
    <w:rsid w:val="00830C8B"/>
    <w:rsid w:val="00831078"/>
    <w:rsid w:val="00831F9D"/>
    <w:rsid w:val="008335A9"/>
    <w:rsid w:val="00833E77"/>
    <w:rsid w:val="008343FE"/>
    <w:rsid w:val="00835356"/>
    <w:rsid w:val="00835EA7"/>
    <w:rsid w:val="00836109"/>
    <w:rsid w:val="00840576"/>
    <w:rsid w:val="008405D9"/>
    <w:rsid w:val="00841AB2"/>
    <w:rsid w:val="00841B9C"/>
    <w:rsid w:val="00842FB2"/>
    <w:rsid w:val="00844748"/>
    <w:rsid w:val="00844A20"/>
    <w:rsid w:val="00845848"/>
    <w:rsid w:val="00845F02"/>
    <w:rsid w:val="00845F70"/>
    <w:rsid w:val="008473F9"/>
    <w:rsid w:val="00847EDE"/>
    <w:rsid w:val="008506E0"/>
    <w:rsid w:val="00851B79"/>
    <w:rsid w:val="008521D7"/>
    <w:rsid w:val="00855A61"/>
    <w:rsid w:val="0085697A"/>
    <w:rsid w:val="00856BB2"/>
    <w:rsid w:val="00856CCD"/>
    <w:rsid w:val="00856FCB"/>
    <w:rsid w:val="00857982"/>
    <w:rsid w:val="00857BD7"/>
    <w:rsid w:val="0086034F"/>
    <w:rsid w:val="00861B1A"/>
    <w:rsid w:val="00862E66"/>
    <w:rsid w:val="00862EDF"/>
    <w:rsid w:val="00863275"/>
    <w:rsid w:val="008637AA"/>
    <w:rsid w:val="00864090"/>
    <w:rsid w:val="0086492E"/>
    <w:rsid w:val="00864989"/>
    <w:rsid w:val="00865B86"/>
    <w:rsid w:val="00865BC6"/>
    <w:rsid w:val="00866F35"/>
    <w:rsid w:val="008701E3"/>
    <w:rsid w:val="00871BDC"/>
    <w:rsid w:val="00872AE4"/>
    <w:rsid w:val="00874266"/>
    <w:rsid w:val="00874EC0"/>
    <w:rsid w:val="00874F81"/>
    <w:rsid w:val="008761F4"/>
    <w:rsid w:val="00877101"/>
    <w:rsid w:val="00881A53"/>
    <w:rsid w:val="00883180"/>
    <w:rsid w:val="00884E50"/>
    <w:rsid w:val="00885677"/>
    <w:rsid w:val="0089027A"/>
    <w:rsid w:val="008922AD"/>
    <w:rsid w:val="00892691"/>
    <w:rsid w:val="008929F7"/>
    <w:rsid w:val="00892B75"/>
    <w:rsid w:val="008930C3"/>
    <w:rsid w:val="00893432"/>
    <w:rsid w:val="00894745"/>
    <w:rsid w:val="00895C60"/>
    <w:rsid w:val="00896013"/>
    <w:rsid w:val="00897898"/>
    <w:rsid w:val="008A0380"/>
    <w:rsid w:val="008A08C3"/>
    <w:rsid w:val="008A1599"/>
    <w:rsid w:val="008A192B"/>
    <w:rsid w:val="008A1F98"/>
    <w:rsid w:val="008A26A1"/>
    <w:rsid w:val="008A3509"/>
    <w:rsid w:val="008A456C"/>
    <w:rsid w:val="008A486F"/>
    <w:rsid w:val="008A59FF"/>
    <w:rsid w:val="008A61ED"/>
    <w:rsid w:val="008A629F"/>
    <w:rsid w:val="008A6496"/>
    <w:rsid w:val="008A6898"/>
    <w:rsid w:val="008A6CDB"/>
    <w:rsid w:val="008A6CFD"/>
    <w:rsid w:val="008A7508"/>
    <w:rsid w:val="008B156D"/>
    <w:rsid w:val="008B17F1"/>
    <w:rsid w:val="008B22AA"/>
    <w:rsid w:val="008B29AB"/>
    <w:rsid w:val="008B2B87"/>
    <w:rsid w:val="008B44A3"/>
    <w:rsid w:val="008B4D28"/>
    <w:rsid w:val="008B5133"/>
    <w:rsid w:val="008B533E"/>
    <w:rsid w:val="008B5D3B"/>
    <w:rsid w:val="008B7C62"/>
    <w:rsid w:val="008C1C63"/>
    <w:rsid w:val="008C2EF4"/>
    <w:rsid w:val="008C4C26"/>
    <w:rsid w:val="008C4D29"/>
    <w:rsid w:val="008C59FA"/>
    <w:rsid w:val="008C5DA8"/>
    <w:rsid w:val="008C68CC"/>
    <w:rsid w:val="008C6A27"/>
    <w:rsid w:val="008C76E7"/>
    <w:rsid w:val="008D15F6"/>
    <w:rsid w:val="008D22FA"/>
    <w:rsid w:val="008D243F"/>
    <w:rsid w:val="008D3764"/>
    <w:rsid w:val="008D3E94"/>
    <w:rsid w:val="008D3FDA"/>
    <w:rsid w:val="008D42CC"/>
    <w:rsid w:val="008D4E86"/>
    <w:rsid w:val="008D57B5"/>
    <w:rsid w:val="008D610F"/>
    <w:rsid w:val="008D6E80"/>
    <w:rsid w:val="008E0995"/>
    <w:rsid w:val="008E18A9"/>
    <w:rsid w:val="008E1A20"/>
    <w:rsid w:val="008E1B61"/>
    <w:rsid w:val="008E74FA"/>
    <w:rsid w:val="008E7F39"/>
    <w:rsid w:val="008F00B6"/>
    <w:rsid w:val="008F095D"/>
    <w:rsid w:val="008F0D2B"/>
    <w:rsid w:val="008F0F0F"/>
    <w:rsid w:val="008F1C1D"/>
    <w:rsid w:val="008F1E30"/>
    <w:rsid w:val="008F2046"/>
    <w:rsid w:val="008F29B6"/>
    <w:rsid w:val="008F472D"/>
    <w:rsid w:val="008F53B7"/>
    <w:rsid w:val="008F6017"/>
    <w:rsid w:val="008F60D7"/>
    <w:rsid w:val="008F7DD5"/>
    <w:rsid w:val="009005E3"/>
    <w:rsid w:val="00901376"/>
    <w:rsid w:val="00901B3E"/>
    <w:rsid w:val="00901FB9"/>
    <w:rsid w:val="009031DA"/>
    <w:rsid w:val="00903376"/>
    <w:rsid w:val="009034A6"/>
    <w:rsid w:val="009035AB"/>
    <w:rsid w:val="00903B68"/>
    <w:rsid w:val="00904745"/>
    <w:rsid w:val="0090489D"/>
    <w:rsid w:val="00904E77"/>
    <w:rsid w:val="0090517F"/>
    <w:rsid w:val="00905298"/>
    <w:rsid w:val="00906037"/>
    <w:rsid w:val="00906347"/>
    <w:rsid w:val="00906B1D"/>
    <w:rsid w:val="00906F58"/>
    <w:rsid w:val="009079D2"/>
    <w:rsid w:val="009102D0"/>
    <w:rsid w:val="00910C87"/>
    <w:rsid w:val="00910DEC"/>
    <w:rsid w:val="00911801"/>
    <w:rsid w:val="00911DC2"/>
    <w:rsid w:val="009127D8"/>
    <w:rsid w:val="0091519F"/>
    <w:rsid w:val="00915546"/>
    <w:rsid w:val="00915CAA"/>
    <w:rsid w:val="009200FF"/>
    <w:rsid w:val="00920F43"/>
    <w:rsid w:val="009218E4"/>
    <w:rsid w:val="00921939"/>
    <w:rsid w:val="00922070"/>
    <w:rsid w:val="0092478F"/>
    <w:rsid w:val="00924C0D"/>
    <w:rsid w:val="00924CD9"/>
    <w:rsid w:val="0092514D"/>
    <w:rsid w:val="00925A9F"/>
    <w:rsid w:val="00925EE5"/>
    <w:rsid w:val="0092631F"/>
    <w:rsid w:val="00926868"/>
    <w:rsid w:val="00927779"/>
    <w:rsid w:val="00930726"/>
    <w:rsid w:val="0093165F"/>
    <w:rsid w:val="00933C3A"/>
    <w:rsid w:val="009359F0"/>
    <w:rsid w:val="009360C9"/>
    <w:rsid w:val="00936FF1"/>
    <w:rsid w:val="00937613"/>
    <w:rsid w:val="0094205F"/>
    <w:rsid w:val="00942B77"/>
    <w:rsid w:val="00943ED7"/>
    <w:rsid w:val="009442B2"/>
    <w:rsid w:val="00945D41"/>
    <w:rsid w:val="00945FA6"/>
    <w:rsid w:val="009470A4"/>
    <w:rsid w:val="009471BA"/>
    <w:rsid w:val="00950E2A"/>
    <w:rsid w:val="0095127A"/>
    <w:rsid w:val="009516AE"/>
    <w:rsid w:val="009525D6"/>
    <w:rsid w:val="00952F81"/>
    <w:rsid w:val="00953AFA"/>
    <w:rsid w:val="00954569"/>
    <w:rsid w:val="009563A2"/>
    <w:rsid w:val="0096000A"/>
    <w:rsid w:val="0096120F"/>
    <w:rsid w:val="009613BB"/>
    <w:rsid w:val="009622A0"/>
    <w:rsid w:val="009640E2"/>
    <w:rsid w:val="009645B0"/>
    <w:rsid w:val="0096469D"/>
    <w:rsid w:val="00964AF8"/>
    <w:rsid w:val="009676FA"/>
    <w:rsid w:val="00967C0B"/>
    <w:rsid w:val="00967E91"/>
    <w:rsid w:val="0097013E"/>
    <w:rsid w:val="009713E1"/>
    <w:rsid w:val="00974F9B"/>
    <w:rsid w:val="00975450"/>
    <w:rsid w:val="00975F1A"/>
    <w:rsid w:val="0097675E"/>
    <w:rsid w:val="0097741B"/>
    <w:rsid w:val="00977810"/>
    <w:rsid w:val="00977A5A"/>
    <w:rsid w:val="00980048"/>
    <w:rsid w:val="00980E3F"/>
    <w:rsid w:val="009837D1"/>
    <w:rsid w:val="00983EB6"/>
    <w:rsid w:val="00984190"/>
    <w:rsid w:val="0098556D"/>
    <w:rsid w:val="0098565D"/>
    <w:rsid w:val="00985993"/>
    <w:rsid w:val="009861F2"/>
    <w:rsid w:val="00986443"/>
    <w:rsid w:val="00986937"/>
    <w:rsid w:val="00986E1D"/>
    <w:rsid w:val="00987FB5"/>
    <w:rsid w:val="00990DD2"/>
    <w:rsid w:val="00991010"/>
    <w:rsid w:val="00991F02"/>
    <w:rsid w:val="00992685"/>
    <w:rsid w:val="0099399B"/>
    <w:rsid w:val="00995113"/>
    <w:rsid w:val="00995284"/>
    <w:rsid w:val="009956F7"/>
    <w:rsid w:val="0099570E"/>
    <w:rsid w:val="00997682"/>
    <w:rsid w:val="00997BEA"/>
    <w:rsid w:val="009A0546"/>
    <w:rsid w:val="009A1399"/>
    <w:rsid w:val="009A150C"/>
    <w:rsid w:val="009A1BE5"/>
    <w:rsid w:val="009A23A6"/>
    <w:rsid w:val="009A3CBD"/>
    <w:rsid w:val="009A4550"/>
    <w:rsid w:val="009A4DF7"/>
    <w:rsid w:val="009A51BF"/>
    <w:rsid w:val="009A5D99"/>
    <w:rsid w:val="009A629D"/>
    <w:rsid w:val="009A6B60"/>
    <w:rsid w:val="009A7619"/>
    <w:rsid w:val="009B030D"/>
    <w:rsid w:val="009B1340"/>
    <w:rsid w:val="009B1AEC"/>
    <w:rsid w:val="009B2940"/>
    <w:rsid w:val="009B3EEE"/>
    <w:rsid w:val="009B454E"/>
    <w:rsid w:val="009B5A82"/>
    <w:rsid w:val="009B5ECC"/>
    <w:rsid w:val="009B6344"/>
    <w:rsid w:val="009B657F"/>
    <w:rsid w:val="009B677F"/>
    <w:rsid w:val="009B6CB7"/>
    <w:rsid w:val="009C00B8"/>
    <w:rsid w:val="009C010B"/>
    <w:rsid w:val="009C1225"/>
    <w:rsid w:val="009C1DFB"/>
    <w:rsid w:val="009C2BEE"/>
    <w:rsid w:val="009C33CD"/>
    <w:rsid w:val="009C4BAB"/>
    <w:rsid w:val="009C50C5"/>
    <w:rsid w:val="009C5FD1"/>
    <w:rsid w:val="009C6ABB"/>
    <w:rsid w:val="009D0120"/>
    <w:rsid w:val="009D0447"/>
    <w:rsid w:val="009D13B3"/>
    <w:rsid w:val="009D13BA"/>
    <w:rsid w:val="009D20D3"/>
    <w:rsid w:val="009D403C"/>
    <w:rsid w:val="009D4C92"/>
    <w:rsid w:val="009D61A0"/>
    <w:rsid w:val="009D7190"/>
    <w:rsid w:val="009D71BB"/>
    <w:rsid w:val="009E0BEA"/>
    <w:rsid w:val="009E1926"/>
    <w:rsid w:val="009E4AC6"/>
    <w:rsid w:val="009E6201"/>
    <w:rsid w:val="009E6980"/>
    <w:rsid w:val="009E6AEA"/>
    <w:rsid w:val="009E6C7F"/>
    <w:rsid w:val="009F043D"/>
    <w:rsid w:val="009F14AD"/>
    <w:rsid w:val="009F318F"/>
    <w:rsid w:val="009F44E1"/>
    <w:rsid w:val="009F4A66"/>
    <w:rsid w:val="009F5A73"/>
    <w:rsid w:val="009F5ADB"/>
    <w:rsid w:val="009F6A1C"/>
    <w:rsid w:val="009F6CB7"/>
    <w:rsid w:val="009F74F8"/>
    <w:rsid w:val="009F7C79"/>
    <w:rsid w:val="00A00AFD"/>
    <w:rsid w:val="00A00C25"/>
    <w:rsid w:val="00A0191D"/>
    <w:rsid w:val="00A01BA7"/>
    <w:rsid w:val="00A03B21"/>
    <w:rsid w:val="00A04A85"/>
    <w:rsid w:val="00A05570"/>
    <w:rsid w:val="00A0605A"/>
    <w:rsid w:val="00A067EB"/>
    <w:rsid w:val="00A073DD"/>
    <w:rsid w:val="00A075B0"/>
    <w:rsid w:val="00A07C81"/>
    <w:rsid w:val="00A103DC"/>
    <w:rsid w:val="00A10E81"/>
    <w:rsid w:val="00A12115"/>
    <w:rsid w:val="00A13633"/>
    <w:rsid w:val="00A13A38"/>
    <w:rsid w:val="00A13D88"/>
    <w:rsid w:val="00A13EDD"/>
    <w:rsid w:val="00A14967"/>
    <w:rsid w:val="00A16329"/>
    <w:rsid w:val="00A20126"/>
    <w:rsid w:val="00A20402"/>
    <w:rsid w:val="00A20542"/>
    <w:rsid w:val="00A227B8"/>
    <w:rsid w:val="00A22FC6"/>
    <w:rsid w:val="00A261B3"/>
    <w:rsid w:val="00A26569"/>
    <w:rsid w:val="00A270B0"/>
    <w:rsid w:val="00A27D0C"/>
    <w:rsid w:val="00A27E47"/>
    <w:rsid w:val="00A31A88"/>
    <w:rsid w:val="00A32E3A"/>
    <w:rsid w:val="00A32F4B"/>
    <w:rsid w:val="00A330CF"/>
    <w:rsid w:val="00A351B7"/>
    <w:rsid w:val="00A36140"/>
    <w:rsid w:val="00A37110"/>
    <w:rsid w:val="00A37950"/>
    <w:rsid w:val="00A37E9E"/>
    <w:rsid w:val="00A4068D"/>
    <w:rsid w:val="00A40D6A"/>
    <w:rsid w:val="00A42A39"/>
    <w:rsid w:val="00A42BED"/>
    <w:rsid w:val="00A42E7A"/>
    <w:rsid w:val="00A43565"/>
    <w:rsid w:val="00A43935"/>
    <w:rsid w:val="00A43D37"/>
    <w:rsid w:val="00A43DF8"/>
    <w:rsid w:val="00A44D6F"/>
    <w:rsid w:val="00A50876"/>
    <w:rsid w:val="00A51389"/>
    <w:rsid w:val="00A51724"/>
    <w:rsid w:val="00A520D1"/>
    <w:rsid w:val="00A52C3A"/>
    <w:rsid w:val="00A53779"/>
    <w:rsid w:val="00A53C75"/>
    <w:rsid w:val="00A54B3A"/>
    <w:rsid w:val="00A56010"/>
    <w:rsid w:val="00A56DEB"/>
    <w:rsid w:val="00A574E4"/>
    <w:rsid w:val="00A57F96"/>
    <w:rsid w:val="00A602E0"/>
    <w:rsid w:val="00A6034A"/>
    <w:rsid w:val="00A6051D"/>
    <w:rsid w:val="00A61806"/>
    <w:rsid w:val="00A62020"/>
    <w:rsid w:val="00A637A4"/>
    <w:rsid w:val="00A63D19"/>
    <w:rsid w:val="00A643DE"/>
    <w:rsid w:val="00A64488"/>
    <w:rsid w:val="00A644B0"/>
    <w:rsid w:val="00A64A94"/>
    <w:rsid w:val="00A64CB8"/>
    <w:rsid w:val="00A6528C"/>
    <w:rsid w:val="00A6542E"/>
    <w:rsid w:val="00A6569A"/>
    <w:rsid w:val="00A67000"/>
    <w:rsid w:val="00A67BD7"/>
    <w:rsid w:val="00A70B52"/>
    <w:rsid w:val="00A70BE3"/>
    <w:rsid w:val="00A71C28"/>
    <w:rsid w:val="00A72C6D"/>
    <w:rsid w:val="00A72DB8"/>
    <w:rsid w:val="00A73241"/>
    <w:rsid w:val="00A73308"/>
    <w:rsid w:val="00A73F80"/>
    <w:rsid w:val="00A74C1F"/>
    <w:rsid w:val="00A74D2D"/>
    <w:rsid w:val="00A7568E"/>
    <w:rsid w:val="00A76572"/>
    <w:rsid w:val="00A76B37"/>
    <w:rsid w:val="00A76E38"/>
    <w:rsid w:val="00A777A3"/>
    <w:rsid w:val="00A7785B"/>
    <w:rsid w:val="00A8112A"/>
    <w:rsid w:val="00A84041"/>
    <w:rsid w:val="00A84BDB"/>
    <w:rsid w:val="00A84C7C"/>
    <w:rsid w:val="00A854AB"/>
    <w:rsid w:val="00A869FB"/>
    <w:rsid w:val="00A87913"/>
    <w:rsid w:val="00A87B95"/>
    <w:rsid w:val="00A903C6"/>
    <w:rsid w:val="00A912D4"/>
    <w:rsid w:val="00A915AC"/>
    <w:rsid w:val="00A9188A"/>
    <w:rsid w:val="00A91A73"/>
    <w:rsid w:val="00A930B1"/>
    <w:rsid w:val="00A9315D"/>
    <w:rsid w:val="00A9479F"/>
    <w:rsid w:val="00A95612"/>
    <w:rsid w:val="00A96BAF"/>
    <w:rsid w:val="00A9787A"/>
    <w:rsid w:val="00AA084A"/>
    <w:rsid w:val="00AA1373"/>
    <w:rsid w:val="00AA2FCC"/>
    <w:rsid w:val="00AA351B"/>
    <w:rsid w:val="00AA39F4"/>
    <w:rsid w:val="00AA4C6F"/>
    <w:rsid w:val="00AA6EAA"/>
    <w:rsid w:val="00AA7E5F"/>
    <w:rsid w:val="00AB04C8"/>
    <w:rsid w:val="00AB072A"/>
    <w:rsid w:val="00AB0D00"/>
    <w:rsid w:val="00AB1BCD"/>
    <w:rsid w:val="00AB1C56"/>
    <w:rsid w:val="00AB3D41"/>
    <w:rsid w:val="00AB5408"/>
    <w:rsid w:val="00AB5E9C"/>
    <w:rsid w:val="00AB6EA7"/>
    <w:rsid w:val="00AB6F1E"/>
    <w:rsid w:val="00AB6F51"/>
    <w:rsid w:val="00AB7D68"/>
    <w:rsid w:val="00AC169D"/>
    <w:rsid w:val="00AC18F2"/>
    <w:rsid w:val="00AC2186"/>
    <w:rsid w:val="00AC261C"/>
    <w:rsid w:val="00AC338D"/>
    <w:rsid w:val="00AC4035"/>
    <w:rsid w:val="00AC4707"/>
    <w:rsid w:val="00AC515C"/>
    <w:rsid w:val="00AC57A1"/>
    <w:rsid w:val="00AC60B5"/>
    <w:rsid w:val="00AC6285"/>
    <w:rsid w:val="00AC6EE8"/>
    <w:rsid w:val="00AD05EC"/>
    <w:rsid w:val="00AD235E"/>
    <w:rsid w:val="00AD2383"/>
    <w:rsid w:val="00AD33BF"/>
    <w:rsid w:val="00AD371A"/>
    <w:rsid w:val="00AD3FFD"/>
    <w:rsid w:val="00AD4308"/>
    <w:rsid w:val="00AD457B"/>
    <w:rsid w:val="00AD53E9"/>
    <w:rsid w:val="00AD54D5"/>
    <w:rsid w:val="00AD79D4"/>
    <w:rsid w:val="00AE334D"/>
    <w:rsid w:val="00AE3805"/>
    <w:rsid w:val="00AE3AF2"/>
    <w:rsid w:val="00AE3FB9"/>
    <w:rsid w:val="00AE50B2"/>
    <w:rsid w:val="00AE7425"/>
    <w:rsid w:val="00AE785A"/>
    <w:rsid w:val="00AE7AD6"/>
    <w:rsid w:val="00AE7CB2"/>
    <w:rsid w:val="00AF0CD5"/>
    <w:rsid w:val="00AF10DB"/>
    <w:rsid w:val="00AF1BA8"/>
    <w:rsid w:val="00AF2B4D"/>
    <w:rsid w:val="00AF2E35"/>
    <w:rsid w:val="00AF4CE7"/>
    <w:rsid w:val="00AF4DC3"/>
    <w:rsid w:val="00AF5011"/>
    <w:rsid w:val="00AF503B"/>
    <w:rsid w:val="00AF6E83"/>
    <w:rsid w:val="00AF7F1B"/>
    <w:rsid w:val="00B01BAB"/>
    <w:rsid w:val="00B01CA1"/>
    <w:rsid w:val="00B02560"/>
    <w:rsid w:val="00B04157"/>
    <w:rsid w:val="00B0420D"/>
    <w:rsid w:val="00B0438F"/>
    <w:rsid w:val="00B0468D"/>
    <w:rsid w:val="00B05763"/>
    <w:rsid w:val="00B10947"/>
    <w:rsid w:val="00B11037"/>
    <w:rsid w:val="00B113BB"/>
    <w:rsid w:val="00B12818"/>
    <w:rsid w:val="00B139D9"/>
    <w:rsid w:val="00B15AA2"/>
    <w:rsid w:val="00B15AE2"/>
    <w:rsid w:val="00B16B90"/>
    <w:rsid w:val="00B17749"/>
    <w:rsid w:val="00B2112F"/>
    <w:rsid w:val="00B21C0C"/>
    <w:rsid w:val="00B21F52"/>
    <w:rsid w:val="00B22066"/>
    <w:rsid w:val="00B232C4"/>
    <w:rsid w:val="00B23A8D"/>
    <w:rsid w:val="00B23B2B"/>
    <w:rsid w:val="00B243A0"/>
    <w:rsid w:val="00B2460D"/>
    <w:rsid w:val="00B24A69"/>
    <w:rsid w:val="00B2665D"/>
    <w:rsid w:val="00B267F5"/>
    <w:rsid w:val="00B26BBB"/>
    <w:rsid w:val="00B27B98"/>
    <w:rsid w:val="00B305E0"/>
    <w:rsid w:val="00B3091E"/>
    <w:rsid w:val="00B30CCD"/>
    <w:rsid w:val="00B30F8F"/>
    <w:rsid w:val="00B33DC0"/>
    <w:rsid w:val="00B33F2D"/>
    <w:rsid w:val="00B34278"/>
    <w:rsid w:val="00B35F0E"/>
    <w:rsid w:val="00B36969"/>
    <w:rsid w:val="00B36A63"/>
    <w:rsid w:val="00B37C37"/>
    <w:rsid w:val="00B40178"/>
    <w:rsid w:val="00B40F88"/>
    <w:rsid w:val="00B410EC"/>
    <w:rsid w:val="00B44836"/>
    <w:rsid w:val="00B47E61"/>
    <w:rsid w:val="00B504CF"/>
    <w:rsid w:val="00B50D8C"/>
    <w:rsid w:val="00B510D8"/>
    <w:rsid w:val="00B51925"/>
    <w:rsid w:val="00B5285B"/>
    <w:rsid w:val="00B5504A"/>
    <w:rsid w:val="00B55081"/>
    <w:rsid w:val="00B56498"/>
    <w:rsid w:val="00B62C8D"/>
    <w:rsid w:val="00B63A65"/>
    <w:rsid w:val="00B645C8"/>
    <w:rsid w:val="00B648B5"/>
    <w:rsid w:val="00B667A5"/>
    <w:rsid w:val="00B67D43"/>
    <w:rsid w:val="00B700AA"/>
    <w:rsid w:val="00B70D2B"/>
    <w:rsid w:val="00B7101D"/>
    <w:rsid w:val="00B71CE4"/>
    <w:rsid w:val="00B72183"/>
    <w:rsid w:val="00B736C7"/>
    <w:rsid w:val="00B736DD"/>
    <w:rsid w:val="00B73AFE"/>
    <w:rsid w:val="00B74DB5"/>
    <w:rsid w:val="00B75923"/>
    <w:rsid w:val="00B75C49"/>
    <w:rsid w:val="00B75CAA"/>
    <w:rsid w:val="00B76847"/>
    <w:rsid w:val="00B76999"/>
    <w:rsid w:val="00B77484"/>
    <w:rsid w:val="00B808AC"/>
    <w:rsid w:val="00B828E9"/>
    <w:rsid w:val="00B8374B"/>
    <w:rsid w:val="00B83964"/>
    <w:rsid w:val="00B84E75"/>
    <w:rsid w:val="00B85238"/>
    <w:rsid w:val="00B859E6"/>
    <w:rsid w:val="00B85CE6"/>
    <w:rsid w:val="00B85D88"/>
    <w:rsid w:val="00B860B6"/>
    <w:rsid w:val="00B86294"/>
    <w:rsid w:val="00B863E6"/>
    <w:rsid w:val="00B86BC2"/>
    <w:rsid w:val="00B87CF9"/>
    <w:rsid w:val="00B90C2F"/>
    <w:rsid w:val="00B91A11"/>
    <w:rsid w:val="00B91DC8"/>
    <w:rsid w:val="00B91F54"/>
    <w:rsid w:val="00B9248D"/>
    <w:rsid w:val="00B92A22"/>
    <w:rsid w:val="00B9608A"/>
    <w:rsid w:val="00B966B8"/>
    <w:rsid w:val="00B96AE2"/>
    <w:rsid w:val="00B97372"/>
    <w:rsid w:val="00B97C2E"/>
    <w:rsid w:val="00B97CB1"/>
    <w:rsid w:val="00BA0DC0"/>
    <w:rsid w:val="00BA0DF7"/>
    <w:rsid w:val="00BA19E9"/>
    <w:rsid w:val="00BA2C33"/>
    <w:rsid w:val="00BA30C5"/>
    <w:rsid w:val="00BA3440"/>
    <w:rsid w:val="00BA362B"/>
    <w:rsid w:val="00BA425D"/>
    <w:rsid w:val="00BA5926"/>
    <w:rsid w:val="00BA67E6"/>
    <w:rsid w:val="00BA6B28"/>
    <w:rsid w:val="00BA7341"/>
    <w:rsid w:val="00BA7D9A"/>
    <w:rsid w:val="00BB18A1"/>
    <w:rsid w:val="00BB1D0F"/>
    <w:rsid w:val="00BB3389"/>
    <w:rsid w:val="00BB6998"/>
    <w:rsid w:val="00BC0741"/>
    <w:rsid w:val="00BC12DE"/>
    <w:rsid w:val="00BC1882"/>
    <w:rsid w:val="00BC311F"/>
    <w:rsid w:val="00BC321C"/>
    <w:rsid w:val="00BC3437"/>
    <w:rsid w:val="00BC3660"/>
    <w:rsid w:val="00BC443B"/>
    <w:rsid w:val="00BC47BF"/>
    <w:rsid w:val="00BC53BB"/>
    <w:rsid w:val="00BC60A1"/>
    <w:rsid w:val="00BC6353"/>
    <w:rsid w:val="00BC7951"/>
    <w:rsid w:val="00BC7C02"/>
    <w:rsid w:val="00BD0F19"/>
    <w:rsid w:val="00BD2104"/>
    <w:rsid w:val="00BD264E"/>
    <w:rsid w:val="00BD39BA"/>
    <w:rsid w:val="00BD3D3F"/>
    <w:rsid w:val="00BD4498"/>
    <w:rsid w:val="00BD5CE2"/>
    <w:rsid w:val="00BD6B73"/>
    <w:rsid w:val="00BD72AA"/>
    <w:rsid w:val="00BE0542"/>
    <w:rsid w:val="00BE0AC4"/>
    <w:rsid w:val="00BE0DEC"/>
    <w:rsid w:val="00BE3388"/>
    <w:rsid w:val="00BE43D1"/>
    <w:rsid w:val="00BE487A"/>
    <w:rsid w:val="00BE5730"/>
    <w:rsid w:val="00BE59BF"/>
    <w:rsid w:val="00BE5F92"/>
    <w:rsid w:val="00BE65C6"/>
    <w:rsid w:val="00BE6DE4"/>
    <w:rsid w:val="00BE6EA5"/>
    <w:rsid w:val="00BE7FCE"/>
    <w:rsid w:val="00BF0742"/>
    <w:rsid w:val="00BF19BC"/>
    <w:rsid w:val="00BF1A21"/>
    <w:rsid w:val="00BF1F5F"/>
    <w:rsid w:val="00BF21C0"/>
    <w:rsid w:val="00BF23F5"/>
    <w:rsid w:val="00BF2408"/>
    <w:rsid w:val="00BF2EF3"/>
    <w:rsid w:val="00BF3267"/>
    <w:rsid w:val="00BF3A25"/>
    <w:rsid w:val="00BF3BAF"/>
    <w:rsid w:val="00BF4272"/>
    <w:rsid w:val="00BF4DE0"/>
    <w:rsid w:val="00BF71DF"/>
    <w:rsid w:val="00C00DCE"/>
    <w:rsid w:val="00C00E10"/>
    <w:rsid w:val="00C0124A"/>
    <w:rsid w:val="00C02D6B"/>
    <w:rsid w:val="00C02F67"/>
    <w:rsid w:val="00C0381D"/>
    <w:rsid w:val="00C04054"/>
    <w:rsid w:val="00C04B02"/>
    <w:rsid w:val="00C07015"/>
    <w:rsid w:val="00C076DB"/>
    <w:rsid w:val="00C1019E"/>
    <w:rsid w:val="00C10D86"/>
    <w:rsid w:val="00C10E43"/>
    <w:rsid w:val="00C11206"/>
    <w:rsid w:val="00C112E1"/>
    <w:rsid w:val="00C146E5"/>
    <w:rsid w:val="00C151F9"/>
    <w:rsid w:val="00C15917"/>
    <w:rsid w:val="00C16D2B"/>
    <w:rsid w:val="00C17B51"/>
    <w:rsid w:val="00C20882"/>
    <w:rsid w:val="00C2179A"/>
    <w:rsid w:val="00C2263A"/>
    <w:rsid w:val="00C22BA0"/>
    <w:rsid w:val="00C2337E"/>
    <w:rsid w:val="00C23504"/>
    <w:rsid w:val="00C23FA0"/>
    <w:rsid w:val="00C2680E"/>
    <w:rsid w:val="00C272FF"/>
    <w:rsid w:val="00C27900"/>
    <w:rsid w:val="00C3151D"/>
    <w:rsid w:val="00C334CA"/>
    <w:rsid w:val="00C3404E"/>
    <w:rsid w:val="00C34156"/>
    <w:rsid w:val="00C3474B"/>
    <w:rsid w:val="00C34EB6"/>
    <w:rsid w:val="00C350CA"/>
    <w:rsid w:val="00C354F4"/>
    <w:rsid w:val="00C36818"/>
    <w:rsid w:val="00C3691B"/>
    <w:rsid w:val="00C36CFB"/>
    <w:rsid w:val="00C37B3A"/>
    <w:rsid w:val="00C41EFE"/>
    <w:rsid w:val="00C467BE"/>
    <w:rsid w:val="00C46B1C"/>
    <w:rsid w:val="00C46FFC"/>
    <w:rsid w:val="00C476CE"/>
    <w:rsid w:val="00C50958"/>
    <w:rsid w:val="00C50D9C"/>
    <w:rsid w:val="00C50F2F"/>
    <w:rsid w:val="00C51121"/>
    <w:rsid w:val="00C51748"/>
    <w:rsid w:val="00C52690"/>
    <w:rsid w:val="00C530FC"/>
    <w:rsid w:val="00C536A6"/>
    <w:rsid w:val="00C53726"/>
    <w:rsid w:val="00C543AC"/>
    <w:rsid w:val="00C547D9"/>
    <w:rsid w:val="00C54A0A"/>
    <w:rsid w:val="00C54AEF"/>
    <w:rsid w:val="00C54C0C"/>
    <w:rsid w:val="00C561BD"/>
    <w:rsid w:val="00C57147"/>
    <w:rsid w:val="00C5717F"/>
    <w:rsid w:val="00C57340"/>
    <w:rsid w:val="00C577D7"/>
    <w:rsid w:val="00C600C0"/>
    <w:rsid w:val="00C613CF"/>
    <w:rsid w:val="00C61418"/>
    <w:rsid w:val="00C618E0"/>
    <w:rsid w:val="00C61C28"/>
    <w:rsid w:val="00C624D2"/>
    <w:rsid w:val="00C62D01"/>
    <w:rsid w:val="00C64104"/>
    <w:rsid w:val="00C65220"/>
    <w:rsid w:val="00C703C6"/>
    <w:rsid w:val="00C70A0A"/>
    <w:rsid w:val="00C7111A"/>
    <w:rsid w:val="00C734EC"/>
    <w:rsid w:val="00C7356E"/>
    <w:rsid w:val="00C7460D"/>
    <w:rsid w:val="00C7461D"/>
    <w:rsid w:val="00C75B29"/>
    <w:rsid w:val="00C76206"/>
    <w:rsid w:val="00C768E3"/>
    <w:rsid w:val="00C76AFC"/>
    <w:rsid w:val="00C77A8B"/>
    <w:rsid w:val="00C77FC3"/>
    <w:rsid w:val="00C8081F"/>
    <w:rsid w:val="00C81D55"/>
    <w:rsid w:val="00C8390C"/>
    <w:rsid w:val="00C83FDF"/>
    <w:rsid w:val="00C84ECC"/>
    <w:rsid w:val="00C85517"/>
    <w:rsid w:val="00C86992"/>
    <w:rsid w:val="00C873DC"/>
    <w:rsid w:val="00C90654"/>
    <w:rsid w:val="00C90A77"/>
    <w:rsid w:val="00C914E9"/>
    <w:rsid w:val="00C92011"/>
    <w:rsid w:val="00C93B68"/>
    <w:rsid w:val="00C93B81"/>
    <w:rsid w:val="00C9406C"/>
    <w:rsid w:val="00C9448E"/>
    <w:rsid w:val="00C9566A"/>
    <w:rsid w:val="00C96086"/>
    <w:rsid w:val="00CA0307"/>
    <w:rsid w:val="00CA0503"/>
    <w:rsid w:val="00CA1638"/>
    <w:rsid w:val="00CA1894"/>
    <w:rsid w:val="00CA1ED0"/>
    <w:rsid w:val="00CA2104"/>
    <w:rsid w:val="00CA243C"/>
    <w:rsid w:val="00CA2552"/>
    <w:rsid w:val="00CA2D6C"/>
    <w:rsid w:val="00CA3709"/>
    <w:rsid w:val="00CA433A"/>
    <w:rsid w:val="00CA4B75"/>
    <w:rsid w:val="00CA5A5A"/>
    <w:rsid w:val="00CA5B8E"/>
    <w:rsid w:val="00CA77E1"/>
    <w:rsid w:val="00CA7DB2"/>
    <w:rsid w:val="00CB168B"/>
    <w:rsid w:val="00CB2FEE"/>
    <w:rsid w:val="00CB3850"/>
    <w:rsid w:val="00CB5C2A"/>
    <w:rsid w:val="00CB702A"/>
    <w:rsid w:val="00CB7E50"/>
    <w:rsid w:val="00CC15FA"/>
    <w:rsid w:val="00CC1617"/>
    <w:rsid w:val="00CC1E8E"/>
    <w:rsid w:val="00CC2E5E"/>
    <w:rsid w:val="00CC594B"/>
    <w:rsid w:val="00CC5CD8"/>
    <w:rsid w:val="00CC5F15"/>
    <w:rsid w:val="00CC76D8"/>
    <w:rsid w:val="00CD04A2"/>
    <w:rsid w:val="00CD0877"/>
    <w:rsid w:val="00CD2E4C"/>
    <w:rsid w:val="00CD3801"/>
    <w:rsid w:val="00CD3F07"/>
    <w:rsid w:val="00CD44EC"/>
    <w:rsid w:val="00CD50F2"/>
    <w:rsid w:val="00CD5639"/>
    <w:rsid w:val="00CD6204"/>
    <w:rsid w:val="00CD68DF"/>
    <w:rsid w:val="00CD721A"/>
    <w:rsid w:val="00CD78CC"/>
    <w:rsid w:val="00CD7B2F"/>
    <w:rsid w:val="00CD7B48"/>
    <w:rsid w:val="00CE0432"/>
    <w:rsid w:val="00CE0B97"/>
    <w:rsid w:val="00CE0E63"/>
    <w:rsid w:val="00CE1590"/>
    <w:rsid w:val="00CE15A7"/>
    <w:rsid w:val="00CE1C48"/>
    <w:rsid w:val="00CE2838"/>
    <w:rsid w:val="00CE3860"/>
    <w:rsid w:val="00CE496C"/>
    <w:rsid w:val="00CE49EE"/>
    <w:rsid w:val="00CE4C07"/>
    <w:rsid w:val="00CE4CAC"/>
    <w:rsid w:val="00CE511D"/>
    <w:rsid w:val="00CE6493"/>
    <w:rsid w:val="00CE7B59"/>
    <w:rsid w:val="00CF00B7"/>
    <w:rsid w:val="00CF14D5"/>
    <w:rsid w:val="00CF19EA"/>
    <w:rsid w:val="00CF1BB0"/>
    <w:rsid w:val="00CF2346"/>
    <w:rsid w:val="00CF2789"/>
    <w:rsid w:val="00CF3332"/>
    <w:rsid w:val="00CF43F1"/>
    <w:rsid w:val="00CF57B7"/>
    <w:rsid w:val="00CF61DA"/>
    <w:rsid w:val="00CF7A82"/>
    <w:rsid w:val="00CF7C2D"/>
    <w:rsid w:val="00D004F9"/>
    <w:rsid w:val="00D00579"/>
    <w:rsid w:val="00D01107"/>
    <w:rsid w:val="00D014EC"/>
    <w:rsid w:val="00D01843"/>
    <w:rsid w:val="00D01F67"/>
    <w:rsid w:val="00D029BF"/>
    <w:rsid w:val="00D02FCA"/>
    <w:rsid w:val="00D039E1"/>
    <w:rsid w:val="00D03DA6"/>
    <w:rsid w:val="00D03EB7"/>
    <w:rsid w:val="00D03FE0"/>
    <w:rsid w:val="00D041DE"/>
    <w:rsid w:val="00D046B5"/>
    <w:rsid w:val="00D0555E"/>
    <w:rsid w:val="00D06285"/>
    <w:rsid w:val="00D0797B"/>
    <w:rsid w:val="00D07E3F"/>
    <w:rsid w:val="00D10411"/>
    <w:rsid w:val="00D10B17"/>
    <w:rsid w:val="00D1147A"/>
    <w:rsid w:val="00D11632"/>
    <w:rsid w:val="00D12150"/>
    <w:rsid w:val="00D12C2D"/>
    <w:rsid w:val="00D1565B"/>
    <w:rsid w:val="00D157A9"/>
    <w:rsid w:val="00D1611F"/>
    <w:rsid w:val="00D16444"/>
    <w:rsid w:val="00D173F8"/>
    <w:rsid w:val="00D17B8B"/>
    <w:rsid w:val="00D17DA0"/>
    <w:rsid w:val="00D20212"/>
    <w:rsid w:val="00D2084B"/>
    <w:rsid w:val="00D20C64"/>
    <w:rsid w:val="00D23629"/>
    <w:rsid w:val="00D238E7"/>
    <w:rsid w:val="00D243E4"/>
    <w:rsid w:val="00D250F9"/>
    <w:rsid w:val="00D253FE"/>
    <w:rsid w:val="00D254EB"/>
    <w:rsid w:val="00D25890"/>
    <w:rsid w:val="00D258BA"/>
    <w:rsid w:val="00D262A6"/>
    <w:rsid w:val="00D26EE9"/>
    <w:rsid w:val="00D307AB"/>
    <w:rsid w:val="00D30910"/>
    <w:rsid w:val="00D30FF2"/>
    <w:rsid w:val="00D31751"/>
    <w:rsid w:val="00D33F7C"/>
    <w:rsid w:val="00D346B8"/>
    <w:rsid w:val="00D34B03"/>
    <w:rsid w:val="00D35258"/>
    <w:rsid w:val="00D3536E"/>
    <w:rsid w:val="00D35A03"/>
    <w:rsid w:val="00D37697"/>
    <w:rsid w:val="00D404A7"/>
    <w:rsid w:val="00D41829"/>
    <w:rsid w:val="00D4250E"/>
    <w:rsid w:val="00D44B72"/>
    <w:rsid w:val="00D45619"/>
    <w:rsid w:val="00D457C1"/>
    <w:rsid w:val="00D45A14"/>
    <w:rsid w:val="00D46030"/>
    <w:rsid w:val="00D460D1"/>
    <w:rsid w:val="00D461C8"/>
    <w:rsid w:val="00D469FD"/>
    <w:rsid w:val="00D5151A"/>
    <w:rsid w:val="00D51BEB"/>
    <w:rsid w:val="00D5300E"/>
    <w:rsid w:val="00D53734"/>
    <w:rsid w:val="00D53E2A"/>
    <w:rsid w:val="00D549C5"/>
    <w:rsid w:val="00D54DC0"/>
    <w:rsid w:val="00D55562"/>
    <w:rsid w:val="00D555A1"/>
    <w:rsid w:val="00D55CE0"/>
    <w:rsid w:val="00D57DC1"/>
    <w:rsid w:val="00D62BBA"/>
    <w:rsid w:val="00D63173"/>
    <w:rsid w:val="00D64E29"/>
    <w:rsid w:val="00D65684"/>
    <w:rsid w:val="00D66479"/>
    <w:rsid w:val="00D666C1"/>
    <w:rsid w:val="00D6768E"/>
    <w:rsid w:val="00D67D3F"/>
    <w:rsid w:val="00D70BCE"/>
    <w:rsid w:val="00D72C5E"/>
    <w:rsid w:val="00D75D46"/>
    <w:rsid w:val="00D76376"/>
    <w:rsid w:val="00D765A9"/>
    <w:rsid w:val="00D76645"/>
    <w:rsid w:val="00D77E90"/>
    <w:rsid w:val="00D80628"/>
    <w:rsid w:val="00D80A14"/>
    <w:rsid w:val="00D80BE9"/>
    <w:rsid w:val="00D80D07"/>
    <w:rsid w:val="00D8177A"/>
    <w:rsid w:val="00D81E47"/>
    <w:rsid w:val="00D8256B"/>
    <w:rsid w:val="00D82A6B"/>
    <w:rsid w:val="00D83475"/>
    <w:rsid w:val="00D8368D"/>
    <w:rsid w:val="00D83A24"/>
    <w:rsid w:val="00D84FCF"/>
    <w:rsid w:val="00D8515F"/>
    <w:rsid w:val="00D85373"/>
    <w:rsid w:val="00D8559F"/>
    <w:rsid w:val="00D85C66"/>
    <w:rsid w:val="00D8643D"/>
    <w:rsid w:val="00D875C7"/>
    <w:rsid w:val="00D87928"/>
    <w:rsid w:val="00D87C3E"/>
    <w:rsid w:val="00D92689"/>
    <w:rsid w:val="00D92826"/>
    <w:rsid w:val="00D9359A"/>
    <w:rsid w:val="00D93946"/>
    <w:rsid w:val="00D93CEC"/>
    <w:rsid w:val="00D963FF"/>
    <w:rsid w:val="00D9685E"/>
    <w:rsid w:val="00DA0122"/>
    <w:rsid w:val="00DA046B"/>
    <w:rsid w:val="00DA09A0"/>
    <w:rsid w:val="00DA1D8C"/>
    <w:rsid w:val="00DA25AC"/>
    <w:rsid w:val="00DA3B53"/>
    <w:rsid w:val="00DA43AE"/>
    <w:rsid w:val="00DA4584"/>
    <w:rsid w:val="00DA464F"/>
    <w:rsid w:val="00DA4AC3"/>
    <w:rsid w:val="00DA51EF"/>
    <w:rsid w:val="00DA6A17"/>
    <w:rsid w:val="00DA6D8C"/>
    <w:rsid w:val="00DA7741"/>
    <w:rsid w:val="00DB0863"/>
    <w:rsid w:val="00DB102C"/>
    <w:rsid w:val="00DB11E5"/>
    <w:rsid w:val="00DB211E"/>
    <w:rsid w:val="00DB3160"/>
    <w:rsid w:val="00DB3966"/>
    <w:rsid w:val="00DB47CD"/>
    <w:rsid w:val="00DB507E"/>
    <w:rsid w:val="00DB5346"/>
    <w:rsid w:val="00DB55A4"/>
    <w:rsid w:val="00DB5B4E"/>
    <w:rsid w:val="00DB75A8"/>
    <w:rsid w:val="00DC2640"/>
    <w:rsid w:val="00DC2B00"/>
    <w:rsid w:val="00DC3448"/>
    <w:rsid w:val="00DC3653"/>
    <w:rsid w:val="00DC4046"/>
    <w:rsid w:val="00DC5977"/>
    <w:rsid w:val="00DC6095"/>
    <w:rsid w:val="00DC682A"/>
    <w:rsid w:val="00DC6E51"/>
    <w:rsid w:val="00DC7486"/>
    <w:rsid w:val="00DC7C2F"/>
    <w:rsid w:val="00DC7FA5"/>
    <w:rsid w:val="00DD0390"/>
    <w:rsid w:val="00DD2F85"/>
    <w:rsid w:val="00DD312C"/>
    <w:rsid w:val="00DD3341"/>
    <w:rsid w:val="00DD3E74"/>
    <w:rsid w:val="00DD3F72"/>
    <w:rsid w:val="00DD59FD"/>
    <w:rsid w:val="00DD6B02"/>
    <w:rsid w:val="00DD70B7"/>
    <w:rsid w:val="00DD7136"/>
    <w:rsid w:val="00DD74D5"/>
    <w:rsid w:val="00DD77CE"/>
    <w:rsid w:val="00DD7851"/>
    <w:rsid w:val="00DD7BE5"/>
    <w:rsid w:val="00DE242E"/>
    <w:rsid w:val="00DE254A"/>
    <w:rsid w:val="00DE311D"/>
    <w:rsid w:val="00DE4551"/>
    <w:rsid w:val="00DE4861"/>
    <w:rsid w:val="00DE4AE3"/>
    <w:rsid w:val="00DE5314"/>
    <w:rsid w:val="00DE5E90"/>
    <w:rsid w:val="00DE6B08"/>
    <w:rsid w:val="00DF2E38"/>
    <w:rsid w:val="00DF3395"/>
    <w:rsid w:val="00DF4239"/>
    <w:rsid w:val="00DF4284"/>
    <w:rsid w:val="00DF61B5"/>
    <w:rsid w:val="00DF6407"/>
    <w:rsid w:val="00DF6EBA"/>
    <w:rsid w:val="00DF7351"/>
    <w:rsid w:val="00DF7388"/>
    <w:rsid w:val="00DF7A1D"/>
    <w:rsid w:val="00E018BA"/>
    <w:rsid w:val="00E030E9"/>
    <w:rsid w:val="00E04FEA"/>
    <w:rsid w:val="00E0597B"/>
    <w:rsid w:val="00E076A8"/>
    <w:rsid w:val="00E078BF"/>
    <w:rsid w:val="00E07EF3"/>
    <w:rsid w:val="00E10329"/>
    <w:rsid w:val="00E105B2"/>
    <w:rsid w:val="00E107EF"/>
    <w:rsid w:val="00E11086"/>
    <w:rsid w:val="00E11733"/>
    <w:rsid w:val="00E11AE2"/>
    <w:rsid w:val="00E125B9"/>
    <w:rsid w:val="00E127B2"/>
    <w:rsid w:val="00E13B55"/>
    <w:rsid w:val="00E141DA"/>
    <w:rsid w:val="00E147A8"/>
    <w:rsid w:val="00E14A39"/>
    <w:rsid w:val="00E16802"/>
    <w:rsid w:val="00E16C33"/>
    <w:rsid w:val="00E1769C"/>
    <w:rsid w:val="00E17C7A"/>
    <w:rsid w:val="00E200A2"/>
    <w:rsid w:val="00E2106E"/>
    <w:rsid w:val="00E211AE"/>
    <w:rsid w:val="00E21527"/>
    <w:rsid w:val="00E2170A"/>
    <w:rsid w:val="00E21F43"/>
    <w:rsid w:val="00E22722"/>
    <w:rsid w:val="00E22D14"/>
    <w:rsid w:val="00E23C89"/>
    <w:rsid w:val="00E23F0B"/>
    <w:rsid w:val="00E24B87"/>
    <w:rsid w:val="00E25534"/>
    <w:rsid w:val="00E25E78"/>
    <w:rsid w:val="00E268E5"/>
    <w:rsid w:val="00E309CA"/>
    <w:rsid w:val="00E311E3"/>
    <w:rsid w:val="00E316E8"/>
    <w:rsid w:val="00E31FD0"/>
    <w:rsid w:val="00E3213D"/>
    <w:rsid w:val="00E32CAD"/>
    <w:rsid w:val="00E33734"/>
    <w:rsid w:val="00E342AA"/>
    <w:rsid w:val="00E3497F"/>
    <w:rsid w:val="00E34D4A"/>
    <w:rsid w:val="00E34F4C"/>
    <w:rsid w:val="00E370C4"/>
    <w:rsid w:val="00E37182"/>
    <w:rsid w:val="00E37E90"/>
    <w:rsid w:val="00E4201B"/>
    <w:rsid w:val="00E42278"/>
    <w:rsid w:val="00E44186"/>
    <w:rsid w:val="00E45B9C"/>
    <w:rsid w:val="00E4685E"/>
    <w:rsid w:val="00E46C92"/>
    <w:rsid w:val="00E470B3"/>
    <w:rsid w:val="00E47148"/>
    <w:rsid w:val="00E50DA1"/>
    <w:rsid w:val="00E530BD"/>
    <w:rsid w:val="00E53258"/>
    <w:rsid w:val="00E533CF"/>
    <w:rsid w:val="00E54355"/>
    <w:rsid w:val="00E55744"/>
    <w:rsid w:val="00E600AE"/>
    <w:rsid w:val="00E6154E"/>
    <w:rsid w:val="00E61CE6"/>
    <w:rsid w:val="00E61E32"/>
    <w:rsid w:val="00E6379D"/>
    <w:rsid w:val="00E63B7E"/>
    <w:rsid w:val="00E63BD7"/>
    <w:rsid w:val="00E63D49"/>
    <w:rsid w:val="00E6499E"/>
    <w:rsid w:val="00E650AF"/>
    <w:rsid w:val="00E6640A"/>
    <w:rsid w:val="00E675C6"/>
    <w:rsid w:val="00E67B35"/>
    <w:rsid w:val="00E67F7E"/>
    <w:rsid w:val="00E700A9"/>
    <w:rsid w:val="00E70AF9"/>
    <w:rsid w:val="00E71622"/>
    <w:rsid w:val="00E71CC1"/>
    <w:rsid w:val="00E71D6C"/>
    <w:rsid w:val="00E7274F"/>
    <w:rsid w:val="00E72837"/>
    <w:rsid w:val="00E7320E"/>
    <w:rsid w:val="00E7341D"/>
    <w:rsid w:val="00E7524C"/>
    <w:rsid w:val="00E75D30"/>
    <w:rsid w:val="00E75D4C"/>
    <w:rsid w:val="00E778F1"/>
    <w:rsid w:val="00E77ED3"/>
    <w:rsid w:val="00E81B59"/>
    <w:rsid w:val="00E8280F"/>
    <w:rsid w:val="00E82CD5"/>
    <w:rsid w:val="00E82FFD"/>
    <w:rsid w:val="00E8390E"/>
    <w:rsid w:val="00E848EC"/>
    <w:rsid w:val="00E853BB"/>
    <w:rsid w:val="00E8550C"/>
    <w:rsid w:val="00E8616E"/>
    <w:rsid w:val="00E86E39"/>
    <w:rsid w:val="00E8719D"/>
    <w:rsid w:val="00E871E0"/>
    <w:rsid w:val="00E91246"/>
    <w:rsid w:val="00E91778"/>
    <w:rsid w:val="00E91DD1"/>
    <w:rsid w:val="00E92237"/>
    <w:rsid w:val="00E926F0"/>
    <w:rsid w:val="00E92927"/>
    <w:rsid w:val="00E92A5D"/>
    <w:rsid w:val="00E932B6"/>
    <w:rsid w:val="00E93FBF"/>
    <w:rsid w:val="00E94231"/>
    <w:rsid w:val="00E94D3A"/>
    <w:rsid w:val="00E954BA"/>
    <w:rsid w:val="00E9655B"/>
    <w:rsid w:val="00E9775F"/>
    <w:rsid w:val="00E978DC"/>
    <w:rsid w:val="00EA0077"/>
    <w:rsid w:val="00EA04ED"/>
    <w:rsid w:val="00EA10D0"/>
    <w:rsid w:val="00EA1596"/>
    <w:rsid w:val="00EA1BD2"/>
    <w:rsid w:val="00EA1EB0"/>
    <w:rsid w:val="00EA2D89"/>
    <w:rsid w:val="00EA3477"/>
    <w:rsid w:val="00EA3980"/>
    <w:rsid w:val="00EA3A56"/>
    <w:rsid w:val="00EA43AE"/>
    <w:rsid w:val="00EA5B30"/>
    <w:rsid w:val="00EA60E7"/>
    <w:rsid w:val="00EA61FC"/>
    <w:rsid w:val="00EA66F8"/>
    <w:rsid w:val="00EA69CA"/>
    <w:rsid w:val="00EA77A0"/>
    <w:rsid w:val="00EB120D"/>
    <w:rsid w:val="00EB2391"/>
    <w:rsid w:val="00EB2512"/>
    <w:rsid w:val="00EB2ADF"/>
    <w:rsid w:val="00EB2BF4"/>
    <w:rsid w:val="00EB3BA0"/>
    <w:rsid w:val="00EB4AE9"/>
    <w:rsid w:val="00EB5F3A"/>
    <w:rsid w:val="00EB6EDA"/>
    <w:rsid w:val="00EC010A"/>
    <w:rsid w:val="00EC0553"/>
    <w:rsid w:val="00EC06EC"/>
    <w:rsid w:val="00EC0FA2"/>
    <w:rsid w:val="00EC1438"/>
    <w:rsid w:val="00EC1594"/>
    <w:rsid w:val="00EC23F5"/>
    <w:rsid w:val="00EC333B"/>
    <w:rsid w:val="00EC3B21"/>
    <w:rsid w:val="00EC4712"/>
    <w:rsid w:val="00EC4724"/>
    <w:rsid w:val="00EC5AAC"/>
    <w:rsid w:val="00EC7DE1"/>
    <w:rsid w:val="00ED01B5"/>
    <w:rsid w:val="00ED12D8"/>
    <w:rsid w:val="00ED191C"/>
    <w:rsid w:val="00ED1AD7"/>
    <w:rsid w:val="00ED52E3"/>
    <w:rsid w:val="00ED5956"/>
    <w:rsid w:val="00ED61E6"/>
    <w:rsid w:val="00ED6AF9"/>
    <w:rsid w:val="00ED76FA"/>
    <w:rsid w:val="00ED7BA1"/>
    <w:rsid w:val="00ED7C7E"/>
    <w:rsid w:val="00EE0F69"/>
    <w:rsid w:val="00EE170F"/>
    <w:rsid w:val="00EE1AC8"/>
    <w:rsid w:val="00EE1D58"/>
    <w:rsid w:val="00EE228C"/>
    <w:rsid w:val="00EE4243"/>
    <w:rsid w:val="00EE4FCB"/>
    <w:rsid w:val="00EE5286"/>
    <w:rsid w:val="00EE6016"/>
    <w:rsid w:val="00EF0A75"/>
    <w:rsid w:val="00EF20AE"/>
    <w:rsid w:val="00EF29A4"/>
    <w:rsid w:val="00EF3535"/>
    <w:rsid w:val="00EF4A44"/>
    <w:rsid w:val="00EF4AB0"/>
    <w:rsid w:val="00EF5128"/>
    <w:rsid w:val="00EF5295"/>
    <w:rsid w:val="00EF69BC"/>
    <w:rsid w:val="00EF78D3"/>
    <w:rsid w:val="00F000C9"/>
    <w:rsid w:val="00F004DA"/>
    <w:rsid w:val="00F02394"/>
    <w:rsid w:val="00F04486"/>
    <w:rsid w:val="00F055EF"/>
    <w:rsid w:val="00F05D18"/>
    <w:rsid w:val="00F06854"/>
    <w:rsid w:val="00F06ACC"/>
    <w:rsid w:val="00F0737C"/>
    <w:rsid w:val="00F0778F"/>
    <w:rsid w:val="00F07A0C"/>
    <w:rsid w:val="00F1068B"/>
    <w:rsid w:val="00F119A3"/>
    <w:rsid w:val="00F123AF"/>
    <w:rsid w:val="00F1384D"/>
    <w:rsid w:val="00F13DD9"/>
    <w:rsid w:val="00F13E6B"/>
    <w:rsid w:val="00F143BD"/>
    <w:rsid w:val="00F1441F"/>
    <w:rsid w:val="00F150DE"/>
    <w:rsid w:val="00F176DB"/>
    <w:rsid w:val="00F17A6D"/>
    <w:rsid w:val="00F21511"/>
    <w:rsid w:val="00F21836"/>
    <w:rsid w:val="00F218D7"/>
    <w:rsid w:val="00F233FE"/>
    <w:rsid w:val="00F23B10"/>
    <w:rsid w:val="00F2465B"/>
    <w:rsid w:val="00F24A80"/>
    <w:rsid w:val="00F24C98"/>
    <w:rsid w:val="00F2585A"/>
    <w:rsid w:val="00F259F7"/>
    <w:rsid w:val="00F27B9D"/>
    <w:rsid w:val="00F27F17"/>
    <w:rsid w:val="00F31E98"/>
    <w:rsid w:val="00F3297F"/>
    <w:rsid w:val="00F34443"/>
    <w:rsid w:val="00F35A01"/>
    <w:rsid w:val="00F35F10"/>
    <w:rsid w:val="00F36268"/>
    <w:rsid w:val="00F37138"/>
    <w:rsid w:val="00F415BC"/>
    <w:rsid w:val="00F41C12"/>
    <w:rsid w:val="00F41D45"/>
    <w:rsid w:val="00F438B5"/>
    <w:rsid w:val="00F451C3"/>
    <w:rsid w:val="00F4729D"/>
    <w:rsid w:val="00F47322"/>
    <w:rsid w:val="00F47FB3"/>
    <w:rsid w:val="00F5049B"/>
    <w:rsid w:val="00F51380"/>
    <w:rsid w:val="00F5176D"/>
    <w:rsid w:val="00F53E11"/>
    <w:rsid w:val="00F544B9"/>
    <w:rsid w:val="00F54CD4"/>
    <w:rsid w:val="00F54F98"/>
    <w:rsid w:val="00F55423"/>
    <w:rsid w:val="00F556E7"/>
    <w:rsid w:val="00F55991"/>
    <w:rsid w:val="00F55CBC"/>
    <w:rsid w:val="00F56A6C"/>
    <w:rsid w:val="00F575F0"/>
    <w:rsid w:val="00F57EB6"/>
    <w:rsid w:val="00F57ED5"/>
    <w:rsid w:val="00F601E7"/>
    <w:rsid w:val="00F62C7C"/>
    <w:rsid w:val="00F62D48"/>
    <w:rsid w:val="00F63AAF"/>
    <w:rsid w:val="00F63E67"/>
    <w:rsid w:val="00F6421E"/>
    <w:rsid w:val="00F642C5"/>
    <w:rsid w:val="00F65728"/>
    <w:rsid w:val="00F657A4"/>
    <w:rsid w:val="00F65FAD"/>
    <w:rsid w:val="00F662AC"/>
    <w:rsid w:val="00F66EBC"/>
    <w:rsid w:val="00F70C1C"/>
    <w:rsid w:val="00F71E33"/>
    <w:rsid w:val="00F72861"/>
    <w:rsid w:val="00F729C4"/>
    <w:rsid w:val="00F74237"/>
    <w:rsid w:val="00F758A8"/>
    <w:rsid w:val="00F75D08"/>
    <w:rsid w:val="00F8099E"/>
    <w:rsid w:val="00F80E6F"/>
    <w:rsid w:val="00F81B01"/>
    <w:rsid w:val="00F82031"/>
    <w:rsid w:val="00F825EE"/>
    <w:rsid w:val="00F82E4B"/>
    <w:rsid w:val="00F82FBD"/>
    <w:rsid w:val="00F8466B"/>
    <w:rsid w:val="00F85E77"/>
    <w:rsid w:val="00F8626B"/>
    <w:rsid w:val="00F86781"/>
    <w:rsid w:val="00F87AEB"/>
    <w:rsid w:val="00F908F7"/>
    <w:rsid w:val="00F90A1B"/>
    <w:rsid w:val="00F912BC"/>
    <w:rsid w:val="00F912DA"/>
    <w:rsid w:val="00F9147A"/>
    <w:rsid w:val="00F92379"/>
    <w:rsid w:val="00F92E49"/>
    <w:rsid w:val="00F94987"/>
    <w:rsid w:val="00F94A8B"/>
    <w:rsid w:val="00F94D76"/>
    <w:rsid w:val="00F953BD"/>
    <w:rsid w:val="00F95649"/>
    <w:rsid w:val="00F95921"/>
    <w:rsid w:val="00F95ED2"/>
    <w:rsid w:val="00F95F73"/>
    <w:rsid w:val="00F973FE"/>
    <w:rsid w:val="00F9773D"/>
    <w:rsid w:val="00F97C1F"/>
    <w:rsid w:val="00F97C7C"/>
    <w:rsid w:val="00F97DFF"/>
    <w:rsid w:val="00FA05DB"/>
    <w:rsid w:val="00FA076A"/>
    <w:rsid w:val="00FA0983"/>
    <w:rsid w:val="00FA1BC5"/>
    <w:rsid w:val="00FA3A81"/>
    <w:rsid w:val="00FA52CD"/>
    <w:rsid w:val="00FA5518"/>
    <w:rsid w:val="00FA58BF"/>
    <w:rsid w:val="00FA6528"/>
    <w:rsid w:val="00FA7671"/>
    <w:rsid w:val="00FB1009"/>
    <w:rsid w:val="00FB1080"/>
    <w:rsid w:val="00FB126C"/>
    <w:rsid w:val="00FB14C7"/>
    <w:rsid w:val="00FB1D4B"/>
    <w:rsid w:val="00FB242F"/>
    <w:rsid w:val="00FB2706"/>
    <w:rsid w:val="00FB28C6"/>
    <w:rsid w:val="00FB3125"/>
    <w:rsid w:val="00FB3AA4"/>
    <w:rsid w:val="00FB60B8"/>
    <w:rsid w:val="00FB60FE"/>
    <w:rsid w:val="00FB6F3E"/>
    <w:rsid w:val="00FB75B7"/>
    <w:rsid w:val="00FC003B"/>
    <w:rsid w:val="00FC01F6"/>
    <w:rsid w:val="00FC0313"/>
    <w:rsid w:val="00FC1037"/>
    <w:rsid w:val="00FC140A"/>
    <w:rsid w:val="00FC14BB"/>
    <w:rsid w:val="00FC2800"/>
    <w:rsid w:val="00FC2F47"/>
    <w:rsid w:val="00FC2FA8"/>
    <w:rsid w:val="00FC346F"/>
    <w:rsid w:val="00FC38F7"/>
    <w:rsid w:val="00FC54BC"/>
    <w:rsid w:val="00FC6453"/>
    <w:rsid w:val="00FC6D55"/>
    <w:rsid w:val="00FC75E2"/>
    <w:rsid w:val="00FC772F"/>
    <w:rsid w:val="00FC7746"/>
    <w:rsid w:val="00FC7A66"/>
    <w:rsid w:val="00FD12B2"/>
    <w:rsid w:val="00FD1673"/>
    <w:rsid w:val="00FD1F23"/>
    <w:rsid w:val="00FD233B"/>
    <w:rsid w:val="00FD3810"/>
    <w:rsid w:val="00FD44D6"/>
    <w:rsid w:val="00FD4A6A"/>
    <w:rsid w:val="00FD681D"/>
    <w:rsid w:val="00FD69A3"/>
    <w:rsid w:val="00FD6DDB"/>
    <w:rsid w:val="00FE0335"/>
    <w:rsid w:val="00FE0DCC"/>
    <w:rsid w:val="00FE1EC1"/>
    <w:rsid w:val="00FE2D6D"/>
    <w:rsid w:val="00FE367B"/>
    <w:rsid w:val="00FE373A"/>
    <w:rsid w:val="00FE4134"/>
    <w:rsid w:val="00FE6033"/>
    <w:rsid w:val="00FE6F9B"/>
    <w:rsid w:val="00FF0735"/>
    <w:rsid w:val="00FF4198"/>
    <w:rsid w:val="00FF475B"/>
    <w:rsid w:val="00FF4829"/>
    <w:rsid w:val="00FF4D41"/>
    <w:rsid w:val="00FF5796"/>
    <w:rsid w:val="00FF5B15"/>
    <w:rsid w:val="00FF7F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530D47B3"/>
  <w15:docId w15:val="{0674D6F1-E8C1-48F6-AAC8-5999FCDD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527"/>
    <w:pPr>
      <w:widowControl w:val="0"/>
      <w:overflowPunct w:val="0"/>
      <w:autoSpaceDE w:val="0"/>
      <w:autoSpaceDN w:val="0"/>
      <w:bidi/>
      <w:adjustRightInd w:val="0"/>
      <w:spacing w:line="264" w:lineRule="auto"/>
      <w:jc w:val="both"/>
      <w:textAlignment w:val="baseline"/>
    </w:pPr>
    <w:rPr>
      <w:rFonts w:cs="Narkisim"/>
      <w:szCs w:val="24"/>
    </w:rPr>
  </w:style>
  <w:style w:type="paragraph" w:styleId="1">
    <w:name w:val="heading 1"/>
    <w:basedOn w:val="a"/>
    <w:next w:val="a"/>
    <w:link w:val="10"/>
    <w:qFormat/>
    <w:rsid w:val="004B6E29"/>
    <w:pPr>
      <w:pBdr>
        <w:bottom w:val="single" w:sz="12" w:space="1" w:color="auto"/>
      </w:pBdr>
      <w:tabs>
        <w:tab w:val="left" w:pos="0"/>
        <w:tab w:val="left" w:pos="397"/>
        <w:tab w:val="left" w:pos="510"/>
      </w:tabs>
      <w:outlineLvl w:val="0"/>
    </w:pPr>
    <w:rPr>
      <w:bCs/>
    </w:rPr>
  </w:style>
  <w:style w:type="paragraph" w:styleId="2">
    <w:name w:val="heading 2"/>
    <w:basedOn w:val="a"/>
    <w:next w:val="a"/>
    <w:link w:val="20"/>
    <w:qFormat/>
    <w:rsid w:val="00BD6B73"/>
    <w:pPr>
      <w:keepNext/>
      <w:tabs>
        <w:tab w:val="left" w:pos="0"/>
        <w:tab w:val="left" w:pos="397"/>
        <w:tab w:val="left" w:pos="510"/>
      </w:tabs>
      <w:outlineLvl w:val="1"/>
    </w:pPr>
    <w:rPr>
      <w:u w:val="single"/>
    </w:rPr>
  </w:style>
  <w:style w:type="paragraph" w:styleId="3">
    <w:name w:val="heading 3"/>
    <w:basedOn w:val="a"/>
    <w:next w:val="a"/>
    <w:link w:val="31"/>
    <w:qFormat/>
    <w:rsid w:val="00BD6B73"/>
    <w:pPr>
      <w:keepNext/>
      <w:tabs>
        <w:tab w:val="left" w:pos="291"/>
      </w:tabs>
      <w:ind w:left="8"/>
      <w:outlineLvl w:val="2"/>
    </w:pPr>
    <w:rPr>
      <w:u w:val="single"/>
    </w:rPr>
  </w:style>
  <w:style w:type="paragraph" w:styleId="4">
    <w:name w:val="heading 4"/>
    <w:basedOn w:val="a"/>
    <w:next w:val="a"/>
    <w:link w:val="40"/>
    <w:qFormat/>
    <w:rsid w:val="00BD6B73"/>
    <w:pPr>
      <w:keepNext/>
      <w:tabs>
        <w:tab w:val="left" w:pos="227"/>
      </w:tabs>
      <w:outlineLvl w:val="3"/>
    </w:pPr>
    <w:rPr>
      <w:u w:val="single"/>
    </w:rPr>
  </w:style>
  <w:style w:type="paragraph" w:styleId="5">
    <w:name w:val="heading 5"/>
    <w:basedOn w:val="a"/>
    <w:next w:val="a"/>
    <w:link w:val="53"/>
    <w:qFormat/>
    <w:rsid w:val="00BD6B73"/>
    <w:pPr>
      <w:keepNext/>
      <w:spacing w:line="260" w:lineRule="exact"/>
      <w:outlineLvl w:val="4"/>
    </w:pPr>
    <w:rPr>
      <w:u w:val="single"/>
    </w:rPr>
  </w:style>
  <w:style w:type="paragraph" w:styleId="6">
    <w:name w:val="heading 6"/>
    <w:basedOn w:val="a"/>
    <w:next w:val="a"/>
    <w:link w:val="60"/>
    <w:qFormat/>
    <w:rsid w:val="00BD6B73"/>
    <w:pPr>
      <w:keepNext/>
      <w:tabs>
        <w:tab w:val="left" w:pos="0"/>
        <w:tab w:val="left" w:pos="397"/>
        <w:tab w:val="left" w:pos="510"/>
      </w:tabs>
      <w:outlineLvl w:val="5"/>
    </w:pPr>
    <w:rPr>
      <w:u w:val="single"/>
    </w:rPr>
  </w:style>
  <w:style w:type="paragraph" w:styleId="7">
    <w:name w:val="heading 7"/>
    <w:basedOn w:val="a"/>
    <w:next w:val="a"/>
    <w:link w:val="70"/>
    <w:qFormat/>
    <w:rsid w:val="00BD6B73"/>
    <w:pPr>
      <w:keepNext/>
      <w:tabs>
        <w:tab w:val="left" w:pos="0"/>
        <w:tab w:val="left" w:pos="397"/>
        <w:tab w:val="left" w:pos="510"/>
      </w:tabs>
      <w:outlineLvl w:val="6"/>
    </w:pPr>
    <w:rPr>
      <w:u w:val="single"/>
    </w:rPr>
  </w:style>
  <w:style w:type="paragraph" w:styleId="8">
    <w:name w:val="heading 8"/>
    <w:basedOn w:val="a"/>
    <w:next w:val="a"/>
    <w:link w:val="80"/>
    <w:qFormat/>
    <w:rsid w:val="00BD6B73"/>
    <w:pPr>
      <w:keepNext/>
      <w:pBdr>
        <w:bottom w:val="single" w:sz="4" w:space="0" w:color="auto"/>
      </w:pBdr>
      <w:overflowPunct/>
      <w:adjustRightInd/>
      <w:textAlignment w:val="auto"/>
      <w:outlineLvl w:val="7"/>
    </w:pPr>
    <w:rPr>
      <w:b/>
      <w:bCs/>
      <w:color w:val="333333"/>
      <w:sz w:val="24"/>
    </w:rPr>
  </w:style>
  <w:style w:type="paragraph" w:styleId="9">
    <w:name w:val="heading 9"/>
    <w:basedOn w:val="a"/>
    <w:next w:val="a"/>
    <w:link w:val="90"/>
    <w:qFormat/>
    <w:rsid w:val="00BD6B73"/>
    <w:pPr>
      <w:keepNext/>
      <w:tabs>
        <w:tab w:val="left" w:pos="0"/>
        <w:tab w:val="left" w:pos="397"/>
        <w:tab w:val="left" w:pos="510"/>
      </w:tabs>
      <w:outlineLvl w:val="8"/>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B6E29"/>
    <w:rPr>
      <w:rFonts w:cs="Narkisim"/>
      <w:bCs/>
      <w:szCs w:val="24"/>
    </w:rPr>
  </w:style>
  <w:style w:type="character" w:customStyle="1" w:styleId="20">
    <w:name w:val="כותרת 2 תו"/>
    <w:basedOn w:val="a0"/>
    <w:link w:val="2"/>
    <w:rsid w:val="00BD6B73"/>
    <w:rPr>
      <w:rFonts w:cs="Narkisim"/>
      <w:szCs w:val="24"/>
      <w:u w:val="single"/>
      <w:lang w:val="en-US" w:eastAsia="en-US" w:bidi="he-IL"/>
    </w:rPr>
  </w:style>
  <w:style w:type="character" w:customStyle="1" w:styleId="31">
    <w:name w:val="כותרת 3 תו1"/>
    <w:basedOn w:val="a0"/>
    <w:link w:val="3"/>
    <w:rsid w:val="00BD6B73"/>
    <w:rPr>
      <w:rFonts w:cs="Narkisim"/>
      <w:szCs w:val="24"/>
      <w:u w:val="single"/>
      <w:lang w:val="en-US" w:eastAsia="en-US" w:bidi="he-IL"/>
    </w:rPr>
  </w:style>
  <w:style w:type="character" w:customStyle="1" w:styleId="40">
    <w:name w:val="כותרת 4 תו"/>
    <w:basedOn w:val="a0"/>
    <w:link w:val="4"/>
    <w:rsid w:val="00BD6B73"/>
    <w:rPr>
      <w:rFonts w:cs="Narkisim"/>
      <w:szCs w:val="24"/>
      <w:u w:val="single"/>
      <w:lang w:val="en-US" w:eastAsia="en-US" w:bidi="he-IL"/>
    </w:rPr>
  </w:style>
  <w:style w:type="character" w:customStyle="1" w:styleId="53">
    <w:name w:val="כותרת 5 תו3"/>
    <w:basedOn w:val="a0"/>
    <w:link w:val="5"/>
    <w:rsid w:val="00BD6B73"/>
    <w:rPr>
      <w:rFonts w:cs="Narkisim"/>
      <w:szCs w:val="24"/>
      <w:u w:val="single"/>
      <w:lang w:val="en-US" w:eastAsia="en-US" w:bidi="he-IL"/>
    </w:rPr>
  </w:style>
  <w:style w:type="character" w:customStyle="1" w:styleId="60">
    <w:name w:val="כותרת 6 תו"/>
    <w:basedOn w:val="a0"/>
    <w:link w:val="6"/>
    <w:rsid w:val="00BD6B73"/>
    <w:rPr>
      <w:rFonts w:cs="Narkisim"/>
      <w:szCs w:val="24"/>
      <w:u w:val="single"/>
      <w:lang w:val="en-US" w:eastAsia="en-US" w:bidi="he-IL"/>
    </w:rPr>
  </w:style>
  <w:style w:type="paragraph" w:styleId="a3">
    <w:name w:val="Normal Indent"/>
    <w:basedOn w:val="a"/>
    <w:link w:val="a4"/>
    <w:rsid w:val="001958C9"/>
    <w:pPr>
      <w:spacing w:line="240" w:lineRule="exact"/>
      <w:ind w:left="284" w:hanging="227"/>
      <w:jc w:val="left"/>
    </w:pPr>
  </w:style>
  <w:style w:type="character" w:customStyle="1" w:styleId="a4">
    <w:name w:val="כניסה רגילה תו"/>
    <w:basedOn w:val="a0"/>
    <w:link w:val="a3"/>
    <w:locked/>
    <w:rsid w:val="001958C9"/>
    <w:rPr>
      <w:rFonts w:cs="Narkisim"/>
      <w:szCs w:val="24"/>
    </w:rPr>
  </w:style>
  <w:style w:type="paragraph" w:styleId="a5">
    <w:name w:val="header"/>
    <w:basedOn w:val="a"/>
    <w:link w:val="a6"/>
    <w:rsid w:val="00BD6B73"/>
    <w:pPr>
      <w:tabs>
        <w:tab w:val="center" w:pos="4153"/>
        <w:tab w:val="right" w:pos="8306"/>
      </w:tabs>
      <w:jc w:val="left"/>
    </w:pPr>
  </w:style>
  <w:style w:type="paragraph" w:styleId="a7">
    <w:name w:val="footer"/>
    <w:basedOn w:val="a"/>
    <w:link w:val="a8"/>
    <w:uiPriority w:val="99"/>
    <w:rsid w:val="00BD6B73"/>
    <w:pPr>
      <w:tabs>
        <w:tab w:val="center" w:pos="4153"/>
        <w:tab w:val="right" w:pos="8306"/>
      </w:tabs>
    </w:pPr>
  </w:style>
  <w:style w:type="paragraph" w:customStyle="1" w:styleId="Hnormal">
    <w:name w:val="Hnormal"/>
    <w:basedOn w:val="a"/>
    <w:rsid w:val="00BD6B73"/>
  </w:style>
  <w:style w:type="paragraph" w:styleId="a9">
    <w:name w:val="Body Text"/>
    <w:basedOn w:val="a"/>
    <w:link w:val="aa"/>
    <w:rsid w:val="00BD6B73"/>
  </w:style>
  <w:style w:type="paragraph" w:customStyle="1" w:styleId="FirsLine">
    <w:name w:val="FirsLine"/>
    <w:basedOn w:val="a"/>
    <w:link w:val="FirsLine0"/>
    <w:rsid w:val="00BD6B73"/>
    <w:pPr>
      <w:bidi w:val="0"/>
      <w:ind w:firstLine="567"/>
    </w:pPr>
    <w:rPr>
      <w:sz w:val="22"/>
    </w:rPr>
  </w:style>
  <w:style w:type="character" w:customStyle="1" w:styleId="FirsLine0">
    <w:name w:val="FirsLine תו"/>
    <w:basedOn w:val="a0"/>
    <w:link w:val="FirsLine"/>
    <w:rsid w:val="00BD6B73"/>
    <w:rPr>
      <w:rFonts w:cs="Narkisim"/>
      <w:sz w:val="22"/>
      <w:szCs w:val="24"/>
      <w:lang w:val="en-US" w:eastAsia="en-US" w:bidi="he-IL"/>
    </w:rPr>
  </w:style>
  <w:style w:type="character" w:styleId="ab">
    <w:name w:val="footnote reference"/>
    <w:basedOn w:val="a0"/>
    <w:rsid w:val="00BD6B73"/>
    <w:rPr>
      <w:bCs/>
      <w:color w:val="FF0000"/>
      <w:vertAlign w:val="superscript"/>
    </w:rPr>
  </w:style>
  <w:style w:type="paragraph" w:styleId="ac">
    <w:name w:val="footnote text"/>
    <w:aliases w:val="fn"/>
    <w:basedOn w:val="a"/>
    <w:link w:val="ad"/>
    <w:rsid w:val="00E21527"/>
    <w:pPr>
      <w:tabs>
        <w:tab w:val="left" w:pos="284"/>
      </w:tabs>
      <w:spacing w:line="160" w:lineRule="exact"/>
      <w:ind w:left="284" w:hanging="284"/>
    </w:pPr>
    <w:rPr>
      <w:rFonts w:cs="David"/>
      <w:sz w:val="12"/>
      <w:szCs w:val="14"/>
    </w:rPr>
  </w:style>
  <w:style w:type="paragraph" w:customStyle="1" w:styleId="11">
    <w:name w:val="מא1"/>
    <w:basedOn w:val="a"/>
    <w:link w:val="12"/>
    <w:qFormat/>
    <w:rsid w:val="00B267F5"/>
    <w:pPr>
      <w:tabs>
        <w:tab w:val="left" w:pos="1134"/>
      </w:tabs>
      <w:ind w:left="1134" w:hanging="1134"/>
    </w:pPr>
  </w:style>
  <w:style w:type="character" w:customStyle="1" w:styleId="12">
    <w:name w:val="מא1 תו"/>
    <w:basedOn w:val="a0"/>
    <w:link w:val="11"/>
    <w:locked/>
    <w:rsid w:val="00B267F5"/>
    <w:rPr>
      <w:rFonts w:cs="Narkisim"/>
      <w:szCs w:val="24"/>
    </w:rPr>
  </w:style>
  <w:style w:type="paragraph" w:customStyle="1" w:styleId="21">
    <w:name w:val="מא2"/>
    <w:basedOn w:val="11"/>
    <w:link w:val="22"/>
    <w:rsid w:val="00BD6B73"/>
    <w:pPr>
      <w:tabs>
        <w:tab w:val="left" w:pos="1701"/>
      </w:tabs>
      <w:ind w:left="1701" w:hanging="567"/>
    </w:pPr>
  </w:style>
  <w:style w:type="character" w:customStyle="1" w:styleId="22">
    <w:name w:val="מא2 תו"/>
    <w:basedOn w:val="a0"/>
    <w:link w:val="21"/>
    <w:locked/>
    <w:rsid w:val="00BD6B73"/>
    <w:rPr>
      <w:rFonts w:cs="Narkisim"/>
      <w:sz w:val="22"/>
      <w:szCs w:val="24"/>
      <w:lang w:val="en-US" w:eastAsia="en-US" w:bidi="he-IL"/>
    </w:rPr>
  </w:style>
  <w:style w:type="paragraph" w:customStyle="1" w:styleId="30">
    <w:name w:val="מא3"/>
    <w:basedOn w:val="21"/>
    <w:link w:val="32"/>
    <w:rsid w:val="00BD6B73"/>
    <w:pPr>
      <w:tabs>
        <w:tab w:val="clear" w:pos="1134"/>
        <w:tab w:val="left" w:pos="2268"/>
      </w:tabs>
      <w:ind w:left="2268"/>
    </w:pPr>
  </w:style>
  <w:style w:type="character" w:customStyle="1" w:styleId="32">
    <w:name w:val="מא3 תו"/>
    <w:basedOn w:val="a0"/>
    <w:link w:val="30"/>
    <w:locked/>
    <w:rsid w:val="00BD6B73"/>
    <w:rPr>
      <w:rFonts w:cs="Narkisim"/>
      <w:szCs w:val="24"/>
      <w:lang w:val="en-US" w:eastAsia="en-US" w:bidi="he-IL"/>
    </w:rPr>
  </w:style>
  <w:style w:type="paragraph" w:customStyle="1" w:styleId="41">
    <w:name w:val="מא4"/>
    <w:basedOn w:val="30"/>
    <w:link w:val="42"/>
    <w:rsid w:val="00DE4AE3"/>
    <w:pPr>
      <w:tabs>
        <w:tab w:val="clear" w:pos="1701"/>
        <w:tab w:val="left" w:pos="2835"/>
      </w:tabs>
      <w:ind w:left="2835"/>
    </w:pPr>
  </w:style>
  <w:style w:type="character" w:customStyle="1" w:styleId="42">
    <w:name w:val="מא4 תו"/>
    <w:basedOn w:val="32"/>
    <w:link w:val="41"/>
    <w:locked/>
    <w:rsid w:val="00DE4AE3"/>
    <w:rPr>
      <w:rFonts w:cs="Narkisim"/>
      <w:szCs w:val="24"/>
      <w:lang w:val="en-US" w:eastAsia="en-US" w:bidi="he-IL"/>
    </w:rPr>
  </w:style>
  <w:style w:type="paragraph" w:customStyle="1" w:styleId="50">
    <w:name w:val="מא5"/>
    <w:basedOn w:val="41"/>
    <w:link w:val="51"/>
    <w:rsid w:val="00BD6B73"/>
    <w:pPr>
      <w:widowControl/>
      <w:tabs>
        <w:tab w:val="clear" w:pos="2268"/>
        <w:tab w:val="left" w:pos="3402"/>
        <w:tab w:val="left" w:pos="3969"/>
        <w:tab w:val="left" w:pos="4536"/>
      </w:tabs>
      <w:ind w:left="3402"/>
    </w:pPr>
  </w:style>
  <w:style w:type="character" w:customStyle="1" w:styleId="51">
    <w:name w:val="מא5 תו"/>
    <w:basedOn w:val="a0"/>
    <w:link w:val="50"/>
    <w:rsid w:val="00BD6B73"/>
    <w:rPr>
      <w:rFonts w:cs="Narkisim"/>
      <w:szCs w:val="24"/>
      <w:lang w:val="en-US" w:eastAsia="en-US" w:bidi="he-IL"/>
    </w:rPr>
  </w:style>
  <w:style w:type="paragraph" w:customStyle="1" w:styleId="0">
    <w:name w:val="א0"/>
    <w:basedOn w:val="a"/>
    <w:link w:val="00"/>
    <w:rsid w:val="00BD6B73"/>
    <w:pPr>
      <w:tabs>
        <w:tab w:val="left" w:pos="0"/>
        <w:tab w:val="left" w:pos="567"/>
        <w:tab w:val="left" w:pos="1134"/>
      </w:tabs>
      <w:ind w:left="567" w:hanging="567"/>
    </w:pPr>
    <w:rPr>
      <w:sz w:val="22"/>
      <w:lang w:eastAsia="he-IL"/>
    </w:rPr>
  </w:style>
  <w:style w:type="character" w:customStyle="1" w:styleId="00">
    <w:name w:val="א0 תו"/>
    <w:basedOn w:val="a0"/>
    <w:link w:val="0"/>
    <w:rsid w:val="00BD6B73"/>
    <w:rPr>
      <w:rFonts w:cs="Narkisim"/>
      <w:sz w:val="22"/>
      <w:szCs w:val="24"/>
      <w:lang w:val="en-US" w:eastAsia="he-IL" w:bidi="he-IL"/>
    </w:rPr>
  </w:style>
  <w:style w:type="paragraph" w:customStyle="1" w:styleId="13">
    <w:name w:val="א1"/>
    <w:basedOn w:val="a"/>
    <w:link w:val="14"/>
    <w:rsid w:val="00BD6B73"/>
    <w:pPr>
      <w:tabs>
        <w:tab w:val="left" w:pos="567"/>
        <w:tab w:val="left" w:pos="1134"/>
      </w:tabs>
    </w:pPr>
    <w:rPr>
      <w:lang w:eastAsia="he-IL"/>
    </w:rPr>
  </w:style>
  <w:style w:type="character" w:customStyle="1" w:styleId="14">
    <w:name w:val="א1 תו"/>
    <w:basedOn w:val="a0"/>
    <w:link w:val="13"/>
    <w:locked/>
    <w:rsid w:val="00BD6B73"/>
    <w:rPr>
      <w:rFonts w:cs="Narkisim"/>
      <w:sz w:val="22"/>
      <w:szCs w:val="24"/>
      <w:lang w:val="en-US" w:eastAsia="he-IL" w:bidi="he-IL"/>
    </w:rPr>
  </w:style>
  <w:style w:type="paragraph" w:customStyle="1" w:styleId="23">
    <w:name w:val="א2"/>
    <w:basedOn w:val="13"/>
    <w:link w:val="24"/>
    <w:rsid w:val="00BD6B73"/>
    <w:pPr>
      <w:tabs>
        <w:tab w:val="left" w:pos="1701"/>
      </w:tabs>
      <w:ind w:left="1701"/>
    </w:pPr>
  </w:style>
  <w:style w:type="character" w:customStyle="1" w:styleId="24">
    <w:name w:val="א2 תו"/>
    <w:basedOn w:val="a0"/>
    <w:link w:val="23"/>
    <w:locked/>
    <w:rsid w:val="00BD6B73"/>
    <w:rPr>
      <w:rFonts w:cs="Narkisim"/>
      <w:sz w:val="22"/>
      <w:szCs w:val="24"/>
      <w:lang w:val="en-US" w:eastAsia="he-IL" w:bidi="he-IL"/>
    </w:rPr>
  </w:style>
  <w:style w:type="paragraph" w:customStyle="1" w:styleId="71">
    <w:name w:val="א7"/>
    <w:basedOn w:val="a"/>
    <w:rsid w:val="00BD6B73"/>
    <w:pPr>
      <w:tabs>
        <w:tab w:val="left" w:pos="3969"/>
        <w:tab w:val="left" w:pos="4536"/>
      </w:tabs>
      <w:ind w:left="4536" w:hanging="567"/>
    </w:pPr>
    <w:rPr>
      <w:sz w:val="22"/>
      <w:lang w:eastAsia="he-IL"/>
    </w:rPr>
  </w:style>
  <w:style w:type="paragraph" w:customStyle="1" w:styleId="81">
    <w:name w:val="א8"/>
    <w:basedOn w:val="71"/>
    <w:rsid w:val="00BD6B73"/>
    <w:pPr>
      <w:ind w:left="0" w:firstLine="0"/>
    </w:pPr>
  </w:style>
  <w:style w:type="character" w:styleId="Hyperlink">
    <w:name w:val="Hyperlink"/>
    <w:basedOn w:val="a0"/>
    <w:rsid w:val="00BD6B73"/>
    <w:rPr>
      <w:strike w:val="0"/>
      <w:dstrike w:val="0"/>
      <w:color w:val="auto"/>
      <w:u w:val="none"/>
      <w:effect w:val="none"/>
    </w:rPr>
  </w:style>
  <w:style w:type="paragraph" w:styleId="TOC2">
    <w:name w:val="toc 2"/>
    <w:basedOn w:val="a"/>
    <w:next w:val="a"/>
    <w:rsid w:val="00BD6B73"/>
    <w:pPr>
      <w:spacing w:before="120"/>
      <w:ind w:left="200"/>
      <w:jc w:val="left"/>
    </w:pPr>
    <w:rPr>
      <w:rFonts w:asciiTheme="minorHAnsi" w:hAnsiTheme="minorHAnsi" w:cs="Times New Roman"/>
      <w:i/>
      <w:iCs/>
      <w:szCs w:val="20"/>
    </w:rPr>
  </w:style>
  <w:style w:type="paragraph" w:styleId="TOC3">
    <w:name w:val="toc 3"/>
    <w:basedOn w:val="TOC2"/>
    <w:next w:val="a"/>
    <w:rsid w:val="00BD6B73"/>
    <w:pPr>
      <w:spacing w:before="0"/>
      <w:ind w:left="400"/>
    </w:pPr>
    <w:rPr>
      <w:i w:val="0"/>
      <w:iCs w:val="0"/>
    </w:rPr>
  </w:style>
  <w:style w:type="paragraph" w:styleId="ae">
    <w:name w:val="annotation text"/>
    <w:basedOn w:val="a"/>
    <w:link w:val="af"/>
    <w:uiPriority w:val="99"/>
    <w:rsid w:val="00BD6B73"/>
    <w:pPr>
      <w:widowControl/>
      <w:textAlignment w:val="auto"/>
    </w:pPr>
    <w:rPr>
      <w:szCs w:val="20"/>
    </w:rPr>
  </w:style>
  <w:style w:type="paragraph" w:styleId="33">
    <w:name w:val="Body Text 3"/>
    <w:basedOn w:val="a"/>
    <w:link w:val="34"/>
    <w:rsid w:val="00BD6B73"/>
    <w:pPr>
      <w:widowControl/>
      <w:bidi w:val="0"/>
      <w:textAlignment w:val="auto"/>
    </w:pPr>
    <w:rPr>
      <w:szCs w:val="22"/>
    </w:rPr>
  </w:style>
  <w:style w:type="paragraph" w:styleId="af0">
    <w:name w:val="Plain Text"/>
    <w:basedOn w:val="a"/>
    <w:link w:val="af1"/>
    <w:rsid w:val="00BD6B73"/>
    <w:pPr>
      <w:widowControl/>
      <w:ind w:left="567" w:hanging="567"/>
      <w:textAlignment w:val="auto"/>
    </w:pPr>
    <w:rPr>
      <w:rFonts w:cs="David"/>
      <w:sz w:val="18"/>
      <w:szCs w:val="20"/>
    </w:rPr>
  </w:style>
  <w:style w:type="paragraph" w:styleId="af2">
    <w:name w:val="annotation subject"/>
    <w:basedOn w:val="ae"/>
    <w:next w:val="ae"/>
    <w:link w:val="af3"/>
    <w:rsid w:val="00BD6B73"/>
    <w:rPr>
      <w:b/>
      <w:bCs/>
    </w:rPr>
  </w:style>
  <w:style w:type="character" w:customStyle="1" w:styleId="35">
    <w:name w:val="א3 תו"/>
    <w:basedOn w:val="a0"/>
    <w:link w:val="36"/>
    <w:locked/>
    <w:rsid w:val="00BD6B73"/>
    <w:rPr>
      <w:rFonts w:cs="Narkisim"/>
      <w:sz w:val="22"/>
      <w:szCs w:val="24"/>
      <w:lang w:val="en-US" w:eastAsia="he-IL" w:bidi="he-IL"/>
    </w:rPr>
  </w:style>
  <w:style w:type="paragraph" w:customStyle="1" w:styleId="36">
    <w:name w:val="א3"/>
    <w:basedOn w:val="a"/>
    <w:link w:val="35"/>
    <w:autoRedefine/>
    <w:rsid w:val="00BD6B73"/>
    <w:pPr>
      <w:tabs>
        <w:tab w:val="left" w:pos="1701"/>
        <w:tab w:val="left" w:pos="2268"/>
      </w:tabs>
      <w:overflowPunct/>
      <w:autoSpaceDE/>
      <w:autoSpaceDN/>
      <w:bidi w:val="0"/>
      <w:adjustRightInd/>
      <w:ind w:left="2268" w:hanging="567"/>
      <w:textAlignment w:val="auto"/>
    </w:pPr>
    <w:rPr>
      <w:rFonts w:hint="cs"/>
      <w:lang w:eastAsia="he-IL"/>
    </w:rPr>
  </w:style>
  <w:style w:type="paragraph" w:customStyle="1" w:styleId="15">
    <w:name w:val="1"/>
    <w:basedOn w:val="a"/>
    <w:rsid w:val="00BD6B73"/>
    <w:pPr>
      <w:widowControl/>
      <w:pBdr>
        <w:bottom w:val="single" w:sz="6" w:space="1" w:color="auto"/>
      </w:pBdr>
      <w:tabs>
        <w:tab w:val="decimal" w:pos="397"/>
      </w:tabs>
      <w:overflowPunct/>
      <w:adjustRightInd/>
      <w:jc w:val="left"/>
      <w:textAlignment w:val="auto"/>
    </w:pPr>
    <w:rPr>
      <w:sz w:val="24"/>
    </w:rPr>
  </w:style>
  <w:style w:type="paragraph" w:customStyle="1" w:styleId="af4">
    <w:name w:val="????"/>
    <w:basedOn w:val="a"/>
    <w:rsid w:val="00BD6B73"/>
    <w:pPr>
      <w:widowControl/>
      <w:pBdr>
        <w:bottom w:val="single" w:sz="6" w:space="1" w:color="auto"/>
      </w:pBdr>
      <w:jc w:val="center"/>
      <w:textAlignment w:val="auto"/>
    </w:pPr>
    <w:rPr>
      <w:b/>
      <w:bCs/>
    </w:rPr>
  </w:style>
  <w:style w:type="paragraph" w:customStyle="1" w:styleId="InsideAddress">
    <w:name w:val="Inside Address"/>
    <w:basedOn w:val="a"/>
    <w:rsid w:val="00BD6B73"/>
    <w:pPr>
      <w:widowControl/>
      <w:textAlignment w:val="auto"/>
    </w:pPr>
  </w:style>
  <w:style w:type="paragraph" w:customStyle="1" w:styleId="af5">
    <w:name w:val="גבול"/>
    <w:basedOn w:val="a"/>
    <w:rsid w:val="00BD6B73"/>
    <w:pPr>
      <w:widowControl/>
      <w:pBdr>
        <w:bottom w:val="single" w:sz="6" w:space="1" w:color="auto"/>
      </w:pBdr>
      <w:jc w:val="center"/>
      <w:textAlignment w:val="auto"/>
    </w:pPr>
    <w:rPr>
      <w:b/>
      <w:bCs/>
      <w:sz w:val="24"/>
    </w:rPr>
  </w:style>
  <w:style w:type="table" w:styleId="af6">
    <w:name w:val="Table Grid"/>
    <w:basedOn w:val="a1"/>
    <w:rsid w:val="00BD6B73"/>
    <w:pPr>
      <w:widowControl w:val="0"/>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BD6B73"/>
  </w:style>
  <w:style w:type="paragraph" w:customStyle="1" w:styleId="BlockQuotation">
    <w:name w:val="Block Quotation"/>
    <w:basedOn w:val="a"/>
    <w:rsid w:val="00BD6B73"/>
    <w:pPr>
      <w:overflowPunct/>
      <w:autoSpaceDE/>
      <w:autoSpaceDN/>
      <w:adjustRightInd/>
      <w:ind w:left="1701"/>
      <w:textAlignment w:val="auto"/>
    </w:pPr>
    <w:rPr>
      <w:rFonts w:ascii="Narkisim" w:hAnsi="Narkisim" w:cs="Miriam"/>
      <w:sz w:val="22"/>
      <w:lang w:eastAsia="he-IL"/>
    </w:rPr>
  </w:style>
  <w:style w:type="paragraph" w:customStyle="1" w:styleId="25">
    <w:name w:val="2"/>
    <w:basedOn w:val="a"/>
    <w:rsid w:val="00BD6B73"/>
    <w:pPr>
      <w:pBdr>
        <w:bottom w:val="double" w:sz="6" w:space="1" w:color="auto"/>
      </w:pBdr>
      <w:tabs>
        <w:tab w:val="decimal" w:pos="397"/>
      </w:tabs>
      <w:overflowPunct/>
      <w:autoSpaceDE/>
      <w:autoSpaceDN/>
      <w:adjustRightInd/>
      <w:jc w:val="left"/>
      <w:textAlignment w:val="auto"/>
    </w:pPr>
    <w:rPr>
      <w:sz w:val="24"/>
      <w:lang w:eastAsia="he-IL"/>
    </w:rPr>
  </w:style>
  <w:style w:type="paragraph" w:styleId="26">
    <w:name w:val="List Bullet 2"/>
    <w:basedOn w:val="a"/>
    <w:autoRedefine/>
    <w:rsid w:val="00BD6B73"/>
    <w:pPr>
      <w:overflowPunct/>
      <w:autoSpaceDE/>
      <w:autoSpaceDN/>
      <w:adjustRightInd/>
      <w:textAlignment w:val="auto"/>
    </w:pPr>
    <w:rPr>
      <w:sz w:val="22"/>
      <w:lang w:eastAsia="he-IL"/>
    </w:rPr>
  </w:style>
  <w:style w:type="paragraph" w:styleId="27">
    <w:name w:val="Body Text Indent 2"/>
    <w:basedOn w:val="a"/>
    <w:link w:val="28"/>
    <w:rsid w:val="00BD6B73"/>
    <w:pPr>
      <w:overflowPunct/>
      <w:autoSpaceDE/>
      <w:autoSpaceDN/>
      <w:adjustRightInd/>
      <w:ind w:left="1134" w:hanging="567"/>
      <w:textAlignment w:val="auto"/>
    </w:pPr>
    <w:rPr>
      <w:sz w:val="24"/>
      <w:lang w:eastAsia="he-IL"/>
    </w:rPr>
  </w:style>
  <w:style w:type="paragraph" w:styleId="Index1">
    <w:name w:val="index 1"/>
    <w:basedOn w:val="a"/>
    <w:next w:val="a"/>
    <w:autoRedefine/>
    <w:rsid w:val="00BD6B73"/>
    <w:pPr>
      <w:ind w:left="200" w:hanging="200"/>
    </w:pPr>
  </w:style>
  <w:style w:type="paragraph" w:customStyle="1" w:styleId="ReferenceLine">
    <w:name w:val="Reference Line"/>
    <w:basedOn w:val="a9"/>
    <w:rsid w:val="00BD6B73"/>
    <w:pPr>
      <w:overflowPunct/>
      <w:autoSpaceDE/>
      <w:autoSpaceDN/>
      <w:bidi w:val="0"/>
      <w:adjustRightInd/>
      <w:ind w:left="57" w:firstLine="567"/>
      <w:textAlignment w:val="auto"/>
    </w:pPr>
    <w:rPr>
      <w:rFonts w:cs="Times New Roman"/>
      <w:sz w:val="22"/>
      <w:szCs w:val="22"/>
      <w:lang w:eastAsia="he-IL"/>
    </w:rPr>
  </w:style>
  <w:style w:type="character" w:customStyle="1" w:styleId="29">
    <w:name w:val="תו תו2"/>
    <w:basedOn w:val="a0"/>
    <w:rsid w:val="00BD6B73"/>
    <w:rPr>
      <w:rFonts w:cs="Narkisim"/>
      <w:sz w:val="22"/>
      <w:szCs w:val="24"/>
      <w:lang w:val="en-US" w:eastAsia="he-IL" w:bidi="he-IL"/>
    </w:rPr>
  </w:style>
  <w:style w:type="paragraph" w:customStyle="1" w:styleId="61">
    <w:name w:val="מא6"/>
    <w:basedOn w:val="a"/>
    <w:rsid w:val="00BD6B73"/>
    <w:pPr>
      <w:widowControl/>
      <w:tabs>
        <w:tab w:val="left" w:pos="3402"/>
        <w:tab w:val="left" w:pos="3969"/>
      </w:tabs>
      <w:overflowPunct/>
      <w:autoSpaceDE/>
      <w:autoSpaceDN/>
      <w:adjustRightInd/>
      <w:ind w:left="3969" w:hanging="567"/>
      <w:textAlignment w:val="auto"/>
    </w:pPr>
    <w:rPr>
      <w:sz w:val="22"/>
    </w:rPr>
  </w:style>
  <w:style w:type="character" w:customStyle="1" w:styleId="1Char">
    <w:name w:val="א1 Char"/>
    <w:basedOn w:val="a0"/>
    <w:rsid w:val="00BD6B73"/>
    <w:rPr>
      <w:rFonts w:cs="Narkisim"/>
      <w:sz w:val="22"/>
      <w:szCs w:val="24"/>
      <w:lang w:val="en-US" w:eastAsia="en-US" w:bidi="he-IL"/>
    </w:rPr>
  </w:style>
  <w:style w:type="paragraph" w:customStyle="1" w:styleId="a70">
    <w:name w:val="a7"/>
    <w:basedOn w:val="a"/>
    <w:rsid w:val="00BD6B73"/>
    <w:pPr>
      <w:widowControl/>
      <w:tabs>
        <w:tab w:val="left" w:pos="3969"/>
        <w:tab w:val="left" w:pos="4536"/>
      </w:tabs>
      <w:overflowPunct/>
      <w:autoSpaceDE/>
      <w:autoSpaceDN/>
      <w:bidi w:val="0"/>
      <w:adjustRightInd/>
      <w:ind w:left="4536" w:hanging="567"/>
      <w:textAlignment w:val="auto"/>
    </w:pPr>
    <w:rPr>
      <w:rFonts w:cs="Times New Roman"/>
      <w:bCs/>
      <w:sz w:val="22"/>
    </w:rPr>
  </w:style>
  <w:style w:type="paragraph" w:customStyle="1" w:styleId="a80">
    <w:name w:val="a8"/>
    <w:basedOn w:val="a"/>
    <w:rsid w:val="00BD6B73"/>
    <w:pPr>
      <w:widowControl/>
      <w:tabs>
        <w:tab w:val="left" w:pos="4536"/>
        <w:tab w:val="left" w:pos="5103"/>
      </w:tabs>
      <w:overflowPunct/>
      <w:autoSpaceDE/>
      <w:autoSpaceDN/>
      <w:bidi w:val="0"/>
      <w:adjustRightInd/>
      <w:ind w:left="5103" w:hanging="567"/>
      <w:textAlignment w:val="auto"/>
    </w:pPr>
    <w:rPr>
      <w:rFonts w:cs="Times New Roman"/>
      <w:bCs/>
      <w:sz w:val="22"/>
    </w:rPr>
  </w:style>
  <w:style w:type="paragraph" w:customStyle="1" w:styleId="E0">
    <w:name w:val="E0"/>
    <w:basedOn w:val="a"/>
    <w:rsid w:val="00BD6B73"/>
    <w:pPr>
      <w:widowControl/>
      <w:overflowPunct/>
      <w:bidi w:val="0"/>
      <w:textAlignment w:val="auto"/>
    </w:pPr>
    <w:rPr>
      <w:rFonts w:cs="Times New Roman"/>
      <w:sz w:val="22"/>
    </w:rPr>
  </w:style>
  <w:style w:type="paragraph" w:customStyle="1" w:styleId="E1">
    <w:name w:val="E1"/>
    <w:basedOn w:val="a"/>
    <w:rsid w:val="00BD6B73"/>
    <w:pPr>
      <w:widowControl/>
      <w:tabs>
        <w:tab w:val="left" w:pos="0"/>
        <w:tab w:val="left" w:pos="1134"/>
      </w:tabs>
      <w:overflowPunct/>
      <w:bidi w:val="0"/>
      <w:ind w:left="1134" w:hanging="1134"/>
      <w:textAlignment w:val="auto"/>
    </w:pPr>
    <w:rPr>
      <w:rFonts w:cs="Times New Roman"/>
      <w:b/>
      <w:bCs/>
      <w:caps/>
      <w:sz w:val="22"/>
    </w:rPr>
  </w:style>
  <w:style w:type="paragraph" w:customStyle="1" w:styleId="E2">
    <w:name w:val="E2"/>
    <w:basedOn w:val="a"/>
    <w:rsid w:val="00BD6B73"/>
    <w:pPr>
      <w:widowControl/>
      <w:tabs>
        <w:tab w:val="left" w:pos="1134"/>
        <w:tab w:val="left" w:pos="1701"/>
      </w:tabs>
      <w:overflowPunct/>
      <w:bidi w:val="0"/>
      <w:ind w:left="1701" w:hanging="567"/>
      <w:textAlignment w:val="auto"/>
    </w:pPr>
    <w:rPr>
      <w:rFonts w:cs="Times New Roman"/>
      <w:sz w:val="22"/>
    </w:rPr>
  </w:style>
  <w:style w:type="paragraph" w:customStyle="1" w:styleId="E3">
    <w:name w:val="E3"/>
    <w:basedOn w:val="E2"/>
    <w:rsid w:val="00BD6B73"/>
    <w:pPr>
      <w:tabs>
        <w:tab w:val="clear" w:pos="1134"/>
        <w:tab w:val="left" w:pos="2268"/>
      </w:tabs>
      <w:ind w:left="2268"/>
    </w:pPr>
  </w:style>
  <w:style w:type="paragraph" w:customStyle="1" w:styleId="E4">
    <w:name w:val="E4"/>
    <w:basedOn w:val="E2"/>
    <w:rsid w:val="00BD6B73"/>
    <w:pPr>
      <w:tabs>
        <w:tab w:val="clear" w:pos="1134"/>
        <w:tab w:val="clear" w:pos="1701"/>
        <w:tab w:val="left" w:pos="2268"/>
        <w:tab w:val="left" w:pos="2835"/>
      </w:tabs>
      <w:ind w:left="2835"/>
    </w:pPr>
  </w:style>
  <w:style w:type="paragraph" w:customStyle="1" w:styleId="E5">
    <w:name w:val="E5"/>
    <w:basedOn w:val="E2"/>
    <w:rsid w:val="00BD6B73"/>
    <w:pPr>
      <w:tabs>
        <w:tab w:val="clear" w:pos="1134"/>
        <w:tab w:val="clear" w:pos="1701"/>
        <w:tab w:val="left" w:pos="2835"/>
        <w:tab w:val="left" w:pos="3402"/>
      </w:tabs>
      <w:ind w:left="3402"/>
    </w:pPr>
  </w:style>
  <w:style w:type="paragraph" w:customStyle="1" w:styleId="EN0">
    <w:name w:val="EN0"/>
    <w:basedOn w:val="a"/>
    <w:rsid w:val="00BD6B73"/>
    <w:pPr>
      <w:widowControl/>
      <w:tabs>
        <w:tab w:val="left" w:pos="567"/>
      </w:tabs>
      <w:overflowPunct/>
      <w:autoSpaceDE/>
      <w:autoSpaceDN/>
      <w:bidi w:val="0"/>
      <w:adjustRightInd/>
      <w:spacing w:line="288" w:lineRule="auto"/>
      <w:ind w:left="567" w:hanging="567"/>
      <w:textAlignment w:val="auto"/>
    </w:pPr>
    <w:rPr>
      <w:rFonts w:cs="Times New Roman"/>
      <w:b/>
      <w:sz w:val="24"/>
      <w:szCs w:val="20"/>
    </w:rPr>
  </w:style>
  <w:style w:type="character" w:styleId="FollowedHyperlink">
    <w:name w:val="FollowedHyperlink"/>
    <w:basedOn w:val="a0"/>
    <w:rsid w:val="00BD6B73"/>
    <w:rPr>
      <w:color w:val="800080"/>
      <w:u w:val="single"/>
    </w:rPr>
  </w:style>
  <w:style w:type="paragraph" w:customStyle="1" w:styleId="43">
    <w:name w:val="א4"/>
    <w:basedOn w:val="36"/>
    <w:rsid w:val="00BD6B73"/>
    <w:pPr>
      <w:widowControl/>
      <w:tabs>
        <w:tab w:val="clear" w:pos="1701"/>
        <w:tab w:val="left" w:pos="2835"/>
      </w:tabs>
      <w:ind w:left="2835"/>
    </w:pPr>
    <w:rPr>
      <w:rFonts w:hint="default"/>
      <w:sz w:val="22"/>
      <w:lang w:eastAsia="en-US"/>
    </w:rPr>
  </w:style>
  <w:style w:type="paragraph" w:styleId="af8">
    <w:name w:val="List Bullet"/>
    <w:basedOn w:val="a"/>
    <w:rsid w:val="00BD6B73"/>
    <w:pPr>
      <w:widowControl/>
      <w:tabs>
        <w:tab w:val="num" w:pos="0"/>
        <w:tab w:val="left" w:pos="567"/>
        <w:tab w:val="left" w:pos="1134"/>
        <w:tab w:val="left" w:pos="1701"/>
        <w:tab w:val="left" w:pos="2268"/>
      </w:tabs>
      <w:overflowPunct/>
      <w:autoSpaceDE/>
      <w:autoSpaceDN/>
      <w:adjustRightInd/>
      <w:spacing w:line="280" w:lineRule="exact"/>
      <w:ind w:left="567" w:hanging="567"/>
      <w:textAlignment w:val="auto"/>
    </w:pPr>
    <w:rPr>
      <w:rFonts w:ascii="Tahoma" w:hAnsi="Tahoma"/>
      <w:b/>
      <w:noProof/>
      <w:sz w:val="17"/>
    </w:rPr>
  </w:style>
  <w:style w:type="paragraph" w:customStyle="1" w:styleId="quote3">
    <w:name w:val="quote3"/>
    <w:basedOn w:val="a"/>
    <w:rsid w:val="00BD6B73"/>
    <w:pPr>
      <w:keepLines/>
      <w:widowControl/>
      <w:overflowPunct/>
      <w:autoSpaceDE/>
      <w:autoSpaceDN/>
      <w:adjustRightInd/>
      <w:jc w:val="left"/>
      <w:textAlignment w:val="auto"/>
    </w:pPr>
    <w:rPr>
      <w:noProof/>
      <w:color w:val="000000"/>
      <w:sz w:val="18"/>
      <w:szCs w:val="20"/>
      <w:lang w:eastAsia="he-IL"/>
    </w:rPr>
  </w:style>
  <w:style w:type="paragraph" w:styleId="TOC1">
    <w:name w:val="toc 1"/>
    <w:basedOn w:val="11"/>
    <w:next w:val="TOC2"/>
    <w:uiPriority w:val="39"/>
    <w:rsid w:val="00BD6B73"/>
    <w:pPr>
      <w:tabs>
        <w:tab w:val="clear" w:pos="1134"/>
      </w:tabs>
      <w:spacing w:before="240" w:after="120"/>
      <w:ind w:left="0" w:firstLine="0"/>
      <w:jc w:val="left"/>
    </w:pPr>
    <w:rPr>
      <w:rFonts w:asciiTheme="minorHAnsi" w:hAnsiTheme="minorHAnsi" w:cs="Times New Roman"/>
      <w:b/>
      <w:bCs/>
      <w:szCs w:val="20"/>
    </w:rPr>
  </w:style>
  <w:style w:type="paragraph" w:customStyle="1" w:styleId="52">
    <w:name w:val="סגנון5"/>
    <w:basedOn w:val="a"/>
    <w:rsid w:val="00BD6B73"/>
    <w:pPr>
      <w:widowControl/>
      <w:ind w:firstLine="794"/>
    </w:pPr>
    <w:rPr>
      <w:rFonts w:cs="David"/>
      <w:szCs w:val="20"/>
    </w:rPr>
  </w:style>
  <w:style w:type="paragraph" w:styleId="2a">
    <w:name w:val="Body Text 2"/>
    <w:basedOn w:val="a"/>
    <w:link w:val="2b"/>
    <w:rsid w:val="00BD6B73"/>
    <w:pPr>
      <w:widowControl/>
      <w:bidi w:val="0"/>
    </w:pPr>
    <w:rPr>
      <w:b/>
      <w:bCs/>
    </w:rPr>
  </w:style>
  <w:style w:type="paragraph" w:styleId="af9">
    <w:name w:val="Body Text Indent"/>
    <w:basedOn w:val="a"/>
    <w:link w:val="afa"/>
    <w:rsid w:val="00BD6B73"/>
    <w:pPr>
      <w:widowControl/>
      <w:bidi w:val="0"/>
      <w:ind w:firstLine="567"/>
    </w:pPr>
    <w:rPr>
      <w:sz w:val="22"/>
    </w:rPr>
  </w:style>
  <w:style w:type="paragraph" w:styleId="afb">
    <w:name w:val="Block Text"/>
    <w:basedOn w:val="a"/>
    <w:link w:val="afc"/>
    <w:rsid w:val="00BD6B73"/>
    <w:pPr>
      <w:widowControl/>
      <w:spacing w:after="120"/>
      <w:ind w:left="1440" w:right="1440"/>
    </w:pPr>
  </w:style>
  <w:style w:type="character" w:customStyle="1" w:styleId="afc">
    <w:name w:val="טקסט בלוק תו"/>
    <w:basedOn w:val="a0"/>
    <w:link w:val="afb"/>
    <w:rsid w:val="00BD6B73"/>
    <w:rPr>
      <w:rFonts w:cs="Narkisim"/>
      <w:szCs w:val="24"/>
      <w:lang w:val="en-US" w:eastAsia="en-US" w:bidi="he-IL"/>
    </w:rPr>
  </w:style>
  <w:style w:type="paragraph" w:styleId="afd">
    <w:name w:val="Title"/>
    <w:basedOn w:val="a"/>
    <w:link w:val="afe"/>
    <w:qFormat/>
    <w:rsid w:val="00BD6B73"/>
    <w:pPr>
      <w:tabs>
        <w:tab w:val="left" w:pos="567"/>
      </w:tabs>
      <w:spacing w:line="360" w:lineRule="auto"/>
      <w:jc w:val="center"/>
    </w:pPr>
    <w:rPr>
      <w:rFonts w:cs="David"/>
      <w:b/>
      <w:sz w:val="28"/>
      <w:u w:val="single"/>
    </w:rPr>
  </w:style>
  <w:style w:type="paragraph" w:styleId="2c">
    <w:name w:val="List 2"/>
    <w:basedOn w:val="a"/>
    <w:rsid w:val="00BD6B73"/>
    <w:pPr>
      <w:widowControl/>
    </w:pPr>
  </w:style>
  <w:style w:type="character" w:customStyle="1" w:styleId="16">
    <w:name w:val="מא1 תו תו"/>
    <w:basedOn w:val="a0"/>
    <w:rsid w:val="00BD6B73"/>
    <w:rPr>
      <w:rFonts w:cs="Narkisim"/>
      <w:szCs w:val="24"/>
      <w:lang w:val="en-US" w:eastAsia="en-US" w:bidi="he-IL"/>
    </w:rPr>
  </w:style>
  <w:style w:type="paragraph" w:customStyle="1" w:styleId="text">
    <w:name w:val="text"/>
    <w:basedOn w:val="a"/>
    <w:rsid w:val="00BD6B73"/>
    <w:pPr>
      <w:tabs>
        <w:tab w:val="left" w:pos="567"/>
        <w:tab w:val="left" w:pos="1134"/>
        <w:tab w:val="left" w:pos="1701"/>
        <w:tab w:val="left" w:pos="2268"/>
      </w:tabs>
      <w:overflowPunct/>
      <w:autoSpaceDE/>
      <w:autoSpaceDN/>
      <w:adjustRightInd/>
      <w:spacing w:line="240" w:lineRule="exact"/>
      <w:textAlignment w:val="auto"/>
    </w:pPr>
    <w:rPr>
      <w:rFonts w:ascii="Tahoma" w:hAnsi="Tahoma" w:cs="ProtocolLightMF"/>
      <w:szCs w:val="20"/>
      <w:lang w:eastAsia="he-IL"/>
    </w:rPr>
  </w:style>
  <w:style w:type="paragraph" w:customStyle="1" w:styleId="54">
    <w:name w:val="א5"/>
    <w:basedOn w:val="a"/>
    <w:next w:val="a"/>
    <w:link w:val="510"/>
    <w:rsid w:val="00BD6B73"/>
    <w:pPr>
      <w:pBdr>
        <w:top w:val="single" w:sz="12" w:space="0" w:color="000000"/>
      </w:pBdr>
      <w:tabs>
        <w:tab w:val="left" w:pos="567"/>
        <w:tab w:val="left" w:pos="1134"/>
        <w:tab w:val="left" w:pos="1701"/>
        <w:tab w:val="left" w:pos="2268"/>
      </w:tabs>
      <w:overflowPunct/>
      <w:autoSpaceDE/>
      <w:autoSpaceDN/>
      <w:adjustRightInd/>
      <w:spacing w:before="60" w:after="40" w:line="280" w:lineRule="exact"/>
      <w:ind w:right="2552"/>
      <w:textAlignment w:val="auto"/>
    </w:pPr>
    <w:rPr>
      <w:rFonts w:ascii="Arial" w:hAnsi="Arial" w:cs="Arial"/>
      <w:b/>
      <w:bCs/>
      <w:color w:val="FF0000"/>
      <w:spacing w:val="-4"/>
      <w:sz w:val="18"/>
    </w:rPr>
  </w:style>
  <w:style w:type="character" w:customStyle="1" w:styleId="510">
    <w:name w:val="א5 תו1"/>
    <w:basedOn w:val="a0"/>
    <w:link w:val="54"/>
    <w:rsid w:val="00BD6B73"/>
    <w:rPr>
      <w:rFonts w:ascii="Arial" w:hAnsi="Arial" w:cs="Arial"/>
      <w:b/>
      <w:bCs/>
      <w:color w:val="FF0000"/>
      <w:spacing w:val="-4"/>
      <w:sz w:val="18"/>
      <w:szCs w:val="24"/>
      <w:lang w:val="en-US" w:eastAsia="en-US" w:bidi="he-IL"/>
    </w:rPr>
  </w:style>
  <w:style w:type="paragraph" w:styleId="aff">
    <w:name w:val="List Number"/>
    <w:basedOn w:val="a"/>
    <w:rsid w:val="00BD6B73"/>
    <w:pPr>
      <w:tabs>
        <w:tab w:val="num" w:pos="510"/>
        <w:tab w:val="left" w:pos="567"/>
        <w:tab w:val="left" w:pos="1134"/>
        <w:tab w:val="left" w:pos="1701"/>
        <w:tab w:val="left" w:pos="2268"/>
      </w:tabs>
      <w:overflowPunct/>
      <w:autoSpaceDE/>
      <w:autoSpaceDN/>
      <w:adjustRightInd/>
      <w:spacing w:line="280" w:lineRule="exact"/>
      <w:ind w:left="510" w:hanging="510"/>
      <w:textAlignment w:val="auto"/>
    </w:pPr>
    <w:rPr>
      <w:rFonts w:ascii="Tahoma" w:hAnsi="Tahoma" w:cs="ProtocolLightMF"/>
      <w:sz w:val="18"/>
    </w:rPr>
  </w:style>
  <w:style w:type="paragraph" w:customStyle="1" w:styleId="72">
    <w:name w:val="סגנון7"/>
    <w:basedOn w:val="a"/>
    <w:rsid w:val="00BD6B73"/>
    <w:pPr>
      <w:tabs>
        <w:tab w:val="left" w:pos="567"/>
        <w:tab w:val="left" w:pos="1134"/>
        <w:tab w:val="left" w:pos="1701"/>
        <w:tab w:val="left" w:pos="2268"/>
      </w:tabs>
      <w:overflowPunct/>
      <w:autoSpaceDE/>
      <w:autoSpaceDN/>
      <w:adjustRightInd/>
      <w:spacing w:line="180" w:lineRule="exact"/>
      <w:jc w:val="center"/>
      <w:textAlignment w:val="auto"/>
    </w:pPr>
    <w:rPr>
      <w:rFonts w:ascii="Tahoma" w:hAnsi="Tahoma" w:cs="ProtocolBlackMF"/>
      <w:sz w:val="14"/>
      <w:szCs w:val="18"/>
    </w:rPr>
  </w:style>
  <w:style w:type="paragraph" w:styleId="37">
    <w:name w:val="Body Text Indent 3"/>
    <w:basedOn w:val="a"/>
    <w:link w:val="38"/>
    <w:rsid w:val="00BD6B73"/>
    <w:pPr>
      <w:tabs>
        <w:tab w:val="left" w:pos="567"/>
        <w:tab w:val="left" w:pos="1134"/>
        <w:tab w:val="left" w:pos="1701"/>
        <w:tab w:val="left" w:pos="2268"/>
        <w:tab w:val="left" w:pos="10115"/>
      </w:tabs>
      <w:overflowPunct/>
      <w:autoSpaceDE/>
      <w:autoSpaceDN/>
      <w:adjustRightInd/>
      <w:spacing w:line="360" w:lineRule="auto"/>
      <w:ind w:left="57"/>
      <w:textAlignment w:val="auto"/>
    </w:pPr>
    <w:rPr>
      <w:sz w:val="22"/>
    </w:rPr>
  </w:style>
  <w:style w:type="paragraph" w:customStyle="1" w:styleId="aff0">
    <w:name w:val="בולט פנימי"/>
    <w:basedOn w:val="aff1"/>
    <w:rsid w:val="00BD6B73"/>
    <w:pPr>
      <w:tabs>
        <w:tab w:val="clear" w:pos="360"/>
      </w:tabs>
      <w:ind w:left="284" w:hanging="242"/>
    </w:pPr>
  </w:style>
  <w:style w:type="paragraph" w:customStyle="1" w:styleId="aff1">
    <w:name w:val="בולט"/>
    <w:basedOn w:val="a"/>
    <w:rsid w:val="00BD6B73"/>
    <w:pPr>
      <w:tabs>
        <w:tab w:val="left" w:pos="170"/>
        <w:tab w:val="num" w:pos="360"/>
        <w:tab w:val="left" w:pos="567"/>
        <w:tab w:val="left" w:pos="1134"/>
        <w:tab w:val="left" w:pos="1701"/>
        <w:tab w:val="left" w:pos="2268"/>
      </w:tabs>
      <w:overflowPunct/>
      <w:autoSpaceDE/>
      <w:autoSpaceDN/>
      <w:adjustRightInd/>
      <w:spacing w:before="60" w:line="280" w:lineRule="exact"/>
      <w:ind w:left="170" w:hanging="170"/>
      <w:textAlignment w:val="auto"/>
    </w:pPr>
    <w:rPr>
      <w:rFonts w:ascii="Tahoma" w:hAnsi="Tahoma" w:cs="ProtocolLightMF"/>
      <w:sz w:val="18"/>
    </w:rPr>
  </w:style>
  <w:style w:type="paragraph" w:customStyle="1" w:styleId="iltext">
    <w:name w:val="iltext"/>
    <w:rsid w:val="00BD6B73"/>
    <w:pPr>
      <w:spacing w:before="240"/>
      <w:ind w:left="360" w:right="360"/>
      <w:jc w:val="both"/>
    </w:pPr>
    <w:rPr>
      <w:sz w:val="24"/>
      <w:lang w:bidi="ar-SA"/>
    </w:rPr>
  </w:style>
  <w:style w:type="paragraph" w:customStyle="1" w:styleId="aff2">
    <w:name w:val="כותרת פנימית"/>
    <w:basedOn w:val="3"/>
    <w:rsid w:val="00BD6B73"/>
    <w:pPr>
      <w:keepNext w:val="0"/>
      <w:tabs>
        <w:tab w:val="clear" w:pos="291"/>
        <w:tab w:val="left" w:pos="567"/>
        <w:tab w:val="left" w:pos="1134"/>
        <w:tab w:val="left" w:pos="1701"/>
        <w:tab w:val="left" w:pos="2268"/>
      </w:tabs>
      <w:overflowPunct/>
      <w:autoSpaceDE/>
      <w:autoSpaceDN/>
      <w:adjustRightInd/>
      <w:spacing w:after="60"/>
      <w:ind w:left="0" w:hanging="567"/>
      <w:jc w:val="left"/>
      <w:textAlignment w:val="auto"/>
    </w:pPr>
    <w:rPr>
      <w:rFonts w:ascii="Tahoma" w:hAnsi="Tahoma" w:cs="ProtocolMF"/>
      <w:b/>
      <w:bCs/>
      <w:szCs w:val="20"/>
    </w:rPr>
  </w:style>
  <w:style w:type="paragraph" w:customStyle="1" w:styleId="17">
    <w:name w:val="ציטוט1"/>
    <w:basedOn w:val="a"/>
    <w:rsid w:val="00BD6B73"/>
    <w:pPr>
      <w:tabs>
        <w:tab w:val="left" w:pos="567"/>
        <w:tab w:val="left" w:pos="1134"/>
        <w:tab w:val="left" w:pos="1701"/>
        <w:tab w:val="left" w:pos="2268"/>
      </w:tabs>
      <w:overflowPunct/>
      <w:autoSpaceDE/>
      <w:autoSpaceDN/>
      <w:adjustRightInd/>
      <w:spacing w:before="60" w:line="280" w:lineRule="exact"/>
      <w:ind w:left="567"/>
      <w:textAlignment w:val="auto"/>
    </w:pPr>
    <w:rPr>
      <w:rFonts w:ascii="Tahoma" w:hAnsi="Tahoma" w:cs="Arial"/>
      <w:bCs/>
      <w:sz w:val="18"/>
    </w:rPr>
  </w:style>
  <w:style w:type="paragraph" w:customStyle="1" w:styleId="2d">
    <w:name w:val="כותרת2"/>
    <w:basedOn w:val="a"/>
    <w:rsid w:val="00BD6B73"/>
    <w:pPr>
      <w:tabs>
        <w:tab w:val="left" w:pos="567"/>
        <w:tab w:val="left" w:pos="1134"/>
        <w:tab w:val="left" w:pos="1701"/>
        <w:tab w:val="left" w:pos="2268"/>
      </w:tabs>
      <w:overflowPunct/>
      <w:autoSpaceDE/>
      <w:autoSpaceDN/>
      <w:adjustRightInd/>
      <w:spacing w:before="60" w:after="120" w:line="300" w:lineRule="exact"/>
      <w:ind w:left="57"/>
      <w:textAlignment w:val="auto"/>
    </w:pPr>
    <w:rPr>
      <w:rFonts w:ascii="Tahoma" w:hAnsi="Tahoma" w:cs="Arial"/>
      <w:b/>
      <w:bCs/>
      <w:sz w:val="22"/>
      <w:szCs w:val="28"/>
    </w:rPr>
  </w:style>
  <w:style w:type="paragraph" w:customStyle="1" w:styleId="18">
    <w:name w:val="סגנון1"/>
    <w:basedOn w:val="a"/>
    <w:rsid w:val="00BD6B73"/>
    <w:pPr>
      <w:tabs>
        <w:tab w:val="num" w:pos="417"/>
        <w:tab w:val="left" w:pos="567"/>
        <w:tab w:val="left" w:pos="1134"/>
        <w:tab w:val="left" w:pos="1701"/>
        <w:tab w:val="left" w:pos="2268"/>
      </w:tabs>
      <w:overflowPunct/>
      <w:autoSpaceDE/>
      <w:autoSpaceDN/>
      <w:adjustRightInd/>
      <w:spacing w:before="60" w:line="280" w:lineRule="exact"/>
      <w:ind w:left="57"/>
      <w:textAlignment w:val="auto"/>
    </w:pPr>
    <w:rPr>
      <w:rFonts w:ascii="Tahoma" w:hAnsi="Tahoma" w:cs="Arial"/>
      <w:sz w:val="12"/>
      <w:szCs w:val="14"/>
    </w:rPr>
  </w:style>
  <w:style w:type="paragraph" w:customStyle="1" w:styleId="aff3">
    <w:name w:val="כותרת"/>
    <w:basedOn w:val="a"/>
    <w:rsid w:val="00BD6B73"/>
    <w:pPr>
      <w:tabs>
        <w:tab w:val="left" w:pos="567"/>
        <w:tab w:val="left" w:pos="1134"/>
        <w:tab w:val="left" w:pos="1701"/>
        <w:tab w:val="left" w:pos="2268"/>
      </w:tabs>
      <w:overflowPunct/>
      <w:autoSpaceDE/>
      <w:autoSpaceDN/>
      <w:adjustRightInd/>
      <w:spacing w:before="120" w:after="120" w:line="280" w:lineRule="exact"/>
      <w:ind w:left="57"/>
      <w:textAlignment w:val="auto"/>
    </w:pPr>
    <w:rPr>
      <w:rFonts w:ascii="Tahoma" w:hAnsi="Tahoma" w:cs="Arial"/>
      <w:b/>
      <w:bCs/>
      <w:sz w:val="18"/>
    </w:rPr>
  </w:style>
  <w:style w:type="paragraph" w:customStyle="1" w:styleId="2e">
    <w:name w:val="סגנון2"/>
    <w:basedOn w:val="13"/>
    <w:rsid w:val="00BD6B73"/>
    <w:pPr>
      <w:tabs>
        <w:tab w:val="num" w:pos="0"/>
        <w:tab w:val="left" w:pos="1701"/>
        <w:tab w:val="left" w:pos="2268"/>
      </w:tabs>
      <w:overflowPunct/>
      <w:autoSpaceDE/>
      <w:autoSpaceDN/>
      <w:adjustRightInd/>
      <w:spacing w:line="280" w:lineRule="exact"/>
      <w:ind w:left="1134" w:hanging="567"/>
      <w:textAlignment w:val="auto"/>
    </w:pPr>
    <w:rPr>
      <w:rFonts w:ascii="Tahoma" w:hAnsi="Tahoma" w:cs="ProtocolLightMF"/>
      <w:sz w:val="18"/>
      <w:lang w:eastAsia="en-US"/>
    </w:rPr>
  </w:style>
  <w:style w:type="paragraph" w:customStyle="1" w:styleId="39">
    <w:name w:val="סגנון3"/>
    <w:basedOn w:val="TOC1"/>
    <w:rsid w:val="00BD6B73"/>
    <w:pPr>
      <w:tabs>
        <w:tab w:val="left" w:pos="851"/>
        <w:tab w:val="right" w:leader="dot" w:pos="7138"/>
        <w:tab w:val="right" w:leader="dot" w:pos="9123"/>
      </w:tabs>
      <w:overflowPunct/>
      <w:autoSpaceDE/>
      <w:autoSpaceDN/>
      <w:adjustRightInd/>
      <w:spacing w:before="0" w:after="0" w:line="280" w:lineRule="exact"/>
      <w:ind w:left="57" w:right="-284" w:hanging="851"/>
      <w:jc w:val="both"/>
      <w:textAlignment w:val="auto"/>
    </w:pPr>
    <w:rPr>
      <w:rFonts w:cs="ProtocolBlackMF"/>
      <w:bCs w:val="0"/>
      <w:caps/>
    </w:rPr>
  </w:style>
  <w:style w:type="paragraph" w:customStyle="1" w:styleId="44">
    <w:name w:val="סגנון4"/>
    <w:basedOn w:val="TOC1"/>
    <w:rsid w:val="00BD6B73"/>
    <w:pPr>
      <w:tabs>
        <w:tab w:val="left" w:pos="851"/>
        <w:tab w:val="right" w:leader="dot" w:pos="7138"/>
        <w:tab w:val="right" w:leader="dot" w:pos="9123"/>
      </w:tabs>
      <w:overflowPunct/>
      <w:autoSpaceDE/>
      <w:autoSpaceDN/>
      <w:adjustRightInd/>
      <w:spacing w:before="0" w:after="0" w:line="280" w:lineRule="exact"/>
      <w:ind w:left="57" w:right="-284" w:hanging="851"/>
      <w:textAlignment w:val="auto"/>
    </w:pPr>
    <w:rPr>
      <w:rFonts w:cs="ProtocolBlackMF"/>
      <w:bCs w:val="0"/>
      <w:caps/>
      <w:szCs w:val="32"/>
    </w:rPr>
  </w:style>
  <w:style w:type="paragraph" w:customStyle="1" w:styleId="45">
    <w:name w:val="סרגל4"/>
    <w:basedOn w:val="a"/>
    <w:rsid w:val="00BD6B73"/>
    <w:pPr>
      <w:tabs>
        <w:tab w:val="left" w:pos="567"/>
        <w:tab w:val="left" w:pos="800"/>
        <w:tab w:val="left" w:pos="1134"/>
        <w:tab w:val="left" w:pos="1701"/>
        <w:tab w:val="left" w:pos="2268"/>
      </w:tabs>
      <w:overflowPunct/>
      <w:autoSpaceDE/>
      <w:autoSpaceDN/>
      <w:adjustRightInd/>
      <w:spacing w:before="60" w:line="480" w:lineRule="auto"/>
      <w:ind w:left="57"/>
      <w:textAlignment w:val="auto"/>
    </w:pPr>
    <w:rPr>
      <w:rFonts w:ascii="Tahoma" w:hAnsi="Tahoma"/>
      <w:sz w:val="22"/>
    </w:rPr>
  </w:style>
  <w:style w:type="paragraph" w:customStyle="1" w:styleId="2f">
    <w:name w:val="בולט 2"/>
    <w:basedOn w:val="a"/>
    <w:rsid w:val="00BD6B73"/>
    <w:pPr>
      <w:tabs>
        <w:tab w:val="left" w:pos="567"/>
        <w:tab w:val="num" w:pos="624"/>
        <w:tab w:val="left" w:pos="1134"/>
        <w:tab w:val="left" w:pos="1701"/>
        <w:tab w:val="left" w:pos="2268"/>
      </w:tabs>
      <w:overflowPunct/>
      <w:autoSpaceDE/>
      <w:autoSpaceDN/>
      <w:adjustRightInd/>
      <w:spacing w:line="280" w:lineRule="exact"/>
      <w:ind w:left="1134" w:hanging="567"/>
      <w:textAlignment w:val="auto"/>
    </w:pPr>
    <w:rPr>
      <w:rFonts w:ascii="Tahoma" w:hAnsi="Tahoma" w:cs="ProtocolLightMF"/>
      <w:noProof/>
      <w:sz w:val="18"/>
      <w:lang w:eastAsia="he-IL"/>
    </w:rPr>
  </w:style>
  <w:style w:type="paragraph" w:customStyle="1" w:styleId="mtext2">
    <w:name w:val="mtext2"/>
    <w:basedOn w:val="a"/>
    <w:rsid w:val="00BD6B73"/>
    <w:pPr>
      <w:widowControl/>
      <w:tabs>
        <w:tab w:val="num" w:pos="-567"/>
        <w:tab w:val="left" w:pos="567"/>
        <w:tab w:val="left" w:pos="1134"/>
        <w:tab w:val="left" w:pos="1701"/>
        <w:tab w:val="left" w:pos="2268"/>
      </w:tabs>
      <w:overflowPunct/>
      <w:autoSpaceDE/>
      <w:autoSpaceDN/>
      <w:bidi w:val="0"/>
      <w:adjustRightInd/>
      <w:spacing w:before="100" w:beforeAutospacing="1" w:after="100" w:afterAutospacing="1" w:line="240" w:lineRule="atLeast"/>
      <w:jc w:val="left"/>
      <w:textAlignment w:val="auto"/>
    </w:pPr>
    <w:rPr>
      <w:rFonts w:ascii="Arial" w:eastAsia="Arial Unicode MS" w:hAnsi="Arial" w:cs="Arial"/>
      <w:szCs w:val="20"/>
    </w:rPr>
  </w:style>
  <w:style w:type="paragraph" w:customStyle="1" w:styleId="55">
    <w:name w:val="סרגל5"/>
    <w:basedOn w:val="a"/>
    <w:rsid w:val="00BD6B73"/>
    <w:pPr>
      <w:widowControl/>
      <w:tabs>
        <w:tab w:val="left" w:pos="567"/>
        <w:tab w:val="left" w:pos="1134"/>
        <w:tab w:val="left" w:pos="1701"/>
        <w:tab w:val="left" w:pos="2268"/>
      </w:tabs>
      <w:ind w:left="1644" w:right="1276"/>
    </w:pPr>
    <w:rPr>
      <w:rFonts w:ascii="Arial" w:hAnsi="Arial"/>
      <w:sz w:val="22"/>
      <w:szCs w:val="20"/>
    </w:rPr>
  </w:style>
  <w:style w:type="paragraph" w:customStyle="1" w:styleId="aff4">
    <w:name w:val="שם כותב פסק הדין"/>
    <w:basedOn w:val="45"/>
    <w:next w:val="45"/>
    <w:rsid w:val="00BD6B73"/>
    <w:pPr>
      <w:widowControl/>
      <w:tabs>
        <w:tab w:val="clear" w:pos="567"/>
        <w:tab w:val="clear" w:pos="1134"/>
        <w:tab w:val="clear" w:pos="1701"/>
        <w:tab w:val="clear" w:pos="2268"/>
      </w:tabs>
      <w:overflowPunct w:val="0"/>
      <w:autoSpaceDE w:val="0"/>
      <w:autoSpaceDN w:val="0"/>
      <w:adjustRightInd w:val="0"/>
      <w:spacing w:before="0" w:line="360" w:lineRule="auto"/>
      <w:ind w:left="0"/>
      <w:textAlignment w:val="baseline"/>
    </w:pPr>
    <w:rPr>
      <w:rFonts w:ascii="Arial" w:hAnsi="Arial"/>
      <w:b/>
      <w:bCs/>
      <w:szCs w:val="20"/>
      <w:u w:val="single"/>
    </w:rPr>
  </w:style>
  <w:style w:type="paragraph" w:customStyle="1" w:styleId="aff5">
    <w:name w:val="תאריך טיוטה"/>
    <w:basedOn w:val="a"/>
    <w:rsid w:val="00BD6B73"/>
    <w:pPr>
      <w:widowControl/>
      <w:tabs>
        <w:tab w:val="left" w:pos="567"/>
        <w:tab w:val="left" w:pos="1134"/>
        <w:tab w:val="left" w:pos="1701"/>
        <w:tab w:val="left" w:pos="2268"/>
      </w:tabs>
      <w:jc w:val="center"/>
    </w:pPr>
    <w:rPr>
      <w:b/>
      <w:bCs/>
      <w:i/>
      <w:iCs/>
      <w:sz w:val="28"/>
      <w:szCs w:val="28"/>
    </w:rPr>
  </w:style>
  <w:style w:type="paragraph" w:customStyle="1" w:styleId="aff6">
    <w:name w:val="כותר"/>
    <w:basedOn w:val="a"/>
    <w:rsid w:val="00BD6B73"/>
    <w:pPr>
      <w:widowControl/>
      <w:tabs>
        <w:tab w:val="left" w:pos="567"/>
        <w:tab w:val="left" w:pos="1134"/>
        <w:tab w:val="left" w:pos="1701"/>
        <w:tab w:val="left" w:pos="2268"/>
      </w:tabs>
      <w:overflowPunct/>
      <w:autoSpaceDE/>
      <w:autoSpaceDN/>
      <w:adjustRightInd/>
      <w:spacing w:before="60" w:line="260" w:lineRule="exact"/>
      <w:textAlignment w:val="auto"/>
    </w:pPr>
    <w:rPr>
      <w:rFonts w:ascii="Arial" w:hAnsi="Arial" w:cs="Guttman Haim-Condensed"/>
      <w:b/>
      <w:sz w:val="26"/>
      <w:szCs w:val="26"/>
      <w:lang w:eastAsia="he-IL"/>
    </w:rPr>
  </w:style>
  <w:style w:type="paragraph" w:customStyle="1" w:styleId="19">
    <w:name w:val="טיזר1"/>
    <w:basedOn w:val="a"/>
    <w:rsid w:val="00BD6B73"/>
    <w:pPr>
      <w:widowControl/>
      <w:tabs>
        <w:tab w:val="left" w:pos="567"/>
        <w:tab w:val="left" w:pos="1134"/>
        <w:tab w:val="left" w:pos="1701"/>
        <w:tab w:val="left" w:pos="2268"/>
      </w:tabs>
      <w:overflowPunct/>
      <w:autoSpaceDE/>
      <w:autoSpaceDN/>
      <w:adjustRightInd/>
      <w:jc w:val="center"/>
      <w:textAlignment w:val="auto"/>
    </w:pPr>
    <w:rPr>
      <w:rFonts w:ascii="Arial" w:hAnsi="Arial" w:cs="Arial"/>
      <w:b/>
      <w:bCs/>
      <w:sz w:val="25"/>
      <w:szCs w:val="25"/>
      <w:lang w:eastAsia="he-IL"/>
    </w:rPr>
  </w:style>
  <w:style w:type="paragraph" w:customStyle="1" w:styleId="aff7">
    <w:name w:val="ראשית"/>
    <w:basedOn w:val="1"/>
    <w:rsid w:val="00BD6B73"/>
    <w:pPr>
      <w:widowControl/>
      <w:tabs>
        <w:tab w:val="clear" w:pos="0"/>
        <w:tab w:val="clear" w:pos="397"/>
        <w:tab w:val="clear" w:pos="510"/>
      </w:tabs>
      <w:overflowPunct/>
      <w:autoSpaceDE/>
      <w:autoSpaceDN/>
      <w:adjustRightInd/>
      <w:spacing w:before="80" w:after="120"/>
      <w:ind w:hanging="680"/>
      <w:jc w:val="center"/>
      <w:textAlignment w:val="auto"/>
    </w:pPr>
    <w:rPr>
      <w:rFonts w:ascii="Arial" w:hAnsi="Arial" w:cs="Arial"/>
      <w:b/>
      <w:bCs w:val="0"/>
      <w:color w:val="00FFFF"/>
      <w:sz w:val="32"/>
      <w:szCs w:val="32"/>
      <w:lang w:eastAsia="he-IL"/>
    </w:rPr>
  </w:style>
  <w:style w:type="paragraph" w:styleId="aff8">
    <w:name w:val="Body Text First Indent"/>
    <w:basedOn w:val="a9"/>
    <w:link w:val="aff9"/>
    <w:rsid w:val="00BD6B73"/>
    <w:pPr>
      <w:tabs>
        <w:tab w:val="left" w:pos="567"/>
        <w:tab w:val="left" w:pos="1134"/>
        <w:tab w:val="left" w:pos="1701"/>
        <w:tab w:val="left" w:pos="2268"/>
      </w:tabs>
      <w:overflowPunct/>
      <w:autoSpaceDE/>
      <w:autoSpaceDN/>
      <w:adjustRightInd/>
      <w:spacing w:after="120" w:line="200" w:lineRule="exact"/>
      <w:ind w:firstLine="210"/>
      <w:textAlignment w:val="auto"/>
    </w:pPr>
    <w:rPr>
      <w:sz w:val="22"/>
    </w:rPr>
  </w:style>
  <w:style w:type="paragraph" w:styleId="2f0">
    <w:name w:val="Body Text First Indent 2"/>
    <w:basedOn w:val="af9"/>
    <w:link w:val="2f1"/>
    <w:rsid w:val="00BD6B73"/>
    <w:pPr>
      <w:widowControl w:val="0"/>
      <w:tabs>
        <w:tab w:val="left" w:pos="567"/>
        <w:tab w:val="left" w:pos="1134"/>
        <w:tab w:val="left" w:pos="1701"/>
        <w:tab w:val="left" w:pos="2268"/>
      </w:tabs>
      <w:overflowPunct/>
      <w:autoSpaceDE/>
      <w:autoSpaceDN/>
      <w:bidi/>
      <w:adjustRightInd/>
      <w:spacing w:after="120" w:line="280" w:lineRule="exact"/>
      <w:ind w:left="360" w:firstLine="210"/>
      <w:textAlignment w:val="auto"/>
    </w:pPr>
    <w:rPr>
      <w:rFonts w:ascii="Arial Unicode MS" w:hAnsi="Arial Unicode MS" w:cs="ProtocolLightMF"/>
    </w:rPr>
  </w:style>
  <w:style w:type="paragraph" w:styleId="affa">
    <w:name w:val="Closing"/>
    <w:basedOn w:val="a"/>
    <w:link w:val="affb"/>
    <w:rsid w:val="00BD6B73"/>
    <w:pPr>
      <w:tabs>
        <w:tab w:val="left" w:pos="567"/>
        <w:tab w:val="left" w:pos="1134"/>
        <w:tab w:val="left" w:pos="1701"/>
        <w:tab w:val="left" w:pos="2268"/>
      </w:tabs>
      <w:overflowPunct/>
      <w:autoSpaceDE/>
      <w:autoSpaceDN/>
      <w:adjustRightInd/>
      <w:spacing w:line="280" w:lineRule="exact"/>
      <w:ind w:left="4320"/>
      <w:textAlignment w:val="auto"/>
    </w:pPr>
    <w:rPr>
      <w:rFonts w:ascii="Tahoma" w:hAnsi="Tahoma" w:cs="ProtocolLightMF"/>
      <w:sz w:val="18"/>
    </w:rPr>
  </w:style>
  <w:style w:type="paragraph" w:styleId="affc">
    <w:name w:val="Date"/>
    <w:basedOn w:val="a"/>
    <w:next w:val="a"/>
    <w:link w:val="affd"/>
    <w:rsid w:val="00BD6B73"/>
    <w:pPr>
      <w:tabs>
        <w:tab w:val="left" w:pos="567"/>
        <w:tab w:val="left" w:pos="1134"/>
        <w:tab w:val="left" w:pos="1701"/>
        <w:tab w:val="left" w:pos="2268"/>
      </w:tabs>
      <w:overflowPunct/>
      <w:autoSpaceDE/>
      <w:autoSpaceDN/>
      <w:adjustRightInd/>
      <w:spacing w:line="280" w:lineRule="exact"/>
      <w:textAlignment w:val="auto"/>
    </w:pPr>
    <w:rPr>
      <w:rFonts w:ascii="Tahoma" w:hAnsi="Tahoma" w:cs="ProtocolLightMF"/>
      <w:sz w:val="18"/>
    </w:rPr>
  </w:style>
  <w:style w:type="paragraph" w:styleId="affe">
    <w:name w:val="E-mail Signature"/>
    <w:basedOn w:val="a"/>
    <w:link w:val="afff"/>
    <w:rsid w:val="00BD6B73"/>
    <w:pPr>
      <w:tabs>
        <w:tab w:val="left" w:pos="567"/>
        <w:tab w:val="left" w:pos="1134"/>
        <w:tab w:val="left" w:pos="1701"/>
        <w:tab w:val="left" w:pos="2268"/>
      </w:tabs>
      <w:overflowPunct/>
      <w:autoSpaceDE/>
      <w:autoSpaceDN/>
      <w:adjustRightInd/>
      <w:spacing w:line="280" w:lineRule="exact"/>
      <w:textAlignment w:val="auto"/>
    </w:pPr>
    <w:rPr>
      <w:rFonts w:ascii="Tahoma" w:hAnsi="Tahoma" w:cs="ProtocolLightMF"/>
      <w:sz w:val="18"/>
    </w:rPr>
  </w:style>
  <w:style w:type="paragraph" w:styleId="afff0">
    <w:name w:val="envelope address"/>
    <w:basedOn w:val="a"/>
    <w:rsid w:val="00BD6B73"/>
    <w:pPr>
      <w:framePr w:w="7920" w:h="1980" w:hRule="exact" w:hSpace="180" w:wrap="auto" w:hAnchor="page" w:xAlign="center" w:yAlign="bottom"/>
      <w:tabs>
        <w:tab w:val="left" w:pos="567"/>
        <w:tab w:val="left" w:pos="1134"/>
        <w:tab w:val="left" w:pos="1701"/>
        <w:tab w:val="left" w:pos="2268"/>
      </w:tabs>
      <w:overflowPunct/>
      <w:autoSpaceDE/>
      <w:autoSpaceDN/>
      <w:adjustRightInd/>
      <w:spacing w:line="280" w:lineRule="exact"/>
      <w:ind w:left="2880"/>
      <w:textAlignment w:val="auto"/>
    </w:pPr>
    <w:rPr>
      <w:rFonts w:ascii="Arial" w:hAnsi="Arial" w:cs="Arial"/>
      <w:sz w:val="24"/>
    </w:rPr>
  </w:style>
  <w:style w:type="paragraph" w:styleId="afff1">
    <w:name w:val="envelope return"/>
    <w:basedOn w:val="a"/>
    <w:rsid w:val="00BD6B73"/>
    <w:pPr>
      <w:tabs>
        <w:tab w:val="left" w:pos="567"/>
        <w:tab w:val="left" w:pos="1134"/>
        <w:tab w:val="left" w:pos="1701"/>
        <w:tab w:val="left" w:pos="2268"/>
      </w:tabs>
      <w:overflowPunct/>
      <w:autoSpaceDE/>
      <w:autoSpaceDN/>
      <w:adjustRightInd/>
      <w:spacing w:line="280" w:lineRule="exact"/>
      <w:textAlignment w:val="auto"/>
    </w:pPr>
    <w:rPr>
      <w:rFonts w:ascii="Arial" w:hAnsi="Arial" w:cs="Arial"/>
      <w:sz w:val="18"/>
      <w:szCs w:val="20"/>
    </w:rPr>
  </w:style>
  <w:style w:type="paragraph" w:styleId="HTML">
    <w:name w:val="HTML Address"/>
    <w:basedOn w:val="a"/>
    <w:link w:val="HTML0"/>
    <w:rsid w:val="00BD6B73"/>
    <w:pPr>
      <w:tabs>
        <w:tab w:val="left" w:pos="567"/>
        <w:tab w:val="left" w:pos="1134"/>
        <w:tab w:val="left" w:pos="1701"/>
        <w:tab w:val="left" w:pos="2268"/>
      </w:tabs>
      <w:overflowPunct/>
      <w:autoSpaceDE/>
      <w:autoSpaceDN/>
      <w:adjustRightInd/>
      <w:spacing w:line="280" w:lineRule="exact"/>
      <w:textAlignment w:val="auto"/>
    </w:pPr>
    <w:rPr>
      <w:rFonts w:ascii="Tahoma" w:hAnsi="Tahoma" w:cs="ProtocolLightMF"/>
      <w:i/>
      <w:iCs/>
      <w:sz w:val="18"/>
    </w:rPr>
  </w:style>
  <w:style w:type="paragraph" w:styleId="HTML1">
    <w:name w:val="HTML Preformatted"/>
    <w:basedOn w:val="a"/>
    <w:link w:val="HTML2"/>
    <w:rsid w:val="00BD6B73"/>
    <w:pPr>
      <w:tabs>
        <w:tab w:val="left" w:pos="567"/>
        <w:tab w:val="left" w:pos="1134"/>
        <w:tab w:val="left" w:pos="1701"/>
        <w:tab w:val="left" w:pos="2268"/>
      </w:tabs>
      <w:overflowPunct/>
      <w:autoSpaceDE/>
      <w:autoSpaceDN/>
      <w:adjustRightInd/>
      <w:spacing w:line="280" w:lineRule="exact"/>
      <w:textAlignment w:val="auto"/>
    </w:pPr>
    <w:rPr>
      <w:rFonts w:ascii="Courier New" w:hAnsi="Courier New" w:cs="Courier New"/>
      <w:sz w:val="18"/>
      <w:szCs w:val="20"/>
    </w:rPr>
  </w:style>
  <w:style w:type="paragraph" w:styleId="3a">
    <w:name w:val="List 3"/>
    <w:basedOn w:val="a"/>
    <w:rsid w:val="00BD6B73"/>
    <w:pPr>
      <w:tabs>
        <w:tab w:val="left" w:pos="567"/>
        <w:tab w:val="left" w:pos="1134"/>
        <w:tab w:val="left" w:pos="1701"/>
        <w:tab w:val="left" w:pos="2268"/>
      </w:tabs>
      <w:overflowPunct/>
      <w:autoSpaceDE/>
      <w:autoSpaceDN/>
      <w:adjustRightInd/>
      <w:spacing w:line="280" w:lineRule="exact"/>
      <w:ind w:left="1080" w:hanging="360"/>
      <w:textAlignment w:val="auto"/>
    </w:pPr>
    <w:rPr>
      <w:rFonts w:ascii="Tahoma" w:hAnsi="Tahoma" w:cs="ProtocolLightMF"/>
      <w:sz w:val="18"/>
    </w:rPr>
  </w:style>
  <w:style w:type="paragraph" w:styleId="46">
    <w:name w:val="List 4"/>
    <w:basedOn w:val="a"/>
    <w:rsid w:val="00BD6B73"/>
    <w:pPr>
      <w:tabs>
        <w:tab w:val="left" w:pos="567"/>
        <w:tab w:val="left" w:pos="1134"/>
        <w:tab w:val="left" w:pos="1701"/>
        <w:tab w:val="left" w:pos="2268"/>
      </w:tabs>
      <w:overflowPunct/>
      <w:autoSpaceDE/>
      <w:autoSpaceDN/>
      <w:adjustRightInd/>
      <w:spacing w:line="280" w:lineRule="exact"/>
      <w:ind w:left="1440" w:hanging="360"/>
      <w:textAlignment w:val="auto"/>
    </w:pPr>
    <w:rPr>
      <w:rFonts w:ascii="Tahoma" w:hAnsi="Tahoma" w:cs="ProtocolLightMF"/>
      <w:sz w:val="18"/>
    </w:rPr>
  </w:style>
  <w:style w:type="paragraph" w:styleId="56">
    <w:name w:val="List 5"/>
    <w:basedOn w:val="a"/>
    <w:rsid w:val="00BD6B73"/>
    <w:pPr>
      <w:tabs>
        <w:tab w:val="left" w:pos="567"/>
        <w:tab w:val="left" w:pos="1134"/>
        <w:tab w:val="left" w:pos="1701"/>
        <w:tab w:val="left" w:pos="2268"/>
      </w:tabs>
      <w:overflowPunct/>
      <w:autoSpaceDE/>
      <w:autoSpaceDN/>
      <w:adjustRightInd/>
      <w:spacing w:line="280" w:lineRule="exact"/>
      <w:ind w:left="1800" w:hanging="360"/>
      <w:textAlignment w:val="auto"/>
    </w:pPr>
    <w:rPr>
      <w:rFonts w:ascii="Tahoma" w:hAnsi="Tahoma" w:cs="ProtocolLightMF"/>
      <w:sz w:val="18"/>
    </w:rPr>
  </w:style>
  <w:style w:type="paragraph" w:styleId="3b">
    <w:name w:val="List Bullet 3"/>
    <w:basedOn w:val="a"/>
    <w:rsid w:val="00BD6B73"/>
    <w:pPr>
      <w:tabs>
        <w:tab w:val="left" w:pos="567"/>
        <w:tab w:val="left" w:pos="1134"/>
        <w:tab w:val="num" w:pos="1494"/>
        <w:tab w:val="left" w:pos="1701"/>
        <w:tab w:val="left" w:pos="2268"/>
      </w:tabs>
      <w:overflowPunct/>
      <w:autoSpaceDE/>
      <w:autoSpaceDN/>
      <w:adjustRightInd/>
      <w:spacing w:line="280" w:lineRule="exact"/>
      <w:ind w:left="567" w:firstLine="567"/>
      <w:textAlignment w:val="auto"/>
    </w:pPr>
    <w:rPr>
      <w:rFonts w:ascii="Tahoma" w:hAnsi="Tahoma" w:cs="ProtocolLightMF"/>
      <w:sz w:val="18"/>
    </w:rPr>
  </w:style>
  <w:style w:type="paragraph" w:styleId="47">
    <w:name w:val="List Bullet 4"/>
    <w:basedOn w:val="a"/>
    <w:autoRedefine/>
    <w:rsid w:val="00BD6B73"/>
    <w:pPr>
      <w:tabs>
        <w:tab w:val="left" w:pos="567"/>
        <w:tab w:val="left" w:pos="1134"/>
        <w:tab w:val="num" w:pos="1440"/>
        <w:tab w:val="left" w:pos="1701"/>
        <w:tab w:val="left" w:pos="2268"/>
      </w:tabs>
      <w:overflowPunct/>
      <w:autoSpaceDE/>
      <w:autoSpaceDN/>
      <w:adjustRightInd/>
      <w:spacing w:line="280" w:lineRule="exact"/>
      <w:ind w:left="1440" w:hanging="360"/>
      <w:textAlignment w:val="auto"/>
    </w:pPr>
    <w:rPr>
      <w:rFonts w:ascii="Tahoma" w:hAnsi="Tahoma" w:cs="ProtocolLightMF"/>
      <w:sz w:val="18"/>
    </w:rPr>
  </w:style>
  <w:style w:type="paragraph" w:styleId="57">
    <w:name w:val="List Bullet 5"/>
    <w:basedOn w:val="a"/>
    <w:autoRedefine/>
    <w:rsid w:val="00BD6B73"/>
    <w:pPr>
      <w:tabs>
        <w:tab w:val="left" w:pos="567"/>
        <w:tab w:val="left" w:pos="1134"/>
        <w:tab w:val="left" w:pos="1701"/>
        <w:tab w:val="num" w:pos="1800"/>
        <w:tab w:val="left" w:pos="2268"/>
      </w:tabs>
      <w:overflowPunct/>
      <w:autoSpaceDE/>
      <w:autoSpaceDN/>
      <w:adjustRightInd/>
      <w:spacing w:line="280" w:lineRule="exact"/>
      <w:ind w:left="1800" w:hanging="360"/>
      <w:textAlignment w:val="auto"/>
    </w:pPr>
    <w:rPr>
      <w:rFonts w:ascii="Tahoma" w:hAnsi="Tahoma" w:cs="ProtocolLightMF"/>
      <w:sz w:val="18"/>
    </w:rPr>
  </w:style>
  <w:style w:type="paragraph" w:styleId="afff2">
    <w:name w:val="List Continue"/>
    <w:basedOn w:val="a"/>
    <w:rsid w:val="00BD6B73"/>
    <w:pPr>
      <w:tabs>
        <w:tab w:val="left" w:pos="567"/>
        <w:tab w:val="left" w:pos="1134"/>
        <w:tab w:val="left" w:pos="1701"/>
        <w:tab w:val="left" w:pos="2268"/>
      </w:tabs>
      <w:overflowPunct/>
      <w:autoSpaceDE/>
      <w:autoSpaceDN/>
      <w:adjustRightInd/>
      <w:spacing w:after="120" w:line="280" w:lineRule="exact"/>
      <w:ind w:left="360"/>
      <w:textAlignment w:val="auto"/>
    </w:pPr>
    <w:rPr>
      <w:rFonts w:ascii="Tahoma" w:hAnsi="Tahoma" w:cs="ProtocolLightMF"/>
      <w:sz w:val="18"/>
    </w:rPr>
  </w:style>
  <w:style w:type="paragraph" w:styleId="2f2">
    <w:name w:val="List Continue 2"/>
    <w:basedOn w:val="a"/>
    <w:rsid w:val="00BD6B73"/>
    <w:pPr>
      <w:tabs>
        <w:tab w:val="left" w:pos="567"/>
        <w:tab w:val="left" w:pos="1134"/>
        <w:tab w:val="left" w:pos="1701"/>
        <w:tab w:val="left" w:pos="2268"/>
      </w:tabs>
      <w:overflowPunct/>
      <w:autoSpaceDE/>
      <w:autoSpaceDN/>
      <w:adjustRightInd/>
      <w:spacing w:after="120" w:line="280" w:lineRule="exact"/>
      <w:ind w:left="720"/>
      <w:textAlignment w:val="auto"/>
    </w:pPr>
    <w:rPr>
      <w:rFonts w:ascii="Tahoma" w:hAnsi="Tahoma" w:cs="ProtocolLightMF"/>
      <w:sz w:val="18"/>
    </w:rPr>
  </w:style>
  <w:style w:type="paragraph" w:styleId="3c">
    <w:name w:val="List Continue 3"/>
    <w:basedOn w:val="a"/>
    <w:rsid w:val="00BD6B73"/>
    <w:pPr>
      <w:tabs>
        <w:tab w:val="left" w:pos="567"/>
        <w:tab w:val="left" w:pos="1134"/>
        <w:tab w:val="left" w:pos="1701"/>
        <w:tab w:val="left" w:pos="2268"/>
      </w:tabs>
      <w:overflowPunct/>
      <w:autoSpaceDE/>
      <w:autoSpaceDN/>
      <w:adjustRightInd/>
      <w:spacing w:after="120" w:line="280" w:lineRule="exact"/>
      <w:ind w:left="1080"/>
      <w:textAlignment w:val="auto"/>
    </w:pPr>
    <w:rPr>
      <w:rFonts w:ascii="Tahoma" w:hAnsi="Tahoma" w:cs="ProtocolLightMF"/>
      <w:sz w:val="18"/>
    </w:rPr>
  </w:style>
  <w:style w:type="paragraph" w:styleId="48">
    <w:name w:val="List Continue 4"/>
    <w:basedOn w:val="a"/>
    <w:rsid w:val="00BD6B73"/>
    <w:pPr>
      <w:tabs>
        <w:tab w:val="left" w:pos="567"/>
        <w:tab w:val="left" w:pos="1134"/>
        <w:tab w:val="left" w:pos="1701"/>
        <w:tab w:val="left" w:pos="2268"/>
      </w:tabs>
      <w:overflowPunct/>
      <w:autoSpaceDE/>
      <w:autoSpaceDN/>
      <w:adjustRightInd/>
      <w:spacing w:after="120" w:line="280" w:lineRule="exact"/>
      <w:ind w:left="1440"/>
      <w:textAlignment w:val="auto"/>
    </w:pPr>
    <w:rPr>
      <w:rFonts w:ascii="Tahoma" w:hAnsi="Tahoma" w:cs="ProtocolLightMF"/>
      <w:sz w:val="18"/>
    </w:rPr>
  </w:style>
  <w:style w:type="paragraph" w:styleId="58">
    <w:name w:val="List Continue 5"/>
    <w:basedOn w:val="a"/>
    <w:rsid w:val="00BD6B73"/>
    <w:pPr>
      <w:tabs>
        <w:tab w:val="left" w:pos="567"/>
        <w:tab w:val="left" w:pos="1134"/>
        <w:tab w:val="left" w:pos="1701"/>
        <w:tab w:val="left" w:pos="2268"/>
      </w:tabs>
      <w:overflowPunct/>
      <w:autoSpaceDE/>
      <w:autoSpaceDN/>
      <w:adjustRightInd/>
      <w:spacing w:after="120" w:line="280" w:lineRule="exact"/>
      <w:ind w:left="1800"/>
      <w:textAlignment w:val="auto"/>
    </w:pPr>
    <w:rPr>
      <w:rFonts w:ascii="Tahoma" w:hAnsi="Tahoma" w:cs="ProtocolLightMF"/>
      <w:sz w:val="18"/>
    </w:rPr>
  </w:style>
  <w:style w:type="paragraph" w:styleId="2f3">
    <w:name w:val="List Number 2"/>
    <w:basedOn w:val="a"/>
    <w:rsid w:val="00BD6B73"/>
    <w:pPr>
      <w:tabs>
        <w:tab w:val="left" w:pos="567"/>
        <w:tab w:val="num" w:pos="720"/>
        <w:tab w:val="left" w:pos="1134"/>
        <w:tab w:val="left" w:pos="1701"/>
        <w:tab w:val="left" w:pos="2268"/>
      </w:tabs>
      <w:overflowPunct/>
      <w:autoSpaceDE/>
      <w:autoSpaceDN/>
      <w:adjustRightInd/>
      <w:spacing w:line="280" w:lineRule="exact"/>
      <w:ind w:left="720" w:hanging="360"/>
      <w:textAlignment w:val="auto"/>
    </w:pPr>
    <w:rPr>
      <w:rFonts w:ascii="Tahoma" w:hAnsi="Tahoma" w:cs="ProtocolLightMF"/>
      <w:sz w:val="18"/>
    </w:rPr>
  </w:style>
  <w:style w:type="paragraph" w:styleId="3d">
    <w:name w:val="List Number 3"/>
    <w:basedOn w:val="a"/>
    <w:rsid w:val="00BD6B73"/>
    <w:pPr>
      <w:tabs>
        <w:tab w:val="left" w:pos="567"/>
        <w:tab w:val="num" w:pos="1080"/>
        <w:tab w:val="left" w:pos="1134"/>
        <w:tab w:val="left" w:pos="1701"/>
        <w:tab w:val="left" w:pos="2268"/>
      </w:tabs>
      <w:overflowPunct/>
      <w:autoSpaceDE/>
      <w:autoSpaceDN/>
      <w:adjustRightInd/>
      <w:spacing w:line="280" w:lineRule="exact"/>
      <w:ind w:left="1080" w:hanging="360"/>
      <w:textAlignment w:val="auto"/>
    </w:pPr>
    <w:rPr>
      <w:rFonts w:ascii="Tahoma" w:hAnsi="Tahoma" w:cs="ProtocolLightMF"/>
      <w:sz w:val="18"/>
    </w:rPr>
  </w:style>
  <w:style w:type="paragraph" w:styleId="49">
    <w:name w:val="List Number 4"/>
    <w:basedOn w:val="a"/>
    <w:rsid w:val="00BD6B73"/>
    <w:pPr>
      <w:tabs>
        <w:tab w:val="left" w:pos="567"/>
        <w:tab w:val="left" w:pos="1134"/>
        <w:tab w:val="num" w:pos="1440"/>
        <w:tab w:val="left" w:pos="1701"/>
        <w:tab w:val="left" w:pos="2268"/>
      </w:tabs>
      <w:overflowPunct/>
      <w:autoSpaceDE/>
      <w:autoSpaceDN/>
      <w:adjustRightInd/>
      <w:spacing w:line="280" w:lineRule="exact"/>
      <w:ind w:left="1440" w:hanging="360"/>
      <w:textAlignment w:val="auto"/>
    </w:pPr>
    <w:rPr>
      <w:rFonts w:ascii="Tahoma" w:hAnsi="Tahoma" w:cs="ProtocolLightMF"/>
      <w:sz w:val="18"/>
    </w:rPr>
  </w:style>
  <w:style w:type="paragraph" w:styleId="59">
    <w:name w:val="List Number 5"/>
    <w:basedOn w:val="a"/>
    <w:rsid w:val="00BD6B73"/>
    <w:pPr>
      <w:tabs>
        <w:tab w:val="left" w:pos="567"/>
        <w:tab w:val="left" w:pos="1134"/>
        <w:tab w:val="left" w:pos="1701"/>
        <w:tab w:val="num" w:pos="1800"/>
        <w:tab w:val="left" w:pos="2268"/>
      </w:tabs>
      <w:overflowPunct/>
      <w:autoSpaceDE/>
      <w:autoSpaceDN/>
      <w:adjustRightInd/>
      <w:spacing w:line="280" w:lineRule="exact"/>
      <w:ind w:left="1800" w:hanging="360"/>
      <w:textAlignment w:val="auto"/>
    </w:pPr>
    <w:rPr>
      <w:rFonts w:ascii="Tahoma" w:hAnsi="Tahoma" w:cs="ProtocolLightMF"/>
      <w:sz w:val="18"/>
    </w:rPr>
  </w:style>
  <w:style w:type="paragraph" w:styleId="afff3">
    <w:name w:val="Message Header"/>
    <w:basedOn w:val="a"/>
    <w:link w:val="afff4"/>
    <w:rsid w:val="00BD6B73"/>
    <w:pPr>
      <w:pBdr>
        <w:top w:val="single" w:sz="6" w:space="1" w:color="auto"/>
        <w:left w:val="single" w:sz="6" w:space="1" w:color="auto"/>
        <w:bottom w:val="single" w:sz="6" w:space="1" w:color="auto"/>
        <w:right w:val="single" w:sz="6" w:space="1" w:color="auto"/>
      </w:pBdr>
      <w:shd w:val="pct20" w:color="auto" w:fill="auto"/>
      <w:tabs>
        <w:tab w:val="left" w:pos="567"/>
        <w:tab w:val="left" w:pos="1134"/>
        <w:tab w:val="left" w:pos="1701"/>
        <w:tab w:val="left" w:pos="2268"/>
      </w:tabs>
      <w:overflowPunct/>
      <w:autoSpaceDE/>
      <w:autoSpaceDN/>
      <w:adjustRightInd/>
      <w:spacing w:line="280" w:lineRule="exact"/>
      <w:ind w:left="1080" w:hanging="1080"/>
      <w:textAlignment w:val="auto"/>
    </w:pPr>
    <w:rPr>
      <w:rFonts w:ascii="Arial" w:hAnsi="Arial" w:cs="Arial"/>
      <w:sz w:val="24"/>
    </w:rPr>
  </w:style>
  <w:style w:type="paragraph" w:styleId="NormalWeb">
    <w:name w:val="Normal (Web)"/>
    <w:basedOn w:val="a"/>
    <w:rsid w:val="00BD6B73"/>
    <w:pPr>
      <w:tabs>
        <w:tab w:val="left" w:pos="567"/>
        <w:tab w:val="left" w:pos="1134"/>
        <w:tab w:val="left" w:pos="1701"/>
        <w:tab w:val="left" w:pos="2268"/>
      </w:tabs>
      <w:overflowPunct/>
      <w:autoSpaceDE/>
      <w:autoSpaceDN/>
      <w:adjustRightInd/>
      <w:spacing w:line="280" w:lineRule="exact"/>
      <w:textAlignment w:val="auto"/>
    </w:pPr>
    <w:rPr>
      <w:rFonts w:cs="Times New Roman"/>
      <w:sz w:val="24"/>
    </w:rPr>
  </w:style>
  <w:style w:type="paragraph" w:styleId="afff5">
    <w:name w:val="Note Heading"/>
    <w:basedOn w:val="a"/>
    <w:next w:val="a"/>
    <w:link w:val="afff6"/>
    <w:rsid w:val="00BD6B73"/>
    <w:pPr>
      <w:tabs>
        <w:tab w:val="left" w:pos="567"/>
        <w:tab w:val="left" w:pos="1134"/>
        <w:tab w:val="left" w:pos="1701"/>
        <w:tab w:val="left" w:pos="2268"/>
      </w:tabs>
      <w:overflowPunct/>
      <w:autoSpaceDE/>
      <w:autoSpaceDN/>
      <w:adjustRightInd/>
      <w:spacing w:line="280" w:lineRule="exact"/>
      <w:textAlignment w:val="auto"/>
    </w:pPr>
    <w:rPr>
      <w:rFonts w:ascii="Tahoma" w:hAnsi="Tahoma" w:cs="ProtocolLightMF"/>
      <w:sz w:val="18"/>
    </w:rPr>
  </w:style>
  <w:style w:type="paragraph" w:styleId="afff7">
    <w:name w:val="Signature"/>
    <w:basedOn w:val="a"/>
    <w:link w:val="afff8"/>
    <w:rsid w:val="00BD6B73"/>
    <w:pPr>
      <w:tabs>
        <w:tab w:val="left" w:pos="567"/>
        <w:tab w:val="left" w:pos="1134"/>
        <w:tab w:val="left" w:pos="1701"/>
        <w:tab w:val="left" w:pos="2268"/>
      </w:tabs>
      <w:overflowPunct/>
      <w:autoSpaceDE/>
      <w:autoSpaceDN/>
      <w:adjustRightInd/>
      <w:spacing w:line="280" w:lineRule="exact"/>
      <w:ind w:left="4320"/>
      <w:textAlignment w:val="auto"/>
    </w:pPr>
    <w:rPr>
      <w:rFonts w:ascii="Tahoma" w:hAnsi="Tahoma" w:cs="ProtocolLightMF"/>
      <w:sz w:val="18"/>
    </w:rPr>
  </w:style>
  <w:style w:type="paragraph" w:styleId="afff9">
    <w:name w:val="Subtitle"/>
    <w:basedOn w:val="a"/>
    <w:link w:val="afffa"/>
    <w:qFormat/>
    <w:rsid w:val="00BD6B73"/>
    <w:pPr>
      <w:tabs>
        <w:tab w:val="left" w:pos="567"/>
        <w:tab w:val="left" w:pos="1134"/>
        <w:tab w:val="left" w:pos="1701"/>
        <w:tab w:val="left" w:pos="2268"/>
      </w:tabs>
      <w:overflowPunct/>
      <w:autoSpaceDE/>
      <w:autoSpaceDN/>
      <w:adjustRightInd/>
      <w:spacing w:after="60" w:line="280" w:lineRule="exact"/>
      <w:jc w:val="center"/>
      <w:textAlignment w:val="auto"/>
      <w:outlineLvl w:val="1"/>
    </w:pPr>
    <w:rPr>
      <w:rFonts w:ascii="Arial" w:hAnsi="Arial" w:cs="Arial"/>
      <w:sz w:val="24"/>
    </w:rPr>
  </w:style>
  <w:style w:type="paragraph" w:customStyle="1" w:styleId="01">
    <w:name w:val="עב0"/>
    <w:basedOn w:val="a"/>
    <w:rsid w:val="00702EBC"/>
    <w:pPr>
      <w:widowControl/>
      <w:tabs>
        <w:tab w:val="left" w:pos="0"/>
        <w:tab w:val="left" w:pos="567"/>
        <w:tab w:val="left" w:pos="1134"/>
        <w:tab w:val="left" w:pos="1701"/>
        <w:tab w:val="left" w:pos="2268"/>
      </w:tabs>
      <w:ind w:left="1134" w:hanging="567"/>
    </w:pPr>
  </w:style>
  <w:style w:type="paragraph" w:customStyle="1" w:styleId="EITFReferences">
    <w:name w:val="EITF References"/>
    <w:rsid w:val="00BD6B73"/>
    <w:pPr>
      <w:widowControl w:val="0"/>
      <w:tabs>
        <w:tab w:val="left" w:pos="360"/>
      </w:tabs>
      <w:autoSpaceDE w:val="0"/>
      <w:autoSpaceDN w:val="0"/>
      <w:adjustRightInd w:val="0"/>
      <w:ind w:left="360" w:right="360" w:hanging="360"/>
      <w:jc w:val="both"/>
    </w:pPr>
    <w:rPr>
      <w:szCs w:val="24"/>
    </w:rPr>
  </w:style>
  <w:style w:type="paragraph" w:customStyle="1" w:styleId="ruller3">
    <w:name w:val="ruller3"/>
    <w:basedOn w:val="a"/>
    <w:rsid w:val="00BD6B73"/>
    <w:pPr>
      <w:widowControl/>
      <w:tabs>
        <w:tab w:val="left" w:pos="567"/>
        <w:tab w:val="left" w:pos="1134"/>
        <w:tab w:val="left" w:pos="1701"/>
        <w:tab w:val="left" w:pos="2268"/>
      </w:tabs>
      <w:adjustRightInd/>
      <w:spacing w:line="360" w:lineRule="auto"/>
      <w:jc w:val="left"/>
      <w:textAlignment w:val="auto"/>
    </w:pPr>
    <w:rPr>
      <w:rFonts w:cs="Times New Roman"/>
      <w:spacing w:val="10"/>
      <w:sz w:val="22"/>
      <w:szCs w:val="22"/>
      <w:lang w:eastAsia="he-IL"/>
    </w:rPr>
  </w:style>
  <w:style w:type="paragraph" w:customStyle="1" w:styleId="62">
    <w:name w:val="א6"/>
    <w:basedOn w:val="a"/>
    <w:link w:val="63"/>
    <w:rsid w:val="00BD6B73"/>
    <w:pPr>
      <w:widowControl/>
      <w:tabs>
        <w:tab w:val="num" w:pos="0"/>
        <w:tab w:val="left" w:pos="567"/>
        <w:tab w:val="left" w:pos="1134"/>
        <w:tab w:val="left" w:pos="1701"/>
        <w:tab w:val="left" w:pos="2268"/>
      </w:tabs>
      <w:spacing w:line="280" w:lineRule="exact"/>
      <w:ind w:left="284"/>
      <w:jc w:val="left"/>
    </w:pPr>
    <w:rPr>
      <w:rFonts w:cs="ProtocolMF"/>
      <w:b/>
      <w:bCs/>
      <w:szCs w:val="22"/>
    </w:rPr>
  </w:style>
  <w:style w:type="character" w:customStyle="1" w:styleId="63">
    <w:name w:val="א6 תו"/>
    <w:basedOn w:val="a0"/>
    <w:link w:val="62"/>
    <w:rsid w:val="00BD6B73"/>
    <w:rPr>
      <w:rFonts w:cs="ProtocolMF"/>
      <w:b/>
      <w:bCs/>
      <w:szCs w:val="22"/>
      <w:lang w:val="en-US" w:eastAsia="en-US" w:bidi="he-IL"/>
    </w:rPr>
  </w:style>
  <w:style w:type="paragraph" w:customStyle="1" w:styleId="Style1">
    <w:name w:val="Style1"/>
    <w:basedOn w:val="a"/>
    <w:rsid w:val="00BD6B73"/>
    <w:pPr>
      <w:tabs>
        <w:tab w:val="left" w:pos="567"/>
        <w:tab w:val="left" w:pos="1134"/>
        <w:tab w:val="left" w:pos="1701"/>
        <w:tab w:val="left" w:pos="2268"/>
      </w:tabs>
      <w:overflowPunct/>
      <w:autoSpaceDE/>
      <w:autoSpaceDN/>
      <w:adjustRightInd/>
      <w:textAlignment w:val="auto"/>
    </w:pPr>
    <w:rPr>
      <w:rFonts w:ascii="Tahoma" w:hAnsi="Tahoma" w:cs="David"/>
    </w:rPr>
  </w:style>
  <w:style w:type="character" w:customStyle="1" w:styleId="5a">
    <w:name w:val="א5 תו"/>
    <w:basedOn w:val="a0"/>
    <w:rsid w:val="00BD6B73"/>
    <w:rPr>
      <w:rFonts w:cs="Arial"/>
      <w:szCs w:val="22"/>
      <w:lang w:val="en-US" w:eastAsia="en-US" w:bidi="he-IL"/>
    </w:rPr>
  </w:style>
  <w:style w:type="paragraph" w:customStyle="1" w:styleId="1a">
    <w:name w:val="כניסה1"/>
    <w:basedOn w:val="a"/>
    <w:rsid w:val="00BD6B73"/>
    <w:pPr>
      <w:keepLines/>
      <w:widowControl/>
      <w:tabs>
        <w:tab w:val="left" w:pos="567"/>
        <w:tab w:val="left" w:pos="1134"/>
        <w:tab w:val="left" w:pos="1701"/>
        <w:tab w:val="left" w:pos="2268"/>
      </w:tabs>
      <w:overflowPunct/>
      <w:spacing w:line="360" w:lineRule="auto"/>
      <w:ind w:right="227"/>
      <w:textAlignment w:val="auto"/>
    </w:pPr>
    <w:rPr>
      <w:rFonts w:ascii="Tahoma" w:hAnsi="Tahoma" w:cs="David"/>
      <w:lang w:eastAsia="he-IL"/>
    </w:rPr>
  </w:style>
  <w:style w:type="paragraph" w:customStyle="1" w:styleId="2f4">
    <w:name w:val="כניסה2"/>
    <w:basedOn w:val="a"/>
    <w:rsid w:val="00BD6B73"/>
    <w:pPr>
      <w:keepLines/>
      <w:widowControl/>
      <w:tabs>
        <w:tab w:val="left" w:pos="567"/>
        <w:tab w:val="left" w:pos="1134"/>
        <w:tab w:val="left" w:pos="1701"/>
        <w:tab w:val="left" w:pos="2268"/>
      </w:tabs>
      <w:overflowPunct/>
      <w:spacing w:line="360" w:lineRule="auto"/>
      <w:ind w:right="454"/>
      <w:textAlignment w:val="auto"/>
    </w:pPr>
    <w:rPr>
      <w:rFonts w:ascii="Tahoma" w:hAnsi="Tahoma" w:cs="David"/>
      <w:lang w:eastAsia="he-IL"/>
    </w:rPr>
  </w:style>
  <w:style w:type="paragraph" w:customStyle="1" w:styleId="NormalE">
    <w:name w:val="NormalE"/>
    <w:basedOn w:val="a"/>
    <w:rsid w:val="00BD6B73"/>
    <w:pPr>
      <w:keepLines/>
      <w:widowControl/>
      <w:tabs>
        <w:tab w:val="left" w:pos="567"/>
        <w:tab w:val="left" w:pos="1134"/>
        <w:tab w:val="left" w:pos="1701"/>
        <w:tab w:val="left" w:pos="2268"/>
      </w:tabs>
      <w:overflowPunct/>
      <w:spacing w:line="360" w:lineRule="auto"/>
      <w:textAlignment w:val="auto"/>
    </w:pPr>
    <w:rPr>
      <w:rFonts w:ascii="Tahoma" w:hAnsi="Tahoma" w:cs="David"/>
      <w:sz w:val="22"/>
      <w:szCs w:val="22"/>
      <w:lang w:eastAsia="he-IL"/>
    </w:rPr>
  </w:style>
  <w:style w:type="paragraph" w:customStyle="1" w:styleId="firma">
    <w:name w:val="firma"/>
    <w:basedOn w:val="a"/>
    <w:rsid w:val="00BD6B73"/>
    <w:pPr>
      <w:widowControl/>
      <w:tabs>
        <w:tab w:val="left" w:pos="567"/>
        <w:tab w:val="left" w:pos="1134"/>
        <w:tab w:val="left" w:pos="1701"/>
        <w:tab w:val="left" w:pos="2268"/>
      </w:tabs>
      <w:overflowPunct/>
      <w:autoSpaceDE/>
      <w:autoSpaceDN/>
      <w:adjustRightInd/>
      <w:spacing w:line="360" w:lineRule="auto"/>
      <w:textAlignment w:val="auto"/>
    </w:pPr>
    <w:rPr>
      <w:rFonts w:ascii="Arial" w:hAnsi="Arial" w:cs="Arial"/>
      <w:b/>
      <w:bCs/>
      <w:noProof/>
      <w:color w:val="000000"/>
      <w:sz w:val="22"/>
      <w:szCs w:val="30"/>
      <w:lang w:eastAsia="he-IL"/>
    </w:rPr>
  </w:style>
  <w:style w:type="paragraph" w:customStyle="1" w:styleId="nispah">
    <w:name w:val="nispah"/>
    <w:basedOn w:val="a"/>
    <w:rsid w:val="00BD6B73"/>
    <w:pPr>
      <w:widowControl/>
      <w:tabs>
        <w:tab w:val="left" w:pos="567"/>
        <w:tab w:val="num" w:pos="648"/>
        <w:tab w:val="left" w:pos="1134"/>
        <w:tab w:val="left" w:pos="1701"/>
        <w:tab w:val="left" w:pos="2268"/>
      </w:tabs>
      <w:overflowPunct/>
      <w:autoSpaceDE/>
      <w:autoSpaceDN/>
      <w:adjustRightInd/>
      <w:spacing w:line="360" w:lineRule="auto"/>
      <w:ind w:left="360" w:right="360" w:hanging="72"/>
      <w:jc w:val="right"/>
      <w:textAlignment w:val="auto"/>
    </w:pPr>
    <w:rPr>
      <w:rFonts w:ascii="Tahoma" w:hAnsi="Tahoma" w:cs="David"/>
      <w:noProof/>
      <w:color w:val="000000"/>
      <w:sz w:val="22"/>
      <w:lang w:eastAsia="he-IL"/>
    </w:rPr>
  </w:style>
  <w:style w:type="paragraph" w:customStyle="1" w:styleId="afffb">
    <w:name w:val="אסמכתא"/>
    <w:basedOn w:val="a"/>
    <w:rsid w:val="00BD6B73"/>
    <w:pPr>
      <w:widowControl/>
      <w:tabs>
        <w:tab w:val="left" w:pos="567"/>
        <w:tab w:val="num" w:pos="648"/>
        <w:tab w:val="left" w:pos="1134"/>
        <w:tab w:val="left" w:pos="1701"/>
        <w:tab w:val="left" w:pos="2268"/>
      </w:tabs>
      <w:overflowPunct/>
      <w:autoSpaceDE/>
      <w:autoSpaceDN/>
      <w:adjustRightInd/>
      <w:spacing w:line="360" w:lineRule="auto"/>
      <w:ind w:left="360" w:hanging="72"/>
      <w:textAlignment w:val="auto"/>
    </w:pPr>
    <w:rPr>
      <w:rFonts w:ascii="Tahoma" w:hAnsi="Tahoma" w:cs="David"/>
      <w:color w:val="000000"/>
      <w:sz w:val="22"/>
    </w:rPr>
  </w:style>
  <w:style w:type="paragraph" w:customStyle="1" w:styleId="afffc">
    <w:name w:val="היסט"/>
    <w:basedOn w:val="a"/>
    <w:rsid w:val="00BD6B73"/>
    <w:pPr>
      <w:widowControl/>
      <w:tabs>
        <w:tab w:val="left" w:pos="567"/>
        <w:tab w:val="left" w:pos="1134"/>
        <w:tab w:val="left" w:pos="1701"/>
        <w:tab w:val="left" w:pos="2268"/>
      </w:tabs>
      <w:overflowPunct/>
      <w:autoSpaceDE/>
      <w:autoSpaceDN/>
      <w:adjustRightInd/>
      <w:spacing w:line="360" w:lineRule="auto"/>
      <w:ind w:left="709"/>
      <w:textAlignment w:val="auto"/>
    </w:pPr>
    <w:rPr>
      <w:rFonts w:ascii="Arial" w:hAnsi="Arial" w:cs="Arial"/>
      <w:noProof/>
      <w:color w:val="000000"/>
      <w:sz w:val="22"/>
      <w:lang w:eastAsia="he-IL"/>
    </w:rPr>
  </w:style>
  <w:style w:type="paragraph" w:customStyle="1" w:styleId="afffd">
    <w:name w:val="היסט_כפול"/>
    <w:basedOn w:val="a"/>
    <w:rsid w:val="00BD6B73"/>
    <w:pPr>
      <w:widowControl/>
      <w:tabs>
        <w:tab w:val="left" w:pos="567"/>
        <w:tab w:val="left" w:pos="680"/>
        <w:tab w:val="left" w:pos="1134"/>
        <w:tab w:val="left" w:pos="1701"/>
        <w:tab w:val="left" w:pos="2268"/>
      </w:tabs>
      <w:overflowPunct/>
      <w:autoSpaceDE/>
      <w:autoSpaceDN/>
      <w:adjustRightInd/>
      <w:spacing w:line="360" w:lineRule="auto"/>
      <w:ind w:left="1418" w:hanging="1418"/>
      <w:textAlignment w:val="auto"/>
    </w:pPr>
    <w:rPr>
      <w:rFonts w:ascii="Arial" w:hAnsi="Arial" w:cs="Arial"/>
      <w:noProof/>
      <w:color w:val="000000"/>
      <w:sz w:val="22"/>
      <w:lang w:eastAsia="he-IL"/>
    </w:rPr>
  </w:style>
  <w:style w:type="paragraph" w:customStyle="1" w:styleId="1b">
    <w:name w:val="היסט_כפול1"/>
    <w:basedOn w:val="a"/>
    <w:rsid w:val="00BD6B73"/>
    <w:pPr>
      <w:widowControl/>
      <w:tabs>
        <w:tab w:val="left" w:pos="567"/>
        <w:tab w:val="left" w:pos="1134"/>
        <w:tab w:val="left" w:pos="1361"/>
        <w:tab w:val="left" w:pos="1701"/>
        <w:tab w:val="left" w:pos="2268"/>
      </w:tabs>
      <w:overflowPunct/>
      <w:autoSpaceDE/>
      <w:autoSpaceDN/>
      <w:adjustRightInd/>
      <w:spacing w:line="360" w:lineRule="auto"/>
      <w:ind w:left="2126" w:hanging="2126"/>
      <w:textAlignment w:val="auto"/>
    </w:pPr>
    <w:rPr>
      <w:rFonts w:ascii="Arial" w:hAnsi="Arial" w:cs="Arial"/>
      <w:noProof/>
      <w:color w:val="000000"/>
      <w:sz w:val="22"/>
      <w:lang w:eastAsia="he-IL"/>
    </w:rPr>
  </w:style>
  <w:style w:type="paragraph" w:customStyle="1" w:styleId="2f5">
    <w:name w:val="היסט_כפול2"/>
    <w:basedOn w:val="a"/>
    <w:rsid w:val="00BD6B73"/>
    <w:pPr>
      <w:widowControl/>
      <w:tabs>
        <w:tab w:val="left" w:pos="567"/>
        <w:tab w:val="left" w:pos="1134"/>
        <w:tab w:val="left" w:pos="1361"/>
        <w:tab w:val="left" w:pos="1701"/>
        <w:tab w:val="left" w:pos="2268"/>
      </w:tabs>
      <w:overflowPunct/>
      <w:autoSpaceDE/>
      <w:autoSpaceDN/>
      <w:adjustRightInd/>
      <w:spacing w:line="360" w:lineRule="auto"/>
      <w:ind w:left="2127" w:hanging="1418"/>
      <w:textAlignment w:val="auto"/>
    </w:pPr>
    <w:rPr>
      <w:rFonts w:ascii="Arial" w:hAnsi="Arial" w:cs="Arial"/>
      <w:noProof/>
      <w:color w:val="000000"/>
      <w:sz w:val="22"/>
      <w:lang w:eastAsia="he-IL"/>
    </w:rPr>
  </w:style>
  <w:style w:type="paragraph" w:customStyle="1" w:styleId="1c">
    <w:name w:val="היסט1"/>
    <w:basedOn w:val="a"/>
    <w:rsid w:val="00BD6B73"/>
    <w:pPr>
      <w:widowControl/>
      <w:tabs>
        <w:tab w:val="num" w:pos="567"/>
        <w:tab w:val="left" w:pos="1134"/>
        <w:tab w:val="left" w:pos="1701"/>
        <w:tab w:val="left" w:pos="2268"/>
      </w:tabs>
      <w:overflowPunct/>
      <w:autoSpaceDE/>
      <w:autoSpaceDN/>
      <w:adjustRightInd/>
      <w:spacing w:before="240" w:line="360" w:lineRule="auto"/>
      <w:ind w:left="567" w:hanging="283"/>
      <w:textAlignment w:val="auto"/>
    </w:pPr>
    <w:rPr>
      <w:rFonts w:ascii="Arial" w:hAnsi="Arial" w:cs="Arial"/>
      <w:noProof/>
      <w:sz w:val="22"/>
      <w:lang w:eastAsia="he-IL"/>
    </w:rPr>
  </w:style>
  <w:style w:type="paragraph" w:customStyle="1" w:styleId="2f6">
    <w:name w:val="היסט2"/>
    <w:basedOn w:val="a"/>
    <w:rsid w:val="00BD6B73"/>
    <w:pPr>
      <w:widowControl/>
      <w:tabs>
        <w:tab w:val="left" w:pos="567"/>
        <w:tab w:val="num" w:pos="1134"/>
        <w:tab w:val="left" w:pos="1701"/>
        <w:tab w:val="left" w:pos="2268"/>
      </w:tabs>
      <w:overflowPunct/>
      <w:autoSpaceDE/>
      <w:autoSpaceDN/>
      <w:adjustRightInd/>
      <w:spacing w:before="240" w:line="360" w:lineRule="auto"/>
      <w:ind w:left="1134" w:hanging="567"/>
      <w:textAlignment w:val="auto"/>
    </w:pPr>
    <w:rPr>
      <w:rFonts w:ascii="Arial" w:hAnsi="Arial" w:cs="Arial"/>
      <w:noProof/>
      <w:sz w:val="22"/>
      <w:lang w:eastAsia="he-IL"/>
    </w:rPr>
  </w:style>
  <w:style w:type="paragraph" w:customStyle="1" w:styleId="3e">
    <w:name w:val="היסט3"/>
    <w:basedOn w:val="a"/>
    <w:rsid w:val="00BD6B73"/>
    <w:pPr>
      <w:widowControl/>
      <w:tabs>
        <w:tab w:val="left" w:pos="567"/>
        <w:tab w:val="left" w:pos="1134"/>
        <w:tab w:val="num" w:pos="1701"/>
        <w:tab w:val="left" w:pos="2268"/>
      </w:tabs>
      <w:overflowPunct/>
      <w:autoSpaceDE/>
      <w:autoSpaceDN/>
      <w:adjustRightInd/>
      <w:spacing w:before="240" w:line="360" w:lineRule="auto"/>
      <w:ind w:left="1701" w:hanging="567"/>
      <w:textAlignment w:val="auto"/>
    </w:pPr>
    <w:rPr>
      <w:rFonts w:ascii="Arial" w:hAnsi="Arial" w:cs="Arial"/>
      <w:noProof/>
      <w:sz w:val="22"/>
      <w:lang w:eastAsia="he-IL"/>
    </w:rPr>
  </w:style>
  <w:style w:type="paragraph" w:customStyle="1" w:styleId="4a">
    <w:name w:val="היסט4"/>
    <w:basedOn w:val="a"/>
    <w:rsid w:val="00BD6B73"/>
    <w:pPr>
      <w:widowControl/>
      <w:tabs>
        <w:tab w:val="left" w:pos="567"/>
        <w:tab w:val="left" w:pos="1134"/>
        <w:tab w:val="left" w:pos="1701"/>
        <w:tab w:val="num" w:pos="2268"/>
      </w:tabs>
      <w:overflowPunct/>
      <w:autoSpaceDE/>
      <w:autoSpaceDN/>
      <w:adjustRightInd/>
      <w:spacing w:before="240" w:line="360" w:lineRule="auto"/>
      <w:ind w:left="2268" w:hanging="567"/>
      <w:textAlignment w:val="auto"/>
    </w:pPr>
    <w:rPr>
      <w:rFonts w:ascii="Arial" w:hAnsi="Arial" w:cs="Arial"/>
      <w:noProof/>
      <w:sz w:val="22"/>
      <w:lang w:eastAsia="he-IL"/>
    </w:rPr>
  </w:style>
  <w:style w:type="paragraph" w:customStyle="1" w:styleId="afffe">
    <w:name w:val="נספח"/>
    <w:basedOn w:val="a"/>
    <w:rsid w:val="00BD6B73"/>
    <w:pPr>
      <w:widowControl/>
      <w:tabs>
        <w:tab w:val="num" w:pos="0"/>
        <w:tab w:val="left" w:pos="567"/>
        <w:tab w:val="left" w:pos="1134"/>
        <w:tab w:val="left" w:pos="1701"/>
        <w:tab w:val="left" w:pos="2268"/>
      </w:tabs>
      <w:overflowPunct/>
      <w:autoSpaceDE/>
      <w:autoSpaceDN/>
      <w:adjustRightInd/>
      <w:spacing w:line="360" w:lineRule="auto"/>
      <w:textAlignment w:val="auto"/>
    </w:pPr>
    <w:rPr>
      <w:rFonts w:ascii="Tahoma" w:hAnsi="Tahoma" w:cs="David"/>
      <w:color w:val="000000"/>
      <w:sz w:val="22"/>
    </w:rPr>
  </w:style>
  <w:style w:type="paragraph" w:customStyle="1" w:styleId="1d">
    <w:name w:val="פירמה1"/>
    <w:basedOn w:val="a"/>
    <w:rsid w:val="00BD6B73"/>
    <w:pPr>
      <w:widowControl/>
      <w:tabs>
        <w:tab w:val="left" w:pos="567"/>
        <w:tab w:val="left" w:pos="1134"/>
        <w:tab w:val="left" w:pos="1701"/>
        <w:tab w:val="left" w:pos="2268"/>
      </w:tabs>
      <w:overflowPunct/>
      <w:autoSpaceDE/>
      <w:autoSpaceDN/>
      <w:adjustRightInd/>
      <w:spacing w:line="360" w:lineRule="auto"/>
      <w:jc w:val="center"/>
      <w:textAlignment w:val="auto"/>
    </w:pPr>
    <w:rPr>
      <w:rFonts w:ascii="Tahoma" w:hAnsi="Tahoma" w:cs="David"/>
      <w:noProof/>
      <w:color w:val="000000"/>
      <w:sz w:val="22"/>
      <w:szCs w:val="22"/>
      <w:lang w:eastAsia="he-IL"/>
    </w:rPr>
  </w:style>
  <w:style w:type="paragraph" w:customStyle="1" w:styleId="2f7">
    <w:name w:val="פירמה2"/>
    <w:basedOn w:val="a"/>
    <w:rsid w:val="00BD6B73"/>
    <w:pPr>
      <w:widowControl/>
      <w:tabs>
        <w:tab w:val="left" w:pos="567"/>
        <w:tab w:val="left" w:pos="1134"/>
        <w:tab w:val="left" w:pos="1701"/>
        <w:tab w:val="left" w:pos="2268"/>
      </w:tabs>
      <w:overflowPunct/>
      <w:autoSpaceDE/>
      <w:autoSpaceDN/>
      <w:adjustRightInd/>
      <w:spacing w:line="360" w:lineRule="auto"/>
      <w:jc w:val="center"/>
      <w:textAlignment w:val="auto"/>
    </w:pPr>
    <w:rPr>
      <w:rFonts w:cs="David"/>
      <w:noProof/>
      <w:color w:val="000000"/>
      <w:sz w:val="22"/>
      <w:lang w:eastAsia="he-IL"/>
    </w:rPr>
  </w:style>
  <w:style w:type="paragraph" w:customStyle="1" w:styleId="affff">
    <w:name w:val="פירמהא"/>
    <w:basedOn w:val="a"/>
    <w:rsid w:val="00BD6B73"/>
    <w:pPr>
      <w:widowControl/>
      <w:tabs>
        <w:tab w:val="left" w:pos="567"/>
        <w:tab w:val="left" w:pos="1134"/>
        <w:tab w:val="left" w:pos="1701"/>
        <w:tab w:val="left" w:pos="2268"/>
      </w:tabs>
      <w:overflowPunct/>
      <w:autoSpaceDE/>
      <w:autoSpaceDN/>
      <w:adjustRightInd/>
      <w:spacing w:line="360" w:lineRule="auto"/>
      <w:textAlignment w:val="auto"/>
    </w:pPr>
    <w:rPr>
      <w:rFonts w:cs="David"/>
      <w:noProof/>
      <w:color w:val="000000"/>
      <w:sz w:val="18"/>
      <w:lang w:eastAsia="he-IL"/>
    </w:rPr>
  </w:style>
  <w:style w:type="paragraph" w:customStyle="1" w:styleId="affff0">
    <w:name w:val="פירמהט"/>
    <w:basedOn w:val="a"/>
    <w:rsid w:val="00BD6B73"/>
    <w:pPr>
      <w:widowControl/>
      <w:tabs>
        <w:tab w:val="left" w:pos="567"/>
        <w:tab w:val="left" w:pos="1134"/>
        <w:tab w:val="left" w:pos="1701"/>
        <w:tab w:val="left" w:pos="2268"/>
      </w:tabs>
      <w:overflowPunct/>
      <w:autoSpaceDE/>
      <w:autoSpaceDN/>
      <w:adjustRightInd/>
      <w:spacing w:line="360" w:lineRule="auto"/>
      <w:jc w:val="center"/>
      <w:textAlignment w:val="auto"/>
    </w:pPr>
    <w:rPr>
      <w:rFonts w:cs="David"/>
      <w:noProof/>
      <w:color w:val="000000"/>
      <w:sz w:val="22"/>
      <w:szCs w:val="22"/>
      <w:lang w:eastAsia="he-IL"/>
    </w:rPr>
  </w:style>
  <w:style w:type="paragraph" w:customStyle="1" w:styleId="affff1">
    <w:name w:val="פירמהע"/>
    <w:basedOn w:val="a"/>
    <w:rsid w:val="00BD6B73"/>
    <w:pPr>
      <w:widowControl/>
      <w:tabs>
        <w:tab w:val="left" w:pos="567"/>
        <w:tab w:val="left" w:pos="1134"/>
        <w:tab w:val="left" w:pos="1701"/>
        <w:tab w:val="left" w:pos="2268"/>
      </w:tabs>
      <w:overflowPunct/>
      <w:autoSpaceDE/>
      <w:autoSpaceDN/>
      <w:adjustRightInd/>
      <w:spacing w:line="360" w:lineRule="auto"/>
      <w:textAlignment w:val="auto"/>
    </w:pPr>
    <w:rPr>
      <w:rFonts w:cs="David"/>
      <w:noProof/>
      <w:color w:val="000000"/>
      <w:sz w:val="22"/>
      <w:szCs w:val="18"/>
      <w:lang w:eastAsia="he-IL"/>
    </w:rPr>
  </w:style>
  <w:style w:type="paragraph" w:customStyle="1" w:styleId="2f8">
    <w:name w:val="ציטוט2"/>
    <w:basedOn w:val="a"/>
    <w:rsid w:val="00BD6B73"/>
    <w:pPr>
      <w:widowControl/>
      <w:tabs>
        <w:tab w:val="left" w:pos="567"/>
        <w:tab w:val="left" w:pos="1134"/>
        <w:tab w:val="left" w:pos="1701"/>
        <w:tab w:val="left" w:pos="2268"/>
      </w:tabs>
      <w:overflowPunct/>
      <w:autoSpaceDE/>
      <w:autoSpaceDN/>
      <w:adjustRightInd/>
      <w:spacing w:line="360" w:lineRule="auto"/>
      <w:ind w:left="1418" w:right="1418"/>
      <w:textAlignment w:val="auto"/>
    </w:pPr>
    <w:rPr>
      <w:rFonts w:ascii="Tahoma" w:hAnsi="Tahoma" w:cs="David"/>
      <w:noProof/>
      <w:color w:val="000000"/>
      <w:sz w:val="22"/>
      <w:lang w:eastAsia="he-IL"/>
    </w:rPr>
  </w:style>
  <w:style w:type="paragraph" w:customStyle="1" w:styleId="Quote1">
    <w:name w:val="Quote1"/>
    <w:basedOn w:val="NormalE"/>
    <w:rsid w:val="00BD6B73"/>
    <w:pPr>
      <w:autoSpaceDE/>
      <w:autoSpaceDN/>
      <w:adjustRightInd/>
      <w:spacing w:line="240" w:lineRule="auto"/>
      <w:ind w:left="709" w:right="709"/>
    </w:pPr>
    <w:rPr>
      <w:rFonts w:ascii="Arial" w:hAnsi="Arial" w:cs="Arial"/>
      <w:noProof/>
      <w:color w:val="000000"/>
      <w:szCs w:val="24"/>
    </w:rPr>
  </w:style>
  <w:style w:type="paragraph" w:customStyle="1" w:styleId="Quote2">
    <w:name w:val="Quote2"/>
    <w:basedOn w:val="NormalE"/>
    <w:rsid w:val="00BD6B73"/>
    <w:pPr>
      <w:autoSpaceDE/>
      <w:autoSpaceDN/>
      <w:adjustRightInd/>
      <w:spacing w:line="240" w:lineRule="auto"/>
      <w:ind w:left="1418" w:right="1418"/>
    </w:pPr>
    <w:rPr>
      <w:rFonts w:ascii="Arial" w:hAnsi="Arial" w:cs="Arial"/>
      <w:noProof/>
      <w:color w:val="000000"/>
      <w:szCs w:val="24"/>
    </w:rPr>
  </w:style>
  <w:style w:type="paragraph" w:customStyle="1" w:styleId="affff2">
    <w:name w:val="מחוץ_לשוליים"/>
    <w:basedOn w:val="a"/>
    <w:rsid w:val="00BD6B73"/>
    <w:pPr>
      <w:framePr w:w="1071" w:h="284" w:hSpace="181" w:wrap="auto" w:vAnchor="text" w:hAnchor="page" w:x="10377" w:y="29" w:anchorLock="1"/>
      <w:widowControl/>
      <w:tabs>
        <w:tab w:val="left" w:pos="567"/>
        <w:tab w:val="left" w:pos="1134"/>
        <w:tab w:val="left" w:pos="1701"/>
        <w:tab w:val="left" w:pos="2268"/>
      </w:tabs>
      <w:overflowPunct/>
      <w:autoSpaceDE/>
      <w:autoSpaceDN/>
      <w:adjustRightInd/>
      <w:spacing w:line="360" w:lineRule="auto"/>
      <w:textAlignment w:val="auto"/>
    </w:pPr>
    <w:rPr>
      <w:rFonts w:ascii="Tahoma" w:hAnsi="Tahoma" w:cs="David"/>
      <w:noProof/>
      <w:color w:val="000000"/>
      <w:sz w:val="22"/>
      <w:lang w:eastAsia="he-IL"/>
    </w:rPr>
  </w:style>
  <w:style w:type="paragraph" w:customStyle="1" w:styleId="2f9">
    <w:name w:val="עבריא2"/>
    <w:basedOn w:val="a"/>
    <w:rsid w:val="00BD6B73"/>
    <w:pPr>
      <w:widowControl/>
      <w:tabs>
        <w:tab w:val="left" w:pos="567"/>
        <w:tab w:val="left" w:pos="1134"/>
        <w:tab w:val="left" w:pos="1701"/>
        <w:tab w:val="left" w:pos="2268"/>
      </w:tabs>
      <w:overflowPunct/>
      <w:autoSpaceDE/>
      <w:autoSpaceDN/>
      <w:adjustRightInd/>
      <w:spacing w:before="240" w:line="360" w:lineRule="auto"/>
      <w:textAlignment w:val="auto"/>
    </w:pPr>
    <w:rPr>
      <w:rFonts w:ascii="Tahoma" w:hAnsi="Tahoma" w:cs="David"/>
      <w:noProof/>
      <w:color w:val="000000"/>
      <w:sz w:val="22"/>
      <w:lang w:eastAsia="he-IL"/>
    </w:rPr>
  </w:style>
  <w:style w:type="paragraph" w:customStyle="1" w:styleId="3f">
    <w:name w:val="עבריא3"/>
    <w:basedOn w:val="a"/>
    <w:rsid w:val="00BD6B73"/>
    <w:pPr>
      <w:widowControl/>
      <w:tabs>
        <w:tab w:val="left" w:pos="567"/>
        <w:tab w:val="left" w:pos="1134"/>
        <w:tab w:val="left" w:pos="1701"/>
        <w:tab w:val="left" w:pos="2268"/>
      </w:tabs>
      <w:overflowPunct/>
      <w:autoSpaceDE/>
      <w:autoSpaceDN/>
      <w:adjustRightInd/>
      <w:spacing w:before="240" w:line="360" w:lineRule="auto"/>
      <w:textAlignment w:val="auto"/>
    </w:pPr>
    <w:rPr>
      <w:rFonts w:ascii="Tahoma" w:hAnsi="Tahoma" w:cs="David"/>
      <w:noProof/>
      <w:color w:val="000000"/>
      <w:sz w:val="22"/>
      <w:lang w:eastAsia="he-IL"/>
    </w:rPr>
  </w:style>
  <w:style w:type="paragraph" w:customStyle="1" w:styleId="4b">
    <w:name w:val="עבריא4"/>
    <w:basedOn w:val="a"/>
    <w:rsid w:val="00BD6B73"/>
    <w:pPr>
      <w:widowControl/>
      <w:tabs>
        <w:tab w:val="left" w:pos="567"/>
        <w:tab w:val="left" w:pos="1134"/>
        <w:tab w:val="left" w:pos="1701"/>
        <w:tab w:val="left" w:pos="2268"/>
      </w:tabs>
      <w:overflowPunct/>
      <w:autoSpaceDE/>
      <w:autoSpaceDN/>
      <w:adjustRightInd/>
      <w:spacing w:before="240" w:line="360" w:lineRule="auto"/>
      <w:textAlignment w:val="auto"/>
    </w:pPr>
    <w:rPr>
      <w:rFonts w:ascii="Tahoma" w:hAnsi="Tahoma" w:cs="David"/>
      <w:noProof/>
      <w:color w:val="000000"/>
      <w:sz w:val="22"/>
      <w:lang w:eastAsia="he-IL"/>
    </w:rPr>
  </w:style>
  <w:style w:type="paragraph" w:customStyle="1" w:styleId="1e">
    <w:name w:val="זיו1"/>
    <w:basedOn w:val="a"/>
    <w:rsid w:val="00BD6B73"/>
    <w:pPr>
      <w:widowControl/>
      <w:tabs>
        <w:tab w:val="num" w:pos="567"/>
        <w:tab w:val="left" w:pos="1134"/>
        <w:tab w:val="left" w:pos="1701"/>
        <w:tab w:val="left" w:pos="2268"/>
      </w:tabs>
      <w:overflowPunct/>
      <w:autoSpaceDE/>
      <w:autoSpaceDN/>
      <w:adjustRightInd/>
      <w:spacing w:before="240" w:line="360" w:lineRule="auto"/>
      <w:ind w:left="567" w:hanging="283"/>
      <w:textAlignment w:val="auto"/>
    </w:pPr>
    <w:rPr>
      <w:rFonts w:ascii="Tahoma" w:hAnsi="Tahoma" w:cs="David"/>
      <w:noProof/>
      <w:color w:val="000000"/>
      <w:sz w:val="22"/>
      <w:lang w:eastAsia="he-IL"/>
    </w:rPr>
  </w:style>
  <w:style w:type="paragraph" w:customStyle="1" w:styleId="2fa">
    <w:name w:val="זיו2"/>
    <w:basedOn w:val="a"/>
    <w:rsid w:val="00BD6B73"/>
    <w:pPr>
      <w:widowControl/>
      <w:tabs>
        <w:tab w:val="left" w:pos="567"/>
        <w:tab w:val="num" w:pos="1134"/>
        <w:tab w:val="left" w:pos="1701"/>
        <w:tab w:val="left" w:pos="2268"/>
      </w:tabs>
      <w:overflowPunct/>
      <w:autoSpaceDE/>
      <w:autoSpaceDN/>
      <w:adjustRightInd/>
      <w:spacing w:before="240" w:line="360" w:lineRule="auto"/>
      <w:ind w:left="1134" w:hanging="567"/>
      <w:textAlignment w:val="auto"/>
    </w:pPr>
    <w:rPr>
      <w:rFonts w:ascii="Tahoma" w:hAnsi="Tahoma" w:cs="David"/>
      <w:noProof/>
      <w:color w:val="000000"/>
      <w:sz w:val="22"/>
      <w:lang w:eastAsia="he-IL"/>
    </w:rPr>
  </w:style>
  <w:style w:type="paragraph" w:customStyle="1" w:styleId="3f0">
    <w:name w:val="זיו3"/>
    <w:basedOn w:val="a"/>
    <w:rsid w:val="00BD6B73"/>
    <w:pPr>
      <w:widowControl/>
      <w:tabs>
        <w:tab w:val="left" w:pos="567"/>
        <w:tab w:val="left" w:pos="1134"/>
        <w:tab w:val="num" w:pos="1701"/>
        <w:tab w:val="left" w:pos="2268"/>
      </w:tabs>
      <w:overflowPunct/>
      <w:autoSpaceDE/>
      <w:autoSpaceDN/>
      <w:adjustRightInd/>
      <w:spacing w:before="240" w:line="360" w:lineRule="auto"/>
      <w:ind w:left="1701" w:hanging="567"/>
      <w:textAlignment w:val="auto"/>
    </w:pPr>
    <w:rPr>
      <w:rFonts w:ascii="Tahoma" w:hAnsi="Tahoma" w:cs="David"/>
      <w:noProof/>
      <w:color w:val="000000"/>
      <w:sz w:val="22"/>
      <w:lang w:eastAsia="he-IL"/>
    </w:rPr>
  </w:style>
  <w:style w:type="paragraph" w:customStyle="1" w:styleId="4c">
    <w:name w:val="זיו4"/>
    <w:basedOn w:val="a"/>
    <w:rsid w:val="00BD6B73"/>
    <w:pPr>
      <w:widowControl/>
      <w:tabs>
        <w:tab w:val="left" w:pos="567"/>
        <w:tab w:val="left" w:pos="1134"/>
        <w:tab w:val="left" w:pos="1701"/>
        <w:tab w:val="num" w:pos="2268"/>
      </w:tabs>
      <w:overflowPunct/>
      <w:autoSpaceDE/>
      <w:autoSpaceDN/>
      <w:adjustRightInd/>
      <w:spacing w:before="240" w:line="360" w:lineRule="auto"/>
      <w:ind w:left="2268" w:hanging="567"/>
      <w:textAlignment w:val="auto"/>
    </w:pPr>
    <w:rPr>
      <w:rFonts w:ascii="Tahoma" w:hAnsi="Tahoma" w:cs="David"/>
      <w:noProof/>
      <w:color w:val="000000"/>
      <w:sz w:val="22"/>
      <w:lang w:eastAsia="he-IL"/>
    </w:rPr>
  </w:style>
  <w:style w:type="paragraph" w:customStyle="1" w:styleId="3f1">
    <w:name w:val="כניסה3"/>
    <w:basedOn w:val="2f4"/>
    <w:rsid w:val="00BD6B73"/>
    <w:pPr>
      <w:overflowPunct w:val="0"/>
      <w:ind w:left="680" w:right="0"/>
      <w:textAlignment w:val="baseline"/>
    </w:pPr>
    <w:rPr>
      <w:sz w:val="22"/>
      <w:lang w:eastAsia="en-US"/>
    </w:rPr>
  </w:style>
  <w:style w:type="character" w:customStyle="1" w:styleId="affff3">
    <w:name w:val="תפריט"/>
    <w:basedOn w:val="a0"/>
    <w:rsid w:val="00BD6B73"/>
    <w:rPr>
      <w:rFonts w:ascii="Monotype Corsiva" w:hAnsi="Monotype Corsiva" w:cs="Guttman Yad"/>
      <w:b/>
      <w:i/>
      <w:sz w:val="24"/>
      <w:szCs w:val="24"/>
      <w:vertAlign w:val="baseline"/>
    </w:rPr>
  </w:style>
  <w:style w:type="paragraph" w:customStyle="1" w:styleId="t2">
    <w:name w:val="t2"/>
    <w:basedOn w:val="a"/>
    <w:rsid w:val="00BD6B73"/>
    <w:pPr>
      <w:widowControl/>
      <w:tabs>
        <w:tab w:val="left" w:pos="567"/>
        <w:tab w:val="left" w:pos="1134"/>
        <w:tab w:val="left" w:pos="1701"/>
        <w:tab w:val="left" w:pos="2268"/>
      </w:tabs>
      <w:overflowPunct/>
      <w:bidi w:val="0"/>
      <w:ind w:left="1701" w:hanging="567"/>
      <w:textAlignment w:val="auto"/>
    </w:pPr>
    <w:rPr>
      <w:rFonts w:cs="Times New Roman"/>
      <w:bCs/>
      <w:iCs/>
      <w:spacing w:val="-2"/>
      <w:sz w:val="22"/>
      <w:szCs w:val="22"/>
    </w:rPr>
  </w:style>
  <w:style w:type="paragraph" w:customStyle="1" w:styleId="en00">
    <w:name w:val="en0"/>
    <w:basedOn w:val="a"/>
    <w:link w:val="en01"/>
    <w:rsid w:val="00BD6B73"/>
    <w:pPr>
      <w:widowControl/>
      <w:tabs>
        <w:tab w:val="left" w:pos="0"/>
        <w:tab w:val="left" w:pos="567"/>
        <w:tab w:val="left" w:pos="1134"/>
        <w:tab w:val="left" w:pos="1701"/>
        <w:tab w:val="left" w:pos="2268"/>
      </w:tabs>
      <w:bidi w:val="0"/>
      <w:spacing w:line="276" w:lineRule="auto"/>
    </w:pPr>
    <w:rPr>
      <w:rFonts w:ascii="Arial" w:hAnsi="Arial" w:cs="Times New Roman"/>
    </w:rPr>
  </w:style>
  <w:style w:type="character" w:customStyle="1" w:styleId="en01">
    <w:name w:val="en0 תו"/>
    <w:basedOn w:val="a0"/>
    <w:link w:val="en00"/>
    <w:rsid w:val="00BD6B73"/>
    <w:rPr>
      <w:rFonts w:ascii="Arial" w:hAnsi="Arial"/>
      <w:szCs w:val="24"/>
      <w:lang w:val="en-US" w:eastAsia="en-US" w:bidi="he-IL"/>
    </w:rPr>
  </w:style>
  <w:style w:type="paragraph" w:customStyle="1" w:styleId="Ruller4">
    <w:name w:val="Ruller4"/>
    <w:basedOn w:val="a"/>
    <w:rsid w:val="00BD6B73"/>
    <w:pPr>
      <w:widowControl/>
      <w:tabs>
        <w:tab w:val="left" w:pos="567"/>
        <w:tab w:val="left" w:pos="800"/>
        <w:tab w:val="left" w:pos="1134"/>
        <w:tab w:val="left" w:pos="1701"/>
        <w:tab w:val="left" w:pos="2268"/>
      </w:tabs>
      <w:spacing w:line="360" w:lineRule="auto"/>
      <w:textAlignment w:val="auto"/>
    </w:pPr>
    <w:rPr>
      <w:rFonts w:ascii="Narkisim" w:hAnsi="Narkisim" w:cs="FrankRuehl"/>
      <w:spacing w:val="10"/>
      <w:sz w:val="22"/>
      <w:szCs w:val="28"/>
    </w:rPr>
  </w:style>
  <w:style w:type="paragraph" w:customStyle="1" w:styleId="David0140">
    <w:name w:val="סגנון (עברית ושפות אחרות) David לפני:  0.14 ס''מ שורה ראשונה:  0 ..."/>
    <w:basedOn w:val="a"/>
    <w:rsid w:val="00BD6B73"/>
    <w:pPr>
      <w:widowControl/>
      <w:tabs>
        <w:tab w:val="left" w:pos="567"/>
        <w:tab w:val="left" w:pos="1134"/>
        <w:tab w:val="left" w:pos="1701"/>
        <w:tab w:val="left" w:pos="2268"/>
      </w:tabs>
      <w:spacing w:line="300" w:lineRule="auto"/>
      <w:jc w:val="left"/>
    </w:pPr>
    <w:rPr>
      <w:rFonts w:ascii="Arial" w:hAnsi="Arial" w:cs="David"/>
      <w:lang w:eastAsia="he-IL"/>
    </w:rPr>
  </w:style>
  <w:style w:type="character" w:customStyle="1" w:styleId="2fb">
    <w:name w:val="כותרת 2 תו תו"/>
    <w:basedOn w:val="a0"/>
    <w:rsid w:val="00BD6B73"/>
    <w:rPr>
      <w:rFonts w:ascii="Tahoma" w:hAnsi="Tahoma" w:cs="ProtocolBlackMF"/>
      <w:b/>
      <w:bCs/>
      <w:color w:val="00FFFF"/>
      <w:sz w:val="22"/>
      <w:szCs w:val="28"/>
      <w:lang w:val="en-US" w:eastAsia="en-US" w:bidi="he-IL"/>
    </w:rPr>
  </w:style>
  <w:style w:type="paragraph" w:customStyle="1" w:styleId="BodyText21">
    <w:name w:val="Body Text 21"/>
    <w:basedOn w:val="a"/>
    <w:rsid w:val="00BD6B73"/>
    <w:pPr>
      <w:tabs>
        <w:tab w:val="left" w:pos="567"/>
        <w:tab w:val="left" w:pos="1134"/>
        <w:tab w:val="left" w:pos="1701"/>
        <w:tab w:val="left" w:pos="2268"/>
      </w:tabs>
      <w:overflowPunct/>
      <w:autoSpaceDE/>
      <w:autoSpaceDN/>
      <w:adjustRightInd/>
      <w:spacing w:line="300" w:lineRule="auto"/>
      <w:textAlignment w:val="auto"/>
    </w:pPr>
    <w:rPr>
      <w:rFonts w:ascii="Tahoma" w:hAnsi="Tahoma" w:cs="ProtocolLightMF"/>
      <w:sz w:val="18"/>
    </w:rPr>
  </w:style>
  <w:style w:type="paragraph" w:customStyle="1" w:styleId="bullet">
    <w:name w:val="bullet"/>
    <w:basedOn w:val="a"/>
    <w:rsid w:val="00BD6B73"/>
    <w:pPr>
      <w:tabs>
        <w:tab w:val="left" w:pos="360"/>
        <w:tab w:val="left" w:pos="567"/>
        <w:tab w:val="left" w:pos="1134"/>
        <w:tab w:val="left" w:pos="1701"/>
        <w:tab w:val="left" w:pos="2268"/>
        <w:tab w:val="left" w:pos="2885"/>
        <w:tab w:val="left" w:pos="3169"/>
        <w:tab w:val="left" w:pos="3452"/>
      </w:tabs>
      <w:overflowPunct/>
      <w:autoSpaceDE/>
      <w:autoSpaceDN/>
      <w:adjustRightInd/>
      <w:spacing w:line="280" w:lineRule="exact"/>
      <w:ind w:left="360" w:right="360" w:hanging="360"/>
      <w:textAlignment w:val="auto"/>
    </w:pPr>
    <w:rPr>
      <w:rFonts w:ascii="Tahoma" w:hAnsi="Tahoma" w:cs="ProtocolLightMF"/>
      <w:sz w:val="22"/>
      <w:szCs w:val="22"/>
    </w:rPr>
  </w:style>
  <w:style w:type="paragraph" w:customStyle="1" w:styleId="t24">
    <w:name w:val="t24"/>
    <w:basedOn w:val="a"/>
    <w:rsid w:val="00BD6B73"/>
    <w:pPr>
      <w:tabs>
        <w:tab w:val="left" w:pos="567"/>
        <w:tab w:val="left" w:pos="1134"/>
        <w:tab w:val="left" w:pos="1701"/>
        <w:tab w:val="left" w:pos="2268"/>
      </w:tabs>
      <w:overflowPunct/>
      <w:autoSpaceDE/>
      <w:autoSpaceDN/>
      <w:adjustRightInd/>
      <w:spacing w:line="540" w:lineRule="atLeast"/>
      <w:textAlignment w:val="auto"/>
    </w:pPr>
    <w:rPr>
      <w:rFonts w:ascii="Tahoma" w:hAnsi="Tahoma" w:cs="David"/>
      <w:sz w:val="18"/>
    </w:rPr>
  </w:style>
  <w:style w:type="paragraph" w:customStyle="1" w:styleId="1f">
    <w:name w:val="ט1"/>
    <w:basedOn w:val="a"/>
    <w:rsid w:val="00BD6B73"/>
    <w:pPr>
      <w:tabs>
        <w:tab w:val="left" w:pos="567"/>
        <w:tab w:val="left" w:pos="1134"/>
        <w:tab w:val="left" w:pos="1701"/>
        <w:tab w:val="left" w:pos="2268"/>
      </w:tabs>
      <w:overflowPunct/>
      <w:autoSpaceDE/>
      <w:autoSpaceDN/>
      <w:adjustRightInd/>
      <w:spacing w:before="180" w:line="360" w:lineRule="auto"/>
      <w:ind w:left="425"/>
      <w:textAlignment w:val="auto"/>
    </w:pPr>
    <w:rPr>
      <w:rFonts w:ascii="Tahoma" w:hAnsi="Tahoma" w:cs="David"/>
      <w:sz w:val="18"/>
    </w:rPr>
  </w:style>
  <w:style w:type="paragraph" w:customStyle="1" w:styleId="1f0">
    <w:name w:val="כ1"/>
    <w:basedOn w:val="a"/>
    <w:next w:val="a"/>
    <w:rsid w:val="00BD6B73"/>
    <w:pPr>
      <w:tabs>
        <w:tab w:val="left" w:pos="567"/>
        <w:tab w:val="left" w:pos="1134"/>
        <w:tab w:val="left" w:pos="1701"/>
        <w:tab w:val="left" w:pos="2268"/>
      </w:tabs>
      <w:overflowPunct/>
      <w:autoSpaceDE/>
      <w:autoSpaceDN/>
      <w:adjustRightInd/>
      <w:spacing w:before="600" w:line="360" w:lineRule="auto"/>
      <w:ind w:left="425" w:hanging="425"/>
      <w:textAlignment w:val="auto"/>
    </w:pPr>
    <w:rPr>
      <w:rFonts w:ascii="Tahoma" w:hAnsi="Tahoma" w:cs="David"/>
      <w:b/>
      <w:bCs/>
      <w:sz w:val="18"/>
      <w:szCs w:val="32"/>
    </w:rPr>
  </w:style>
  <w:style w:type="character" w:customStyle="1" w:styleId="3f2">
    <w:name w:val="כותרת 3 תו תו"/>
    <w:basedOn w:val="a0"/>
    <w:rsid w:val="00BD6B73"/>
    <w:rPr>
      <w:rFonts w:ascii="Tahoma" w:hAnsi="Tahoma" w:cs="ProtocolBlackMF"/>
      <w:b/>
      <w:color w:val="00FFFF"/>
      <w:spacing w:val="-4"/>
      <w:sz w:val="18"/>
      <w:szCs w:val="26"/>
      <w:lang w:val="en-US" w:eastAsia="en-US" w:bidi="he-IL"/>
    </w:rPr>
  </w:style>
  <w:style w:type="character" w:customStyle="1" w:styleId="affff4">
    <w:name w:val="כניסה רגילה תו תו"/>
    <w:basedOn w:val="a0"/>
    <w:rsid w:val="00BD6B73"/>
    <w:rPr>
      <w:rFonts w:ascii="Tahoma" w:hAnsi="Tahoma" w:cs="ProtocolLightMF"/>
      <w:noProof/>
      <w:sz w:val="17"/>
      <w:szCs w:val="24"/>
      <w:lang w:val="en-US" w:eastAsia="he-IL" w:bidi="he-IL"/>
    </w:rPr>
  </w:style>
  <w:style w:type="character" w:customStyle="1" w:styleId="64">
    <w:name w:val="א6 תו תו"/>
    <w:basedOn w:val="a0"/>
    <w:rsid w:val="00BD6B73"/>
    <w:rPr>
      <w:rFonts w:ascii="Tahoma" w:hAnsi="Tahoma" w:cs="ProtocolBlackMF"/>
      <w:color w:val="FF00FF"/>
      <w:spacing w:val="4"/>
      <w:sz w:val="18"/>
      <w:szCs w:val="24"/>
      <w:lang w:val="en-US" w:eastAsia="en-US" w:bidi="he-IL"/>
    </w:rPr>
  </w:style>
  <w:style w:type="paragraph" w:customStyle="1" w:styleId="65">
    <w:name w:val="סגנון6"/>
    <w:basedOn w:val="a"/>
    <w:rsid w:val="00BD6B73"/>
    <w:pPr>
      <w:tabs>
        <w:tab w:val="num" w:pos="2835"/>
      </w:tabs>
      <w:overflowPunct/>
      <w:autoSpaceDE/>
      <w:autoSpaceDN/>
      <w:adjustRightInd/>
      <w:spacing w:line="280" w:lineRule="exact"/>
      <w:ind w:left="5103" w:hanging="567"/>
      <w:textAlignment w:val="auto"/>
    </w:pPr>
    <w:rPr>
      <w:rFonts w:ascii="Tahoma" w:hAnsi="Tahoma" w:cs="ProtocolLightMF"/>
      <w:sz w:val="17"/>
    </w:rPr>
  </w:style>
  <w:style w:type="paragraph" w:customStyle="1" w:styleId="1f1">
    <w:name w:val="עב1"/>
    <w:basedOn w:val="a"/>
    <w:rsid w:val="00BD6B73"/>
    <w:pPr>
      <w:overflowPunct/>
      <w:autoSpaceDE/>
      <w:autoSpaceDN/>
      <w:adjustRightInd/>
      <w:spacing w:line="280" w:lineRule="exact"/>
      <w:ind w:left="1134" w:hanging="567"/>
      <w:textAlignment w:val="auto"/>
    </w:pPr>
    <w:rPr>
      <w:rFonts w:ascii="Tahoma" w:hAnsi="Tahoma" w:cs="ProtocolLightMF"/>
      <w:sz w:val="17"/>
    </w:rPr>
  </w:style>
  <w:style w:type="paragraph" w:customStyle="1" w:styleId="2fc">
    <w:name w:val="עב2"/>
    <w:basedOn w:val="1f1"/>
    <w:rsid w:val="00BD6B73"/>
    <w:pPr>
      <w:ind w:left="1701"/>
    </w:pPr>
  </w:style>
  <w:style w:type="paragraph" w:customStyle="1" w:styleId="3f3">
    <w:name w:val="עב3"/>
    <w:basedOn w:val="2fc"/>
    <w:rsid w:val="00BD6B73"/>
    <w:pPr>
      <w:ind w:left="2268"/>
    </w:pPr>
  </w:style>
  <w:style w:type="paragraph" w:customStyle="1" w:styleId="4d">
    <w:name w:val="עב4"/>
    <w:basedOn w:val="3f3"/>
    <w:rsid w:val="00BD6B73"/>
    <w:pPr>
      <w:tabs>
        <w:tab w:val="left" w:pos="2835"/>
      </w:tabs>
      <w:ind w:left="2835"/>
    </w:pPr>
  </w:style>
  <w:style w:type="character" w:customStyle="1" w:styleId="1f2">
    <w:name w:val="כותרת 1 תו תו"/>
    <w:basedOn w:val="a0"/>
    <w:rsid w:val="00BD6B73"/>
    <w:rPr>
      <w:rFonts w:ascii="Tahoma" w:hAnsi="Tahoma" w:cs="ProtocolBlackMF"/>
      <w:b/>
      <w:bCs/>
      <w:color w:val="00FFFF"/>
      <w:kern w:val="28"/>
      <w:sz w:val="26"/>
      <w:szCs w:val="34"/>
      <w:lang w:val="en-US" w:eastAsia="en-US" w:bidi="he-IL"/>
    </w:rPr>
  </w:style>
  <w:style w:type="paragraph" w:customStyle="1" w:styleId="level1">
    <w:name w:val="level1"/>
    <w:basedOn w:val="a"/>
    <w:rsid w:val="00BD6B73"/>
    <w:pPr>
      <w:overflowPunct/>
      <w:autoSpaceDE/>
      <w:autoSpaceDN/>
      <w:bidi w:val="0"/>
      <w:adjustRightInd/>
      <w:spacing w:before="240" w:after="120"/>
      <w:textAlignment w:val="auto"/>
    </w:pPr>
    <w:rPr>
      <w:rFonts w:ascii="Verdana" w:hAnsi="Verdana" w:cs="Times New Roman"/>
      <w:b/>
      <w:bCs/>
      <w:color w:val="8E93A4"/>
      <w:sz w:val="32"/>
      <w:szCs w:val="32"/>
    </w:rPr>
  </w:style>
  <w:style w:type="paragraph" w:customStyle="1" w:styleId="1f3">
    <w:name w:val="רגיל1"/>
    <w:basedOn w:val="a"/>
    <w:rsid w:val="00BD6B73"/>
    <w:pPr>
      <w:tabs>
        <w:tab w:val="left" w:pos="567"/>
        <w:tab w:val="left" w:pos="1134"/>
        <w:tab w:val="left" w:pos="1701"/>
        <w:tab w:val="left" w:pos="2268"/>
      </w:tabs>
      <w:overflowPunct/>
      <w:autoSpaceDE/>
      <w:autoSpaceDN/>
      <w:adjustRightInd/>
      <w:spacing w:line="280" w:lineRule="exact"/>
      <w:textAlignment w:val="auto"/>
    </w:pPr>
    <w:rPr>
      <w:rFonts w:ascii="Tahoma" w:hAnsi="Tahoma" w:cs="ProtocolLightMF"/>
      <w:noProof/>
      <w:sz w:val="18"/>
    </w:rPr>
  </w:style>
  <w:style w:type="paragraph" w:customStyle="1" w:styleId="011">
    <w:name w:val="סגנון א0 + (עברית ושפות אחרות) ‏11 נק'"/>
    <w:basedOn w:val="0"/>
    <w:next w:val="0"/>
    <w:rsid w:val="00BD6B73"/>
    <w:pPr>
      <w:tabs>
        <w:tab w:val="clear" w:pos="1134"/>
        <w:tab w:val="left" w:pos="28"/>
        <w:tab w:val="left" w:pos="2268"/>
      </w:tabs>
      <w:overflowPunct/>
      <w:autoSpaceDE/>
      <w:autoSpaceDN/>
      <w:adjustRightInd/>
      <w:spacing w:line="300" w:lineRule="auto"/>
      <w:textAlignment w:val="auto"/>
    </w:pPr>
    <w:rPr>
      <w:rFonts w:ascii="Tahoma" w:hAnsi="Tahoma"/>
      <w:sz w:val="20"/>
    </w:rPr>
  </w:style>
  <w:style w:type="paragraph" w:customStyle="1" w:styleId="CompanyName">
    <w:name w:val="Company Name"/>
    <w:basedOn w:val="a9"/>
    <w:rsid w:val="00BD6B73"/>
    <w:pPr>
      <w:overflowPunct/>
      <w:autoSpaceDE/>
      <w:autoSpaceDN/>
      <w:adjustRightInd/>
      <w:spacing w:before="120" w:after="80" w:line="200" w:lineRule="exact"/>
      <w:ind w:left="170" w:hanging="170"/>
      <w:jc w:val="left"/>
      <w:textAlignment w:val="auto"/>
    </w:pPr>
    <w:rPr>
      <w:rFonts w:ascii="Arial" w:hAnsi="Arial" w:cs="Arial"/>
      <w:b/>
      <w:bCs/>
      <w:sz w:val="28"/>
      <w:szCs w:val="28"/>
    </w:rPr>
  </w:style>
  <w:style w:type="paragraph" w:customStyle="1" w:styleId="DocumentLabel">
    <w:name w:val="Document Label"/>
    <w:basedOn w:val="a"/>
    <w:rsid w:val="00BD6B73"/>
    <w:pPr>
      <w:keepNext/>
      <w:keepLines/>
      <w:overflowPunct/>
      <w:autoSpaceDE/>
      <w:autoSpaceDN/>
      <w:adjustRightInd/>
      <w:spacing w:line="280" w:lineRule="exact"/>
      <w:textAlignment w:val="auto"/>
    </w:pPr>
    <w:rPr>
      <w:rFonts w:ascii="Tahoma" w:hAnsi="Tahoma" w:cs="David"/>
      <w:b/>
      <w:bCs/>
      <w:kern w:val="28"/>
      <w:sz w:val="36"/>
      <w:szCs w:val="36"/>
    </w:rPr>
  </w:style>
  <w:style w:type="paragraph" w:customStyle="1" w:styleId="indent">
    <w:name w:val="indent"/>
    <w:basedOn w:val="NormalE"/>
    <w:rsid w:val="00BD6B73"/>
    <w:pPr>
      <w:tabs>
        <w:tab w:val="clear" w:pos="567"/>
        <w:tab w:val="clear" w:pos="1134"/>
        <w:tab w:val="clear" w:pos="1701"/>
        <w:tab w:val="clear" w:pos="2268"/>
      </w:tabs>
      <w:ind w:right="709"/>
    </w:pPr>
  </w:style>
  <w:style w:type="paragraph" w:customStyle="1" w:styleId="IndentDouble">
    <w:name w:val="Indent_Double"/>
    <w:basedOn w:val="NormalE"/>
    <w:rsid w:val="00BD6B73"/>
    <w:pPr>
      <w:tabs>
        <w:tab w:val="clear" w:pos="567"/>
        <w:tab w:val="clear" w:pos="1134"/>
        <w:tab w:val="clear" w:pos="1701"/>
        <w:tab w:val="clear" w:pos="2268"/>
        <w:tab w:val="left" w:pos="709"/>
      </w:tabs>
      <w:ind w:right="1418" w:hanging="1418"/>
    </w:pPr>
  </w:style>
  <w:style w:type="paragraph" w:customStyle="1" w:styleId="IndentDouble1">
    <w:name w:val="Indent_Double1"/>
    <w:basedOn w:val="NormalE"/>
    <w:rsid w:val="00BD6B73"/>
    <w:pPr>
      <w:tabs>
        <w:tab w:val="clear" w:pos="567"/>
        <w:tab w:val="clear" w:pos="1134"/>
        <w:tab w:val="clear" w:pos="1701"/>
        <w:tab w:val="clear" w:pos="2268"/>
        <w:tab w:val="left" w:pos="1418"/>
      </w:tabs>
      <w:ind w:right="2126" w:hanging="2126"/>
    </w:pPr>
  </w:style>
  <w:style w:type="paragraph" w:customStyle="1" w:styleId="IndentDouble2">
    <w:name w:val="Indent_Double2"/>
    <w:basedOn w:val="NormalE"/>
    <w:rsid w:val="00BD6B73"/>
    <w:pPr>
      <w:tabs>
        <w:tab w:val="clear" w:pos="567"/>
        <w:tab w:val="clear" w:pos="1134"/>
        <w:tab w:val="clear" w:pos="1701"/>
        <w:tab w:val="clear" w:pos="2268"/>
        <w:tab w:val="left" w:pos="1418"/>
      </w:tabs>
      <w:ind w:right="2127" w:hanging="1418"/>
    </w:pPr>
  </w:style>
  <w:style w:type="paragraph" w:customStyle="1" w:styleId="indent1">
    <w:name w:val="indent1"/>
    <w:basedOn w:val="NormalE"/>
    <w:rsid w:val="00BD6B73"/>
    <w:pPr>
      <w:tabs>
        <w:tab w:val="clear" w:pos="567"/>
        <w:tab w:val="clear" w:pos="1134"/>
        <w:tab w:val="clear" w:pos="1701"/>
        <w:tab w:val="clear" w:pos="2268"/>
      </w:tabs>
      <w:ind w:right="709" w:hanging="709"/>
    </w:pPr>
  </w:style>
  <w:style w:type="paragraph" w:customStyle="1" w:styleId="indent2">
    <w:name w:val="indent2"/>
    <w:basedOn w:val="NormalE"/>
    <w:rsid w:val="00BD6B73"/>
    <w:pPr>
      <w:tabs>
        <w:tab w:val="clear" w:pos="567"/>
        <w:tab w:val="clear" w:pos="1134"/>
        <w:tab w:val="clear" w:pos="1701"/>
        <w:tab w:val="clear" w:pos="2268"/>
      </w:tabs>
      <w:ind w:right="1418" w:hanging="709"/>
    </w:pPr>
  </w:style>
  <w:style w:type="paragraph" w:customStyle="1" w:styleId="indent3">
    <w:name w:val="indent3"/>
    <w:basedOn w:val="NormalE"/>
    <w:rsid w:val="00BD6B73"/>
    <w:pPr>
      <w:tabs>
        <w:tab w:val="clear" w:pos="567"/>
        <w:tab w:val="clear" w:pos="1134"/>
        <w:tab w:val="clear" w:pos="1701"/>
        <w:tab w:val="clear" w:pos="2268"/>
      </w:tabs>
      <w:ind w:right="2836" w:hanging="1418"/>
    </w:pPr>
  </w:style>
  <w:style w:type="paragraph" w:customStyle="1" w:styleId="indent4">
    <w:name w:val="indent4"/>
    <w:basedOn w:val="NormalE"/>
    <w:rsid w:val="00BD6B73"/>
    <w:pPr>
      <w:tabs>
        <w:tab w:val="clear" w:pos="567"/>
        <w:tab w:val="clear" w:pos="1134"/>
        <w:tab w:val="clear" w:pos="1701"/>
        <w:tab w:val="clear" w:pos="2268"/>
      </w:tabs>
      <w:ind w:right="4253" w:hanging="1418"/>
    </w:pPr>
  </w:style>
  <w:style w:type="paragraph" w:customStyle="1" w:styleId="MessageHeaderFirst">
    <w:name w:val="Message Header First"/>
    <w:basedOn w:val="afff3"/>
    <w:next w:val="afff3"/>
    <w:rsid w:val="00BD6B73"/>
    <w:pPr>
      <w:tabs>
        <w:tab w:val="clear" w:pos="567"/>
        <w:tab w:val="clear" w:pos="1134"/>
        <w:tab w:val="clear" w:pos="1701"/>
        <w:tab w:val="clear" w:pos="2268"/>
      </w:tabs>
      <w:spacing w:before="120"/>
    </w:pPr>
  </w:style>
  <w:style w:type="paragraph" w:customStyle="1" w:styleId="quote10">
    <w:name w:val="quote1"/>
    <w:basedOn w:val="Quote1"/>
    <w:rsid w:val="00BD6B73"/>
    <w:pPr>
      <w:tabs>
        <w:tab w:val="clear" w:pos="567"/>
        <w:tab w:val="clear" w:pos="1134"/>
        <w:tab w:val="clear" w:pos="1701"/>
        <w:tab w:val="clear" w:pos="2268"/>
      </w:tabs>
      <w:ind w:left="1418" w:right="1304"/>
      <w:jc w:val="left"/>
    </w:pPr>
    <w:rPr>
      <w:i/>
    </w:rPr>
  </w:style>
  <w:style w:type="paragraph" w:customStyle="1" w:styleId="1f4">
    <w:name w:val="ציטוט1"/>
    <w:basedOn w:val="a"/>
    <w:autoRedefine/>
    <w:rsid w:val="00BD6B73"/>
    <w:pPr>
      <w:keepLines/>
      <w:overflowPunct/>
      <w:autoSpaceDE/>
      <w:autoSpaceDN/>
      <w:adjustRightInd/>
      <w:spacing w:line="280" w:lineRule="exact"/>
      <w:ind w:left="1418" w:right="1134"/>
      <w:textAlignment w:val="auto"/>
    </w:pPr>
    <w:rPr>
      <w:rFonts w:ascii="Tahoma" w:hAnsi="Tahoma" w:cs="ProtocolLightMF"/>
      <w:iCs/>
      <w:sz w:val="17"/>
    </w:rPr>
  </w:style>
  <w:style w:type="paragraph" w:customStyle="1" w:styleId="3f4">
    <w:name w:val="ציטוט3"/>
    <w:basedOn w:val="a"/>
    <w:autoRedefine/>
    <w:rsid w:val="00BD6B73"/>
    <w:pPr>
      <w:keepLines/>
      <w:overflowPunct/>
      <w:autoSpaceDE/>
      <w:autoSpaceDN/>
      <w:adjustRightInd/>
      <w:spacing w:line="280" w:lineRule="exact"/>
      <w:ind w:left="3402" w:right="1701"/>
      <w:textAlignment w:val="auto"/>
    </w:pPr>
    <w:rPr>
      <w:rFonts w:ascii="Tahoma" w:hAnsi="Tahoma" w:cs="ProtocolLightMF"/>
      <w:iCs/>
      <w:sz w:val="17"/>
    </w:rPr>
  </w:style>
  <w:style w:type="paragraph" w:customStyle="1" w:styleId="affff5">
    <w:name w:val="חלק"/>
    <w:basedOn w:val="aff3"/>
    <w:rsid w:val="00BD6B73"/>
    <w:pPr>
      <w:jc w:val="center"/>
    </w:pPr>
    <w:rPr>
      <w:sz w:val="17"/>
      <w:szCs w:val="36"/>
      <w:u w:val="double"/>
    </w:rPr>
  </w:style>
  <w:style w:type="paragraph" w:customStyle="1" w:styleId="affff6">
    <w:name w:val="כותרתמשנה"/>
    <w:basedOn w:val="aff3"/>
    <w:rsid w:val="00BD6B73"/>
    <w:rPr>
      <w:sz w:val="26"/>
      <w:szCs w:val="26"/>
    </w:rPr>
  </w:style>
  <w:style w:type="paragraph" w:customStyle="1" w:styleId="quote20">
    <w:name w:val="quote2"/>
    <w:basedOn w:val="quote10"/>
    <w:rsid w:val="00BD6B73"/>
    <w:pPr>
      <w:ind w:left="1985" w:right="1418"/>
    </w:pPr>
  </w:style>
  <w:style w:type="character" w:customStyle="1" w:styleId="3f5">
    <w:name w:val="כותרת 3 תו"/>
    <w:basedOn w:val="a0"/>
    <w:rsid w:val="00BD6B73"/>
    <w:rPr>
      <w:rFonts w:ascii="Arial" w:hAnsi="Arial" w:cs="Arial"/>
      <w:sz w:val="21"/>
      <w:szCs w:val="24"/>
      <w:u w:val="single"/>
      <w:lang w:val="en-US" w:eastAsia="he-IL" w:bidi="he-IL"/>
    </w:rPr>
  </w:style>
  <w:style w:type="paragraph" w:customStyle="1" w:styleId="82">
    <w:name w:val="סגנון8"/>
    <w:basedOn w:val="a"/>
    <w:rsid w:val="00BD6B73"/>
  </w:style>
  <w:style w:type="paragraph" w:customStyle="1" w:styleId="ConfidentialPageDate">
    <w:name w:val="Confidential  Page #  Date"/>
    <w:rsid w:val="00BD6B73"/>
    <w:rPr>
      <w:sz w:val="24"/>
      <w:szCs w:val="24"/>
      <w:lang w:bidi="ar-SA"/>
    </w:rPr>
  </w:style>
  <w:style w:type="paragraph" w:styleId="affff7">
    <w:name w:val="index heading"/>
    <w:basedOn w:val="a"/>
    <w:next w:val="a"/>
    <w:rsid w:val="00BD6B73"/>
    <w:pPr>
      <w:overflowPunct/>
      <w:autoSpaceDE/>
      <w:autoSpaceDN/>
      <w:bidi w:val="0"/>
      <w:adjustRightInd/>
      <w:jc w:val="left"/>
      <w:textAlignment w:val="auto"/>
    </w:pPr>
    <w:rPr>
      <w:sz w:val="22"/>
      <w:lang w:eastAsia="he-IL"/>
    </w:rPr>
  </w:style>
  <w:style w:type="paragraph" w:customStyle="1" w:styleId="EYBusinessaddress">
    <w:name w:val="EY Business address"/>
    <w:basedOn w:val="a"/>
    <w:rsid w:val="00BD6B73"/>
    <w:pPr>
      <w:widowControl/>
      <w:suppressAutoHyphens/>
      <w:overflowPunct/>
      <w:autoSpaceDE/>
      <w:autoSpaceDN/>
      <w:bidi w:val="0"/>
      <w:adjustRightInd/>
      <w:spacing w:line="170" w:lineRule="atLeast"/>
      <w:jc w:val="left"/>
      <w:textAlignment w:val="auto"/>
    </w:pPr>
    <w:rPr>
      <w:rFonts w:ascii="Arial" w:hAnsi="Arial" w:cs="Times New Roman"/>
      <w:color w:val="666666"/>
      <w:kern w:val="12"/>
      <w:sz w:val="15"/>
      <w:szCs w:val="22"/>
      <w:lang w:val="en-GB" w:bidi="ar-SA"/>
    </w:rPr>
  </w:style>
  <w:style w:type="character" w:customStyle="1" w:styleId="affff8">
    <w:name w:val="תו תו"/>
    <w:basedOn w:val="a0"/>
    <w:locked/>
    <w:rsid w:val="00BD6B73"/>
    <w:rPr>
      <w:rFonts w:cs="Narkisim"/>
      <w:sz w:val="22"/>
      <w:szCs w:val="24"/>
      <w:lang w:val="en-US" w:eastAsia="en-US" w:bidi="he-IL"/>
    </w:rPr>
  </w:style>
  <w:style w:type="character" w:customStyle="1" w:styleId="110">
    <w:name w:val="מא1 תו1"/>
    <w:basedOn w:val="a0"/>
    <w:rsid w:val="00BD6B73"/>
    <w:rPr>
      <w:rFonts w:cs="Narkisim"/>
      <w:b/>
      <w:bCs/>
      <w:caps/>
      <w:sz w:val="22"/>
      <w:szCs w:val="22"/>
      <w:lang w:val="en-US" w:eastAsia="en-US" w:bidi="he-IL"/>
    </w:rPr>
  </w:style>
  <w:style w:type="paragraph" w:styleId="affff9">
    <w:name w:val="Balloon Text"/>
    <w:basedOn w:val="a"/>
    <w:link w:val="affffa"/>
    <w:uiPriority w:val="99"/>
    <w:rsid w:val="00BD6B73"/>
    <w:rPr>
      <w:rFonts w:ascii="Tahoma" w:hAnsi="Tahoma" w:cs="Tahoma"/>
      <w:sz w:val="16"/>
      <w:szCs w:val="16"/>
    </w:rPr>
  </w:style>
  <w:style w:type="character" w:customStyle="1" w:styleId="1f5">
    <w:name w:val="תו תו1"/>
    <w:basedOn w:val="a0"/>
    <w:locked/>
    <w:rsid w:val="00BC321C"/>
    <w:rPr>
      <w:rFonts w:cs="Narkisim"/>
      <w:sz w:val="22"/>
      <w:szCs w:val="24"/>
      <w:lang w:val="en-US" w:eastAsia="en-US" w:bidi="he-IL"/>
    </w:rPr>
  </w:style>
  <w:style w:type="character" w:customStyle="1" w:styleId="5b">
    <w:name w:val="כותרת 5 תו"/>
    <w:basedOn w:val="a0"/>
    <w:rsid w:val="005D69B8"/>
    <w:rPr>
      <w:rFonts w:cs="Narkisim"/>
      <w:bCs/>
      <w:iCs/>
      <w:sz w:val="24"/>
      <w:u w:val="single"/>
      <w:lang w:val="en-US" w:eastAsia="en-US" w:bidi="he-IL"/>
    </w:rPr>
  </w:style>
  <w:style w:type="paragraph" w:customStyle="1" w:styleId="ListParagraph1">
    <w:name w:val="List Paragraph1"/>
    <w:basedOn w:val="a"/>
    <w:qFormat/>
    <w:rsid w:val="005D69B8"/>
    <w:pPr>
      <w:overflowPunct/>
      <w:autoSpaceDE/>
      <w:autoSpaceDN/>
      <w:adjustRightInd/>
      <w:ind w:left="720"/>
      <w:contextualSpacing/>
      <w:textAlignment w:val="auto"/>
    </w:pPr>
    <w:rPr>
      <w:sz w:val="22"/>
      <w:lang w:eastAsia="he-IL"/>
    </w:rPr>
  </w:style>
  <w:style w:type="paragraph" w:customStyle="1" w:styleId="First">
    <w:name w:val="First"/>
    <w:basedOn w:val="a"/>
    <w:rsid w:val="005D69B8"/>
    <w:pPr>
      <w:widowControl/>
      <w:overflowPunct/>
      <w:autoSpaceDE/>
      <w:autoSpaceDN/>
      <w:adjustRightInd/>
      <w:spacing w:line="280" w:lineRule="atLeast"/>
      <w:ind w:left="566" w:right="566" w:hanging="567"/>
      <w:textAlignment w:val="auto"/>
    </w:pPr>
    <w:rPr>
      <w:rFonts w:cs="David"/>
      <w:sz w:val="24"/>
      <w:szCs w:val="26"/>
      <w:lang w:eastAsia="he-IL"/>
    </w:rPr>
  </w:style>
  <w:style w:type="paragraph" w:styleId="affffb">
    <w:name w:val="List"/>
    <w:basedOn w:val="a"/>
    <w:rsid w:val="005D69B8"/>
    <w:pPr>
      <w:tabs>
        <w:tab w:val="left" w:pos="1134"/>
      </w:tabs>
      <w:ind w:left="283" w:hanging="283"/>
      <w:jc w:val="left"/>
    </w:pPr>
    <w:rPr>
      <w:rFonts w:ascii="Arial" w:hAnsi="Arial" w:cs="Miriam"/>
      <w:sz w:val="24"/>
    </w:rPr>
  </w:style>
  <w:style w:type="character" w:customStyle="1" w:styleId="affffc">
    <w:name w:val="סגנון הפנייה להערת שוליים + מודגש"/>
    <w:basedOn w:val="ab"/>
    <w:rsid w:val="005D69B8"/>
    <w:rPr>
      <w:b/>
      <w:bCs/>
      <w:color w:val="auto"/>
      <w:szCs w:val="22"/>
      <w:vertAlign w:val="superscript"/>
    </w:rPr>
  </w:style>
  <w:style w:type="character" w:customStyle="1" w:styleId="1102">
    <w:name w:val="סגנון הפנייה להערת שוליים + ‏11 נק' מודגש נדחס ב  0.2 נק'"/>
    <w:basedOn w:val="ab"/>
    <w:rsid w:val="005D69B8"/>
    <w:rPr>
      <w:b/>
      <w:bCs/>
      <w:color w:val="auto"/>
      <w:spacing w:val="-4"/>
      <w:sz w:val="22"/>
      <w:szCs w:val="22"/>
      <w:vertAlign w:val="superscript"/>
    </w:rPr>
  </w:style>
  <w:style w:type="paragraph" w:customStyle="1" w:styleId="91">
    <w:name w:val="סגנון9"/>
    <w:basedOn w:val="21"/>
    <w:rsid w:val="005D69B8"/>
    <w:pPr>
      <w:widowControl/>
    </w:pPr>
    <w:rPr>
      <w:bCs/>
    </w:rPr>
  </w:style>
  <w:style w:type="character" w:customStyle="1" w:styleId="BodytextCharChar">
    <w:name w:val="Body text Char Char"/>
    <w:basedOn w:val="a0"/>
    <w:link w:val="BodytextChar"/>
    <w:locked/>
    <w:rsid w:val="005D69B8"/>
    <w:rPr>
      <w:rFonts w:ascii="Univers 45 Light" w:hAnsi="Univers 45 Light" w:cs="Univers 45 Light"/>
      <w:color w:val="000000"/>
      <w:lang w:val="en-NZ" w:eastAsia="en-NZ" w:bidi="ar-SA"/>
    </w:rPr>
  </w:style>
  <w:style w:type="paragraph" w:customStyle="1" w:styleId="BodytextChar">
    <w:name w:val="Body text Char"/>
    <w:link w:val="BodytextCharChar"/>
    <w:rsid w:val="005D69B8"/>
    <w:pPr>
      <w:tabs>
        <w:tab w:val="left" w:pos="284"/>
      </w:tabs>
      <w:autoSpaceDE w:val="0"/>
      <w:autoSpaceDN w:val="0"/>
      <w:adjustRightInd w:val="0"/>
      <w:spacing w:line="260" w:lineRule="atLeast"/>
    </w:pPr>
    <w:rPr>
      <w:rFonts w:ascii="Univers 45 Light" w:hAnsi="Univers 45 Light" w:cs="Univers 45 Light"/>
      <w:color w:val="000000"/>
      <w:lang w:val="en-NZ" w:eastAsia="en-NZ" w:bidi="ar-SA"/>
    </w:rPr>
  </w:style>
  <w:style w:type="paragraph" w:customStyle="1" w:styleId="Explain1">
    <w:name w:val="Explain 1"/>
    <w:basedOn w:val="a"/>
    <w:link w:val="Explain1Char"/>
    <w:rsid w:val="005D69B8"/>
    <w:pPr>
      <w:widowControl/>
      <w:tabs>
        <w:tab w:val="left" w:pos="510"/>
        <w:tab w:val="left" w:pos="1531"/>
        <w:tab w:val="left" w:pos="1814"/>
      </w:tabs>
      <w:overflowPunct/>
      <w:bidi w:val="0"/>
      <w:spacing w:line="260" w:lineRule="atLeast"/>
      <w:ind w:left="1531" w:right="113" w:hanging="1417"/>
      <w:jc w:val="left"/>
      <w:textAlignment w:val="auto"/>
    </w:pPr>
    <w:rPr>
      <w:rFonts w:ascii="Univers 45 Light" w:hAnsi="Univers 45 Light" w:cs="Univers 45 Light"/>
      <w:color w:val="000000"/>
      <w:szCs w:val="20"/>
      <w:lang w:val="en-NZ" w:eastAsia="en-NZ" w:bidi="ar-SA"/>
    </w:rPr>
  </w:style>
  <w:style w:type="character" w:customStyle="1" w:styleId="Explain1Char">
    <w:name w:val="Explain 1 Char"/>
    <w:basedOn w:val="BodytextCharChar"/>
    <w:link w:val="Explain1"/>
    <w:locked/>
    <w:rsid w:val="005D69B8"/>
    <w:rPr>
      <w:rFonts w:ascii="Univers 45 Light" w:hAnsi="Univers 45 Light" w:cs="Univers 45 Light"/>
      <w:color w:val="000000"/>
      <w:lang w:val="en-NZ" w:eastAsia="en-NZ" w:bidi="ar-SA"/>
    </w:rPr>
  </w:style>
  <w:style w:type="character" w:customStyle="1" w:styleId="1f6">
    <w:name w:val="כניסה רגילה תו תו1"/>
    <w:basedOn w:val="a0"/>
    <w:locked/>
    <w:rsid w:val="005D69B8"/>
    <w:rPr>
      <w:rFonts w:cs="Narkisim"/>
      <w:sz w:val="22"/>
      <w:szCs w:val="24"/>
      <w:lang w:val="en-US" w:eastAsia="en-US" w:bidi="he-IL"/>
    </w:rPr>
  </w:style>
  <w:style w:type="character" w:customStyle="1" w:styleId="a8">
    <w:name w:val="כותרת תחתונה תו"/>
    <w:basedOn w:val="a0"/>
    <w:link w:val="a7"/>
    <w:uiPriority w:val="99"/>
    <w:rsid w:val="00201A50"/>
    <w:rPr>
      <w:rFonts w:cs="Narkisim"/>
      <w:szCs w:val="24"/>
    </w:rPr>
  </w:style>
  <w:style w:type="character" w:styleId="affffd">
    <w:name w:val="annotation reference"/>
    <w:basedOn w:val="a0"/>
    <w:uiPriority w:val="99"/>
    <w:rsid w:val="006A6C24"/>
    <w:rPr>
      <w:sz w:val="16"/>
      <w:szCs w:val="16"/>
    </w:rPr>
  </w:style>
  <w:style w:type="paragraph" w:styleId="affffe">
    <w:name w:val="Revision"/>
    <w:hidden/>
    <w:uiPriority w:val="99"/>
    <w:semiHidden/>
    <w:rsid w:val="006A6C24"/>
    <w:rPr>
      <w:rFonts w:cs="Narkisim"/>
      <w:szCs w:val="24"/>
    </w:rPr>
  </w:style>
  <w:style w:type="character" w:customStyle="1" w:styleId="ad">
    <w:name w:val="טקסט הערת שוליים תו"/>
    <w:aliases w:val="fn תו"/>
    <w:basedOn w:val="a0"/>
    <w:link w:val="ac"/>
    <w:rsid w:val="00E21527"/>
    <w:rPr>
      <w:rFonts w:cs="David"/>
      <w:sz w:val="12"/>
      <w:szCs w:val="14"/>
    </w:rPr>
  </w:style>
  <w:style w:type="paragraph" w:styleId="TOC4">
    <w:name w:val="toc 4"/>
    <w:basedOn w:val="a"/>
    <w:next w:val="a"/>
    <w:autoRedefine/>
    <w:rsid w:val="00BB18A1"/>
    <w:pPr>
      <w:ind w:left="600"/>
      <w:jc w:val="left"/>
    </w:pPr>
    <w:rPr>
      <w:rFonts w:asciiTheme="minorHAnsi" w:hAnsiTheme="minorHAnsi" w:cs="Times New Roman"/>
      <w:szCs w:val="20"/>
    </w:rPr>
  </w:style>
  <w:style w:type="paragraph" w:styleId="TOC5">
    <w:name w:val="toc 5"/>
    <w:basedOn w:val="a"/>
    <w:next w:val="a"/>
    <w:autoRedefine/>
    <w:rsid w:val="00BB18A1"/>
    <w:pPr>
      <w:ind w:left="800"/>
      <w:jc w:val="left"/>
    </w:pPr>
    <w:rPr>
      <w:rFonts w:asciiTheme="minorHAnsi" w:hAnsiTheme="minorHAnsi" w:cs="Times New Roman"/>
      <w:szCs w:val="20"/>
    </w:rPr>
  </w:style>
  <w:style w:type="paragraph" w:styleId="TOC6">
    <w:name w:val="toc 6"/>
    <w:basedOn w:val="a"/>
    <w:next w:val="a"/>
    <w:autoRedefine/>
    <w:rsid w:val="00BB18A1"/>
    <w:pPr>
      <w:ind w:left="1000"/>
      <w:jc w:val="left"/>
    </w:pPr>
    <w:rPr>
      <w:rFonts w:asciiTheme="minorHAnsi" w:hAnsiTheme="minorHAnsi" w:cs="Times New Roman"/>
      <w:szCs w:val="20"/>
    </w:rPr>
  </w:style>
  <w:style w:type="paragraph" w:styleId="TOC7">
    <w:name w:val="toc 7"/>
    <w:basedOn w:val="a"/>
    <w:next w:val="a"/>
    <w:autoRedefine/>
    <w:rsid w:val="00BB18A1"/>
    <w:pPr>
      <w:ind w:left="1200"/>
      <w:jc w:val="left"/>
    </w:pPr>
    <w:rPr>
      <w:rFonts w:asciiTheme="minorHAnsi" w:hAnsiTheme="minorHAnsi" w:cs="Times New Roman"/>
      <w:szCs w:val="20"/>
    </w:rPr>
  </w:style>
  <w:style w:type="paragraph" w:styleId="TOC8">
    <w:name w:val="toc 8"/>
    <w:basedOn w:val="a"/>
    <w:next w:val="a"/>
    <w:autoRedefine/>
    <w:rsid w:val="00BB18A1"/>
    <w:pPr>
      <w:ind w:left="1400"/>
      <w:jc w:val="left"/>
    </w:pPr>
    <w:rPr>
      <w:rFonts w:asciiTheme="minorHAnsi" w:hAnsiTheme="minorHAnsi" w:cs="Times New Roman"/>
      <w:szCs w:val="20"/>
    </w:rPr>
  </w:style>
  <w:style w:type="paragraph" w:styleId="TOC9">
    <w:name w:val="toc 9"/>
    <w:basedOn w:val="a"/>
    <w:next w:val="a"/>
    <w:autoRedefine/>
    <w:rsid w:val="00BB18A1"/>
    <w:pPr>
      <w:ind w:left="1600"/>
      <w:jc w:val="left"/>
    </w:pPr>
    <w:rPr>
      <w:rFonts w:asciiTheme="minorHAnsi" w:hAnsiTheme="minorHAnsi" w:cs="Times New Roman"/>
      <w:szCs w:val="20"/>
    </w:rPr>
  </w:style>
  <w:style w:type="paragraph" w:styleId="afffff">
    <w:name w:val="List Paragraph"/>
    <w:basedOn w:val="a"/>
    <w:uiPriority w:val="34"/>
    <w:qFormat/>
    <w:rsid w:val="002B119E"/>
    <w:pPr>
      <w:ind w:left="720"/>
      <w:contextualSpacing/>
    </w:pPr>
  </w:style>
  <w:style w:type="paragraph" w:customStyle="1" w:styleId="73">
    <w:name w:val="מא7"/>
    <w:basedOn w:val="61"/>
    <w:qFormat/>
    <w:rsid w:val="00D23629"/>
    <w:pPr>
      <w:ind w:left="4536"/>
    </w:pPr>
  </w:style>
  <w:style w:type="character" w:customStyle="1" w:styleId="70">
    <w:name w:val="כותרת 7 תו"/>
    <w:basedOn w:val="a0"/>
    <w:link w:val="7"/>
    <w:rsid w:val="00EA43AE"/>
    <w:rPr>
      <w:rFonts w:cs="Narkisim"/>
      <w:szCs w:val="24"/>
      <w:u w:val="single"/>
    </w:rPr>
  </w:style>
  <w:style w:type="character" w:customStyle="1" w:styleId="80">
    <w:name w:val="כותרת 8 תו"/>
    <w:basedOn w:val="a0"/>
    <w:link w:val="8"/>
    <w:rsid w:val="00EA43AE"/>
    <w:rPr>
      <w:rFonts w:cs="Narkisim"/>
      <w:b/>
      <w:bCs/>
      <w:color w:val="333333"/>
      <w:sz w:val="24"/>
      <w:szCs w:val="24"/>
    </w:rPr>
  </w:style>
  <w:style w:type="character" w:customStyle="1" w:styleId="90">
    <w:name w:val="כותרת 9 תו"/>
    <w:basedOn w:val="a0"/>
    <w:link w:val="9"/>
    <w:rsid w:val="00EA43AE"/>
    <w:rPr>
      <w:rFonts w:cs="Narkisim"/>
      <w:szCs w:val="24"/>
      <w:u w:val="single"/>
    </w:rPr>
  </w:style>
  <w:style w:type="character" w:customStyle="1" w:styleId="aa">
    <w:name w:val="גוף טקסט תו"/>
    <w:basedOn w:val="a0"/>
    <w:link w:val="a9"/>
    <w:rsid w:val="00EA43AE"/>
    <w:rPr>
      <w:rFonts w:cs="Narkisim"/>
      <w:szCs w:val="24"/>
    </w:rPr>
  </w:style>
  <w:style w:type="character" w:customStyle="1" w:styleId="a6">
    <w:name w:val="כותרת עליונה תו"/>
    <w:basedOn w:val="a0"/>
    <w:link w:val="a5"/>
    <w:rsid w:val="00EA43AE"/>
    <w:rPr>
      <w:rFonts w:cs="Narkisim"/>
      <w:szCs w:val="24"/>
    </w:rPr>
  </w:style>
  <w:style w:type="table" w:styleId="4e">
    <w:name w:val="Table Classic 4"/>
    <w:basedOn w:val="a1"/>
    <w:rsid w:val="00EA43AE"/>
    <w:pPr>
      <w:widowControl w:val="0"/>
      <w:bidi/>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a">
    <w:name w:val="טקסט בלונים תו"/>
    <w:basedOn w:val="a0"/>
    <w:link w:val="affff9"/>
    <w:uiPriority w:val="99"/>
    <w:rsid w:val="00EA43AE"/>
    <w:rPr>
      <w:rFonts w:ascii="Tahoma" w:hAnsi="Tahoma" w:cs="Tahoma"/>
      <w:sz w:val="16"/>
      <w:szCs w:val="16"/>
    </w:rPr>
  </w:style>
  <w:style w:type="paragraph" w:styleId="afffff0">
    <w:name w:val="endnote text"/>
    <w:basedOn w:val="a"/>
    <w:link w:val="afffff1"/>
    <w:rsid w:val="00CE1C48"/>
    <w:pPr>
      <w:spacing w:line="240" w:lineRule="auto"/>
    </w:pPr>
    <w:rPr>
      <w:szCs w:val="20"/>
    </w:rPr>
  </w:style>
  <w:style w:type="character" w:customStyle="1" w:styleId="afffff1">
    <w:name w:val="טקסט הערת סיום תו"/>
    <w:basedOn w:val="a0"/>
    <w:link w:val="afffff0"/>
    <w:rsid w:val="00CE1C48"/>
    <w:rPr>
      <w:rFonts w:cs="Narkisim"/>
    </w:rPr>
  </w:style>
  <w:style w:type="character" w:styleId="afffff2">
    <w:name w:val="endnote reference"/>
    <w:basedOn w:val="a0"/>
    <w:rsid w:val="00CE1C48"/>
    <w:rPr>
      <w:vertAlign w:val="superscript"/>
    </w:rPr>
  </w:style>
  <w:style w:type="character" w:customStyle="1" w:styleId="520">
    <w:name w:val="כותרת 5 תו2"/>
    <w:basedOn w:val="a0"/>
    <w:rsid w:val="005673A2"/>
    <w:rPr>
      <w:rFonts w:cs="Narkisim"/>
      <w:bCs/>
      <w:iCs/>
      <w:sz w:val="24"/>
      <w:u w:val="single"/>
      <w:lang w:val="en-US" w:eastAsia="en-US" w:bidi="he-IL"/>
    </w:rPr>
  </w:style>
  <w:style w:type="paragraph" w:customStyle="1" w:styleId="1f7">
    <w:name w:val="פיסקת רשימה1"/>
    <w:basedOn w:val="a"/>
    <w:qFormat/>
    <w:rsid w:val="005673A2"/>
    <w:pPr>
      <w:overflowPunct/>
      <w:autoSpaceDE/>
      <w:autoSpaceDN/>
      <w:adjustRightInd/>
      <w:ind w:left="720"/>
      <w:contextualSpacing/>
      <w:textAlignment w:val="auto"/>
    </w:pPr>
    <w:rPr>
      <w:sz w:val="22"/>
      <w:lang w:eastAsia="he-IL"/>
    </w:rPr>
  </w:style>
  <w:style w:type="paragraph" w:customStyle="1" w:styleId="1f8">
    <w:name w:val="הצעת מחיר1"/>
    <w:basedOn w:val="NormalE"/>
    <w:rsid w:val="005673A2"/>
    <w:pPr>
      <w:autoSpaceDE/>
      <w:autoSpaceDN/>
      <w:adjustRightInd/>
      <w:spacing w:line="240" w:lineRule="auto"/>
      <w:ind w:left="709" w:right="709"/>
    </w:pPr>
    <w:rPr>
      <w:rFonts w:ascii="Arial" w:hAnsi="Arial" w:cs="Arial"/>
      <w:noProof/>
      <w:color w:val="000000"/>
      <w:sz w:val="20"/>
      <w:szCs w:val="24"/>
    </w:rPr>
  </w:style>
  <w:style w:type="paragraph" w:styleId="Index8">
    <w:name w:val="index 8"/>
    <w:basedOn w:val="a"/>
    <w:next w:val="a"/>
    <w:rsid w:val="005673A2"/>
    <w:pPr>
      <w:widowControl/>
      <w:bidi w:val="0"/>
      <w:spacing w:line="240" w:lineRule="exact"/>
      <w:jc w:val="right"/>
    </w:pPr>
    <w:rPr>
      <w:sz w:val="22"/>
    </w:rPr>
  </w:style>
  <w:style w:type="character" w:customStyle="1" w:styleId="3f6">
    <w:name w:val="תו תו3"/>
    <w:basedOn w:val="a0"/>
    <w:rsid w:val="005673A2"/>
    <w:rPr>
      <w:rFonts w:cs="Narkisim"/>
      <w:szCs w:val="24"/>
      <w:lang w:val="en-US" w:eastAsia="en-US" w:bidi="he-IL"/>
    </w:rPr>
  </w:style>
  <w:style w:type="paragraph" w:styleId="afffff3">
    <w:name w:val="table of authorities"/>
    <w:basedOn w:val="a"/>
    <w:next w:val="a"/>
    <w:rsid w:val="005673A2"/>
    <w:pPr>
      <w:overflowPunct/>
      <w:autoSpaceDE/>
      <w:autoSpaceDN/>
      <w:adjustRightInd/>
      <w:ind w:left="220" w:hanging="220"/>
      <w:jc w:val="left"/>
      <w:textAlignment w:val="auto"/>
    </w:pPr>
    <w:rPr>
      <w:lang w:eastAsia="he-IL"/>
    </w:rPr>
  </w:style>
  <w:style w:type="paragraph" w:styleId="Index3">
    <w:name w:val="index 3"/>
    <w:basedOn w:val="a"/>
    <w:next w:val="a"/>
    <w:autoRedefine/>
    <w:rsid w:val="005673A2"/>
    <w:pPr>
      <w:overflowPunct/>
      <w:autoSpaceDE/>
      <w:autoSpaceDN/>
      <w:bidi w:val="0"/>
      <w:adjustRightInd/>
      <w:ind w:left="600" w:hanging="200"/>
      <w:jc w:val="left"/>
      <w:textAlignment w:val="auto"/>
    </w:pPr>
    <w:rPr>
      <w:lang w:eastAsia="he-IL"/>
    </w:rPr>
  </w:style>
  <w:style w:type="character" w:customStyle="1" w:styleId="28">
    <w:name w:val="כניסה בגוף טקסט 2 תו"/>
    <w:basedOn w:val="a0"/>
    <w:link w:val="27"/>
    <w:rsid w:val="005673A2"/>
    <w:rPr>
      <w:rFonts w:cs="Narkisim"/>
      <w:sz w:val="24"/>
      <w:szCs w:val="24"/>
      <w:lang w:eastAsia="he-IL"/>
    </w:rPr>
  </w:style>
  <w:style w:type="character" w:customStyle="1" w:styleId="af">
    <w:name w:val="טקסט הערה תו"/>
    <w:basedOn w:val="a0"/>
    <w:link w:val="ae"/>
    <w:uiPriority w:val="99"/>
    <w:rsid w:val="005673A2"/>
    <w:rPr>
      <w:rFonts w:cs="Narkisim"/>
    </w:rPr>
  </w:style>
  <w:style w:type="character" w:customStyle="1" w:styleId="af3">
    <w:name w:val="נושא הערה תו"/>
    <w:basedOn w:val="af"/>
    <w:link w:val="af2"/>
    <w:rsid w:val="005673A2"/>
    <w:rPr>
      <w:rFonts w:cs="Narkisim"/>
      <w:b/>
      <w:bCs/>
    </w:rPr>
  </w:style>
  <w:style w:type="character" w:customStyle="1" w:styleId="af1">
    <w:name w:val="טקסט רגיל תו"/>
    <w:basedOn w:val="a0"/>
    <w:link w:val="af0"/>
    <w:rsid w:val="005673A2"/>
    <w:rPr>
      <w:rFonts w:cs="David"/>
      <w:sz w:val="18"/>
    </w:rPr>
  </w:style>
  <w:style w:type="character" w:customStyle="1" w:styleId="2b">
    <w:name w:val="גוף טקסט 2 תו"/>
    <w:basedOn w:val="a0"/>
    <w:link w:val="2a"/>
    <w:rsid w:val="005673A2"/>
    <w:rPr>
      <w:rFonts w:cs="Narkisim"/>
      <w:b/>
      <w:bCs/>
      <w:szCs w:val="24"/>
    </w:rPr>
  </w:style>
  <w:style w:type="character" w:customStyle="1" w:styleId="afa">
    <w:name w:val="כניסה בגוף טקסט תו"/>
    <w:basedOn w:val="a0"/>
    <w:link w:val="af9"/>
    <w:rsid w:val="005673A2"/>
    <w:rPr>
      <w:rFonts w:cs="Narkisim"/>
      <w:sz w:val="22"/>
      <w:szCs w:val="24"/>
    </w:rPr>
  </w:style>
  <w:style w:type="character" w:customStyle="1" w:styleId="afe">
    <w:name w:val="כותרת טקסט תו"/>
    <w:basedOn w:val="a0"/>
    <w:link w:val="afd"/>
    <w:rsid w:val="005673A2"/>
    <w:rPr>
      <w:rFonts w:cs="David"/>
      <w:b/>
      <w:sz w:val="28"/>
      <w:szCs w:val="24"/>
      <w:u w:val="single"/>
    </w:rPr>
  </w:style>
  <w:style w:type="character" w:customStyle="1" w:styleId="38">
    <w:name w:val="כניסה בגוף טקסט 3 תו"/>
    <w:basedOn w:val="a0"/>
    <w:link w:val="37"/>
    <w:rsid w:val="005673A2"/>
    <w:rPr>
      <w:rFonts w:cs="Narkisim"/>
      <w:sz w:val="22"/>
      <w:szCs w:val="24"/>
    </w:rPr>
  </w:style>
  <w:style w:type="character" w:customStyle="1" w:styleId="aff9">
    <w:name w:val="כניסת שורה ראשונה בגוף טקסט תו"/>
    <w:basedOn w:val="aa"/>
    <w:link w:val="aff8"/>
    <w:rsid w:val="005673A2"/>
    <w:rPr>
      <w:rFonts w:cs="Narkisim"/>
      <w:sz w:val="22"/>
      <w:szCs w:val="24"/>
    </w:rPr>
  </w:style>
  <w:style w:type="character" w:customStyle="1" w:styleId="2f1">
    <w:name w:val="כניסת שורה ראשונה בגוף טקסט 2 תו"/>
    <w:basedOn w:val="afa"/>
    <w:link w:val="2f0"/>
    <w:rsid w:val="005673A2"/>
    <w:rPr>
      <w:rFonts w:ascii="Arial Unicode MS" w:hAnsi="Arial Unicode MS" w:cs="ProtocolLightMF"/>
      <w:sz w:val="22"/>
      <w:szCs w:val="24"/>
    </w:rPr>
  </w:style>
  <w:style w:type="character" w:customStyle="1" w:styleId="affb">
    <w:name w:val="סיום תו"/>
    <w:basedOn w:val="a0"/>
    <w:link w:val="affa"/>
    <w:rsid w:val="005673A2"/>
    <w:rPr>
      <w:rFonts w:ascii="Tahoma" w:hAnsi="Tahoma" w:cs="ProtocolLightMF"/>
      <w:sz w:val="18"/>
      <w:szCs w:val="24"/>
    </w:rPr>
  </w:style>
  <w:style w:type="character" w:customStyle="1" w:styleId="affd">
    <w:name w:val="תאריך תו"/>
    <w:basedOn w:val="a0"/>
    <w:link w:val="affc"/>
    <w:rsid w:val="005673A2"/>
    <w:rPr>
      <w:rFonts w:ascii="Tahoma" w:hAnsi="Tahoma" w:cs="ProtocolLightMF"/>
      <w:sz w:val="18"/>
      <w:szCs w:val="24"/>
    </w:rPr>
  </w:style>
  <w:style w:type="character" w:customStyle="1" w:styleId="afff">
    <w:name w:val="חתימת דואר אלקטרוני תו"/>
    <w:basedOn w:val="a0"/>
    <w:link w:val="affe"/>
    <w:rsid w:val="005673A2"/>
    <w:rPr>
      <w:rFonts w:ascii="Tahoma" w:hAnsi="Tahoma" w:cs="ProtocolLightMF"/>
      <w:sz w:val="18"/>
      <w:szCs w:val="24"/>
    </w:rPr>
  </w:style>
  <w:style w:type="character" w:customStyle="1" w:styleId="HTML0">
    <w:name w:val="כתובת HTML תו"/>
    <w:basedOn w:val="a0"/>
    <w:link w:val="HTML"/>
    <w:rsid w:val="005673A2"/>
    <w:rPr>
      <w:rFonts w:ascii="Tahoma" w:hAnsi="Tahoma" w:cs="ProtocolLightMF"/>
      <w:i/>
      <w:iCs/>
      <w:sz w:val="18"/>
      <w:szCs w:val="24"/>
    </w:rPr>
  </w:style>
  <w:style w:type="character" w:customStyle="1" w:styleId="HTML2">
    <w:name w:val="HTML מעוצב מראש תו"/>
    <w:basedOn w:val="a0"/>
    <w:link w:val="HTML1"/>
    <w:rsid w:val="005673A2"/>
    <w:rPr>
      <w:rFonts w:ascii="Courier New" w:hAnsi="Courier New" w:cs="Courier New"/>
      <w:sz w:val="18"/>
    </w:rPr>
  </w:style>
  <w:style w:type="character" w:customStyle="1" w:styleId="afff4">
    <w:name w:val="כותרת עליונה של הודעה תו"/>
    <w:basedOn w:val="a0"/>
    <w:link w:val="afff3"/>
    <w:rsid w:val="005673A2"/>
    <w:rPr>
      <w:rFonts w:ascii="Arial" w:hAnsi="Arial" w:cs="Arial"/>
      <w:sz w:val="24"/>
      <w:szCs w:val="24"/>
      <w:shd w:val="pct20" w:color="auto" w:fill="auto"/>
    </w:rPr>
  </w:style>
  <w:style w:type="character" w:customStyle="1" w:styleId="afff6">
    <w:name w:val="כותרת הערות תו"/>
    <w:basedOn w:val="a0"/>
    <w:link w:val="afff5"/>
    <w:rsid w:val="005673A2"/>
    <w:rPr>
      <w:rFonts w:ascii="Tahoma" w:hAnsi="Tahoma" w:cs="ProtocolLightMF"/>
      <w:sz w:val="18"/>
      <w:szCs w:val="24"/>
    </w:rPr>
  </w:style>
  <w:style w:type="character" w:customStyle="1" w:styleId="afff8">
    <w:name w:val="חתימה תו"/>
    <w:basedOn w:val="a0"/>
    <w:link w:val="afff7"/>
    <w:rsid w:val="005673A2"/>
    <w:rPr>
      <w:rFonts w:ascii="Tahoma" w:hAnsi="Tahoma" w:cs="ProtocolLightMF"/>
      <w:sz w:val="18"/>
      <w:szCs w:val="24"/>
    </w:rPr>
  </w:style>
  <w:style w:type="character" w:customStyle="1" w:styleId="afffa">
    <w:name w:val="כותרת משנה תו"/>
    <w:basedOn w:val="a0"/>
    <w:link w:val="afff9"/>
    <w:rsid w:val="005673A2"/>
    <w:rPr>
      <w:rFonts w:ascii="Arial" w:hAnsi="Arial" w:cs="Arial"/>
      <w:sz w:val="24"/>
      <w:szCs w:val="24"/>
    </w:rPr>
  </w:style>
  <w:style w:type="character" w:customStyle="1" w:styleId="34">
    <w:name w:val="גוף טקסט 3 תו"/>
    <w:basedOn w:val="a0"/>
    <w:link w:val="33"/>
    <w:rsid w:val="005673A2"/>
    <w:rPr>
      <w:rFonts w:cs="Narkisim"/>
      <w:szCs w:val="22"/>
    </w:rPr>
  </w:style>
  <w:style w:type="paragraph" w:customStyle="1" w:styleId="IAS">
    <w:name w:val="IAS"/>
    <w:basedOn w:val="a3"/>
    <w:link w:val="IAS0"/>
    <w:qFormat/>
    <w:rsid w:val="005673A2"/>
    <w:pPr>
      <w:bidi w:val="0"/>
      <w:spacing w:line="240" w:lineRule="auto"/>
      <w:ind w:right="57"/>
      <w:jc w:val="right"/>
    </w:pPr>
    <w:rPr>
      <w:i/>
      <w:iCs/>
      <w:sz w:val="13"/>
      <w:szCs w:val="13"/>
      <w:lang w:eastAsia="he-IL"/>
    </w:rPr>
  </w:style>
  <w:style w:type="character" w:customStyle="1" w:styleId="IAS0">
    <w:name w:val="IAS תו"/>
    <w:basedOn w:val="a4"/>
    <w:link w:val="IAS"/>
    <w:rsid w:val="005673A2"/>
    <w:rPr>
      <w:rFonts w:cs="Narkisim"/>
      <w:i/>
      <w:iCs/>
      <w:sz w:val="13"/>
      <w:szCs w:val="13"/>
      <w:lang w:val="en-US" w:eastAsia="he-IL" w:bidi="he-IL"/>
    </w:rPr>
  </w:style>
  <w:style w:type="paragraph" w:customStyle="1" w:styleId="Numberedlist">
    <w:name w:val="Numbered list"/>
    <w:basedOn w:val="a"/>
    <w:rsid w:val="005673A2"/>
    <w:pPr>
      <w:widowControl/>
      <w:numPr>
        <w:numId w:val="2"/>
      </w:numPr>
      <w:overflowPunct/>
      <w:autoSpaceDE/>
      <w:autoSpaceDN/>
      <w:bidi w:val="0"/>
      <w:adjustRightInd/>
      <w:spacing w:line="360" w:lineRule="atLeast"/>
      <w:textAlignment w:val="auto"/>
    </w:pPr>
    <w:rPr>
      <w:rFonts w:cs="Times New Roman"/>
      <w:sz w:val="22"/>
      <w:szCs w:val="22"/>
    </w:rPr>
  </w:style>
  <w:style w:type="paragraph" w:customStyle="1" w:styleId="first-ind">
    <w:name w:val="first-ind"/>
    <w:basedOn w:val="a"/>
    <w:rsid w:val="005673A2"/>
    <w:pPr>
      <w:widowControl/>
      <w:overflowPunct/>
      <w:autoSpaceDE/>
      <w:autoSpaceDN/>
      <w:bidi w:val="0"/>
      <w:adjustRightInd/>
      <w:spacing w:line="300" w:lineRule="exact"/>
      <w:textAlignment w:val="auto"/>
    </w:pPr>
    <w:rPr>
      <w:rFonts w:ascii="Arial" w:hAnsi="Arial" w:cs="Arial"/>
      <w:sz w:val="22"/>
      <w:szCs w:val="22"/>
    </w:rPr>
  </w:style>
  <w:style w:type="paragraph" w:customStyle="1" w:styleId="NOTE">
    <w:name w:val="NOTE"/>
    <w:basedOn w:val="a"/>
    <w:rsid w:val="005673A2"/>
    <w:pPr>
      <w:widowControl/>
      <w:tabs>
        <w:tab w:val="left" w:pos="993"/>
      </w:tabs>
      <w:overflowPunct/>
      <w:autoSpaceDE/>
      <w:autoSpaceDN/>
      <w:bidi w:val="0"/>
      <w:adjustRightInd/>
      <w:spacing w:line="300" w:lineRule="exact"/>
      <w:ind w:left="1134" w:hanging="1134"/>
      <w:textAlignment w:val="auto"/>
    </w:pPr>
    <w:rPr>
      <w:rFonts w:cs="Times New Roman"/>
      <w:b/>
      <w:sz w:val="22"/>
      <w:szCs w:val="22"/>
    </w:rPr>
  </w:style>
  <w:style w:type="paragraph" w:customStyle="1" w:styleId="third-ind">
    <w:name w:val="third-ind"/>
    <w:basedOn w:val="a"/>
    <w:rsid w:val="005673A2"/>
    <w:pPr>
      <w:widowControl/>
      <w:overflowPunct/>
      <w:autoSpaceDE/>
      <w:autoSpaceDN/>
      <w:bidi w:val="0"/>
      <w:adjustRightInd/>
      <w:spacing w:after="120" w:line="300" w:lineRule="exact"/>
      <w:ind w:left="2410" w:hanging="397"/>
      <w:textAlignment w:val="auto"/>
    </w:pPr>
    <w:rPr>
      <w:rFonts w:ascii="Arial" w:hAnsi="Arial" w:cs="Arial"/>
      <w:sz w:val="22"/>
      <w:szCs w:val="22"/>
    </w:rPr>
  </w:style>
  <w:style w:type="paragraph" w:customStyle="1" w:styleId="border">
    <w:name w:val="border"/>
    <w:basedOn w:val="a"/>
    <w:rsid w:val="005673A2"/>
    <w:pPr>
      <w:widowControl/>
      <w:pBdr>
        <w:bottom w:val="single" w:sz="6" w:space="1" w:color="auto"/>
      </w:pBdr>
      <w:overflowPunct/>
      <w:autoSpaceDE/>
      <w:autoSpaceDN/>
      <w:bidi w:val="0"/>
      <w:adjustRightInd/>
      <w:spacing w:line="300" w:lineRule="exact"/>
      <w:jc w:val="center"/>
      <w:textAlignment w:val="auto"/>
    </w:pPr>
    <w:rPr>
      <w:rFonts w:cs="Times New Roman"/>
      <w:b/>
      <w:bCs/>
      <w:sz w:val="24"/>
      <w:szCs w:val="22"/>
    </w:rPr>
  </w:style>
  <w:style w:type="paragraph" w:customStyle="1" w:styleId="indenta1">
    <w:name w:val="indenta1"/>
    <w:basedOn w:val="a"/>
    <w:rsid w:val="005673A2"/>
    <w:pPr>
      <w:widowControl/>
      <w:tabs>
        <w:tab w:val="left" w:pos="567"/>
      </w:tabs>
      <w:overflowPunct/>
      <w:autoSpaceDE/>
      <w:autoSpaceDN/>
      <w:bidi w:val="0"/>
      <w:adjustRightInd/>
      <w:spacing w:before="120" w:line="300" w:lineRule="exact"/>
      <w:ind w:right="567" w:hanging="283"/>
      <w:textAlignment w:val="auto"/>
    </w:pPr>
    <w:rPr>
      <w:rFonts w:cs="Times New Roman"/>
      <w:sz w:val="22"/>
      <w:szCs w:val="22"/>
    </w:rPr>
  </w:style>
  <w:style w:type="paragraph" w:customStyle="1" w:styleId="indenta2">
    <w:name w:val="indenta2"/>
    <w:basedOn w:val="a"/>
    <w:rsid w:val="005673A2"/>
    <w:pPr>
      <w:widowControl/>
      <w:tabs>
        <w:tab w:val="left" w:pos="1134"/>
      </w:tabs>
      <w:overflowPunct/>
      <w:autoSpaceDE/>
      <w:autoSpaceDN/>
      <w:bidi w:val="0"/>
      <w:adjustRightInd/>
      <w:spacing w:before="120" w:line="300" w:lineRule="exact"/>
      <w:ind w:right="1134" w:hanging="567"/>
      <w:textAlignment w:val="auto"/>
    </w:pPr>
    <w:rPr>
      <w:rFonts w:cs="Times New Roman"/>
      <w:sz w:val="22"/>
      <w:szCs w:val="22"/>
    </w:rPr>
  </w:style>
  <w:style w:type="paragraph" w:customStyle="1" w:styleId="indenta3">
    <w:name w:val="indenta3"/>
    <w:basedOn w:val="a"/>
    <w:rsid w:val="005673A2"/>
    <w:pPr>
      <w:widowControl/>
      <w:tabs>
        <w:tab w:val="left" w:pos="1701"/>
      </w:tabs>
      <w:overflowPunct/>
      <w:autoSpaceDE/>
      <w:autoSpaceDN/>
      <w:bidi w:val="0"/>
      <w:adjustRightInd/>
      <w:spacing w:before="120" w:line="300" w:lineRule="exact"/>
      <w:ind w:right="1701" w:hanging="567"/>
      <w:textAlignment w:val="auto"/>
    </w:pPr>
    <w:rPr>
      <w:rFonts w:cs="Times New Roman"/>
      <w:sz w:val="22"/>
      <w:szCs w:val="22"/>
    </w:rPr>
  </w:style>
  <w:style w:type="paragraph" w:customStyle="1" w:styleId="indenta4">
    <w:name w:val="indenta4"/>
    <w:basedOn w:val="a"/>
    <w:rsid w:val="005673A2"/>
    <w:pPr>
      <w:widowControl/>
      <w:tabs>
        <w:tab w:val="left" w:pos="2268"/>
      </w:tabs>
      <w:overflowPunct/>
      <w:autoSpaceDE/>
      <w:autoSpaceDN/>
      <w:bidi w:val="0"/>
      <w:adjustRightInd/>
      <w:spacing w:before="120" w:line="300" w:lineRule="exact"/>
      <w:ind w:right="2268" w:hanging="567"/>
      <w:textAlignment w:val="auto"/>
    </w:pPr>
    <w:rPr>
      <w:rFonts w:cs="Times New Roman"/>
      <w:sz w:val="22"/>
      <w:szCs w:val="22"/>
    </w:rPr>
  </w:style>
  <w:style w:type="paragraph" w:customStyle="1" w:styleId="underline">
    <w:name w:val="underline"/>
    <w:basedOn w:val="a"/>
    <w:rsid w:val="005673A2"/>
    <w:pPr>
      <w:widowControl/>
      <w:pBdr>
        <w:bottom w:val="single" w:sz="6" w:space="1" w:color="auto"/>
      </w:pBdr>
      <w:tabs>
        <w:tab w:val="left" w:pos="1134"/>
        <w:tab w:val="left" w:pos="1701"/>
        <w:tab w:val="left" w:pos="2268"/>
      </w:tabs>
      <w:overflowPunct/>
      <w:autoSpaceDE/>
      <w:autoSpaceDN/>
      <w:bidi w:val="0"/>
      <w:adjustRightInd/>
      <w:spacing w:line="300" w:lineRule="exact"/>
      <w:ind w:left="1701" w:hanging="567"/>
      <w:textAlignment w:val="auto"/>
    </w:pPr>
    <w:rPr>
      <w:rFonts w:cs="Times New Roman"/>
      <w:sz w:val="24"/>
      <w:szCs w:val="22"/>
    </w:rPr>
  </w:style>
  <w:style w:type="character" w:styleId="afffff4">
    <w:name w:val="Strong"/>
    <w:basedOn w:val="a0"/>
    <w:qFormat/>
    <w:rsid w:val="005673A2"/>
    <w:rPr>
      <w:rFonts w:cs="David"/>
      <w:b/>
      <w:bCs/>
    </w:rPr>
  </w:style>
  <w:style w:type="paragraph" w:customStyle="1" w:styleId="560">
    <w:name w:val="סגנון מא5 + לפני:  6 ס''מ"/>
    <w:basedOn w:val="a"/>
    <w:rsid w:val="005673A2"/>
    <w:pPr>
      <w:widowControl/>
      <w:overflowPunct/>
      <w:autoSpaceDE/>
      <w:autoSpaceDN/>
      <w:bidi w:val="0"/>
      <w:adjustRightInd/>
      <w:spacing w:line="300" w:lineRule="exact"/>
      <w:ind w:left="3969"/>
      <w:textAlignment w:val="auto"/>
    </w:pPr>
    <w:rPr>
      <w:rFonts w:cs="Times New Roman"/>
      <w:sz w:val="22"/>
      <w:szCs w:val="22"/>
    </w:rPr>
  </w:style>
  <w:style w:type="paragraph" w:customStyle="1" w:styleId="511">
    <w:name w:val="סגנון מא5 +1"/>
    <w:basedOn w:val="a"/>
    <w:autoRedefine/>
    <w:rsid w:val="005673A2"/>
    <w:pPr>
      <w:widowControl/>
      <w:overflowPunct/>
      <w:autoSpaceDE/>
      <w:autoSpaceDN/>
      <w:bidi w:val="0"/>
      <w:adjustRightInd/>
      <w:spacing w:line="300" w:lineRule="exact"/>
      <w:textAlignment w:val="auto"/>
    </w:pPr>
    <w:rPr>
      <w:rFonts w:cs="Times New Roman"/>
      <w:sz w:val="22"/>
      <w:szCs w:val="22"/>
    </w:rPr>
  </w:style>
  <w:style w:type="paragraph" w:customStyle="1" w:styleId="afffff5">
    <w:name w:val="תחתונה"/>
    <w:basedOn w:val="a5"/>
    <w:rsid w:val="005673A2"/>
    <w:pPr>
      <w:widowControl/>
      <w:tabs>
        <w:tab w:val="clear" w:pos="4153"/>
        <w:tab w:val="clear" w:pos="8306"/>
      </w:tabs>
      <w:overflowPunct/>
      <w:autoSpaceDE/>
      <w:autoSpaceDN/>
      <w:bidi w:val="0"/>
      <w:adjustRightInd/>
      <w:spacing w:line="300" w:lineRule="exact"/>
      <w:textAlignment w:val="auto"/>
    </w:pPr>
    <w:rPr>
      <w:rFonts w:ascii="Arial" w:hAnsi="Arial" w:cs="David"/>
      <w:b/>
      <w:bCs/>
      <w:sz w:val="16"/>
      <w:szCs w:val="20"/>
    </w:rPr>
  </w:style>
  <w:style w:type="paragraph" w:customStyle="1" w:styleId="2fd">
    <w:name w:val="ñâðåï2"/>
    <w:basedOn w:val="a"/>
    <w:rsid w:val="005673A2"/>
    <w:pPr>
      <w:widowControl/>
      <w:tabs>
        <w:tab w:val="left" w:pos="3969"/>
      </w:tabs>
      <w:overflowPunct/>
      <w:autoSpaceDE/>
      <w:autoSpaceDN/>
      <w:bidi w:val="0"/>
      <w:adjustRightInd/>
      <w:spacing w:line="300" w:lineRule="exact"/>
      <w:ind w:left="3969"/>
      <w:textAlignment w:val="auto"/>
    </w:pPr>
    <w:rPr>
      <w:rFonts w:cs="Times New Roman"/>
      <w:sz w:val="22"/>
      <w:szCs w:val="22"/>
    </w:rPr>
  </w:style>
  <w:style w:type="character" w:customStyle="1" w:styleId="111">
    <w:name w:val="תו תו11"/>
    <w:basedOn w:val="a0"/>
    <w:locked/>
    <w:rsid w:val="005673A2"/>
    <w:rPr>
      <w:rFonts w:cs="Narkisim"/>
      <w:sz w:val="22"/>
      <w:szCs w:val="24"/>
      <w:lang w:val="en-US" w:eastAsia="en-US" w:bidi="he-IL"/>
    </w:rPr>
  </w:style>
  <w:style w:type="character" w:customStyle="1" w:styleId="5c">
    <w:name w:val="תו תו5"/>
    <w:basedOn w:val="a0"/>
    <w:rsid w:val="005673A2"/>
    <w:rPr>
      <w:rFonts w:cs="Narkisim"/>
      <w:szCs w:val="24"/>
      <w:u w:val="single"/>
      <w:lang w:val="en-US" w:eastAsia="he-IL" w:bidi="he-IL"/>
    </w:rPr>
  </w:style>
  <w:style w:type="paragraph" w:customStyle="1" w:styleId="112">
    <w:name w:val="ציטוט11"/>
    <w:basedOn w:val="a"/>
    <w:autoRedefine/>
    <w:rsid w:val="005673A2"/>
    <w:pPr>
      <w:keepLines/>
      <w:overflowPunct/>
      <w:autoSpaceDE/>
      <w:autoSpaceDN/>
      <w:adjustRightInd/>
      <w:spacing w:line="280" w:lineRule="exact"/>
      <w:ind w:left="1418" w:right="1134"/>
      <w:textAlignment w:val="auto"/>
    </w:pPr>
    <w:rPr>
      <w:rFonts w:ascii="Tahoma" w:hAnsi="Tahoma" w:cs="ProtocolLightMF"/>
      <w:iCs/>
      <w:sz w:val="17"/>
    </w:rPr>
  </w:style>
  <w:style w:type="numbering" w:customStyle="1" w:styleId="1f9">
    <w:name w:val="ללא רשימה1"/>
    <w:next w:val="a2"/>
    <w:uiPriority w:val="99"/>
    <w:semiHidden/>
    <w:unhideWhenUsed/>
    <w:rsid w:val="005673A2"/>
  </w:style>
  <w:style w:type="table" w:customStyle="1" w:styleId="410">
    <w:name w:val="טבלה קלאסית 41"/>
    <w:basedOn w:val="a1"/>
    <w:next w:val="4e"/>
    <w:rsid w:val="005673A2"/>
    <w:pPr>
      <w:widowControl w:val="0"/>
      <w:bidi/>
      <w:spacing w:line="264" w:lineRule="auto"/>
      <w:jc w:val="both"/>
    </w:pPr>
    <w:rPr>
      <w:rFonts w:asciiTheme="minorHAnsi" w:eastAsia="Batang"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ex2">
    <w:name w:val="index 2"/>
    <w:basedOn w:val="2"/>
    <w:next w:val="2"/>
    <w:autoRedefine/>
    <w:uiPriority w:val="99"/>
    <w:unhideWhenUsed/>
    <w:rsid w:val="005673A2"/>
    <w:pPr>
      <w:widowControl/>
      <w:numPr>
        <w:numId w:val="3"/>
      </w:numPr>
      <w:tabs>
        <w:tab w:val="clear" w:pos="0"/>
        <w:tab w:val="clear" w:pos="397"/>
        <w:tab w:val="clear" w:pos="510"/>
        <w:tab w:val="left" w:pos="10063"/>
      </w:tabs>
      <w:spacing w:before="120" w:after="120" w:line="360" w:lineRule="auto"/>
      <w:jc w:val="left"/>
    </w:pPr>
    <w:rPr>
      <w:rFonts w:ascii="Tahoma" w:hAnsi="Tahoma" w:cs="Tahoma"/>
      <w:b/>
      <w:bCs/>
      <w:iCs/>
      <w:noProof/>
      <w:color w:val="8D42C6"/>
      <w:sz w:val="18"/>
      <w:szCs w:val="18"/>
      <w:u w:val="none"/>
      <w:lang w:bidi="ar-SA"/>
    </w:rPr>
  </w:style>
  <w:style w:type="paragraph" w:styleId="afffff6">
    <w:name w:val="TOC Heading"/>
    <w:basedOn w:val="1"/>
    <w:next w:val="a"/>
    <w:uiPriority w:val="39"/>
    <w:unhideWhenUsed/>
    <w:qFormat/>
    <w:rsid w:val="005673A2"/>
    <w:pPr>
      <w:keepNext/>
      <w:keepLines/>
      <w:pBdr>
        <w:bottom w:val="none" w:sz="0" w:space="0" w:color="auto"/>
      </w:pBdr>
      <w:tabs>
        <w:tab w:val="clear" w:pos="0"/>
        <w:tab w:val="clear" w:pos="397"/>
        <w:tab w:val="clear" w:pos="510"/>
        <w:tab w:val="right" w:leader="dot" w:pos="9497"/>
      </w:tabs>
      <w:overflowPunct/>
      <w:autoSpaceDE/>
      <w:autoSpaceDN/>
      <w:adjustRightInd/>
      <w:spacing w:before="480"/>
      <w:jc w:val="left"/>
      <w:textAlignment w:val="auto"/>
      <w:outlineLvl w:val="9"/>
    </w:pPr>
    <w:rPr>
      <w:rFonts w:asciiTheme="majorHAnsi" w:eastAsiaTheme="majorEastAsia" w:hAnsiTheme="majorHAnsi" w:cstheme="majorBidi"/>
      <w:b/>
      <w:noProof/>
      <w:color w:val="365F91" w:themeColor="accent1" w:themeShade="BF"/>
      <w:sz w:val="28"/>
      <w:szCs w:val="20"/>
      <w:lang w:eastAsia="he-IL"/>
    </w:rPr>
  </w:style>
  <w:style w:type="table" w:customStyle="1" w:styleId="1fa">
    <w:name w:val="טבלת רשת1"/>
    <w:basedOn w:val="a1"/>
    <w:next w:val="af6"/>
    <w:rsid w:val="005673A2"/>
    <w:pPr>
      <w:overflowPunct w:val="0"/>
      <w:autoSpaceDE w:val="0"/>
      <w:autoSpaceDN w:val="0"/>
      <w:bidi/>
      <w:adjustRightInd w:val="0"/>
      <w:spacing w:line="240" w:lineRule="exact"/>
      <w:jc w:val="both"/>
      <w:textAlignment w:val="baseline"/>
    </w:pPr>
    <w:rPr>
      <w:rFonts w:asciiTheme="minorHAnsi" w:eastAsiaTheme="minorHAnsi" w:hAnsiTheme="minorHAnsi" w:cs="Narkisim"/>
      <w:sz w:val="22"/>
      <w:szCs w:val="24"/>
    </w:rPr>
    <w:tblPr/>
  </w:style>
  <w:style w:type="paragraph" w:styleId="afffff7">
    <w:name w:val="Document Map"/>
    <w:basedOn w:val="a"/>
    <w:link w:val="afffff8"/>
    <w:rsid w:val="005673A2"/>
    <w:pPr>
      <w:overflowPunct/>
      <w:autoSpaceDE/>
      <w:autoSpaceDN/>
      <w:adjustRightInd/>
      <w:spacing w:line="240" w:lineRule="auto"/>
      <w:textAlignment w:val="auto"/>
    </w:pPr>
    <w:rPr>
      <w:rFonts w:ascii="Tahoma" w:hAnsi="Tahoma" w:cs="Tahoma"/>
      <w:sz w:val="16"/>
      <w:szCs w:val="16"/>
      <w:lang w:eastAsia="he-IL"/>
    </w:rPr>
  </w:style>
  <w:style w:type="character" w:customStyle="1" w:styleId="afffff8">
    <w:name w:val="מפת מסמך תו"/>
    <w:basedOn w:val="a0"/>
    <w:link w:val="afffff7"/>
    <w:rsid w:val="005673A2"/>
    <w:rPr>
      <w:rFonts w:ascii="Tahoma" w:hAnsi="Tahoma" w:cs="Tahoma"/>
      <w:sz w:val="16"/>
      <w:szCs w:val="16"/>
      <w:lang w:eastAsia="he-IL"/>
    </w:rPr>
  </w:style>
  <w:style w:type="paragraph" w:customStyle="1" w:styleId="4f">
    <w:name w:val="ציטוט4"/>
    <w:basedOn w:val="a"/>
    <w:rsid w:val="002913CE"/>
    <w:pPr>
      <w:tabs>
        <w:tab w:val="left" w:pos="567"/>
        <w:tab w:val="left" w:pos="1134"/>
        <w:tab w:val="left" w:pos="1701"/>
        <w:tab w:val="left" w:pos="2268"/>
      </w:tabs>
      <w:overflowPunct/>
      <w:autoSpaceDE/>
      <w:autoSpaceDN/>
      <w:adjustRightInd/>
      <w:spacing w:before="60" w:line="280" w:lineRule="exact"/>
      <w:ind w:left="567"/>
      <w:textAlignment w:val="auto"/>
    </w:pPr>
    <w:rPr>
      <w:rFonts w:ascii="Tahoma" w:hAnsi="Tahoma" w:cs="Arial"/>
      <w:bCs/>
      <w:sz w:val="18"/>
    </w:rPr>
  </w:style>
  <w:style w:type="character" w:customStyle="1" w:styleId="512">
    <w:name w:val="כותרת 5 תו1"/>
    <w:basedOn w:val="a0"/>
    <w:rsid w:val="002E0839"/>
    <w:rPr>
      <w:rFonts w:cs="Narkisim"/>
      <w:bCs/>
      <w:iCs/>
      <w:sz w:val="24"/>
      <w:u w:val="single"/>
      <w:lang w:eastAsia="he-IL"/>
    </w:rPr>
  </w:style>
  <w:style w:type="paragraph" w:customStyle="1" w:styleId="3f7">
    <w:name w:val="מא3 תו תו תו"/>
    <w:link w:val="3f8"/>
    <w:rsid w:val="00EB3BA0"/>
    <w:pPr>
      <w:tabs>
        <w:tab w:val="left" w:pos="1701"/>
        <w:tab w:val="left" w:pos="2268"/>
      </w:tabs>
      <w:ind w:left="2268" w:hanging="567"/>
    </w:pPr>
    <w:rPr>
      <w:rFonts w:ascii="Arial" w:hAnsi="Arial" w:cs="Arial"/>
      <w:sz w:val="18"/>
    </w:rPr>
  </w:style>
  <w:style w:type="character" w:customStyle="1" w:styleId="3f8">
    <w:name w:val="מא3 תו תו תו תו"/>
    <w:basedOn w:val="a0"/>
    <w:link w:val="3f7"/>
    <w:rsid w:val="00EB3BA0"/>
    <w:rPr>
      <w:rFonts w:ascii="Arial" w:hAnsi="Arial" w:cs="Arial"/>
      <w:sz w:val="18"/>
    </w:rPr>
  </w:style>
  <w:style w:type="paragraph" w:customStyle="1" w:styleId="ias-">
    <w:name w:val="ias-קטן"/>
    <w:basedOn w:val="a3"/>
    <w:qFormat/>
    <w:rsid w:val="00121EC2"/>
    <w:pPr>
      <w:bidi w:val="0"/>
      <w:spacing w:line="180" w:lineRule="exact"/>
      <w:ind w:left="0"/>
      <w:jc w:val="right"/>
    </w:pPr>
    <w:rPr>
      <w:i/>
      <w:iCs/>
      <w:sz w:val="13"/>
      <w:lang w:eastAsia="he-IL"/>
    </w:rPr>
  </w:style>
  <w:style w:type="character" w:customStyle="1" w:styleId="shorttext">
    <w:name w:val="short_text"/>
    <w:basedOn w:val="a0"/>
    <w:rsid w:val="00121EC2"/>
  </w:style>
  <w:style w:type="character" w:customStyle="1" w:styleId="hps">
    <w:name w:val="hps"/>
    <w:basedOn w:val="a0"/>
    <w:rsid w:val="00121EC2"/>
  </w:style>
  <w:style w:type="paragraph" w:customStyle="1" w:styleId="afffff9">
    <w:name w:val="מעבר עמוד"/>
    <w:basedOn w:val="a"/>
    <w:qFormat/>
    <w:rsid w:val="00121EC2"/>
    <w:pPr>
      <w:overflowPunct/>
      <w:autoSpaceDE/>
      <w:autoSpaceDN/>
      <w:adjustRightInd/>
      <w:spacing w:line="120" w:lineRule="exact"/>
      <w:jc w:val="left"/>
      <w:textAlignment w:val="auto"/>
    </w:pPr>
    <w:rPr>
      <w:b/>
      <w:bCs/>
      <w:sz w:val="16"/>
      <w:szCs w:val="16"/>
      <w:lang w:eastAsia="he-IL"/>
    </w:rPr>
  </w:style>
  <w:style w:type="character" w:customStyle="1" w:styleId="footnotemark">
    <w:name w:val="footnote mark"/>
    <w:hidden/>
    <w:rsid w:val="00ED01B5"/>
    <w:rPr>
      <w:rFonts w:ascii="Times New Roman" w:eastAsia="Times New Roman" w:hAnsi="Times New Roman" w:cs="Times New Roman"/>
      <w:color w:val="FF0000"/>
      <w:sz w:val="13"/>
      <w:vertAlign w:val="superscript"/>
    </w:rPr>
  </w:style>
  <w:style w:type="paragraph" w:customStyle="1" w:styleId="footnotedescription">
    <w:name w:val="footnote description"/>
    <w:next w:val="a"/>
    <w:link w:val="footnotedescriptionChar"/>
    <w:hidden/>
    <w:rsid w:val="000E0B8B"/>
    <w:pPr>
      <w:spacing w:line="259" w:lineRule="auto"/>
    </w:pPr>
    <w:rPr>
      <w:rFonts w:ascii="Narkisim" w:eastAsia="Narkisim" w:hAnsi="Narkisim" w:cs="Narkisim"/>
      <w:color w:val="000000"/>
      <w:sz w:val="16"/>
      <w:szCs w:val="22"/>
    </w:rPr>
  </w:style>
  <w:style w:type="character" w:customStyle="1" w:styleId="footnotedescriptionChar">
    <w:name w:val="footnote description Char"/>
    <w:link w:val="footnotedescription"/>
    <w:rsid w:val="000E0B8B"/>
    <w:rPr>
      <w:rFonts w:ascii="Narkisim" w:eastAsia="Narkisim" w:hAnsi="Narkisim" w:cs="Narkisim"/>
      <w:color w:val="000000"/>
      <w:sz w:val="16"/>
      <w:szCs w:val="22"/>
    </w:rPr>
  </w:style>
  <w:style w:type="paragraph" w:customStyle="1" w:styleId="100">
    <w:name w:val="סגנון10"/>
    <w:basedOn w:val="a"/>
    <w:qFormat/>
    <w:rsid w:val="00F82FBD"/>
    <w:pPr>
      <w:tabs>
        <w:tab w:val="left" w:pos="567"/>
        <w:tab w:val="left" w:pos="1134"/>
        <w:tab w:val="left" w:pos="1701"/>
      </w:tabs>
      <w:overflowPunct/>
      <w:autoSpaceDE/>
      <w:autoSpaceDN/>
      <w:adjustRightInd/>
      <w:ind w:left="1134" w:hanging="567"/>
      <w:textAlignment w:val="auto"/>
    </w:pPr>
    <w:rPr>
      <w:lang w:eastAsia="he-IL"/>
    </w:rPr>
  </w:style>
  <w:style w:type="table" w:customStyle="1" w:styleId="1fb">
    <w:name w:val="רשת טבלה1"/>
    <w:basedOn w:val="a1"/>
    <w:next w:val="af6"/>
    <w:rsid w:val="00AC60B5"/>
    <w:pPr>
      <w:overflowPunct w:val="0"/>
      <w:autoSpaceDE w:val="0"/>
      <w:autoSpaceDN w:val="0"/>
      <w:bidi/>
      <w:adjustRightInd w:val="0"/>
      <w:spacing w:line="240" w:lineRule="exact"/>
      <w:jc w:val="both"/>
      <w:textAlignment w:val="baseline"/>
    </w:pPr>
    <w:rPr>
      <w:rFonts w:cs="Narkisim"/>
      <w:sz w:val="22"/>
      <w:szCs w:val="24"/>
    </w:rPr>
    <w:tblPr/>
  </w:style>
  <w:style w:type="paragraph" w:customStyle="1" w:styleId="afffffa">
    <w:name w:val="מפריד הערות שוליים"/>
    <w:basedOn w:val="41"/>
    <w:link w:val="afffffb"/>
    <w:rsid w:val="0030215E"/>
    <w:pPr>
      <w:tabs>
        <w:tab w:val="clear" w:pos="2268"/>
        <w:tab w:val="left" w:pos="3402"/>
      </w:tabs>
      <w:spacing w:line="240" w:lineRule="auto"/>
      <w:ind w:left="3402"/>
    </w:pPr>
  </w:style>
  <w:style w:type="character" w:customStyle="1" w:styleId="afffffb">
    <w:name w:val="מפריד הערות שוליים תו"/>
    <w:basedOn w:val="a0"/>
    <w:link w:val="afffffa"/>
    <w:rsid w:val="0030215E"/>
    <w:rPr>
      <w:rFonts w:cs="Narkisim"/>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01156">
      <w:bodyDiv w:val="1"/>
      <w:marLeft w:val="0"/>
      <w:marRight w:val="0"/>
      <w:marTop w:val="0"/>
      <w:marBottom w:val="0"/>
      <w:divBdr>
        <w:top w:val="none" w:sz="0" w:space="0" w:color="auto"/>
        <w:left w:val="none" w:sz="0" w:space="0" w:color="auto"/>
        <w:bottom w:val="none" w:sz="0" w:space="0" w:color="auto"/>
        <w:right w:val="none" w:sz="0" w:space="0" w:color="auto"/>
      </w:divBdr>
    </w:div>
    <w:div w:id="16108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F20C-4EB4-4EF4-80D8-C102C11C41C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549069</vt:lpwstr>
  </property>
  <property fmtid="{D5CDD505-2E9C-101B-9397-08002B2CF9AE}" pid="4" name="OptimizationTime">
    <vt:lpwstr>20190417_1709</vt:lpwstr>
  </property>
</Properties>
</file>

<file path=docProps/app.xml><?xml version="1.0" encoding="utf-8"?>
<Properties xmlns="http://schemas.openxmlformats.org/officeDocument/2006/extended-properties" xmlns:vt="http://schemas.openxmlformats.org/officeDocument/2006/docPropsVTypes">
  <Template>Normal.dotm</Template>
  <TotalTime>1024</TotalTime>
  <Pages>1</Pages>
  <Words>18997</Words>
  <Characters>94988</Characters>
  <Application>Microsoft Office Word</Application>
  <DocSecurity>0</DocSecurity>
  <Lines>791</Lines>
  <Paragraphs>227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Gila haim</dc:creator>
  <cp:lastModifiedBy>Ronen Klinman</cp:lastModifiedBy>
  <cp:revision>124</cp:revision>
  <cp:lastPrinted>2018-06-27T10:26:00Z</cp:lastPrinted>
  <dcterms:created xsi:type="dcterms:W3CDTF">2018-06-27T10:26:00Z</dcterms:created>
  <dcterms:modified xsi:type="dcterms:W3CDTF">2019-04-16T11:32:00Z</dcterms:modified>
</cp:coreProperties>
</file>